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5.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Default Extension="png" ContentType="image/png"/>
  <Override PartName="/word/header7.xml" ContentType="application/vnd.openxmlformats-officedocument.wordprocessingml.header+xml"/>
  <Override PartName="/word/footer21.xml" ContentType="application/vnd.openxmlformats-officedocument.wordprocessingml.footer+xml"/>
  <Override PartName="/word/header8.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9.xml" ContentType="application/vnd.openxmlformats-officedocument.wordprocessingml.header+xml"/>
  <Override PartName="/word/footer28.xml" ContentType="application/vnd.openxmlformats-officedocument.wordprocessingml.footer+xml"/>
  <Override PartName="/word/header1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11.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12.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15.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header16.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header17.xml" ContentType="application/vnd.openxmlformats-officedocument.wordprocessingml.header+xml"/>
  <Override PartName="/word/footer46.xml" ContentType="application/vnd.openxmlformats-officedocument.wordprocessingml.footer+xml"/>
  <Override PartName="/word/header18.xml" ContentType="application/vnd.openxmlformats-officedocument.wordprocessingml.header+xml"/>
  <Override PartName="/word/footer47.xml" ContentType="application/vnd.openxmlformats-officedocument.wordprocessingml.footer+xml"/>
  <Override PartName="/word/header19.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header20.xml" ContentType="application/vnd.openxmlformats-officedocument.wordprocessingml.header+xml"/>
  <Override PartName="/word/footer52.xml" ContentType="application/vnd.openxmlformats-officedocument.wordprocessingml.footer+xml"/>
  <Override PartName="/word/header21.xml" ContentType="application/vnd.openxmlformats-officedocument.wordprocessingml.header+xml"/>
  <Override PartName="/word/footer53.xml" ContentType="application/vnd.openxmlformats-officedocument.wordprocessingml.footer+xml"/>
  <Override PartName="/word/header22.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header23.xml" ContentType="application/vnd.openxmlformats-officedocument.wordprocessingml.head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header24.xml" ContentType="application/vnd.openxmlformats-officedocument.wordprocessingml.header+xml"/>
  <Override PartName="/word/footer66.xml" ContentType="application/vnd.openxmlformats-officedocument.wordprocessingml.footer+xml"/>
  <Override PartName="/word/header25.xml" ContentType="application/vnd.openxmlformats-officedocument.wordprocessingml.header+xml"/>
  <Override PartName="/word/footer6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8"/>
        <w:rPr>
          <w:rFonts w:ascii="Times New Roman" w:hAnsi="Times New Roman" w:cs="Times New Roman" w:eastAsia="Times New Roman" w:hint="default"/>
          <w:sz w:val="17"/>
          <w:szCs w:val="17"/>
        </w:rPr>
      </w:pPr>
    </w:p>
    <w:p>
      <w:pPr>
        <w:pStyle w:val="BodyText"/>
        <w:tabs>
          <w:tab w:pos="6402" w:val="left" w:leader="none"/>
        </w:tabs>
        <w:spacing w:line="240" w:lineRule="auto" w:before="36"/>
        <w:ind w:left="138" w:right="0"/>
        <w:jc w:val="left"/>
      </w:pPr>
      <w:r>
        <w:rPr>
          <w:spacing w:val="-1"/>
        </w:rPr>
        <w:t>公司代码：</w:t>
      </w:r>
      <w:r>
        <w:rPr>
          <w:rFonts w:ascii="Arial" w:hAnsi="Arial" w:cs="Arial" w:eastAsia="Arial" w:hint="default"/>
          <w:spacing w:val="-1"/>
        </w:rPr>
        <w:t>600598</w:t>
        <w:tab/>
      </w:r>
      <w:r>
        <w:rPr>
          <w:spacing w:val="-1"/>
        </w:rPr>
        <w:t>公司简称：北大荒</w:t>
      </w:r>
    </w:p>
    <w:p>
      <w:pPr>
        <w:pStyle w:val="BodyText"/>
        <w:spacing w:line="273" w:lineRule="exact" w:before="104"/>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Heading2"/>
        <w:spacing w:line="272" w:lineRule="exact" w:before="0"/>
        <w:ind w:left="138" w:right="0"/>
        <w:jc w:val="left"/>
        <w:rPr>
          <w:rFonts w:ascii="宋体" w:hAnsi="宋体" w:cs="宋体" w:eastAsia="宋体" w:hint="default"/>
          <w:b w:val="0"/>
          <w:bCs w:val="0"/>
        </w:rPr>
      </w:pPr>
      <w:r>
        <w:rPr>
          <w:rFonts w:ascii="宋体"/>
          <w:w w:val="99"/>
        </w:rPr>
        <w:t> </w:t>
      </w:r>
      <w:r>
        <w:rPr>
          <w:rFonts w:ascii="宋体"/>
          <w:b w:val="0"/>
        </w:rPr>
      </w:r>
    </w:p>
    <w:p>
      <w:pPr>
        <w:pStyle w:val="Heading2"/>
        <w:spacing w:line="273" w:lineRule="exact" w:before="0"/>
        <w:ind w:left="138" w:right="0"/>
        <w:jc w:val="left"/>
        <w:rPr>
          <w:rFonts w:ascii="宋体" w:hAnsi="宋体" w:cs="宋体" w:eastAsia="宋体" w:hint="default"/>
          <w:b w:val="0"/>
          <w:bCs w:val="0"/>
        </w:rPr>
      </w:pPr>
      <w:r>
        <w:rPr>
          <w:rFonts w:ascii="宋体"/>
          <w:w w:val="99"/>
        </w:rPr>
        <w:t> </w:t>
      </w:r>
      <w:r>
        <w:rPr>
          <w:rFonts w:ascii="宋体"/>
          <w:b w:val="0"/>
        </w:rPr>
      </w:r>
    </w:p>
    <w:p>
      <w:pPr>
        <w:spacing w:line="533" w:lineRule="exact" w:before="0"/>
        <w:ind w:left="1" w:right="0" w:firstLine="0"/>
        <w:jc w:val="center"/>
        <w:rPr>
          <w:rFonts w:ascii="黑体" w:hAnsi="黑体" w:cs="黑体" w:eastAsia="黑体" w:hint="default"/>
          <w:sz w:val="44"/>
          <w:szCs w:val="44"/>
        </w:rPr>
      </w:pPr>
      <w:r>
        <w:rPr>
          <w:rFonts w:ascii="黑体" w:hAnsi="黑体" w:cs="黑体" w:eastAsia="黑体" w:hint="default"/>
          <w:b/>
          <w:bCs/>
          <w:color w:val="FF0000"/>
          <w:sz w:val="44"/>
          <w:szCs w:val="44"/>
        </w:rPr>
        <w:t>黑龙江北大荒农业股份有限公司</w:t>
      </w:r>
      <w:r>
        <w:rPr>
          <w:rFonts w:ascii="黑体" w:hAnsi="黑体" w:cs="黑体" w:eastAsia="黑体" w:hint="default"/>
          <w:sz w:val="44"/>
          <w:szCs w:val="44"/>
        </w:rPr>
      </w:r>
    </w:p>
    <w:p>
      <w:pPr>
        <w:spacing w:line="604" w:lineRule="exact" w:before="0"/>
        <w:ind w:left="2" w:right="0" w:firstLine="0"/>
        <w:jc w:val="center"/>
        <w:rPr>
          <w:rFonts w:ascii="黑体" w:hAnsi="黑体" w:cs="黑体" w:eastAsia="黑体" w:hint="default"/>
          <w:sz w:val="44"/>
          <w:szCs w:val="44"/>
        </w:rPr>
      </w:pPr>
      <w:r>
        <w:rPr>
          <w:rFonts w:ascii="Arial" w:hAnsi="Arial" w:cs="Arial" w:eastAsia="Arial" w:hint="default"/>
          <w:b/>
          <w:bCs/>
          <w:color w:val="FF0000"/>
          <w:sz w:val="44"/>
          <w:szCs w:val="44"/>
        </w:rPr>
        <w:t>2019</w:t>
      </w:r>
      <w:r>
        <w:rPr>
          <w:rFonts w:ascii="Arial" w:hAnsi="Arial" w:cs="Arial" w:eastAsia="Arial" w:hint="default"/>
          <w:b/>
          <w:bCs/>
          <w:color w:val="FF0000"/>
          <w:spacing w:val="-17"/>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604" w:lineRule="exact"/>
        <w:jc w:val="center"/>
        <w:rPr>
          <w:rFonts w:ascii="黑体" w:hAnsi="黑体" w:cs="黑体" w:eastAsia="黑体" w:hint="default"/>
          <w:sz w:val="44"/>
          <w:szCs w:val="44"/>
        </w:rPr>
        <w:sectPr>
          <w:headerReference w:type="default" r:id="rId5"/>
          <w:footerReference w:type="default" r:id="rId6"/>
          <w:type w:val="continuous"/>
          <w:pgSz w:w="11910" w:h="16840"/>
          <w:pgMar w:header="825" w:footer="1195" w:top="136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29"/>
          <w:szCs w:val="29"/>
        </w:rPr>
      </w:pPr>
    </w:p>
    <w:p>
      <w:pPr>
        <w:spacing w:before="14"/>
        <w:ind w:left="0" w:right="0"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2"/>
        <w:spacing w:line="355" w:lineRule="auto" w:before="0"/>
        <w:ind w:left="505" w:right="0" w:hanging="368"/>
        <w:jc w:val="left"/>
        <w:rPr>
          <w:b w:val="0"/>
          <w:bCs w:val="0"/>
        </w:rPr>
      </w:pPr>
      <w:r>
        <w:rPr/>
        <w:t>一、</w:t>
      </w:r>
      <w:r>
        <w:rPr>
          <w:spacing w:val="-77"/>
        </w:rPr>
        <w:t> </w:t>
      </w:r>
      <w:r>
        <w:rPr>
          <w:rFonts w:ascii="宋体" w:hAnsi="宋体" w:cs="宋体" w:eastAsia="宋体" w:hint="default"/>
          <w:spacing w:val="-77"/>
        </w:rPr>
      </w:r>
      <w:r>
        <w:rPr>
          <w:spacing w:val="-7"/>
        </w:rPr>
        <w:t>本公司董事会、监事会及董事、监事、高级管理人员保证年度报告内容的真实、准确、完整，</w:t>
      </w:r>
      <w:r>
        <w:rPr>
          <w:spacing w:val="-86"/>
        </w:rPr>
        <w:t> </w:t>
      </w:r>
      <w:r>
        <w:rPr>
          <w:spacing w:val="-86"/>
        </w:rPr>
      </w:r>
      <w:r>
        <w:rPr/>
        <w:t>不存在虚假记载、误导性陈述或重大遗漏，并承担个别和连带的法律责任。</w:t>
      </w:r>
      <w:r>
        <w:rPr>
          <w:b w:val="0"/>
          <w:bCs w:val="0"/>
        </w:rPr>
      </w:r>
    </w:p>
    <w:p>
      <w:pPr>
        <w:pStyle w:val="BodyText"/>
        <w:spacing w:line="273" w:lineRule="exact" w:before="32"/>
        <w:ind w:left="138" w:right="0"/>
        <w:jc w:val="left"/>
        <w:rPr>
          <w:rFonts w:ascii="宋体" w:hAnsi="宋体" w:cs="宋体" w:eastAsia="宋体" w:hint="default"/>
        </w:rPr>
      </w:pPr>
      <w:r>
        <w:rPr>
          <w:rFonts w:ascii="宋体"/>
          <w:w w:val="100"/>
        </w:rPr>
        <w:t> </w:t>
      </w:r>
    </w:p>
    <w:p>
      <w:pPr>
        <w:pStyle w:val="Heading2"/>
        <w:spacing w:line="273" w:lineRule="exact" w:before="0"/>
        <w:ind w:left="138" w:right="0"/>
        <w:jc w:val="left"/>
        <w:rPr>
          <w:b w:val="0"/>
          <w:bCs w:val="0"/>
        </w:rPr>
      </w:pPr>
      <w:r>
        <w:rPr/>
        <w:t>二、</w:t>
      </w:r>
      <w:r>
        <w:rPr>
          <w:spacing w:val="-82"/>
        </w:rPr>
        <w:t> </w:t>
      </w:r>
      <w:r>
        <w:rPr>
          <w:rFonts w:ascii="宋体" w:hAnsi="宋体" w:cs="宋体" w:eastAsia="宋体" w:hint="default"/>
          <w:spacing w:val="-82"/>
        </w:rPr>
      </w:r>
      <w:r>
        <w:rPr/>
        <w:t>公司全体董事出席董事会会议。</w:t>
      </w:r>
      <w:r>
        <w:rPr>
          <w:b w:val="0"/>
          <w:bCs w:val="0"/>
        </w:rPr>
      </w:r>
    </w:p>
    <w:p>
      <w:pPr>
        <w:pStyle w:val="BodyText"/>
        <w:spacing w:line="273" w:lineRule="exact" w:before="135"/>
        <w:ind w:left="138" w:right="0"/>
        <w:jc w:val="left"/>
        <w:rPr>
          <w:rFonts w:ascii="宋体" w:hAnsi="宋体" w:cs="宋体" w:eastAsia="宋体" w:hint="default"/>
        </w:rPr>
      </w:pPr>
      <w:r>
        <w:rPr>
          <w:rFonts w:ascii="宋体"/>
          <w:w w:val="100"/>
        </w:rPr>
        <w:t> </w:t>
      </w:r>
    </w:p>
    <w:p>
      <w:pPr>
        <w:pStyle w:val="Heading2"/>
        <w:spacing w:line="273" w:lineRule="exact" w:before="0"/>
        <w:ind w:left="138" w:right="0"/>
        <w:jc w:val="left"/>
        <w:rPr>
          <w:rFonts w:ascii="宋体" w:hAnsi="宋体" w:cs="宋体" w:eastAsia="宋体" w:hint="default"/>
          <w:b w:val="0"/>
          <w:bCs w:val="0"/>
        </w:rPr>
      </w:pPr>
      <w:r>
        <w:rPr/>
        <w:t>三、</w:t>
      </w:r>
      <w:r>
        <w:rPr>
          <w:spacing w:val="-15"/>
        </w:rPr>
        <w:t> </w:t>
      </w:r>
      <w:r>
        <w:rPr>
          <w:rFonts w:ascii="宋体" w:hAnsi="宋体" w:cs="宋体" w:eastAsia="宋体" w:hint="default"/>
          <w:spacing w:val="-15"/>
        </w:rPr>
      </w:r>
      <w:r>
        <w:rPr/>
        <w:t>瑞华会计师事务所（特殊普通合伙）为本公司出具了标准无保留意见的审计报告。</w:t>
      </w:r>
      <w:r>
        <w:rPr>
          <w:rFonts w:ascii="宋体" w:hAnsi="宋体" w:cs="宋体" w:eastAsia="宋体" w:hint="default"/>
          <w:w w:val="99"/>
        </w:rPr>
        <w:t> </w:t>
      </w:r>
      <w:r>
        <w:rPr>
          <w:rFonts w:ascii="宋体" w:hAnsi="宋体" w:cs="宋体" w:eastAsia="宋体" w:hint="default"/>
          <w:b w:val="0"/>
          <w:bCs w:val="0"/>
        </w:rPr>
      </w:r>
    </w:p>
    <w:p>
      <w:pPr>
        <w:pStyle w:val="BodyText"/>
        <w:spacing w:line="275" w:lineRule="exact" w:before="133"/>
        <w:ind w:left="138" w:right="0"/>
        <w:jc w:val="left"/>
        <w:rPr>
          <w:rFonts w:ascii="宋体" w:hAnsi="宋体" w:cs="宋体" w:eastAsia="宋体" w:hint="default"/>
        </w:rPr>
      </w:pPr>
      <w:r>
        <w:rPr>
          <w:rFonts w:ascii="宋体"/>
          <w:w w:val="100"/>
        </w:rPr>
        <w:t> </w:t>
      </w:r>
    </w:p>
    <w:p>
      <w:pPr>
        <w:pStyle w:val="Heading2"/>
        <w:spacing w:line="355" w:lineRule="auto" w:before="0"/>
        <w:ind w:left="505" w:right="0" w:hanging="368"/>
        <w:jc w:val="left"/>
        <w:rPr>
          <w:rFonts w:ascii="宋体" w:hAnsi="宋体" w:cs="宋体" w:eastAsia="宋体" w:hint="default"/>
          <w:b w:val="0"/>
          <w:bCs w:val="0"/>
        </w:rPr>
      </w:pPr>
      <w:r>
        <w:rPr>
          <w:spacing w:val="-1"/>
        </w:rPr>
        <w:t>四、</w:t>
      </w:r>
      <w:r>
        <w:rPr>
          <w:spacing w:val="-76"/>
        </w:rPr>
        <w:t> </w:t>
      </w:r>
      <w:r>
        <w:rPr>
          <w:rFonts w:ascii="宋体" w:hAnsi="宋体" w:cs="宋体" w:eastAsia="宋体" w:hint="default"/>
          <w:spacing w:val="-76"/>
        </w:rPr>
      </w:r>
      <w:r>
        <w:rPr>
          <w:spacing w:val="-2"/>
        </w:rPr>
        <w:t>公司负责人刘长友、主管会计工作负责人贺天元、总会计师及会计机构负责人（会计主管人</w:t>
      </w:r>
      <w:r>
        <w:rPr>
          <w:spacing w:val="-80"/>
        </w:rPr>
        <w:t> </w:t>
      </w:r>
      <w:r>
        <w:rPr>
          <w:spacing w:val="-80"/>
        </w:rPr>
      </w:r>
      <w:r>
        <w:rPr/>
        <w:t>员）葛树峰声明：保证年度报告中财务报告的真实、准确、完整。</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32"/>
        <w:ind w:left="138" w:right="0"/>
        <w:jc w:val="left"/>
        <w:rPr>
          <w:rFonts w:ascii="宋体" w:hAnsi="宋体" w:cs="宋体" w:eastAsia="宋体" w:hint="default"/>
        </w:rPr>
      </w:pPr>
      <w:r>
        <w:rPr>
          <w:rFonts w:ascii="宋体"/>
          <w:w w:val="100"/>
        </w:rPr>
        <w:t> </w:t>
      </w:r>
    </w:p>
    <w:p>
      <w:pPr>
        <w:pStyle w:val="Heading2"/>
        <w:spacing w:line="274" w:lineRule="exact" w:before="0"/>
        <w:ind w:left="138" w:right="0"/>
        <w:jc w:val="left"/>
        <w:rPr>
          <w:rFonts w:ascii="宋体" w:hAnsi="宋体" w:cs="宋体" w:eastAsia="宋体" w:hint="default"/>
          <w:b w:val="0"/>
          <w:bCs w:val="0"/>
          <w:sz w:val="24"/>
          <w:szCs w:val="24"/>
        </w:rPr>
      </w:pPr>
      <w:r>
        <w:rPr/>
        <w:t>五、</w:t>
      </w:r>
      <w:r>
        <w:rPr>
          <w:spacing w:val="-44"/>
        </w:rPr>
        <w:t> </w:t>
      </w:r>
      <w:r>
        <w:rPr>
          <w:rFonts w:ascii="宋体" w:hAnsi="宋体" w:cs="宋体" w:eastAsia="宋体" w:hint="default"/>
          <w:spacing w:val="-44"/>
        </w:rPr>
      </w:r>
      <w:r>
        <w:rPr/>
        <w:t>经董事会审议的报告期利润分配预案或公积金转增股本预案</w:t>
      </w:r>
      <w:r>
        <w:rPr>
          <w:rFonts w:ascii="宋体" w:hAnsi="宋体" w:cs="宋体" w:eastAsia="宋体" w:hint="default"/>
          <w:w w:val="99"/>
          <w:sz w:val="24"/>
          <w:szCs w:val="24"/>
        </w:rPr>
        <w:t> </w:t>
      </w:r>
      <w:r>
        <w:rPr>
          <w:rFonts w:ascii="宋体" w:hAnsi="宋体" w:cs="宋体" w:eastAsia="宋体" w:hint="default"/>
          <w:b w:val="0"/>
          <w:bCs w:val="0"/>
          <w:sz w:val="24"/>
          <w:szCs w:val="24"/>
        </w:rPr>
      </w:r>
    </w:p>
    <w:p>
      <w:pPr>
        <w:pStyle w:val="BodyText"/>
        <w:spacing w:line="266" w:lineRule="auto" w:before="178"/>
        <w:ind w:left="138" w:right="0" w:firstLine="419"/>
        <w:jc w:val="left"/>
      </w:pPr>
      <w:r>
        <w:rPr/>
        <w:t>以</w:t>
      </w:r>
      <w:r>
        <w:rPr>
          <w:rFonts w:ascii="Arial" w:hAnsi="Arial" w:cs="Arial" w:eastAsia="Arial" w:hint="default"/>
        </w:rPr>
        <w:t>2019</w:t>
      </w:r>
      <w:r>
        <w:rPr/>
        <w:t>年</w:t>
      </w:r>
      <w:r>
        <w:rPr>
          <w:rFonts w:ascii="Arial" w:hAnsi="Arial" w:cs="Arial" w:eastAsia="Arial" w:hint="default"/>
        </w:rPr>
        <w:t>12</w:t>
      </w:r>
      <w:r>
        <w:rPr/>
        <w:t>月</w:t>
      </w:r>
      <w:r>
        <w:rPr>
          <w:rFonts w:ascii="Arial" w:hAnsi="Arial" w:cs="Arial" w:eastAsia="Arial" w:hint="default"/>
        </w:rPr>
        <w:t>31</w:t>
      </w:r>
      <w:r>
        <w:rPr/>
        <w:t>日的总股本</w:t>
      </w:r>
      <w:r>
        <w:rPr>
          <w:rFonts w:ascii="Arial" w:hAnsi="Arial" w:cs="Arial" w:eastAsia="Arial" w:hint="default"/>
        </w:rPr>
        <w:t>1,777,679,909</w:t>
      </w:r>
      <w:r>
        <w:rPr/>
        <w:t>股为基数，向全体股东每</w:t>
      </w:r>
      <w:r>
        <w:rPr>
          <w:rFonts w:ascii="Arial" w:hAnsi="Arial" w:cs="Arial" w:eastAsia="Arial" w:hint="default"/>
        </w:rPr>
        <w:t>10</w:t>
      </w:r>
      <w:r>
        <w:rPr/>
        <w:t>股派发现金股利</w:t>
      </w:r>
      <w:r>
        <w:rPr>
          <w:rFonts w:ascii="Arial" w:hAnsi="Arial" w:cs="Arial" w:eastAsia="Arial" w:hint="default"/>
        </w:rPr>
        <w:t>3.8</w:t>
      </w:r>
      <w:r>
        <w:rPr>
          <w:rFonts w:ascii="Arial" w:hAnsi="Arial" w:cs="Arial" w:eastAsia="Arial" w:hint="default"/>
          <w:w w:val="100"/>
        </w:rPr>
        <w:t> </w:t>
      </w:r>
      <w:r>
        <w:rPr>
          <w:spacing w:val="-1"/>
        </w:rPr>
        <w:t>元（含税），共计派发现金红利</w:t>
      </w:r>
      <w:r>
        <w:rPr>
          <w:rFonts w:ascii="Arial" w:hAnsi="Arial" w:cs="Arial" w:eastAsia="Arial" w:hint="default"/>
          <w:spacing w:val="-1"/>
        </w:rPr>
        <w:t>675,518,365.42</w:t>
      </w:r>
      <w:r>
        <w:rPr>
          <w:spacing w:val="-1"/>
        </w:rPr>
        <w:t>元（含税），剩余未分配利润</w:t>
      </w:r>
      <w:r>
        <w:rPr>
          <w:rFonts w:ascii="Arial" w:hAnsi="Arial" w:cs="Arial" w:eastAsia="Arial" w:hint="default"/>
          <w:spacing w:val="-1"/>
        </w:rPr>
        <w:t>129,747,487.46</w:t>
      </w:r>
      <w:r>
        <w:rPr>
          <w:spacing w:val="-1"/>
        </w:rPr>
        <w:t>元</w:t>
      </w:r>
      <w:r>
        <w:rPr>
          <w:spacing w:val="-56"/>
        </w:rPr>
        <w:t> </w:t>
      </w:r>
      <w:r>
        <w:rPr/>
        <w:t>结转以后年度，</w:t>
      </w:r>
      <w:r>
        <w:rPr>
          <w:rFonts w:ascii="Arial" w:hAnsi="Arial" w:cs="Arial" w:eastAsia="Arial" w:hint="default"/>
        </w:rPr>
        <w:t>2019</w:t>
      </w:r>
      <w:r>
        <w:rPr/>
        <w:t>年度不进行资本公积金转增股本。</w:t>
      </w:r>
    </w:p>
    <w:p>
      <w:pPr>
        <w:pStyle w:val="BodyText"/>
        <w:spacing w:line="240" w:lineRule="auto" w:before="3"/>
        <w:ind w:left="558" w:right="0"/>
        <w:jc w:val="left"/>
      </w:pPr>
      <w:r>
        <w:rPr/>
        <w:t>上述利润分配预案待公司</w:t>
      </w:r>
      <w:r>
        <w:rPr>
          <w:rFonts w:ascii="Arial" w:hAnsi="Arial" w:cs="Arial" w:eastAsia="Arial" w:hint="default"/>
        </w:rPr>
        <w:t>2019</w:t>
      </w:r>
      <w:r>
        <w:rPr/>
        <w:t>年年度股东大会批准后实施。</w:t>
      </w:r>
    </w:p>
    <w:p>
      <w:pPr>
        <w:pStyle w:val="BodyText"/>
        <w:spacing w:line="240" w:lineRule="auto" w:before="29"/>
        <w:ind w:left="138" w:right="0"/>
        <w:jc w:val="left"/>
        <w:rPr>
          <w:rFonts w:ascii="宋体" w:hAnsi="宋体" w:cs="宋体" w:eastAsia="宋体" w:hint="default"/>
        </w:rPr>
      </w:pPr>
      <w:r>
        <w:rPr>
          <w:rFonts w:ascii="宋体"/>
          <w:w w:val="100"/>
        </w:rPr>
        <w:t> </w:t>
      </w:r>
    </w:p>
    <w:p>
      <w:pPr>
        <w:pStyle w:val="Heading2"/>
        <w:spacing w:line="240" w:lineRule="auto" w:before="1"/>
        <w:ind w:left="138" w:right="0"/>
        <w:jc w:val="left"/>
        <w:rPr>
          <w:b w:val="0"/>
          <w:bCs w:val="0"/>
        </w:rPr>
      </w:pPr>
      <w:r>
        <w:rPr/>
        <w:t>六、</w:t>
      </w:r>
      <w:r>
        <w:rPr>
          <w:spacing w:val="-24"/>
        </w:rPr>
        <w:t> </w:t>
      </w:r>
      <w:r>
        <w:rPr>
          <w:rFonts w:ascii="宋体" w:hAnsi="宋体" w:cs="宋体" w:eastAsia="宋体" w:hint="default"/>
          <w:spacing w:val="-24"/>
        </w:rPr>
      </w:r>
      <w:r>
        <w:rPr/>
        <w:t>前瞻性陈述的风险声明</w:t>
      </w:r>
      <w:r>
        <w:rPr>
          <w:b w:val="0"/>
          <w:bCs w:val="0"/>
        </w:rPr>
      </w:r>
    </w:p>
    <w:p>
      <w:pPr>
        <w:pStyle w:val="BodyText"/>
        <w:spacing w:line="276" w:lineRule="auto" w:before="133"/>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本报告中所涉及的未来计划、发展战略、生产经营、核心竞争力分析等前瞻性描述不构成公</w:t>
      </w:r>
    </w:p>
    <w:p>
      <w:pPr>
        <w:pStyle w:val="BodyText"/>
        <w:spacing w:line="240" w:lineRule="auto" w:before="15"/>
        <w:ind w:left="138" w:right="0"/>
        <w:jc w:val="left"/>
        <w:rPr>
          <w:rFonts w:ascii="宋体" w:hAnsi="宋体" w:cs="宋体" w:eastAsia="宋体" w:hint="default"/>
        </w:rPr>
      </w:pPr>
      <w:r>
        <w:rPr/>
        <w:t>司对投资者的实质承诺，敬请投资者注意投资风险。</w:t>
      </w:r>
      <w:r>
        <w:rPr>
          <w:rFonts w:ascii="宋体" w:hAnsi="宋体" w:cs="宋体" w:eastAsia="宋体" w:hint="default"/>
        </w:rPr>
        <w:t> </w:t>
      </w:r>
    </w:p>
    <w:p>
      <w:pPr>
        <w:pStyle w:val="BodyText"/>
        <w:spacing w:line="274" w:lineRule="exact" w:before="44"/>
        <w:ind w:left="138" w:right="0"/>
        <w:jc w:val="left"/>
        <w:rPr>
          <w:rFonts w:ascii="宋体" w:hAnsi="宋体" w:cs="宋体" w:eastAsia="宋体" w:hint="default"/>
        </w:rPr>
      </w:pPr>
      <w:r>
        <w:rPr>
          <w:rFonts w:ascii="宋体"/>
          <w:w w:val="100"/>
        </w:rPr>
        <w:t> </w:t>
      </w:r>
    </w:p>
    <w:p>
      <w:pPr>
        <w:pStyle w:val="Heading2"/>
        <w:spacing w:line="424" w:lineRule="auto" w:before="0"/>
        <w:ind w:left="138" w:right="3457"/>
        <w:jc w:val="left"/>
        <w:rPr>
          <w:rFonts w:ascii="宋体" w:hAnsi="宋体" w:cs="宋体" w:eastAsia="宋体" w:hint="default"/>
          <w:b w:val="0"/>
          <w:bCs w:val="0"/>
        </w:rPr>
      </w:pPr>
      <w:r>
        <w:rPr/>
        <w:t>七、</w:t>
      </w:r>
      <w:r>
        <w:rPr>
          <w:spacing w:val="-96"/>
        </w:rPr>
        <w:t> </w:t>
      </w:r>
      <w:r>
        <w:rPr>
          <w:rFonts w:ascii="宋体" w:hAnsi="宋体" w:cs="宋体" w:eastAsia="宋体" w:hint="default"/>
          <w:spacing w:val="-96"/>
        </w:rPr>
      </w:r>
      <w:r>
        <w:rPr/>
        <w:t>是否存在被控股股东及其关联方非经营性占用资金情况</w:t>
      </w:r>
      <w:r>
        <w:rPr>
          <w:w w:val="100"/>
        </w:rPr>
        <w:t> </w:t>
      </w:r>
      <w:r>
        <w:rPr>
          <w:rFonts w:ascii="宋体" w:hAnsi="宋体" w:cs="宋体" w:eastAsia="宋体" w:hint="default"/>
          <w:b w:val="0"/>
          <w:bCs w:val="0"/>
        </w:rPr>
        <w:t>否</w:t>
      </w:r>
    </w:p>
    <w:p>
      <w:pPr>
        <w:pStyle w:val="Heading2"/>
        <w:spacing w:line="400" w:lineRule="atLeast" w:before="81"/>
        <w:ind w:left="138" w:right="3605"/>
        <w:jc w:val="left"/>
        <w:rPr>
          <w:rFonts w:ascii="宋体" w:hAnsi="宋体" w:cs="宋体" w:eastAsia="宋体" w:hint="default"/>
          <w:b w:val="0"/>
          <w:bCs w:val="0"/>
        </w:rPr>
      </w:pPr>
      <w:r>
        <w:rPr/>
        <w:t>八、</w:t>
      </w:r>
      <w:r>
        <w:rPr>
          <w:spacing w:val="7"/>
        </w:rPr>
        <w:t> </w:t>
      </w:r>
      <w:r>
        <w:rPr>
          <w:rFonts w:ascii="宋体" w:hAnsi="宋体" w:cs="宋体" w:eastAsia="宋体" w:hint="default"/>
          <w:spacing w:val="7"/>
        </w:rPr>
      </w:r>
      <w:r>
        <w:rPr/>
        <w:t>是否存在违反规定决策程序对外提供担保的情况？</w:t>
      </w:r>
      <w:r>
        <w:rPr>
          <w:w w:val="100"/>
        </w:rPr>
        <w:t> </w:t>
      </w:r>
      <w:r>
        <w:rPr>
          <w:rFonts w:ascii="宋体" w:hAnsi="宋体" w:cs="宋体" w:eastAsia="宋体" w:hint="default"/>
          <w:b w:val="0"/>
          <w:bCs w:val="0"/>
        </w:rPr>
        <w:t>否</w:t>
      </w:r>
      <w:r>
        <w:rPr>
          <w:rFonts w:ascii="宋体" w:hAnsi="宋体" w:cs="宋体" w:eastAsia="宋体" w:hint="default"/>
          <w:b w:val="0"/>
          <w:bCs w:val="0"/>
        </w:rPr>
        <w:t> </w:t>
      </w:r>
    </w:p>
    <w:p>
      <w:pPr>
        <w:pStyle w:val="BodyText"/>
        <w:spacing w:line="271" w:lineRule="exact"/>
        <w:ind w:left="138" w:right="0"/>
        <w:jc w:val="left"/>
        <w:rPr>
          <w:rFonts w:ascii="宋体" w:hAnsi="宋体" w:cs="宋体" w:eastAsia="宋体" w:hint="default"/>
        </w:rPr>
      </w:pPr>
      <w:r>
        <w:rPr>
          <w:rFonts w:ascii="宋体"/>
          <w:w w:val="100"/>
        </w:rPr>
        <w:t> </w:t>
      </w:r>
    </w:p>
    <w:p>
      <w:pPr>
        <w:pStyle w:val="Heading2"/>
        <w:spacing w:line="274" w:lineRule="exact" w:before="0"/>
        <w:ind w:left="138" w:right="0"/>
        <w:jc w:val="left"/>
        <w:rPr>
          <w:b w:val="0"/>
          <w:bCs w:val="0"/>
        </w:rPr>
      </w:pPr>
      <w:r>
        <w:rPr/>
        <w:t>九、 </w:t>
      </w:r>
      <w:r>
        <w:rPr>
          <w:spacing w:val="10"/>
        </w:rPr>
        <w:t> </w:t>
      </w:r>
      <w:r>
        <w:rPr>
          <w:rFonts w:ascii="宋体" w:hAnsi="宋体" w:cs="宋体" w:eastAsia="宋体" w:hint="default"/>
          <w:spacing w:val="10"/>
        </w:rPr>
      </w:r>
      <w:r>
        <w:rPr/>
        <w:t>重大风险提示</w:t>
      </w:r>
      <w:r>
        <w:rPr>
          <w:b w:val="0"/>
          <w:bCs w:val="0"/>
        </w:rPr>
      </w:r>
    </w:p>
    <w:p>
      <w:pPr>
        <w:pStyle w:val="BodyText"/>
        <w:spacing w:line="273" w:lineRule="exact" w:before="133"/>
        <w:ind w:left="13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t>报告期内，不存在对公司生产经营产生实质性影响的重大风险。</w:t>
      </w:r>
      <w:r>
        <w:rPr>
          <w:rFonts w:ascii="宋体" w:hAnsi="宋体" w:cs="宋体" w:eastAsia="宋体" w:hint="default"/>
        </w:rPr>
        <w:t> </w:t>
      </w:r>
    </w:p>
    <w:p>
      <w:pPr>
        <w:pStyle w:val="BodyText"/>
        <w:spacing w:line="269" w:lineRule="exact"/>
        <w:ind w:left="138" w:right="0"/>
        <w:jc w:val="left"/>
        <w:rPr>
          <w:rFonts w:ascii="宋体" w:hAnsi="宋体" w:cs="宋体" w:eastAsia="宋体" w:hint="default"/>
        </w:rPr>
      </w:pPr>
      <w:r>
        <w:rPr>
          <w:rFonts w:ascii="宋体"/>
          <w:w w:val="100"/>
        </w:rPr>
        <w:t> </w:t>
      </w:r>
    </w:p>
    <w:p>
      <w:pPr>
        <w:spacing w:line="310" w:lineRule="exact"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pacing w:val="61"/>
          <w:sz w:val="21"/>
          <w:szCs w:val="21"/>
        </w:rPr>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74" w:lineRule="exact" w:before="15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tabs>
          <w:tab w:pos="3018" w:val="left" w:leader="none"/>
        </w:tabs>
        <w:spacing w:line="273" w:lineRule="exact"/>
        <w:ind w:left="13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1910" w:h="16840"/>
          <w:pgMar w:header="825" w:footer="1195" w:top="1360" w:bottom="1380" w:left="1660" w:right="1140"/>
        </w:sectPr>
      </w:pPr>
    </w:p>
    <w:p>
      <w:pPr>
        <w:spacing w:before="107"/>
        <w:ind w:left="143"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b/>
          <w:bCs/>
          <w:w w:val="99"/>
          <w:sz w:val="28"/>
          <w:szCs w:val="28"/>
        </w:rPr>
        <w:t> </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tab/>
              <w:t>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tab/>
              <w:t>公司业务概要</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bookmark3">
            <w:r>
              <w:rPr/>
              <w:t>第四节</w:t>
              <w:tab/>
              <w:t>经营情况讨论与分析</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tab/>
              <w:t>重要事项</w:t>
            </w:r>
            <w:r>
              <w:rPr>
                <w:rFonts w:ascii="Times New Roman" w:hAnsi="Times New Roman" w:cs="Times New Roman" w:eastAsia="Times New Roman" w:hint="default"/>
              </w:rPr>
              <w:tab/>
              <w:t>22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tab/>
              <w:t>普通股股份变动及股东情况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tab/>
              <w:t>优先股相关情况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20"/>
            <w:ind w:right="0"/>
            <w:jc w:val="left"/>
            <w:rPr>
              <w:rFonts w:ascii="Times New Roman" w:hAnsi="Times New Roman" w:cs="Times New Roman" w:eastAsia="Times New Roman" w:hint="default"/>
              <w:b w:val="0"/>
              <w:bCs w:val="0"/>
            </w:rPr>
          </w:pPr>
          <w:hyperlink w:history="true" w:anchor="_bookmark7">
            <w:r>
              <w:rPr/>
              <w:t>第八节</w:t>
              <w:tab/>
              <w:t>董事、监事、高级管理人员和员工情况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tab/>
              <w:t>公司治理</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tab/>
              <w:t>公司债券相关情况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tab/>
              <w:t>财务报告</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tab/>
              <w:t>备查文件目录</w:t>
            </w:r>
            <w:r>
              <w:rPr>
                <w:rFonts w:ascii="Times New Roman" w:hAnsi="Times New Roman" w:cs="Times New Roman" w:eastAsia="Times New Roman" w:hint="default"/>
              </w:rPr>
              <w:tab/>
              <w:t>173</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25" w:footer="1195" w:top="1360" w:bottom="1380" w:left="1660" w:right="1140"/>
        </w:sectPr>
      </w:pPr>
    </w:p>
    <w:p>
      <w:pPr>
        <w:pStyle w:val="Heading1"/>
        <w:tabs>
          <w:tab w:pos="1260" w:val="left" w:leader="none"/>
        </w:tabs>
        <w:spacing w:line="240" w:lineRule="auto" w:before="165"/>
        <w:ind w:left="0" w:right="17"/>
        <w:jc w:val="center"/>
        <w:rPr>
          <w:b w:val="0"/>
          <w:bCs w:val="0"/>
        </w:rPr>
      </w:pPr>
      <w:bookmarkStart w:name="_bookmark0" w:id="1"/>
      <w:bookmarkEnd w:id="1"/>
      <w:r>
        <w:rPr>
          <w:b w:val="0"/>
          <w:bCs w:val="0"/>
        </w:rPr>
      </w:r>
      <w:r>
        <w:rPr>
          <w:w w:val="95"/>
        </w:rPr>
        <w:t>第一节</w:t>
      </w:r>
      <w:r>
        <w:rPr>
          <w:rFonts w:ascii="宋体" w:hAnsi="宋体" w:cs="宋体" w:eastAsia="宋体" w:hint="default"/>
          <w:w w:val="95"/>
        </w:rPr>
        <w:tab/>
      </w:r>
      <w:r>
        <w:rPr/>
        <w:t>释义</w:t>
      </w:r>
      <w:r>
        <w:rPr>
          <w:b w:val="0"/>
          <w:bCs w:val="0"/>
        </w:rPr>
      </w:r>
    </w:p>
    <w:p>
      <w:pPr>
        <w:pStyle w:val="BodyText"/>
        <w:spacing w:line="307" w:lineRule="auto" w:before="253"/>
        <w:ind w:left="218" w:right="2410"/>
        <w:jc w:val="left"/>
        <w:rPr>
          <w:rFonts w:ascii="宋体" w:hAnsi="宋体" w:cs="宋体" w:eastAsia="宋体" w:hint="default"/>
        </w:rPr>
      </w:pPr>
      <w:r>
        <w:rPr/>
        <w:pict>
          <v:group style="position:absolute;margin-left:84.023994pt;margin-top:44.593685pt;width:453.45pt;height:2.9pt;mso-position-horizontal-relative:page;mso-position-vertical-relative:paragraph;z-index:-945424" coordorigin="1680,892" coordsize="9069,58">
            <v:group style="position:absolute;left:1690;top:901;width:9050;height:2" coordorigin="1690,901" coordsize="9050,2">
              <v:shape style="position:absolute;left:1690;top:901;width:9050;height:2" coordorigin="1690,901" coordsize="9050,0" path="m1690,901l10739,901e" filled="false" stroked="true" strokeweight=".96001pt" strokecolor="#41b7ee">
                <v:path arrowok="t"/>
              </v:shape>
            </v:group>
            <v:group style="position:absolute;left:1690;top:940;width:9050;height:2" coordorigin="1690,940" coordsize="9050,2">
              <v:shape style="position:absolute;left:1690;top:940;width:9050;height:2" coordorigin="1690,940" coordsize="9050,0" path="m1690,940l10739,940e" filled="false" stroked="true" strokeweight=".95999pt" strokecolor="#41b7ee">
                <v:path arrowok="t"/>
              </v:shape>
            </v:group>
            <w10:wrap type="none"/>
          </v:group>
        </w:pict>
      </w:r>
      <w:r>
        <w:rPr>
          <w:rFonts w:ascii="宋体" w:hAnsi="宋体" w:cs="宋体" w:eastAsia="宋体" w:hint="default"/>
          <w:b/>
          <w:bCs/>
        </w:rPr>
        <w:t>一、</w:t>
      </w:r>
      <w:r>
        <w:rPr>
          <w:rFonts w:ascii="宋体" w:hAnsi="宋体" w:cs="宋体" w:eastAsia="宋体" w:hint="default"/>
          <w:b/>
          <w:bCs/>
          <w:spacing w:val="59"/>
        </w:rPr>
        <w:t> </w:t>
      </w:r>
      <w:r>
        <w:rPr>
          <w:rFonts w:ascii="宋体" w:hAnsi="宋体" w:cs="宋体" w:eastAsia="宋体" w:hint="default"/>
          <w:b/>
          <w:bCs/>
          <w:spacing w:val="59"/>
        </w:rPr>
      </w:r>
      <w:r>
        <w:rPr>
          <w:rFonts w:ascii="宋体" w:hAnsi="宋体" w:cs="宋体" w:eastAsia="宋体" w:hint="default"/>
          <w:b/>
          <w:bCs/>
        </w:rPr>
        <w:t>释义</w:t>
      </w:r>
      <w:r>
        <w:rPr>
          <w:rFonts w:ascii="宋体" w:hAnsi="宋体" w:cs="宋体" w:eastAsia="宋体" w:hint="default"/>
          <w:b/>
          <w:bCs/>
          <w:w w:val="100"/>
        </w:rPr>
        <w:t> </w:t>
      </w:r>
      <w:r>
        <w:rPr/>
        <w:t>在本报告书中，除非文义另有所指，下列词语具有如下含义：</w:t>
      </w:r>
      <w:r>
        <w:rPr>
          <w:rFonts w:ascii="宋体" w:hAnsi="宋体" w:cs="宋体" w:eastAsia="宋体" w:hint="default"/>
          <w:w w:val="100"/>
        </w:rPr>
        <w:t> </w:t>
      </w:r>
      <w:r>
        <w:rPr/>
        <w:t>常用词语释义</w:t>
      </w:r>
      <w:r>
        <w:rPr>
          <w:rFonts w:ascii="宋体" w:hAnsi="宋体" w:cs="宋体" w:eastAsia="宋体" w:hint="default"/>
        </w:rPr>
        <w:t> </w:t>
      </w:r>
    </w:p>
    <w:tbl>
      <w:tblPr>
        <w:tblW w:w="0" w:type="auto"/>
        <w:jc w:val="left"/>
        <w:tblInd w:w="110" w:type="dxa"/>
        <w:tblLayout w:type="fixed"/>
        <w:tblCellMar>
          <w:top w:w="0" w:type="dxa"/>
          <w:left w:w="0" w:type="dxa"/>
          <w:bottom w:w="0" w:type="dxa"/>
          <w:right w:w="0" w:type="dxa"/>
        </w:tblCellMar>
        <w:tblLook w:val="01E0"/>
      </w:tblPr>
      <w:tblGrid>
        <w:gridCol w:w="3653"/>
        <w:gridCol w:w="850"/>
        <w:gridCol w:w="4547"/>
      </w:tblGrid>
      <w:tr>
        <w:trPr>
          <w:trHeight w:val="358" w:hRule="exact"/>
        </w:trPr>
        <w:tc>
          <w:tcPr>
            <w:tcW w:w="365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公司、本公司、北大荒股份公司</w:t>
            </w:r>
            <w:r>
              <w:rPr>
                <w:rFonts w:ascii="宋体" w:hAnsi="宋体" w:cs="宋体" w:eastAsia="宋体" w:hint="default"/>
                <w:sz w:val="21"/>
                <w:szCs w:val="21"/>
              </w:rPr>
              <w:t> </w:t>
            </w:r>
          </w:p>
        </w:tc>
        <w:tc>
          <w:tcPr>
            <w:tcW w:w="85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54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黑龙江北大荒农业股份有限公司</w:t>
            </w:r>
          </w:p>
        </w:tc>
      </w:tr>
      <w:tr>
        <w:trPr>
          <w:trHeight w:val="355" w:hRule="exact"/>
        </w:trPr>
        <w:tc>
          <w:tcPr>
            <w:tcW w:w="365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中国证监会、证监会</w:t>
            </w:r>
            <w:r>
              <w:rPr>
                <w:rFonts w:ascii="宋体" w:hAnsi="宋体" w:cs="宋体" w:eastAsia="宋体" w:hint="default"/>
                <w:sz w:val="21"/>
                <w:szCs w:val="21"/>
              </w:rPr>
              <w:t> </w:t>
            </w:r>
          </w:p>
        </w:tc>
        <w:tc>
          <w:tcPr>
            <w:tcW w:w="85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54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358" w:hRule="exact"/>
        </w:trPr>
        <w:tc>
          <w:tcPr>
            <w:tcW w:w="365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农垦集团、集团总公司</w:t>
            </w:r>
            <w:r>
              <w:rPr>
                <w:rFonts w:ascii="宋体" w:hAnsi="宋体" w:cs="宋体" w:eastAsia="宋体" w:hint="default"/>
                <w:sz w:val="21"/>
                <w:szCs w:val="21"/>
              </w:rPr>
              <w:t> </w:t>
            </w:r>
          </w:p>
        </w:tc>
        <w:tc>
          <w:tcPr>
            <w:tcW w:w="85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54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p>
        </w:tc>
      </w:tr>
      <w:tr>
        <w:trPr>
          <w:trHeight w:val="358" w:hRule="exact"/>
        </w:trPr>
        <w:tc>
          <w:tcPr>
            <w:tcW w:w="365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北大荒麦芽公司、麦芽公司</w:t>
            </w:r>
            <w:r>
              <w:rPr>
                <w:rFonts w:ascii="宋体" w:hAnsi="宋体" w:cs="宋体" w:eastAsia="宋体" w:hint="default"/>
                <w:sz w:val="21"/>
                <w:szCs w:val="21"/>
              </w:rPr>
              <w:t> </w:t>
            </w:r>
          </w:p>
        </w:tc>
        <w:tc>
          <w:tcPr>
            <w:tcW w:w="85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54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北大荒龙垦麦芽有限公司</w:t>
            </w:r>
          </w:p>
        </w:tc>
      </w:tr>
      <w:tr>
        <w:trPr>
          <w:trHeight w:val="358" w:hRule="exact"/>
        </w:trPr>
        <w:tc>
          <w:tcPr>
            <w:tcW w:w="365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北大荒鑫都公司、鑫都公司</w:t>
            </w:r>
            <w:r>
              <w:rPr>
                <w:rFonts w:ascii="宋体" w:hAnsi="宋体" w:cs="宋体" w:eastAsia="宋体" w:hint="default"/>
                <w:sz w:val="21"/>
                <w:szCs w:val="21"/>
              </w:rPr>
              <w:t> </w:t>
            </w:r>
          </w:p>
        </w:tc>
        <w:tc>
          <w:tcPr>
            <w:tcW w:w="85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54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北大荒鑫都房地产开发有限公司</w:t>
            </w:r>
          </w:p>
        </w:tc>
      </w:tr>
      <w:tr>
        <w:trPr>
          <w:trHeight w:val="356" w:hRule="exact"/>
        </w:trPr>
        <w:tc>
          <w:tcPr>
            <w:tcW w:w="365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北大荒纸业公司、纸业公司</w:t>
            </w:r>
            <w:r>
              <w:rPr>
                <w:rFonts w:ascii="宋体" w:hAnsi="宋体" w:cs="宋体" w:eastAsia="宋体" w:hint="default"/>
                <w:sz w:val="21"/>
                <w:szCs w:val="21"/>
              </w:rPr>
              <w:t> </w:t>
            </w:r>
          </w:p>
        </w:tc>
        <w:tc>
          <w:tcPr>
            <w:tcW w:w="85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54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黑龙江北大荒纸业有限责任公司</w:t>
            </w:r>
          </w:p>
        </w:tc>
      </w:tr>
      <w:tr>
        <w:trPr>
          <w:trHeight w:val="358" w:hRule="exact"/>
        </w:trPr>
        <w:tc>
          <w:tcPr>
            <w:tcW w:w="365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北大荒鑫亚公司、鑫亚公司</w:t>
            </w:r>
            <w:r>
              <w:rPr>
                <w:rFonts w:ascii="宋体" w:hAnsi="宋体" w:cs="宋体" w:eastAsia="宋体" w:hint="default"/>
                <w:sz w:val="21"/>
                <w:szCs w:val="21"/>
              </w:rPr>
              <w:t> </w:t>
            </w:r>
          </w:p>
        </w:tc>
        <w:tc>
          <w:tcPr>
            <w:tcW w:w="85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54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北大荒鑫亚经贸有限责任公司</w:t>
            </w:r>
          </w:p>
        </w:tc>
      </w:tr>
      <w:tr>
        <w:trPr>
          <w:trHeight w:val="358" w:hRule="exact"/>
        </w:trPr>
        <w:tc>
          <w:tcPr>
            <w:tcW w:w="365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四方山石墨公司、石墨公司</w:t>
            </w:r>
            <w:r>
              <w:rPr>
                <w:rFonts w:ascii="宋体" w:hAnsi="宋体" w:cs="宋体" w:eastAsia="宋体" w:hint="default"/>
                <w:sz w:val="21"/>
                <w:szCs w:val="21"/>
              </w:rPr>
              <w:t> </w:t>
            </w:r>
          </w:p>
        </w:tc>
        <w:tc>
          <w:tcPr>
            <w:tcW w:w="85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54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黑龙江省宝泉岭农垦四方山石墨产业有限公司</w:t>
            </w:r>
          </w:p>
        </w:tc>
      </w:tr>
      <w:tr>
        <w:trPr>
          <w:trHeight w:val="358" w:hRule="exact"/>
        </w:trPr>
        <w:tc>
          <w:tcPr>
            <w:tcW w:w="365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北大荒投资管理公司、投资管理公司</w:t>
            </w:r>
            <w:r>
              <w:rPr>
                <w:rFonts w:ascii="宋体" w:hAnsi="宋体" w:cs="宋体" w:eastAsia="宋体" w:hint="default"/>
                <w:sz w:val="21"/>
                <w:szCs w:val="21"/>
              </w:rPr>
              <w:t> </w:t>
            </w:r>
          </w:p>
        </w:tc>
        <w:tc>
          <w:tcPr>
            <w:tcW w:w="85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54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黑龙江北大荒投资管理有限公司</w:t>
            </w:r>
          </w:p>
        </w:tc>
      </w:tr>
      <w:tr>
        <w:trPr>
          <w:trHeight w:val="355" w:hRule="exact"/>
        </w:trPr>
        <w:tc>
          <w:tcPr>
            <w:tcW w:w="365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浩化公司</w:t>
            </w:r>
            <w:r>
              <w:rPr>
                <w:rFonts w:ascii="宋体" w:hAnsi="宋体" w:cs="宋体" w:eastAsia="宋体" w:hint="default"/>
                <w:sz w:val="21"/>
                <w:szCs w:val="21"/>
              </w:rPr>
              <w:t> </w:t>
            </w:r>
          </w:p>
        </w:tc>
        <w:tc>
          <w:tcPr>
            <w:tcW w:w="85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54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黑龙江北大荒浩良河化肥有限公司</w:t>
            </w:r>
          </w:p>
        </w:tc>
      </w:tr>
      <w:tr>
        <w:trPr>
          <w:trHeight w:val="358" w:hRule="exact"/>
        </w:trPr>
        <w:tc>
          <w:tcPr>
            <w:tcW w:w="365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z w:val="21"/>
                <w:szCs w:val="21"/>
              </w:rPr>
              <w:t> </w:t>
            </w:r>
          </w:p>
        </w:tc>
        <w:tc>
          <w:tcPr>
            <w:tcW w:w="85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54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Arial" w:hAnsi="Arial" w:cs="Arial" w:eastAsia="Arial" w:hint="default"/>
                <w:sz w:val="21"/>
                <w:szCs w:val="21"/>
              </w:rPr>
              <w:t>2019</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6"/>
                <w:sz w:val="21"/>
                <w:szCs w:val="21"/>
              </w:rPr>
              <w:t> </w:t>
            </w:r>
            <w:r>
              <w:rPr>
                <w:rFonts w:ascii="宋体" w:hAnsi="宋体" w:cs="宋体" w:eastAsia="宋体" w:hint="default"/>
                <w:sz w:val="21"/>
                <w:szCs w:val="21"/>
              </w:rPr>
              <w:t>日</w:t>
            </w:r>
          </w:p>
        </w:tc>
      </w:tr>
      <w:tr>
        <w:trPr>
          <w:trHeight w:val="384" w:hRule="exact"/>
        </w:trPr>
        <w:tc>
          <w:tcPr>
            <w:tcW w:w="3653"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元、万元、亿元</w:t>
            </w:r>
            <w:r>
              <w:rPr>
                <w:rFonts w:ascii="宋体" w:hAnsi="宋体" w:cs="宋体" w:eastAsia="宋体" w:hint="default"/>
                <w:sz w:val="21"/>
                <w:szCs w:val="21"/>
              </w:rPr>
              <w:t> </w:t>
            </w:r>
          </w:p>
        </w:tc>
        <w:tc>
          <w:tcPr>
            <w:tcW w:w="850"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547"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指人民币元、万元、亿元</w:t>
            </w:r>
          </w:p>
        </w:tc>
      </w:tr>
    </w:tbl>
    <w:p>
      <w:pPr>
        <w:spacing w:line="240" w:lineRule="auto" w:before="0"/>
        <w:rPr>
          <w:rFonts w:ascii="宋体" w:hAnsi="宋体" w:cs="宋体" w:eastAsia="宋体" w:hint="default"/>
          <w:sz w:val="28"/>
          <w:szCs w:val="28"/>
        </w:rPr>
      </w:pPr>
    </w:p>
    <w:p>
      <w:pPr>
        <w:pStyle w:val="Heading1"/>
        <w:tabs>
          <w:tab w:pos="3717" w:val="left" w:leader="none"/>
        </w:tabs>
        <w:spacing w:line="240" w:lineRule="auto" w:before="200"/>
        <w:ind w:left="2457" w:right="2410"/>
        <w:jc w:val="left"/>
        <w:rPr>
          <w:b w:val="0"/>
          <w:bCs w:val="0"/>
        </w:rPr>
      </w:pPr>
      <w:bookmarkStart w:name="_bookmark1" w:id="2"/>
      <w:bookmarkEnd w:id="2"/>
      <w:r>
        <w:rPr>
          <w:b w:val="0"/>
          <w:bCs w:val="0"/>
        </w:rPr>
      </w:r>
      <w:r>
        <w:rPr>
          <w:w w:val="95"/>
        </w:rPr>
        <w:t>第二节</w:t>
      </w:r>
      <w:r>
        <w:rPr>
          <w:rFonts w:ascii="宋体" w:hAnsi="宋体" w:cs="宋体" w:eastAsia="宋体" w:hint="default"/>
          <w:w w:val="95"/>
        </w:rPr>
        <w:tab/>
      </w:r>
      <w:r>
        <w:rPr/>
        <w:t>公司简介和主要财务指标</w:t>
      </w:r>
      <w:r>
        <w:rPr>
          <w:b w:val="0"/>
          <w:bCs w:val="0"/>
        </w:rPr>
      </w:r>
    </w:p>
    <w:p>
      <w:pPr>
        <w:spacing w:line="240" w:lineRule="auto" w:before="8"/>
        <w:rPr>
          <w:rFonts w:ascii="黑体" w:hAnsi="黑体" w:cs="黑体" w:eastAsia="黑体" w:hint="default"/>
          <w:b/>
          <w:bCs/>
          <w:sz w:val="16"/>
          <w:szCs w:val="16"/>
        </w:rPr>
      </w:pPr>
    </w:p>
    <w:p>
      <w:pPr>
        <w:pStyle w:val="Heading2"/>
        <w:spacing w:line="240" w:lineRule="auto" w:before="36"/>
        <w:ind w:right="2410"/>
        <w:jc w:val="left"/>
        <w:rPr>
          <w:b w:val="0"/>
          <w:bCs w:val="0"/>
        </w:rPr>
      </w:pPr>
      <w:r>
        <w:rPr/>
        <w:t>一、</w:t>
      </w:r>
      <w:r>
        <w:rPr>
          <w:spacing w:val="38"/>
        </w:rPr>
        <w:t> </w:t>
      </w:r>
      <w:r>
        <w:rPr>
          <w:rFonts w:ascii="宋体" w:hAnsi="宋体" w:cs="宋体" w:eastAsia="宋体" w:hint="default"/>
          <w:spacing w:val="38"/>
        </w:rPr>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58" w:type="dxa"/>
        <w:tblLayout w:type="fixed"/>
        <w:tblCellMar>
          <w:top w:w="0" w:type="dxa"/>
          <w:left w:w="0" w:type="dxa"/>
          <w:bottom w:w="0" w:type="dxa"/>
          <w:right w:w="0" w:type="dxa"/>
        </w:tblCellMar>
        <w:tblLook w:val="01E0"/>
      </w:tblPr>
      <w:tblGrid>
        <w:gridCol w:w="3860"/>
        <w:gridCol w:w="5036"/>
      </w:tblGrid>
      <w:tr>
        <w:trPr>
          <w:trHeight w:val="384" w:hRule="exact"/>
        </w:trPr>
        <w:tc>
          <w:tcPr>
            <w:tcW w:w="3860"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left="31" w:right="0"/>
              <w:jc w:val="left"/>
              <w:rPr>
                <w:rFonts w:ascii="宋体" w:hAnsi="宋体" w:cs="宋体" w:eastAsia="宋体" w:hint="default"/>
                <w:sz w:val="21"/>
                <w:szCs w:val="21"/>
              </w:rPr>
            </w:pPr>
            <w:r>
              <w:rPr>
                <w:rFonts w:ascii="宋体" w:hAnsi="宋体" w:cs="宋体" w:eastAsia="宋体" w:hint="default"/>
                <w:sz w:val="21"/>
                <w:szCs w:val="21"/>
              </w:rPr>
              <w:t>公司的中文名称</w:t>
            </w:r>
            <w:r>
              <w:rPr>
                <w:rFonts w:ascii="宋体" w:hAnsi="宋体" w:cs="宋体" w:eastAsia="宋体" w:hint="default"/>
                <w:sz w:val="21"/>
                <w:szCs w:val="21"/>
              </w:rPr>
              <w:t> </w:t>
            </w:r>
          </w:p>
        </w:tc>
        <w:tc>
          <w:tcPr>
            <w:tcW w:w="5036"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黑龙江北大荒农业股份有限公司</w:t>
            </w:r>
            <w:r>
              <w:rPr>
                <w:rFonts w:ascii="宋体" w:hAnsi="宋体" w:cs="宋体" w:eastAsia="宋体" w:hint="default"/>
                <w:color w:val="FFC000"/>
                <w:sz w:val="21"/>
                <w:szCs w:val="21"/>
              </w:rPr>
              <w:t> </w:t>
            </w:r>
            <w:r>
              <w:rPr>
                <w:rFonts w:ascii="宋体" w:hAnsi="宋体" w:cs="宋体" w:eastAsia="宋体" w:hint="default"/>
                <w:sz w:val="21"/>
                <w:szCs w:val="21"/>
              </w:rPr>
            </w:r>
          </w:p>
        </w:tc>
      </w:tr>
      <w:tr>
        <w:trPr>
          <w:trHeight w:val="358" w:hRule="exact"/>
        </w:trPr>
        <w:tc>
          <w:tcPr>
            <w:tcW w:w="386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公司的中文简称</w:t>
            </w:r>
            <w:r>
              <w:rPr>
                <w:rFonts w:ascii="宋体" w:hAnsi="宋体" w:cs="宋体" w:eastAsia="宋体" w:hint="default"/>
                <w:sz w:val="21"/>
                <w:szCs w:val="21"/>
              </w:rPr>
              <w:t> </w:t>
            </w:r>
          </w:p>
        </w:tc>
        <w:tc>
          <w:tcPr>
            <w:tcW w:w="503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北大荒</w:t>
            </w:r>
            <w:r>
              <w:rPr>
                <w:rFonts w:ascii="宋体" w:hAnsi="宋体" w:cs="宋体" w:eastAsia="宋体" w:hint="default"/>
                <w:sz w:val="21"/>
                <w:szCs w:val="21"/>
              </w:rPr>
              <w:t> </w:t>
            </w:r>
          </w:p>
        </w:tc>
      </w:tr>
      <w:tr>
        <w:trPr>
          <w:trHeight w:val="355" w:hRule="exact"/>
        </w:trPr>
        <w:tc>
          <w:tcPr>
            <w:tcW w:w="386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公司的外文名称</w:t>
            </w:r>
            <w:r>
              <w:rPr>
                <w:rFonts w:ascii="宋体" w:hAnsi="宋体" w:cs="宋体" w:eastAsia="宋体" w:hint="default"/>
                <w:sz w:val="21"/>
                <w:szCs w:val="21"/>
              </w:rPr>
              <w:t> </w:t>
            </w:r>
          </w:p>
        </w:tc>
        <w:tc>
          <w:tcPr>
            <w:tcW w:w="503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left="24" w:right="0"/>
              <w:jc w:val="left"/>
              <w:rPr>
                <w:rFonts w:ascii="Arial" w:hAnsi="Arial" w:cs="Arial" w:eastAsia="Arial" w:hint="default"/>
                <w:sz w:val="21"/>
                <w:szCs w:val="21"/>
              </w:rPr>
            </w:pPr>
            <w:r>
              <w:rPr>
                <w:rFonts w:ascii="Arial"/>
                <w:sz w:val="21"/>
              </w:rPr>
              <w:t>Heilongjiang Agriculture Company</w:t>
            </w:r>
            <w:r>
              <w:rPr>
                <w:rFonts w:ascii="Arial"/>
                <w:spacing w:val="-12"/>
                <w:sz w:val="21"/>
              </w:rPr>
              <w:t> </w:t>
            </w:r>
            <w:r>
              <w:rPr>
                <w:rFonts w:ascii="Arial"/>
                <w:sz w:val="21"/>
              </w:rPr>
              <w:t>Limited</w:t>
            </w:r>
          </w:p>
        </w:tc>
      </w:tr>
      <w:tr>
        <w:trPr>
          <w:trHeight w:val="358" w:hRule="exact"/>
        </w:trPr>
        <w:tc>
          <w:tcPr>
            <w:tcW w:w="386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r>
              <w:rPr>
                <w:rFonts w:ascii="宋体" w:hAnsi="宋体" w:cs="宋体" w:eastAsia="宋体" w:hint="default"/>
                <w:sz w:val="21"/>
                <w:szCs w:val="21"/>
              </w:rPr>
              <w:t> </w:t>
            </w:r>
          </w:p>
        </w:tc>
        <w:tc>
          <w:tcPr>
            <w:tcW w:w="503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left="24" w:right="0"/>
              <w:jc w:val="left"/>
              <w:rPr>
                <w:rFonts w:ascii="Arial" w:hAnsi="Arial" w:cs="Arial" w:eastAsia="Arial" w:hint="default"/>
                <w:sz w:val="21"/>
                <w:szCs w:val="21"/>
              </w:rPr>
            </w:pPr>
            <w:r>
              <w:rPr>
                <w:rFonts w:ascii="Arial"/>
                <w:sz w:val="21"/>
              </w:rPr>
              <w:t>HACL</w:t>
            </w:r>
          </w:p>
        </w:tc>
      </w:tr>
      <w:tr>
        <w:trPr>
          <w:trHeight w:val="384" w:hRule="exact"/>
        </w:trPr>
        <w:tc>
          <w:tcPr>
            <w:tcW w:w="3860"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公司的法定代表人</w:t>
            </w:r>
            <w:r>
              <w:rPr>
                <w:rFonts w:ascii="宋体" w:hAnsi="宋体" w:cs="宋体" w:eastAsia="宋体" w:hint="default"/>
                <w:sz w:val="21"/>
                <w:szCs w:val="21"/>
              </w:rPr>
              <w:t> </w:t>
            </w:r>
          </w:p>
        </w:tc>
        <w:tc>
          <w:tcPr>
            <w:tcW w:w="5036"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刘长友</w:t>
            </w:r>
            <w:r>
              <w:rPr>
                <w:rFonts w:ascii="宋体" w:hAnsi="宋体" w:cs="宋体" w:eastAsia="宋体" w:hint="default"/>
                <w:sz w:val="21"/>
                <w:szCs w:val="21"/>
              </w:rPr>
              <w:t> </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2"/>
        <w:spacing w:line="240" w:lineRule="auto" w:before="58"/>
        <w:ind w:right="2410"/>
        <w:jc w:val="left"/>
        <w:rPr>
          <w:b w:val="0"/>
          <w:bCs w:val="0"/>
        </w:rPr>
      </w:pPr>
      <w:r>
        <w:rPr/>
        <w:t>二、</w:t>
      </w:r>
      <w:r>
        <w:rPr>
          <w:spacing w:val="40"/>
        </w:rPr>
        <w:t> </w:t>
      </w:r>
      <w:r>
        <w:rPr>
          <w:rFonts w:ascii="宋体" w:hAnsi="宋体" w:cs="宋体" w:eastAsia="宋体" w:hint="default"/>
          <w:spacing w:val="40"/>
        </w:rPr>
      </w:r>
      <w:r>
        <w:rPr/>
        <w:t>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158" w:type="dxa"/>
        <w:tblLayout w:type="fixed"/>
        <w:tblCellMar>
          <w:top w:w="0" w:type="dxa"/>
          <w:left w:w="0" w:type="dxa"/>
          <w:bottom w:w="0" w:type="dxa"/>
          <w:right w:w="0" w:type="dxa"/>
        </w:tblCellMar>
        <w:tblLook w:val="01E0"/>
      </w:tblPr>
      <w:tblGrid>
        <w:gridCol w:w="2427"/>
        <w:gridCol w:w="3504"/>
        <w:gridCol w:w="2964"/>
      </w:tblGrid>
      <w:tr>
        <w:trPr>
          <w:trHeight w:val="385" w:hRule="exact"/>
        </w:trPr>
        <w:tc>
          <w:tcPr>
            <w:tcW w:w="2427"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left="31" w:right="0"/>
              <w:jc w:val="left"/>
              <w:rPr>
                <w:rFonts w:ascii="宋体" w:hAnsi="宋体" w:cs="宋体" w:eastAsia="宋体" w:hint="default"/>
                <w:sz w:val="21"/>
                <w:szCs w:val="21"/>
              </w:rPr>
            </w:pPr>
            <w:r>
              <w:rPr>
                <w:rFonts w:ascii="宋体"/>
                <w:w w:val="100"/>
                <w:sz w:val="21"/>
              </w:rPr>
              <w:t> </w:t>
            </w:r>
          </w:p>
        </w:tc>
        <w:tc>
          <w:tcPr>
            <w:tcW w:w="3504"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left="1219" w:right="0"/>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2964"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r>
              <w:rPr>
                <w:rFonts w:ascii="宋体" w:hAnsi="宋体" w:cs="宋体" w:eastAsia="宋体" w:hint="default"/>
                <w:sz w:val="21"/>
                <w:szCs w:val="21"/>
              </w:rPr>
              <w:t> </w:t>
            </w:r>
          </w:p>
        </w:tc>
      </w:tr>
      <w:tr>
        <w:trPr>
          <w:trHeight w:val="358" w:hRule="exact"/>
        </w:trPr>
        <w:tc>
          <w:tcPr>
            <w:tcW w:w="242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5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高建国</w:t>
            </w:r>
          </w:p>
        </w:tc>
        <w:tc>
          <w:tcPr>
            <w:tcW w:w="296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赵义军</w:t>
            </w:r>
          </w:p>
        </w:tc>
      </w:tr>
      <w:tr>
        <w:trPr>
          <w:trHeight w:val="355" w:hRule="exact"/>
        </w:trPr>
        <w:tc>
          <w:tcPr>
            <w:tcW w:w="242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联系地址</w:t>
            </w:r>
            <w:r>
              <w:rPr>
                <w:rFonts w:ascii="宋体" w:hAnsi="宋体" w:cs="宋体" w:eastAsia="宋体" w:hint="default"/>
                <w:sz w:val="21"/>
                <w:szCs w:val="21"/>
              </w:rPr>
              <w:t> </w:t>
            </w:r>
          </w:p>
        </w:tc>
        <w:tc>
          <w:tcPr>
            <w:tcW w:w="35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哈尔滨市南岗区汉水路</w:t>
            </w:r>
            <w:r>
              <w:rPr>
                <w:rFonts w:ascii="Arial" w:hAnsi="Arial" w:cs="Arial" w:eastAsia="Arial" w:hint="default"/>
                <w:sz w:val="21"/>
                <w:szCs w:val="21"/>
              </w:rPr>
              <w:t>263</w:t>
            </w:r>
            <w:r>
              <w:rPr>
                <w:rFonts w:ascii="宋体" w:hAnsi="宋体" w:cs="宋体" w:eastAsia="宋体" w:hint="default"/>
                <w:sz w:val="21"/>
                <w:szCs w:val="21"/>
              </w:rPr>
              <w:t>号</w:t>
            </w:r>
          </w:p>
        </w:tc>
        <w:tc>
          <w:tcPr>
            <w:tcW w:w="296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哈尔滨市南岗区汉水路</w:t>
            </w:r>
            <w:r>
              <w:rPr>
                <w:rFonts w:ascii="Arial" w:hAnsi="Arial" w:cs="Arial" w:eastAsia="Arial" w:hint="default"/>
                <w:sz w:val="21"/>
                <w:szCs w:val="21"/>
              </w:rPr>
              <w:t>263</w:t>
            </w:r>
            <w:r>
              <w:rPr>
                <w:rFonts w:ascii="宋体" w:hAnsi="宋体" w:cs="宋体" w:eastAsia="宋体" w:hint="default"/>
                <w:sz w:val="21"/>
                <w:szCs w:val="21"/>
              </w:rPr>
              <w:t>号</w:t>
            </w:r>
          </w:p>
        </w:tc>
      </w:tr>
      <w:tr>
        <w:trPr>
          <w:trHeight w:val="358" w:hRule="exact"/>
        </w:trPr>
        <w:tc>
          <w:tcPr>
            <w:tcW w:w="242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 </w:t>
            </w:r>
          </w:p>
        </w:tc>
        <w:tc>
          <w:tcPr>
            <w:tcW w:w="35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left="23" w:right="0"/>
              <w:jc w:val="left"/>
              <w:rPr>
                <w:rFonts w:ascii="Arial" w:hAnsi="Arial" w:cs="Arial" w:eastAsia="Arial" w:hint="default"/>
                <w:sz w:val="21"/>
                <w:szCs w:val="21"/>
              </w:rPr>
            </w:pPr>
            <w:r>
              <w:rPr>
                <w:rFonts w:ascii="Arial"/>
                <w:sz w:val="21"/>
              </w:rPr>
              <w:t>0451-55195980</w:t>
            </w:r>
          </w:p>
        </w:tc>
        <w:tc>
          <w:tcPr>
            <w:tcW w:w="296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left="23" w:right="0"/>
              <w:jc w:val="left"/>
              <w:rPr>
                <w:rFonts w:ascii="Arial" w:hAnsi="Arial" w:cs="Arial" w:eastAsia="Arial" w:hint="default"/>
                <w:sz w:val="21"/>
                <w:szCs w:val="21"/>
              </w:rPr>
            </w:pPr>
            <w:r>
              <w:rPr>
                <w:rFonts w:ascii="Arial"/>
                <w:sz w:val="21"/>
              </w:rPr>
              <w:t>0451-55195963</w:t>
            </w:r>
          </w:p>
        </w:tc>
      </w:tr>
      <w:tr>
        <w:trPr>
          <w:trHeight w:val="358" w:hRule="exact"/>
        </w:trPr>
        <w:tc>
          <w:tcPr>
            <w:tcW w:w="242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传真</w:t>
            </w:r>
            <w:r>
              <w:rPr>
                <w:rFonts w:ascii="宋体" w:hAnsi="宋体" w:cs="宋体" w:eastAsia="宋体" w:hint="default"/>
                <w:sz w:val="21"/>
                <w:szCs w:val="21"/>
              </w:rPr>
              <w:t> </w:t>
            </w:r>
          </w:p>
        </w:tc>
        <w:tc>
          <w:tcPr>
            <w:tcW w:w="35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left="23" w:right="0"/>
              <w:jc w:val="left"/>
              <w:rPr>
                <w:rFonts w:ascii="Arial" w:hAnsi="Arial" w:cs="Arial" w:eastAsia="Arial" w:hint="default"/>
                <w:sz w:val="21"/>
                <w:szCs w:val="21"/>
              </w:rPr>
            </w:pPr>
            <w:r>
              <w:rPr>
                <w:rFonts w:ascii="Arial"/>
                <w:sz w:val="21"/>
              </w:rPr>
              <w:t>0451-55195986</w:t>
            </w:r>
          </w:p>
        </w:tc>
        <w:tc>
          <w:tcPr>
            <w:tcW w:w="296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left="23" w:right="0"/>
              <w:jc w:val="left"/>
              <w:rPr>
                <w:rFonts w:ascii="Arial" w:hAnsi="Arial" w:cs="Arial" w:eastAsia="Arial" w:hint="default"/>
                <w:sz w:val="21"/>
                <w:szCs w:val="21"/>
              </w:rPr>
            </w:pPr>
            <w:r>
              <w:rPr>
                <w:rFonts w:ascii="Arial"/>
                <w:sz w:val="21"/>
              </w:rPr>
              <w:t>0451-55195986</w:t>
            </w:r>
          </w:p>
        </w:tc>
      </w:tr>
      <w:tr>
        <w:trPr>
          <w:trHeight w:val="365" w:hRule="exact"/>
        </w:trPr>
        <w:tc>
          <w:tcPr>
            <w:tcW w:w="2427"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3504"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left="23" w:right="0"/>
              <w:jc w:val="left"/>
              <w:rPr>
                <w:rFonts w:ascii="Arial" w:hAnsi="Arial" w:cs="Arial" w:eastAsia="Arial" w:hint="default"/>
                <w:sz w:val="21"/>
                <w:szCs w:val="21"/>
              </w:rPr>
            </w:pPr>
            <w:hyperlink r:id="rId7">
              <w:r>
                <w:rPr>
                  <w:rFonts w:ascii="Arial"/>
                  <w:sz w:val="21"/>
                </w:rPr>
                <w:t>sse600598@163.com</w:t>
              </w:r>
            </w:hyperlink>
          </w:p>
        </w:tc>
        <w:tc>
          <w:tcPr>
            <w:tcW w:w="2964"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8"/>
              <w:ind w:left="23" w:right="0"/>
              <w:jc w:val="left"/>
              <w:rPr>
                <w:rFonts w:ascii="Arial" w:hAnsi="Arial" w:cs="Arial" w:eastAsia="Arial" w:hint="default"/>
                <w:sz w:val="21"/>
                <w:szCs w:val="21"/>
              </w:rPr>
            </w:pPr>
            <w:hyperlink r:id="rId7">
              <w:r>
                <w:rPr>
                  <w:rFonts w:ascii="Arial"/>
                  <w:sz w:val="21"/>
                </w:rPr>
                <w:t>sse600598@163.com</w:t>
              </w:r>
            </w:hyperlink>
          </w:p>
        </w:tc>
      </w:tr>
    </w:tbl>
    <w:p>
      <w:pPr>
        <w:spacing w:line="20" w:lineRule="exact"/>
        <w:ind w:left="177" w:right="0" w:firstLine="0"/>
        <w:rPr>
          <w:rFonts w:ascii="宋体" w:hAnsi="宋体" w:cs="宋体" w:eastAsia="宋体" w:hint="default"/>
          <w:sz w:val="2"/>
          <w:szCs w:val="2"/>
        </w:rPr>
      </w:pPr>
      <w:r>
        <w:rPr>
          <w:rFonts w:ascii="宋体" w:hAnsi="宋体" w:cs="宋体" w:eastAsia="宋体" w:hint="default"/>
          <w:sz w:val="2"/>
          <w:szCs w:val="2"/>
        </w:rPr>
        <w:pict>
          <v:group style="width:445.75pt;height:1pt;mso-position-horizontal-relative:char;mso-position-vertical-relative:line" coordorigin="0,0" coordsize="8915,20">
            <v:group style="position:absolute;left:10;top:10;width:2422;height:2" coordorigin="10,10" coordsize="2422,2">
              <v:shape style="position:absolute;left:10;top:10;width:2422;height:2" coordorigin="10,10" coordsize="2422,0" path="m10,10l2432,10e" filled="false" stroked="true" strokeweight=".95996pt" strokecolor="#41b7ee">
                <v:path arrowok="t"/>
              </v:shape>
            </v:group>
            <v:group style="position:absolute;left:2432;top:10;width:58;height:2" coordorigin="2432,10" coordsize="58,2">
              <v:shape style="position:absolute;left:2432;top:10;width:58;height:2" coordorigin="2432,10" coordsize="58,0" path="m2432,10l2489,10e" filled="false" stroked="true" strokeweight=".95996pt" strokecolor="#41b7ee">
                <v:path arrowok="t"/>
              </v:shape>
            </v:group>
            <v:group style="position:absolute;left:2489;top:10;width:3447;height:2" coordorigin="2489,10" coordsize="3447,2">
              <v:shape style="position:absolute;left:2489;top:10;width:3447;height:2" coordorigin="2489,10" coordsize="3447,0" path="m2489,10l5936,10e" filled="false" stroked="true" strokeweight=".95996pt" strokecolor="#41b7ee">
                <v:path arrowok="t"/>
              </v:shape>
            </v:group>
            <v:group style="position:absolute;left:5936;top:10;width:58;height:2" coordorigin="5936,10" coordsize="58,2">
              <v:shape style="position:absolute;left:5936;top:10;width:58;height:2" coordorigin="5936,10" coordsize="58,0" path="m5936,10l5994,10e" filled="false" stroked="true" strokeweight=".95996pt" strokecolor="#41b7ee">
                <v:path arrowok="t"/>
              </v:shape>
            </v:group>
            <v:group style="position:absolute;left:5994;top:10;width:2912;height:2" coordorigin="5994,10" coordsize="2912,2">
              <v:shape style="position:absolute;left:5994;top:10;width:2912;height:2" coordorigin="5994,10" coordsize="2912,0" path="m5994,10l8905,10e" filled="false" stroked="true" strokeweight=".95996pt" strokecolor="#41b7ee">
                <v:path arrowok="t"/>
              </v:shape>
            </v:group>
          </v:group>
        </w:pict>
      </w:r>
      <w:r>
        <w:rPr>
          <w:rFonts w:ascii="宋体" w:hAnsi="宋体" w:cs="宋体" w:eastAsia="宋体" w:hint="default"/>
          <w:sz w:val="2"/>
          <w:szCs w:val="2"/>
        </w:rPr>
      </w:r>
    </w:p>
    <w:p>
      <w:pPr>
        <w:pStyle w:val="BodyText"/>
        <w:spacing w:line="257" w:lineRule="exact"/>
        <w:ind w:left="218" w:right="0"/>
        <w:jc w:val="left"/>
        <w:rPr>
          <w:rFonts w:ascii="宋体" w:hAnsi="宋体" w:cs="宋体" w:eastAsia="宋体" w:hint="default"/>
        </w:rPr>
      </w:pPr>
      <w:r>
        <w:rPr>
          <w:rFonts w:ascii="宋体"/>
          <w:w w:val="100"/>
        </w:rPr>
        <w:t> </w:t>
      </w:r>
    </w:p>
    <w:p>
      <w:pPr>
        <w:pStyle w:val="BodyText"/>
        <w:spacing w:line="273" w:lineRule="exact"/>
        <w:ind w:left="21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25" w:footer="1195" w:top="1360" w:bottom="1380" w:left="1580" w:right="1040"/>
        </w:sectPr>
      </w:pPr>
    </w:p>
    <w:p>
      <w:pPr>
        <w:pStyle w:val="Heading2"/>
        <w:spacing w:line="240" w:lineRule="auto" w:before="119"/>
        <w:ind w:left="238" w:right="0"/>
        <w:jc w:val="left"/>
        <w:rPr>
          <w:b w:val="0"/>
          <w:bCs w:val="0"/>
        </w:rPr>
      </w:pPr>
      <w:r>
        <w:rPr/>
        <w:t>三、</w:t>
      </w:r>
      <w:r>
        <w:rPr>
          <w:spacing w:val="-31"/>
        </w:rPr>
        <w:t> </w:t>
      </w:r>
      <w:r>
        <w:rPr>
          <w:rFonts w:ascii="宋体" w:hAnsi="宋体" w:cs="宋体" w:eastAsia="宋体" w:hint="default"/>
          <w:spacing w:val="-31"/>
        </w:rPr>
      </w:r>
      <w:r>
        <w:rPr/>
        <w:t>基本情况简介</w:t>
      </w:r>
      <w:r>
        <w:rPr>
          <w:b w:val="0"/>
          <w:bCs w:val="0"/>
        </w:rPr>
      </w:r>
    </w:p>
    <w:p>
      <w:pPr>
        <w:spacing w:line="240" w:lineRule="auto" w:before="2"/>
        <w:rPr>
          <w:rFonts w:ascii="宋体" w:hAnsi="宋体" w:cs="宋体" w:eastAsia="宋体" w:hint="default"/>
          <w:b/>
          <w:bCs/>
          <w:sz w:val="7"/>
          <w:szCs w:val="7"/>
        </w:rPr>
      </w:pPr>
    </w:p>
    <w:p>
      <w:pPr>
        <w:spacing w:line="20" w:lineRule="exact"/>
        <w:ind w:left="197"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3855;height:2" coordorigin="10,10" coordsize="3855,2">
              <v:shape style="position:absolute;left:10;top:10;width:3855;height:2" coordorigin="10,10" coordsize="3855,0" path="m10,10l3864,10e" filled="false" stroked="true" strokeweight=".96pt" strokecolor="#41b7ee">
                <v:path arrowok="t"/>
              </v:shape>
            </v:group>
            <v:group style="position:absolute;left:3865;top:10;width:58;height:2" coordorigin="3865,10" coordsize="58,2">
              <v:shape style="position:absolute;left:3865;top:10;width:58;height:2" coordorigin="3865,10" coordsize="58,0" path="m3865,10l3922,10e" filled="false" stroked="true" strokeweight=".96pt" strokecolor="#41b7ee">
                <v:path arrowok="t"/>
              </v:shape>
            </v:group>
            <v:group style="position:absolute;left:3922;top:10;width:4984;height:2" coordorigin="3922,10" coordsize="4984,2">
              <v:shape style="position:absolute;left:3922;top:10;width:4984;height:2" coordorigin="3922,10" coordsize="4984,0" path="m3922,10l8906,10e" filled="false" stroked="true" strokeweight=".96pt" strokecolor="#41b7ee">
                <v:path arrowok="t"/>
              </v:shape>
            </v:group>
          </v:group>
        </w:pict>
      </w:r>
      <w:r>
        <w:rPr>
          <w:rFonts w:ascii="宋体" w:hAnsi="宋体" w:cs="宋体" w:eastAsia="宋体" w:hint="default"/>
          <w:sz w:val="2"/>
          <w:szCs w:val="2"/>
        </w:rPr>
      </w:r>
    </w:p>
    <w:tbl>
      <w:tblPr>
        <w:tblW w:w="0" w:type="auto"/>
        <w:jc w:val="left"/>
        <w:tblInd w:w="178" w:type="dxa"/>
        <w:tblLayout w:type="fixed"/>
        <w:tblCellMar>
          <w:top w:w="0" w:type="dxa"/>
          <w:left w:w="0" w:type="dxa"/>
          <w:bottom w:w="0" w:type="dxa"/>
          <w:right w:w="0" w:type="dxa"/>
        </w:tblCellMar>
        <w:tblLook w:val="01E0"/>
      </w:tblPr>
      <w:tblGrid>
        <w:gridCol w:w="3860"/>
        <w:gridCol w:w="5036"/>
      </w:tblGrid>
      <w:tr>
        <w:trPr>
          <w:trHeight w:val="362" w:hRule="exact"/>
        </w:trPr>
        <w:tc>
          <w:tcPr>
            <w:tcW w:w="3860"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公司注册地址</w:t>
            </w:r>
            <w:r>
              <w:rPr>
                <w:rFonts w:ascii="宋体" w:hAnsi="宋体" w:cs="宋体" w:eastAsia="宋体" w:hint="default"/>
                <w:sz w:val="21"/>
                <w:szCs w:val="21"/>
              </w:rPr>
              <w:t> </w:t>
            </w:r>
          </w:p>
        </w:tc>
        <w:tc>
          <w:tcPr>
            <w:tcW w:w="5036"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哈尔滨市南岗区汉水路</w:t>
            </w:r>
            <w:r>
              <w:rPr>
                <w:rFonts w:ascii="Arial" w:hAnsi="Arial" w:cs="Arial" w:eastAsia="Arial" w:hint="default"/>
                <w:sz w:val="21"/>
                <w:szCs w:val="21"/>
              </w:rPr>
              <w:t>263</w:t>
            </w:r>
            <w:r>
              <w:rPr>
                <w:rFonts w:ascii="宋体" w:hAnsi="宋体" w:cs="宋体" w:eastAsia="宋体" w:hint="default"/>
                <w:sz w:val="21"/>
                <w:szCs w:val="21"/>
              </w:rPr>
              <w:t>号</w:t>
            </w:r>
          </w:p>
        </w:tc>
      </w:tr>
      <w:tr>
        <w:trPr>
          <w:trHeight w:val="358" w:hRule="exact"/>
        </w:trPr>
        <w:tc>
          <w:tcPr>
            <w:tcW w:w="386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r>
              <w:rPr>
                <w:rFonts w:ascii="宋体" w:hAnsi="宋体" w:cs="宋体" w:eastAsia="宋体" w:hint="default"/>
                <w:sz w:val="21"/>
                <w:szCs w:val="21"/>
              </w:rPr>
              <w:t> </w:t>
            </w:r>
          </w:p>
        </w:tc>
        <w:tc>
          <w:tcPr>
            <w:tcW w:w="503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left="24" w:right="0"/>
              <w:jc w:val="left"/>
              <w:rPr>
                <w:rFonts w:ascii="Arial" w:hAnsi="Arial" w:cs="Arial" w:eastAsia="Arial" w:hint="default"/>
                <w:sz w:val="21"/>
                <w:szCs w:val="21"/>
              </w:rPr>
            </w:pPr>
            <w:r>
              <w:rPr>
                <w:rFonts w:ascii="Arial"/>
                <w:sz w:val="21"/>
              </w:rPr>
              <w:t>150090</w:t>
            </w:r>
          </w:p>
        </w:tc>
      </w:tr>
      <w:tr>
        <w:trPr>
          <w:trHeight w:val="358" w:hRule="exact"/>
        </w:trPr>
        <w:tc>
          <w:tcPr>
            <w:tcW w:w="386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公司办公地址</w:t>
            </w:r>
            <w:r>
              <w:rPr>
                <w:rFonts w:ascii="宋体" w:hAnsi="宋体" w:cs="宋体" w:eastAsia="宋体" w:hint="default"/>
                <w:sz w:val="21"/>
                <w:szCs w:val="21"/>
              </w:rPr>
              <w:t> </w:t>
            </w:r>
          </w:p>
        </w:tc>
        <w:tc>
          <w:tcPr>
            <w:tcW w:w="503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哈尔滨市南岗区汉水路</w:t>
            </w:r>
            <w:r>
              <w:rPr>
                <w:rFonts w:ascii="Arial" w:hAnsi="Arial" w:cs="Arial" w:eastAsia="Arial" w:hint="default"/>
                <w:sz w:val="21"/>
                <w:szCs w:val="21"/>
              </w:rPr>
              <w:t>263</w:t>
            </w:r>
            <w:r>
              <w:rPr>
                <w:rFonts w:ascii="宋体" w:hAnsi="宋体" w:cs="宋体" w:eastAsia="宋体" w:hint="default"/>
                <w:sz w:val="21"/>
                <w:szCs w:val="21"/>
              </w:rPr>
              <w:t>号</w:t>
            </w:r>
          </w:p>
        </w:tc>
      </w:tr>
      <w:tr>
        <w:trPr>
          <w:trHeight w:val="358" w:hRule="exact"/>
        </w:trPr>
        <w:tc>
          <w:tcPr>
            <w:tcW w:w="386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r>
              <w:rPr>
                <w:rFonts w:ascii="宋体" w:hAnsi="宋体" w:cs="宋体" w:eastAsia="宋体" w:hint="default"/>
                <w:sz w:val="21"/>
                <w:szCs w:val="21"/>
              </w:rPr>
              <w:t> </w:t>
            </w:r>
          </w:p>
        </w:tc>
        <w:tc>
          <w:tcPr>
            <w:tcW w:w="503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left="24" w:right="0"/>
              <w:jc w:val="left"/>
              <w:rPr>
                <w:rFonts w:ascii="Arial" w:hAnsi="Arial" w:cs="Arial" w:eastAsia="Arial" w:hint="default"/>
                <w:sz w:val="21"/>
                <w:szCs w:val="21"/>
              </w:rPr>
            </w:pPr>
            <w:r>
              <w:rPr>
                <w:rFonts w:ascii="Arial"/>
                <w:sz w:val="21"/>
              </w:rPr>
              <w:t>150090</w:t>
            </w:r>
          </w:p>
        </w:tc>
      </w:tr>
      <w:tr>
        <w:trPr>
          <w:trHeight w:val="355" w:hRule="exact"/>
        </w:trPr>
        <w:tc>
          <w:tcPr>
            <w:tcW w:w="386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公司网址</w:t>
            </w:r>
            <w:r>
              <w:rPr>
                <w:rFonts w:ascii="宋体" w:hAnsi="宋体" w:cs="宋体" w:eastAsia="宋体" w:hint="default"/>
                <w:sz w:val="21"/>
                <w:szCs w:val="21"/>
              </w:rPr>
              <w:t> </w:t>
            </w:r>
          </w:p>
        </w:tc>
        <w:tc>
          <w:tcPr>
            <w:tcW w:w="503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left="24" w:right="0"/>
              <w:jc w:val="left"/>
              <w:rPr>
                <w:rFonts w:ascii="Arial" w:hAnsi="Arial" w:cs="Arial" w:eastAsia="Arial" w:hint="default"/>
                <w:sz w:val="21"/>
                <w:szCs w:val="21"/>
              </w:rPr>
            </w:pPr>
            <w:hyperlink r:id="rId8">
              <w:r>
                <w:rPr>
                  <w:rFonts w:ascii="Arial"/>
                  <w:sz w:val="21"/>
                </w:rPr>
                <w:t>http://www.hacl.cn</w:t>
              </w:r>
            </w:hyperlink>
          </w:p>
        </w:tc>
      </w:tr>
      <w:tr>
        <w:trPr>
          <w:trHeight w:val="384" w:hRule="exact"/>
        </w:trPr>
        <w:tc>
          <w:tcPr>
            <w:tcW w:w="3860"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5036"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50"/>
              <w:ind w:left="24" w:right="0"/>
              <w:jc w:val="left"/>
              <w:rPr>
                <w:rFonts w:ascii="Arial" w:hAnsi="Arial" w:cs="Arial" w:eastAsia="Arial" w:hint="default"/>
                <w:sz w:val="21"/>
                <w:szCs w:val="21"/>
              </w:rPr>
            </w:pPr>
            <w:hyperlink r:id="rId7">
              <w:r>
                <w:rPr>
                  <w:rFonts w:ascii="Arial"/>
                  <w:sz w:val="21"/>
                </w:rPr>
                <w:t>sse600598@163.com</w:t>
              </w:r>
            </w:hyperlink>
          </w:p>
        </w:tc>
      </w:tr>
    </w:tbl>
    <w:p>
      <w:pPr>
        <w:pStyle w:val="BodyText"/>
        <w:spacing w:line="259" w:lineRule="exact"/>
        <w:ind w:left="238" w:right="0"/>
        <w:jc w:val="left"/>
        <w:rPr>
          <w:rFonts w:ascii="宋体" w:hAnsi="宋体" w:cs="宋体" w:eastAsia="宋体" w:hint="default"/>
        </w:rPr>
      </w:pPr>
      <w:r>
        <w:rPr>
          <w:rFonts w:ascii="宋体"/>
          <w:w w:val="100"/>
        </w:rPr>
        <w:t> </w:t>
      </w:r>
    </w:p>
    <w:p>
      <w:pPr>
        <w:pStyle w:val="Heading2"/>
        <w:spacing w:line="240" w:lineRule="auto" w:before="58"/>
        <w:ind w:left="238" w:right="0"/>
        <w:jc w:val="left"/>
        <w:rPr>
          <w:b w:val="0"/>
          <w:bCs w:val="0"/>
        </w:rPr>
      </w:pPr>
      <w:r>
        <w:rPr/>
        <w:t>四、</w:t>
      </w:r>
      <w:r>
        <w:rPr>
          <w:spacing w:val="-30"/>
        </w:rPr>
        <w:t> </w:t>
      </w:r>
      <w:r>
        <w:rPr>
          <w:rFonts w:ascii="宋体" w:hAnsi="宋体" w:cs="宋体" w:eastAsia="宋体" w:hint="default"/>
          <w:spacing w:val="-30"/>
        </w:rPr>
      </w:r>
      <w:r>
        <w:rPr/>
        <w:t>信息披露及备置地点</w:t>
      </w:r>
      <w:r>
        <w:rPr>
          <w:b w:val="0"/>
          <w:bCs w:val="0"/>
        </w:rPr>
      </w:r>
    </w:p>
    <w:p>
      <w:pPr>
        <w:spacing w:line="240" w:lineRule="auto" w:before="12"/>
        <w:rPr>
          <w:rFonts w:ascii="宋体" w:hAnsi="宋体" w:cs="宋体" w:eastAsia="宋体" w:hint="default"/>
          <w:b/>
          <w:bCs/>
          <w:sz w:val="6"/>
          <w:szCs w:val="6"/>
        </w:rPr>
      </w:pPr>
    </w:p>
    <w:tbl>
      <w:tblPr>
        <w:tblW w:w="0" w:type="auto"/>
        <w:jc w:val="left"/>
        <w:tblInd w:w="178" w:type="dxa"/>
        <w:tblLayout w:type="fixed"/>
        <w:tblCellMar>
          <w:top w:w="0" w:type="dxa"/>
          <w:left w:w="0" w:type="dxa"/>
          <w:bottom w:w="0" w:type="dxa"/>
          <w:right w:w="0" w:type="dxa"/>
        </w:tblCellMar>
        <w:tblLook w:val="01E0"/>
      </w:tblPr>
      <w:tblGrid>
        <w:gridCol w:w="4143"/>
        <w:gridCol w:w="4753"/>
      </w:tblGrid>
      <w:tr>
        <w:trPr>
          <w:trHeight w:val="384" w:hRule="exact"/>
        </w:trPr>
        <w:tc>
          <w:tcPr>
            <w:tcW w:w="4143"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left="31"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r>
              <w:rPr>
                <w:rFonts w:ascii="宋体" w:hAnsi="宋体" w:cs="宋体" w:eastAsia="宋体" w:hint="default"/>
                <w:sz w:val="21"/>
                <w:szCs w:val="21"/>
              </w:rPr>
              <w:t> </w:t>
            </w:r>
          </w:p>
        </w:tc>
        <w:tc>
          <w:tcPr>
            <w:tcW w:w="4753"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《上海证券报》、《中国证券报》、《证券时报》</w:t>
            </w:r>
          </w:p>
        </w:tc>
      </w:tr>
      <w:tr>
        <w:trPr>
          <w:trHeight w:val="358" w:hRule="exact"/>
        </w:trPr>
        <w:tc>
          <w:tcPr>
            <w:tcW w:w="414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left="24" w:right="0"/>
              <w:jc w:val="left"/>
              <w:rPr>
                <w:rFonts w:ascii="Arial" w:hAnsi="Arial" w:cs="Arial" w:eastAsia="Arial" w:hint="default"/>
                <w:sz w:val="21"/>
                <w:szCs w:val="21"/>
              </w:rPr>
            </w:pPr>
            <w:hyperlink r:id="rId9">
              <w:r>
                <w:rPr>
                  <w:rFonts w:ascii="Arial"/>
                  <w:sz w:val="21"/>
                </w:rPr>
                <w:t>www.sse.com.cn</w:t>
              </w:r>
            </w:hyperlink>
          </w:p>
        </w:tc>
      </w:tr>
      <w:tr>
        <w:trPr>
          <w:trHeight w:val="382" w:hRule="exact"/>
        </w:trPr>
        <w:tc>
          <w:tcPr>
            <w:tcW w:w="4143"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r>
              <w:rPr>
                <w:rFonts w:ascii="宋体" w:hAnsi="宋体" w:cs="宋体" w:eastAsia="宋体" w:hint="default"/>
                <w:sz w:val="21"/>
                <w:szCs w:val="21"/>
              </w:rPr>
              <w:t> </w:t>
            </w:r>
          </w:p>
        </w:tc>
        <w:tc>
          <w:tcPr>
            <w:tcW w:w="4753"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公司董事会工作部</w:t>
            </w:r>
          </w:p>
        </w:tc>
      </w:tr>
    </w:tbl>
    <w:p>
      <w:pPr>
        <w:pStyle w:val="BodyText"/>
        <w:spacing w:line="241" w:lineRule="exact"/>
        <w:ind w:left="238" w:right="0"/>
        <w:jc w:val="left"/>
        <w:rPr>
          <w:rFonts w:ascii="宋体" w:hAnsi="宋体" w:cs="宋体" w:eastAsia="宋体" w:hint="default"/>
        </w:rPr>
      </w:pPr>
      <w:r>
        <w:rPr>
          <w:rFonts w:ascii="宋体"/>
          <w:w w:val="100"/>
        </w:rPr>
        <w:t> </w:t>
      </w:r>
    </w:p>
    <w:p>
      <w:pPr>
        <w:pStyle w:val="Heading2"/>
        <w:spacing w:line="240" w:lineRule="auto" w:before="58"/>
        <w:ind w:left="238" w:right="0"/>
        <w:jc w:val="left"/>
        <w:rPr>
          <w:b w:val="0"/>
          <w:bCs w:val="0"/>
        </w:rPr>
      </w:pPr>
      <w:r>
        <w:rPr/>
        <w:t>五、</w:t>
      </w:r>
      <w:r>
        <w:rPr>
          <w:spacing w:val="39"/>
        </w:rPr>
        <w:t> </w:t>
      </w:r>
      <w:r>
        <w:rPr>
          <w:rFonts w:ascii="宋体" w:hAnsi="宋体" w:cs="宋体" w:eastAsia="宋体" w:hint="default"/>
          <w:spacing w:val="39"/>
        </w:rPr>
      </w:r>
      <w:r>
        <w:rPr/>
        <w:t>公司股票简况</w:t>
      </w:r>
      <w:r>
        <w:rPr>
          <w:b w:val="0"/>
          <w:bCs w:val="0"/>
        </w:rPr>
      </w:r>
    </w:p>
    <w:p>
      <w:pPr>
        <w:spacing w:line="240" w:lineRule="auto" w:before="12"/>
        <w:rPr>
          <w:rFonts w:ascii="宋体" w:hAnsi="宋体" w:cs="宋体" w:eastAsia="宋体" w:hint="default"/>
          <w:b/>
          <w:bCs/>
          <w:sz w:val="6"/>
          <w:szCs w:val="6"/>
        </w:rPr>
      </w:pPr>
    </w:p>
    <w:p>
      <w:pPr>
        <w:spacing w:line="57" w:lineRule="exact"/>
        <w:ind w:left="197" w:right="0" w:firstLine="0"/>
        <w:rPr>
          <w:rFonts w:ascii="宋体" w:hAnsi="宋体" w:cs="宋体" w:eastAsia="宋体" w:hint="default"/>
          <w:sz w:val="5"/>
          <w:szCs w:val="5"/>
        </w:rPr>
      </w:pPr>
      <w:r>
        <w:rPr>
          <w:rFonts w:ascii="宋体" w:hAnsi="宋体" w:cs="宋体" w:eastAsia="宋体" w:hint="default"/>
          <w:position w:val="0"/>
          <w:sz w:val="5"/>
          <w:szCs w:val="5"/>
        </w:rPr>
        <w:pict>
          <v:group style="width:445.75pt;height:2.9pt;mso-position-horizontal-relative:char;mso-position-vertical-relative:line" coordorigin="0,0" coordsize="8915,58">
            <v:group style="position:absolute;left:10;top:10;width:8896;height:2" coordorigin="10,10" coordsize="8896,2">
              <v:shape style="position:absolute;left:10;top:10;width:8896;height:2" coordorigin="10,10" coordsize="8896,0" path="m10,10l8905,10e" filled="false" stroked="true" strokeweight=".96002pt" strokecolor="#41b7ee">
                <v:path arrowok="t"/>
              </v:shape>
            </v:group>
            <v:group style="position:absolute;left:10;top:48;width:8896;height:2" coordorigin="10,48" coordsize="8896,2">
              <v:shape style="position:absolute;left:10;top:48;width:8896;height:2" coordorigin="10,48" coordsize="8896,0" path="m10,48l8905,48e" filled="false" stroked="true" strokeweight=".95999pt" strokecolor="#41b7ee">
                <v:path arrowok="t"/>
              </v:shape>
            </v:group>
          </v:group>
        </w:pict>
      </w:r>
      <w:r>
        <w:rPr>
          <w:rFonts w:ascii="宋体" w:hAnsi="宋体" w:cs="宋体" w:eastAsia="宋体" w:hint="default"/>
          <w:position w:val="0"/>
          <w:sz w:val="5"/>
          <w:szCs w:val="5"/>
        </w:rPr>
      </w:r>
    </w:p>
    <w:p>
      <w:pPr>
        <w:pStyle w:val="BodyText"/>
        <w:spacing w:line="240" w:lineRule="auto" w:before="7"/>
        <w:ind w:left="4056" w:right="3990"/>
        <w:jc w:val="center"/>
        <w:rPr>
          <w:rFonts w:ascii="宋体" w:hAnsi="宋体" w:cs="宋体" w:eastAsia="宋体" w:hint="default"/>
        </w:rPr>
      </w:pPr>
      <w:r>
        <w:rPr/>
        <w:t>公司股票简况</w:t>
      </w:r>
      <w:r>
        <w:rPr>
          <w:rFonts w:ascii="宋体" w:hAnsi="宋体" w:cs="宋体" w:eastAsia="宋体" w:hint="default"/>
        </w:rPr>
        <w:t> </w:t>
      </w:r>
    </w:p>
    <w:p>
      <w:pPr>
        <w:spacing w:line="240" w:lineRule="auto" w:before="3"/>
        <w:rPr>
          <w:rFonts w:ascii="宋体" w:hAnsi="宋体" w:cs="宋体" w:eastAsia="宋体" w:hint="default"/>
          <w:sz w:val="5"/>
          <w:szCs w:val="5"/>
        </w:rPr>
      </w:pPr>
    </w:p>
    <w:tbl>
      <w:tblPr>
        <w:tblW w:w="0" w:type="auto"/>
        <w:jc w:val="left"/>
        <w:tblInd w:w="206"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58" w:hRule="exact"/>
        </w:trPr>
        <w:tc>
          <w:tcPr>
            <w:tcW w:w="177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12" w:right="0"/>
              <w:jc w:val="center"/>
              <w:rPr>
                <w:rFonts w:ascii="宋体" w:hAnsi="宋体" w:cs="宋体" w:eastAsia="宋体" w:hint="default"/>
                <w:sz w:val="21"/>
                <w:szCs w:val="21"/>
              </w:rPr>
            </w:pPr>
            <w:r>
              <w:rPr>
                <w:rFonts w:ascii="宋体" w:hAnsi="宋体" w:cs="宋体" w:eastAsia="宋体" w:hint="default"/>
                <w:sz w:val="21"/>
                <w:szCs w:val="21"/>
              </w:rPr>
              <w:t>股票种类</w:t>
            </w:r>
            <w:r>
              <w:rPr>
                <w:rFonts w:ascii="宋体" w:hAnsi="宋体" w:cs="宋体" w:eastAsia="宋体" w:hint="default"/>
                <w:sz w:val="21"/>
                <w:szCs w:val="21"/>
              </w:rPr>
              <w:t> </w:t>
            </w:r>
          </w:p>
        </w:tc>
        <w:tc>
          <w:tcPr>
            <w:tcW w:w="177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right="41"/>
              <w:jc w:val="right"/>
              <w:rPr>
                <w:rFonts w:ascii="宋体" w:hAnsi="宋体" w:cs="宋体" w:eastAsia="宋体" w:hint="default"/>
                <w:sz w:val="21"/>
                <w:szCs w:val="21"/>
              </w:rPr>
            </w:pPr>
            <w:r>
              <w:rPr>
                <w:rFonts w:ascii="宋体" w:hAnsi="宋体" w:cs="宋体" w:eastAsia="宋体" w:hint="default"/>
                <w:spacing w:val="-2"/>
                <w:sz w:val="21"/>
                <w:szCs w:val="21"/>
              </w:rPr>
              <w:t>股票上市交易所</w:t>
            </w:r>
            <w:r>
              <w:rPr>
                <w:rFonts w:ascii="宋体" w:hAnsi="宋体" w:cs="宋体" w:eastAsia="宋体" w:hint="default"/>
                <w:sz w:val="21"/>
                <w:szCs w:val="21"/>
              </w:rPr>
              <w:t> </w:t>
            </w:r>
          </w:p>
        </w:tc>
        <w:tc>
          <w:tcPr>
            <w:tcW w:w="177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103" w:right="0"/>
              <w:jc w:val="center"/>
              <w:rPr>
                <w:rFonts w:ascii="宋体" w:hAnsi="宋体" w:cs="宋体" w:eastAsia="宋体" w:hint="default"/>
                <w:sz w:val="21"/>
                <w:szCs w:val="21"/>
              </w:rPr>
            </w:pPr>
            <w:r>
              <w:rPr>
                <w:rFonts w:ascii="宋体" w:hAnsi="宋体" w:cs="宋体" w:eastAsia="宋体" w:hint="default"/>
                <w:sz w:val="21"/>
                <w:szCs w:val="21"/>
              </w:rPr>
              <w:t>股票简称</w:t>
            </w:r>
            <w:r>
              <w:rPr>
                <w:rFonts w:ascii="宋体" w:hAnsi="宋体" w:cs="宋体" w:eastAsia="宋体" w:hint="default"/>
                <w:sz w:val="21"/>
                <w:szCs w:val="21"/>
              </w:rPr>
              <w:t> </w:t>
            </w:r>
          </w:p>
        </w:tc>
        <w:tc>
          <w:tcPr>
            <w:tcW w:w="17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465" w:right="0"/>
              <w:jc w:val="left"/>
              <w:rPr>
                <w:rFonts w:ascii="宋体" w:hAnsi="宋体" w:cs="宋体" w:eastAsia="宋体" w:hint="default"/>
                <w:sz w:val="21"/>
                <w:szCs w:val="21"/>
              </w:rPr>
            </w:pPr>
            <w:r>
              <w:rPr>
                <w:rFonts w:ascii="宋体" w:hAnsi="宋体" w:cs="宋体" w:eastAsia="宋体" w:hint="default"/>
                <w:sz w:val="21"/>
                <w:szCs w:val="21"/>
              </w:rPr>
              <w:t>股票代码</w:t>
            </w:r>
            <w:r>
              <w:rPr>
                <w:rFonts w:ascii="宋体" w:hAnsi="宋体" w:cs="宋体" w:eastAsia="宋体" w:hint="default"/>
                <w:sz w:val="21"/>
                <w:szCs w:val="21"/>
              </w:rPr>
              <w:t> </w:t>
            </w:r>
          </w:p>
        </w:tc>
        <w:tc>
          <w:tcPr>
            <w:tcW w:w="177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96" w:right="0"/>
              <w:jc w:val="center"/>
              <w:rPr>
                <w:rFonts w:ascii="宋体" w:hAnsi="宋体" w:cs="宋体" w:eastAsia="宋体" w:hint="default"/>
                <w:sz w:val="21"/>
                <w:szCs w:val="21"/>
              </w:rPr>
            </w:pPr>
            <w:r>
              <w:rPr>
                <w:rFonts w:ascii="宋体" w:hAnsi="宋体" w:cs="宋体" w:eastAsia="宋体" w:hint="default"/>
                <w:sz w:val="21"/>
                <w:szCs w:val="21"/>
              </w:rPr>
              <w:t>变更前股票简称</w:t>
            </w:r>
            <w:r>
              <w:rPr>
                <w:rFonts w:ascii="宋体" w:hAnsi="宋体" w:cs="宋体" w:eastAsia="宋体" w:hint="default"/>
                <w:sz w:val="21"/>
                <w:szCs w:val="21"/>
              </w:rPr>
              <w:t> </w:t>
            </w:r>
          </w:p>
        </w:tc>
      </w:tr>
      <w:tr>
        <w:trPr>
          <w:trHeight w:val="382" w:hRule="exact"/>
        </w:trPr>
        <w:tc>
          <w:tcPr>
            <w:tcW w:w="1778"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2"/>
              <w:ind w:left="112" w:right="0"/>
              <w:jc w:val="center"/>
              <w:rPr>
                <w:rFonts w:ascii="宋体" w:hAnsi="宋体" w:cs="宋体" w:eastAsia="宋体" w:hint="default"/>
                <w:sz w:val="21"/>
                <w:szCs w:val="21"/>
              </w:rPr>
            </w:pPr>
            <w:r>
              <w:rPr>
                <w:rFonts w:ascii="Arial" w:hAnsi="Arial" w:cs="Arial" w:eastAsia="Arial" w:hint="default"/>
                <w:sz w:val="21"/>
                <w:szCs w:val="21"/>
              </w:rPr>
              <w:t>A</w:t>
            </w:r>
            <w:r>
              <w:rPr>
                <w:rFonts w:ascii="宋体" w:hAnsi="宋体" w:cs="宋体" w:eastAsia="宋体" w:hint="default"/>
                <w:sz w:val="21"/>
                <w:szCs w:val="21"/>
              </w:rPr>
              <w:t>股</w:t>
            </w:r>
            <w:r>
              <w:rPr>
                <w:rFonts w:ascii="宋体" w:hAnsi="宋体" w:cs="宋体" w:eastAsia="宋体" w:hint="default"/>
                <w:sz w:val="21"/>
                <w:szCs w:val="21"/>
              </w:rPr>
              <w:t> </w:t>
            </w:r>
          </w:p>
        </w:tc>
        <w:tc>
          <w:tcPr>
            <w:tcW w:w="1779"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2"/>
              <w:ind w:right="41"/>
              <w:jc w:val="right"/>
              <w:rPr>
                <w:rFonts w:ascii="宋体" w:hAnsi="宋体" w:cs="宋体" w:eastAsia="宋体" w:hint="default"/>
                <w:sz w:val="21"/>
                <w:szCs w:val="21"/>
              </w:rPr>
            </w:pPr>
            <w:r>
              <w:rPr>
                <w:rFonts w:ascii="宋体" w:hAnsi="宋体" w:cs="宋体" w:eastAsia="宋体" w:hint="default"/>
                <w:spacing w:val="-2"/>
                <w:sz w:val="21"/>
                <w:szCs w:val="21"/>
              </w:rPr>
              <w:t>上海证券交易所</w:t>
            </w:r>
            <w:r>
              <w:rPr>
                <w:rFonts w:ascii="宋体" w:hAnsi="宋体" w:cs="宋体" w:eastAsia="宋体" w:hint="default"/>
                <w:sz w:val="21"/>
                <w:szCs w:val="21"/>
              </w:rPr>
              <w:t> </w:t>
            </w:r>
          </w:p>
        </w:tc>
        <w:tc>
          <w:tcPr>
            <w:tcW w:w="1779"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2"/>
              <w:ind w:left="100" w:right="0"/>
              <w:jc w:val="center"/>
              <w:rPr>
                <w:rFonts w:ascii="宋体" w:hAnsi="宋体" w:cs="宋体" w:eastAsia="宋体" w:hint="default"/>
                <w:sz w:val="21"/>
                <w:szCs w:val="21"/>
              </w:rPr>
            </w:pPr>
            <w:r>
              <w:rPr>
                <w:rFonts w:ascii="宋体" w:hAnsi="宋体" w:cs="宋体" w:eastAsia="宋体" w:hint="default"/>
                <w:sz w:val="21"/>
                <w:szCs w:val="21"/>
              </w:rPr>
              <w:t>北大荒</w:t>
            </w:r>
            <w:r>
              <w:rPr>
                <w:rFonts w:ascii="宋体" w:hAnsi="宋体" w:cs="宋体" w:eastAsia="宋体" w:hint="default"/>
                <w:sz w:val="21"/>
                <w:szCs w:val="21"/>
              </w:rPr>
              <w:t> </w:t>
            </w:r>
          </w:p>
        </w:tc>
        <w:tc>
          <w:tcPr>
            <w:tcW w:w="1781"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left="535" w:right="0"/>
              <w:jc w:val="left"/>
              <w:rPr>
                <w:rFonts w:ascii="Arial" w:hAnsi="Arial" w:cs="Arial" w:eastAsia="Arial" w:hint="default"/>
                <w:sz w:val="21"/>
                <w:szCs w:val="21"/>
              </w:rPr>
            </w:pPr>
            <w:r>
              <w:rPr>
                <w:rFonts w:ascii="Arial"/>
                <w:sz w:val="21"/>
              </w:rPr>
              <w:t>600598</w:t>
            </w:r>
          </w:p>
        </w:tc>
        <w:tc>
          <w:tcPr>
            <w:tcW w:w="1779"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2"/>
              <w:ind w:left="99" w:right="0"/>
              <w:jc w:val="center"/>
              <w:rPr>
                <w:rFonts w:ascii="宋体" w:hAnsi="宋体" w:cs="宋体" w:eastAsia="宋体" w:hint="default"/>
                <w:sz w:val="21"/>
                <w:szCs w:val="21"/>
              </w:rPr>
            </w:pPr>
            <w:r>
              <w:rPr>
                <w:rFonts w:ascii="宋体"/>
                <w:w w:val="100"/>
                <w:sz w:val="21"/>
              </w:rPr>
              <w:t> </w:t>
            </w:r>
          </w:p>
        </w:tc>
      </w:tr>
    </w:tbl>
    <w:p>
      <w:pPr>
        <w:pStyle w:val="BodyText"/>
        <w:spacing w:line="241" w:lineRule="exact"/>
        <w:ind w:left="238" w:right="0"/>
        <w:jc w:val="left"/>
        <w:rPr>
          <w:rFonts w:ascii="宋体" w:hAnsi="宋体" w:cs="宋体" w:eastAsia="宋体" w:hint="default"/>
        </w:rPr>
      </w:pPr>
      <w:r>
        <w:rPr>
          <w:rFonts w:ascii="宋体"/>
          <w:w w:val="100"/>
        </w:rPr>
        <w:t> </w:t>
      </w:r>
    </w:p>
    <w:p>
      <w:pPr>
        <w:pStyle w:val="Heading2"/>
        <w:spacing w:line="240" w:lineRule="auto" w:before="58"/>
        <w:ind w:left="238" w:right="0"/>
        <w:jc w:val="left"/>
        <w:rPr>
          <w:b w:val="0"/>
          <w:bCs w:val="0"/>
        </w:rPr>
      </w:pPr>
      <w:r>
        <w:rPr/>
        <w:t>六、</w:t>
      </w:r>
      <w:r>
        <w:rPr>
          <w:spacing w:val="-31"/>
        </w:rPr>
        <w:t> </w:t>
      </w:r>
      <w:r>
        <w:rPr>
          <w:rFonts w:ascii="宋体" w:hAnsi="宋体" w:cs="宋体" w:eastAsia="宋体" w:hint="default"/>
          <w:spacing w:val="-31"/>
        </w:rPr>
      </w:r>
      <w:r>
        <w:rPr/>
        <w:t>其他相关资料</w:t>
      </w:r>
      <w:r>
        <w:rPr>
          <w:b w:val="0"/>
          <w:bCs w:val="0"/>
        </w:rPr>
      </w:r>
    </w:p>
    <w:p>
      <w:pPr>
        <w:spacing w:line="240" w:lineRule="auto" w:before="12"/>
        <w:rPr>
          <w:rFonts w:ascii="宋体" w:hAnsi="宋体" w:cs="宋体" w:eastAsia="宋体" w:hint="default"/>
          <w:b/>
          <w:bCs/>
          <w:sz w:val="6"/>
          <w:szCs w:val="6"/>
        </w:rPr>
      </w:pPr>
    </w:p>
    <w:tbl>
      <w:tblPr>
        <w:tblW w:w="0" w:type="auto"/>
        <w:jc w:val="left"/>
        <w:tblInd w:w="101" w:type="dxa"/>
        <w:tblLayout w:type="fixed"/>
        <w:tblCellMar>
          <w:top w:w="0" w:type="dxa"/>
          <w:left w:w="0" w:type="dxa"/>
          <w:bottom w:w="0" w:type="dxa"/>
          <w:right w:w="0" w:type="dxa"/>
        </w:tblCellMar>
        <w:tblLook w:val="01E0"/>
      </w:tblPr>
      <w:tblGrid>
        <w:gridCol w:w="2993"/>
        <w:gridCol w:w="1796"/>
        <w:gridCol w:w="4260"/>
      </w:tblGrid>
      <w:tr>
        <w:trPr>
          <w:trHeight w:val="384" w:hRule="exact"/>
        </w:trPr>
        <w:tc>
          <w:tcPr>
            <w:tcW w:w="2993" w:type="dxa"/>
            <w:vMerge w:val="restart"/>
            <w:tcBorders>
              <w:top w:val="single" w:sz="23" w:space="0" w:color="41B7EE"/>
              <w:left w:val="nil" w:sz="6" w:space="0" w:color="auto"/>
              <w:right w:val="single" w:sz="4" w:space="0" w:color="41B7EE"/>
            </w:tcBorders>
          </w:tcPr>
          <w:p>
            <w:pPr>
              <w:pStyle w:val="TableParagraph"/>
              <w:spacing w:line="240" w:lineRule="auto" w:before="1"/>
              <w:ind w:right="0"/>
              <w:jc w:val="left"/>
              <w:rPr>
                <w:rFonts w:ascii="宋体" w:hAnsi="宋体" w:cs="宋体" w:eastAsia="宋体" w:hint="default"/>
                <w:b/>
                <w:bCs/>
                <w:sz w:val="27"/>
                <w:szCs w:val="27"/>
              </w:rPr>
            </w:pPr>
          </w:p>
          <w:p>
            <w:pPr>
              <w:pStyle w:val="TableParagraph"/>
              <w:spacing w:line="272" w:lineRule="exact"/>
              <w:ind w:left="107" w:right="144"/>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内）</w:t>
            </w:r>
            <w:r>
              <w:rPr>
                <w:rFonts w:ascii="宋体" w:hAnsi="宋体" w:cs="宋体" w:eastAsia="宋体" w:hint="default"/>
                <w:sz w:val="21"/>
                <w:szCs w:val="21"/>
              </w:rPr>
              <w:t> </w:t>
            </w:r>
          </w:p>
        </w:tc>
        <w:tc>
          <w:tcPr>
            <w:tcW w:w="1796"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260"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7"/>
              <w:ind w:left="100" w:right="0"/>
              <w:jc w:val="left"/>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r>
      <w:tr>
        <w:trPr>
          <w:trHeight w:val="554" w:hRule="exact"/>
        </w:trPr>
        <w:tc>
          <w:tcPr>
            <w:tcW w:w="2993" w:type="dxa"/>
            <w:vMerge/>
            <w:tcBorders>
              <w:left w:val="nil" w:sz="6" w:space="0" w:color="auto"/>
              <w:right w:val="single" w:sz="4" w:space="0" w:color="41B7EE"/>
            </w:tcBorders>
          </w:tcPr>
          <w:p>
            <w:pPr/>
          </w:p>
        </w:tc>
        <w:tc>
          <w:tcPr>
            <w:tcW w:w="179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260" w:type="dxa"/>
            <w:tcBorders>
              <w:top w:val="single" w:sz="4" w:space="0" w:color="41B7EE"/>
              <w:left w:val="single" w:sz="4" w:space="0" w:color="41B7EE"/>
              <w:bottom w:val="single" w:sz="4" w:space="0" w:color="41B7EE"/>
              <w:right w:val="nil" w:sz="6" w:space="0" w:color="auto"/>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北京市东城区永定门西滨河路</w:t>
            </w:r>
            <w:r>
              <w:rPr>
                <w:rFonts w:ascii="宋体" w:hAnsi="宋体" w:cs="宋体" w:eastAsia="宋体" w:hint="default"/>
                <w:spacing w:val="-55"/>
                <w:sz w:val="21"/>
                <w:szCs w:val="21"/>
              </w:rPr>
              <w:t> </w:t>
            </w:r>
            <w:r>
              <w:rPr>
                <w:rFonts w:ascii="Arial" w:hAnsi="Arial" w:cs="Arial" w:eastAsia="Arial" w:hint="default"/>
                <w:sz w:val="21"/>
                <w:szCs w:val="21"/>
              </w:rPr>
              <w:t>8</w:t>
            </w:r>
            <w:r>
              <w:rPr>
                <w:rFonts w:ascii="Arial" w:hAnsi="Arial" w:cs="Arial" w:eastAsia="Arial" w:hint="default"/>
                <w:spacing w:val="-6"/>
                <w:sz w:val="21"/>
                <w:szCs w:val="21"/>
              </w:rPr>
              <w:t> </w:t>
            </w:r>
            <w:r>
              <w:rPr>
                <w:rFonts w:ascii="宋体" w:hAnsi="宋体" w:cs="宋体" w:eastAsia="宋体" w:hint="default"/>
                <w:sz w:val="21"/>
                <w:szCs w:val="21"/>
              </w:rPr>
              <w:t>号院</w:t>
            </w:r>
            <w:r>
              <w:rPr>
                <w:rFonts w:ascii="宋体" w:hAnsi="宋体" w:cs="宋体" w:eastAsia="宋体" w:hint="default"/>
                <w:spacing w:val="-53"/>
                <w:sz w:val="21"/>
                <w:szCs w:val="21"/>
              </w:rPr>
              <w:t> </w:t>
            </w:r>
            <w:r>
              <w:rPr>
                <w:rFonts w:ascii="Arial" w:hAnsi="Arial" w:cs="Arial" w:eastAsia="Arial" w:hint="default"/>
                <w:sz w:val="21"/>
                <w:szCs w:val="21"/>
              </w:rPr>
              <w:t>7</w:t>
            </w:r>
            <w:r>
              <w:rPr>
                <w:rFonts w:ascii="Arial" w:hAnsi="Arial" w:cs="Arial" w:eastAsia="Arial" w:hint="default"/>
                <w:spacing w:val="-8"/>
                <w:sz w:val="21"/>
                <w:szCs w:val="21"/>
              </w:rPr>
              <w:t> </w:t>
            </w:r>
            <w:r>
              <w:rPr>
                <w:rFonts w:ascii="宋体" w:hAnsi="宋体" w:cs="宋体" w:eastAsia="宋体" w:hint="default"/>
                <w:sz w:val="21"/>
                <w:szCs w:val="21"/>
              </w:rPr>
              <w:t>号楼</w:t>
            </w:r>
          </w:p>
          <w:p>
            <w:pPr>
              <w:pStyle w:val="TableParagraph"/>
              <w:spacing w:line="280" w:lineRule="exact"/>
              <w:ind w:left="100" w:right="0"/>
              <w:jc w:val="left"/>
              <w:rPr>
                <w:rFonts w:ascii="宋体" w:hAnsi="宋体" w:cs="宋体" w:eastAsia="宋体" w:hint="default"/>
                <w:sz w:val="21"/>
                <w:szCs w:val="21"/>
              </w:rPr>
            </w:pPr>
            <w:r>
              <w:rPr>
                <w:rFonts w:ascii="宋体" w:hAnsi="宋体" w:cs="宋体" w:eastAsia="宋体" w:hint="default"/>
                <w:sz w:val="21"/>
                <w:szCs w:val="21"/>
              </w:rPr>
              <w:t>中海地产广场西塔</w:t>
            </w:r>
            <w:r>
              <w:rPr>
                <w:rFonts w:ascii="宋体" w:hAnsi="宋体" w:cs="宋体" w:eastAsia="宋体" w:hint="default"/>
                <w:spacing w:val="-54"/>
                <w:sz w:val="21"/>
                <w:szCs w:val="21"/>
              </w:rPr>
              <w:t> </w:t>
            </w:r>
            <w:r>
              <w:rPr>
                <w:rFonts w:ascii="Arial" w:hAnsi="Arial" w:cs="Arial" w:eastAsia="Arial" w:hint="default"/>
                <w:sz w:val="21"/>
                <w:szCs w:val="21"/>
              </w:rPr>
              <w:t>9</w:t>
            </w:r>
            <w:r>
              <w:rPr>
                <w:rFonts w:ascii="Arial" w:hAnsi="Arial" w:cs="Arial" w:eastAsia="Arial" w:hint="default"/>
                <w:spacing w:val="-5"/>
                <w:sz w:val="21"/>
                <w:szCs w:val="21"/>
              </w:rPr>
              <w:t> </w:t>
            </w:r>
            <w:r>
              <w:rPr>
                <w:rFonts w:ascii="宋体" w:hAnsi="宋体" w:cs="宋体" w:eastAsia="宋体" w:hint="default"/>
                <w:sz w:val="21"/>
                <w:szCs w:val="21"/>
              </w:rPr>
              <w:t>层</w:t>
            </w:r>
          </w:p>
        </w:tc>
      </w:tr>
      <w:tr>
        <w:trPr>
          <w:trHeight w:val="384" w:hRule="exact"/>
        </w:trPr>
        <w:tc>
          <w:tcPr>
            <w:tcW w:w="2993" w:type="dxa"/>
            <w:vMerge/>
            <w:tcBorders>
              <w:left w:val="nil" w:sz="6" w:space="0" w:color="auto"/>
              <w:bottom w:val="single" w:sz="23" w:space="0" w:color="41B7EE"/>
              <w:right w:val="single" w:sz="4" w:space="0" w:color="41B7EE"/>
            </w:tcBorders>
          </w:tcPr>
          <w:p>
            <w:pPr/>
          </w:p>
        </w:tc>
        <w:tc>
          <w:tcPr>
            <w:tcW w:w="1796"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r>
              <w:rPr>
                <w:rFonts w:ascii="宋体" w:hAnsi="宋体" w:cs="宋体" w:eastAsia="宋体" w:hint="default"/>
                <w:sz w:val="21"/>
                <w:szCs w:val="21"/>
              </w:rPr>
              <w:t> </w:t>
            </w:r>
          </w:p>
        </w:tc>
        <w:tc>
          <w:tcPr>
            <w:tcW w:w="4260"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李豫龙、张</w:t>
            </w:r>
            <w:r>
              <w:rPr>
                <w:rFonts w:ascii="宋体" w:hAnsi="宋体" w:cs="宋体" w:eastAsia="宋体" w:hint="default"/>
                <w:spacing w:val="2"/>
                <w:sz w:val="21"/>
                <w:szCs w:val="21"/>
              </w:rPr>
              <w:t> </w:t>
            </w:r>
            <w:r>
              <w:rPr>
                <w:rFonts w:ascii="宋体" w:hAnsi="宋体" w:cs="宋体" w:eastAsia="宋体" w:hint="default"/>
                <w:sz w:val="21"/>
                <w:szCs w:val="21"/>
              </w:rPr>
              <w:t>静</w:t>
            </w:r>
          </w:p>
        </w:tc>
      </w:tr>
    </w:tbl>
    <w:p>
      <w:pPr>
        <w:spacing w:after="0" w:line="240" w:lineRule="auto"/>
        <w:jc w:val="left"/>
        <w:rPr>
          <w:rFonts w:ascii="宋体" w:hAnsi="宋体" w:cs="宋体" w:eastAsia="宋体" w:hint="default"/>
          <w:sz w:val="21"/>
          <w:szCs w:val="21"/>
        </w:rPr>
        <w:sectPr>
          <w:pgSz w:w="11910" w:h="16840"/>
          <w:pgMar w:header="825" w:footer="1195" w:top="1360" w:bottom="1380" w:left="1560" w:right="1000"/>
        </w:sectPr>
      </w:pPr>
    </w:p>
    <w:p>
      <w:pPr>
        <w:pStyle w:val="BodyText"/>
        <w:spacing w:line="241" w:lineRule="exact"/>
        <w:ind w:left="238" w:right="0"/>
        <w:jc w:val="left"/>
        <w:rPr>
          <w:rFonts w:ascii="宋体" w:hAnsi="宋体" w:cs="宋体" w:eastAsia="宋体" w:hint="default"/>
        </w:rPr>
      </w:pPr>
      <w:r>
        <w:rPr>
          <w:rFonts w:ascii="宋体"/>
          <w:w w:val="100"/>
        </w:rPr>
        <w:t> </w:t>
      </w:r>
    </w:p>
    <w:p>
      <w:pPr>
        <w:pStyle w:val="Heading2"/>
        <w:spacing w:line="240" w:lineRule="auto"/>
        <w:ind w:left="238" w:right="-16"/>
        <w:jc w:val="left"/>
        <w:rPr>
          <w:b w:val="0"/>
          <w:bCs w:val="0"/>
        </w:rPr>
      </w:pPr>
      <w:r>
        <w:rPr/>
        <w:t>七、</w:t>
      </w:r>
      <w:r>
        <w:rPr>
          <w:spacing w:val="-34"/>
        </w:rPr>
        <w:t> </w:t>
      </w:r>
      <w:r>
        <w:rPr>
          <w:rFonts w:ascii="宋体" w:hAnsi="宋体" w:cs="宋体" w:eastAsia="宋体" w:hint="default"/>
          <w:spacing w:val="-34"/>
        </w:rPr>
      </w:r>
      <w:r>
        <w:rPr/>
        <w:t>近三年主要会计数据和财务指标</w:t>
      </w:r>
      <w:r>
        <w:rPr>
          <w:b w:val="0"/>
          <w:bCs w:val="0"/>
        </w:rPr>
      </w:r>
    </w:p>
    <w:p>
      <w:pPr>
        <w:pStyle w:val="Heading2"/>
        <w:spacing w:line="240" w:lineRule="auto" w:before="58"/>
        <w:ind w:left="2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76"/>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560" w:right="1000"/>
          <w:cols w:num="2" w:equalWidth="0">
            <w:col w:w="3687" w:space="2834"/>
            <w:col w:w="2829"/>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40"/>
        <w:gridCol w:w="1711"/>
        <w:gridCol w:w="1702"/>
        <w:gridCol w:w="881"/>
        <w:gridCol w:w="1757"/>
      </w:tblGrid>
      <w:tr>
        <w:trPr>
          <w:trHeight w:val="734" w:hRule="exact"/>
        </w:trPr>
        <w:tc>
          <w:tcPr>
            <w:tcW w:w="2840"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89"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711"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182"/>
              <w:ind w:left="511" w:right="0"/>
              <w:jc w:val="left"/>
              <w:rPr>
                <w:rFonts w:ascii="宋体" w:hAnsi="宋体" w:cs="宋体" w:eastAsia="宋体" w:hint="default"/>
                <w:sz w:val="21"/>
                <w:szCs w:val="21"/>
              </w:rPr>
            </w:pPr>
            <w:r>
              <w:rPr>
                <w:rFonts w:ascii="Arial" w:hAnsi="Arial" w:cs="Arial" w:eastAsia="Arial" w:hint="default"/>
                <w:sz w:val="21"/>
                <w:szCs w:val="21"/>
              </w:rPr>
              <w:t>2019</w:t>
            </w:r>
            <w:r>
              <w:rPr>
                <w:rFonts w:ascii="宋体" w:hAnsi="宋体" w:cs="宋体" w:eastAsia="宋体" w:hint="default"/>
                <w:sz w:val="21"/>
                <w:szCs w:val="21"/>
              </w:rPr>
              <w:t>年</w:t>
            </w:r>
          </w:p>
        </w:tc>
        <w:tc>
          <w:tcPr>
            <w:tcW w:w="1702"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182"/>
              <w:ind w:left="506" w:right="0"/>
              <w:jc w:val="left"/>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p>
        </w:tc>
        <w:tc>
          <w:tcPr>
            <w:tcW w:w="881" w:type="dxa"/>
            <w:tcBorders>
              <w:top w:val="single" w:sz="23" w:space="0" w:color="41B7EE"/>
              <w:left w:val="single" w:sz="4" w:space="0" w:color="41B7EE"/>
              <w:bottom w:val="single" w:sz="4" w:space="0" w:color="41B7EE"/>
              <w:right w:val="single" w:sz="4" w:space="0" w:color="41B7EE"/>
            </w:tcBorders>
          </w:tcPr>
          <w:p>
            <w:pPr>
              <w:pStyle w:val="TableParagraph"/>
              <w:spacing w:line="206" w:lineRule="exact"/>
              <w:ind w:left="74" w:right="0"/>
              <w:jc w:val="left"/>
              <w:rPr>
                <w:rFonts w:ascii="宋体" w:hAnsi="宋体" w:cs="宋体" w:eastAsia="宋体" w:hint="default"/>
                <w:sz w:val="18"/>
                <w:szCs w:val="18"/>
              </w:rPr>
            </w:pPr>
            <w:r>
              <w:rPr>
                <w:rFonts w:ascii="宋体" w:hAnsi="宋体" w:cs="宋体" w:eastAsia="宋体" w:hint="default"/>
                <w:sz w:val="18"/>
                <w:szCs w:val="18"/>
              </w:rPr>
              <w:t>本期比上</w:t>
            </w:r>
          </w:p>
          <w:p>
            <w:pPr>
              <w:pStyle w:val="TableParagraph"/>
              <w:spacing w:line="232" w:lineRule="exact" w:before="23"/>
              <w:ind w:left="144" w:right="74" w:hanging="70"/>
              <w:jc w:val="left"/>
              <w:rPr>
                <w:rFonts w:ascii="Arial" w:hAnsi="Arial" w:cs="Arial" w:eastAsia="Arial" w:hint="default"/>
                <w:sz w:val="18"/>
                <w:szCs w:val="18"/>
              </w:rPr>
            </w:pPr>
            <w:r>
              <w:rPr>
                <w:rFonts w:ascii="宋体" w:hAnsi="宋体" w:cs="宋体" w:eastAsia="宋体" w:hint="default"/>
                <w:sz w:val="18"/>
                <w:szCs w:val="18"/>
              </w:rPr>
              <w:t>年同期增 减（</w:t>
            </w:r>
            <w:r>
              <w:rPr>
                <w:rFonts w:ascii="Arial" w:hAnsi="Arial" w:cs="Arial" w:eastAsia="Arial" w:hint="default"/>
                <w:sz w:val="18"/>
                <w:szCs w:val="18"/>
              </w:rPr>
              <w:t>%)</w:t>
            </w:r>
          </w:p>
        </w:tc>
        <w:tc>
          <w:tcPr>
            <w:tcW w:w="1757"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182"/>
              <w:ind w:left="535" w:right="0"/>
              <w:jc w:val="left"/>
              <w:rPr>
                <w:rFonts w:ascii="宋体" w:hAnsi="宋体" w:cs="宋体" w:eastAsia="宋体" w:hint="default"/>
                <w:sz w:val="21"/>
                <w:szCs w:val="21"/>
              </w:rPr>
            </w:pPr>
            <w:r>
              <w:rPr>
                <w:rFonts w:ascii="Arial" w:hAnsi="Arial" w:cs="Arial" w:eastAsia="Arial" w:hint="default"/>
                <w:sz w:val="21"/>
                <w:szCs w:val="21"/>
              </w:rPr>
              <w:t>2017</w:t>
            </w:r>
            <w:r>
              <w:rPr>
                <w:rFonts w:ascii="宋体" w:hAnsi="宋体" w:cs="宋体" w:eastAsia="宋体" w:hint="default"/>
                <w:sz w:val="21"/>
                <w:szCs w:val="21"/>
              </w:rPr>
              <w:t>年</w:t>
            </w:r>
          </w:p>
        </w:tc>
      </w:tr>
      <w:tr>
        <w:trPr>
          <w:trHeight w:val="358" w:hRule="exact"/>
        </w:trPr>
        <w:tc>
          <w:tcPr>
            <w:tcW w:w="284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1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19"/>
              <w:jc w:val="right"/>
              <w:rPr>
                <w:rFonts w:ascii="Arial" w:hAnsi="Arial" w:cs="Arial" w:eastAsia="Arial" w:hint="default"/>
                <w:sz w:val="21"/>
                <w:szCs w:val="21"/>
              </w:rPr>
            </w:pPr>
            <w:r>
              <w:rPr>
                <w:rFonts w:ascii="Arial"/>
                <w:spacing w:val="-1"/>
                <w:sz w:val="21"/>
              </w:rPr>
              <w:t>3,111,306,139.60</w:t>
            </w:r>
          </w:p>
        </w:tc>
        <w:tc>
          <w:tcPr>
            <w:tcW w:w="170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21"/>
              <w:jc w:val="right"/>
              <w:rPr>
                <w:rFonts w:ascii="Arial" w:hAnsi="Arial" w:cs="Arial" w:eastAsia="Arial" w:hint="default"/>
                <w:sz w:val="21"/>
                <w:szCs w:val="21"/>
              </w:rPr>
            </w:pPr>
            <w:r>
              <w:rPr>
                <w:rFonts w:ascii="Arial"/>
                <w:spacing w:val="-1"/>
                <w:sz w:val="21"/>
              </w:rPr>
              <w:t>3,264,778,781.25</w:t>
            </w:r>
          </w:p>
        </w:tc>
        <w:tc>
          <w:tcPr>
            <w:tcW w:w="8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19"/>
              <w:jc w:val="right"/>
              <w:rPr>
                <w:rFonts w:ascii="Arial" w:hAnsi="Arial" w:cs="Arial" w:eastAsia="Arial" w:hint="default"/>
                <w:sz w:val="21"/>
                <w:szCs w:val="21"/>
              </w:rPr>
            </w:pPr>
            <w:r>
              <w:rPr>
                <w:rFonts w:ascii="Arial"/>
                <w:spacing w:val="-1"/>
                <w:sz w:val="21"/>
              </w:rPr>
              <w:t>-4.70</w:t>
            </w:r>
          </w:p>
        </w:tc>
        <w:tc>
          <w:tcPr>
            <w:tcW w:w="17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right="24"/>
              <w:jc w:val="right"/>
              <w:rPr>
                <w:rFonts w:ascii="Arial" w:hAnsi="Arial" w:cs="Arial" w:eastAsia="Arial" w:hint="default"/>
                <w:sz w:val="21"/>
                <w:szCs w:val="21"/>
              </w:rPr>
            </w:pPr>
            <w:r>
              <w:rPr>
                <w:rFonts w:ascii="Arial"/>
                <w:spacing w:val="-1"/>
                <w:sz w:val="21"/>
              </w:rPr>
              <w:t>2,992,414,562.19</w:t>
            </w:r>
          </w:p>
        </w:tc>
      </w:tr>
      <w:tr>
        <w:trPr>
          <w:trHeight w:val="358" w:hRule="exact"/>
        </w:trPr>
        <w:tc>
          <w:tcPr>
            <w:tcW w:w="284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5"/>
              <w:ind w:left="28"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71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848,615,373.80</w:t>
            </w:r>
          </w:p>
        </w:tc>
        <w:tc>
          <w:tcPr>
            <w:tcW w:w="170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976,475,573.91</w:t>
            </w:r>
          </w:p>
        </w:tc>
        <w:tc>
          <w:tcPr>
            <w:tcW w:w="8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-13.09</w:t>
            </w:r>
          </w:p>
        </w:tc>
        <w:tc>
          <w:tcPr>
            <w:tcW w:w="17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779,985,334.87</w:t>
            </w:r>
          </w:p>
        </w:tc>
      </w:tr>
      <w:tr>
        <w:trPr>
          <w:trHeight w:val="554" w:hRule="exact"/>
        </w:trPr>
        <w:tc>
          <w:tcPr>
            <w:tcW w:w="2840" w:type="dxa"/>
            <w:tcBorders>
              <w:top w:val="single" w:sz="4" w:space="0" w:color="41B7EE"/>
              <w:left w:val="nil" w:sz="6" w:space="0" w:color="auto"/>
              <w:bottom w:val="single" w:sz="4" w:space="0" w:color="41B7EE"/>
              <w:right w:val="single" w:sz="4" w:space="0" w:color="41B7EE"/>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经常性损益的净利润</w:t>
            </w:r>
          </w:p>
        </w:tc>
        <w:tc>
          <w:tcPr>
            <w:tcW w:w="171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19"/>
              <w:jc w:val="right"/>
              <w:rPr>
                <w:rFonts w:ascii="Arial" w:hAnsi="Arial" w:cs="Arial" w:eastAsia="Arial" w:hint="default"/>
                <w:sz w:val="21"/>
                <w:szCs w:val="21"/>
              </w:rPr>
            </w:pPr>
            <w:r>
              <w:rPr>
                <w:rFonts w:ascii="Arial"/>
                <w:spacing w:val="-1"/>
                <w:sz w:val="21"/>
              </w:rPr>
              <w:t>1,021,197,133.90</w:t>
            </w:r>
          </w:p>
        </w:tc>
        <w:tc>
          <w:tcPr>
            <w:tcW w:w="170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21"/>
              <w:jc w:val="right"/>
              <w:rPr>
                <w:rFonts w:ascii="Arial" w:hAnsi="Arial" w:cs="Arial" w:eastAsia="Arial" w:hint="default"/>
                <w:sz w:val="21"/>
                <w:szCs w:val="21"/>
              </w:rPr>
            </w:pPr>
            <w:r>
              <w:rPr>
                <w:rFonts w:ascii="Arial"/>
                <w:spacing w:val="-1"/>
                <w:sz w:val="21"/>
              </w:rPr>
              <w:t>1,040,112,117.50</w:t>
            </w:r>
          </w:p>
        </w:tc>
        <w:tc>
          <w:tcPr>
            <w:tcW w:w="8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19"/>
              <w:jc w:val="right"/>
              <w:rPr>
                <w:rFonts w:ascii="Arial" w:hAnsi="Arial" w:cs="Arial" w:eastAsia="Arial" w:hint="default"/>
                <w:sz w:val="21"/>
                <w:szCs w:val="21"/>
              </w:rPr>
            </w:pPr>
            <w:r>
              <w:rPr>
                <w:rFonts w:ascii="Arial"/>
                <w:spacing w:val="-1"/>
                <w:sz w:val="21"/>
              </w:rPr>
              <w:t>-1.82</w:t>
            </w:r>
          </w:p>
        </w:tc>
        <w:tc>
          <w:tcPr>
            <w:tcW w:w="17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6"/>
              <w:ind w:right="24"/>
              <w:jc w:val="right"/>
              <w:rPr>
                <w:rFonts w:ascii="Arial" w:hAnsi="Arial" w:cs="Arial" w:eastAsia="Arial" w:hint="default"/>
                <w:sz w:val="21"/>
                <w:szCs w:val="21"/>
              </w:rPr>
            </w:pPr>
            <w:r>
              <w:rPr>
                <w:rFonts w:ascii="Arial"/>
                <w:spacing w:val="-1"/>
                <w:sz w:val="21"/>
              </w:rPr>
              <w:t>785,051,311.04</w:t>
            </w:r>
          </w:p>
        </w:tc>
      </w:tr>
      <w:tr>
        <w:trPr>
          <w:trHeight w:val="358" w:hRule="exact"/>
        </w:trPr>
        <w:tc>
          <w:tcPr>
            <w:tcW w:w="284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1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814,168,317.31</w:t>
            </w:r>
          </w:p>
        </w:tc>
        <w:tc>
          <w:tcPr>
            <w:tcW w:w="170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1"/>
              <w:jc w:val="right"/>
              <w:rPr>
                <w:rFonts w:ascii="Arial" w:hAnsi="Arial" w:cs="Arial" w:eastAsia="Arial" w:hint="default"/>
                <w:sz w:val="21"/>
                <w:szCs w:val="21"/>
              </w:rPr>
            </w:pPr>
            <w:r>
              <w:rPr>
                <w:rFonts w:ascii="Arial"/>
                <w:spacing w:val="-1"/>
                <w:sz w:val="21"/>
              </w:rPr>
              <w:t>1,313,871,914.27</w:t>
            </w:r>
          </w:p>
        </w:tc>
        <w:tc>
          <w:tcPr>
            <w:tcW w:w="8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-38.03</w:t>
            </w:r>
          </w:p>
        </w:tc>
        <w:tc>
          <w:tcPr>
            <w:tcW w:w="17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843,116,641.09</w:t>
            </w:r>
          </w:p>
        </w:tc>
      </w:tr>
      <w:tr>
        <w:trPr>
          <w:trHeight w:val="710" w:hRule="exact"/>
        </w:trPr>
        <w:tc>
          <w:tcPr>
            <w:tcW w:w="2840" w:type="dxa"/>
            <w:tcBorders>
              <w:top w:val="single" w:sz="4" w:space="0" w:color="41B7EE"/>
              <w:left w:val="nil" w:sz="6" w:space="0" w:color="auto"/>
              <w:bottom w:val="single" w:sz="4" w:space="0" w:color="41B7EE"/>
              <w:right w:val="single" w:sz="4" w:space="0" w:color="41B7EE"/>
            </w:tcBorders>
          </w:tcPr>
          <w:p>
            <w:pPr/>
          </w:p>
        </w:tc>
        <w:tc>
          <w:tcPr>
            <w:tcW w:w="171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79"/>
              <w:ind w:left="405" w:right="0"/>
              <w:jc w:val="left"/>
              <w:rPr>
                <w:rFonts w:ascii="宋体" w:hAnsi="宋体" w:cs="宋体" w:eastAsia="宋体" w:hint="default"/>
                <w:sz w:val="21"/>
                <w:szCs w:val="21"/>
              </w:rPr>
            </w:pPr>
            <w:r>
              <w:rPr>
                <w:rFonts w:ascii="Arial" w:hAnsi="Arial" w:cs="Arial" w:eastAsia="Arial" w:hint="default"/>
                <w:sz w:val="21"/>
                <w:szCs w:val="21"/>
              </w:rPr>
              <w:t>2019</w:t>
            </w:r>
            <w:r>
              <w:rPr>
                <w:rFonts w:ascii="宋体" w:hAnsi="宋体" w:cs="宋体" w:eastAsia="宋体" w:hint="default"/>
                <w:sz w:val="21"/>
                <w:szCs w:val="21"/>
              </w:rPr>
              <w:t>年末</w:t>
            </w:r>
          </w:p>
        </w:tc>
        <w:tc>
          <w:tcPr>
            <w:tcW w:w="170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79"/>
              <w:ind w:left="401" w:right="0"/>
              <w:jc w:val="left"/>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年末</w:t>
            </w:r>
          </w:p>
        </w:tc>
        <w:tc>
          <w:tcPr>
            <w:tcW w:w="881" w:type="dxa"/>
            <w:tcBorders>
              <w:top w:val="single" w:sz="4" w:space="0" w:color="41B7EE"/>
              <w:left w:val="single" w:sz="4" w:space="0" w:color="41B7EE"/>
              <w:bottom w:val="single" w:sz="4" w:space="0" w:color="41B7EE"/>
              <w:right w:val="single" w:sz="4" w:space="0" w:color="41B7EE"/>
            </w:tcBorders>
          </w:tcPr>
          <w:p>
            <w:pPr>
              <w:pStyle w:val="TableParagraph"/>
              <w:spacing w:line="204" w:lineRule="exact"/>
              <w:ind w:left="33" w:right="0"/>
              <w:jc w:val="left"/>
              <w:rPr>
                <w:rFonts w:ascii="宋体" w:hAnsi="宋体" w:cs="宋体" w:eastAsia="宋体" w:hint="default"/>
                <w:sz w:val="18"/>
                <w:szCs w:val="18"/>
              </w:rPr>
            </w:pPr>
            <w:r>
              <w:rPr>
                <w:rFonts w:ascii="宋体" w:hAnsi="宋体" w:cs="宋体" w:eastAsia="宋体" w:hint="default"/>
                <w:spacing w:val="-17"/>
                <w:sz w:val="18"/>
                <w:szCs w:val="18"/>
              </w:rPr>
              <w:t>本期末比上</w:t>
            </w:r>
          </w:p>
          <w:p>
            <w:pPr>
              <w:pStyle w:val="TableParagraph"/>
              <w:spacing w:line="232" w:lineRule="exact" w:before="23"/>
              <w:ind w:left="117" w:right="14" w:hanging="84"/>
              <w:jc w:val="left"/>
              <w:rPr>
                <w:rFonts w:ascii="宋体" w:hAnsi="宋体" w:cs="宋体" w:eastAsia="宋体" w:hint="default"/>
                <w:sz w:val="18"/>
                <w:szCs w:val="18"/>
              </w:rPr>
            </w:pPr>
            <w:r>
              <w:rPr>
                <w:rFonts w:ascii="宋体" w:hAnsi="宋体" w:cs="宋体" w:eastAsia="宋体" w:hint="default"/>
                <w:spacing w:val="-17"/>
                <w:sz w:val="18"/>
                <w:szCs w:val="18"/>
              </w:rPr>
              <w:t>年同期末增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减（</w:t>
            </w:r>
            <w:r>
              <w:rPr>
                <w:rFonts w:ascii="Arial" w:hAnsi="Arial" w:cs="Arial" w:eastAsia="Arial" w:hint="default"/>
                <w:spacing w:val="-13"/>
                <w:sz w:val="18"/>
                <w:szCs w:val="18"/>
              </w:rPr>
              <w:t>%</w:t>
            </w:r>
            <w:r>
              <w:rPr>
                <w:rFonts w:ascii="宋体" w:hAnsi="宋体" w:cs="宋体" w:eastAsia="宋体" w:hint="default"/>
                <w:spacing w:val="-13"/>
                <w:sz w:val="18"/>
                <w:szCs w:val="18"/>
              </w:rPr>
              <w:t>）</w:t>
            </w:r>
          </w:p>
        </w:tc>
        <w:tc>
          <w:tcPr>
            <w:tcW w:w="17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79"/>
              <w:ind w:left="430" w:right="0"/>
              <w:jc w:val="left"/>
              <w:rPr>
                <w:rFonts w:ascii="宋体" w:hAnsi="宋体" w:cs="宋体" w:eastAsia="宋体" w:hint="default"/>
                <w:sz w:val="21"/>
                <w:szCs w:val="21"/>
              </w:rPr>
            </w:pPr>
            <w:r>
              <w:rPr>
                <w:rFonts w:ascii="Arial" w:hAnsi="Arial" w:cs="Arial" w:eastAsia="Arial" w:hint="default"/>
                <w:sz w:val="21"/>
                <w:szCs w:val="21"/>
              </w:rPr>
              <w:t>2017</w:t>
            </w:r>
            <w:r>
              <w:rPr>
                <w:rFonts w:ascii="宋体" w:hAnsi="宋体" w:cs="宋体" w:eastAsia="宋体" w:hint="default"/>
                <w:sz w:val="21"/>
                <w:szCs w:val="21"/>
              </w:rPr>
              <w:t>年末</w:t>
            </w:r>
          </w:p>
        </w:tc>
      </w:tr>
      <w:tr>
        <w:trPr>
          <w:trHeight w:val="358" w:hRule="exact"/>
        </w:trPr>
        <w:tc>
          <w:tcPr>
            <w:tcW w:w="284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归属于上市公司股东的净资产</w:t>
            </w:r>
          </w:p>
        </w:tc>
        <w:tc>
          <w:tcPr>
            <w:tcW w:w="171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6,648,177,197.60</w:t>
            </w:r>
          </w:p>
        </w:tc>
        <w:tc>
          <w:tcPr>
            <w:tcW w:w="170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1"/>
              <w:jc w:val="right"/>
              <w:rPr>
                <w:rFonts w:ascii="Arial" w:hAnsi="Arial" w:cs="Arial" w:eastAsia="Arial" w:hint="default"/>
                <w:sz w:val="21"/>
                <w:szCs w:val="21"/>
              </w:rPr>
            </w:pPr>
            <w:r>
              <w:rPr>
                <w:rFonts w:ascii="Arial"/>
                <w:spacing w:val="-1"/>
                <w:sz w:val="21"/>
              </w:rPr>
              <w:t>6,511,221,985.34</w:t>
            </w:r>
          </w:p>
        </w:tc>
        <w:tc>
          <w:tcPr>
            <w:tcW w:w="8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2.10</w:t>
            </w:r>
          </w:p>
        </w:tc>
        <w:tc>
          <w:tcPr>
            <w:tcW w:w="17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6,017,783,905.23</w:t>
            </w:r>
          </w:p>
        </w:tc>
      </w:tr>
      <w:tr>
        <w:trPr>
          <w:trHeight w:val="362" w:hRule="exact"/>
        </w:trPr>
        <w:tc>
          <w:tcPr>
            <w:tcW w:w="2840"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711"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7,845,324,492.20</w:t>
            </w:r>
          </w:p>
        </w:tc>
        <w:tc>
          <w:tcPr>
            <w:tcW w:w="1702"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21"/>
              <w:jc w:val="right"/>
              <w:rPr>
                <w:rFonts w:ascii="Arial" w:hAnsi="Arial" w:cs="Arial" w:eastAsia="Arial" w:hint="default"/>
                <w:sz w:val="21"/>
                <w:szCs w:val="21"/>
              </w:rPr>
            </w:pPr>
            <w:r>
              <w:rPr>
                <w:rFonts w:ascii="Arial"/>
                <w:spacing w:val="-1"/>
                <w:sz w:val="21"/>
              </w:rPr>
              <w:t>7,973,466,675.38</w:t>
            </w:r>
          </w:p>
        </w:tc>
        <w:tc>
          <w:tcPr>
            <w:tcW w:w="881"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-1.61</w:t>
            </w:r>
          </w:p>
        </w:tc>
        <w:tc>
          <w:tcPr>
            <w:tcW w:w="1757"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7,646,957,935.40</w:t>
            </w:r>
          </w:p>
        </w:tc>
      </w:tr>
    </w:tbl>
    <w:p>
      <w:pPr>
        <w:spacing w:line="20" w:lineRule="exact"/>
        <w:ind w:left="19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2835;height:2" coordorigin="10,10" coordsize="2835,2">
              <v:shape style="position:absolute;left:10;top:10;width:2835;height:2" coordorigin="10,10" coordsize="2835,0" path="m10,10l2844,10e" filled="false" stroked="true" strokeweight=".95996pt" strokecolor="#41b7ee">
                <v:path arrowok="t"/>
              </v:shape>
            </v:group>
            <v:group style="position:absolute;left:2845;top:10;width:58;height:2" coordorigin="2845,10" coordsize="58,2">
              <v:shape style="position:absolute;left:2845;top:10;width:58;height:2" coordorigin="2845,10" coordsize="58,0" path="m2845,10l2902,10e" filled="false" stroked="true" strokeweight=".95996pt" strokecolor="#41b7ee">
                <v:path arrowok="t"/>
              </v:shape>
            </v:group>
            <v:group style="position:absolute;left:2902;top:10;width:1654;height:2" coordorigin="2902,10" coordsize="1654,2">
              <v:shape style="position:absolute;left:2902;top:10;width:1654;height:2" coordorigin="2902,10" coordsize="1654,0" path="m2902,10l4556,10e" filled="false" stroked="true" strokeweight=".95996pt" strokecolor="#41b7ee">
                <v:path arrowok="t"/>
              </v:shape>
            </v:group>
            <v:group style="position:absolute;left:4556;top:10;width:58;height:2" coordorigin="4556,10" coordsize="58,2">
              <v:shape style="position:absolute;left:4556;top:10;width:58;height:2" coordorigin="4556,10" coordsize="58,0" path="m4556,10l4613,10e" filled="false" stroked="true" strokeweight=".95996pt" strokecolor="#41b7ee">
                <v:path arrowok="t"/>
              </v:shape>
            </v:group>
            <v:group style="position:absolute;left:4613;top:10;width:1645;height:2" coordorigin="4613,10" coordsize="1645,2">
              <v:shape style="position:absolute;left:4613;top:10;width:1645;height:2" coordorigin="4613,10" coordsize="1645,0" path="m4613,10l6258,10e" filled="false" stroked="true" strokeweight=".95996pt" strokecolor="#41b7ee">
                <v:path arrowok="t"/>
              </v:shape>
            </v:group>
            <v:group style="position:absolute;left:6258;top:10;width:58;height:2" coordorigin="6258,10" coordsize="58,2">
              <v:shape style="position:absolute;left:6258;top:10;width:58;height:2" coordorigin="6258,10" coordsize="58,0" path="m6258,10l6315,10e" filled="false" stroked="true" strokeweight=".95996pt" strokecolor="#41b7ee">
                <v:path arrowok="t"/>
              </v:shape>
            </v:group>
            <v:group style="position:absolute;left:6315;top:10;width:824;height:2" coordorigin="6315,10" coordsize="824,2">
              <v:shape style="position:absolute;left:6315;top:10;width:824;height:2" coordorigin="6315,10" coordsize="824,0" path="m6315,10l7139,10e" filled="false" stroked="true" strokeweight=".95996pt" strokecolor="#41b7ee">
                <v:path arrowok="t"/>
              </v:shape>
            </v:group>
            <v:group style="position:absolute;left:7139;top:10;width:58;height:2" coordorigin="7139,10" coordsize="58,2">
              <v:shape style="position:absolute;left:7139;top:10;width:58;height:2" coordorigin="7139,10" coordsize="58,0" path="m7139,10l7196,10e" filled="false" stroked="true" strokeweight=".95996pt" strokecolor="#41b7ee">
                <v:path arrowok="t"/>
              </v:shape>
            </v:group>
            <v:group style="position:absolute;left:7196;top:10;width:1705;height:2" coordorigin="7196,10" coordsize="1705,2">
              <v:shape style="position:absolute;left:7196;top:10;width:1705;height:2" coordorigin="7196,10" coordsize="1705,0" path="m7196,10l8901,10e" filled="false" stroked="true" strokeweight=".95996pt" strokecolor="#41b7ee">
                <v:path arrowok="t"/>
              </v:shape>
            </v:group>
          </v:group>
        </w:pict>
      </w:r>
      <w:r>
        <w:rPr>
          <w:rFonts w:ascii="宋体" w:hAnsi="宋体" w:cs="宋体" w:eastAsia="宋体" w:hint="default"/>
          <w:sz w:val="2"/>
          <w:szCs w:val="2"/>
        </w:rPr>
      </w:r>
    </w:p>
    <w:p>
      <w:pPr>
        <w:pStyle w:val="BodyText"/>
        <w:spacing w:line="259" w:lineRule="exact"/>
        <w:ind w:left="238" w:right="0"/>
        <w:jc w:val="left"/>
        <w:rPr>
          <w:rFonts w:ascii="宋体" w:hAnsi="宋体" w:cs="宋体" w:eastAsia="宋体" w:hint="default"/>
        </w:rPr>
      </w:pPr>
      <w:r>
        <w:rPr>
          <w:rFonts w:ascii="宋体"/>
          <w:w w:val="100"/>
        </w:rPr>
        <w:t> </w:t>
      </w:r>
    </w:p>
    <w:p>
      <w:pPr>
        <w:spacing w:after="0" w:line="259" w:lineRule="exact"/>
        <w:jc w:val="left"/>
        <w:rPr>
          <w:rFonts w:ascii="宋体" w:hAnsi="宋体" w:cs="宋体" w:eastAsia="宋体" w:hint="default"/>
        </w:rPr>
        <w:sectPr>
          <w:type w:val="continuous"/>
          <w:pgSz w:w="11910" w:h="16840"/>
          <w:pgMar w:top="1360" w:bottom="1380" w:left="1560" w:right="1000"/>
        </w:sectPr>
      </w:pPr>
    </w:p>
    <w:p>
      <w:pPr>
        <w:pStyle w:val="Heading2"/>
        <w:tabs>
          <w:tab w:pos="1037" w:val="left" w:leader="none"/>
        </w:tabs>
        <w:spacing w:line="240" w:lineRule="auto" w:before="119"/>
        <w:ind w:left="198" w:right="0"/>
        <w:jc w:val="left"/>
        <w:rPr>
          <w:rFonts w:ascii="宋体" w:hAnsi="宋体" w:cs="宋体" w:eastAsia="宋体" w:hint="default"/>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主要财务指标</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7"/>
          <w:szCs w:val="7"/>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48.4pt;height:1pt;mso-position-horizontal-relative:char;mso-position-vertical-relative:line" coordorigin="0,0" coordsize="8968,20">
            <v:group style="position:absolute;left:10;top:10;width:3157;height:2" coordorigin="10,10" coordsize="3157,2">
              <v:shape style="position:absolute;left:10;top:10;width:3157;height:2" coordorigin="10,10" coordsize="3157,0" path="m10,10l3166,10e" filled="false" stroked="true" strokeweight=".96pt" strokecolor="#41b7ee">
                <v:path arrowok="t"/>
              </v:shape>
            </v:group>
            <v:group style="position:absolute;left:3166;top:10;width:58;height:2" coordorigin="3166,10" coordsize="58,2">
              <v:shape style="position:absolute;left:3166;top:10;width:58;height:2" coordorigin="3166,10" coordsize="58,0" path="m3166,10l3224,10e" filled="false" stroked="true" strokeweight=".96pt" strokecolor="#41b7ee">
                <v:path arrowok="t"/>
              </v:shape>
            </v:group>
            <v:group style="position:absolute;left:3224;top:10;width:1520;height:2" coordorigin="3224,10" coordsize="1520,2">
              <v:shape style="position:absolute;left:3224;top:10;width:1520;height:2" coordorigin="3224,10" coordsize="1520,0" path="m3224,10l4743,10e" filled="false" stroked="true" strokeweight=".96pt" strokecolor="#41b7ee">
                <v:path arrowok="t"/>
              </v:shape>
            </v:group>
            <v:group style="position:absolute;left:4743;top:10;width:58;height:2" coordorigin="4743,10" coordsize="58,2">
              <v:shape style="position:absolute;left:4743;top:10;width:58;height:2" coordorigin="4743,10" coordsize="58,0" path="m4743,10l4801,10e" filled="false" stroked="true" strokeweight=".96pt" strokecolor="#41b7ee">
                <v:path arrowok="t"/>
              </v:shape>
            </v:group>
            <v:group style="position:absolute;left:4801;top:10;width:1380;height:2" coordorigin="4801,10" coordsize="1380,2">
              <v:shape style="position:absolute;left:4801;top:10;width:1380;height:2" coordorigin="4801,10" coordsize="1380,0" path="m4801,10l6181,10e" filled="false" stroked="true" strokeweight=".96pt" strokecolor="#41b7ee">
                <v:path arrowok="t"/>
              </v:shape>
            </v:group>
            <v:group style="position:absolute;left:6181;top:10;width:58;height:2" coordorigin="6181,10" coordsize="58,2">
              <v:shape style="position:absolute;left:6181;top:10;width:58;height:2" coordorigin="6181,10" coordsize="58,0" path="m6181,10l6239,10e" filled="false" stroked="true" strokeweight=".96pt" strokecolor="#41b7ee">
                <v:path arrowok="t"/>
              </v:shape>
            </v:group>
            <v:group style="position:absolute;left:6239;top:10;width:1523;height:2" coordorigin="6239,10" coordsize="1523,2">
              <v:shape style="position:absolute;left:6239;top:10;width:1523;height:2" coordorigin="6239,10" coordsize="1523,0" path="m6239,10l7761,10e" filled="false" stroked="true" strokeweight=".96pt" strokecolor="#41b7ee">
                <v:path arrowok="t"/>
              </v:shape>
            </v:group>
            <v:group style="position:absolute;left:7761;top:10;width:58;height:2" coordorigin="7761,10" coordsize="58,2">
              <v:shape style="position:absolute;left:7761;top:10;width:58;height:2" coordorigin="7761,10" coordsize="58,0" path="m7761,10l7818,10e" filled="false" stroked="true" strokeweight=".96pt" strokecolor="#41b7ee">
                <v:path arrowok="t"/>
              </v:shape>
            </v:group>
            <v:group style="position:absolute;left:7818;top:10;width:1140;height:2" coordorigin="7818,10" coordsize="1140,2">
              <v:shape style="position:absolute;left:7818;top:10;width:1140;height:2" coordorigin="7818,10" coordsize="1140,0" path="m7818,10l8958,10e" filled="false" stroked="true" strokeweight=".96pt" strokecolor="#41b7ee">
                <v:path arrowok="t"/>
              </v:shape>
            </v:group>
          </v:group>
        </w:pict>
      </w:r>
      <w:r>
        <w:rPr>
          <w:rFonts w:ascii="宋体" w:hAnsi="宋体" w:cs="宋体" w:eastAsia="宋体" w:hint="default"/>
          <w:sz w:val="2"/>
          <w:szCs w:val="2"/>
        </w:rPr>
      </w:r>
    </w:p>
    <w:tbl>
      <w:tblPr>
        <w:tblW w:w="0" w:type="auto"/>
        <w:jc w:val="left"/>
        <w:tblInd w:w="111" w:type="dxa"/>
        <w:tblLayout w:type="fixed"/>
        <w:tblCellMar>
          <w:top w:w="0" w:type="dxa"/>
          <w:left w:w="0" w:type="dxa"/>
          <w:bottom w:w="0" w:type="dxa"/>
          <w:right w:w="0" w:type="dxa"/>
        </w:tblCellMar>
        <w:tblLook w:val="01E0"/>
      </w:tblPr>
      <w:tblGrid>
        <w:gridCol w:w="3161"/>
        <w:gridCol w:w="1577"/>
        <w:gridCol w:w="1438"/>
        <w:gridCol w:w="1580"/>
        <w:gridCol w:w="1193"/>
      </w:tblGrid>
      <w:tr>
        <w:trPr>
          <w:trHeight w:val="482" w:hRule="exact"/>
        </w:trPr>
        <w:tc>
          <w:tcPr>
            <w:tcW w:w="3161"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64"/>
              <w:ind w:left="950" w:right="0"/>
              <w:jc w:val="left"/>
              <w:rPr>
                <w:rFonts w:ascii="宋体" w:hAnsi="宋体" w:cs="宋体" w:eastAsia="宋体" w:hint="default"/>
                <w:sz w:val="21"/>
                <w:szCs w:val="21"/>
              </w:rPr>
            </w:pPr>
            <w:r>
              <w:rPr>
                <w:rFonts w:ascii="宋体" w:hAnsi="宋体" w:cs="宋体" w:eastAsia="宋体" w:hint="default"/>
                <w:sz w:val="21"/>
                <w:szCs w:val="21"/>
              </w:rPr>
              <w:t>主要财务指标</w:t>
            </w:r>
            <w:r>
              <w:rPr>
                <w:rFonts w:ascii="宋体" w:hAnsi="宋体" w:cs="宋体" w:eastAsia="宋体" w:hint="default"/>
                <w:sz w:val="21"/>
                <w:szCs w:val="21"/>
              </w:rPr>
              <w:t> </w:t>
            </w:r>
          </w:p>
        </w:tc>
        <w:tc>
          <w:tcPr>
            <w:tcW w:w="1577"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64"/>
              <w:ind w:left="443" w:right="0"/>
              <w:jc w:val="left"/>
              <w:rPr>
                <w:rFonts w:ascii="宋体" w:hAnsi="宋体" w:cs="宋体" w:eastAsia="宋体" w:hint="default"/>
                <w:sz w:val="21"/>
                <w:szCs w:val="21"/>
              </w:rPr>
            </w:pPr>
            <w:r>
              <w:rPr>
                <w:rFonts w:ascii="Arial" w:hAnsi="Arial" w:cs="Arial" w:eastAsia="Arial" w:hint="default"/>
                <w:sz w:val="21"/>
                <w:szCs w:val="21"/>
              </w:rPr>
              <w:t>2019</w:t>
            </w:r>
            <w:r>
              <w:rPr>
                <w:rFonts w:ascii="宋体" w:hAnsi="宋体" w:cs="宋体" w:eastAsia="宋体" w:hint="default"/>
                <w:sz w:val="21"/>
                <w:szCs w:val="21"/>
              </w:rPr>
              <w:t>年</w:t>
            </w:r>
          </w:p>
        </w:tc>
        <w:tc>
          <w:tcPr>
            <w:tcW w:w="1438"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64"/>
              <w:ind w:left="374" w:right="0"/>
              <w:jc w:val="left"/>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p>
        </w:tc>
        <w:tc>
          <w:tcPr>
            <w:tcW w:w="1580" w:type="dxa"/>
            <w:tcBorders>
              <w:top w:val="single" w:sz="8" w:space="0" w:color="41B7EE"/>
              <w:left w:val="single" w:sz="4" w:space="0" w:color="41B7EE"/>
              <w:bottom w:val="single" w:sz="4" w:space="0" w:color="41B7EE"/>
              <w:right w:val="single" w:sz="4" w:space="0" w:color="41B7EE"/>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本期比上年同期</w:t>
            </w:r>
          </w:p>
          <w:p>
            <w:pPr>
              <w:pStyle w:val="TableParagraph"/>
              <w:spacing w:line="247" w:lineRule="exact"/>
              <w:ind w:right="0"/>
              <w:jc w:val="center"/>
              <w:rPr>
                <w:rFonts w:ascii="Arial" w:hAnsi="Arial" w:cs="Arial" w:eastAsia="Arial" w:hint="default"/>
                <w:sz w:val="18"/>
                <w:szCs w:val="18"/>
              </w:rPr>
            </w:pPr>
            <w:r>
              <w:rPr>
                <w:rFonts w:ascii="宋体" w:hAnsi="宋体" w:cs="宋体" w:eastAsia="宋体" w:hint="default"/>
                <w:sz w:val="18"/>
                <w:szCs w:val="18"/>
              </w:rPr>
              <w:t>增减（</w:t>
            </w:r>
            <w:r>
              <w:rPr>
                <w:rFonts w:ascii="Arial" w:hAnsi="Arial" w:cs="Arial" w:eastAsia="Arial" w:hint="default"/>
                <w:sz w:val="18"/>
                <w:szCs w:val="18"/>
              </w:rPr>
              <w:t>%)</w:t>
            </w:r>
          </w:p>
        </w:tc>
        <w:tc>
          <w:tcPr>
            <w:tcW w:w="1193"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64"/>
              <w:ind w:left="252" w:right="0"/>
              <w:jc w:val="left"/>
              <w:rPr>
                <w:rFonts w:ascii="宋体" w:hAnsi="宋体" w:cs="宋体" w:eastAsia="宋体" w:hint="default"/>
                <w:sz w:val="21"/>
                <w:szCs w:val="21"/>
              </w:rPr>
            </w:pPr>
            <w:r>
              <w:rPr>
                <w:rFonts w:ascii="Arial" w:hAnsi="Arial" w:cs="Arial" w:eastAsia="Arial" w:hint="default"/>
                <w:sz w:val="21"/>
                <w:szCs w:val="21"/>
              </w:rPr>
              <w:t>2017</w:t>
            </w:r>
            <w:r>
              <w:rPr>
                <w:rFonts w:ascii="宋体" w:hAnsi="宋体" w:cs="宋体" w:eastAsia="宋体" w:hint="default"/>
                <w:sz w:val="21"/>
                <w:szCs w:val="21"/>
              </w:rPr>
              <w:t>年</w:t>
            </w:r>
          </w:p>
        </w:tc>
      </w:tr>
      <w:tr>
        <w:trPr>
          <w:trHeight w:val="358" w:hRule="exact"/>
        </w:trPr>
        <w:tc>
          <w:tcPr>
            <w:tcW w:w="316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7" w:right="0"/>
              <w:jc w:val="left"/>
              <w:rPr>
                <w:rFonts w:ascii="宋体" w:hAnsi="宋体" w:cs="宋体" w:eastAsia="宋体" w:hint="default"/>
                <w:sz w:val="21"/>
                <w:szCs w:val="21"/>
              </w:rPr>
            </w:pPr>
            <w:r>
              <w:rPr>
                <w:rFonts w:ascii="宋体" w:hAnsi="宋体" w:cs="宋体" w:eastAsia="宋体" w:hint="default"/>
                <w:sz w:val="21"/>
                <w:szCs w:val="21"/>
              </w:rPr>
              <w:t>基本每股收益（元／股）</w:t>
            </w:r>
            <w:r>
              <w:rPr>
                <w:rFonts w:ascii="宋体" w:hAnsi="宋体" w:cs="宋体" w:eastAsia="宋体" w:hint="default"/>
                <w:sz w:val="21"/>
                <w:szCs w:val="21"/>
              </w:rPr>
              <w:t> </w:t>
            </w:r>
          </w:p>
        </w:tc>
        <w:tc>
          <w:tcPr>
            <w:tcW w:w="157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49"/>
              <w:jc w:val="right"/>
              <w:rPr>
                <w:rFonts w:ascii="Arial" w:hAnsi="Arial" w:cs="Arial" w:eastAsia="Arial" w:hint="default"/>
                <w:sz w:val="21"/>
                <w:szCs w:val="21"/>
              </w:rPr>
            </w:pPr>
            <w:r>
              <w:rPr>
                <w:rFonts w:ascii="Arial"/>
                <w:spacing w:val="-1"/>
                <w:sz w:val="21"/>
              </w:rPr>
              <w:t>0.477</w:t>
            </w:r>
          </w:p>
        </w:tc>
        <w:tc>
          <w:tcPr>
            <w:tcW w:w="143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48"/>
              <w:jc w:val="right"/>
              <w:rPr>
                <w:rFonts w:ascii="Arial" w:hAnsi="Arial" w:cs="Arial" w:eastAsia="Arial" w:hint="default"/>
                <w:sz w:val="21"/>
                <w:szCs w:val="21"/>
              </w:rPr>
            </w:pPr>
            <w:r>
              <w:rPr>
                <w:rFonts w:ascii="Arial"/>
                <w:spacing w:val="-1"/>
                <w:sz w:val="21"/>
              </w:rPr>
              <w:t>0.549</w:t>
            </w:r>
          </w:p>
        </w:tc>
        <w:tc>
          <w:tcPr>
            <w:tcW w:w="158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49"/>
              <w:jc w:val="right"/>
              <w:rPr>
                <w:rFonts w:ascii="Arial" w:hAnsi="Arial" w:cs="Arial" w:eastAsia="Arial" w:hint="default"/>
                <w:sz w:val="21"/>
                <w:szCs w:val="21"/>
              </w:rPr>
            </w:pPr>
            <w:r>
              <w:rPr>
                <w:rFonts w:ascii="Arial"/>
                <w:spacing w:val="-1"/>
                <w:sz w:val="21"/>
              </w:rPr>
              <w:t>-13.11</w:t>
            </w:r>
          </w:p>
        </w:tc>
        <w:tc>
          <w:tcPr>
            <w:tcW w:w="119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right="53"/>
              <w:jc w:val="right"/>
              <w:rPr>
                <w:rFonts w:ascii="Arial" w:hAnsi="Arial" w:cs="Arial" w:eastAsia="Arial" w:hint="default"/>
                <w:sz w:val="21"/>
                <w:szCs w:val="21"/>
              </w:rPr>
            </w:pPr>
            <w:r>
              <w:rPr>
                <w:rFonts w:ascii="Arial"/>
                <w:spacing w:val="-1"/>
                <w:sz w:val="21"/>
              </w:rPr>
              <w:t>0.439</w:t>
            </w:r>
          </w:p>
        </w:tc>
      </w:tr>
      <w:tr>
        <w:trPr>
          <w:trHeight w:val="358" w:hRule="exact"/>
        </w:trPr>
        <w:tc>
          <w:tcPr>
            <w:tcW w:w="316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7" w:right="0"/>
              <w:jc w:val="left"/>
              <w:rPr>
                <w:rFonts w:ascii="宋体" w:hAnsi="宋体" w:cs="宋体" w:eastAsia="宋体" w:hint="default"/>
                <w:sz w:val="21"/>
                <w:szCs w:val="21"/>
              </w:rPr>
            </w:pPr>
            <w:r>
              <w:rPr>
                <w:rFonts w:ascii="宋体" w:hAnsi="宋体" w:cs="宋体" w:eastAsia="宋体" w:hint="default"/>
                <w:sz w:val="21"/>
                <w:szCs w:val="21"/>
              </w:rPr>
              <w:t>稀释每股收益（元／股）</w:t>
            </w:r>
            <w:r>
              <w:rPr>
                <w:rFonts w:ascii="宋体" w:hAnsi="宋体" w:cs="宋体" w:eastAsia="宋体" w:hint="default"/>
                <w:sz w:val="21"/>
                <w:szCs w:val="21"/>
              </w:rPr>
              <w:t> </w:t>
            </w:r>
          </w:p>
        </w:tc>
        <w:tc>
          <w:tcPr>
            <w:tcW w:w="157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9"/>
              <w:jc w:val="right"/>
              <w:rPr>
                <w:rFonts w:ascii="Arial" w:hAnsi="Arial" w:cs="Arial" w:eastAsia="Arial" w:hint="default"/>
                <w:sz w:val="21"/>
                <w:szCs w:val="21"/>
              </w:rPr>
            </w:pPr>
            <w:r>
              <w:rPr>
                <w:rFonts w:ascii="Arial"/>
                <w:spacing w:val="-1"/>
                <w:sz w:val="21"/>
              </w:rPr>
              <w:t>0.477</w:t>
            </w:r>
          </w:p>
        </w:tc>
        <w:tc>
          <w:tcPr>
            <w:tcW w:w="143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0.549</w:t>
            </w:r>
          </w:p>
        </w:tc>
        <w:tc>
          <w:tcPr>
            <w:tcW w:w="158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9"/>
              <w:jc w:val="right"/>
              <w:rPr>
                <w:rFonts w:ascii="Arial" w:hAnsi="Arial" w:cs="Arial" w:eastAsia="Arial" w:hint="default"/>
                <w:sz w:val="21"/>
                <w:szCs w:val="21"/>
              </w:rPr>
            </w:pPr>
            <w:r>
              <w:rPr>
                <w:rFonts w:ascii="Arial"/>
                <w:spacing w:val="-1"/>
                <w:sz w:val="21"/>
              </w:rPr>
              <w:t>-13.11</w:t>
            </w:r>
          </w:p>
        </w:tc>
        <w:tc>
          <w:tcPr>
            <w:tcW w:w="119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53"/>
              <w:jc w:val="right"/>
              <w:rPr>
                <w:rFonts w:ascii="Arial" w:hAnsi="Arial" w:cs="Arial" w:eastAsia="Arial" w:hint="default"/>
                <w:sz w:val="21"/>
                <w:szCs w:val="21"/>
              </w:rPr>
            </w:pPr>
            <w:r>
              <w:rPr>
                <w:rFonts w:ascii="Arial"/>
                <w:spacing w:val="-1"/>
                <w:sz w:val="21"/>
              </w:rPr>
              <w:t>0.439</w:t>
            </w:r>
          </w:p>
        </w:tc>
      </w:tr>
      <w:tr>
        <w:trPr>
          <w:trHeight w:val="554" w:hRule="exact"/>
        </w:trPr>
        <w:tc>
          <w:tcPr>
            <w:tcW w:w="3161" w:type="dxa"/>
            <w:tcBorders>
              <w:top w:val="single" w:sz="4" w:space="0" w:color="41B7EE"/>
              <w:left w:val="nil" w:sz="6" w:space="0" w:color="auto"/>
              <w:bottom w:val="single" w:sz="4" w:space="0" w:color="41B7EE"/>
              <w:right w:val="single" w:sz="4" w:space="0" w:color="41B7EE"/>
            </w:tcBorders>
          </w:tcPr>
          <w:p>
            <w:pPr>
              <w:pStyle w:val="TableParagraph"/>
              <w:spacing w:line="240" w:lineRule="exact"/>
              <w:ind w:left="57"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w:t>
            </w:r>
          </w:p>
          <w:p>
            <w:pPr>
              <w:pStyle w:val="TableParagraph"/>
              <w:spacing w:line="274" w:lineRule="exact"/>
              <w:ind w:left="57" w:right="0"/>
              <w:jc w:val="left"/>
              <w:rPr>
                <w:rFonts w:ascii="宋体" w:hAnsi="宋体" w:cs="宋体" w:eastAsia="宋体" w:hint="default"/>
                <w:sz w:val="21"/>
                <w:szCs w:val="21"/>
              </w:rPr>
            </w:pPr>
            <w:r>
              <w:rPr>
                <w:rFonts w:ascii="宋体" w:hAnsi="宋体" w:cs="宋体" w:eastAsia="宋体" w:hint="default"/>
                <w:sz w:val="21"/>
                <w:szCs w:val="21"/>
              </w:rPr>
              <w:t>收益（元／股）</w:t>
            </w:r>
            <w:r>
              <w:rPr>
                <w:rFonts w:ascii="宋体" w:hAnsi="宋体" w:cs="宋体" w:eastAsia="宋体" w:hint="default"/>
                <w:sz w:val="21"/>
                <w:szCs w:val="21"/>
              </w:rPr>
              <w:t> </w:t>
            </w:r>
          </w:p>
        </w:tc>
        <w:tc>
          <w:tcPr>
            <w:tcW w:w="157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49"/>
              <w:jc w:val="right"/>
              <w:rPr>
                <w:rFonts w:ascii="Arial" w:hAnsi="Arial" w:cs="Arial" w:eastAsia="Arial" w:hint="default"/>
                <w:sz w:val="21"/>
                <w:szCs w:val="21"/>
              </w:rPr>
            </w:pPr>
            <w:r>
              <w:rPr>
                <w:rFonts w:ascii="Arial"/>
                <w:spacing w:val="-1"/>
                <w:sz w:val="21"/>
              </w:rPr>
              <w:t>0.574</w:t>
            </w:r>
          </w:p>
        </w:tc>
        <w:tc>
          <w:tcPr>
            <w:tcW w:w="143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48"/>
              <w:jc w:val="right"/>
              <w:rPr>
                <w:rFonts w:ascii="Arial" w:hAnsi="Arial" w:cs="Arial" w:eastAsia="Arial" w:hint="default"/>
                <w:sz w:val="21"/>
                <w:szCs w:val="21"/>
              </w:rPr>
            </w:pPr>
            <w:r>
              <w:rPr>
                <w:rFonts w:ascii="Arial"/>
                <w:spacing w:val="-1"/>
                <w:sz w:val="21"/>
              </w:rPr>
              <w:t>0.585</w:t>
            </w:r>
          </w:p>
        </w:tc>
        <w:tc>
          <w:tcPr>
            <w:tcW w:w="158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49"/>
              <w:jc w:val="right"/>
              <w:rPr>
                <w:rFonts w:ascii="Arial" w:hAnsi="Arial" w:cs="Arial" w:eastAsia="Arial" w:hint="default"/>
                <w:sz w:val="21"/>
                <w:szCs w:val="21"/>
              </w:rPr>
            </w:pPr>
            <w:r>
              <w:rPr>
                <w:rFonts w:ascii="Arial"/>
                <w:spacing w:val="-1"/>
                <w:sz w:val="21"/>
              </w:rPr>
              <w:t>-1.88</w:t>
            </w:r>
          </w:p>
        </w:tc>
        <w:tc>
          <w:tcPr>
            <w:tcW w:w="119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6"/>
              <w:ind w:right="53"/>
              <w:jc w:val="right"/>
              <w:rPr>
                <w:rFonts w:ascii="Arial" w:hAnsi="Arial" w:cs="Arial" w:eastAsia="Arial" w:hint="default"/>
                <w:sz w:val="21"/>
                <w:szCs w:val="21"/>
              </w:rPr>
            </w:pPr>
            <w:r>
              <w:rPr>
                <w:rFonts w:ascii="Arial"/>
                <w:spacing w:val="-1"/>
                <w:sz w:val="21"/>
              </w:rPr>
              <w:t>0.442</w:t>
            </w:r>
          </w:p>
        </w:tc>
      </w:tr>
      <w:tr>
        <w:trPr>
          <w:trHeight w:val="358" w:hRule="exact"/>
        </w:trPr>
        <w:tc>
          <w:tcPr>
            <w:tcW w:w="316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7"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57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9"/>
              <w:jc w:val="right"/>
              <w:rPr>
                <w:rFonts w:ascii="Arial" w:hAnsi="Arial" w:cs="Arial" w:eastAsia="Arial" w:hint="default"/>
                <w:sz w:val="21"/>
                <w:szCs w:val="21"/>
              </w:rPr>
            </w:pPr>
            <w:r>
              <w:rPr>
                <w:rFonts w:ascii="Arial"/>
                <w:spacing w:val="-1"/>
                <w:sz w:val="21"/>
              </w:rPr>
              <w:t>13.02</w:t>
            </w:r>
          </w:p>
        </w:tc>
        <w:tc>
          <w:tcPr>
            <w:tcW w:w="143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15.58</w:t>
            </w:r>
          </w:p>
        </w:tc>
        <w:tc>
          <w:tcPr>
            <w:tcW w:w="158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7"/>
              <w:ind w:right="50"/>
              <w:jc w:val="right"/>
              <w:rPr>
                <w:rFonts w:ascii="宋体" w:hAnsi="宋体" w:cs="宋体" w:eastAsia="宋体" w:hint="default"/>
                <w:sz w:val="18"/>
                <w:szCs w:val="18"/>
              </w:rPr>
            </w:pPr>
            <w:r>
              <w:rPr>
                <w:rFonts w:ascii="宋体" w:hAnsi="宋体" w:cs="宋体" w:eastAsia="宋体" w:hint="default"/>
                <w:sz w:val="18"/>
                <w:szCs w:val="18"/>
              </w:rPr>
              <w:t>减少</w:t>
            </w:r>
            <w:r>
              <w:rPr>
                <w:rFonts w:ascii="Arial" w:hAnsi="Arial" w:cs="Arial" w:eastAsia="Arial" w:hint="default"/>
                <w:sz w:val="18"/>
                <w:szCs w:val="18"/>
              </w:rPr>
              <w:t>2.56</w:t>
            </w:r>
            <w:r>
              <w:rPr>
                <w:rFonts w:ascii="宋体" w:hAnsi="宋体" w:cs="宋体" w:eastAsia="宋体" w:hint="default"/>
                <w:sz w:val="18"/>
                <w:szCs w:val="18"/>
              </w:rPr>
              <w:t>个百分点</w:t>
            </w:r>
          </w:p>
        </w:tc>
        <w:tc>
          <w:tcPr>
            <w:tcW w:w="119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53"/>
              <w:jc w:val="right"/>
              <w:rPr>
                <w:rFonts w:ascii="Arial" w:hAnsi="Arial" w:cs="Arial" w:eastAsia="Arial" w:hint="default"/>
                <w:sz w:val="21"/>
                <w:szCs w:val="21"/>
              </w:rPr>
            </w:pPr>
            <w:r>
              <w:rPr>
                <w:rFonts w:ascii="Arial"/>
                <w:spacing w:val="-1"/>
                <w:sz w:val="21"/>
              </w:rPr>
              <w:t>13.27</w:t>
            </w:r>
          </w:p>
        </w:tc>
      </w:tr>
      <w:tr>
        <w:trPr>
          <w:trHeight w:val="581" w:hRule="exact"/>
        </w:trPr>
        <w:tc>
          <w:tcPr>
            <w:tcW w:w="3161" w:type="dxa"/>
            <w:tcBorders>
              <w:top w:val="single" w:sz="4" w:space="0" w:color="41B7EE"/>
              <w:left w:val="nil" w:sz="6" w:space="0" w:color="auto"/>
              <w:bottom w:val="single" w:sz="23" w:space="0" w:color="41B7EE"/>
              <w:right w:val="single" w:sz="4" w:space="0" w:color="41B7EE"/>
            </w:tcBorders>
          </w:tcPr>
          <w:p>
            <w:pPr>
              <w:pStyle w:val="TableParagraph"/>
              <w:spacing w:line="239" w:lineRule="exact"/>
              <w:ind w:left="57"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w:t>
            </w:r>
          </w:p>
          <w:p>
            <w:pPr>
              <w:pStyle w:val="TableParagraph"/>
              <w:spacing w:line="273" w:lineRule="exact"/>
              <w:ind w:left="57" w:right="0"/>
              <w:jc w:val="left"/>
              <w:rPr>
                <w:rFonts w:ascii="宋体" w:hAnsi="宋体" w:cs="宋体" w:eastAsia="宋体" w:hint="default"/>
                <w:sz w:val="21"/>
                <w:szCs w:val="21"/>
              </w:rPr>
            </w:pPr>
            <w:r>
              <w:rPr>
                <w:rFonts w:ascii="宋体" w:hAnsi="宋体" w:cs="宋体" w:eastAsia="宋体" w:hint="default"/>
                <w:sz w:val="21"/>
                <w:szCs w:val="21"/>
              </w:rPr>
              <w:t>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577"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146"/>
              <w:ind w:right="49"/>
              <w:jc w:val="right"/>
              <w:rPr>
                <w:rFonts w:ascii="Arial" w:hAnsi="Arial" w:cs="Arial" w:eastAsia="Arial" w:hint="default"/>
                <w:sz w:val="21"/>
                <w:szCs w:val="21"/>
              </w:rPr>
            </w:pPr>
            <w:r>
              <w:rPr>
                <w:rFonts w:ascii="Arial"/>
                <w:spacing w:val="-1"/>
                <w:sz w:val="21"/>
              </w:rPr>
              <w:t>15.66</w:t>
            </w:r>
          </w:p>
        </w:tc>
        <w:tc>
          <w:tcPr>
            <w:tcW w:w="1438"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146"/>
              <w:ind w:right="48"/>
              <w:jc w:val="right"/>
              <w:rPr>
                <w:rFonts w:ascii="Arial" w:hAnsi="Arial" w:cs="Arial" w:eastAsia="Arial" w:hint="default"/>
                <w:sz w:val="21"/>
                <w:szCs w:val="21"/>
              </w:rPr>
            </w:pPr>
            <w:r>
              <w:rPr>
                <w:rFonts w:ascii="Arial"/>
                <w:spacing w:val="-1"/>
                <w:sz w:val="21"/>
              </w:rPr>
              <w:t>16.60</w:t>
            </w:r>
          </w:p>
        </w:tc>
        <w:tc>
          <w:tcPr>
            <w:tcW w:w="1580"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125"/>
              <w:ind w:right="50"/>
              <w:jc w:val="right"/>
              <w:rPr>
                <w:rFonts w:ascii="宋体" w:hAnsi="宋体" w:cs="宋体" w:eastAsia="宋体" w:hint="default"/>
                <w:sz w:val="18"/>
                <w:szCs w:val="18"/>
              </w:rPr>
            </w:pPr>
            <w:r>
              <w:rPr>
                <w:rFonts w:ascii="宋体" w:hAnsi="宋体" w:cs="宋体" w:eastAsia="宋体" w:hint="default"/>
                <w:sz w:val="18"/>
                <w:szCs w:val="18"/>
              </w:rPr>
              <w:t>减少</w:t>
            </w:r>
            <w:r>
              <w:rPr>
                <w:rFonts w:ascii="Arial" w:hAnsi="Arial" w:cs="Arial" w:eastAsia="Arial" w:hint="default"/>
                <w:sz w:val="18"/>
                <w:szCs w:val="18"/>
              </w:rPr>
              <w:t>0.94</w:t>
            </w:r>
            <w:r>
              <w:rPr>
                <w:rFonts w:ascii="宋体" w:hAnsi="宋体" w:cs="宋体" w:eastAsia="宋体" w:hint="default"/>
                <w:sz w:val="18"/>
                <w:szCs w:val="18"/>
              </w:rPr>
              <w:t>个百分点</w:t>
            </w:r>
          </w:p>
        </w:tc>
        <w:tc>
          <w:tcPr>
            <w:tcW w:w="1193"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146"/>
              <w:ind w:right="53"/>
              <w:jc w:val="right"/>
              <w:rPr>
                <w:rFonts w:ascii="Arial" w:hAnsi="Arial" w:cs="Arial" w:eastAsia="Arial" w:hint="default"/>
                <w:sz w:val="21"/>
                <w:szCs w:val="21"/>
              </w:rPr>
            </w:pPr>
            <w:r>
              <w:rPr>
                <w:rFonts w:ascii="Arial"/>
                <w:spacing w:val="-1"/>
                <w:sz w:val="21"/>
              </w:rPr>
              <w:t>13.35</w:t>
            </w:r>
          </w:p>
        </w:tc>
      </w:tr>
    </w:tbl>
    <w:p>
      <w:pPr>
        <w:pStyle w:val="BodyText"/>
        <w:spacing w:line="257" w:lineRule="exact"/>
        <w:ind w:left="198" w:right="0"/>
        <w:jc w:val="left"/>
        <w:rPr>
          <w:rFonts w:ascii="宋体" w:hAnsi="宋体" w:cs="宋体" w:eastAsia="宋体" w:hint="default"/>
        </w:rPr>
      </w:pPr>
      <w:r>
        <w:rPr/>
        <w:t>报告期末公司前三年主要会计数据和财务指标的说明</w:t>
      </w:r>
      <w:r>
        <w:rPr>
          <w:rFonts w:ascii="宋体" w:hAnsi="宋体" w:cs="宋体" w:eastAsia="宋体" w:hint="default"/>
        </w:rPr>
        <w:t> </w:t>
      </w:r>
    </w:p>
    <w:p>
      <w:pPr>
        <w:pStyle w:val="BodyText"/>
        <w:spacing w:line="273" w:lineRule="exact"/>
        <w:ind w:left="1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5" w:lineRule="exact"/>
        <w:ind w:left="198" w:right="0"/>
        <w:jc w:val="left"/>
        <w:rPr>
          <w:rFonts w:ascii="宋体" w:hAnsi="宋体" w:cs="宋体" w:eastAsia="宋体" w:hint="default"/>
        </w:rPr>
      </w:pPr>
      <w:r>
        <w:rPr>
          <w:rFonts w:ascii="宋体"/>
          <w:w w:val="100"/>
        </w:rPr>
        <w:t> </w:t>
      </w:r>
    </w:p>
    <w:p>
      <w:pPr>
        <w:pStyle w:val="Heading2"/>
        <w:spacing w:line="240" w:lineRule="auto"/>
        <w:ind w:left="198" w:right="0"/>
        <w:jc w:val="left"/>
        <w:rPr>
          <w:b w:val="0"/>
          <w:bCs w:val="0"/>
        </w:rPr>
      </w:pPr>
      <w:r>
        <w:rPr/>
        <w:t>八、</w:t>
      </w:r>
      <w:r>
        <w:rPr>
          <w:spacing w:val="-34"/>
        </w:rPr>
        <w:t> </w:t>
      </w:r>
      <w:r>
        <w:rPr>
          <w:rFonts w:ascii="宋体" w:hAnsi="宋体" w:cs="宋体" w:eastAsia="宋体" w:hint="default"/>
          <w:spacing w:val="-34"/>
        </w:rPr>
      </w:r>
      <w:r>
        <w:rPr/>
        <w:t>境内外会计准则下会计数据差异</w:t>
      </w:r>
      <w:r>
        <w:rPr>
          <w:b w:val="0"/>
          <w:bCs w:val="0"/>
        </w:rPr>
      </w:r>
    </w:p>
    <w:p>
      <w:pPr>
        <w:pStyle w:val="Heading2"/>
        <w:spacing w:line="272" w:lineRule="exact" w:before="86"/>
        <w:ind w:left="618" w:right="0"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4"/>
        <w:ind w:left="1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74" w:lineRule="exact" w:before="82"/>
        <w:ind w:left="56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1"/>
        <w:ind w:left="1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left="19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74" w:lineRule="exact" w:before="29"/>
        <w:ind w:left="1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98" w:right="0"/>
        <w:jc w:val="left"/>
        <w:rPr>
          <w:rFonts w:ascii="宋体" w:hAnsi="宋体" w:cs="宋体" w:eastAsia="宋体" w:hint="default"/>
        </w:rPr>
      </w:pPr>
      <w:r>
        <w:rPr>
          <w:rFonts w:ascii="宋体"/>
          <w:w w:val="100"/>
        </w:rPr>
        <w:t> </w:t>
      </w:r>
    </w:p>
    <w:p>
      <w:pPr>
        <w:pStyle w:val="Heading2"/>
        <w:spacing w:line="240" w:lineRule="auto"/>
        <w:ind w:left="198" w:right="0"/>
        <w:jc w:val="left"/>
        <w:rPr>
          <w:b w:val="0"/>
          <w:bCs w:val="0"/>
        </w:rPr>
      </w:pPr>
      <w:r>
        <w:rPr/>
        <w:t>九、 </w:t>
      </w:r>
      <w:r>
        <w:rPr>
          <w:rFonts w:ascii="宋体" w:hAnsi="宋体" w:cs="宋体" w:eastAsia="宋体" w:hint="default"/>
        </w:rPr>
      </w:r>
      <w:r>
        <w:rPr>
          <w:rFonts w:ascii="Arial" w:hAnsi="Arial" w:cs="Arial" w:eastAsia="Arial" w:hint="default"/>
        </w:rPr>
        <w:t>2019</w:t>
      </w:r>
      <w:r>
        <w:rPr>
          <w:rFonts w:ascii="Arial" w:hAnsi="Arial" w:cs="Arial" w:eastAsia="Arial" w:hint="default"/>
          <w:spacing w:val="-41"/>
        </w:rPr>
        <w:t> </w:t>
      </w:r>
      <w:r>
        <w:rPr/>
        <w:t>年分季度主要财务数据</w:t>
      </w:r>
      <w:r>
        <w:rPr>
          <w:b w:val="0"/>
          <w:bCs w:val="0"/>
        </w:rPr>
      </w:r>
    </w:p>
    <w:p>
      <w:pPr>
        <w:pStyle w:val="BodyText"/>
        <w:spacing w:line="240" w:lineRule="auto" w:before="44"/>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889"/>
        <w:gridCol w:w="1844"/>
        <w:gridCol w:w="1844"/>
        <w:gridCol w:w="1682"/>
        <w:gridCol w:w="1621"/>
      </w:tblGrid>
      <w:tr>
        <w:trPr>
          <w:trHeight w:val="581" w:hRule="exact"/>
        </w:trPr>
        <w:tc>
          <w:tcPr>
            <w:tcW w:w="1889"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105"/>
              <w:ind w:left="107" w:right="0"/>
              <w:jc w:val="center"/>
              <w:rPr>
                <w:rFonts w:ascii="宋体" w:hAnsi="宋体" w:cs="宋体" w:eastAsia="宋体" w:hint="default"/>
                <w:sz w:val="21"/>
                <w:szCs w:val="21"/>
              </w:rPr>
            </w:pPr>
            <w:r>
              <w:rPr>
                <w:rFonts w:ascii="宋体"/>
                <w:w w:val="100"/>
                <w:sz w:val="21"/>
              </w:rPr>
              <w:t> </w:t>
            </w:r>
          </w:p>
        </w:tc>
        <w:tc>
          <w:tcPr>
            <w:tcW w:w="1844" w:type="dxa"/>
            <w:tcBorders>
              <w:top w:val="single" w:sz="23" w:space="0" w:color="41B7EE"/>
              <w:left w:val="single" w:sz="4" w:space="0" w:color="41B7EE"/>
              <w:bottom w:val="single" w:sz="4" w:space="0" w:color="41B7EE"/>
              <w:right w:val="single" w:sz="4" w:space="0" w:color="41B7EE"/>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1-3</w:t>
            </w:r>
            <w:r>
              <w:rPr>
                <w:rFonts w:ascii="Arial" w:hAnsi="Arial" w:cs="Arial" w:eastAsia="Arial" w:hint="default"/>
                <w:spacing w:val="-6"/>
                <w:sz w:val="21"/>
                <w:szCs w:val="21"/>
              </w:rPr>
              <w:t> </w:t>
            </w:r>
            <w:r>
              <w:rPr>
                <w:rFonts w:ascii="宋体" w:hAnsi="宋体" w:cs="宋体" w:eastAsia="宋体" w:hint="default"/>
                <w:sz w:val="21"/>
                <w:szCs w:val="21"/>
              </w:rPr>
              <w:t>月份）</w:t>
            </w:r>
          </w:p>
        </w:tc>
        <w:tc>
          <w:tcPr>
            <w:tcW w:w="1844" w:type="dxa"/>
            <w:tcBorders>
              <w:top w:val="single" w:sz="23" w:space="0" w:color="41B7EE"/>
              <w:left w:val="single" w:sz="4" w:space="0" w:color="41B7EE"/>
              <w:bottom w:val="single" w:sz="4" w:space="0" w:color="41B7EE"/>
              <w:right w:val="single" w:sz="4" w:space="0" w:color="41B7EE"/>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4-6</w:t>
            </w:r>
            <w:r>
              <w:rPr>
                <w:rFonts w:ascii="Arial" w:hAnsi="Arial" w:cs="Arial" w:eastAsia="Arial" w:hint="default"/>
                <w:spacing w:val="-6"/>
                <w:sz w:val="21"/>
                <w:szCs w:val="21"/>
              </w:rPr>
              <w:t> </w:t>
            </w:r>
            <w:r>
              <w:rPr>
                <w:rFonts w:ascii="宋体" w:hAnsi="宋体" w:cs="宋体" w:eastAsia="宋体" w:hint="default"/>
                <w:sz w:val="21"/>
                <w:szCs w:val="21"/>
              </w:rPr>
              <w:t>月份）</w:t>
            </w:r>
          </w:p>
        </w:tc>
        <w:tc>
          <w:tcPr>
            <w:tcW w:w="1682" w:type="dxa"/>
            <w:tcBorders>
              <w:top w:val="single" w:sz="23" w:space="0" w:color="41B7EE"/>
              <w:left w:val="single" w:sz="4" w:space="0" w:color="41B7EE"/>
              <w:bottom w:val="single" w:sz="4" w:space="0" w:color="41B7EE"/>
              <w:right w:val="single" w:sz="4" w:space="0" w:color="41B7EE"/>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7-9</w:t>
            </w:r>
            <w:r>
              <w:rPr>
                <w:rFonts w:ascii="Arial" w:hAnsi="Arial" w:cs="Arial" w:eastAsia="Arial" w:hint="default"/>
                <w:spacing w:val="-6"/>
                <w:sz w:val="21"/>
                <w:szCs w:val="21"/>
              </w:rPr>
              <w:t> </w:t>
            </w:r>
            <w:r>
              <w:rPr>
                <w:rFonts w:ascii="宋体" w:hAnsi="宋体" w:cs="宋体" w:eastAsia="宋体" w:hint="default"/>
                <w:sz w:val="21"/>
                <w:szCs w:val="21"/>
              </w:rPr>
              <w:t>月份）</w:t>
            </w:r>
          </w:p>
        </w:tc>
        <w:tc>
          <w:tcPr>
            <w:tcW w:w="1621" w:type="dxa"/>
            <w:tcBorders>
              <w:top w:val="single" w:sz="23" w:space="0" w:color="41B7EE"/>
              <w:left w:val="single" w:sz="4" w:space="0" w:color="41B7EE"/>
              <w:bottom w:val="single" w:sz="4" w:space="0" w:color="41B7EE"/>
              <w:right w:val="nil" w:sz="6" w:space="0" w:color="auto"/>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10-12</w:t>
            </w:r>
            <w:r>
              <w:rPr>
                <w:rFonts w:ascii="Arial" w:hAnsi="Arial" w:cs="Arial" w:eastAsia="Arial" w:hint="default"/>
                <w:spacing w:val="-6"/>
                <w:sz w:val="21"/>
                <w:szCs w:val="21"/>
              </w:rPr>
              <w:t> </w:t>
            </w:r>
            <w:r>
              <w:rPr>
                <w:rFonts w:ascii="宋体" w:hAnsi="宋体" w:cs="宋体" w:eastAsia="宋体" w:hint="default"/>
                <w:sz w:val="21"/>
                <w:szCs w:val="21"/>
              </w:rPr>
              <w:t>月份）</w:t>
            </w:r>
          </w:p>
        </w:tc>
      </w:tr>
      <w:tr>
        <w:trPr>
          <w:trHeight w:val="358" w:hRule="exact"/>
        </w:trPr>
        <w:tc>
          <w:tcPr>
            <w:tcW w:w="188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45"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4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38"/>
              <w:jc w:val="right"/>
              <w:rPr>
                <w:rFonts w:ascii="Arial" w:hAnsi="Arial" w:cs="Arial" w:eastAsia="Arial" w:hint="default"/>
                <w:sz w:val="21"/>
                <w:szCs w:val="21"/>
              </w:rPr>
            </w:pPr>
            <w:r>
              <w:rPr>
                <w:rFonts w:ascii="Arial"/>
                <w:spacing w:val="-1"/>
                <w:sz w:val="21"/>
              </w:rPr>
              <w:t>571,975,900.54</w:t>
            </w:r>
          </w:p>
        </w:tc>
        <w:tc>
          <w:tcPr>
            <w:tcW w:w="184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39"/>
              <w:jc w:val="right"/>
              <w:rPr>
                <w:rFonts w:ascii="Arial" w:hAnsi="Arial" w:cs="Arial" w:eastAsia="Arial" w:hint="default"/>
                <w:sz w:val="21"/>
                <w:szCs w:val="21"/>
              </w:rPr>
            </w:pPr>
            <w:r>
              <w:rPr>
                <w:rFonts w:ascii="Arial"/>
                <w:spacing w:val="-1"/>
                <w:sz w:val="21"/>
              </w:rPr>
              <w:t>1,117,776,284.64</w:t>
            </w:r>
          </w:p>
        </w:tc>
        <w:tc>
          <w:tcPr>
            <w:tcW w:w="16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left="134" w:right="0"/>
              <w:jc w:val="center"/>
              <w:rPr>
                <w:rFonts w:ascii="Arial" w:hAnsi="Arial" w:cs="Arial" w:eastAsia="Arial" w:hint="default"/>
                <w:sz w:val="21"/>
                <w:szCs w:val="21"/>
              </w:rPr>
            </w:pPr>
            <w:r>
              <w:rPr>
                <w:rFonts w:ascii="Arial"/>
                <w:sz w:val="21"/>
              </w:rPr>
              <w:t>740,383,801.78</w:t>
            </w:r>
          </w:p>
        </w:tc>
        <w:tc>
          <w:tcPr>
            <w:tcW w:w="162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38"/>
              <w:jc w:val="right"/>
              <w:rPr>
                <w:rFonts w:ascii="Arial" w:hAnsi="Arial" w:cs="Arial" w:eastAsia="Arial" w:hint="default"/>
                <w:sz w:val="21"/>
                <w:szCs w:val="21"/>
              </w:rPr>
            </w:pPr>
            <w:r>
              <w:rPr>
                <w:rFonts w:ascii="Arial"/>
                <w:spacing w:val="-1"/>
                <w:sz w:val="21"/>
              </w:rPr>
              <w:t>681,170,152.64</w:t>
            </w:r>
          </w:p>
        </w:tc>
      </w:tr>
      <w:tr>
        <w:trPr>
          <w:trHeight w:val="554" w:hRule="exact"/>
        </w:trPr>
        <w:tc>
          <w:tcPr>
            <w:tcW w:w="1889" w:type="dxa"/>
            <w:tcBorders>
              <w:top w:val="single" w:sz="4" w:space="0" w:color="41B7EE"/>
              <w:left w:val="nil" w:sz="6" w:space="0" w:color="auto"/>
              <w:bottom w:val="single" w:sz="4" w:space="0" w:color="41B7EE"/>
              <w:right w:val="single" w:sz="4" w:space="0" w:color="41B7EE"/>
            </w:tcBorders>
          </w:tcPr>
          <w:p>
            <w:pPr>
              <w:pStyle w:val="TableParagraph"/>
              <w:spacing w:line="239" w:lineRule="exact"/>
              <w:ind w:left="45"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3" w:lineRule="exact"/>
              <w:ind w:left="45" w:right="0"/>
              <w:jc w:val="left"/>
              <w:rPr>
                <w:rFonts w:ascii="宋体" w:hAnsi="宋体" w:cs="宋体" w:eastAsia="宋体" w:hint="default"/>
                <w:sz w:val="21"/>
                <w:szCs w:val="21"/>
              </w:rPr>
            </w:pPr>
            <w:r>
              <w:rPr>
                <w:rFonts w:ascii="宋体" w:hAnsi="宋体" w:cs="宋体" w:eastAsia="宋体" w:hint="default"/>
                <w:sz w:val="21"/>
                <w:szCs w:val="21"/>
              </w:rPr>
              <w:t>东的净利润</w:t>
            </w:r>
            <w:r>
              <w:rPr>
                <w:rFonts w:ascii="宋体" w:hAnsi="宋体" w:cs="宋体" w:eastAsia="宋体" w:hint="default"/>
                <w:sz w:val="21"/>
                <w:szCs w:val="21"/>
              </w:rPr>
              <w:t> </w:t>
            </w:r>
          </w:p>
        </w:tc>
        <w:tc>
          <w:tcPr>
            <w:tcW w:w="184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38"/>
              <w:jc w:val="right"/>
              <w:rPr>
                <w:rFonts w:ascii="Arial" w:hAnsi="Arial" w:cs="Arial" w:eastAsia="Arial" w:hint="default"/>
                <w:sz w:val="21"/>
                <w:szCs w:val="21"/>
              </w:rPr>
            </w:pPr>
            <w:r>
              <w:rPr>
                <w:rFonts w:ascii="Arial"/>
                <w:spacing w:val="-1"/>
                <w:sz w:val="21"/>
              </w:rPr>
              <w:t>271,402,759.68</w:t>
            </w:r>
          </w:p>
        </w:tc>
        <w:tc>
          <w:tcPr>
            <w:tcW w:w="184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39"/>
              <w:jc w:val="right"/>
              <w:rPr>
                <w:rFonts w:ascii="Arial" w:hAnsi="Arial" w:cs="Arial" w:eastAsia="Arial" w:hint="default"/>
                <w:sz w:val="21"/>
                <w:szCs w:val="21"/>
              </w:rPr>
            </w:pPr>
            <w:r>
              <w:rPr>
                <w:rFonts w:ascii="Arial"/>
                <w:spacing w:val="-1"/>
                <w:sz w:val="21"/>
              </w:rPr>
              <w:t>432,293,667.43</w:t>
            </w:r>
          </w:p>
        </w:tc>
        <w:tc>
          <w:tcPr>
            <w:tcW w:w="16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left="134" w:right="0"/>
              <w:jc w:val="center"/>
              <w:rPr>
                <w:rFonts w:ascii="Arial" w:hAnsi="Arial" w:cs="Arial" w:eastAsia="Arial" w:hint="default"/>
                <w:sz w:val="21"/>
                <w:szCs w:val="21"/>
              </w:rPr>
            </w:pPr>
            <w:r>
              <w:rPr>
                <w:rFonts w:ascii="Arial"/>
                <w:sz w:val="21"/>
              </w:rPr>
              <w:t>269,024,730.96</w:t>
            </w:r>
          </w:p>
        </w:tc>
        <w:tc>
          <w:tcPr>
            <w:tcW w:w="162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6"/>
              <w:ind w:right="38"/>
              <w:jc w:val="right"/>
              <w:rPr>
                <w:rFonts w:ascii="Arial" w:hAnsi="Arial" w:cs="Arial" w:eastAsia="Arial" w:hint="default"/>
                <w:sz w:val="21"/>
                <w:szCs w:val="21"/>
              </w:rPr>
            </w:pPr>
            <w:r>
              <w:rPr>
                <w:rFonts w:ascii="Arial"/>
                <w:spacing w:val="-1"/>
                <w:sz w:val="21"/>
              </w:rPr>
              <w:t>-124,105,784.27</w:t>
            </w:r>
          </w:p>
        </w:tc>
      </w:tr>
      <w:tr>
        <w:trPr>
          <w:trHeight w:val="826" w:hRule="exact"/>
        </w:trPr>
        <w:tc>
          <w:tcPr>
            <w:tcW w:w="1889" w:type="dxa"/>
            <w:tcBorders>
              <w:top w:val="single" w:sz="4" w:space="0" w:color="41B7EE"/>
              <w:left w:val="nil" w:sz="6" w:space="0" w:color="auto"/>
              <w:bottom w:val="single" w:sz="4" w:space="0" w:color="41B7EE"/>
              <w:right w:val="single" w:sz="4" w:space="0" w:color="41B7EE"/>
            </w:tcBorders>
          </w:tcPr>
          <w:p>
            <w:pPr>
              <w:pStyle w:val="TableParagraph"/>
              <w:spacing w:line="240" w:lineRule="exact"/>
              <w:ind w:left="45"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2" w:lineRule="exact" w:before="27"/>
              <w:ind w:left="45" w:right="153"/>
              <w:jc w:val="left"/>
              <w:rPr>
                <w:rFonts w:ascii="宋体" w:hAnsi="宋体" w:cs="宋体" w:eastAsia="宋体" w:hint="default"/>
                <w:sz w:val="21"/>
                <w:szCs w:val="21"/>
              </w:rPr>
            </w:pPr>
            <w:r>
              <w:rPr>
                <w:rFonts w:ascii="宋体" w:hAnsi="宋体" w:cs="宋体" w:eastAsia="宋体" w:hint="default"/>
                <w:spacing w:val="-2"/>
                <w:sz w:val="21"/>
                <w:szCs w:val="21"/>
              </w:rPr>
              <w:t>东的扣除非经常性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损益后的净利润</w:t>
            </w:r>
            <w:r>
              <w:rPr>
                <w:rFonts w:ascii="宋体" w:hAnsi="宋体" w:cs="宋体" w:eastAsia="宋体" w:hint="default"/>
                <w:sz w:val="21"/>
                <w:szCs w:val="21"/>
              </w:rPr>
              <w:t> </w:t>
            </w:r>
          </w:p>
        </w:tc>
        <w:tc>
          <w:tcPr>
            <w:tcW w:w="184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38"/>
              <w:jc w:val="right"/>
              <w:rPr>
                <w:rFonts w:ascii="Arial" w:hAnsi="Arial" w:cs="Arial" w:eastAsia="Arial" w:hint="default"/>
                <w:sz w:val="21"/>
                <w:szCs w:val="21"/>
              </w:rPr>
            </w:pPr>
            <w:r>
              <w:rPr>
                <w:rFonts w:ascii="Arial"/>
                <w:spacing w:val="-1"/>
                <w:sz w:val="21"/>
              </w:rPr>
              <w:t>271,212,144.95</w:t>
            </w:r>
          </w:p>
        </w:tc>
        <w:tc>
          <w:tcPr>
            <w:tcW w:w="184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39"/>
              <w:jc w:val="right"/>
              <w:rPr>
                <w:rFonts w:ascii="Arial" w:hAnsi="Arial" w:cs="Arial" w:eastAsia="Arial" w:hint="default"/>
                <w:sz w:val="21"/>
                <w:szCs w:val="21"/>
              </w:rPr>
            </w:pPr>
            <w:r>
              <w:rPr>
                <w:rFonts w:ascii="Arial"/>
                <w:spacing w:val="-1"/>
                <w:sz w:val="21"/>
              </w:rPr>
              <w:t>432,482,639.09</w:t>
            </w:r>
          </w:p>
        </w:tc>
        <w:tc>
          <w:tcPr>
            <w:tcW w:w="16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34" w:right="0"/>
              <w:jc w:val="center"/>
              <w:rPr>
                <w:rFonts w:ascii="Arial" w:hAnsi="Arial" w:cs="Arial" w:eastAsia="Arial" w:hint="default"/>
                <w:sz w:val="21"/>
                <w:szCs w:val="21"/>
              </w:rPr>
            </w:pPr>
            <w:r>
              <w:rPr>
                <w:rFonts w:ascii="Arial"/>
                <w:sz w:val="21"/>
              </w:rPr>
              <w:t>311,710,756.57</w:t>
            </w:r>
          </w:p>
        </w:tc>
        <w:tc>
          <w:tcPr>
            <w:tcW w:w="162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39"/>
              <w:jc w:val="right"/>
              <w:rPr>
                <w:rFonts w:ascii="Arial" w:hAnsi="Arial" w:cs="Arial" w:eastAsia="Arial" w:hint="default"/>
                <w:sz w:val="21"/>
                <w:szCs w:val="21"/>
              </w:rPr>
            </w:pPr>
            <w:r>
              <w:rPr>
                <w:rFonts w:ascii="Arial"/>
                <w:spacing w:val="-1"/>
                <w:sz w:val="21"/>
              </w:rPr>
              <w:t>5,791,593.29</w:t>
            </w:r>
          </w:p>
        </w:tc>
      </w:tr>
      <w:tr>
        <w:trPr>
          <w:trHeight w:val="564" w:hRule="exact"/>
        </w:trPr>
        <w:tc>
          <w:tcPr>
            <w:tcW w:w="1889" w:type="dxa"/>
            <w:tcBorders>
              <w:top w:val="single" w:sz="4" w:space="0" w:color="41B7EE"/>
              <w:left w:val="nil" w:sz="6" w:space="0" w:color="auto"/>
              <w:bottom w:val="single" w:sz="8" w:space="0" w:color="41B7EE"/>
              <w:right w:val="single" w:sz="4" w:space="0" w:color="41B7EE"/>
            </w:tcBorders>
          </w:tcPr>
          <w:p>
            <w:pPr>
              <w:pStyle w:val="TableParagraph"/>
              <w:spacing w:line="241" w:lineRule="exact"/>
              <w:ind w:left="45" w:right="0"/>
              <w:jc w:val="left"/>
              <w:rPr>
                <w:rFonts w:ascii="宋体" w:hAnsi="宋体" w:cs="宋体" w:eastAsia="宋体" w:hint="default"/>
                <w:sz w:val="21"/>
                <w:szCs w:val="21"/>
              </w:rPr>
            </w:pPr>
            <w:r>
              <w:rPr>
                <w:rFonts w:ascii="宋体" w:hAnsi="宋体" w:cs="宋体" w:eastAsia="宋体" w:hint="default"/>
                <w:sz w:val="21"/>
                <w:szCs w:val="21"/>
              </w:rPr>
              <w:t>经营活动产生的现</w:t>
            </w:r>
          </w:p>
          <w:p>
            <w:pPr>
              <w:pStyle w:val="TableParagraph"/>
              <w:spacing w:line="273" w:lineRule="exact"/>
              <w:ind w:left="45" w:right="0"/>
              <w:jc w:val="left"/>
              <w:rPr>
                <w:rFonts w:ascii="宋体" w:hAnsi="宋体" w:cs="宋体" w:eastAsia="宋体" w:hint="default"/>
                <w:sz w:val="21"/>
                <w:szCs w:val="21"/>
              </w:rPr>
            </w:pPr>
            <w:r>
              <w:rPr>
                <w:rFonts w:ascii="宋体" w:hAnsi="宋体" w:cs="宋体" w:eastAsia="宋体" w:hint="default"/>
                <w:sz w:val="21"/>
                <w:szCs w:val="21"/>
              </w:rPr>
              <w:t>金流量净额</w:t>
            </w:r>
            <w:r>
              <w:rPr>
                <w:rFonts w:ascii="宋体" w:hAnsi="宋体" w:cs="宋体" w:eastAsia="宋体" w:hint="default"/>
                <w:sz w:val="21"/>
                <w:szCs w:val="21"/>
              </w:rPr>
              <w:t> </w:t>
            </w:r>
          </w:p>
        </w:tc>
        <w:tc>
          <w:tcPr>
            <w:tcW w:w="1844"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148"/>
              <w:ind w:right="39"/>
              <w:jc w:val="right"/>
              <w:rPr>
                <w:rFonts w:ascii="Arial" w:hAnsi="Arial" w:cs="Arial" w:eastAsia="Arial" w:hint="default"/>
                <w:sz w:val="21"/>
                <w:szCs w:val="21"/>
              </w:rPr>
            </w:pPr>
            <w:r>
              <w:rPr>
                <w:rFonts w:ascii="Arial"/>
                <w:spacing w:val="-1"/>
                <w:sz w:val="21"/>
              </w:rPr>
              <w:t>2,623,640,137.11</w:t>
            </w:r>
          </w:p>
        </w:tc>
        <w:tc>
          <w:tcPr>
            <w:tcW w:w="1844"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148"/>
              <w:ind w:right="39"/>
              <w:jc w:val="right"/>
              <w:rPr>
                <w:rFonts w:ascii="Arial" w:hAnsi="Arial" w:cs="Arial" w:eastAsia="Arial" w:hint="default"/>
                <w:sz w:val="21"/>
                <w:szCs w:val="21"/>
              </w:rPr>
            </w:pPr>
            <w:r>
              <w:rPr>
                <w:rFonts w:ascii="Arial"/>
                <w:spacing w:val="-1"/>
                <w:sz w:val="21"/>
              </w:rPr>
              <w:t>-739,693,946.44</w:t>
            </w:r>
          </w:p>
        </w:tc>
        <w:tc>
          <w:tcPr>
            <w:tcW w:w="1682"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148"/>
              <w:ind w:left="64" w:right="0"/>
              <w:jc w:val="center"/>
              <w:rPr>
                <w:rFonts w:ascii="Arial" w:hAnsi="Arial" w:cs="Arial" w:eastAsia="Arial" w:hint="default"/>
                <w:sz w:val="21"/>
                <w:szCs w:val="21"/>
              </w:rPr>
            </w:pPr>
            <w:r>
              <w:rPr>
                <w:rFonts w:ascii="Arial"/>
                <w:sz w:val="21"/>
              </w:rPr>
              <w:t>-537,079,489.79</w:t>
            </w:r>
          </w:p>
        </w:tc>
        <w:tc>
          <w:tcPr>
            <w:tcW w:w="1621"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148"/>
              <w:ind w:right="38"/>
              <w:jc w:val="right"/>
              <w:rPr>
                <w:rFonts w:ascii="Arial" w:hAnsi="Arial" w:cs="Arial" w:eastAsia="Arial" w:hint="default"/>
                <w:sz w:val="21"/>
                <w:szCs w:val="21"/>
              </w:rPr>
            </w:pPr>
            <w:r>
              <w:rPr>
                <w:rFonts w:ascii="Arial"/>
                <w:spacing w:val="-1"/>
                <w:sz w:val="21"/>
              </w:rPr>
              <w:t>-532,698,383.57</w:t>
            </w:r>
          </w:p>
        </w:tc>
      </w:tr>
    </w:tbl>
    <w:p>
      <w:pPr>
        <w:spacing w:line="20" w:lineRule="exact"/>
        <w:ind w:left="142" w:right="0" w:firstLine="0"/>
        <w:rPr>
          <w:rFonts w:ascii="宋体" w:hAnsi="宋体" w:cs="宋体" w:eastAsia="宋体" w:hint="default"/>
          <w:sz w:val="2"/>
          <w:szCs w:val="2"/>
        </w:rPr>
      </w:pPr>
      <w:r>
        <w:rPr>
          <w:rFonts w:ascii="宋体" w:hAnsi="宋体" w:cs="宋体" w:eastAsia="宋体" w:hint="default"/>
          <w:sz w:val="2"/>
          <w:szCs w:val="2"/>
        </w:rPr>
        <w:pict>
          <v:group style="width:444.95pt;height:1pt;mso-position-horizontal-relative:char;mso-position-vertical-relative:line" coordorigin="0,0" coordsize="8899,20">
            <v:group style="position:absolute;left:10;top:10;width:1884;height:2" coordorigin="10,10" coordsize="1884,2">
              <v:shape style="position:absolute;left:10;top:10;width:1884;height:2" coordorigin="10,10" coordsize="1884,0" path="m10,10l1894,10e" filled="false" stroked="true" strokeweight=".96002pt" strokecolor="#41b7ee">
                <v:path arrowok="t"/>
              </v:shape>
            </v:group>
            <v:group style="position:absolute;left:1894;top:10;width:58;height:2" coordorigin="1894,10" coordsize="58,2">
              <v:shape style="position:absolute;left:1894;top:10;width:58;height:2" coordorigin="1894,10" coordsize="58,0" path="m1894,10l1951,10e" filled="false" stroked="true" strokeweight=".96002pt" strokecolor="#41b7ee">
                <v:path arrowok="t"/>
              </v:shape>
            </v:group>
            <v:group style="position:absolute;left:1951;top:10;width:1787;height:2" coordorigin="1951,10" coordsize="1787,2">
              <v:shape style="position:absolute;left:1951;top:10;width:1787;height:2" coordorigin="1951,10" coordsize="1787,0" path="m1951,10l3737,10e" filled="false" stroked="true" strokeweight=".96002pt" strokecolor="#41b7ee">
                <v:path arrowok="t"/>
              </v:shape>
            </v:group>
            <v:group style="position:absolute;left:3737;top:10;width:58;height:2" coordorigin="3737,10" coordsize="58,2">
              <v:shape style="position:absolute;left:3737;top:10;width:58;height:2" coordorigin="3737,10" coordsize="58,0" path="m3737,10l3795,10e" filled="false" stroked="true" strokeweight=".96002pt" strokecolor="#41b7ee">
                <v:path arrowok="t"/>
              </v:shape>
            </v:group>
            <v:group style="position:absolute;left:3795;top:10;width:1787;height:2" coordorigin="3795,10" coordsize="1787,2">
              <v:shape style="position:absolute;left:3795;top:10;width:1787;height:2" coordorigin="3795,10" coordsize="1787,0" path="m3795,10l5581,10e" filled="false" stroked="true" strokeweight=".96002pt" strokecolor="#41b7ee">
                <v:path arrowok="t"/>
              </v:shape>
            </v:group>
            <v:group style="position:absolute;left:5581;top:10;width:58;height:2" coordorigin="5581,10" coordsize="58,2">
              <v:shape style="position:absolute;left:5581;top:10;width:58;height:2" coordorigin="5581,10" coordsize="58,0" path="m5581,10l5639,10e" filled="false" stroked="true" strokeweight=".96002pt" strokecolor="#41b7ee">
                <v:path arrowok="t"/>
              </v:shape>
            </v:group>
            <v:group style="position:absolute;left:5639;top:10;width:1625;height:2" coordorigin="5639,10" coordsize="1625,2">
              <v:shape style="position:absolute;left:5639;top:10;width:1625;height:2" coordorigin="5639,10" coordsize="1625,0" path="m5639,10l7263,10e" filled="false" stroked="true" strokeweight=".96002pt" strokecolor="#41b7ee">
                <v:path arrowok="t"/>
              </v:shape>
            </v:group>
            <v:group style="position:absolute;left:7263;top:10;width:59;height:2" coordorigin="7263,10" coordsize="59,2">
              <v:shape style="position:absolute;left:7263;top:10;width:59;height:2" coordorigin="7263,10" coordsize="59,0" path="m7263,10l7321,10e" filled="false" stroked="true" strokeweight=".96002pt" strokecolor="#41b7ee">
                <v:path arrowok="t"/>
              </v:shape>
            </v:group>
            <v:group style="position:absolute;left:7322;top:10;width:1568;height:2" coordorigin="7322,10" coordsize="1568,2">
              <v:shape style="position:absolute;left:7322;top:10;width:1568;height:2" coordorigin="7322,10" coordsize="1568,0" path="m7322,10l8889,10e" filled="false" stroked="true" strokeweight=".96002pt" strokecolor="#41b7ee">
                <v:path arrowok="t"/>
              </v:shape>
            </v:group>
          </v:group>
        </w:pict>
      </w:r>
      <w:r>
        <w:rPr>
          <w:rFonts w:ascii="宋体" w:hAnsi="宋体" w:cs="宋体" w:eastAsia="宋体" w:hint="default"/>
          <w:sz w:val="2"/>
          <w:szCs w:val="2"/>
        </w:rPr>
      </w:r>
    </w:p>
    <w:p>
      <w:pPr>
        <w:pStyle w:val="BodyText"/>
        <w:spacing w:line="258" w:lineRule="exact"/>
        <w:ind w:left="198" w:right="0"/>
        <w:jc w:val="left"/>
      </w:pPr>
      <w:r>
        <w:rPr/>
        <w:t>季度数据与已披露定期报告数据差异说明</w:t>
      </w:r>
    </w:p>
    <w:p>
      <w:pPr>
        <w:pStyle w:val="BodyText"/>
        <w:spacing w:line="273" w:lineRule="exact"/>
        <w:ind w:left="19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44"/>
        <w:ind w:left="198" w:right="228" w:firstLine="419"/>
        <w:jc w:val="both"/>
      </w:pPr>
      <w:r>
        <w:rPr>
          <w:spacing w:val="-4"/>
          <w:w w:val="100"/>
        </w:rPr>
        <w:t>（</w:t>
      </w:r>
      <w:r>
        <w:rPr>
          <w:rFonts w:ascii="Arial" w:hAnsi="Arial" w:cs="Arial" w:eastAsia="Arial" w:hint="default"/>
          <w:spacing w:val="-4"/>
          <w:w w:val="100"/>
        </w:rPr>
        <w:t>1</w:t>
      </w:r>
      <w:r>
        <w:rPr>
          <w:spacing w:val="-4"/>
          <w:w w:val="100"/>
        </w:rPr>
        <w:t>）第一季度“营业收入”和“归属于上市公司股东的净利润”较低的主要原因为农业分公</w:t>
      </w:r>
      <w:r>
        <w:rPr>
          <w:w w:val="100"/>
        </w:rPr>
        <w:t> </w:t>
      </w:r>
      <w:r>
        <w:rPr>
          <w:spacing w:val="-2"/>
        </w:rPr>
        <w:t>司第一季度只签订了部分《农业生产承包协议》，因此确认承包费收入相对较少；第一季度“经</w:t>
      </w:r>
      <w:r>
        <w:rPr>
          <w:spacing w:val="-26"/>
        </w:rPr>
        <w:t> </w:t>
      </w:r>
      <w:r>
        <w:rPr>
          <w:spacing w:val="-26"/>
        </w:rPr>
      </w:r>
      <w:r>
        <w:rPr>
          <w:spacing w:val="-2"/>
        </w:rPr>
        <w:t>营活动现金流量净额”高的主要原因为公司预收和实收的土地承包费、生产资料及代收费用等收</w:t>
      </w:r>
      <w:r>
        <w:rPr>
          <w:spacing w:val="-26"/>
        </w:rPr>
        <w:t> </w:t>
      </w:r>
      <w:r>
        <w:rPr>
          <w:spacing w:val="-26"/>
        </w:rPr>
      </w:r>
      <w:r>
        <w:rPr/>
        <w:t>现工作集中于第一季度完成，而后三个季度土地承包费收现较少形成。</w:t>
      </w:r>
    </w:p>
    <w:p>
      <w:pPr>
        <w:pStyle w:val="BodyText"/>
        <w:spacing w:line="273" w:lineRule="auto" w:before="15"/>
        <w:ind w:left="198" w:right="228" w:firstLine="419"/>
        <w:jc w:val="both"/>
      </w:pPr>
      <w:r>
        <w:rPr>
          <w:spacing w:val="-4"/>
          <w:w w:val="100"/>
        </w:rPr>
        <w:t>（</w:t>
      </w:r>
      <w:r>
        <w:rPr>
          <w:rFonts w:ascii="Arial" w:hAnsi="Arial" w:cs="Arial" w:eastAsia="Arial" w:hint="default"/>
          <w:spacing w:val="-4"/>
          <w:w w:val="100"/>
        </w:rPr>
        <w:t>2</w:t>
      </w:r>
      <w:r>
        <w:rPr>
          <w:spacing w:val="-4"/>
          <w:w w:val="100"/>
        </w:rPr>
        <w:t>）第二季度“营业收入”和“归属于上市公司股东的净利润”较高的主要原因为农业分公</w:t>
      </w:r>
      <w:r>
        <w:rPr>
          <w:w w:val="100"/>
        </w:rPr>
        <w:t> </w:t>
      </w:r>
      <w:r>
        <w:rPr>
          <w:spacing w:val="-2"/>
        </w:rPr>
        <w:t>司集中于第二季度完成全部《农业生产承包协议》的签订工作，并按收入政策确认前两季度承包</w:t>
      </w:r>
      <w:r>
        <w:rPr>
          <w:spacing w:val="-26"/>
        </w:rPr>
        <w:t> </w:t>
      </w:r>
      <w:r>
        <w:rPr>
          <w:spacing w:val="-26"/>
        </w:rPr>
      </w:r>
      <w:r>
        <w:rPr/>
        <w:t>费收入形成。</w:t>
      </w:r>
    </w:p>
    <w:p>
      <w:pPr>
        <w:spacing w:after="0" w:line="273" w:lineRule="auto"/>
        <w:jc w:val="both"/>
        <w:sectPr>
          <w:pgSz w:w="11910" w:h="16840"/>
          <w:pgMar w:header="825" w:footer="1195" w:top="1360" w:bottom="1380" w:left="1600" w:right="1040"/>
        </w:sectPr>
      </w:pPr>
    </w:p>
    <w:p>
      <w:pPr>
        <w:spacing w:line="240" w:lineRule="auto" w:before="12"/>
        <w:rPr>
          <w:rFonts w:ascii="宋体" w:hAnsi="宋体" w:cs="宋体" w:eastAsia="宋体" w:hint="default"/>
          <w:sz w:val="9"/>
          <w:szCs w:val="9"/>
        </w:rPr>
      </w:pPr>
    </w:p>
    <w:p>
      <w:pPr>
        <w:pStyle w:val="BodyText"/>
        <w:spacing w:line="273" w:lineRule="auto" w:before="36"/>
        <w:ind w:left="238" w:right="228" w:firstLine="419"/>
        <w:jc w:val="both"/>
        <w:rPr>
          <w:rFonts w:ascii="宋体" w:hAnsi="宋体" w:cs="宋体" w:eastAsia="宋体" w:hint="default"/>
        </w:rPr>
      </w:pPr>
      <w:r>
        <w:rPr>
          <w:spacing w:val="-4"/>
          <w:w w:val="100"/>
        </w:rPr>
        <w:t>（</w:t>
      </w:r>
      <w:r>
        <w:rPr>
          <w:rFonts w:ascii="Arial" w:hAnsi="Arial" w:cs="Arial" w:eastAsia="Arial" w:hint="default"/>
          <w:spacing w:val="-4"/>
          <w:w w:val="100"/>
        </w:rPr>
        <w:t>3</w:t>
      </w:r>
      <w:r>
        <w:rPr>
          <w:spacing w:val="-4"/>
          <w:w w:val="100"/>
        </w:rPr>
        <w:t>）第四季度“归属于上市公司股东的净利润”低于前三个季度的主要原因为农业分公司防</w:t>
      </w:r>
      <w:r>
        <w:rPr>
          <w:w w:val="100"/>
        </w:rPr>
        <w:t> </w:t>
      </w:r>
      <w:r>
        <w:rPr>
          <w:spacing w:val="-2"/>
        </w:rPr>
        <w:t>外水、排内涝、抗灾减灾投入及在秋收工作完成后对农业基础设施（田间道路、水利设施等）进</w:t>
      </w:r>
      <w:r>
        <w:rPr>
          <w:spacing w:val="-25"/>
        </w:rPr>
        <w:t> </w:t>
      </w:r>
      <w:r>
        <w:rPr>
          <w:spacing w:val="-25"/>
        </w:rPr>
      </w:r>
      <w:r>
        <w:rPr/>
        <w:t>行维修和维护等费用支出较多形成。</w:t>
      </w:r>
      <w:r>
        <w:rPr>
          <w:rFonts w:ascii="宋体" w:hAnsi="宋体" w:cs="宋体" w:eastAsia="宋体" w:hint="default"/>
        </w:rPr>
        <w:t> </w:t>
      </w:r>
    </w:p>
    <w:p>
      <w:pPr>
        <w:pStyle w:val="Heading2"/>
        <w:spacing w:line="240" w:lineRule="auto" w:before="29"/>
        <w:ind w:left="238" w:right="0"/>
        <w:jc w:val="left"/>
        <w:rPr>
          <w:b w:val="0"/>
          <w:bCs w:val="0"/>
        </w:rPr>
      </w:pPr>
      <w:r>
        <w:rPr/>
        <w:t>十、</w:t>
      </w:r>
      <w:r>
        <w:rPr>
          <w:spacing w:val="-32"/>
        </w:rPr>
        <w:t> </w:t>
      </w:r>
      <w:r>
        <w:rPr>
          <w:rFonts w:ascii="宋体" w:hAnsi="宋体" w:cs="宋体" w:eastAsia="宋体" w:hint="default"/>
          <w:spacing w:val="-32"/>
        </w:rPr>
      </w:r>
      <w:r>
        <w:rPr/>
        <w:t>非经常性损益项目和金额</w:t>
      </w:r>
      <w:r>
        <w:rPr>
          <w:b w:val="0"/>
          <w:bCs w:val="0"/>
        </w:rPr>
      </w:r>
    </w:p>
    <w:p>
      <w:pPr>
        <w:pStyle w:val="BodyText"/>
        <w:spacing w:line="240" w:lineRule="auto" w:before="58"/>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70" w:right="0" w:firstLine="0"/>
        <w:rPr>
          <w:rFonts w:ascii="宋体" w:hAnsi="宋体" w:cs="宋体" w:eastAsia="宋体" w:hint="default"/>
          <w:sz w:val="2"/>
          <w:szCs w:val="2"/>
        </w:rPr>
      </w:pPr>
      <w:r>
        <w:rPr>
          <w:rFonts w:ascii="宋体" w:hAnsi="宋体" w:cs="宋体" w:eastAsia="宋体" w:hint="default"/>
          <w:sz w:val="2"/>
          <w:szCs w:val="2"/>
        </w:rPr>
        <w:pict>
          <v:group style="width:448.4pt;height:1pt;mso-position-horizontal-relative:char;mso-position-vertical-relative:line" coordorigin="0,0" coordsize="8968,20">
            <v:group style="position:absolute;left:10;top:10;width:3874;height:2" coordorigin="10,10" coordsize="3874,2">
              <v:shape style="position:absolute;left:10;top:10;width:3874;height:2" coordorigin="10,10" coordsize="3874,0" path="m10,10l3884,10e" filled="false" stroked="true" strokeweight=".96001pt" strokecolor="#41b7ee">
                <v:path arrowok="t"/>
              </v:shape>
            </v:group>
            <v:group style="position:absolute;left:3884;top:10;width:58;height:2" coordorigin="3884,10" coordsize="58,2">
              <v:shape style="position:absolute;left:3884;top:10;width:58;height:2" coordorigin="3884,10" coordsize="58,0" path="m3884,10l3941,10e" filled="false" stroked="true" strokeweight=".96001pt" strokecolor="#41b7ee">
                <v:path arrowok="t"/>
              </v:shape>
            </v:group>
            <v:group style="position:absolute;left:3941;top:10;width:1667;height:2" coordorigin="3941,10" coordsize="1667,2">
              <v:shape style="position:absolute;left:3941;top:10;width:1667;height:2" coordorigin="3941,10" coordsize="1667,0" path="m3941,10l5607,10e" filled="false" stroked="true" strokeweight=".96001pt" strokecolor="#41b7ee">
                <v:path arrowok="t"/>
              </v:shape>
            </v:group>
            <v:group style="position:absolute;left:5607;top:10;width:58;height:2" coordorigin="5607,10" coordsize="58,2">
              <v:shape style="position:absolute;left:5607;top:10;width:58;height:2" coordorigin="5607,10" coordsize="58,0" path="m5607,10l5665,10e" filled="false" stroked="true" strokeweight=".96001pt" strokecolor="#41b7ee">
                <v:path arrowok="t"/>
              </v:shape>
            </v:group>
            <v:group style="position:absolute;left:5665;top:10;width:1683;height:2" coordorigin="5665,10" coordsize="1683,2">
              <v:shape style="position:absolute;left:5665;top:10;width:1683;height:2" coordorigin="5665,10" coordsize="1683,0" path="m5665,10l7348,10e" filled="false" stroked="true" strokeweight=".96001pt" strokecolor="#41b7ee">
                <v:path arrowok="t"/>
              </v:shape>
            </v:group>
            <v:group style="position:absolute;left:7348;top:10;width:58;height:2" coordorigin="7348,10" coordsize="58,2">
              <v:shape style="position:absolute;left:7348;top:10;width:58;height:2" coordorigin="7348,10" coordsize="58,0" path="m7348,10l7406,10e" filled="false" stroked="true" strokeweight=".96001pt" strokecolor="#41b7ee">
                <v:path arrowok="t"/>
              </v:shape>
            </v:group>
            <v:group style="position:absolute;left:7406;top:10;width:1553;height:2" coordorigin="7406,10" coordsize="1553,2">
              <v:shape style="position:absolute;left:7406;top:10;width:1553;height:2" coordorigin="7406,10" coordsize="1553,0" path="m7406,10l8958,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51" w:type="dxa"/>
        <w:tblLayout w:type="fixed"/>
        <w:tblCellMar>
          <w:top w:w="0" w:type="dxa"/>
          <w:left w:w="0" w:type="dxa"/>
          <w:bottom w:w="0" w:type="dxa"/>
          <w:right w:w="0" w:type="dxa"/>
        </w:tblCellMar>
        <w:tblLook w:val="01E0"/>
      </w:tblPr>
      <w:tblGrid>
        <w:gridCol w:w="3879"/>
        <w:gridCol w:w="1724"/>
        <w:gridCol w:w="1741"/>
        <w:gridCol w:w="1606"/>
      </w:tblGrid>
      <w:tr>
        <w:trPr>
          <w:trHeight w:val="362" w:hRule="exact"/>
        </w:trPr>
        <w:tc>
          <w:tcPr>
            <w:tcW w:w="3879"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4"/>
              <w:ind w:left="1099" w:right="0"/>
              <w:jc w:val="left"/>
              <w:rPr>
                <w:rFonts w:ascii="宋体" w:hAnsi="宋体" w:cs="宋体" w:eastAsia="宋体" w:hint="default"/>
                <w:sz w:val="21"/>
                <w:szCs w:val="21"/>
              </w:rPr>
            </w:pPr>
            <w:r>
              <w:rPr>
                <w:rFonts w:ascii="宋体" w:hAnsi="宋体" w:cs="宋体" w:eastAsia="宋体" w:hint="default"/>
                <w:sz w:val="21"/>
                <w:szCs w:val="21"/>
              </w:rPr>
              <w:t>非经常性损益项目</w:t>
            </w:r>
            <w:r>
              <w:rPr>
                <w:rFonts w:ascii="宋体" w:hAnsi="宋体" w:cs="宋体" w:eastAsia="宋体" w:hint="default"/>
                <w:sz w:val="21"/>
                <w:szCs w:val="21"/>
              </w:rPr>
              <w:t> </w:t>
            </w:r>
          </w:p>
        </w:tc>
        <w:tc>
          <w:tcPr>
            <w:tcW w:w="1724"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4"/>
              <w:ind w:left="280"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5"/>
                <w:sz w:val="21"/>
                <w:szCs w:val="21"/>
              </w:rPr>
              <w:t> </w:t>
            </w:r>
            <w:r>
              <w:rPr>
                <w:rFonts w:ascii="宋体" w:hAnsi="宋体" w:cs="宋体" w:eastAsia="宋体" w:hint="default"/>
                <w:sz w:val="21"/>
                <w:szCs w:val="21"/>
              </w:rPr>
              <w:t>年金额</w:t>
            </w:r>
          </w:p>
        </w:tc>
        <w:tc>
          <w:tcPr>
            <w:tcW w:w="1741"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4"/>
              <w:ind w:left="290"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5"/>
                <w:sz w:val="21"/>
                <w:szCs w:val="21"/>
              </w:rPr>
              <w:t> </w:t>
            </w:r>
            <w:r>
              <w:rPr>
                <w:rFonts w:ascii="宋体" w:hAnsi="宋体" w:cs="宋体" w:eastAsia="宋体" w:hint="default"/>
                <w:sz w:val="21"/>
                <w:szCs w:val="21"/>
              </w:rPr>
              <w:t>年金额</w:t>
            </w:r>
          </w:p>
        </w:tc>
        <w:tc>
          <w:tcPr>
            <w:tcW w:w="1606"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4"/>
              <w:ind w:left="223"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5"/>
                <w:sz w:val="21"/>
                <w:szCs w:val="21"/>
              </w:rPr>
              <w:t> </w:t>
            </w:r>
            <w:r>
              <w:rPr>
                <w:rFonts w:ascii="宋体" w:hAnsi="宋体" w:cs="宋体" w:eastAsia="宋体" w:hint="default"/>
                <w:sz w:val="21"/>
                <w:szCs w:val="21"/>
              </w:rPr>
              <w:t>年金额</w:t>
            </w:r>
          </w:p>
        </w:tc>
      </w:tr>
      <w:tr>
        <w:trPr>
          <w:trHeight w:val="358" w:hRule="exact"/>
        </w:trPr>
        <w:tc>
          <w:tcPr>
            <w:tcW w:w="387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7"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7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49"/>
              <w:jc w:val="right"/>
              <w:rPr>
                <w:rFonts w:ascii="Arial" w:hAnsi="Arial" w:cs="Arial" w:eastAsia="Arial" w:hint="default"/>
                <w:sz w:val="21"/>
                <w:szCs w:val="21"/>
              </w:rPr>
            </w:pPr>
            <w:r>
              <w:rPr>
                <w:rFonts w:ascii="Arial"/>
                <w:spacing w:val="-1"/>
                <w:sz w:val="21"/>
              </w:rPr>
              <w:t>2,336,134.68</w:t>
            </w:r>
          </w:p>
        </w:tc>
        <w:tc>
          <w:tcPr>
            <w:tcW w:w="174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46"/>
              <w:jc w:val="right"/>
              <w:rPr>
                <w:rFonts w:ascii="Arial" w:hAnsi="Arial" w:cs="Arial" w:eastAsia="Arial" w:hint="default"/>
                <w:sz w:val="21"/>
                <w:szCs w:val="21"/>
              </w:rPr>
            </w:pPr>
            <w:r>
              <w:rPr>
                <w:rFonts w:ascii="Arial"/>
                <w:spacing w:val="-1"/>
                <w:sz w:val="21"/>
              </w:rPr>
              <w:t>-2,405,103.35</w:t>
            </w:r>
          </w:p>
        </w:tc>
        <w:tc>
          <w:tcPr>
            <w:tcW w:w="160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right="53"/>
              <w:jc w:val="right"/>
              <w:rPr>
                <w:rFonts w:ascii="Arial" w:hAnsi="Arial" w:cs="Arial" w:eastAsia="Arial" w:hint="default"/>
                <w:sz w:val="21"/>
                <w:szCs w:val="21"/>
              </w:rPr>
            </w:pPr>
            <w:r>
              <w:rPr>
                <w:rFonts w:ascii="Arial"/>
                <w:spacing w:val="-1"/>
                <w:sz w:val="21"/>
              </w:rPr>
              <w:t>158,389.10</w:t>
            </w:r>
          </w:p>
        </w:tc>
      </w:tr>
      <w:tr>
        <w:trPr>
          <w:trHeight w:val="1100" w:hRule="exact"/>
        </w:trPr>
        <w:tc>
          <w:tcPr>
            <w:tcW w:w="3879" w:type="dxa"/>
            <w:tcBorders>
              <w:top w:val="single" w:sz="4" w:space="0" w:color="41B7EE"/>
              <w:left w:val="nil" w:sz="6" w:space="0" w:color="auto"/>
              <w:bottom w:val="single" w:sz="4" w:space="0" w:color="41B7EE"/>
              <w:right w:val="single" w:sz="4" w:space="0" w:color="41B7EE"/>
            </w:tcBorders>
          </w:tcPr>
          <w:p>
            <w:pPr>
              <w:pStyle w:val="TableParagraph"/>
              <w:spacing w:line="240" w:lineRule="exact"/>
              <w:ind w:left="57"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计入当期损益的政府补助，但与公司正常</w:t>
            </w:r>
          </w:p>
          <w:p>
            <w:pPr>
              <w:pStyle w:val="TableParagraph"/>
              <w:spacing w:line="237" w:lineRule="auto" w:before="2"/>
              <w:ind w:left="57" w:right="29"/>
              <w:jc w:val="left"/>
              <w:rPr>
                <w:rFonts w:ascii="宋体" w:hAnsi="宋体" w:cs="宋体" w:eastAsia="宋体" w:hint="default"/>
                <w:sz w:val="21"/>
                <w:szCs w:val="21"/>
              </w:rPr>
            </w:pPr>
            <w:r>
              <w:rPr>
                <w:rFonts w:ascii="宋体" w:hAnsi="宋体" w:cs="宋体" w:eastAsia="宋体" w:hint="default"/>
                <w:spacing w:val="-2"/>
                <w:sz w:val="21"/>
                <w:szCs w:val="21"/>
              </w:rPr>
              <w:t>经营业务密切相关，符合国家政策规定、</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按照一定标准定额或定量持续享受的政</w:t>
            </w:r>
            <w:r>
              <w:rPr>
                <w:rFonts w:ascii="宋体" w:hAnsi="宋体" w:cs="宋体" w:eastAsia="宋体" w:hint="default"/>
                <w:w w:val="100"/>
                <w:sz w:val="21"/>
                <w:szCs w:val="21"/>
              </w:rPr>
              <w:t> </w:t>
            </w:r>
            <w:r>
              <w:rPr>
                <w:rFonts w:ascii="宋体" w:hAnsi="宋体" w:cs="宋体" w:eastAsia="宋体" w:hint="default"/>
                <w:sz w:val="21"/>
                <w:szCs w:val="21"/>
              </w:rPr>
              <w:t>府补助除外</w:t>
            </w:r>
          </w:p>
        </w:tc>
        <w:tc>
          <w:tcPr>
            <w:tcW w:w="17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49"/>
              <w:jc w:val="right"/>
              <w:rPr>
                <w:rFonts w:ascii="Arial" w:hAnsi="Arial" w:cs="Arial" w:eastAsia="Arial" w:hint="default"/>
                <w:sz w:val="21"/>
                <w:szCs w:val="21"/>
              </w:rPr>
            </w:pPr>
            <w:r>
              <w:rPr>
                <w:rFonts w:ascii="Arial"/>
                <w:spacing w:val="-1"/>
                <w:sz w:val="21"/>
              </w:rPr>
              <w:t>1,133,301.63</w:t>
            </w:r>
          </w:p>
        </w:tc>
        <w:tc>
          <w:tcPr>
            <w:tcW w:w="174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46"/>
              <w:jc w:val="right"/>
              <w:rPr>
                <w:rFonts w:ascii="Arial" w:hAnsi="Arial" w:cs="Arial" w:eastAsia="Arial" w:hint="default"/>
                <w:sz w:val="21"/>
                <w:szCs w:val="21"/>
              </w:rPr>
            </w:pPr>
            <w:r>
              <w:rPr>
                <w:rFonts w:ascii="Arial"/>
                <w:spacing w:val="-1"/>
                <w:sz w:val="21"/>
              </w:rPr>
              <w:t>9,221,013.84</w:t>
            </w:r>
          </w:p>
        </w:tc>
        <w:tc>
          <w:tcPr>
            <w:tcW w:w="1606" w:type="dxa"/>
            <w:tcBorders>
              <w:top w:val="single" w:sz="4" w:space="0" w:color="41B7EE"/>
              <w:left w:val="single" w:sz="4" w:space="0" w:color="41B7EE"/>
              <w:bottom w:val="single" w:sz="4" w:space="0" w:color="41B7EE"/>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53"/>
              <w:jc w:val="right"/>
              <w:rPr>
                <w:rFonts w:ascii="Arial" w:hAnsi="Arial" w:cs="Arial" w:eastAsia="Arial" w:hint="default"/>
                <w:sz w:val="21"/>
                <w:szCs w:val="21"/>
              </w:rPr>
            </w:pPr>
            <w:r>
              <w:rPr>
                <w:rFonts w:ascii="Arial"/>
                <w:spacing w:val="-1"/>
                <w:sz w:val="21"/>
              </w:rPr>
              <w:t>15,375,086.81</w:t>
            </w:r>
          </w:p>
        </w:tc>
      </w:tr>
      <w:tr>
        <w:trPr>
          <w:trHeight w:val="554" w:hRule="exact"/>
        </w:trPr>
        <w:tc>
          <w:tcPr>
            <w:tcW w:w="3879" w:type="dxa"/>
            <w:tcBorders>
              <w:top w:val="single" w:sz="4" w:space="0" w:color="41B7EE"/>
              <w:left w:val="nil" w:sz="6" w:space="0" w:color="auto"/>
              <w:bottom w:val="single" w:sz="4" w:space="0" w:color="41B7EE"/>
              <w:right w:val="single" w:sz="4" w:space="0" w:color="41B7EE"/>
            </w:tcBorders>
          </w:tcPr>
          <w:p>
            <w:pPr>
              <w:pStyle w:val="TableParagraph"/>
              <w:spacing w:line="240" w:lineRule="exact"/>
              <w:ind w:left="57"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w:t>
            </w:r>
          </w:p>
          <w:p>
            <w:pPr>
              <w:pStyle w:val="TableParagraph"/>
              <w:spacing w:line="274" w:lineRule="exact"/>
              <w:ind w:left="57" w:right="0"/>
              <w:jc w:val="left"/>
              <w:rPr>
                <w:rFonts w:ascii="宋体" w:hAnsi="宋体" w:cs="宋体" w:eastAsia="宋体" w:hint="default"/>
                <w:sz w:val="21"/>
                <w:szCs w:val="21"/>
              </w:rPr>
            </w:pPr>
            <w:r>
              <w:rPr>
                <w:rFonts w:ascii="宋体" w:hAnsi="宋体" w:cs="宋体" w:eastAsia="宋体" w:hint="default"/>
                <w:sz w:val="21"/>
                <w:szCs w:val="21"/>
              </w:rPr>
              <w:t>金占用费</w:t>
            </w:r>
          </w:p>
        </w:tc>
        <w:tc>
          <w:tcPr>
            <w:tcW w:w="17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48"/>
              <w:jc w:val="right"/>
              <w:rPr>
                <w:rFonts w:ascii="Arial" w:hAnsi="Arial" w:cs="Arial" w:eastAsia="Arial" w:hint="default"/>
                <w:sz w:val="21"/>
                <w:szCs w:val="21"/>
              </w:rPr>
            </w:pPr>
            <w:r>
              <w:rPr>
                <w:rFonts w:ascii="Arial"/>
                <w:spacing w:val="-1"/>
                <w:sz w:val="21"/>
              </w:rPr>
              <w:t>19,508.78</w:t>
            </w:r>
          </w:p>
        </w:tc>
        <w:tc>
          <w:tcPr>
            <w:tcW w:w="174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47"/>
              <w:jc w:val="right"/>
              <w:rPr>
                <w:rFonts w:ascii="Arial" w:hAnsi="Arial" w:cs="Arial" w:eastAsia="Arial" w:hint="default"/>
                <w:sz w:val="21"/>
                <w:szCs w:val="21"/>
              </w:rPr>
            </w:pPr>
            <w:r>
              <w:rPr>
                <w:rFonts w:ascii="Arial"/>
                <w:spacing w:val="-1"/>
                <w:sz w:val="21"/>
              </w:rPr>
              <w:t>27,437,008.15</w:t>
            </w:r>
          </w:p>
        </w:tc>
        <w:tc>
          <w:tcPr>
            <w:tcW w:w="1606"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87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7"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724" w:type="dxa"/>
            <w:tcBorders>
              <w:top w:val="single" w:sz="4" w:space="0" w:color="41B7EE"/>
              <w:left w:val="single" w:sz="4" w:space="0" w:color="41B7EE"/>
              <w:bottom w:val="single" w:sz="4" w:space="0" w:color="41B7EE"/>
              <w:right w:val="single" w:sz="4" w:space="0" w:color="41B7EE"/>
            </w:tcBorders>
          </w:tcPr>
          <w:p>
            <w:pPr/>
          </w:p>
        </w:tc>
        <w:tc>
          <w:tcPr>
            <w:tcW w:w="174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46"/>
              <w:jc w:val="right"/>
              <w:rPr>
                <w:rFonts w:ascii="Arial" w:hAnsi="Arial" w:cs="Arial" w:eastAsia="Arial" w:hint="default"/>
                <w:sz w:val="21"/>
                <w:szCs w:val="21"/>
              </w:rPr>
            </w:pPr>
            <w:r>
              <w:rPr>
                <w:rFonts w:ascii="Arial"/>
                <w:spacing w:val="-1"/>
                <w:sz w:val="21"/>
              </w:rPr>
              <w:t>331,390.27</w:t>
            </w:r>
          </w:p>
        </w:tc>
        <w:tc>
          <w:tcPr>
            <w:tcW w:w="1606"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87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7" w:right="0"/>
              <w:jc w:val="left"/>
              <w:rPr>
                <w:rFonts w:ascii="宋体" w:hAnsi="宋体" w:cs="宋体" w:eastAsia="宋体" w:hint="default"/>
                <w:sz w:val="21"/>
                <w:szCs w:val="21"/>
              </w:rPr>
            </w:pPr>
            <w:r>
              <w:rPr>
                <w:rFonts w:ascii="宋体" w:hAnsi="宋体" w:cs="宋体" w:eastAsia="宋体" w:hint="default"/>
                <w:spacing w:val="-18"/>
                <w:sz w:val="21"/>
                <w:szCs w:val="21"/>
              </w:rPr>
              <w:t>单独进行减值测试的应收款项减值准备转回</w:t>
            </w:r>
            <w:r>
              <w:rPr>
                <w:rFonts w:ascii="宋体" w:hAnsi="宋体" w:cs="宋体" w:eastAsia="宋体" w:hint="default"/>
                <w:sz w:val="21"/>
                <w:szCs w:val="21"/>
              </w:rPr>
            </w:r>
          </w:p>
        </w:tc>
        <w:tc>
          <w:tcPr>
            <w:tcW w:w="17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9"/>
              <w:jc w:val="right"/>
              <w:rPr>
                <w:rFonts w:ascii="Arial" w:hAnsi="Arial" w:cs="Arial" w:eastAsia="Arial" w:hint="default"/>
                <w:sz w:val="21"/>
                <w:szCs w:val="21"/>
              </w:rPr>
            </w:pPr>
            <w:r>
              <w:rPr>
                <w:rFonts w:ascii="Arial"/>
                <w:spacing w:val="-1"/>
                <w:sz w:val="21"/>
              </w:rPr>
              <w:t>1,195,269.46</w:t>
            </w:r>
          </w:p>
        </w:tc>
        <w:tc>
          <w:tcPr>
            <w:tcW w:w="174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7"/>
              <w:jc w:val="right"/>
              <w:rPr>
                <w:rFonts w:ascii="Arial" w:hAnsi="Arial" w:cs="Arial" w:eastAsia="Arial" w:hint="default"/>
                <w:sz w:val="21"/>
                <w:szCs w:val="21"/>
              </w:rPr>
            </w:pPr>
            <w:r>
              <w:rPr>
                <w:rFonts w:ascii="Arial"/>
                <w:spacing w:val="-1"/>
                <w:sz w:val="21"/>
              </w:rPr>
              <w:t>38,327,146.29</w:t>
            </w:r>
          </w:p>
        </w:tc>
        <w:tc>
          <w:tcPr>
            <w:tcW w:w="160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53"/>
              <w:jc w:val="right"/>
              <w:rPr>
                <w:rFonts w:ascii="Arial" w:hAnsi="Arial" w:cs="Arial" w:eastAsia="Arial" w:hint="default"/>
                <w:sz w:val="21"/>
                <w:szCs w:val="21"/>
              </w:rPr>
            </w:pPr>
            <w:r>
              <w:rPr>
                <w:rFonts w:ascii="Arial"/>
                <w:spacing w:val="-1"/>
                <w:sz w:val="21"/>
              </w:rPr>
              <w:t>3,045,507.15</w:t>
            </w:r>
          </w:p>
        </w:tc>
      </w:tr>
      <w:tr>
        <w:trPr>
          <w:trHeight w:val="358" w:hRule="exact"/>
        </w:trPr>
        <w:tc>
          <w:tcPr>
            <w:tcW w:w="387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7" w:right="0"/>
              <w:jc w:val="left"/>
              <w:rPr>
                <w:rFonts w:ascii="宋体" w:hAnsi="宋体" w:cs="宋体" w:eastAsia="宋体" w:hint="default"/>
                <w:sz w:val="21"/>
                <w:szCs w:val="21"/>
              </w:rPr>
            </w:pPr>
            <w:r>
              <w:rPr>
                <w:rFonts w:ascii="宋体" w:hAnsi="宋体" w:cs="宋体" w:eastAsia="宋体" w:hint="default"/>
                <w:spacing w:val="-18"/>
                <w:sz w:val="21"/>
                <w:szCs w:val="21"/>
              </w:rPr>
              <w:t>除上述各项之外的其他营业外收入和支出</w:t>
            </w:r>
            <w:r>
              <w:rPr>
                <w:rFonts w:ascii="宋体" w:hAnsi="宋体" w:cs="宋体" w:eastAsia="宋体" w:hint="default"/>
                <w:sz w:val="21"/>
                <w:szCs w:val="21"/>
              </w:rPr>
            </w:r>
          </w:p>
        </w:tc>
        <w:tc>
          <w:tcPr>
            <w:tcW w:w="17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-176,852,570.85</w:t>
            </w:r>
          </w:p>
        </w:tc>
        <w:tc>
          <w:tcPr>
            <w:tcW w:w="174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6"/>
              <w:jc w:val="right"/>
              <w:rPr>
                <w:rFonts w:ascii="Arial" w:hAnsi="Arial" w:cs="Arial" w:eastAsia="Arial" w:hint="default"/>
                <w:sz w:val="21"/>
                <w:szCs w:val="21"/>
              </w:rPr>
            </w:pPr>
            <w:r>
              <w:rPr>
                <w:rFonts w:ascii="Arial"/>
                <w:spacing w:val="-1"/>
                <w:sz w:val="21"/>
              </w:rPr>
              <w:t>-111,820,651.36</w:t>
            </w:r>
          </w:p>
        </w:tc>
        <w:tc>
          <w:tcPr>
            <w:tcW w:w="160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53"/>
              <w:jc w:val="right"/>
              <w:rPr>
                <w:rFonts w:ascii="Arial" w:hAnsi="Arial" w:cs="Arial" w:eastAsia="Arial" w:hint="default"/>
                <w:sz w:val="21"/>
                <w:szCs w:val="21"/>
              </w:rPr>
            </w:pPr>
            <w:r>
              <w:rPr>
                <w:rFonts w:ascii="Arial"/>
                <w:spacing w:val="-1"/>
                <w:sz w:val="21"/>
              </w:rPr>
              <w:t>-61,689,642.18</w:t>
            </w:r>
          </w:p>
        </w:tc>
      </w:tr>
      <w:tr>
        <w:trPr>
          <w:trHeight w:val="554" w:hRule="exact"/>
        </w:trPr>
        <w:tc>
          <w:tcPr>
            <w:tcW w:w="3879" w:type="dxa"/>
            <w:tcBorders>
              <w:top w:val="single" w:sz="4" w:space="0" w:color="41B7EE"/>
              <w:left w:val="nil" w:sz="6" w:space="0" w:color="auto"/>
              <w:bottom w:val="single" w:sz="4" w:space="0" w:color="41B7EE"/>
              <w:right w:val="single" w:sz="4" w:space="0" w:color="41B7EE"/>
            </w:tcBorders>
          </w:tcPr>
          <w:p>
            <w:pPr>
              <w:pStyle w:val="TableParagraph"/>
              <w:spacing w:line="239" w:lineRule="exact"/>
              <w:ind w:left="57" w:right="0"/>
              <w:jc w:val="left"/>
              <w:rPr>
                <w:rFonts w:ascii="宋体" w:hAnsi="宋体" w:cs="宋体" w:eastAsia="宋体" w:hint="default"/>
                <w:sz w:val="21"/>
                <w:szCs w:val="21"/>
              </w:rPr>
            </w:pPr>
            <w:r>
              <w:rPr>
                <w:rFonts w:ascii="宋体" w:hAnsi="宋体" w:cs="宋体" w:eastAsia="宋体" w:hint="default"/>
                <w:spacing w:val="-3"/>
                <w:sz w:val="21"/>
                <w:szCs w:val="21"/>
              </w:rPr>
              <w:t>子公司丧失控制权后，剩余股权按公允价</w:t>
            </w:r>
          </w:p>
          <w:p>
            <w:pPr>
              <w:pStyle w:val="TableParagraph"/>
              <w:spacing w:line="273" w:lineRule="exact"/>
              <w:ind w:left="57"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r>
              <w:rPr>
                <w:rFonts w:ascii="宋体" w:hAnsi="宋体" w:cs="宋体" w:eastAsia="宋体" w:hint="default"/>
                <w:sz w:val="21"/>
                <w:szCs w:val="21"/>
              </w:rPr>
              <w:t> </w:t>
            </w:r>
          </w:p>
        </w:tc>
        <w:tc>
          <w:tcPr>
            <w:tcW w:w="1724" w:type="dxa"/>
            <w:tcBorders>
              <w:top w:val="single" w:sz="4" w:space="0" w:color="41B7EE"/>
              <w:left w:val="single" w:sz="4" w:space="0" w:color="41B7EE"/>
              <w:bottom w:val="single" w:sz="4" w:space="0" w:color="41B7EE"/>
              <w:right w:val="single" w:sz="4" w:space="0" w:color="41B7EE"/>
            </w:tcBorders>
          </w:tcPr>
          <w:p>
            <w:pPr/>
          </w:p>
        </w:tc>
        <w:tc>
          <w:tcPr>
            <w:tcW w:w="1741" w:type="dxa"/>
            <w:tcBorders>
              <w:top w:val="single" w:sz="4" w:space="0" w:color="41B7EE"/>
              <w:left w:val="single" w:sz="4" w:space="0" w:color="41B7EE"/>
              <w:bottom w:val="single" w:sz="4" w:space="0" w:color="41B7EE"/>
              <w:right w:val="single" w:sz="4" w:space="0" w:color="41B7EE"/>
            </w:tcBorders>
          </w:tcPr>
          <w:p>
            <w:pPr/>
          </w:p>
        </w:tc>
        <w:tc>
          <w:tcPr>
            <w:tcW w:w="160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6"/>
              <w:ind w:right="53"/>
              <w:jc w:val="right"/>
              <w:rPr>
                <w:rFonts w:ascii="Arial" w:hAnsi="Arial" w:cs="Arial" w:eastAsia="Arial" w:hint="default"/>
                <w:sz w:val="21"/>
                <w:szCs w:val="21"/>
              </w:rPr>
            </w:pPr>
            <w:r>
              <w:rPr>
                <w:rFonts w:ascii="Arial"/>
                <w:spacing w:val="-1"/>
                <w:sz w:val="21"/>
              </w:rPr>
              <w:t>38,539,179.10</w:t>
            </w:r>
          </w:p>
        </w:tc>
      </w:tr>
      <w:tr>
        <w:trPr>
          <w:trHeight w:val="355" w:hRule="exact"/>
        </w:trPr>
        <w:tc>
          <w:tcPr>
            <w:tcW w:w="387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57"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7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9"/>
              <w:jc w:val="right"/>
              <w:rPr>
                <w:rFonts w:ascii="Arial" w:hAnsi="Arial" w:cs="Arial" w:eastAsia="Arial" w:hint="default"/>
                <w:sz w:val="21"/>
                <w:szCs w:val="21"/>
              </w:rPr>
            </w:pPr>
            <w:r>
              <w:rPr>
                <w:rFonts w:ascii="Arial"/>
                <w:spacing w:val="-1"/>
                <w:sz w:val="21"/>
              </w:rPr>
              <w:t>-413,403.80</w:t>
            </w:r>
          </w:p>
        </w:tc>
        <w:tc>
          <w:tcPr>
            <w:tcW w:w="174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7"/>
              <w:jc w:val="right"/>
              <w:rPr>
                <w:rFonts w:ascii="Arial" w:hAnsi="Arial" w:cs="Arial" w:eastAsia="Arial" w:hint="default"/>
                <w:sz w:val="21"/>
                <w:szCs w:val="21"/>
              </w:rPr>
            </w:pPr>
            <w:r>
              <w:rPr>
                <w:rFonts w:ascii="Arial"/>
                <w:spacing w:val="-1"/>
                <w:sz w:val="21"/>
              </w:rPr>
              <w:t>-24,725,575.01</w:t>
            </w:r>
          </w:p>
        </w:tc>
        <w:tc>
          <w:tcPr>
            <w:tcW w:w="160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53"/>
              <w:jc w:val="right"/>
              <w:rPr>
                <w:rFonts w:ascii="Arial" w:hAnsi="Arial" w:cs="Arial" w:eastAsia="Arial" w:hint="default"/>
                <w:sz w:val="21"/>
                <w:szCs w:val="21"/>
              </w:rPr>
            </w:pPr>
            <w:r>
              <w:rPr>
                <w:rFonts w:ascii="Arial"/>
                <w:spacing w:val="-1"/>
                <w:sz w:val="21"/>
              </w:rPr>
              <w:t>-483,846.73</w:t>
            </w:r>
          </w:p>
        </w:tc>
      </w:tr>
      <w:tr>
        <w:trPr>
          <w:trHeight w:val="358" w:hRule="exact"/>
        </w:trPr>
        <w:tc>
          <w:tcPr>
            <w:tcW w:w="387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7"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724" w:type="dxa"/>
            <w:tcBorders>
              <w:top w:val="single" w:sz="4" w:space="0" w:color="41B7EE"/>
              <w:left w:val="single" w:sz="4" w:space="0" w:color="41B7EE"/>
              <w:bottom w:val="single" w:sz="4" w:space="0" w:color="41B7EE"/>
              <w:right w:val="single" w:sz="4" w:space="0" w:color="41B7EE"/>
            </w:tcBorders>
          </w:tcPr>
          <w:p>
            <w:pPr/>
          </w:p>
        </w:tc>
        <w:tc>
          <w:tcPr>
            <w:tcW w:w="174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46"/>
              <w:jc w:val="right"/>
              <w:rPr>
                <w:rFonts w:ascii="Arial" w:hAnsi="Arial" w:cs="Arial" w:eastAsia="Arial" w:hint="default"/>
                <w:sz w:val="21"/>
                <w:szCs w:val="21"/>
              </w:rPr>
            </w:pPr>
            <w:r>
              <w:rPr>
                <w:rFonts w:ascii="Arial"/>
                <w:spacing w:val="-1"/>
                <w:sz w:val="21"/>
              </w:rPr>
              <w:t>-1,772.42</w:t>
            </w:r>
          </w:p>
        </w:tc>
        <w:tc>
          <w:tcPr>
            <w:tcW w:w="160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right="53"/>
              <w:jc w:val="right"/>
              <w:rPr>
                <w:rFonts w:ascii="Arial" w:hAnsi="Arial" w:cs="Arial" w:eastAsia="Arial" w:hint="default"/>
                <w:sz w:val="21"/>
                <w:szCs w:val="21"/>
              </w:rPr>
            </w:pPr>
            <w:r>
              <w:rPr>
                <w:rFonts w:ascii="Arial"/>
                <w:spacing w:val="-1"/>
                <w:sz w:val="21"/>
              </w:rPr>
              <w:t>-10,649.42</w:t>
            </w:r>
          </w:p>
        </w:tc>
      </w:tr>
      <w:tr>
        <w:trPr>
          <w:trHeight w:val="384" w:hRule="exact"/>
        </w:trPr>
        <w:tc>
          <w:tcPr>
            <w:tcW w:w="3879"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24"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-172,581,760.10</w:t>
            </w:r>
          </w:p>
        </w:tc>
        <w:tc>
          <w:tcPr>
            <w:tcW w:w="1741"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47"/>
              <w:jc w:val="right"/>
              <w:rPr>
                <w:rFonts w:ascii="Arial" w:hAnsi="Arial" w:cs="Arial" w:eastAsia="Arial" w:hint="default"/>
                <w:sz w:val="21"/>
                <w:szCs w:val="21"/>
              </w:rPr>
            </w:pPr>
            <w:r>
              <w:rPr>
                <w:rFonts w:ascii="Arial"/>
                <w:spacing w:val="-1"/>
                <w:sz w:val="21"/>
              </w:rPr>
              <w:t>-63,636,543.59</w:t>
            </w:r>
          </w:p>
        </w:tc>
        <w:tc>
          <w:tcPr>
            <w:tcW w:w="1606"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53"/>
              <w:jc w:val="right"/>
              <w:rPr>
                <w:rFonts w:ascii="Arial" w:hAnsi="Arial" w:cs="Arial" w:eastAsia="Arial" w:hint="default"/>
                <w:sz w:val="21"/>
                <w:szCs w:val="21"/>
              </w:rPr>
            </w:pPr>
            <w:r>
              <w:rPr>
                <w:rFonts w:ascii="Arial"/>
                <w:spacing w:val="-1"/>
                <w:sz w:val="21"/>
              </w:rPr>
              <w:t>-5,065,976.17</w:t>
            </w:r>
          </w:p>
        </w:tc>
      </w:tr>
    </w:tbl>
    <w:p>
      <w:pPr>
        <w:spacing w:after="0" w:line="240" w:lineRule="auto"/>
        <w:jc w:val="right"/>
        <w:rPr>
          <w:rFonts w:ascii="Arial" w:hAnsi="Arial" w:cs="Arial" w:eastAsia="Arial" w:hint="default"/>
          <w:sz w:val="21"/>
          <w:szCs w:val="21"/>
        </w:rPr>
        <w:sectPr>
          <w:pgSz w:w="11910" w:h="16840"/>
          <w:pgMar w:header="825" w:footer="1195" w:top="1360" w:bottom="1380" w:left="1560" w:right="1040"/>
        </w:sectPr>
      </w:pPr>
    </w:p>
    <w:p>
      <w:pPr>
        <w:pStyle w:val="BodyText"/>
        <w:spacing w:line="260" w:lineRule="exact"/>
        <w:ind w:left="238" w:right="0"/>
        <w:jc w:val="left"/>
        <w:rPr>
          <w:rFonts w:ascii="宋体" w:hAnsi="宋体" w:cs="宋体" w:eastAsia="宋体" w:hint="default"/>
        </w:rPr>
      </w:pPr>
      <w:r>
        <w:rPr>
          <w:rFonts w:ascii="宋体"/>
          <w:w w:val="100"/>
        </w:rPr>
        <w:t> </w:t>
      </w:r>
    </w:p>
    <w:p>
      <w:pPr>
        <w:pStyle w:val="Heading2"/>
        <w:spacing w:line="240" w:lineRule="auto"/>
        <w:ind w:left="238" w:right="-17"/>
        <w:jc w:val="left"/>
        <w:rPr>
          <w:b w:val="0"/>
          <w:bCs w:val="0"/>
        </w:rPr>
      </w:pPr>
      <w:r>
        <w:rPr/>
        <w:t>十一、</w:t>
      </w:r>
      <w:r>
        <w:rPr>
          <w:spacing w:val="100"/>
        </w:rPr>
        <w:t> </w:t>
      </w:r>
      <w:r>
        <w:rPr>
          <w:rFonts w:ascii="宋体" w:hAnsi="宋体" w:cs="宋体" w:eastAsia="宋体" w:hint="default"/>
          <w:spacing w:val="100"/>
        </w:rPr>
      </w:r>
      <w:r>
        <w:rPr/>
        <w:t>采用公允价值计量的项目</w:t>
      </w:r>
      <w:r>
        <w:rPr>
          <w:b w:val="0"/>
          <w:bCs w:val="0"/>
        </w:rPr>
      </w:r>
    </w:p>
    <w:p>
      <w:pPr>
        <w:pStyle w:val="BodyText"/>
        <w:spacing w:line="240" w:lineRule="auto" w:before="58"/>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5"/>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560" w:right="1040"/>
          <w:cols w:num="2" w:equalWidth="0">
            <w:col w:w="3399" w:space="3122"/>
            <w:col w:w="2789"/>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843"/>
        <w:gridCol w:w="1851"/>
        <w:gridCol w:w="1851"/>
        <w:gridCol w:w="1820"/>
        <w:gridCol w:w="1558"/>
      </w:tblGrid>
      <w:tr>
        <w:trPr>
          <w:trHeight w:val="581" w:hRule="exact"/>
        </w:trPr>
        <w:tc>
          <w:tcPr>
            <w:tcW w:w="1843"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105"/>
              <w:ind w:left="501"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851"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105"/>
              <w:ind w:left="49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51"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105"/>
              <w:ind w:left="49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820"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105"/>
              <w:ind w:left="482" w:right="0"/>
              <w:jc w:val="left"/>
              <w:rPr>
                <w:rFonts w:ascii="宋体" w:hAnsi="宋体" w:cs="宋体" w:eastAsia="宋体" w:hint="default"/>
                <w:sz w:val="21"/>
                <w:szCs w:val="21"/>
              </w:rPr>
            </w:pPr>
            <w:r>
              <w:rPr>
                <w:rFonts w:ascii="宋体" w:hAnsi="宋体" w:cs="宋体" w:eastAsia="宋体" w:hint="default"/>
                <w:sz w:val="21"/>
                <w:szCs w:val="21"/>
              </w:rPr>
              <w:t>当期变动</w:t>
            </w:r>
            <w:r>
              <w:rPr>
                <w:rFonts w:ascii="宋体" w:hAnsi="宋体" w:cs="宋体" w:eastAsia="宋体" w:hint="default"/>
                <w:sz w:val="21"/>
                <w:szCs w:val="21"/>
              </w:rPr>
              <w:t> </w:t>
            </w:r>
          </w:p>
        </w:tc>
        <w:tc>
          <w:tcPr>
            <w:tcW w:w="1558" w:type="dxa"/>
            <w:tcBorders>
              <w:top w:val="single" w:sz="23" w:space="0" w:color="41B7EE"/>
              <w:left w:val="single" w:sz="4" w:space="0" w:color="41B7EE"/>
              <w:bottom w:val="single" w:sz="4" w:space="0" w:color="41B7EE"/>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对当期利润的</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影响金额</w:t>
            </w:r>
            <w:r>
              <w:rPr>
                <w:rFonts w:ascii="宋体" w:hAnsi="宋体" w:cs="宋体" w:eastAsia="宋体" w:hint="default"/>
                <w:sz w:val="21"/>
                <w:szCs w:val="21"/>
              </w:rPr>
              <w:t> </w:t>
            </w:r>
          </w:p>
        </w:tc>
      </w:tr>
      <w:tr>
        <w:trPr>
          <w:trHeight w:val="358" w:hRule="exact"/>
        </w:trPr>
        <w:tc>
          <w:tcPr>
            <w:tcW w:w="184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85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2,145,552,559.11</w:t>
            </w:r>
          </w:p>
        </w:tc>
        <w:tc>
          <w:tcPr>
            <w:tcW w:w="185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1,403,767,138.47</w:t>
            </w:r>
          </w:p>
        </w:tc>
        <w:tc>
          <w:tcPr>
            <w:tcW w:w="182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-741,785,420.64</w:t>
            </w:r>
          </w:p>
        </w:tc>
        <w:tc>
          <w:tcPr>
            <w:tcW w:w="155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89,143,107.45</w:t>
            </w:r>
          </w:p>
        </w:tc>
      </w:tr>
      <w:tr>
        <w:trPr>
          <w:trHeight w:val="355" w:hRule="exact"/>
        </w:trPr>
        <w:tc>
          <w:tcPr>
            <w:tcW w:w="184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pacing w:val="-22"/>
                <w:sz w:val="21"/>
                <w:szCs w:val="21"/>
              </w:rPr>
              <w:t>其他权益工具投资</w:t>
            </w:r>
            <w:r>
              <w:rPr>
                <w:rFonts w:ascii="宋体" w:hAnsi="宋体" w:cs="宋体" w:eastAsia="宋体" w:hint="default"/>
                <w:sz w:val="21"/>
                <w:szCs w:val="21"/>
              </w:rPr>
              <w:t> </w:t>
            </w:r>
          </w:p>
        </w:tc>
        <w:tc>
          <w:tcPr>
            <w:tcW w:w="185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20,258,496.06</w:t>
            </w:r>
          </w:p>
        </w:tc>
        <w:tc>
          <w:tcPr>
            <w:tcW w:w="185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11,000,004.00</w:t>
            </w:r>
          </w:p>
        </w:tc>
        <w:tc>
          <w:tcPr>
            <w:tcW w:w="182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2"/>
              <w:jc w:val="right"/>
              <w:rPr>
                <w:rFonts w:ascii="Arial" w:hAnsi="Arial" w:cs="Arial" w:eastAsia="Arial" w:hint="default"/>
                <w:sz w:val="21"/>
                <w:szCs w:val="21"/>
              </w:rPr>
            </w:pPr>
            <w:r>
              <w:rPr>
                <w:rFonts w:ascii="Arial"/>
                <w:spacing w:val="-1"/>
                <w:sz w:val="21"/>
              </w:rPr>
              <w:t>-9,258,492.06</w:t>
            </w:r>
          </w:p>
        </w:tc>
        <w:tc>
          <w:tcPr>
            <w:tcW w:w="155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1,210,000.00</w:t>
            </w:r>
          </w:p>
        </w:tc>
      </w:tr>
      <w:tr>
        <w:trPr>
          <w:trHeight w:val="365" w:hRule="exact"/>
        </w:trPr>
        <w:tc>
          <w:tcPr>
            <w:tcW w:w="1843"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4"/>
              <w:ind w:left="71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51"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2,165,811,055.17</w:t>
            </w:r>
          </w:p>
        </w:tc>
        <w:tc>
          <w:tcPr>
            <w:tcW w:w="1851"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1,414,767,142.47</w:t>
            </w:r>
          </w:p>
        </w:tc>
        <w:tc>
          <w:tcPr>
            <w:tcW w:w="1820"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-751,043,912.70</w:t>
            </w:r>
          </w:p>
        </w:tc>
        <w:tc>
          <w:tcPr>
            <w:tcW w:w="1558"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50"/>
              <w:ind w:right="104"/>
              <w:jc w:val="right"/>
              <w:rPr>
                <w:rFonts w:ascii="Arial" w:hAnsi="Arial" w:cs="Arial" w:eastAsia="Arial" w:hint="default"/>
                <w:sz w:val="21"/>
                <w:szCs w:val="21"/>
              </w:rPr>
            </w:pPr>
            <w:r>
              <w:rPr>
                <w:rFonts w:ascii="Arial"/>
                <w:spacing w:val="-1"/>
                <w:sz w:val="21"/>
              </w:rPr>
              <w:t>90,353,107.45</w:t>
            </w:r>
          </w:p>
        </w:tc>
      </w:tr>
    </w:tbl>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47.1pt;height:1pt;mso-position-horizontal-relative:char;mso-position-vertical-relative:line" coordorigin="0,0" coordsize="8942,20">
            <v:group style="position:absolute;left:10;top:10;width:1839;height:2" coordorigin="10,10" coordsize="1839,2">
              <v:shape style="position:absolute;left:10;top:10;width:1839;height:2" coordorigin="10,10" coordsize="1839,0" path="m10,10l1848,10e" filled="false" stroked="true" strokeweight=".95996pt" strokecolor="#41b7ee">
                <v:path arrowok="t"/>
              </v:shape>
            </v:group>
            <v:group style="position:absolute;left:1848;top:10;width:58;height:2" coordorigin="1848,10" coordsize="58,2">
              <v:shape style="position:absolute;left:1848;top:10;width:58;height:2" coordorigin="1848,10" coordsize="58,0" path="m1848,10l1906,10e" filled="false" stroked="true" strokeweight=".95996pt" strokecolor="#41b7ee">
                <v:path arrowok="t"/>
              </v:shape>
            </v:group>
            <v:group style="position:absolute;left:1906;top:10;width:1794;height:2" coordorigin="1906,10" coordsize="1794,2">
              <v:shape style="position:absolute;left:1906;top:10;width:1794;height:2" coordorigin="1906,10" coordsize="1794,0" path="m1906,10l3699,10e" filled="false" stroked="true" strokeweight=".95996pt" strokecolor="#41b7ee">
                <v:path arrowok="t"/>
              </v:shape>
            </v:group>
            <v:group style="position:absolute;left:3699;top:10;width:58;height:2" coordorigin="3699,10" coordsize="58,2">
              <v:shape style="position:absolute;left:3699;top:10;width:58;height:2" coordorigin="3699,10" coordsize="58,0" path="m3699,10l3757,10e" filled="false" stroked="true" strokeweight=".95996pt" strokecolor="#41b7ee">
                <v:path arrowok="t"/>
              </v:shape>
            </v:group>
            <v:group style="position:absolute;left:3757;top:10;width:1794;height:2" coordorigin="3757,10" coordsize="1794,2">
              <v:shape style="position:absolute;left:3757;top:10;width:1794;height:2" coordorigin="3757,10" coordsize="1794,0" path="m3757,10l5550,10e" filled="false" stroked="true" strokeweight=".95996pt" strokecolor="#41b7ee">
                <v:path arrowok="t"/>
              </v:shape>
            </v:group>
            <v:group style="position:absolute;left:5550;top:10;width:58;height:2" coordorigin="5550,10" coordsize="58,2">
              <v:shape style="position:absolute;left:5550;top:10;width:58;height:2" coordorigin="5550,10" coordsize="58,0" path="m5550,10l5607,10e" filled="false" stroked="true" strokeweight=".95996pt" strokecolor="#41b7ee">
                <v:path arrowok="t"/>
              </v:shape>
            </v:group>
            <v:group style="position:absolute;left:5607;top:10;width:1763;height:2" coordorigin="5607,10" coordsize="1763,2">
              <v:shape style="position:absolute;left:5607;top:10;width:1763;height:2" coordorigin="5607,10" coordsize="1763,0" path="m5607,10l7369,10e" filled="false" stroked="true" strokeweight=".95996pt" strokecolor="#41b7ee">
                <v:path arrowok="t"/>
              </v:shape>
            </v:group>
            <v:group style="position:absolute;left:7370;top:10;width:58;height:2" coordorigin="7370,10" coordsize="58,2">
              <v:shape style="position:absolute;left:7370;top:10;width:58;height:2" coordorigin="7370,10" coordsize="58,0" path="m7370,10l7427,10e" filled="false" stroked="true" strokeweight=".95996pt" strokecolor="#41b7ee">
                <v:path arrowok="t"/>
              </v:shape>
            </v:group>
            <v:group style="position:absolute;left:7427;top:10;width:1505;height:2" coordorigin="7427,10" coordsize="1505,2">
              <v:shape style="position:absolute;left:7427;top:10;width:1505;height:2" coordorigin="7427,10" coordsize="1505,0" path="m7427,10l8932,10e" filled="false" stroked="true" strokeweight=".95996pt" strokecolor="#41b7ee">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360" w:bottom="1380" w:left="1560" w:right="1040"/>
        </w:sectPr>
      </w:pPr>
    </w:p>
    <w:p>
      <w:pPr>
        <w:pStyle w:val="BodyText"/>
        <w:spacing w:line="259" w:lineRule="exact"/>
        <w:ind w:left="238" w:right="0"/>
        <w:jc w:val="left"/>
        <w:rPr>
          <w:rFonts w:ascii="宋体" w:hAnsi="宋体" w:cs="宋体" w:eastAsia="宋体" w:hint="default"/>
        </w:rPr>
      </w:pPr>
      <w:r>
        <w:rPr>
          <w:rFonts w:ascii="宋体"/>
          <w:w w:val="100"/>
        </w:rPr>
        <w:t> </w:t>
      </w:r>
    </w:p>
    <w:p>
      <w:pPr>
        <w:pStyle w:val="Heading2"/>
        <w:spacing w:line="240" w:lineRule="auto" w:before="58"/>
        <w:ind w:left="238" w:right="0"/>
        <w:jc w:val="left"/>
        <w:rPr>
          <w:b w:val="0"/>
          <w:bCs w:val="0"/>
        </w:rPr>
      </w:pPr>
      <w:r>
        <w:rPr/>
        <w:t>十二、</w:t>
      </w:r>
      <w:r>
        <w:rPr>
          <w:spacing w:val="100"/>
        </w:rPr>
        <w:t> </w:t>
      </w:r>
      <w:r>
        <w:rPr>
          <w:rFonts w:ascii="宋体" w:hAnsi="宋体" w:cs="宋体" w:eastAsia="宋体" w:hint="default"/>
          <w:spacing w:val="100"/>
        </w:rPr>
      </w:r>
      <w:r>
        <w:rPr/>
        <w:t>其他</w:t>
      </w:r>
      <w:r>
        <w:rPr>
          <w:b w:val="0"/>
          <w:bCs w:val="0"/>
        </w:rPr>
      </w:r>
    </w:p>
    <w:p>
      <w:pPr>
        <w:pStyle w:val="BodyText"/>
        <w:spacing w:line="274" w:lineRule="exact" w:before="57"/>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8"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0"/>
        <w:rPr>
          <w:rFonts w:ascii="宋体" w:hAnsi="宋体" w:cs="宋体" w:eastAsia="宋体" w:hint="default"/>
          <w:sz w:val="28"/>
          <w:szCs w:val="28"/>
        </w:rPr>
      </w:pPr>
    </w:p>
    <w:p>
      <w:pPr>
        <w:spacing w:line="240" w:lineRule="auto" w:before="10"/>
        <w:rPr>
          <w:rFonts w:ascii="宋体" w:hAnsi="宋体" w:cs="宋体" w:eastAsia="宋体" w:hint="default"/>
          <w:sz w:val="38"/>
          <w:szCs w:val="38"/>
        </w:rPr>
      </w:pPr>
    </w:p>
    <w:p>
      <w:pPr>
        <w:pStyle w:val="Heading1"/>
        <w:tabs>
          <w:tab w:pos="1498" w:val="left" w:leader="none"/>
        </w:tabs>
        <w:spacing w:line="240" w:lineRule="auto"/>
        <w:ind w:left="238" w:right="0"/>
        <w:jc w:val="left"/>
        <w:rPr>
          <w:b w:val="0"/>
          <w:bCs w:val="0"/>
        </w:rPr>
      </w:pPr>
      <w:bookmarkStart w:name="_bookmark2" w:id="3"/>
      <w:bookmarkEnd w:id="3"/>
      <w:r>
        <w:rPr>
          <w:b w:val="0"/>
          <w:bCs w:val="0"/>
        </w:rPr>
      </w:r>
      <w:r>
        <w:rPr>
          <w:w w:val="95"/>
        </w:rPr>
        <w:t>第三节</w:t>
      </w:r>
      <w:r>
        <w:rPr>
          <w:rFonts w:ascii="宋体" w:hAnsi="宋体" w:cs="宋体" w:eastAsia="宋体" w:hint="default"/>
          <w:w w:val="95"/>
        </w:rPr>
        <w:tab/>
      </w:r>
      <w:r>
        <w:rPr/>
        <w:t>公司业务概要</w:t>
      </w:r>
      <w:r>
        <w:rPr>
          <w:b w:val="0"/>
          <w:bCs w:val="0"/>
        </w:rPr>
      </w:r>
    </w:p>
    <w:p>
      <w:pPr>
        <w:spacing w:after="0" w:line="240" w:lineRule="auto"/>
        <w:jc w:val="left"/>
        <w:sectPr>
          <w:type w:val="continuous"/>
          <w:pgSz w:w="11910" w:h="16840"/>
          <w:pgMar w:top="1360" w:bottom="1380" w:left="1560" w:right="1040"/>
          <w:cols w:num="2" w:equalWidth="0">
            <w:col w:w="2024" w:space="919"/>
            <w:col w:w="6367"/>
          </w:cols>
        </w:sectPr>
      </w:pPr>
    </w:p>
    <w:p>
      <w:pPr>
        <w:spacing w:line="240" w:lineRule="auto" w:before="7"/>
        <w:rPr>
          <w:rFonts w:ascii="黑体" w:hAnsi="黑体" w:cs="黑体" w:eastAsia="黑体" w:hint="default"/>
          <w:b/>
          <w:bCs/>
          <w:sz w:val="16"/>
          <w:szCs w:val="16"/>
        </w:rPr>
      </w:pPr>
    </w:p>
    <w:p>
      <w:pPr>
        <w:pStyle w:val="Heading2"/>
        <w:spacing w:line="240" w:lineRule="auto" w:before="36"/>
        <w:ind w:left="238" w:right="0"/>
        <w:jc w:val="left"/>
        <w:rPr>
          <w:b w:val="0"/>
          <w:bCs w:val="0"/>
        </w:rPr>
      </w:pPr>
      <w:r>
        <w:rPr/>
        <w:t>一、报告期内公司所从事的主要业务、经营模式及行业情况说明</w:t>
      </w:r>
      <w:r>
        <w:rPr>
          <w:b w:val="0"/>
          <w:bCs w:val="0"/>
        </w:rPr>
      </w:r>
    </w:p>
    <w:p>
      <w:pPr>
        <w:pStyle w:val="BodyText"/>
        <w:spacing w:line="280" w:lineRule="auto" w:before="102"/>
        <w:ind w:left="658" w:right="0"/>
        <w:jc w:val="left"/>
      </w:pPr>
      <w:r>
        <w:rPr>
          <w:rFonts w:ascii="宋体" w:hAnsi="宋体" w:cs="宋体" w:eastAsia="宋体" w:hint="default"/>
          <w:b/>
          <w:bCs/>
        </w:rPr>
        <w:t>（一）主要业务说明</w:t>
      </w:r>
      <w:r>
        <w:rPr>
          <w:rFonts w:ascii="宋体" w:hAnsi="宋体" w:cs="宋体" w:eastAsia="宋体" w:hint="default"/>
          <w:b/>
          <w:bCs/>
          <w:w w:val="99"/>
        </w:rPr>
        <w:t> </w:t>
      </w:r>
      <w:r>
        <w:rPr>
          <w:spacing w:val="-2"/>
        </w:rPr>
        <w:t>公司主要从事耕地发包经营；水稻、玉米等粮食作物的生产和销售；与种植业生产相关的技</w:t>
      </w:r>
    </w:p>
    <w:p>
      <w:pPr>
        <w:pStyle w:val="BodyText"/>
        <w:spacing w:line="240" w:lineRule="auto" w:before="8"/>
        <w:ind w:left="238" w:right="0"/>
        <w:jc w:val="left"/>
        <w:rPr>
          <w:rFonts w:ascii="宋体" w:hAnsi="宋体" w:cs="宋体" w:eastAsia="宋体" w:hint="default"/>
        </w:rPr>
      </w:pPr>
      <w:r>
        <w:rPr/>
        <w:t>术、信息及服务等；化肥零售（仅限分支机构经营）以及房地产开发与销售。</w:t>
      </w:r>
      <w:r>
        <w:rPr>
          <w:rFonts w:ascii="宋体" w:hAnsi="宋体" w:cs="宋体" w:eastAsia="宋体" w:hint="default"/>
        </w:rPr>
        <w:t> </w:t>
      </w:r>
    </w:p>
    <w:p>
      <w:pPr>
        <w:pStyle w:val="Heading2"/>
        <w:spacing w:line="240" w:lineRule="auto" w:before="44"/>
        <w:ind w:left="660" w:right="0"/>
        <w:jc w:val="left"/>
        <w:rPr>
          <w:rFonts w:ascii="宋体" w:hAnsi="宋体" w:cs="宋体" w:eastAsia="宋体" w:hint="default"/>
          <w:b w:val="0"/>
          <w:bCs w:val="0"/>
        </w:rPr>
      </w:pPr>
      <w:r>
        <w:rPr/>
        <w:t>（二）经营模式说明</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46"/>
        <w:ind w:left="660" w:right="0"/>
        <w:jc w:val="left"/>
        <w:rPr>
          <w:b w:val="0"/>
          <w:bCs w:val="0"/>
        </w:rPr>
      </w:pPr>
      <w:r>
        <w:rPr>
          <w:rFonts w:ascii="Arial" w:hAnsi="Arial" w:cs="Arial" w:eastAsia="Arial" w:hint="default"/>
        </w:rPr>
        <w:t>1.</w:t>
      </w:r>
      <w:r>
        <w:rPr/>
        <w:t>耕地发包业务</w:t>
      </w:r>
      <w:r>
        <w:rPr>
          <w:b w:val="0"/>
          <w:bCs w:val="0"/>
        </w:rPr>
      </w:r>
    </w:p>
    <w:p>
      <w:pPr>
        <w:spacing w:after="0" w:line="240" w:lineRule="auto"/>
        <w:jc w:val="left"/>
        <w:sectPr>
          <w:type w:val="continuous"/>
          <w:pgSz w:w="11910" w:h="16840"/>
          <w:pgMar w:top="1360" w:bottom="1380" w:left="1560" w:right="1040"/>
        </w:sectPr>
      </w:pPr>
    </w:p>
    <w:p>
      <w:pPr>
        <w:spacing w:line="240" w:lineRule="auto" w:before="12"/>
        <w:rPr>
          <w:rFonts w:ascii="宋体" w:hAnsi="宋体" w:cs="宋体" w:eastAsia="宋体" w:hint="default"/>
          <w:b/>
          <w:bCs/>
          <w:sz w:val="9"/>
          <w:szCs w:val="9"/>
        </w:rPr>
      </w:pPr>
    </w:p>
    <w:p>
      <w:pPr>
        <w:pStyle w:val="BodyText"/>
        <w:spacing w:line="280" w:lineRule="auto" w:before="36"/>
        <w:ind w:left="138" w:right="137" w:firstLine="419"/>
        <w:jc w:val="both"/>
        <w:rPr>
          <w:rFonts w:ascii="宋体" w:hAnsi="宋体" w:cs="宋体" w:eastAsia="宋体" w:hint="default"/>
        </w:rPr>
      </w:pPr>
      <w:r>
        <w:rPr>
          <w:spacing w:val="-2"/>
        </w:rPr>
        <w:t>公司实行以统一经营管理为主导，家庭农场承包经营为基础的统分结合的双层经营体制。公</w:t>
      </w:r>
      <w:r>
        <w:rPr>
          <w:w w:val="100"/>
        </w:rPr>
        <w:t> </w:t>
      </w:r>
      <w:r>
        <w:rPr>
          <w:spacing w:val="-2"/>
        </w:rPr>
        <w:t>司是耕地资源经营主体，对权属内的耕地资源享有使用权、经营权和收益权，通过对权属内的耕</w:t>
      </w:r>
      <w:r>
        <w:rPr>
          <w:spacing w:val="-25"/>
        </w:rPr>
        <w:t> </w:t>
      </w:r>
      <w:r>
        <w:rPr>
          <w:spacing w:val="-25"/>
        </w:rPr>
      </w:r>
      <w:r>
        <w:rPr>
          <w:spacing w:val="-2"/>
        </w:rPr>
        <w:t>地发包经营和生产服务，统一组织、指导和管理农业生产经营活动。家庭农场、联户家庭农场以</w:t>
      </w:r>
      <w:r>
        <w:rPr>
          <w:spacing w:val="-25"/>
        </w:rPr>
        <w:t> </w:t>
      </w:r>
      <w:r>
        <w:rPr>
          <w:spacing w:val="-25"/>
        </w:rPr>
      </w:r>
      <w:r>
        <w:rPr>
          <w:spacing w:val="-2"/>
        </w:rPr>
        <w:t>及其他经济组织是双层经营的生产经营主体，通过承包方式取得耕地资源的经营权，直接从事农</w:t>
      </w:r>
      <w:r>
        <w:rPr>
          <w:spacing w:val="-25"/>
        </w:rPr>
        <w:t> </w:t>
      </w:r>
      <w:r>
        <w:rPr>
          <w:spacing w:val="-25"/>
        </w:rPr>
      </w:r>
      <w:r>
        <w:rPr/>
        <w:t>业生产经营活动，自主经营，自负盈亏。</w:t>
      </w:r>
      <w:r>
        <w:rPr>
          <w:rFonts w:ascii="宋体" w:hAnsi="宋体" w:cs="宋体" w:eastAsia="宋体" w:hint="default"/>
        </w:rPr>
        <w:t> </w:t>
      </w:r>
    </w:p>
    <w:p>
      <w:pPr>
        <w:pStyle w:val="BodyText"/>
        <w:spacing w:line="280" w:lineRule="auto" w:before="8"/>
        <w:ind w:left="558" w:right="0"/>
        <w:jc w:val="left"/>
      </w:pPr>
      <w:r>
        <w:rPr/>
        <w:t>双层经营体制具有以下特点：</w:t>
      </w:r>
      <w:r>
        <w:rPr>
          <w:rFonts w:ascii="宋体" w:hAnsi="宋体" w:cs="宋体" w:eastAsia="宋体" w:hint="default"/>
          <w:w w:val="100"/>
        </w:rPr>
        <w:t> </w:t>
      </w:r>
      <w:r>
        <w:rPr/>
        <w:t>一是双层核算，双重利益主体。公司及家庭农场均是独立核算、自负盈亏的经营主体。</w:t>
      </w:r>
      <w:r>
        <w:rPr>
          <w:rFonts w:ascii="宋体" w:hAnsi="宋体" w:cs="宋体" w:eastAsia="宋体" w:hint="default"/>
          <w:w w:val="100"/>
        </w:rPr>
        <w:t> </w:t>
      </w:r>
      <w:r>
        <w:rPr>
          <w:spacing w:val="-2"/>
        </w:rPr>
        <w:t>二是双层管理、责任明确。公司的统一管理贯穿于农业生产的全部过程，其目的是为家庭农</w:t>
      </w:r>
    </w:p>
    <w:p>
      <w:pPr>
        <w:pStyle w:val="BodyText"/>
        <w:spacing w:line="280" w:lineRule="auto" w:before="8"/>
        <w:ind w:left="138" w:right="137"/>
        <w:jc w:val="both"/>
        <w:rPr>
          <w:rFonts w:ascii="宋体" w:hAnsi="宋体" w:cs="宋体" w:eastAsia="宋体" w:hint="default"/>
        </w:rPr>
      </w:pPr>
      <w:r>
        <w:rPr>
          <w:spacing w:val="-2"/>
        </w:rPr>
        <w:t>场提供最佳的生产经营环境与条件，为家庭农场提供产前、产中、产后服务。公司负责农业基础</w:t>
      </w:r>
      <w:r>
        <w:rPr>
          <w:spacing w:val="-25"/>
        </w:rPr>
        <w:t> </w:t>
      </w:r>
      <w:r>
        <w:rPr>
          <w:spacing w:val="-25"/>
        </w:rPr>
      </w:r>
      <w:r>
        <w:rPr>
          <w:spacing w:val="-2"/>
        </w:rPr>
        <w:t>设施的建设和维护投入。为家庭农场提供技术培训及市场信息支持。采取面授、电视讲座、印发</w:t>
      </w:r>
      <w:r>
        <w:rPr>
          <w:spacing w:val="-25"/>
        </w:rPr>
        <w:t> </w:t>
      </w:r>
      <w:r>
        <w:rPr>
          <w:spacing w:val="-25"/>
        </w:rPr>
      </w:r>
      <w:r>
        <w:rPr>
          <w:spacing w:val="-2"/>
        </w:rPr>
        <w:t>技术资料等形式，对家庭农场进行农作物综合高产栽培技术培训等。公司农技部门巡回进行田间</w:t>
      </w:r>
      <w:r>
        <w:rPr>
          <w:spacing w:val="-25"/>
        </w:rPr>
        <w:t> </w:t>
      </w:r>
      <w:r>
        <w:rPr>
          <w:spacing w:val="-25"/>
        </w:rPr>
      </w:r>
      <w:r>
        <w:rPr>
          <w:spacing w:val="-2"/>
        </w:rPr>
        <w:t>技术指导和技术咨询，指导家庭农场进行播种、施肥、施药、病虫草防治和中耕管理。统一组织</w:t>
      </w:r>
      <w:r>
        <w:rPr>
          <w:spacing w:val="-25"/>
        </w:rPr>
        <w:t> </w:t>
      </w:r>
      <w:r>
        <w:rPr>
          <w:spacing w:val="-25"/>
        </w:rPr>
      </w:r>
      <w:r>
        <w:rPr>
          <w:spacing w:val="-2"/>
        </w:rPr>
        <w:t>防洪除涝、防灾减灾。协调收获机械帮助家庭农场收获农产品，为家庭农场提供农产品晾晒、清</w:t>
      </w:r>
      <w:r>
        <w:rPr>
          <w:spacing w:val="-25"/>
        </w:rPr>
        <w:t> </w:t>
      </w:r>
      <w:r>
        <w:rPr>
          <w:spacing w:val="-25"/>
        </w:rPr>
      </w:r>
      <w:r>
        <w:rPr>
          <w:spacing w:val="-2"/>
        </w:rPr>
        <w:t>选和储藏设施。为家庭农场提供农产品市场需求及价格信息。家庭农场负责其生产经营投入及生</w:t>
      </w:r>
      <w:r>
        <w:rPr>
          <w:spacing w:val="-25"/>
        </w:rPr>
        <w:t> </w:t>
      </w:r>
      <w:r>
        <w:rPr>
          <w:spacing w:val="-25"/>
        </w:rPr>
      </w:r>
      <w:r>
        <w:rPr>
          <w:spacing w:val="-2"/>
        </w:rPr>
        <w:t>产过程管理和农产品销售，是家庭农场自我利益实现的基础，家庭农场采取的是“两自理、四到</w:t>
      </w:r>
      <w:r>
        <w:rPr>
          <w:spacing w:val="-25"/>
        </w:rPr>
        <w:t> </w:t>
      </w:r>
      <w:r>
        <w:rPr>
          <w:spacing w:val="-25"/>
        </w:rPr>
      </w:r>
      <w:r>
        <w:rPr>
          <w:spacing w:val="-2"/>
        </w:rPr>
        <w:t>户”的生产经营方式，即生产费、生活费两自理，地块、机械、核算、盈亏四到户。其收入来源</w:t>
      </w:r>
      <w:r>
        <w:rPr>
          <w:spacing w:val="-25"/>
        </w:rPr>
        <w:t> </w:t>
      </w:r>
      <w:r>
        <w:rPr>
          <w:spacing w:val="-25"/>
        </w:rPr>
      </w:r>
      <w:r>
        <w:rPr/>
        <w:t>于生产的产品对外自行销售的收入。</w:t>
      </w:r>
      <w:r>
        <w:rPr>
          <w:rFonts w:ascii="宋体" w:hAnsi="宋体" w:cs="宋体" w:eastAsia="宋体" w:hint="default"/>
        </w:rPr>
        <w:t> </w:t>
      </w:r>
    </w:p>
    <w:p>
      <w:pPr>
        <w:pStyle w:val="BodyText"/>
        <w:spacing w:line="278" w:lineRule="auto" w:before="8"/>
        <w:ind w:left="138" w:right="137" w:firstLine="419"/>
        <w:jc w:val="both"/>
        <w:rPr>
          <w:rFonts w:ascii="宋体" w:hAnsi="宋体" w:cs="宋体" w:eastAsia="宋体" w:hint="default"/>
        </w:rPr>
      </w:pPr>
      <w:r>
        <w:rPr>
          <w:spacing w:val="-2"/>
        </w:rPr>
        <w:t>这种经营模式既有利于调动家庭农场的生产积极性，分散生产经营风险，又有利于发挥机械</w:t>
      </w:r>
      <w:r>
        <w:rPr>
          <w:w w:val="100"/>
        </w:rPr>
        <w:t> </w:t>
      </w:r>
      <w:r>
        <w:rPr/>
        <w:t>化、规模化、科技化等优势。</w:t>
      </w:r>
      <w:r>
        <w:rPr>
          <w:rFonts w:ascii="宋体" w:hAnsi="宋体" w:cs="宋体" w:eastAsia="宋体" w:hint="default"/>
        </w:rPr>
        <w:t> </w:t>
      </w:r>
    </w:p>
    <w:p>
      <w:pPr>
        <w:pStyle w:val="BodyText"/>
        <w:spacing w:line="264" w:lineRule="auto" w:before="13"/>
        <w:ind w:left="558" w:right="0" w:firstLine="2"/>
        <w:jc w:val="left"/>
      </w:pPr>
      <w:r>
        <w:rPr>
          <w:rFonts w:ascii="Arial" w:hAnsi="Arial" w:cs="Arial" w:eastAsia="Arial" w:hint="default"/>
          <w:b/>
          <w:bCs/>
        </w:rPr>
        <w:t>2.</w:t>
      </w:r>
      <w:r>
        <w:rPr>
          <w:rFonts w:ascii="宋体" w:hAnsi="宋体" w:cs="宋体" w:eastAsia="宋体" w:hint="default"/>
          <w:b/>
          <w:bCs/>
        </w:rPr>
        <w:t>农产品销售业务</w:t>
      </w:r>
      <w:r>
        <w:rPr>
          <w:rFonts w:ascii="宋体" w:hAnsi="宋体" w:cs="宋体" w:eastAsia="宋体" w:hint="default"/>
          <w:b/>
          <w:bCs/>
          <w:w w:val="100"/>
        </w:rPr>
        <w:t> </w:t>
      </w:r>
      <w:r>
        <w:rPr>
          <w:spacing w:val="-2"/>
        </w:rPr>
        <w:t>部分农业分公司家庭农场以农产品缴纳的承包费而形成的销售业务；部分农业分公司结合农</w:t>
      </w:r>
    </w:p>
    <w:p>
      <w:pPr>
        <w:pStyle w:val="BodyText"/>
        <w:spacing w:line="240" w:lineRule="auto" w:before="23"/>
        <w:ind w:left="138" w:right="0"/>
        <w:jc w:val="left"/>
        <w:rPr>
          <w:rFonts w:ascii="宋体" w:hAnsi="宋体" w:cs="宋体" w:eastAsia="宋体" w:hint="default"/>
        </w:rPr>
      </w:pPr>
      <w:r>
        <w:rPr/>
        <w:t>产品市场行情，收购农产品再销售以获取收益。</w:t>
      </w:r>
      <w:r>
        <w:rPr>
          <w:rFonts w:ascii="宋体" w:hAnsi="宋体" w:cs="宋体" w:eastAsia="宋体" w:hint="default"/>
        </w:rPr>
        <w:t> </w:t>
      </w:r>
    </w:p>
    <w:p>
      <w:pPr>
        <w:spacing w:line="264" w:lineRule="auto" w:before="47"/>
        <w:ind w:left="558" w:right="2314" w:firstLine="2"/>
        <w:jc w:val="left"/>
        <w:rPr>
          <w:rFonts w:ascii="宋体" w:hAnsi="宋体" w:cs="宋体" w:eastAsia="宋体" w:hint="default"/>
          <w:sz w:val="21"/>
          <w:szCs w:val="21"/>
        </w:rPr>
      </w:pPr>
      <w:r>
        <w:rPr>
          <w:rFonts w:ascii="Arial" w:hAnsi="Arial" w:cs="Arial" w:eastAsia="Arial" w:hint="default"/>
          <w:b/>
          <w:bCs/>
          <w:sz w:val="21"/>
          <w:szCs w:val="21"/>
        </w:rPr>
        <w:t>3.</w:t>
      </w:r>
      <w:r>
        <w:rPr>
          <w:rFonts w:ascii="宋体" w:hAnsi="宋体" w:cs="宋体" w:eastAsia="宋体" w:hint="default"/>
          <w:b/>
          <w:bCs/>
          <w:sz w:val="21"/>
          <w:szCs w:val="21"/>
        </w:rPr>
        <w:t>房地产业务</w:t>
      </w:r>
      <w:r>
        <w:rPr>
          <w:rFonts w:ascii="宋体" w:hAnsi="宋体" w:cs="宋体" w:eastAsia="宋体" w:hint="default"/>
          <w:b/>
          <w:bCs/>
          <w:w w:val="100"/>
          <w:sz w:val="21"/>
          <w:szCs w:val="21"/>
        </w:rPr>
        <w:t> </w:t>
      </w:r>
      <w:r>
        <w:rPr>
          <w:rFonts w:ascii="宋体" w:hAnsi="宋体" w:cs="宋体" w:eastAsia="宋体" w:hint="default"/>
          <w:sz w:val="21"/>
          <w:szCs w:val="21"/>
        </w:rPr>
        <w:t>公司控股子公司北大荒鑫都房地产开发有限公司主营房地产业务。</w:t>
      </w:r>
      <w:r>
        <w:rPr>
          <w:rFonts w:ascii="宋体" w:hAnsi="宋体" w:cs="宋体" w:eastAsia="宋体" w:hint="default"/>
          <w:sz w:val="21"/>
          <w:szCs w:val="21"/>
        </w:rPr>
        <w:t> </w:t>
      </w:r>
    </w:p>
    <w:p>
      <w:pPr>
        <w:pStyle w:val="BodyText"/>
        <w:spacing w:line="280" w:lineRule="auto" w:before="23"/>
        <w:ind w:left="558" w:right="0" w:firstLine="2"/>
        <w:jc w:val="left"/>
      </w:pPr>
      <w:r>
        <w:rPr>
          <w:rFonts w:ascii="宋体" w:hAnsi="宋体" w:cs="宋体" w:eastAsia="宋体" w:hint="default"/>
          <w:b/>
          <w:bCs/>
        </w:rPr>
        <w:t>（三）行业情况说明</w:t>
      </w:r>
      <w:r>
        <w:rPr>
          <w:rFonts w:ascii="宋体" w:hAnsi="宋体" w:cs="宋体" w:eastAsia="宋体" w:hint="default"/>
          <w:b/>
          <w:bCs/>
          <w:w w:val="99"/>
        </w:rPr>
        <w:t> </w:t>
      </w:r>
      <w:r>
        <w:rPr>
          <w:spacing w:val="-2"/>
        </w:rPr>
        <w:t>公司所属农业行业，是我国目前规模大、现代化水平高的种植业上市公司和重要的商品粮生</w:t>
      </w:r>
    </w:p>
    <w:p>
      <w:pPr>
        <w:pStyle w:val="BodyText"/>
        <w:spacing w:line="278" w:lineRule="auto" w:before="8"/>
        <w:ind w:left="138" w:right="0"/>
        <w:jc w:val="left"/>
        <w:rPr>
          <w:rFonts w:ascii="宋体" w:hAnsi="宋体" w:cs="宋体" w:eastAsia="宋体" w:hint="default"/>
        </w:rPr>
      </w:pPr>
      <w:r>
        <w:rPr>
          <w:spacing w:val="-2"/>
        </w:rPr>
        <w:t>产基地，在自然资源、基础设施、农机装备、农业科技服务、组织管理等方面具有显著优势，处</w:t>
      </w:r>
      <w:r>
        <w:rPr>
          <w:spacing w:val="-25"/>
        </w:rPr>
        <w:t> </w:t>
      </w:r>
      <w:r>
        <w:rPr>
          <w:spacing w:val="-25"/>
        </w:rPr>
      </w:r>
      <w:r>
        <w:rPr/>
        <w:t>于同行业领先水平。</w:t>
      </w:r>
      <w:r>
        <w:rPr>
          <w:rFonts w:ascii="宋体" w:hAnsi="宋体" w:cs="宋体" w:eastAsia="宋体" w:hint="default"/>
        </w:rPr>
        <w:t> </w:t>
      </w:r>
    </w:p>
    <w:p>
      <w:pPr>
        <w:pStyle w:val="BodyText"/>
        <w:spacing w:line="278" w:lineRule="auto" w:before="13"/>
        <w:ind w:left="138" w:right="128" w:firstLine="419"/>
        <w:jc w:val="both"/>
        <w:rPr>
          <w:rFonts w:ascii="宋体" w:hAnsi="宋体" w:cs="宋体" w:eastAsia="宋体" w:hint="default"/>
        </w:rPr>
      </w:pPr>
      <w:r>
        <w:rPr>
          <w:spacing w:val="-7"/>
        </w:rPr>
        <w:t>我国是世界粮食生产和消费大国，农业是国民经济的基础产业。近些年，国家粮食连年增产，</w:t>
      </w:r>
      <w:r>
        <w:rPr>
          <w:w w:val="100"/>
        </w:rPr>
        <w:t> </w:t>
      </w:r>
      <w:r>
        <w:rPr>
          <w:spacing w:val="-2"/>
        </w:rPr>
        <w:t>农业实现了综合生产能力质的飞跃，特别是国家每年都出台一系列支农、惠农政策来加快促进农</w:t>
      </w:r>
      <w:r>
        <w:rPr>
          <w:spacing w:val="-25"/>
        </w:rPr>
        <w:t> </w:t>
      </w:r>
      <w:r>
        <w:rPr>
          <w:spacing w:val="-25"/>
        </w:rPr>
      </w:r>
      <w:r>
        <w:rPr/>
        <w:t>业发展。</w:t>
      </w:r>
      <w:r>
        <w:rPr>
          <w:rFonts w:ascii="宋体" w:hAnsi="宋体" w:cs="宋体" w:eastAsia="宋体" w:hint="default"/>
        </w:rPr>
        <w:t> </w:t>
      </w:r>
    </w:p>
    <w:p>
      <w:pPr>
        <w:pStyle w:val="Heading2"/>
        <w:spacing w:line="240" w:lineRule="auto" w:before="27"/>
        <w:ind w:left="138" w:right="0"/>
        <w:jc w:val="left"/>
        <w:rPr>
          <w:rFonts w:ascii="宋体" w:hAnsi="宋体" w:cs="宋体" w:eastAsia="宋体" w:hint="default"/>
          <w:b w:val="0"/>
          <w:bCs w:val="0"/>
        </w:rPr>
      </w:pPr>
      <w:r>
        <w:rPr/>
        <w:t>二、报告期内公司主要资产发生重大变化情况的说明</w:t>
      </w:r>
      <w:r>
        <w:rPr>
          <w:rFonts w:ascii="宋体" w:hAnsi="宋体" w:cs="宋体" w:eastAsia="宋体" w:hint="default"/>
          <w:w w:val="99"/>
        </w:rPr>
        <w:t> </w:t>
      </w:r>
      <w:r>
        <w:rPr>
          <w:rFonts w:ascii="宋体" w:hAnsi="宋体" w:cs="宋体" w:eastAsia="宋体" w:hint="default"/>
          <w:b w:val="0"/>
          <w:bCs w:val="0"/>
        </w:rPr>
      </w:r>
    </w:p>
    <w:p>
      <w:pPr>
        <w:pStyle w:val="BodyText"/>
        <w:spacing w:line="278" w:lineRule="auto" w:before="56"/>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详见“第四节经营情况讨论与分析”“二、报告期内主要经营情况”“（三）资产、负债情</w:t>
      </w:r>
    </w:p>
    <w:p>
      <w:pPr>
        <w:spacing w:line="290" w:lineRule="auto" w:before="10"/>
        <w:ind w:left="138" w:right="3457" w:firstLine="0"/>
        <w:jc w:val="left"/>
        <w:rPr>
          <w:rFonts w:ascii="宋体" w:hAnsi="宋体" w:cs="宋体" w:eastAsia="宋体" w:hint="default"/>
          <w:sz w:val="21"/>
          <w:szCs w:val="21"/>
        </w:rPr>
      </w:pPr>
      <w:r>
        <w:rPr>
          <w:rFonts w:ascii="宋体" w:hAnsi="宋体" w:cs="宋体" w:eastAsia="宋体" w:hint="default"/>
          <w:sz w:val="21"/>
          <w:szCs w:val="21"/>
        </w:rPr>
        <w:t>况分析”中相关资产变化情况说明。</w:t>
      </w:r>
      <w:r>
        <w:rPr>
          <w:rFonts w:ascii="宋体" w:hAnsi="宋体" w:cs="宋体" w:eastAsia="宋体" w:hint="default"/>
          <w:w w:val="100"/>
          <w:sz w:val="21"/>
          <w:szCs w:val="21"/>
        </w:rPr>
        <w:t> </w:t>
      </w:r>
      <w:r>
        <w:rPr>
          <w:rFonts w:ascii="宋体" w:hAnsi="宋体" w:cs="宋体" w:eastAsia="宋体" w:hint="default"/>
          <w:b/>
          <w:bCs/>
          <w:sz w:val="21"/>
          <w:szCs w:val="21"/>
        </w:rPr>
        <w:t>三、报告期内核心竞争力分析</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6" w:lineRule="auto" w:before="14"/>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报告期内，公司调整产业结构、种植结构，促进各项改革和发展措施落地，不断提高公司核</w:t>
      </w:r>
    </w:p>
    <w:p>
      <w:pPr>
        <w:pStyle w:val="BodyText"/>
        <w:spacing w:line="240" w:lineRule="auto" w:before="15"/>
        <w:ind w:left="138" w:right="0"/>
        <w:jc w:val="left"/>
        <w:rPr>
          <w:rFonts w:ascii="宋体" w:hAnsi="宋体" w:cs="宋体" w:eastAsia="宋体" w:hint="default"/>
        </w:rPr>
      </w:pPr>
      <w:r>
        <w:rPr/>
        <w:t>心竞争力。公司核心竞争力主要体现在以下几个方面：</w:t>
      </w:r>
      <w:r>
        <w:rPr>
          <w:rFonts w:ascii="宋体" w:hAnsi="宋体" w:cs="宋体" w:eastAsia="宋体" w:hint="default"/>
        </w:rPr>
        <w:t> </w:t>
      </w:r>
    </w:p>
    <w:p>
      <w:pPr>
        <w:pStyle w:val="BodyText"/>
        <w:spacing w:line="278" w:lineRule="auto" w:before="44"/>
        <w:ind w:left="558" w:right="122" w:firstLine="2"/>
        <w:jc w:val="left"/>
        <w:rPr>
          <w:rFonts w:ascii="Arial" w:hAnsi="Arial" w:cs="Arial" w:eastAsia="Arial" w:hint="default"/>
        </w:rPr>
      </w:pPr>
      <w:r>
        <w:rPr>
          <w:rFonts w:ascii="宋体" w:hAnsi="宋体" w:cs="宋体" w:eastAsia="宋体" w:hint="default"/>
          <w:b/>
          <w:bCs/>
        </w:rPr>
        <w:t>（一）资源优势</w:t>
      </w:r>
      <w:r>
        <w:rPr>
          <w:rFonts w:ascii="宋体" w:hAnsi="宋体" w:cs="宋体" w:eastAsia="宋体" w:hint="default"/>
          <w:b/>
          <w:bCs/>
          <w:w w:val="99"/>
        </w:rPr>
        <w:t> </w:t>
      </w:r>
      <w:r>
        <w:rPr>
          <w:spacing w:val="-3"/>
        </w:rPr>
        <w:t>公司是我国目前规模大、现代化水平高的种植业上市公司和重要的商品粮生产基地，拥有</w:t>
      </w:r>
      <w:r>
        <w:rPr>
          <w:spacing w:val="-6"/>
        </w:rPr>
        <w:t> </w:t>
      </w:r>
      <w:r>
        <w:rPr>
          <w:rFonts w:ascii="Arial" w:hAnsi="Arial" w:cs="Arial" w:eastAsia="Arial" w:hint="default"/>
        </w:rPr>
        <w:t>16</w:t>
      </w:r>
    </w:p>
    <w:p>
      <w:pPr>
        <w:pStyle w:val="BodyText"/>
        <w:spacing w:line="278" w:lineRule="auto"/>
        <w:ind w:left="138" w:right="0"/>
        <w:jc w:val="left"/>
      </w:pPr>
      <w:r>
        <w:rPr>
          <w:spacing w:val="-2"/>
        </w:rPr>
        <w:t>家农业分公司，主要以种植水稻、玉米、大豆为主。公司所属区域内土地资源丰富，地处世界三</w:t>
      </w:r>
      <w:r>
        <w:rPr>
          <w:spacing w:val="-25"/>
        </w:rPr>
        <w:t> </w:t>
      </w:r>
      <w:r>
        <w:rPr>
          <w:spacing w:val="-25"/>
        </w:rPr>
      </w:r>
      <w:r>
        <w:rPr>
          <w:spacing w:val="-2"/>
        </w:rPr>
        <w:t>大黑土带之一的三江平原，地势平坦、土壤肥沃，生态环境良好，具有生产绿色、有机农产品得</w:t>
      </w:r>
    </w:p>
    <w:p>
      <w:pPr>
        <w:spacing w:after="0" w:line="278" w:lineRule="auto"/>
        <w:jc w:val="left"/>
        <w:sectPr>
          <w:pgSz w:w="11910" w:h="16840"/>
          <w:pgMar w:header="825" w:footer="1195" w:top="1360" w:bottom="1380" w:left="1660" w:right="1140"/>
        </w:sectPr>
      </w:pPr>
    </w:p>
    <w:p>
      <w:pPr>
        <w:spacing w:line="240" w:lineRule="auto" w:before="12"/>
        <w:rPr>
          <w:rFonts w:ascii="宋体" w:hAnsi="宋体" w:cs="宋体" w:eastAsia="宋体" w:hint="default"/>
          <w:sz w:val="9"/>
          <w:szCs w:val="9"/>
        </w:rPr>
      </w:pPr>
    </w:p>
    <w:p>
      <w:pPr>
        <w:pStyle w:val="BodyText"/>
        <w:spacing w:line="273" w:lineRule="auto" w:before="36"/>
        <w:ind w:left="138" w:right="207"/>
        <w:jc w:val="both"/>
      </w:pPr>
      <w:r>
        <w:rPr>
          <w:spacing w:val="-2"/>
        </w:rPr>
        <w:t>天独厚的地理优势，据此区位优势所生产的农产品具有较好的优质性和均质性，在生产成本和品</w:t>
      </w:r>
      <w:r>
        <w:rPr>
          <w:spacing w:val="-25"/>
        </w:rPr>
        <w:t> </w:t>
      </w:r>
      <w:r>
        <w:rPr>
          <w:spacing w:val="-25"/>
        </w:rPr>
      </w:r>
      <w:r>
        <w:rPr>
          <w:spacing w:val="-3"/>
        </w:rPr>
        <w:t>质等方面具有一定的市场竞争力。</w:t>
      </w:r>
      <w:r>
        <w:rPr>
          <w:rFonts w:ascii="Arial" w:hAnsi="Arial" w:cs="Arial" w:eastAsia="Arial" w:hint="default"/>
          <w:spacing w:val="-3"/>
        </w:rPr>
        <w:t>2019</w:t>
      </w:r>
      <w:r>
        <w:rPr>
          <w:rFonts w:ascii="Arial" w:hAnsi="Arial" w:cs="Arial" w:eastAsia="Arial" w:hint="default"/>
          <w:spacing w:val="10"/>
        </w:rPr>
        <w:t> </w:t>
      </w:r>
      <w:r>
        <w:rPr>
          <w:spacing w:val="-5"/>
        </w:rPr>
        <w:t>年，公司实现粮豆总产</w:t>
      </w:r>
      <w:r>
        <w:rPr>
          <w:spacing w:val="-37"/>
        </w:rPr>
        <w:t> </w:t>
      </w:r>
      <w:r>
        <w:rPr>
          <w:rFonts w:ascii="Arial" w:hAnsi="Arial" w:cs="Arial" w:eastAsia="Arial" w:hint="default"/>
        </w:rPr>
        <w:t>100.6</w:t>
      </w:r>
      <w:r>
        <w:rPr>
          <w:rFonts w:ascii="Arial" w:hAnsi="Arial" w:cs="Arial" w:eastAsia="Arial" w:hint="default"/>
          <w:spacing w:val="10"/>
        </w:rPr>
        <w:t> </w:t>
      </w:r>
      <w:r>
        <w:rPr>
          <w:spacing w:val="-4"/>
        </w:rPr>
        <w:t>亿斤，绿色作物种植面积达</w:t>
      </w:r>
      <w:r>
        <w:rPr>
          <w:spacing w:val="-98"/>
        </w:rPr>
        <w:t> </w:t>
      </w:r>
      <w:r>
        <w:rPr>
          <w:spacing w:val="-98"/>
        </w:rPr>
      </w:r>
      <w:r>
        <w:rPr>
          <w:rFonts w:ascii="Arial" w:hAnsi="Arial" w:cs="Arial" w:eastAsia="Arial" w:hint="default"/>
        </w:rPr>
        <w:t>536.39</w:t>
      </w:r>
      <w:r>
        <w:rPr>
          <w:rFonts w:ascii="Arial" w:hAnsi="Arial" w:cs="Arial" w:eastAsia="Arial" w:hint="default"/>
          <w:spacing w:val="-8"/>
        </w:rPr>
        <w:t> </w:t>
      </w:r>
      <w:r>
        <w:rPr/>
        <w:t>万亩，有机作物面积达</w:t>
      </w:r>
      <w:r>
        <w:rPr>
          <w:spacing w:val="-51"/>
        </w:rPr>
        <w:t> </w:t>
      </w:r>
      <w:r>
        <w:rPr>
          <w:rFonts w:ascii="Arial" w:hAnsi="Arial" w:cs="Arial" w:eastAsia="Arial" w:hint="default"/>
        </w:rPr>
        <w:t>78.44</w:t>
      </w:r>
      <w:r>
        <w:rPr>
          <w:rFonts w:ascii="Arial" w:hAnsi="Arial" w:cs="Arial" w:eastAsia="Arial" w:hint="default"/>
          <w:spacing w:val="-7"/>
        </w:rPr>
        <w:t> </w:t>
      </w:r>
      <w:r>
        <w:rPr/>
        <w:t>万亩。</w:t>
      </w:r>
    </w:p>
    <w:p>
      <w:pPr>
        <w:pStyle w:val="BodyText"/>
        <w:spacing w:line="280" w:lineRule="auto"/>
        <w:ind w:left="558" w:right="98" w:firstLine="2"/>
        <w:jc w:val="left"/>
      </w:pPr>
      <w:r>
        <w:rPr>
          <w:rFonts w:ascii="宋体" w:hAnsi="宋体" w:cs="宋体" w:eastAsia="宋体" w:hint="default"/>
          <w:b/>
          <w:bCs/>
        </w:rPr>
        <w:t>（二）科技优势</w:t>
      </w:r>
      <w:r>
        <w:rPr>
          <w:rFonts w:ascii="宋体" w:hAnsi="宋体" w:cs="宋体" w:eastAsia="宋体" w:hint="default"/>
          <w:b/>
          <w:bCs/>
          <w:w w:val="99"/>
        </w:rPr>
        <w:t> </w:t>
      </w:r>
      <w:r>
        <w:rPr>
          <w:spacing w:val="-2"/>
        </w:rPr>
        <w:t>经过多年生产经营实践，公司现已掌握了完善的作物栽培技术、良种繁育技术、施肥施药技</w:t>
      </w:r>
    </w:p>
    <w:p>
      <w:pPr>
        <w:pStyle w:val="BodyText"/>
        <w:spacing w:line="280" w:lineRule="auto" w:before="8"/>
        <w:ind w:left="138" w:right="217"/>
        <w:jc w:val="both"/>
        <w:rPr>
          <w:rFonts w:ascii="宋体" w:hAnsi="宋体" w:cs="宋体" w:eastAsia="宋体" w:hint="default"/>
        </w:rPr>
      </w:pPr>
      <w:r>
        <w:rPr>
          <w:spacing w:val="-2"/>
        </w:rPr>
        <w:t>术、病虫草害防治技术、农机应用技术及农业经营管理技术，拥有农机农艺各项技术相配套、良</w:t>
      </w:r>
      <w:r>
        <w:rPr>
          <w:spacing w:val="-25"/>
        </w:rPr>
        <w:t> </w:t>
      </w:r>
      <w:r>
        <w:rPr>
          <w:spacing w:val="-25"/>
        </w:rPr>
      </w:r>
      <w:r>
        <w:rPr>
          <w:spacing w:val="-2"/>
        </w:rPr>
        <w:t>种良法相结合的农业先进生产技术模式；同时，储备了节本增效的一系列栽培新技术，形成了一</w:t>
      </w:r>
      <w:r>
        <w:rPr>
          <w:spacing w:val="-25"/>
        </w:rPr>
        <w:t> </w:t>
      </w:r>
      <w:r>
        <w:rPr>
          <w:spacing w:val="-25"/>
        </w:rPr>
      </w:r>
      <w:r>
        <w:rPr/>
        <w:t>整套抵御旱涝病虫害的有效措施，为高效开展农业生产工作提供了有力的技术支撑。</w:t>
      </w:r>
      <w:r>
        <w:rPr>
          <w:rFonts w:ascii="宋体" w:hAnsi="宋体" w:cs="宋体" w:eastAsia="宋体" w:hint="default"/>
        </w:rPr>
        <w:t> </w:t>
      </w:r>
    </w:p>
    <w:p>
      <w:pPr>
        <w:pStyle w:val="BodyText"/>
        <w:spacing w:line="278" w:lineRule="auto" w:before="8"/>
        <w:ind w:left="558" w:right="98" w:firstLine="2"/>
        <w:jc w:val="left"/>
      </w:pPr>
      <w:r>
        <w:rPr>
          <w:rFonts w:ascii="宋体" w:hAnsi="宋体" w:cs="宋体" w:eastAsia="宋体" w:hint="default"/>
          <w:b/>
          <w:bCs/>
        </w:rPr>
        <w:t>（三）装备优势</w:t>
      </w:r>
      <w:r>
        <w:rPr>
          <w:rFonts w:ascii="宋体" w:hAnsi="宋体" w:cs="宋体" w:eastAsia="宋体" w:hint="default"/>
          <w:b/>
          <w:bCs/>
          <w:w w:val="99"/>
        </w:rPr>
        <w:t> </w:t>
      </w:r>
      <w:r>
        <w:rPr>
          <w:spacing w:val="-4"/>
        </w:rPr>
        <w:t>得益于国家多年来农机购置补贴政策，公司所在区域内</w:t>
      </w:r>
      <w:r>
        <w:rPr>
          <w:rFonts w:ascii="宋体" w:hAnsi="宋体" w:cs="宋体" w:eastAsia="宋体" w:hint="default"/>
          <w:spacing w:val="-4"/>
        </w:rPr>
        <w:t>,</w:t>
      </w:r>
      <w:r>
        <w:rPr>
          <w:spacing w:val="-4"/>
        </w:rPr>
        <w:t>农机装备水平得到逐年提升，农业生</w:t>
      </w:r>
    </w:p>
    <w:p>
      <w:pPr>
        <w:pStyle w:val="BodyText"/>
        <w:spacing w:line="273" w:lineRule="auto" w:before="13"/>
        <w:ind w:left="138" w:right="207"/>
        <w:jc w:val="both"/>
        <w:rPr>
          <w:rFonts w:ascii="宋体" w:hAnsi="宋体" w:cs="宋体" w:eastAsia="宋体" w:hint="default"/>
        </w:rPr>
      </w:pPr>
      <w:r>
        <w:rPr>
          <w:spacing w:val="-2"/>
        </w:rPr>
        <w:t>产全程机械化率在全国处于领先水平。目前，区域内大规模配备了大型、现代、智能化的动力机</w:t>
      </w:r>
      <w:r>
        <w:rPr>
          <w:spacing w:val="-25"/>
        </w:rPr>
        <w:t> </w:t>
      </w:r>
      <w:r>
        <w:rPr>
          <w:spacing w:val="-25"/>
        </w:rPr>
      </w:r>
      <w:r>
        <w:rPr>
          <w:spacing w:val="-2"/>
        </w:rPr>
        <w:t>车及配套高性能联合整地机械、精密播种机械和联合收获机械，实现了旱田整地、播种和收获全</w:t>
      </w:r>
      <w:r>
        <w:rPr>
          <w:spacing w:val="-25"/>
        </w:rPr>
        <w:t> </w:t>
      </w:r>
      <w:r>
        <w:rPr>
          <w:spacing w:val="-25"/>
        </w:rPr>
      </w:r>
      <w:r>
        <w:rPr>
          <w:spacing w:val="-2"/>
        </w:rPr>
        <w:t>程机械化；配备了高桩重型灭茬机械、自平衡双轴搅浆整地机械，机光平地机械、苗床机械化整</w:t>
      </w:r>
      <w:r>
        <w:rPr>
          <w:spacing w:val="-25"/>
        </w:rPr>
        <w:t> </w:t>
      </w:r>
      <w:r>
        <w:rPr>
          <w:spacing w:val="-25"/>
        </w:rPr>
      </w:r>
      <w:r>
        <w:rPr>
          <w:spacing w:val="-4"/>
        </w:rPr>
        <w:t>地和播种机械、高性能插秧机械等，有效提高了水田的作业效率。同时</w:t>
      </w:r>
      <w:r>
        <w:rPr>
          <w:rFonts w:ascii="宋体" w:hAnsi="宋体" w:cs="宋体" w:eastAsia="宋体" w:hint="default"/>
          <w:spacing w:val="-4"/>
        </w:rPr>
        <w:t>,</w:t>
      </w:r>
      <w:r>
        <w:rPr>
          <w:spacing w:val="-4"/>
        </w:rPr>
        <w:t>配备了小型全链轨及防陷</w:t>
      </w:r>
      <w:r>
        <w:rPr>
          <w:spacing w:val="-32"/>
        </w:rPr>
        <w:t> </w:t>
      </w:r>
      <w:r>
        <w:rPr>
          <w:spacing w:val="-32"/>
        </w:rPr>
      </w:r>
      <w:r>
        <w:rPr>
          <w:spacing w:val="-3"/>
        </w:rPr>
        <w:t>半链轨等抗灾性较强的机具，大幅提升了农业整体的作业水平及抗灾能力；针对农业</w:t>
      </w:r>
      <w:r>
        <w:rPr>
          <w:rFonts w:ascii="Arial" w:hAnsi="Arial" w:cs="Arial" w:eastAsia="Arial" w:hint="default"/>
          <w:spacing w:val="-3"/>
        </w:rPr>
        <w:t>“</w:t>
      </w:r>
      <w:r>
        <w:rPr>
          <w:spacing w:val="-3"/>
        </w:rPr>
        <w:t>减化肥减农</w:t>
      </w:r>
      <w:r>
        <w:rPr>
          <w:spacing w:val="-42"/>
        </w:rPr>
        <w:t> </w:t>
      </w:r>
      <w:r>
        <w:rPr>
          <w:spacing w:val="-42"/>
        </w:rPr>
      </w:r>
      <w:r>
        <w:rPr>
          <w:spacing w:val="-3"/>
        </w:rPr>
        <w:t>药</w:t>
      </w:r>
      <w:r>
        <w:rPr>
          <w:rFonts w:ascii="Arial" w:hAnsi="Arial" w:cs="Arial" w:eastAsia="Arial" w:hint="default"/>
          <w:spacing w:val="-3"/>
        </w:rPr>
        <w:t>”</w:t>
      </w:r>
      <w:r>
        <w:rPr>
          <w:spacing w:val="-3"/>
        </w:rPr>
        <w:t>行动，公司重点引导种植户应用了水稻测深施肥机械，有效实现了精量施肥和精准施肥。截至</w:t>
      </w:r>
      <w:r>
        <w:rPr>
          <w:spacing w:val="-43"/>
        </w:rPr>
        <w:t> </w:t>
      </w:r>
      <w:r>
        <w:rPr>
          <w:spacing w:val="-43"/>
        </w:rPr>
      </w:r>
      <w:r>
        <w:rPr>
          <w:rFonts w:ascii="Arial" w:hAnsi="Arial" w:cs="Arial" w:eastAsia="Arial" w:hint="default"/>
        </w:rPr>
        <w:t>2019</w:t>
      </w:r>
      <w:r>
        <w:rPr>
          <w:rFonts w:ascii="Arial" w:hAnsi="Arial" w:cs="Arial" w:eastAsia="Arial" w:hint="default"/>
          <w:spacing w:val="-8"/>
        </w:rPr>
        <w:t> </w:t>
      </w:r>
      <w:r>
        <w:rPr/>
        <w:t>年末，区域内实现农业机械总量达</w:t>
      </w:r>
      <w:r>
        <w:rPr>
          <w:spacing w:val="-53"/>
        </w:rPr>
        <w:t> </w:t>
      </w:r>
      <w:r>
        <w:rPr>
          <w:rFonts w:ascii="Arial" w:hAnsi="Arial" w:cs="Arial" w:eastAsia="Arial" w:hint="default"/>
        </w:rPr>
        <w:t>32.86</w:t>
      </w:r>
      <w:r>
        <w:rPr>
          <w:rFonts w:ascii="Arial" w:hAnsi="Arial" w:cs="Arial" w:eastAsia="Arial" w:hint="default"/>
          <w:spacing w:val="-8"/>
        </w:rPr>
        <w:t> </w:t>
      </w:r>
      <w:r>
        <w:rPr/>
        <w:t>万台套，农业机械总动力达</w:t>
      </w:r>
      <w:r>
        <w:rPr>
          <w:spacing w:val="-53"/>
        </w:rPr>
        <w:t> </w:t>
      </w:r>
      <w:r>
        <w:rPr>
          <w:rFonts w:ascii="Arial" w:hAnsi="Arial" w:cs="Arial" w:eastAsia="Arial" w:hint="default"/>
        </w:rPr>
        <w:t>360.93</w:t>
      </w:r>
      <w:r>
        <w:rPr>
          <w:rFonts w:ascii="Arial" w:hAnsi="Arial" w:cs="Arial" w:eastAsia="Arial" w:hint="default"/>
          <w:spacing w:val="-5"/>
        </w:rPr>
        <w:t> </w:t>
      </w:r>
      <w:r>
        <w:rPr>
          <w:spacing w:val="-3"/>
        </w:rPr>
        <w:t>万千瓦。</w:t>
      </w:r>
      <w:r>
        <w:rPr>
          <w:rFonts w:ascii="宋体" w:hAnsi="宋体" w:cs="宋体" w:eastAsia="宋体" w:hint="default"/>
        </w:rPr>
        <w:t> </w:t>
      </w:r>
    </w:p>
    <w:p>
      <w:pPr>
        <w:pStyle w:val="BodyText"/>
        <w:spacing w:line="278" w:lineRule="auto"/>
        <w:ind w:left="558" w:right="98" w:firstLine="2"/>
        <w:jc w:val="left"/>
      </w:pPr>
      <w:r>
        <w:rPr>
          <w:rFonts w:ascii="宋体" w:hAnsi="宋体" w:cs="宋体" w:eastAsia="宋体" w:hint="default"/>
          <w:b/>
          <w:bCs/>
        </w:rPr>
        <w:t>（四）组织优势</w:t>
      </w:r>
      <w:r>
        <w:rPr>
          <w:rFonts w:ascii="宋体" w:hAnsi="宋体" w:cs="宋体" w:eastAsia="宋体" w:hint="default"/>
          <w:b/>
          <w:bCs/>
          <w:w w:val="99"/>
        </w:rPr>
        <w:t> </w:t>
      </w:r>
      <w:r>
        <w:rPr>
          <w:spacing w:val="-2"/>
        </w:rPr>
        <w:t>公司具有高度的组织化管理传统，采取以公司统一经营管理为主导，家庭农场承包经营为基</w:t>
      </w:r>
    </w:p>
    <w:p>
      <w:pPr>
        <w:pStyle w:val="BodyText"/>
        <w:spacing w:line="278" w:lineRule="auto" w:before="13"/>
        <w:ind w:left="138" w:right="217"/>
        <w:jc w:val="both"/>
      </w:pPr>
      <w:r>
        <w:rPr>
          <w:spacing w:val="-2"/>
        </w:rPr>
        <w:t>础的统分结合的双层经营模式，最大限度地调动了家庭农场生产经营积极性，也最大限度地控制</w:t>
      </w:r>
      <w:r>
        <w:rPr>
          <w:spacing w:val="-25"/>
        </w:rPr>
        <w:t> </w:t>
      </w:r>
      <w:r>
        <w:rPr>
          <w:spacing w:val="-25"/>
        </w:rPr>
      </w:r>
      <w:r>
        <w:rPr>
          <w:spacing w:val="-2"/>
        </w:rPr>
        <w:t>了公司的经营风险，组织化传统和组织化能力都明显高于全国其他农业主产区，具体体现在作物</w:t>
      </w:r>
      <w:r>
        <w:rPr>
          <w:spacing w:val="-25"/>
        </w:rPr>
        <w:t> </w:t>
      </w:r>
      <w:r>
        <w:rPr>
          <w:spacing w:val="-25"/>
        </w:rPr>
      </w:r>
      <w:r>
        <w:rPr>
          <w:spacing w:val="-2"/>
        </w:rPr>
        <w:t>品种、功能区划、栽培技术等方面。下属的各农业分公司按照公司授权，每年初与家庭农场签订</w:t>
      </w:r>
    </w:p>
    <w:p>
      <w:pPr>
        <w:pStyle w:val="BodyText"/>
        <w:spacing w:line="278" w:lineRule="auto" w:before="13"/>
        <w:ind w:left="138" w:right="98"/>
        <w:jc w:val="left"/>
        <w:rPr>
          <w:rFonts w:ascii="宋体" w:hAnsi="宋体" w:cs="宋体" w:eastAsia="宋体" w:hint="default"/>
        </w:rPr>
      </w:pPr>
      <w:r>
        <w:rPr/>
        <w:t>《农业生产承包协议》，明确约定家庭农场要按公司统一制定的年度生产技术措施进行种植，并</w:t>
      </w:r>
      <w:r>
        <w:rPr>
          <w:w w:val="100"/>
        </w:rPr>
        <w:t> </w:t>
      </w:r>
      <w:r>
        <w:rPr>
          <w:spacing w:val="-4"/>
          <w:w w:val="100"/>
        </w:rPr>
        <w:t>接受检查指导。各农业分公司派出专业技术人员负责对家庭农场的种植进行全程监管和技术指导，</w:t>
      </w:r>
      <w:r>
        <w:rPr>
          <w:spacing w:val="-86"/>
          <w:w w:val="100"/>
        </w:rPr>
        <w:t> </w:t>
      </w:r>
      <w:r>
        <w:rPr>
          <w:spacing w:val="-86"/>
          <w:w w:val="100"/>
        </w:rPr>
      </w:r>
      <w:r>
        <w:rPr/>
        <w:t>保证公司一千多万亩耕地均按照模式化栽培、标准化作业实施生产。</w:t>
      </w:r>
      <w:r>
        <w:rPr>
          <w:rFonts w:ascii="宋体" w:hAnsi="宋体" w:cs="宋体" w:eastAsia="宋体" w:hint="default"/>
        </w:rPr>
        <w:t> </w:t>
      </w:r>
    </w:p>
    <w:p>
      <w:pPr>
        <w:pStyle w:val="Heading2"/>
        <w:spacing w:line="240" w:lineRule="auto" w:before="13"/>
        <w:ind w:left="560" w:right="98"/>
        <w:jc w:val="left"/>
        <w:rPr>
          <w:rFonts w:ascii="宋体" w:hAnsi="宋体" w:cs="宋体" w:eastAsia="宋体" w:hint="default"/>
          <w:b w:val="0"/>
          <w:bCs w:val="0"/>
        </w:rPr>
      </w:pPr>
      <w:r>
        <w:rPr/>
        <w:t>（五）基础设施优势</w:t>
      </w:r>
      <w:r>
        <w:rPr>
          <w:rFonts w:ascii="宋体" w:hAnsi="宋体" w:cs="宋体" w:eastAsia="宋体" w:hint="default"/>
          <w:w w:val="99"/>
        </w:rPr>
        <w:t> </w:t>
      </w:r>
      <w:r>
        <w:rPr>
          <w:rFonts w:ascii="宋体" w:hAnsi="宋体" w:cs="宋体" w:eastAsia="宋体" w:hint="default"/>
          <w:b w:val="0"/>
          <w:bCs w:val="0"/>
        </w:rPr>
      </w:r>
    </w:p>
    <w:p>
      <w:pPr>
        <w:pStyle w:val="BodyText"/>
        <w:spacing w:line="276" w:lineRule="auto" w:before="44"/>
        <w:ind w:left="138" w:right="98" w:firstLine="419"/>
        <w:jc w:val="left"/>
        <w:rPr>
          <w:rFonts w:ascii="宋体" w:hAnsi="宋体" w:cs="宋体" w:eastAsia="宋体" w:hint="default"/>
        </w:rPr>
      </w:pPr>
      <w:r>
        <w:rPr/>
        <w:t>公司所属的</w:t>
      </w:r>
      <w:r>
        <w:rPr>
          <w:spacing w:val="-61"/>
        </w:rPr>
        <w:t> </w:t>
      </w:r>
      <w:r>
        <w:rPr>
          <w:rFonts w:ascii="Arial" w:hAnsi="Arial" w:cs="Arial" w:eastAsia="Arial" w:hint="default"/>
        </w:rPr>
        <w:t>16</w:t>
      </w:r>
      <w:r>
        <w:rPr>
          <w:rFonts w:ascii="Arial" w:hAnsi="Arial" w:cs="Arial" w:eastAsia="Arial" w:hint="default"/>
          <w:spacing w:val="-15"/>
        </w:rPr>
        <w:t> </w:t>
      </w:r>
      <w:r>
        <w:rPr/>
        <w:t>家农业分公司拥有各自的全过程智能控制的浸种催芽和育秧等生产服务设施；</w:t>
      </w:r>
      <w:r>
        <w:rPr>
          <w:w w:val="100"/>
        </w:rPr>
        <w:t> </w:t>
      </w:r>
      <w:r>
        <w:rPr>
          <w:spacing w:val="-7"/>
        </w:rPr>
        <w:t>用于烘干、晾晒、仓储的粮食管护设施；沟渠配套网络化、达到旱能灌、涝能排的农田水利设施；</w:t>
      </w:r>
      <w:r>
        <w:rPr>
          <w:spacing w:val="-15"/>
        </w:rPr>
        <w:t> </w:t>
      </w:r>
      <w:r>
        <w:rPr>
          <w:spacing w:val="-15"/>
        </w:rPr>
      </w:r>
      <w:r>
        <w:rPr/>
        <w:t>集中统一管理的农机停放场地和库房等农机管护设施；农用飞机作业用的起降场地等基础设施。</w:t>
      </w:r>
      <w:r>
        <w:rPr>
          <w:w w:val="100"/>
        </w:rPr>
        <w:t> </w:t>
      </w:r>
      <w:r>
        <w:rPr/>
        <w:t>为公司发展现代化大农业奠定了坚实基础。公司已构建了完善的农业物联网管理系统运行体系，</w:t>
      </w:r>
      <w:r>
        <w:rPr>
          <w:w w:val="100"/>
        </w:rPr>
        <w:t> </w:t>
      </w:r>
      <w:r>
        <w:rPr/>
        <w:t>通过平台搭建、网络构建、数据实时监测采集与传输、智能分析等功能，使得农业生产全过程可</w:t>
      </w:r>
      <w:r>
        <w:rPr>
          <w:w w:val="100"/>
        </w:rPr>
        <w:t> </w:t>
      </w:r>
      <w:r>
        <w:rPr/>
        <w:t>控，实现了管理的精细化和智能化，提升了农业标准化水平，全面提高了公司农业现代化和信息</w:t>
      </w:r>
      <w:r>
        <w:rPr>
          <w:w w:val="100"/>
        </w:rPr>
        <w:t> </w:t>
      </w:r>
      <w:r>
        <w:rPr/>
        <w:t>化管理水平，将进一步有助于农产品质量追溯体系的建设。</w:t>
      </w:r>
      <w:r>
        <w:rPr>
          <w:rFonts w:ascii="宋体" w:hAnsi="宋体" w:cs="宋体" w:eastAsia="宋体" w:hint="default"/>
        </w:rPr>
        <w:t> </w:t>
      </w:r>
    </w:p>
    <w:p>
      <w:pPr>
        <w:pStyle w:val="BodyText"/>
        <w:spacing w:line="280" w:lineRule="auto" w:before="13"/>
        <w:ind w:left="558" w:right="98" w:firstLine="2"/>
        <w:jc w:val="left"/>
      </w:pPr>
      <w:r>
        <w:rPr>
          <w:rFonts w:ascii="宋体" w:hAnsi="宋体" w:cs="宋体" w:eastAsia="宋体" w:hint="default"/>
          <w:b/>
          <w:bCs/>
        </w:rPr>
        <w:t>（六）人才优势</w:t>
      </w:r>
      <w:r>
        <w:rPr>
          <w:rFonts w:ascii="宋体" w:hAnsi="宋体" w:cs="宋体" w:eastAsia="宋体" w:hint="default"/>
          <w:b/>
          <w:bCs/>
          <w:w w:val="99"/>
        </w:rPr>
        <w:t> </w:t>
      </w:r>
      <w:r>
        <w:rPr>
          <w:spacing w:val="-2"/>
        </w:rPr>
        <w:t>公司坚持“人才是第一资源”和“以发展吸引人；以业绩激励人；以事业凝聚人；以人文关</w:t>
      </w:r>
    </w:p>
    <w:p>
      <w:pPr>
        <w:pStyle w:val="BodyText"/>
        <w:spacing w:line="280" w:lineRule="auto" w:before="8"/>
        <w:ind w:left="138" w:right="208"/>
        <w:jc w:val="both"/>
        <w:rPr>
          <w:rFonts w:ascii="宋体" w:hAnsi="宋体" w:cs="宋体" w:eastAsia="宋体" w:hint="default"/>
        </w:rPr>
      </w:pPr>
      <w:r>
        <w:rPr>
          <w:spacing w:val="-2"/>
        </w:rPr>
        <w:t>爱人”的人才理念，努力培养造就一支懂业务、善经营、会管理的优秀企业管理人员队伍。现拥</w:t>
      </w:r>
      <w:r>
        <w:rPr>
          <w:spacing w:val="-25"/>
        </w:rPr>
        <w:t> </w:t>
      </w:r>
      <w:r>
        <w:rPr>
          <w:spacing w:val="-25"/>
        </w:rPr>
      </w:r>
      <w:r>
        <w:rPr>
          <w:spacing w:val="-2"/>
        </w:rPr>
        <w:t>有众多专业基础扎实、实践经验丰富、态度严谨认真、精通管理、熟悉市场、服务发展、扎根一</w:t>
      </w:r>
      <w:r>
        <w:rPr>
          <w:spacing w:val="-25"/>
        </w:rPr>
        <w:t> </w:t>
      </w:r>
      <w:r>
        <w:rPr>
          <w:spacing w:val="-25"/>
        </w:rPr>
      </w:r>
      <w:r>
        <w:rPr>
          <w:spacing w:val="-4"/>
        </w:rPr>
        <w:t>线的各类人才</w:t>
      </w:r>
      <w:r>
        <w:rPr>
          <w:rFonts w:ascii="宋体" w:hAnsi="宋体" w:cs="宋体" w:eastAsia="宋体" w:hint="default"/>
          <w:spacing w:val="-4"/>
        </w:rPr>
        <w:t>,</w:t>
      </w:r>
      <w:r>
        <w:rPr>
          <w:spacing w:val="-4"/>
        </w:rPr>
        <w:t>为公司的持续健康发展提供人才保障。公司根据发展需要，拓展人才引进渠道，积</w:t>
      </w:r>
      <w:r>
        <w:rPr>
          <w:spacing w:val="-35"/>
        </w:rPr>
        <w:t> </w:t>
      </w:r>
      <w:r>
        <w:rPr>
          <w:spacing w:val="-35"/>
        </w:rPr>
      </w:r>
      <w:r>
        <w:rPr>
          <w:spacing w:val="-2"/>
        </w:rPr>
        <w:t>极引进高层次人才，提高人才引进质量，完善人才管理体制，创新人才培养模式，增强竞争性配</w:t>
      </w:r>
      <w:r>
        <w:rPr>
          <w:spacing w:val="-25"/>
        </w:rPr>
        <w:t> </w:t>
      </w:r>
      <w:r>
        <w:rPr>
          <w:spacing w:val="-25"/>
        </w:rPr>
      </w:r>
      <w:r>
        <w:rPr>
          <w:spacing w:val="-2"/>
        </w:rPr>
        <w:t>置人才功能，实现人才资源合理配置，形成了一支结构合理、人岗匹配、素质优良、忠于事业、</w:t>
      </w:r>
      <w:r>
        <w:rPr>
          <w:spacing w:val="-25"/>
        </w:rPr>
        <w:t> </w:t>
      </w:r>
      <w:r>
        <w:rPr>
          <w:spacing w:val="-25"/>
        </w:rPr>
      </w:r>
      <w:r>
        <w:rPr/>
        <w:t>符合公司发展战略需要的人才队伍。</w:t>
      </w:r>
      <w:r>
        <w:rPr>
          <w:rFonts w:ascii="宋体" w:hAnsi="宋体" w:cs="宋体" w:eastAsia="宋体" w:hint="default"/>
        </w:rPr>
        <w:t> </w:t>
      </w:r>
    </w:p>
    <w:p>
      <w:pPr>
        <w:pStyle w:val="Heading2"/>
        <w:spacing w:line="240" w:lineRule="auto" w:before="8"/>
        <w:ind w:left="560" w:right="98"/>
        <w:jc w:val="left"/>
        <w:rPr>
          <w:rFonts w:ascii="宋体" w:hAnsi="宋体" w:cs="宋体" w:eastAsia="宋体" w:hint="default"/>
          <w:b w:val="0"/>
          <w:bCs w:val="0"/>
        </w:rPr>
      </w:pPr>
      <w:r>
        <w:rPr/>
        <w:t>（七）管控优势</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10" w:h="16840"/>
          <w:pgMar w:header="825" w:footer="1195" w:top="1360" w:bottom="1380" w:left="1660" w:right="1060"/>
        </w:sectPr>
      </w:pPr>
    </w:p>
    <w:p>
      <w:pPr>
        <w:spacing w:line="240" w:lineRule="auto" w:before="12"/>
        <w:rPr>
          <w:rFonts w:ascii="宋体" w:hAnsi="宋体" w:cs="宋体" w:eastAsia="宋体" w:hint="default"/>
          <w:b/>
          <w:bCs/>
          <w:sz w:val="9"/>
          <w:szCs w:val="9"/>
        </w:rPr>
      </w:pPr>
    </w:p>
    <w:p>
      <w:pPr>
        <w:pStyle w:val="BodyText"/>
        <w:spacing w:line="280" w:lineRule="auto" w:before="36"/>
        <w:ind w:left="138" w:right="217" w:firstLine="419"/>
        <w:jc w:val="both"/>
        <w:rPr>
          <w:rFonts w:ascii="宋体" w:hAnsi="宋体" w:cs="宋体" w:eastAsia="宋体" w:hint="default"/>
        </w:rPr>
      </w:pPr>
      <w:r>
        <w:rPr>
          <w:spacing w:val="-2"/>
        </w:rPr>
        <w:t>公司遵照国家法律法规和上市规则的要求，建立了现代企业管理制度，在治理层面三会一层</w:t>
      </w:r>
      <w:r>
        <w:rPr>
          <w:w w:val="100"/>
        </w:rPr>
        <w:t> </w:t>
      </w:r>
      <w:r>
        <w:rPr>
          <w:spacing w:val="-2"/>
        </w:rPr>
        <w:t>机构充分发挥职能，形成了科学规范、协调运转的治理体系。公司全面实施内控规范体系建设，</w:t>
      </w:r>
      <w:r>
        <w:rPr>
          <w:spacing w:val="-25"/>
        </w:rPr>
        <w:t> </w:t>
      </w:r>
      <w:r>
        <w:rPr>
          <w:spacing w:val="-25"/>
        </w:rPr>
      </w:r>
      <w:r>
        <w:rPr>
          <w:spacing w:val="-2"/>
        </w:rPr>
        <w:t>不断完善内控制度体系，并通过日常检查、培训、以及违规问责的措施，不断提升各项规章制度</w:t>
      </w:r>
      <w:r>
        <w:rPr>
          <w:spacing w:val="-25"/>
        </w:rPr>
        <w:t> </w:t>
      </w:r>
      <w:r>
        <w:rPr>
          <w:spacing w:val="-25"/>
        </w:rPr>
      </w:r>
      <w:r>
        <w:rPr>
          <w:spacing w:val="-2"/>
        </w:rPr>
        <w:t>的执行力。同时，公司积极采取内部监督与外部监督相结合的方式，充分发挥内部审计与外部审</w:t>
      </w:r>
      <w:r>
        <w:rPr>
          <w:spacing w:val="-25"/>
        </w:rPr>
        <w:t> </w:t>
      </w:r>
      <w:r>
        <w:rPr>
          <w:spacing w:val="-25"/>
        </w:rPr>
      </w:r>
      <w:r>
        <w:rPr/>
        <w:t>计的功能，不断提升公司整体管控水平。</w:t>
      </w:r>
      <w:r>
        <w:rPr>
          <w:rFonts w:ascii="宋体" w:hAnsi="宋体" w:cs="宋体" w:eastAsia="宋体" w:hint="default"/>
        </w:rPr>
        <w:t> </w:t>
      </w:r>
    </w:p>
    <w:p>
      <w:pPr>
        <w:pStyle w:val="BodyText"/>
        <w:spacing w:line="237" w:lineRule="exact"/>
        <w:ind w:left="558" w:right="0"/>
        <w:jc w:val="left"/>
        <w:rPr>
          <w:rFonts w:ascii="宋体" w:hAnsi="宋体" w:cs="宋体" w:eastAsia="宋体" w:hint="default"/>
        </w:rPr>
      </w:pPr>
      <w:r>
        <w:rPr>
          <w:rFonts w:ascii="宋体"/>
          <w:w w:val="100"/>
        </w:rPr>
        <w:t> </w:t>
      </w:r>
    </w:p>
    <w:p>
      <w:pPr>
        <w:pStyle w:val="BodyText"/>
        <w:spacing w:line="274" w:lineRule="exact"/>
        <w:ind w:left="558" w:right="0"/>
        <w:jc w:val="left"/>
        <w:rPr>
          <w:rFonts w:ascii="宋体" w:hAnsi="宋体" w:cs="宋体" w:eastAsia="宋体" w:hint="default"/>
        </w:rPr>
      </w:pPr>
      <w:r>
        <w:rPr>
          <w:rFonts w:ascii="宋体"/>
          <w:w w:val="100"/>
        </w:rPr>
        <w:t> </w:t>
      </w:r>
    </w:p>
    <w:p>
      <w:pPr>
        <w:pStyle w:val="Heading1"/>
        <w:tabs>
          <w:tab w:pos="1259" w:val="left" w:leader="none"/>
        </w:tabs>
        <w:spacing w:line="240" w:lineRule="auto" w:before="42"/>
        <w:ind w:left="0" w:right="77"/>
        <w:jc w:val="center"/>
        <w:rPr>
          <w:b w:val="0"/>
          <w:bCs w:val="0"/>
        </w:rPr>
      </w:pPr>
      <w:bookmarkStart w:name="_bookmark3" w:id="4"/>
      <w:bookmarkEnd w:id="4"/>
      <w:r>
        <w:rPr>
          <w:b w:val="0"/>
          <w:bCs w:val="0"/>
        </w:rPr>
      </w:r>
      <w:r>
        <w:rPr>
          <w:w w:val="95"/>
        </w:rPr>
        <w:t>第四节</w:t>
      </w:r>
      <w:r>
        <w:rPr>
          <w:rFonts w:ascii="宋体" w:hAnsi="宋体" w:cs="宋体" w:eastAsia="宋体" w:hint="default"/>
          <w:w w:val="95"/>
        </w:rPr>
        <w:tab/>
      </w:r>
      <w:r>
        <w:rPr/>
        <w:t>经营情况讨论与分析</w:t>
      </w:r>
      <w:r>
        <w:rPr>
          <w:b w:val="0"/>
          <w:bCs w:val="0"/>
        </w:rPr>
      </w:r>
    </w:p>
    <w:p>
      <w:pPr>
        <w:spacing w:line="240" w:lineRule="auto" w:before="4"/>
        <w:rPr>
          <w:rFonts w:ascii="黑体" w:hAnsi="黑体" w:cs="黑体" w:eastAsia="黑体" w:hint="default"/>
          <w:b/>
          <w:bCs/>
          <w:sz w:val="19"/>
          <w:szCs w:val="19"/>
        </w:rPr>
      </w:pPr>
    </w:p>
    <w:p>
      <w:pPr>
        <w:pStyle w:val="Heading2"/>
        <w:spacing w:line="240" w:lineRule="auto" w:before="0"/>
        <w:ind w:left="138" w:right="98"/>
        <w:jc w:val="left"/>
        <w:rPr>
          <w:b w:val="0"/>
          <w:bCs w:val="0"/>
        </w:rPr>
      </w:pPr>
      <w:r>
        <w:rPr/>
        <w:t>一、经营情况讨论与分析</w:t>
      </w:r>
      <w:r>
        <w:rPr>
          <w:b w:val="0"/>
          <w:bCs w:val="0"/>
        </w:rPr>
      </w:r>
    </w:p>
    <w:p>
      <w:pPr>
        <w:pStyle w:val="BodyText"/>
        <w:spacing w:line="266" w:lineRule="auto" w:before="102"/>
        <w:ind w:left="138" w:right="207"/>
        <w:jc w:val="both"/>
      </w:pPr>
      <w:r>
        <w:rPr>
          <w:rFonts w:ascii="宋体" w:hAnsi="宋体" w:cs="宋体" w:eastAsia="宋体" w:hint="default"/>
          <w:w w:val="100"/>
        </w:rPr>
        <w:t>   </w:t>
      </w:r>
      <w:r>
        <w:rPr>
          <w:rFonts w:ascii="宋体" w:hAnsi="宋体" w:cs="宋体" w:eastAsia="宋体" w:hint="default"/>
          <w:spacing w:val="-1"/>
          <w:w w:val="100"/>
        </w:rPr>
        <w:t> </w:t>
      </w:r>
      <w:r>
        <w:rPr>
          <w:rFonts w:ascii="Arial" w:hAnsi="Arial" w:cs="Arial" w:eastAsia="Arial" w:hint="default"/>
        </w:rPr>
        <w:t>2019</w:t>
      </w:r>
      <w:r>
        <w:rPr>
          <w:rFonts w:ascii="Arial" w:hAnsi="Arial" w:cs="Arial" w:eastAsia="Arial" w:hint="default"/>
          <w:spacing w:val="-1"/>
        </w:rPr>
        <w:t> </w:t>
      </w:r>
      <w:r>
        <w:rPr>
          <w:spacing w:val="-4"/>
        </w:rPr>
        <w:t>年，公司实现营业收入</w:t>
      </w:r>
      <w:r>
        <w:rPr>
          <w:spacing w:val="-44"/>
        </w:rPr>
        <w:t> </w:t>
      </w:r>
      <w:r>
        <w:rPr>
          <w:rFonts w:ascii="Arial" w:hAnsi="Arial" w:cs="Arial" w:eastAsia="Arial" w:hint="default"/>
        </w:rPr>
        <w:t>31.11</w:t>
      </w:r>
      <w:r>
        <w:rPr>
          <w:rFonts w:ascii="Arial" w:hAnsi="Arial" w:cs="Arial" w:eastAsia="Arial" w:hint="default"/>
          <w:spacing w:val="1"/>
        </w:rPr>
        <w:t> </w:t>
      </w:r>
      <w:r>
        <w:rPr>
          <w:spacing w:val="-5"/>
        </w:rPr>
        <w:t>亿元，同比减少</w:t>
      </w:r>
      <w:r>
        <w:rPr>
          <w:spacing w:val="-46"/>
        </w:rPr>
        <w:t> </w:t>
      </w:r>
      <w:r>
        <w:rPr>
          <w:rFonts w:ascii="Arial" w:hAnsi="Arial" w:cs="Arial" w:eastAsia="Arial" w:hint="default"/>
        </w:rPr>
        <w:t>1.53</w:t>
      </w:r>
      <w:r>
        <w:rPr>
          <w:rFonts w:ascii="Arial" w:hAnsi="Arial" w:cs="Arial" w:eastAsia="Arial" w:hint="default"/>
          <w:spacing w:val="1"/>
        </w:rPr>
        <w:t> </w:t>
      </w:r>
      <w:r>
        <w:rPr>
          <w:spacing w:val="-5"/>
        </w:rPr>
        <w:t>亿元，同比下降</w:t>
      </w:r>
      <w:r>
        <w:rPr>
          <w:spacing w:val="-48"/>
        </w:rPr>
        <w:t> </w:t>
      </w:r>
      <w:r>
        <w:rPr>
          <w:rFonts w:ascii="Arial" w:hAnsi="Arial" w:cs="Arial" w:eastAsia="Arial" w:hint="default"/>
          <w:spacing w:val="-3"/>
        </w:rPr>
        <w:t>4.7%</w:t>
      </w:r>
      <w:r>
        <w:rPr>
          <w:spacing w:val="-3"/>
        </w:rPr>
        <w:t>，下降主要是</w:t>
      </w:r>
      <w:r>
        <w:rPr>
          <w:w w:val="100"/>
        </w:rPr>
        <w:t> </w:t>
      </w:r>
      <w:r>
        <w:rPr>
          <w:spacing w:val="-2"/>
        </w:rPr>
        <w:t>由于丽水雅居项目大部分商品房已于上年度销售完毕，本报告期尾盘销量同比大幅减少等原因所</w:t>
      </w:r>
      <w:r>
        <w:rPr>
          <w:spacing w:val="-26"/>
        </w:rPr>
        <w:t> </w:t>
      </w:r>
      <w:r>
        <w:rPr>
          <w:spacing w:val="-26"/>
        </w:rPr>
      </w:r>
      <w:r>
        <w:rPr/>
        <w:t>致，该项目住宅已于去年基本销售完毕。实现利润总额</w:t>
      </w:r>
      <w:r>
        <w:rPr>
          <w:spacing w:val="-54"/>
        </w:rPr>
        <w:t> </w:t>
      </w:r>
      <w:r>
        <w:rPr>
          <w:rFonts w:ascii="Arial" w:hAnsi="Arial" w:cs="Arial" w:eastAsia="Arial" w:hint="default"/>
        </w:rPr>
        <w:t>8.22</w:t>
      </w:r>
      <w:r>
        <w:rPr>
          <w:rFonts w:ascii="Arial" w:hAnsi="Arial" w:cs="Arial" w:eastAsia="Arial" w:hint="default"/>
          <w:spacing w:val="-7"/>
        </w:rPr>
        <w:t> </w:t>
      </w:r>
      <w:r>
        <w:rPr/>
        <w:t>亿元，同比减少</w:t>
      </w:r>
      <w:r>
        <w:rPr>
          <w:spacing w:val="-54"/>
        </w:rPr>
        <w:t> </w:t>
      </w:r>
      <w:r>
        <w:rPr>
          <w:rFonts w:ascii="Arial" w:hAnsi="Arial" w:cs="Arial" w:eastAsia="Arial" w:hint="default"/>
        </w:rPr>
        <w:t>1.11</w:t>
      </w:r>
      <w:r>
        <w:rPr>
          <w:rFonts w:ascii="Arial" w:hAnsi="Arial" w:cs="Arial" w:eastAsia="Arial" w:hint="default"/>
          <w:spacing w:val="-9"/>
        </w:rPr>
        <w:t> </w:t>
      </w:r>
      <w:r>
        <w:rPr/>
        <w:t>亿元，同比下</w:t>
      </w:r>
      <w:r>
        <w:rPr>
          <w:w w:val="100"/>
        </w:rPr>
        <w:t> </w:t>
      </w:r>
      <w:r>
        <w:rPr/>
        <w:t>降</w:t>
      </w:r>
      <w:r>
        <w:rPr>
          <w:spacing w:val="-52"/>
        </w:rPr>
        <w:t> </w:t>
      </w:r>
      <w:r>
        <w:rPr>
          <w:rFonts w:ascii="Arial" w:hAnsi="Arial" w:cs="Arial" w:eastAsia="Arial" w:hint="default"/>
        </w:rPr>
        <w:t>11.88%</w:t>
      </w:r>
      <w:r>
        <w:rPr/>
        <w:t>；实现归属母公司净利润</w:t>
      </w:r>
      <w:r>
        <w:rPr>
          <w:spacing w:val="-51"/>
        </w:rPr>
        <w:t> </w:t>
      </w:r>
      <w:r>
        <w:rPr>
          <w:rFonts w:ascii="Arial" w:hAnsi="Arial" w:cs="Arial" w:eastAsia="Arial" w:hint="default"/>
        </w:rPr>
        <w:t>8.49</w:t>
      </w:r>
      <w:r>
        <w:rPr>
          <w:rFonts w:ascii="Arial" w:hAnsi="Arial" w:cs="Arial" w:eastAsia="Arial" w:hint="default"/>
          <w:spacing w:val="-5"/>
        </w:rPr>
        <w:t> </w:t>
      </w:r>
      <w:r>
        <w:rPr>
          <w:spacing w:val="-3"/>
        </w:rPr>
        <w:t>亿元，同比减少</w:t>
      </w:r>
      <w:r>
        <w:rPr>
          <w:spacing w:val="-52"/>
        </w:rPr>
        <w:t> </w:t>
      </w:r>
      <w:r>
        <w:rPr>
          <w:rFonts w:ascii="Arial" w:hAnsi="Arial" w:cs="Arial" w:eastAsia="Arial" w:hint="default"/>
        </w:rPr>
        <w:t>1.28</w:t>
      </w:r>
      <w:r>
        <w:rPr>
          <w:rFonts w:ascii="Arial" w:hAnsi="Arial" w:cs="Arial" w:eastAsia="Arial" w:hint="default"/>
          <w:spacing w:val="-5"/>
        </w:rPr>
        <w:t> </w:t>
      </w:r>
      <w:r>
        <w:rPr>
          <w:spacing w:val="-3"/>
        </w:rPr>
        <w:t>亿元，同比下降</w:t>
      </w:r>
      <w:r>
        <w:rPr>
          <w:spacing w:val="-54"/>
        </w:rPr>
        <w:t> </w:t>
      </w:r>
      <w:r>
        <w:rPr>
          <w:rFonts w:ascii="Arial" w:hAnsi="Arial" w:cs="Arial" w:eastAsia="Arial" w:hint="default"/>
        </w:rPr>
        <w:t>13.09%</w:t>
      </w:r>
      <w:r>
        <w:rPr/>
        <w:t>，下降主</w:t>
      </w:r>
      <w:r>
        <w:rPr>
          <w:w w:val="100"/>
        </w:rPr>
        <w:t> </w:t>
      </w:r>
      <w:r>
        <w:rPr>
          <w:spacing w:val="-4"/>
        </w:rPr>
        <w:t>要是由于报告期内抗洪抢险费用支出等原因所致。实现基本每股收益（扣除非经常性损益）</w:t>
      </w:r>
      <w:r>
        <w:rPr>
          <w:rFonts w:ascii="Arial" w:hAnsi="Arial" w:cs="Arial" w:eastAsia="Arial" w:hint="default"/>
          <w:spacing w:val="-4"/>
        </w:rPr>
        <w:t>0.574</w:t>
      </w:r>
      <w:r>
        <w:rPr>
          <w:rFonts w:ascii="Arial" w:hAnsi="Arial" w:cs="Arial" w:eastAsia="Arial" w:hint="default"/>
          <w:spacing w:val="20"/>
        </w:rPr>
        <w:t> </w:t>
      </w:r>
      <w:r>
        <w:rPr>
          <w:rFonts w:ascii="Arial" w:hAnsi="Arial" w:cs="Arial" w:eastAsia="Arial" w:hint="default"/>
          <w:spacing w:val="20"/>
        </w:rPr>
      </w:r>
      <w:r>
        <w:rPr>
          <w:spacing w:val="-7"/>
        </w:rPr>
        <w:t>元，同比减少</w:t>
      </w:r>
      <w:r>
        <w:rPr>
          <w:spacing w:val="-35"/>
        </w:rPr>
        <w:t> </w:t>
      </w:r>
      <w:r>
        <w:rPr>
          <w:rFonts w:ascii="Arial" w:hAnsi="Arial" w:cs="Arial" w:eastAsia="Arial" w:hint="default"/>
        </w:rPr>
        <w:t>0.011</w:t>
      </w:r>
      <w:r>
        <w:rPr>
          <w:rFonts w:ascii="Arial" w:hAnsi="Arial" w:cs="Arial" w:eastAsia="Arial" w:hint="default"/>
          <w:spacing w:val="13"/>
        </w:rPr>
        <w:t> </w:t>
      </w:r>
      <w:r>
        <w:rPr>
          <w:spacing w:val="-6"/>
        </w:rPr>
        <w:t>元</w:t>
      </w:r>
      <w:r>
        <w:rPr>
          <w:rFonts w:ascii="Arial" w:hAnsi="Arial" w:cs="Arial" w:eastAsia="Arial" w:hint="default"/>
          <w:spacing w:val="-6"/>
        </w:rPr>
        <w:t>/</w:t>
      </w:r>
      <w:r>
        <w:rPr>
          <w:spacing w:val="-6"/>
        </w:rPr>
        <w:t>股；加权平均净资产收益率（扣除非经常性损益）</w:t>
      </w:r>
      <w:r>
        <w:rPr>
          <w:rFonts w:ascii="Arial" w:hAnsi="Arial" w:cs="Arial" w:eastAsia="Arial" w:hint="default"/>
          <w:spacing w:val="-6"/>
        </w:rPr>
        <w:t>15.66%</w:t>
      </w:r>
      <w:r>
        <w:rPr>
          <w:spacing w:val="-6"/>
        </w:rPr>
        <w:t>，同比减少</w:t>
      </w:r>
      <w:r>
        <w:rPr>
          <w:spacing w:val="-32"/>
        </w:rPr>
        <w:t> </w:t>
      </w:r>
      <w:r>
        <w:rPr>
          <w:rFonts w:ascii="Arial" w:hAnsi="Arial" w:cs="Arial" w:eastAsia="Arial" w:hint="default"/>
        </w:rPr>
        <w:t>0.94</w:t>
      </w:r>
      <w:r>
        <w:rPr>
          <w:rFonts w:ascii="Arial" w:hAnsi="Arial" w:cs="Arial" w:eastAsia="Arial" w:hint="default"/>
          <w:spacing w:val="-48"/>
        </w:rPr>
        <w:t> </w:t>
      </w:r>
      <w:r>
        <w:rPr>
          <w:rFonts w:ascii="Arial" w:hAnsi="Arial" w:cs="Arial" w:eastAsia="Arial" w:hint="default"/>
          <w:spacing w:val="-48"/>
        </w:rPr>
      </w:r>
      <w:r>
        <w:rPr/>
        <w:t>个百分点；资产负债率</w:t>
      </w:r>
      <w:r>
        <w:rPr>
          <w:spacing w:val="-54"/>
        </w:rPr>
        <w:t> </w:t>
      </w:r>
      <w:r>
        <w:rPr>
          <w:rFonts w:ascii="Arial" w:hAnsi="Arial" w:cs="Arial" w:eastAsia="Arial" w:hint="default"/>
        </w:rPr>
        <w:t>18.04%</w:t>
      </w:r>
      <w:r>
        <w:rPr/>
        <w:t>，比年初下降</w:t>
      </w:r>
      <w:r>
        <w:rPr>
          <w:spacing w:val="-55"/>
        </w:rPr>
        <w:t> </w:t>
      </w:r>
      <w:r>
        <w:rPr>
          <w:rFonts w:ascii="Arial" w:hAnsi="Arial" w:cs="Arial" w:eastAsia="Arial" w:hint="default"/>
        </w:rPr>
        <w:t>2.85</w:t>
      </w:r>
      <w:r>
        <w:rPr>
          <w:rFonts w:ascii="Arial" w:hAnsi="Arial" w:cs="Arial" w:eastAsia="Arial" w:hint="default"/>
          <w:spacing w:val="-8"/>
        </w:rPr>
        <w:t> </w:t>
      </w:r>
      <w:r>
        <w:rPr/>
        <w:t>个百分点。具体经营情况如下：</w:t>
      </w:r>
    </w:p>
    <w:p>
      <w:pPr>
        <w:pStyle w:val="Heading2"/>
        <w:spacing w:line="240" w:lineRule="auto" w:before="6"/>
        <w:ind w:left="0" w:right="5961"/>
        <w:jc w:val="center"/>
        <w:rPr>
          <w:b w:val="0"/>
          <w:bCs w:val="0"/>
        </w:rPr>
      </w:pPr>
      <w:r>
        <w:rPr/>
        <w:t>（一）农业经营情况。</w:t>
      </w:r>
      <w:r>
        <w:rPr>
          <w:b w:val="0"/>
          <w:bCs w:val="0"/>
        </w:rPr>
      </w:r>
    </w:p>
    <w:p>
      <w:pPr>
        <w:pStyle w:val="BodyText"/>
        <w:spacing w:line="273" w:lineRule="auto" w:before="44"/>
        <w:ind w:left="138" w:right="207" w:firstLine="417"/>
        <w:jc w:val="both"/>
      </w:pPr>
      <w:r>
        <w:rPr>
          <w:rFonts w:ascii="Arial" w:hAnsi="Arial" w:cs="Arial" w:eastAsia="Arial" w:hint="default"/>
          <w:w w:val="100"/>
        </w:rPr>
        <w:t>2019 </w:t>
      </w:r>
      <w:r>
        <w:rPr>
          <w:spacing w:val="-7"/>
          <w:w w:val="100"/>
        </w:rPr>
        <w:t>年，受“利奇马”“罗莎”“玲玲”</w:t>
      </w:r>
      <w:r>
        <w:rPr>
          <w:rFonts w:ascii="Arial" w:hAnsi="Arial" w:cs="Arial" w:eastAsia="Arial" w:hint="default"/>
          <w:spacing w:val="-7"/>
          <w:w w:val="100"/>
        </w:rPr>
        <w:t>3</w:t>
      </w:r>
      <w:r>
        <w:rPr>
          <w:rFonts w:ascii="Arial" w:hAnsi="Arial" w:cs="Arial" w:eastAsia="Arial" w:hint="default"/>
          <w:spacing w:val="12"/>
          <w:w w:val="100"/>
        </w:rPr>
        <w:t> </w:t>
      </w:r>
      <w:r>
        <w:rPr>
          <w:spacing w:val="-10"/>
          <w:w w:val="100"/>
        </w:rPr>
        <w:t>次强台风降雨影响，公司大部分区域内的江、河、</w:t>
      </w:r>
      <w:r>
        <w:rPr>
          <w:w w:val="100"/>
        </w:rPr>
        <w:t> </w:t>
      </w:r>
      <w:r>
        <w:rPr>
          <w:spacing w:val="-2"/>
        </w:rPr>
        <w:t>湖泊和水库水位全线上涨，出现了“外水”倒灌和降雨“内涝”，引发了严重的洪涝灾害，给公</w:t>
      </w:r>
      <w:r>
        <w:rPr>
          <w:spacing w:val="-25"/>
        </w:rPr>
        <w:t> </w:t>
      </w:r>
      <w:r>
        <w:rPr>
          <w:spacing w:val="-25"/>
        </w:rPr>
      </w:r>
      <w:r>
        <w:rPr>
          <w:spacing w:val="-2"/>
        </w:rPr>
        <w:t>司和部分种植户造成了一定数量的经济损失。面对灾情的发生，公司及时将工作重心转移到抗灾</w:t>
      </w:r>
      <w:r>
        <w:rPr>
          <w:spacing w:val="-25"/>
        </w:rPr>
        <w:t> </w:t>
      </w:r>
      <w:r>
        <w:rPr>
          <w:spacing w:val="-25"/>
        </w:rPr>
      </w:r>
      <w:r>
        <w:rPr>
          <w:spacing w:val="-2"/>
        </w:rPr>
        <w:t>保丰收工作上来，团结带领广大员工和种植户全力抢排田间积水、抢修农用设施，积极开展作物</w:t>
      </w:r>
      <w:r>
        <w:rPr>
          <w:spacing w:val="-25"/>
        </w:rPr>
        <w:t> </w:t>
      </w:r>
      <w:r>
        <w:rPr>
          <w:spacing w:val="-25"/>
        </w:rPr>
      </w:r>
      <w:r>
        <w:rPr>
          <w:spacing w:val="-4"/>
        </w:rPr>
        <w:t>防病促早熟等各项措施，确保了农业生产各项工作保质保量完成。报告期内，</w:t>
      </w:r>
      <w:r>
        <w:rPr>
          <w:rFonts w:ascii="Arial" w:hAnsi="Arial" w:cs="Arial" w:eastAsia="Arial" w:hint="default"/>
          <w:spacing w:val="-4"/>
        </w:rPr>
        <w:t>16 </w:t>
      </w:r>
      <w:r>
        <w:rPr/>
        <w:t>家农业分公司实</w:t>
      </w:r>
      <w:r>
        <w:rPr>
          <w:spacing w:val="-89"/>
        </w:rPr>
        <w:t> </w:t>
      </w:r>
      <w:r>
        <w:rPr>
          <w:spacing w:val="-89"/>
        </w:rPr>
      </w:r>
      <w:r>
        <w:rPr/>
        <w:t>现营业收入</w:t>
      </w:r>
      <w:r>
        <w:rPr>
          <w:spacing w:val="-45"/>
        </w:rPr>
        <w:t> </w:t>
      </w:r>
      <w:r>
        <w:rPr>
          <w:rFonts w:ascii="Arial" w:hAnsi="Arial" w:cs="Arial" w:eastAsia="Arial" w:hint="default"/>
        </w:rPr>
        <w:t>30.88</w:t>
      </w:r>
      <w:r>
        <w:rPr>
          <w:rFonts w:ascii="Arial" w:hAnsi="Arial" w:cs="Arial" w:eastAsia="Arial" w:hint="default"/>
          <w:spacing w:val="2"/>
        </w:rPr>
        <w:t> </w:t>
      </w:r>
      <w:r>
        <w:rPr>
          <w:spacing w:val="-6"/>
        </w:rPr>
        <w:t>亿元，同比增加</w:t>
      </w:r>
      <w:r>
        <w:rPr>
          <w:spacing w:val="-44"/>
        </w:rPr>
        <w:t> </w:t>
      </w:r>
      <w:r>
        <w:rPr>
          <w:rFonts w:ascii="Arial" w:hAnsi="Arial" w:cs="Arial" w:eastAsia="Arial" w:hint="default"/>
        </w:rPr>
        <w:t>9,248 </w:t>
      </w:r>
      <w:r>
        <w:rPr>
          <w:spacing w:val="-7"/>
        </w:rPr>
        <w:t>万元，增长</w:t>
      </w:r>
      <w:r>
        <w:rPr>
          <w:spacing w:val="-44"/>
        </w:rPr>
        <w:t> </w:t>
      </w:r>
      <w:r>
        <w:rPr>
          <w:rFonts w:ascii="Arial" w:hAnsi="Arial" w:cs="Arial" w:eastAsia="Arial" w:hint="default"/>
          <w:spacing w:val="-4"/>
        </w:rPr>
        <w:t>3.09%</w:t>
      </w:r>
      <w:r>
        <w:rPr>
          <w:spacing w:val="-4"/>
        </w:rPr>
        <w:t>；实现利润总额</w:t>
      </w:r>
      <w:r>
        <w:rPr>
          <w:spacing w:val="-48"/>
        </w:rPr>
        <w:t> </w:t>
      </w:r>
      <w:r>
        <w:rPr>
          <w:rFonts w:ascii="Arial" w:hAnsi="Arial" w:cs="Arial" w:eastAsia="Arial" w:hint="default"/>
        </w:rPr>
        <w:t>8.65</w:t>
      </w:r>
      <w:r>
        <w:rPr>
          <w:rFonts w:ascii="Arial" w:hAnsi="Arial" w:cs="Arial" w:eastAsia="Arial" w:hint="default"/>
          <w:spacing w:val="3"/>
        </w:rPr>
        <w:t> </w:t>
      </w:r>
      <w:r>
        <w:rPr>
          <w:spacing w:val="-6"/>
        </w:rPr>
        <w:t>亿元，同比减少</w:t>
      </w:r>
    </w:p>
    <w:p>
      <w:pPr>
        <w:pStyle w:val="BodyText"/>
        <w:spacing w:line="276" w:lineRule="auto"/>
        <w:ind w:left="138" w:right="98"/>
        <w:jc w:val="left"/>
      </w:pPr>
      <w:r>
        <w:rPr>
          <w:rFonts w:ascii="Arial" w:hAnsi="Arial" w:cs="Arial" w:eastAsia="Arial" w:hint="default"/>
        </w:rPr>
        <w:t>1.03 </w:t>
      </w:r>
      <w:r>
        <w:rPr>
          <w:spacing w:val="-10"/>
        </w:rPr>
        <w:t>亿元，下降 </w:t>
      </w:r>
      <w:r>
        <w:rPr>
          <w:rFonts w:ascii="Arial" w:hAnsi="Arial" w:cs="Arial" w:eastAsia="Arial" w:hint="default"/>
          <w:spacing w:val="-5"/>
        </w:rPr>
        <w:t>10.65%</w:t>
      </w:r>
      <w:r>
        <w:rPr>
          <w:spacing w:val="-5"/>
        </w:rPr>
        <w:t>，下降主要是由于报告期防外水、排内涝、保秋收等费用支出加大所致。</w:t>
      </w:r>
      <w:r>
        <w:rPr>
          <w:spacing w:val="-86"/>
        </w:rPr>
        <w:t> </w:t>
      </w:r>
      <w:r>
        <w:rPr>
          <w:spacing w:val="-86"/>
        </w:rPr>
      </w:r>
      <w:r>
        <w:rPr>
          <w:spacing w:val="-4"/>
          <w:w w:val="100"/>
        </w:rPr>
        <w:t>为了全力稳定公司和种植户经济效益，主动应对我国农业发展面临的农产品价格“天花板”封顶、</w:t>
      </w:r>
      <w:r>
        <w:rPr>
          <w:spacing w:val="-88"/>
          <w:w w:val="100"/>
        </w:rPr>
        <w:t> </w:t>
      </w:r>
      <w:r>
        <w:rPr>
          <w:spacing w:val="-88"/>
          <w:w w:val="100"/>
        </w:rPr>
      </w:r>
      <w:r>
        <w:rPr/>
        <w:t>生产成本“地板”抬升、资源环境“硬约束”加剧等挑战，公司重点开展了以下方面工作：一是</w:t>
      </w:r>
      <w:r>
        <w:rPr>
          <w:w w:val="100"/>
        </w:rPr>
        <w:t> </w:t>
      </w:r>
      <w:r>
        <w:rPr/>
        <w:t>调整优化作物种植结构。坚持以国家惠农政策和市场需求为导向，调优水稻、大豆、玉米作物种</w:t>
      </w:r>
      <w:r>
        <w:rPr>
          <w:w w:val="100"/>
        </w:rPr>
        <w:t> </w:t>
      </w:r>
      <w:r>
        <w:rPr/>
        <w:t>植面积</w:t>
      </w:r>
      <w:r>
        <w:rPr>
          <w:spacing w:val="-55"/>
        </w:rPr>
        <w:t> </w:t>
      </w:r>
      <w:r>
        <w:rPr>
          <w:rFonts w:ascii="Arial" w:hAnsi="Arial" w:cs="Arial" w:eastAsia="Arial" w:hint="default"/>
        </w:rPr>
        <w:t>237.27</w:t>
      </w:r>
      <w:r>
        <w:rPr>
          <w:rFonts w:ascii="Arial" w:hAnsi="Arial" w:cs="Arial" w:eastAsia="Arial" w:hint="default"/>
          <w:spacing w:val="-10"/>
        </w:rPr>
        <w:t> </w:t>
      </w:r>
      <w:r>
        <w:rPr/>
        <w:t>万亩；全年按照以销定产、产销对接的思路，引导种植户签订包括绥粳</w:t>
      </w:r>
      <w:r>
        <w:rPr>
          <w:spacing w:val="-54"/>
        </w:rPr>
        <w:t> </w:t>
      </w:r>
      <w:r>
        <w:rPr>
          <w:rFonts w:ascii="Arial" w:hAnsi="Arial" w:cs="Arial" w:eastAsia="Arial" w:hint="default"/>
        </w:rPr>
        <w:t>18</w:t>
      </w:r>
      <w:r>
        <w:rPr/>
        <w:t>、三江</w:t>
      </w:r>
    </w:p>
    <w:p>
      <w:pPr>
        <w:pStyle w:val="BodyText"/>
        <w:spacing w:line="276" w:lineRule="auto"/>
        <w:ind w:left="138" w:right="98"/>
        <w:jc w:val="left"/>
        <w:rPr>
          <w:rFonts w:ascii="宋体" w:hAnsi="宋体" w:cs="宋体" w:eastAsia="宋体" w:hint="default"/>
        </w:rPr>
      </w:pPr>
      <w:r>
        <w:rPr>
          <w:rFonts w:ascii="Arial" w:hAnsi="Arial" w:cs="Arial" w:eastAsia="Arial" w:hint="default"/>
        </w:rPr>
        <w:t>6</w:t>
      </w:r>
      <w:r>
        <w:rPr>
          <w:rFonts w:ascii="Arial" w:hAnsi="Arial" w:cs="Arial" w:eastAsia="Arial" w:hint="default"/>
          <w:spacing w:val="-7"/>
        </w:rPr>
        <w:t> </w:t>
      </w:r>
      <w:r>
        <w:rPr/>
        <w:t>号、龙洋</w:t>
      </w:r>
      <w:r>
        <w:rPr>
          <w:spacing w:val="-54"/>
        </w:rPr>
        <w:t> </w:t>
      </w:r>
      <w:r>
        <w:rPr>
          <w:rFonts w:ascii="Arial" w:hAnsi="Arial" w:cs="Arial" w:eastAsia="Arial" w:hint="default"/>
        </w:rPr>
        <w:t>11</w:t>
      </w:r>
      <w:r>
        <w:rPr>
          <w:rFonts w:ascii="Arial" w:hAnsi="Arial" w:cs="Arial" w:eastAsia="Arial" w:hint="default"/>
          <w:spacing w:val="-9"/>
        </w:rPr>
        <w:t> </w:t>
      </w:r>
      <w:r>
        <w:rPr/>
        <w:t>等优质作物订单种植面积</w:t>
      </w:r>
      <w:r>
        <w:rPr>
          <w:spacing w:val="-53"/>
        </w:rPr>
        <w:t> </w:t>
      </w:r>
      <w:r>
        <w:rPr>
          <w:rFonts w:ascii="Arial" w:hAnsi="Arial" w:cs="Arial" w:eastAsia="Arial" w:hint="default"/>
        </w:rPr>
        <w:t>149</w:t>
      </w:r>
      <w:r>
        <w:rPr>
          <w:rFonts w:ascii="Arial" w:hAnsi="Arial" w:cs="Arial" w:eastAsia="Arial" w:hint="default"/>
          <w:spacing w:val="-9"/>
        </w:rPr>
        <w:t> </w:t>
      </w:r>
      <w:r>
        <w:rPr/>
        <w:t>万亩，积极发展多种农牧共作模式和大棚经济，努</w:t>
      </w:r>
      <w:r>
        <w:rPr>
          <w:w w:val="100"/>
        </w:rPr>
        <w:t> </w:t>
      </w:r>
      <w:r>
        <w:rPr>
          <w:spacing w:val="-2"/>
        </w:rPr>
        <w:t>力提高种植户经济效益。二是大力推广节本增效技术。报告期内，公司重点推广应用了机插侧深</w:t>
      </w:r>
      <w:r>
        <w:rPr>
          <w:spacing w:val="-25"/>
        </w:rPr>
        <w:t> </w:t>
      </w:r>
      <w:r>
        <w:rPr>
          <w:spacing w:val="-25"/>
        </w:rPr>
      </w:r>
      <w:r>
        <w:rPr>
          <w:spacing w:val="-2"/>
        </w:rPr>
        <w:t>施肥技术、棚内全程机械化技术、本田轨道车技术、控氮减磷稳钾技术、两年以上玉米茬轮作大</w:t>
      </w:r>
      <w:r>
        <w:rPr>
          <w:spacing w:val="-26"/>
        </w:rPr>
        <w:t> </w:t>
      </w:r>
      <w:r>
        <w:rPr>
          <w:spacing w:val="-26"/>
        </w:rPr>
      </w:r>
      <w:r>
        <w:rPr>
          <w:spacing w:val="-2"/>
        </w:rPr>
        <w:t>豆免施基肥技术、有机肥替代技术、水稻插前寄秧技术、水稻分段收获技术，累计推广应用面积</w:t>
      </w:r>
      <w:r>
        <w:rPr>
          <w:spacing w:val="-25"/>
        </w:rPr>
        <w:t> </w:t>
      </w:r>
      <w:r>
        <w:rPr>
          <w:spacing w:val="-25"/>
        </w:rPr>
      </w:r>
      <w:r>
        <w:rPr>
          <w:rFonts w:ascii="Arial" w:hAnsi="Arial" w:cs="Arial" w:eastAsia="Arial" w:hint="default"/>
        </w:rPr>
        <w:t>780</w:t>
      </w:r>
      <w:r>
        <w:rPr>
          <w:rFonts w:ascii="Arial" w:hAnsi="Arial" w:cs="Arial" w:eastAsia="Arial" w:hint="default"/>
          <w:spacing w:val="-11"/>
        </w:rPr>
        <w:t> </w:t>
      </w:r>
      <w:r>
        <w:rPr/>
        <w:t>万亩；示范标准成本控制下的标准种植模式，努力降低种植户生产成本。三是大力提升现代</w:t>
      </w:r>
      <w:r>
        <w:rPr>
          <w:w w:val="100"/>
        </w:rPr>
        <w:t> </w:t>
      </w:r>
      <w:r>
        <w:rPr>
          <w:spacing w:val="-2"/>
        </w:rPr>
        <w:t>农业水平。加大力度推进农业物联网项目建设，加快推进农业物联网与绿色有机农产品生产全流</w:t>
      </w:r>
      <w:r>
        <w:rPr>
          <w:spacing w:val="-26"/>
        </w:rPr>
        <w:t> </w:t>
      </w:r>
      <w:r>
        <w:rPr>
          <w:spacing w:val="-26"/>
        </w:rPr>
      </w:r>
      <w:r>
        <w:rPr>
          <w:spacing w:val="-2"/>
        </w:rPr>
        <w:t>程的对接，积极构建实时可控、在控的农产品质量安全追溯体系。报告期内，公司继续加大农田</w:t>
      </w:r>
      <w:r>
        <w:rPr>
          <w:spacing w:val="-25"/>
        </w:rPr>
        <w:t> </w:t>
      </w:r>
      <w:r>
        <w:rPr>
          <w:spacing w:val="-25"/>
        </w:rPr>
      </w:r>
      <w:r>
        <w:rPr>
          <w:spacing w:val="-2"/>
        </w:rPr>
        <w:t>水利、粮食管护、农机管护、生产服务等基础设施建设的投入力度和新型农机具的更新力度，努</w:t>
      </w:r>
      <w:r>
        <w:rPr>
          <w:spacing w:val="-25"/>
        </w:rPr>
        <w:t> </w:t>
      </w:r>
      <w:r>
        <w:rPr>
          <w:spacing w:val="-25"/>
        </w:rPr>
      </w:r>
      <w:r>
        <w:rPr/>
        <w:t>力提升农业生产防灾减灾和粮食综合生产能力。</w:t>
      </w:r>
      <w:r>
        <w:rPr>
          <w:rFonts w:ascii="宋体" w:hAnsi="宋体" w:cs="宋体" w:eastAsia="宋体" w:hint="default"/>
        </w:rPr>
        <w:t> </w:t>
      </w:r>
    </w:p>
    <w:p>
      <w:pPr>
        <w:spacing w:before="15"/>
        <w:ind w:left="138" w:right="98"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b/>
          <w:bCs/>
          <w:sz w:val="21"/>
          <w:szCs w:val="21"/>
        </w:rPr>
        <w:t>（二）工业企业经营情况。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44"/>
        <w:ind w:left="138" w:right="98"/>
        <w:jc w:val="left"/>
      </w:pPr>
      <w:r>
        <w:rPr>
          <w:rFonts w:ascii="宋体" w:hAnsi="宋体" w:cs="宋体" w:eastAsia="宋体" w:hint="default"/>
          <w:w w:val="100"/>
        </w:rPr>
        <w:t>   </w:t>
      </w:r>
      <w:r>
        <w:rPr>
          <w:rFonts w:ascii="宋体" w:hAnsi="宋体" w:cs="宋体" w:eastAsia="宋体" w:hint="default"/>
          <w:spacing w:val="-1"/>
          <w:w w:val="100"/>
        </w:rPr>
        <w:t> </w:t>
      </w:r>
      <w:r>
        <w:rPr/>
        <w:t>公司下属的浩良河化肥分公司、北大荒龙垦麦芽公司、北大荒纸业公司</w:t>
      </w:r>
      <w:r>
        <w:rPr>
          <w:spacing w:val="-59"/>
        </w:rPr>
        <w:t> </w:t>
      </w:r>
      <w:r>
        <w:rPr>
          <w:rFonts w:ascii="Arial" w:hAnsi="Arial" w:cs="Arial" w:eastAsia="Arial" w:hint="default"/>
        </w:rPr>
        <w:t>3</w:t>
      </w:r>
      <w:r>
        <w:rPr>
          <w:rFonts w:ascii="Arial" w:hAnsi="Arial" w:cs="Arial" w:eastAsia="Arial" w:hint="default"/>
          <w:spacing w:val="-10"/>
        </w:rPr>
        <w:t> </w:t>
      </w:r>
      <w:r>
        <w:rPr/>
        <w:t>家工业企业已进行</w:t>
      </w:r>
    </w:p>
    <w:p>
      <w:pPr>
        <w:pStyle w:val="BodyText"/>
        <w:spacing w:line="266" w:lineRule="auto" w:before="29"/>
        <w:ind w:left="138" w:right="208"/>
        <w:jc w:val="both"/>
      </w:pPr>
      <w:r>
        <w:rPr/>
        <w:t>改革改制，处于停产状态，收入以出租资产为主。报告期内共实现营业收入</w:t>
      </w:r>
      <w:r>
        <w:rPr>
          <w:spacing w:val="-56"/>
        </w:rPr>
        <w:t> </w:t>
      </w:r>
      <w:r>
        <w:rPr>
          <w:rFonts w:ascii="Arial" w:hAnsi="Arial" w:cs="Arial" w:eastAsia="Arial" w:hint="default"/>
        </w:rPr>
        <w:t>1,128</w:t>
      </w:r>
      <w:r>
        <w:rPr>
          <w:rFonts w:ascii="Arial" w:hAnsi="Arial" w:cs="Arial" w:eastAsia="Arial" w:hint="default"/>
          <w:spacing w:val="-8"/>
        </w:rPr>
        <w:t> </w:t>
      </w:r>
      <w:r>
        <w:rPr/>
        <w:t>万元，同比增</w:t>
      </w:r>
      <w:r>
        <w:rPr>
          <w:w w:val="100"/>
        </w:rPr>
        <w:t> </w:t>
      </w:r>
      <w:r>
        <w:rPr/>
        <w:t>加</w:t>
      </w:r>
      <w:r>
        <w:rPr>
          <w:spacing w:val="-54"/>
        </w:rPr>
        <w:t> </w:t>
      </w:r>
      <w:r>
        <w:rPr>
          <w:rFonts w:ascii="Arial" w:hAnsi="Arial" w:cs="Arial" w:eastAsia="Arial" w:hint="default"/>
        </w:rPr>
        <w:t>152</w:t>
      </w:r>
      <w:r>
        <w:rPr>
          <w:rFonts w:ascii="Arial" w:hAnsi="Arial" w:cs="Arial" w:eastAsia="Arial" w:hint="default"/>
          <w:spacing w:val="-7"/>
        </w:rPr>
        <w:t> </w:t>
      </w:r>
      <w:r>
        <w:rPr/>
        <w:t>万元，增长</w:t>
      </w:r>
      <w:r>
        <w:rPr>
          <w:spacing w:val="-56"/>
        </w:rPr>
        <w:t> </w:t>
      </w:r>
      <w:r>
        <w:rPr>
          <w:rFonts w:ascii="Arial" w:hAnsi="Arial" w:cs="Arial" w:eastAsia="Arial" w:hint="default"/>
        </w:rPr>
        <w:t>15.60%</w:t>
      </w:r>
      <w:r>
        <w:rPr/>
        <w:t>；实现利润总额</w:t>
      </w:r>
      <w:r>
        <w:rPr>
          <w:rFonts w:ascii="Arial" w:hAnsi="Arial" w:cs="Arial" w:eastAsia="Arial" w:hint="default"/>
        </w:rPr>
        <w:t>-5,422</w:t>
      </w:r>
      <w:r>
        <w:rPr>
          <w:rFonts w:ascii="Arial" w:hAnsi="Arial" w:cs="Arial" w:eastAsia="Arial" w:hint="default"/>
          <w:spacing w:val="-9"/>
        </w:rPr>
        <w:t> </w:t>
      </w:r>
      <w:r>
        <w:rPr/>
        <w:t>万元，同比增亏</w:t>
      </w:r>
      <w:r>
        <w:rPr>
          <w:spacing w:val="-54"/>
        </w:rPr>
        <w:t> </w:t>
      </w:r>
      <w:r>
        <w:rPr>
          <w:rFonts w:ascii="Arial" w:hAnsi="Arial" w:cs="Arial" w:eastAsia="Arial" w:hint="default"/>
        </w:rPr>
        <w:t>2,069</w:t>
      </w:r>
      <w:r>
        <w:rPr>
          <w:rFonts w:ascii="Arial" w:hAnsi="Arial" w:cs="Arial" w:eastAsia="Arial" w:hint="default"/>
          <w:spacing w:val="-7"/>
        </w:rPr>
        <w:t> </w:t>
      </w:r>
      <w:r>
        <w:rPr/>
        <w:t>万元。具体经营情况如</w:t>
      </w:r>
      <w:r>
        <w:rPr>
          <w:w w:val="100"/>
        </w:rPr>
        <w:t> </w:t>
      </w:r>
      <w:r>
        <w:rPr/>
        <w:t>下：一是浩良河化肥分公司实现利润总额</w:t>
      </w:r>
      <w:r>
        <w:rPr>
          <w:rFonts w:ascii="Arial" w:hAnsi="Arial" w:cs="Arial" w:eastAsia="Arial" w:hint="default"/>
        </w:rPr>
        <w:t>-1,867</w:t>
      </w:r>
      <w:r>
        <w:rPr>
          <w:rFonts w:ascii="Arial" w:hAnsi="Arial" w:cs="Arial" w:eastAsia="Arial" w:hint="default"/>
          <w:spacing w:val="-3"/>
        </w:rPr>
        <w:t> </w:t>
      </w:r>
      <w:r>
        <w:rPr>
          <w:spacing w:val="-4"/>
        </w:rPr>
        <w:t>万元，同比增亏</w:t>
      </w:r>
      <w:r>
        <w:rPr>
          <w:spacing w:val="-48"/>
        </w:rPr>
        <w:t> </w:t>
      </w:r>
      <w:r>
        <w:rPr>
          <w:rFonts w:ascii="Arial" w:hAnsi="Arial" w:cs="Arial" w:eastAsia="Arial" w:hint="default"/>
        </w:rPr>
        <w:t>823</w:t>
      </w:r>
      <w:r>
        <w:rPr>
          <w:rFonts w:ascii="Arial" w:hAnsi="Arial" w:cs="Arial" w:eastAsia="Arial" w:hint="default"/>
          <w:spacing w:val="-1"/>
        </w:rPr>
        <w:t> </w:t>
      </w:r>
      <w:r>
        <w:rPr>
          <w:spacing w:val="-3"/>
        </w:rPr>
        <w:t>万元，主要是由于库存物资</w:t>
      </w:r>
    </w:p>
    <w:p>
      <w:pPr>
        <w:spacing w:after="0" w:line="266" w:lineRule="auto"/>
        <w:jc w:val="both"/>
        <w:sectPr>
          <w:footerReference w:type="default" r:id="rId10"/>
          <w:pgSz w:w="11910" w:h="16840"/>
          <w:pgMar w:footer="1195" w:header="825" w:top="1360" w:bottom="1380" w:left="1660" w:right="1060"/>
        </w:sectPr>
      </w:pPr>
    </w:p>
    <w:p>
      <w:pPr>
        <w:spacing w:line="240" w:lineRule="auto" w:before="12"/>
        <w:rPr>
          <w:rFonts w:ascii="宋体" w:hAnsi="宋体" w:cs="宋体" w:eastAsia="宋体" w:hint="default"/>
          <w:sz w:val="9"/>
          <w:szCs w:val="9"/>
        </w:rPr>
      </w:pPr>
    </w:p>
    <w:p>
      <w:pPr>
        <w:pStyle w:val="BodyText"/>
        <w:spacing w:line="268" w:lineRule="auto" w:before="36"/>
        <w:ind w:left="218" w:right="228"/>
        <w:jc w:val="both"/>
      </w:pPr>
      <w:r>
        <w:rPr>
          <w:spacing w:val="-3"/>
        </w:rPr>
        <w:t>发生减值计提存货跌价准备等原因所致。二是北大荒纸业公司实现利润总额</w:t>
      </w:r>
      <w:r>
        <w:rPr>
          <w:rFonts w:ascii="Arial" w:hAnsi="Arial" w:cs="Arial" w:eastAsia="Arial" w:hint="default"/>
          <w:spacing w:val="-3"/>
        </w:rPr>
        <w:t>-8 </w:t>
      </w:r>
      <w:r>
        <w:rPr>
          <w:spacing w:val="-8"/>
        </w:rPr>
        <w:t>万元，同比减少 </w:t>
      </w:r>
      <w:r>
        <w:rPr>
          <w:rFonts w:ascii="Arial" w:hAnsi="Arial" w:cs="Arial" w:eastAsia="Arial" w:hint="default"/>
        </w:rPr>
        <w:t>26</w:t>
      </w:r>
      <w:r>
        <w:rPr>
          <w:rFonts w:ascii="Arial" w:hAnsi="Arial" w:cs="Arial" w:eastAsia="Arial" w:hint="default"/>
          <w:spacing w:val="-47"/>
        </w:rPr>
        <w:t> </w:t>
      </w:r>
      <w:r>
        <w:rPr>
          <w:spacing w:val="-2"/>
        </w:rPr>
        <w:t>万元，主要是由于上年度以车辆偿还债务确认利得等原因所致。三是北大荒麦芽公司实现利润总</w:t>
      </w:r>
      <w:r>
        <w:rPr>
          <w:spacing w:val="-25"/>
        </w:rPr>
        <w:t> </w:t>
      </w:r>
      <w:r>
        <w:rPr>
          <w:spacing w:val="-25"/>
        </w:rPr>
      </w:r>
      <w:r>
        <w:rPr/>
        <w:t>额</w:t>
      </w:r>
      <w:r>
        <w:rPr>
          <w:rFonts w:ascii="Arial" w:hAnsi="Arial" w:cs="Arial" w:eastAsia="Arial" w:hint="default"/>
        </w:rPr>
        <w:t>-3,547</w:t>
      </w:r>
      <w:r>
        <w:rPr>
          <w:rFonts w:ascii="Arial" w:hAnsi="Arial" w:cs="Arial" w:eastAsia="Arial" w:hint="default"/>
          <w:spacing w:val="-11"/>
        </w:rPr>
        <w:t> </w:t>
      </w:r>
      <w:r>
        <w:rPr/>
        <w:t>万元，同比增亏</w:t>
      </w:r>
      <w:r>
        <w:rPr>
          <w:spacing w:val="-58"/>
        </w:rPr>
        <w:t> </w:t>
      </w:r>
      <w:r>
        <w:rPr>
          <w:rFonts w:ascii="Arial" w:hAnsi="Arial" w:cs="Arial" w:eastAsia="Arial" w:hint="default"/>
        </w:rPr>
        <w:t>1,220</w:t>
      </w:r>
      <w:r>
        <w:rPr>
          <w:rFonts w:ascii="Arial" w:hAnsi="Arial" w:cs="Arial" w:eastAsia="Arial" w:hint="default"/>
          <w:spacing w:val="-11"/>
        </w:rPr>
        <w:t> </w:t>
      </w:r>
      <w:r>
        <w:rPr/>
        <w:t>万元，主要是由于报告期联营企业投资损失增加以及坏账准备转</w:t>
      </w:r>
      <w:r>
        <w:rPr>
          <w:w w:val="100"/>
        </w:rPr>
        <w:t> </w:t>
      </w:r>
      <w:r>
        <w:rPr/>
        <w:t>回减少等原因所致。</w:t>
      </w:r>
    </w:p>
    <w:p>
      <w:pPr>
        <w:pStyle w:val="Heading2"/>
        <w:spacing w:line="240" w:lineRule="auto" w:before="21"/>
        <w:ind w:left="635" w:right="2410"/>
        <w:jc w:val="left"/>
        <w:rPr>
          <w:b w:val="0"/>
          <w:bCs w:val="0"/>
        </w:rPr>
      </w:pPr>
      <w:r>
        <w:rPr/>
        <w:t>（三）经贸企业经营情况。</w:t>
      </w:r>
      <w:r>
        <w:rPr>
          <w:b w:val="0"/>
          <w:bCs w:val="0"/>
        </w:rPr>
      </w:r>
    </w:p>
    <w:p>
      <w:pPr>
        <w:pStyle w:val="BodyText"/>
        <w:spacing w:line="266" w:lineRule="auto" w:before="44"/>
        <w:ind w:left="218" w:right="227" w:firstLine="417"/>
        <w:jc w:val="both"/>
      </w:pPr>
      <w:r>
        <w:rPr/>
        <w:t>公司下属鑫亚公司由于亏损严重，从</w:t>
      </w:r>
      <w:r>
        <w:rPr>
          <w:spacing w:val="-54"/>
        </w:rPr>
        <w:t> </w:t>
      </w:r>
      <w:r>
        <w:rPr>
          <w:rFonts w:ascii="Arial" w:hAnsi="Arial" w:cs="Arial" w:eastAsia="Arial" w:hint="default"/>
        </w:rPr>
        <w:t>2013</w:t>
      </w:r>
      <w:r>
        <w:rPr>
          <w:rFonts w:ascii="Arial" w:hAnsi="Arial" w:cs="Arial" w:eastAsia="Arial" w:hint="default"/>
          <w:spacing w:val="-9"/>
        </w:rPr>
        <w:t> </w:t>
      </w:r>
      <w:r>
        <w:rPr/>
        <w:t>年开始全面停止经营，以清理应收和销售原有存</w:t>
      </w:r>
      <w:r>
        <w:rPr>
          <w:w w:val="100"/>
        </w:rPr>
        <w:t> </w:t>
      </w:r>
      <w:r>
        <w:rPr>
          <w:spacing w:val="-3"/>
        </w:rPr>
        <w:t>货为主要任务，不再开展新业务。报告期内实现利润总额</w:t>
      </w:r>
      <w:r>
        <w:rPr>
          <w:rFonts w:ascii="Arial" w:hAnsi="Arial" w:cs="Arial" w:eastAsia="Arial" w:hint="default"/>
          <w:spacing w:val="-3"/>
        </w:rPr>
        <w:t>-454 </w:t>
      </w:r>
      <w:r>
        <w:rPr>
          <w:spacing w:val="-5"/>
        </w:rPr>
        <w:t>万元，同比减亏 </w:t>
      </w:r>
      <w:r>
        <w:rPr>
          <w:rFonts w:ascii="Arial" w:hAnsi="Arial" w:cs="Arial" w:eastAsia="Arial" w:hint="default"/>
        </w:rPr>
        <w:t>952 </w:t>
      </w:r>
      <w:r>
        <w:rPr>
          <w:spacing w:val="-5"/>
        </w:rPr>
        <w:t>万元，主要是</w:t>
      </w:r>
      <w:r>
        <w:rPr>
          <w:spacing w:val="-94"/>
        </w:rPr>
        <w:t> </w:t>
      </w:r>
      <w:r>
        <w:rPr>
          <w:spacing w:val="-94"/>
        </w:rPr>
      </w:r>
      <w:r>
        <w:rPr/>
        <w:t>由于鑫亚公司本部应收款项计提减值同比下降等原因所致。</w:t>
      </w:r>
    </w:p>
    <w:p>
      <w:pPr>
        <w:pStyle w:val="Heading2"/>
        <w:spacing w:line="240" w:lineRule="auto" w:before="21"/>
        <w:ind w:left="635" w:right="2410"/>
        <w:jc w:val="left"/>
        <w:rPr>
          <w:b w:val="0"/>
          <w:bCs w:val="0"/>
        </w:rPr>
      </w:pPr>
      <w:r>
        <w:rPr/>
        <w:t>（四）房地产企业经营情况。</w:t>
      </w:r>
      <w:r>
        <w:rPr>
          <w:b w:val="0"/>
          <w:bCs w:val="0"/>
        </w:rPr>
      </w:r>
    </w:p>
    <w:p>
      <w:pPr>
        <w:pStyle w:val="BodyText"/>
        <w:spacing w:line="266" w:lineRule="auto" w:before="44"/>
        <w:ind w:left="218" w:right="230" w:firstLine="417"/>
        <w:jc w:val="both"/>
      </w:pPr>
      <w:r>
        <w:rPr/>
        <w:t>公司下属鑫都公司报告期内实现销售收入</w:t>
      </w:r>
      <w:r>
        <w:rPr>
          <w:spacing w:val="-48"/>
        </w:rPr>
        <w:t> </w:t>
      </w:r>
      <w:r>
        <w:rPr>
          <w:rFonts w:ascii="Arial" w:hAnsi="Arial" w:cs="Arial" w:eastAsia="Arial" w:hint="default"/>
        </w:rPr>
        <w:t>1,094 </w:t>
      </w:r>
      <w:r>
        <w:rPr>
          <w:spacing w:val="-8"/>
        </w:rPr>
        <w:t>万元，同比减少</w:t>
      </w:r>
      <w:r>
        <w:rPr>
          <w:spacing w:val="-48"/>
        </w:rPr>
        <w:t> </w:t>
      </w:r>
      <w:r>
        <w:rPr>
          <w:rFonts w:ascii="Arial" w:hAnsi="Arial" w:cs="Arial" w:eastAsia="Arial" w:hint="default"/>
        </w:rPr>
        <w:t>5.99</w:t>
      </w:r>
      <w:r>
        <w:rPr>
          <w:rFonts w:ascii="Arial" w:hAnsi="Arial" w:cs="Arial" w:eastAsia="Arial" w:hint="default"/>
          <w:spacing w:val="-1"/>
        </w:rPr>
        <w:t> </w:t>
      </w:r>
      <w:r>
        <w:rPr>
          <w:spacing w:val="-6"/>
        </w:rPr>
        <w:t>亿元，主要是由于上年</w:t>
      </w:r>
      <w:r>
        <w:rPr>
          <w:spacing w:val="-3"/>
          <w:w w:val="100"/>
        </w:rPr>
        <w:t> </w:t>
      </w:r>
      <w:r>
        <w:rPr>
          <w:spacing w:val="-2"/>
        </w:rPr>
        <w:t>度海拉尔天顺新城三期和哈尔滨丽水雅居房产项目抵偿公司债务等原因所致。实现利润总额</w:t>
      </w:r>
      <w:r>
        <w:rPr>
          <w:rFonts w:ascii="Arial" w:hAnsi="Arial" w:cs="Arial" w:eastAsia="Arial" w:hint="default"/>
          <w:spacing w:val="-2"/>
        </w:rPr>
        <w:t>-103</w:t>
      </w:r>
      <w:r>
        <w:rPr>
          <w:rFonts w:ascii="Arial" w:hAnsi="Arial" w:cs="Arial" w:eastAsia="Arial" w:hint="default"/>
          <w:spacing w:val="25"/>
        </w:rPr>
        <w:t> </w:t>
      </w:r>
      <w:r>
        <w:rPr>
          <w:rFonts w:ascii="Arial" w:hAnsi="Arial" w:cs="Arial" w:eastAsia="Arial" w:hint="default"/>
          <w:spacing w:val="25"/>
        </w:rPr>
      </w:r>
      <w:r>
        <w:rPr/>
        <w:t>万元，同比减亏</w:t>
      </w:r>
      <w:r>
        <w:rPr>
          <w:spacing w:val="-55"/>
        </w:rPr>
        <w:t> </w:t>
      </w:r>
      <w:r>
        <w:rPr>
          <w:rFonts w:ascii="Arial" w:hAnsi="Arial" w:cs="Arial" w:eastAsia="Arial" w:hint="default"/>
        </w:rPr>
        <w:t>1.18</w:t>
      </w:r>
      <w:r>
        <w:rPr>
          <w:rFonts w:ascii="Arial" w:hAnsi="Arial" w:cs="Arial" w:eastAsia="Arial" w:hint="default"/>
          <w:spacing w:val="-10"/>
        </w:rPr>
        <w:t> </w:t>
      </w:r>
      <w:r>
        <w:rPr/>
        <w:t>亿元，主要是由于借款资金占用费支出减少等原因所致。</w:t>
      </w:r>
    </w:p>
    <w:p>
      <w:pPr>
        <w:pStyle w:val="BodyText"/>
        <w:spacing w:line="280" w:lineRule="auto" w:before="3"/>
        <w:ind w:left="218" w:right="227" w:firstLine="417"/>
        <w:jc w:val="both"/>
      </w:pPr>
      <w:r>
        <w:rPr>
          <w:spacing w:val="-2"/>
        </w:rPr>
        <w:t>此外，报告期内，公司积极应对国内金融市场利率下行、央行理财政策收紧等不利因素，实</w:t>
      </w:r>
      <w:r>
        <w:rPr>
          <w:w w:val="100"/>
        </w:rPr>
        <w:t> </w:t>
      </w:r>
      <w:r>
        <w:rPr/>
        <w:t>现投资理财及定期存款收益</w:t>
      </w:r>
      <w:r>
        <w:rPr>
          <w:spacing w:val="-48"/>
        </w:rPr>
        <w:t> </w:t>
      </w:r>
      <w:r>
        <w:rPr>
          <w:rFonts w:ascii="Arial" w:hAnsi="Arial" w:cs="Arial" w:eastAsia="Arial" w:hint="default"/>
        </w:rPr>
        <w:t>9,881</w:t>
      </w:r>
      <w:r>
        <w:rPr>
          <w:rFonts w:ascii="Arial" w:hAnsi="Arial" w:cs="Arial" w:eastAsia="Arial" w:hint="default"/>
          <w:spacing w:val="-1"/>
        </w:rPr>
        <w:t> </w:t>
      </w:r>
      <w:r>
        <w:rPr>
          <w:spacing w:val="-13"/>
        </w:rPr>
        <w:t>万元，同比减少</w:t>
      </w:r>
      <w:r>
        <w:rPr>
          <w:spacing w:val="-48"/>
        </w:rPr>
        <w:t> </w:t>
      </w:r>
      <w:r>
        <w:rPr>
          <w:rFonts w:ascii="Arial" w:hAnsi="Arial" w:cs="Arial" w:eastAsia="Arial" w:hint="default"/>
        </w:rPr>
        <w:t>584 </w:t>
      </w:r>
      <w:r>
        <w:rPr>
          <w:spacing w:val="-14"/>
        </w:rPr>
        <w:t>万元，其中：国债逆回购收益</w:t>
      </w:r>
      <w:r>
        <w:rPr>
          <w:spacing w:val="-47"/>
        </w:rPr>
        <w:t> </w:t>
      </w:r>
      <w:r>
        <w:rPr>
          <w:rFonts w:ascii="Arial" w:hAnsi="Arial" w:cs="Arial" w:eastAsia="Arial" w:hint="default"/>
        </w:rPr>
        <w:t>2,269</w:t>
      </w:r>
      <w:r>
        <w:rPr>
          <w:rFonts w:ascii="Arial" w:hAnsi="Arial" w:cs="Arial" w:eastAsia="Arial" w:hint="default"/>
          <w:spacing w:val="-4"/>
        </w:rPr>
        <w:t> </w:t>
      </w:r>
      <w:r>
        <w:rPr/>
        <w:t>万元，</w:t>
      </w:r>
    </w:p>
    <w:p>
      <w:pPr>
        <w:pStyle w:val="BodyText"/>
        <w:spacing w:line="279" w:lineRule="exact"/>
        <w:ind w:left="218" w:right="0"/>
        <w:jc w:val="both"/>
      </w:pPr>
      <w:r>
        <w:rPr/>
        <w:t>同比减少</w:t>
      </w:r>
      <w:r>
        <w:rPr>
          <w:spacing w:val="-50"/>
        </w:rPr>
        <w:t> </w:t>
      </w:r>
      <w:r>
        <w:rPr>
          <w:rFonts w:ascii="Arial" w:hAnsi="Arial" w:cs="Arial" w:eastAsia="Arial" w:hint="default"/>
        </w:rPr>
        <w:t>1,972</w:t>
      </w:r>
      <w:r>
        <w:rPr>
          <w:rFonts w:ascii="Arial" w:hAnsi="Arial" w:cs="Arial" w:eastAsia="Arial" w:hint="default"/>
          <w:spacing w:val="-5"/>
        </w:rPr>
        <w:t> </w:t>
      </w:r>
      <w:r>
        <w:rPr/>
        <w:t>万元；结构性存款利息收益</w:t>
      </w:r>
      <w:r>
        <w:rPr>
          <w:spacing w:val="-49"/>
        </w:rPr>
        <w:t> </w:t>
      </w:r>
      <w:r>
        <w:rPr>
          <w:rFonts w:ascii="Arial" w:hAnsi="Arial" w:cs="Arial" w:eastAsia="Arial" w:hint="default"/>
        </w:rPr>
        <w:t>6,645</w:t>
      </w:r>
      <w:r>
        <w:rPr>
          <w:rFonts w:ascii="Arial" w:hAnsi="Arial" w:cs="Arial" w:eastAsia="Arial" w:hint="default"/>
          <w:spacing w:val="-5"/>
        </w:rPr>
        <w:t> </w:t>
      </w:r>
      <w:r>
        <w:rPr>
          <w:spacing w:val="-3"/>
        </w:rPr>
        <w:t>万元，同比增加</w:t>
      </w:r>
      <w:r>
        <w:rPr>
          <w:spacing w:val="-50"/>
        </w:rPr>
        <w:t> </w:t>
      </w:r>
      <w:r>
        <w:rPr>
          <w:rFonts w:ascii="Arial" w:hAnsi="Arial" w:cs="Arial" w:eastAsia="Arial" w:hint="default"/>
        </w:rPr>
        <w:t>995</w:t>
      </w:r>
      <w:r>
        <w:rPr>
          <w:rFonts w:ascii="Arial" w:hAnsi="Arial" w:cs="Arial" w:eastAsia="Arial" w:hint="default"/>
          <w:spacing w:val="-3"/>
        </w:rPr>
        <w:t> </w:t>
      </w:r>
      <w:r>
        <w:rPr>
          <w:spacing w:val="-3"/>
        </w:rPr>
        <w:t>万元；定期存款利息收益</w:t>
      </w:r>
    </w:p>
    <w:p>
      <w:pPr>
        <w:pStyle w:val="BodyText"/>
        <w:spacing w:line="240" w:lineRule="auto" w:before="29"/>
        <w:ind w:left="218" w:right="0"/>
        <w:jc w:val="both"/>
        <w:rPr>
          <w:rFonts w:ascii="Arial" w:hAnsi="Arial" w:cs="Arial" w:eastAsia="Arial" w:hint="default"/>
        </w:rPr>
      </w:pPr>
      <w:r>
        <w:rPr>
          <w:rFonts w:ascii="Arial" w:hAnsi="Arial" w:cs="Arial" w:eastAsia="Arial" w:hint="default"/>
        </w:rPr>
        <w:t>967 </w:t>
      </w:r>
      <w:r>
        <w:rPr>
          <w:spacing w:val="-4"/>
        </w:rPr>
        <w:t>万元，同比增加 </w:t>
      </w:r>
      <w:r>
        <w:rPr>
          <w:rFonts w:ascii="Arial" w:hAnsi="Arial" w:cs="Arial" w:eastAsia="Arial" w:hint="default"/>
        </w:rPr>
        <w:t>393</w:t>
      </w:r>
      <w:r>
        <w:rPr>
          <w:rFonts w:ascii="Arial" w:hAnsi="Arial" w:cs="Arial" w:eastAsia="Arial" w:hint="default"/>
          <w:spacing w:val="4"/>
        </w:rPr>
        <w:t> </w:t>
      </w:r>
      <w:r>
        <w:rPr>
          <w:spacing w:val="-3"/>
        </w:rPr>
        <w:t>万元。公司参股的大兴安岭农村商业银行股份有限公司经营稳健，</w:t>
      </w:r>
      <w:r>
        <w:rPr>
          <w:rFonts w:ascii="Arial" w:hAnsi="Arial" w:cs="Arial" w:eastAsia="Arial" w:hint="default"/>
          <w:spacing w:val="-3"/>
        </w:rPr>
        <w:t>2019</w:t>
      </w:r>
    </w:p>
    <w:p>
      <w:pPr>
        <w:spacing w:line="276" w:lineRule="auto" w:before="32"/>
        <w:ind w:left="218" w:right="6502" w:firstLine="0"/>
        <w:jc w:val="left"/>
        <w:rPr>
          <w:rFonts w:ascii="宋体" w:hAnsi="宋体" w:cs="宋体" w:eastAsia="宋体" w:hint="default"/>
          <w:sz w:val="21"/>
          <w:szCs w:val="21"/>
        </w:rPr>
      </w:pPr>
      <w:r>
        <w:rPr>
          <w:rFonts w:ascii="宋体" w:hAnsi="宋体" w:cs="宋体" w:eastAsia="宋体" w:hint="default"/>
          <w:sz w:val="21"/>
          <w:szCs w:val="21"/>
        </w:rPr>
        <w:t>年公司收到分红</w:t>
      </w:r>
      <w:r>
        <w:rPr>
          <w:rFonts w:ascii="宋体" w:hAnsi="宋体" w:cs="宋体" w:eastAsia="宋体" w:hint="default"/>
          <w:spacing w:val="-53"/>
          <w:sz w:val="21"/>
          <w:szCs w:val="21"/>
        </w:rPr>
        <w:t> </w:t>
      </w:r>
      <w:r>
        <w:rPr>
          <w:rFonts w:ascii="Arial" w:hAnsi="Arial" w:cs="Arial" w:eastAsia="Arial" w:hint="default"/>
          <w:sz w:val="21"/>
          <w:szCs w:val="21"/>
        </w:rPr>
        <w:t>121</w:t>
      </w:r>
      <w:r>
        <w:rPr>
          <w:rFonts w:ascii="Arial" w:hAnsi="Arial" w:cs="Arial" w:eastAsia="Arial" w:hint="default"/>
          <w:spacing w:val="-6"/>
          <w:sz w:val="21"/>
          <w:szCs w:val="21"/>
        </w:rPr>
        <w:t> </w:t>
      </w:r>
      <w:r>
        <w:rPr>
          <w:rFonts w:ascii="宋体" w:hAnsi="宋体" w:cs="宋体" w:eastAsia="宋体" w:hint="default"/>
          <w:spacing w:val="-3"/>
          <w:sz w:val="21"/>
          <w:szCs w:val="21"/>
        </w:rPr>
        <w:t>万元。</w:t>
      </w:r>
      <w:r>
        <w:rPr>
          <w:rFonts w:ascii="宋体" w:hAnsi="宋体" w:cs="宋体" w:eastAsia="宋体" w:hint="default"/>
          <w:spacing w:val="-3"/>
          <w:w w:val="100"/>
          <w:sz w:val="21"/>
          <w:szCs w:val="21"/>
        </w:rPr>
        <w:t> </w:t>
      </w:r>
      <w:r>
        <w:rPr>
          <w:rFonts w:ascii="宋体" w:hAnsi="宋体" w:cs="宋体" w:eastAsia="宋体" w:hint="default"/>
          <w:b/>
          <w:bCs/>
          <w:sz w:val="21"/>
          <w:szCs w:val="21"/>
        </w:rPr>
        <w:t>二、报告期内主要经营情况</w:t>
      </w:r>
      <w:r>
        <w:rPr>
          <w:rFonts w:ascii="宋体" w:hAnsi="宋体" w:cs="宋体" w:eastAsia="宋体" w:hint="default"/>
          <w:sz w:val="21"/>
          <w:szCs w:val="21"/>
        </w:rPr>
      </w:r>
    </w:p>
    <w:p>
      <w:pPr>
        <w:pStyle w:val="BodyText"/>
        <w:spacing w:line="264" w:lineRule="auto" w:before="73"/>
        <w:ind w:left="218" w:right="244" w:firstLine="419"/>
        <w:jc w:val="both"/>
      </w:pPr>
      <w:r>
        <w:rPr/>
        <w:t>报告期内，公司实现营业收入</w:t>
      </w:r>
      <w:r>
        <w:rPr>
          <w:spacing w:val="-54"/>
        </w:rPr>
        <w:t> </w:t>
      </w:r>
      <w:r>
        <w:rPr>
          <w:rFonts w:ascii="Arial" w:hAnsi="Arial" w:cs="Arial" w:eastAsia="Arial" w:hint="default"/>
        </w:rPr>
        <w:t>31.11</w:t>
      </w:r>
      <w:r>
        <w:rPr>
          <w:rFonts w:ascii="Arial" w:hAnsi="Arial" w:cs="Arial" w:eastAsia="Arial" w:hint="default"/>
          <w:spacing w:val="-9"/>
        </w:rPr>
        <w:t> </w:t>
      </w:r>
      <w:r>
        <w:rPr/>
        <w:t>亿元，同比下降</w:t>
      </w:r>
      <w:r>
        <w:rPr>
          <w:spacing w:val="-54"/>
        </w:rPr>
        <w:t> </w:t>
      </w:r>
      <w:r>
        <w:rPr>
          <w:rFonts w:ascii="Arial" w:hAnsi="Arial" w:cs="Arial" w:eastAsia="Arial" w:hint="default"/>
        </w:rPr>
        <w:t>4.7%</w:t>
      </w:r>
      <w:r>
        <w:rPr/>
        <w:t>；实现利润总额</w:t>
      </w:r>
      <w:r>
        <w:rPr>
          <w:spacing w:val="-54"/>
        </w:rPr>
        <w:t> </w:t>
      </w:r>
      <w:r>
        <w:rPr>
          <w:rFonts w:ascii="Arial" w:hAnsi="Arial" w:cs="Arial" w:eastAsia="Arial" w:hint="default"/>
        </w:rPr>
        <w:t>8.22</w:t>
      </w:r>
      <w:r>
        <w:rPr>
          <w:rFonts w:ascii="Arial" w:hAnsi="Arial" w:cs="Arial" w:eastAsia="Arial" w:hint="default"/>
          <w:spacing w:val="-8"/>
        </w:rPr>
        <w:t> </w:t>
      </w:r>
      <w:r>
        <w:rPr/>
        <w:t>亿元，同比</w:t>
      </w:r>
      <w:r>
        <w:rPr>
          <w:w w:val="100"/>
        </w:rPr>
        <w:t> </w:t>
      </w:r>
      <w:r>
        <w:rPr/>
        <w:t>下降</w:t>
      </w:r>
      <w:r>
        <w:rPr>
          <w:spacing w:val="-56"/>
        </w:rPr>
        <w:t> </w:t>
      </w:r>
      <w:r>
        <w:rPr>
          <w:rFonts w:ascii="Arial" w:hAnsi="Arial" w:cs="Arial" w:eastAsia="Arial" w:hint="default"/>
        </w:rPr>
        <w:t>11.88%</w:t>
      </w:r>
      <w:r>
        <w:rPr/>
        <w:t>；实现归属于母公司所有者的净利润</w:t>
      </w:r>
      <w:r>
        <w:rPr>
          <w:spacing w:val="-56"/>
        </w:rPr>
        <w:t> </w:t>
      </w:r>
      <w:r>
        <w:rPr>
          <w:rFonts w:ascii="Arial" w:hAnsi="Arial" w:cs="Arial" w:eastAsia="Arial" w:hint="default"/>
        </w:rPr>
        <w:t>8.49</w:t>
      </w:r>
      <w:r>
        <w:rPr>
          <w:rFonts w:ascii="Arial" w:hAnsi="Arial" w:cs="Arial" w:eastAsia="Arial" w:hint="default"/>
          <w:spacing w:val="-9"/>
        </w:rPr>
        <w:t> </w:t>
      </w:r>
      <w:r>
        <w:rPr/>
        <w:t>亿元，同比下降</w:t>
      </w:r>
      <w:r>
        <w:rPr>
          <w:spacing w:val="-56"/>
        </w:rPr>
        <w:t> </w:t>
      </w:r>
      <w:r>
        <w:rPr>
          <w:rFonts w:ascii="Arial" w:hAnsi="Arial" w:cs="Arial" w:eastAsia="Arial" w:hint="default"/>
        </w:rPr>
        <w:t>13.09%</w:t>
      </w:r>
      <w:r>
        <w:rPr/>
        <w:t>。</w:t>
      </w:r>
    </w:p>
    <w:p>
      <w:pPr>
        <w:pStyle w:val="BodyText"/>
        <w:spacing w:line="266" w:lineRule="auto" w:before="6"/>
        <w:ind w:left="218" w:right="230" w:firstLine="419"/>
        <w:jc w:val="both"/>
      </w:pPr>
      <w:r>
        <w:rPr/>
        <w:t>报告期末，公司资产总额</w:t>
      </w:r>
      <w:r>
        <w:rPr>
          <w:spacing w:val="-57"/>
        </w:rPr>
        <w:t> </w:t>
      </w:r>
      <w:r>
        <w:rPr>
          <w:rFonts w:ascii="Arial" w:hAnsi="Arial" w:cs="Arial" w:eastAsia="Arial" w:hint="default"/>
        </w:rPr>
        <w:t>78.45</w:t>
      </w:r>
      <w:r>
        <w:rPr>
          <w:rFonts w:ascii="Arial" w:hAnsi="Arial" w:cs="Arial" w:eastAsia="Arial" w:hint="default"/>
          <w:spacing w:val="-10"/>
        </w:rPr>
        <w:t> </w:t>
      </w:r>
      <w:r>
        <w:rPr/>
        <w:t>亿元，较上年期末下降</w:t>
      </w:r>
      <w:r>
        <w:rPr>
          <w:spacing w:val="-55"/>
        </w:rPr>
        <w:t> </w:t>
      </w:r>
      <w:r>
        <w:rPr>
          <w:rFonts w:ascii="Arial" w:hAnsi="Arial" w:cs="Arial" w:eastAsia="Arial" w:hint="default"/>
        </w:rPr>
        <w:t>1.61%</w:t>
      </w:r>
      <w:r>
        <w:rPr/>
        <w:t>；负债总额</w:t>
      </w:r>
      <w:r>
        <w:rPr>
          <w:spacing w:val="-57"/>
        </w:rPr>
        <w:t> </w:t>
      </w:r>
      <w:r>
        <w:rPr>
          <w:rFonts w:ascii="Arial" w:hAnsi="Arial" w:cs="Arial" w:eastAsia="Arial" w:hint="default"/>
        </w:rPr>
        <w:t>14.16</w:t>
      </w:r>
      <w:r>
        <w:rPr>
          <w:rFonts w:ascii="Arial" w:hAnsi="Arial" w:cs="Arial" w:eastAsia="Arial" w:hint="default"/>
          <w:spacing w:val="-8"/>
        </w:rPr>
        <w:t> </w:t>
      </w:r>
      <w:r>
        <w:rPr/>
        <w:t>亿元，较上</w:t>
      </w:r>
      <w:r>
        <w:rPr>
          <w:w w:val="100"/>
        </w:rPr>
        <w:t> </w:t>
      </w:r>
      <w:r>
        <w:rPr/>
        <w:t>年期末下降</w:t>
      </w:r>
      <w:r>
        <w:rPr>
          <w:spacing w:val="-55"/>
        </w:rPr>
        <w:t> </w:t>
      </w:r>
      <w:r>
        <w:rPr>
          <w:rFonts w:ascii="Arial" w:hAnsi="Arial" w:cs="Arial" w:eastAsia="Arial" w:hint="default"/>
        </w:rPr>
        <w:t>15.01%</w:t>
      </w:r>
      <w:r>
        <w:rPr/>
        <w:t>；资产负债率为</w:t>
      </w:r>
      <w:r>
        <w:rPr>
          <w:spacing w:val="-54"/>
        </w:rPr>
        <w:t> </w:t>
      </w:r>
      <w:r>
        <w:rPr>
          <w:rFonts w:ascii="Arial" w:hAnsi="Arial" w:cs="Arial" w:eastAsia="Arial" w:hint="default"/>
        </w:rPr>
        <w:t>18.04%</w:t>
      </w:r>
      <w:r>
        <w:rPr/>
        <w:t>，较上年期末下降</w:t>
      </w:r>
      <w:r>
        <w:rPr>
          <w:spacing w:val="-55"/>
        </w:rPr>
        <w:t> </w:t>
      </w:r>
      <w:r>
        <w:rPr>
          <w:rFonts w:ascii="Arial" w:hAnsi="Arial" w:cs="Arial" w:eastAsia="Arial" w:hint="default"/>
        </w:rPr>
        <w:t>2.85</w:t>
      </w:r>
      <w:r>
        <w:rPr>
          <w:rFonts w:ascii="Arial" w:hAnsi="Arial" w:cs="Arial" w:eastAsia="Arial" w:hint="default"/>
          <w:spacing w:val="-8"/>
        </w:rPr>
        <w:t> </w:t>
      </w:r>
      <w:r>
        <w:rPr/>
        <w:t>个百分点。</w:t>
      </w:r>
    </w:p>
    <w:p>
      <w:pPr>
        <w:pStyle w:val="Heading2"/>
        <w:spacing w:line="240" w:lineRule="auto" w:before="18"/>
        <w:ind w:right="0"/>
        <w:jc w:val="both"/>
        <w:rPr>
          <w:b w:val="0"/>
          <w:bCs w:val="0"/>
        </w:rPr>
      </w:pPr>
      <w:r>
        <w:rPr>
          <w:rFonts w:ascii="宋体" w:hAnsi="宋体" w:cs="宋体" w:eastAsia="宋体" w:hint="default"/>
        </w:rPr>
        <w:t>(</w:t>
      </w:r>
      <w:r>
        <w:rPr/>
        <w:t>一</w:t>
      </w:r>
      <w:r>
        <w:rPr>
          <w:rFonts w:ascii="宋体" w:hAnsi="宋体" w:cs="宋体" w:eastAsia="宋体" w:hint="default"/>
        </w:rPr>
        <w:t>)  </w:t>
      </w:r>
      <w:r>
        <w:rPr>
          <w:rFonts w:ascii="宋体" w:hAnsi="宋体" w:cs="宋体" w:eastAsia="宋体" w:hint="default"/>
          <w:spacing w:val="101"/>
        </w:rPr>
        <w:t> </w:t>
      </w:r>
      <w:r>
        <w:rPr/>
        <w:t>主营业务分析</w:t>
      </w:r>
      <w:r>
        <w:rPr>
          <w:b w:val="0"/>
          <w:bCs w:val="0"/>
        </w:rPr>
      </w:r>
    </w:p>
    <w:p>
      <w:pPr>
        <w:pStyle w:val="Heading2"/>
        <w:spacing w:line="240" w:lineRule="auto"/>
        <w:ind w:right="0"/>
        <w:jc w:val="both"/>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101"/>
        </w:rPr>
        <w:t> </w:t>
      </w:r>
      <w:r>
        <w:rPr/>
        <w:t>利润表及现金流量表相关科目变动分析表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0" w:right="1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046;height:2" coordorigin="10,10" coordsize="3046,2">
              <v:shape style="position:absolute;left:10;top:10;width:3046;height:2" coordorigin="10,10" coordsize="3046,0" path="m10,10l3056,10e" filled="false" stroked="true" strokeweight=".95999pt" strokecolor="#41b7ee">
                <v:path arrowok="t"/>
              </v:shape>
            </v:group>
            <v:group style="position:absolute;left:3056;top:10;width:58;height:2" coordorigin="3056,10" coordsize="58,2">
              <v:shape style="position:absolute;left:3056;top:10;width:58;height:2" coordorigin="3056,10" coordsize="58,0" path="m3056,10l3113,10e" filled="false" stroked="true" strokeweight=".95999pt" strokecolor="#41b7ee">
                <v:path arrowok="t"/>
              </v:shape>
            </v:group>
            <v:group style="position:absolute;left:3113;top:10;width:2149;height:2" coordorigin="3113,10" coordsize="2149,2">
              <v:shape style="position:absolute;left:3113;top:10;width:2149;height:2" coordorigin="3113,10" coordsize="2149,0" path="m3113,10l5262,10e" filled="false" stroked="true" strokeweight=".95999pt" strokecolor="#41b7ee">
                <v:path arrowok="t"/>
              </v:shape>
            </v:group>
            <v:group style="position:absolute;left:5262;top:10;width:58;height:2" coordorigin="5262,10" coordsize="58,2">
              <v:shape style="position:absolute;left:5262;top:10;width:58;height:2" coordorigin="5262,10" coordsize="58,0" path="m5262,10l5319,10e" filled="false" stroked="true" strokeweight=".95999pt" strokecolor="#41b7ee">
                <v:path arrowok="t"/>
              </v:shape>
            </v:group>
            <v:group style="position:absolute;left:5319;top:10;width:2096;height:2" coordorigin="5319,10" coordsize="2096,2">
              <v:shape style="position:absolute;left:5319;top:10;width:2096;height:2" coordorigin="5319,10" coordsize="2096,0" path="m5319,10l7415,10e" filled="false" stroked="true" strokeweight=".95999pt" strokecolor="#41b7ee">
                <v:path arrowok="t"/>
              </v:shape>
            </v:group>
            <v:group style="position:absolute;left:7415;top:10;width:58;height:2" coordorigin="7415,10" coordsize="58,2">
              <v:shape style="position:absolute;left:7415;top:10;width:58;height:2" coordorigin="7415,10" coordsize="58,0" path="m7415,10l7473,10e" filled="false" stroked="true" strokeweight=".95999pt" strokecolor="#41b7ee">
                <v:path arrowok="t"/>
              </v:shape>
            </v:group>
            <v:group style="position:absolute;left:7473;top:10;width:1587;height:2" coordorigin="7473,10" coordsize="1587,2">
              <v:shape style="position:absolute;left:7473;top:10;width:1587;height:2" coordorigin="7473,10" coordsize="1587,0" path="m7473,10l9059,10e" filled="false" stroked="true" strokeweight=".95999pt" strokecolor="#41b7ee">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3051"/>
        <w:gridCol w:w="2206"/>
        <w:gridCol w:w="2153"/>
        <w:gridCol w:w="1639"/>
      </w:tblGrid>
      <w:tr>
        <w:trPr>
          <w:trHeight w:val="365" w:hRule="exact"/>
        </w:trPr>
        <w:tc>
          <w:tcPr>
            <w:tcW w:w="3051"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6"/>
              <w:ind w:left="109"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sz w:val="21"/>
                <w:szCs w:val="21"/>
              </w:rPr>
              <w:t> </w:t>
            </w:r>
          </w:p>
        </w:tc>
        <w:tc>
          <w:tcPr>
            <w:tcW w:w="2206"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6"/>
              <w:ind w:left="782"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2153"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6"/>
              <w:ind w:left="544"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1639"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6"/>
              <w:ind w:right="29"/>
              <w:jc w:val="right"/>
              <w:rPr>
                <w:rFonts w:ascii="宋体" w:hAnsi="宋体" w:cs="宋体" w:eastAsia="宋体" w:hint="default"/>
                <w:sz w:val="21"/>
                <w:szCs w:val="21"/>
              </w:rPr>
            </w:pPr>
            <w:r>
              <w:rPr>
                <w:rFonts w:ascii="宋体" w:hAnsi="宋体" w:cs="宋体" w:eastAsia="宋体" w:hint="default"/>
                <w:spacing w:val="-2"/>
                <w:sz w:val="21"/>
                <w:szCs w:val="21"/>
              </w:rPr>
              <w:t>变动比例（</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 </w:t>
            </w:r>
          </w:p>
        </w:tc>
      </w:tr>
      <w:tr>
        <w:trPr>
          <w:trHeight w:val="358" w:hRule="exact"/>
        </w:trPr>
        <w:tc>
          <w:tcPr>
            <w:tcW w:w="305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20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3"/>
                <w:sz w:val="21"/>
              </w:rPr>
              <w:t>3,111,306,139.60</w:t>
            </w:r>
          </w:p>
        </w:tc>
        <w:tc>
          <w:tcPr>
            <w:tcW w:w="215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3,264,778,781.25</w:t>
            </w:r>
          </w:p>
        </w:tc>
        <w:tc>
          <w:tcPr>
            <w:tcW w:w="163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-4.70</w:t>
            </w:r>
          </w:p>
        </w:tc>
      </w:tr>
      <w:tr>
        <w:trPr>
          <w:trHeight w:val="355" w:hRule="exact"/>
        </w:trPr>
        <w:tc>
          <w:tcPr>
            <w:tcW w:w="305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220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440,989,436.55</w:t>
            </w:r>
          </w:p>
        </w:tc>
        <w:tc>
          <w:tcPr>
            <w:tcW w:w="215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500,610,391.10</w:t>
            </w:r>
          </w:p>
        </w:tc>
        <w:tc>
          <w:tcPr>
            <w:tcW w:w="163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3"/>
                <w:sz w:val="21"/>
              </w:rPr>
              <w:t>-11.91</w:t>
            </w:r>
          </w:p>
        </w:tc>
      </w:tr>
      <w:tr>
        <w:trPr>
          <w:trHeight w:val="358" w:hRule="exact"/>
        </w:trPr>
        <w:tc>
          <w:tcPr>
            <w:tcW w:w="305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220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14,560,525.78</w:t>
            </w:r>
          </w:p>
        </w:tc>
        <w:tc>
          <w:tcPr>
            <w:tcW w:w="215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17,638,994.04</w:t>
            </w:r>
          </w:p>
        </w:tc>
        <w:tc>
          <w:tcPr>
            <w:tcW w:w="163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right="104"/>
              <w:jc w:val="right"/>
              <w:rPr>
                <w:rFonts w:ascii="Arial" w:hAnsi="Arial" w:cs="Arial" w:eastAsia="Arial" w:hint="default"/>
                <w:sz w:val="21"/>
                <w:szCs w:val="21"/>
              </w:rPr>
            </w:pPr>
            <w:r>
              <w:rPr>
                <w:rFonts w:ascii="Arial"/>
                <w:spacing w:val="-1"/>
                <w:sz w:val="21"/>
              </w:rPr>
              <w:t>-17.45</w:t>
            </w:r>
          </w:p>
        </w:tc>
      </w:tr>
      <w:tr>
        <w:trPr>
          <w:trHeight w:val="358" w:hRule="exact"/>
        </w:trPr>
        <w:tc>
          <w:tcPr>
            <w:tcW w:w="305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220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1,688,015,260.95</w:t>
            </w:r>
          </w:p>
        </w:tc>
        <w:tc>
          <w:tcPr>
            <w:tcW w:w="215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1,667,833,239.96</w:t>
            </w:r>
          </w:p>
        </w:tc>
        <w:tc>
          <w:tcPr>
            <w:tcW w:w="163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1.21</w:t>
            </w:r>
          </w:p>
        </w:tc>
      </w:tr>
      <w:tr>
        <w:trPr>
          <w:trHeight w:val="358" w:hRule="exact"/>
        </w:trPr>
        <w:tc>
          <w:tcPr>
            <w:tcW w:w="305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220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2"/>
                <w:sz w:val="21"/>
              </w:rPr>
              <w:t>14,309,323.11</w:t>
            </w:r>
          </w:p>
        </w:tc>
        <w:tc>
          <w:tcPr>
            <w:tcW w:w="215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15,723,028.22</w:t>
            </w:r>
          </w:p>
        </w:tc>
        <w:tc>
          <w:tcPr>
            <w:tcW w:w="163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-8.99</w:t>
            </w:r>
          </w:p>
        </w:tc>
      </w:tr>
      <w:tr>
        <w:trPr>
          <w:trHeight w:val="355" w:hRule="exact"/>
        </w:trPr>
        <w:tc>
          <w:tcPr>
            <w:tcW w:w="305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220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2"/>
                <w:sz w:val="21"/>
              </w:rPr>
              <w:t>-8,620,114.24</w:t>
            </w:r>
          </w:p>
        </w:tc>
        <w:tc>
          <w:tcPr>
            <w:tcW w:w="215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283,855.57</w:t>
            </w:r>
          </w:p>
        </w:tc>
        <w:tc>
          <w:tcPr>
            <w:tcW w:w="163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right="103"/>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358" w:hRule="exact"/>
        </w:trPr>
        <w:tc>
          <w:tcPr>
            <w:tcW w:w="305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5"/>
              <w:ind w:left="107"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220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1"/>
              <w:ind w:right="99"/>
              <w:jc w:val="right"/>
              <w:rPr>
                <w:rFonts w:ascii="Arial" w:hAnsi="Arial" w:cs="Arial" w:eastAsia="Arial" w:hint="default"/>
                <w:sz w:val="21"/>
                <w:szCs w:val="21"/>
              </w:rPr>
            </w:pPr>
            <w:r>
              <w:rPr>
                <w:rFonts w:ascii="Arial"/>
                <w:spacing w:val="-1"/>
                <w:sz w:val="21"/>
              </w:rPr>
              <w:t>814,168,317.31</w:t>
            </w:r>
          </w:p>
        </w:tc>
        <w:tc>
          <w:tcPr>
            <w:tcW w:w="215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1"/>
              <w:ind w:right="99"/>
              <w:jc w:val="right"/>
              <w:rPr>
                <w:rFonts w:ascii="Arial" w:hAnsi="Arial" w:cs="Arial" w:eastAsia="Arial" w:hint="default"/>
                <w:sz w:val="21"/>
                <w:szCs w:val="21"/>
              </w:rPr>
            </w:pPr>
            <w:r>
              <w:rPr>
                <w:rFonts w:ascii="Arial"/>
                <w:spacing w:val="-1"/>
                <w:sz w:val="21"/>
              </w:rPr>
              <w:t>1,313,871,914.27</w:t>
            </w:r>
          </w:p>
        </w:tc>
        <w:tc>
          <w:tcPr>
            <w:tcW w:w="163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1"/>
              <w:ind w:right="104"/>
              <w:jc w:val="right"/>
              <w:rPr>
                <w:rFonts w:ascii="Arial" w:hAnsi="Arial" w:cs="Arial" w:eastAsia="Arial" w:hint="default"/>
                <w:sz w:val="21"/>
                <w:szCs w:val="21"/>
              </w:rPr>
            </w:pPr>
            <w:r>
              <w:rPr>
                <w:rFonts w:ascii="Arial"/>
                <w:spacing w:val="-1"/>
                <w:sz w:val="21"/>
              </w:rPr>
              <w:t>-38.03</w:t>
            </w:r>
          </w:p>
        </w:tc>
      </w:tr>
      <w:tr>
        <w:trPr>
          <w:trHeight w:val="358" w:hRule="exact"/>
        </w:trPr>
        <w:tc>
          <w:tcPr>
            <w:tcW w:w="305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220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603,757,822.64</w:t>
            </w:r>
          </w:p>
        </w:tc>
        <w:tc>
          <w:tcPr>
            <w:tcW w:w="215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-1,005,030,832.75</w:t>
            </w:r>
          </w:p>
        </w:tc>
        <w:tc>
          <w:tcPr>
            <w:tcW w:w="163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right="103"/>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358" w:hRule="exact"/>
        </w:trPr>
        <w:tc>
          <w:tcPr>
            <w:tcW w:w="305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220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-710,769,991.52</w:t>
            </w:r>
          </w:p>
        </w:tc>
        <w:tc>
          <w:tcPr>
            <w:tcW w:w="215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-479,910,270.70</w:t>
            </w:r>
          </w:p>
        </w:tc>
        <w:tc>
          <w:tcPr>
            <w:tcW w:w="163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right="103"/>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362" w:hRule="exact"/>
        </w:trPr>
        <w:tc>
          <w:tcPr>
            <w:tcW w:w="3051"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2206"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8,949,893.40</w:t>
            </w:r>
          </w:p>
        </w:tc>
        <w:tc>
          <w:tcPr>
            <w:tcW w:w="2153"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41,534,540.96</w:t>
            </w:r>
          </w:p>
        </w:tc>
        <w:tc>
          <w:tcPr>
            <w:tcW w:w="1639"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-78.45</w:t>
            </w:r>
          </w:p>
        </w:tc>
      </w:tr>
    </w:tbl>
    <w:p>
      <w:pPr>
        <w:spacing w:line="240" w:lineRule="auto" w:before="11"/>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046;height:2" coordorigin="10,10" coordsize="3046,2">
              <v:shape style="position:absolute;left:10;top:10;width:3046;height:2" coordorigin="10,10" coordsize="3046,0" path="m10,10l3056,10e" filled="false" stroked="true" strokeweight=".96002pt" strokecolor="#41b7ee">
                <v:path arrowok="t"/>
              </v:shape>
            </v:group>
            <v:group style="position:absolute;left:3056;top:10;width:58;height:2" coordorigin="3056,10" coordsize="58,2">
              <v:shape style="position:absolute;left:3056;top:10;width:58;height:2" coordorigin="3056,10" coordsize="58,0" path="m3056,10l3113,10e" filled="false" stroked="true" strokeweight=".96002pt" strokecolor="#41b7ee">
                <v:path arrowok="t"/>
              </v:shape>
            </v:group>
            <v:group style="position:absolute;left:3113;top:10;width:2149;height:2" coordorigin="3113,10" coordsize="2149,2">
              <v:shape style="position:absolute;left:3113;top:10;width:2149;height:2" coordorigin="3113,10" coordsize="2149,0" path="m3113,10l5262,10e" filled="false" stroked="true" strokeweight=".96002pt" strokecolor="#41b7ee">
                <v:path arrowok="t"/>
              </v:shape>
            </v:group>
            <v:group style="position:absolute;left:5262;top:10;width:58;height:2" coordorigin="5262,10" coordsize="58,2">
              <v:shape style="position:absolute;left:5262;top:10;width:58;height:2" coordorigin="5262,10" coordsize="58,0" path="m5262,10l5319,10e" filled="false" stroked="true" strokeweight=".96002pt" strokecolor="#41b7ee">
                <v:path arrowok="t"/>
              </v:shape>
            </v:group>
            <v:group style="position:absolute;left:5319;top:10;width:2096;height:2" coordorigin="5319,10" coordsize="2096,2">
              <v:shape style="position:absolute;left:5319;top:10;width:2096;height:2" coordorigin="5319,10" coordsize="2096,0" path="m5319,10l7415,10e" filled="false" stroked="true" strokeweight=".96002pt" strokecolor="#41b7ee">
                <v:path arrowok="t"/>
              </v:shape>
            </v:group>
            <v:group style="position:absolute;left:7415;top:10;width:58;height:2" coordorigin="7415,10" coordsize="58,2">
              <v:shape style="position:absolute;left:7415;top:10;width:58;height:2" coordorigin="7415,10" coordsize="58,0" path="m7415,10l7473,10e" filled="false" stroked="true" strokeweight=".96002pt" strokecolor="#41b7ee">
                <v:path arrowok="t"/>
              </v:shape>
            </v:group>
            <v:group style="position:absolute;left:7473;top:10;width:1587;height:2" coordorigin="7473,10" coordsize="1587,2">
              <v:shape style="position:absolute;left:7473;top:10;width:1587;height:2" coordorigin="7473,10" coordsize="1587,0" path="m7473,10l9059,10e" filled="false" stroked="true" strokeweight=".96002pt" strokecolor="#41b7ee">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8"/>
          <w:szCs w:val="18"/>
        </w:rPr>
      </w:pPr>
    </w:p>
    <w:p>
      <w:pPr>
        <w:pStyle w:val="Heading2"/>
        <w:tabs>
          <w:tab w:pos="637" w:val="left" w:leader="none"/>
        </w:tabs>
        <w:spacing w:line="240" w:lineRule="auto" w:before="36"/>
        <w:ind w:right="2410"/>
        <w:jc w:val="left"/>
        <w:rPr>
          <w:rFonts w:ascii="宋体" w:hAnsi="宋体" w:cs="宋体" w:eastAsia="宋体" w:hint="default"/>
          <w:b w:val="0"/>
          <w:bCs w:val="0"/>
        </w:rPr>
      </w:pPr>
      <w:r>
        <w:rPr>
          <w:rFonts w:ascii="宋体" w:hAnsi="宋体" w:cs="宋体" w:eastAsia="宋体" w:hint="default"/>
          <w:w w:val="95"/>
        </w:rPr>
        <w:t>2.</w:t>
        <w:tab/>
      </w:r>
      <w:r>
        <w:rPr/>
        <w:t>收入和成本分析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241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66" w:lineRule="auto" w:before="42"/>
        <w:ind w:left="218" w:right="124" w:firstLine="419"/>
        <w:jc w:val="left"/>
      </w:pPr>
      <w:r>
        <w:rPr/>
        <w:t>本报告期，实现主营业务收入</w:t>
      </w:r>
      <w:r>
        <w:rPr>
          <w:spacing w:val="-53"/>
        </w:rPr>
        <w:t> </w:t>
      </w:r>
      <w:r>
        <w:rPr>
          <w:rFonts w:ascii="Arial" w:hAnsi="Arial" w:cs="Arial" w:eastAsia="Arial" w:hint="default"/>
        </w:rPr>
        <w:t>26.86</w:t>
      </w:r>
      <w:r>
        <w:rPr>
          <w:rFonts w:ascii="Arial" w:hAnsi="Arial" w:cs="Arial" w:eastAsia="Arial" w:hint="default"/>
          <w:spacing w:val="-9"/>
        </w:rPr>
        <w:t> </w:t>
      </w:r>
      <w:r>
        <w:rPr/>
        <w:t>亿元，同比下降</w:t>
      </w:r>
      <w:r>
        <w:rPr>
          <w:spacing w:val="-54"/>
        </w:rPr>
        <w:t> </w:t>
      </w:r>
      <w:r>
        <w:rPr>
          <w:rFonts w:ascii="Arial" w:hAnsi="Arial" w:cs="Arial" w:eastAsia="Arial" w:hint="default"/>
        </w:rPr>
        <w:t>9.12%</w:t>
      </w:r>
      <w:r>
        <w:rPr/>
        <w:t>，发生主营业务成本</w:t>
      </w:r>
      <w:r>
        <w:rPr>
          <w:spacing w:val="-53"/>
        </w:rPr>
        <w:t> </w:t>
      </w:r>
      <w:r>
        <w:rPr>
          <w:rFonts w:ascii="Arial" w:hAnsi="Arial" w:cs="Arial" w:eastAsia="Arial" w:hint="default"/>
        </w:rPr>
        <w:t>0.07</w:t>
      </w:r>
      <w:r>
        <w:rPr>
          <w:rFonts w:ascii="Arial" w:hAnsi="Arial" w:cs="Arial" w:eastAsia="Arial" w:hint="default"/>
          <w:spacing w:val="-7"/>
        </w:rPr>
        <w:t> </w:t>
      </w:r>
      <w:r>
        <w:rPr/>
        <w:t>亿元，</w:t>
      </w:r>
      <w:r>
        <w:rPr>
          <w:w w:val="100"/>
        </w:rPr>
        <w:t> </w:t>
      </w:r>
      <w:r>
        <w:rPr>
          <w:spacing w:val="-1"/>
        </w:rPr>
        <w:t>同比下降</w:t>
      </w:r>
      <w:r>
        <w:rPr>
          <w:spacing w:val="5"/>
        </w:rPr>
        <w:t> </w:t>
      </w:r>
      <w:r>
        <w:rPr>
          <w:rFonts w:ascii="Arial" w:hAnsi="Arial" w:cs="Arial" w:eastAsia="Arial" w:hint="default"/>
          <w:spacing w:val="-2"/>
        </w:rPr>
        <w:t>96.04%</w:t>
      </w:r>
      <w:r>
        <w:rPr>
          <w:spacing w:val="-2"/>
        </w:rPr>
        <w:t>，主要原因为鑫都公司销售丽雅居项目商品房减少形成。</w:t>
      </w:r>
    </w:p>
    <w:p>
      <w:pPr>
        <w:spacing w:after="0" w:line="266" w:lineRule="auto"/>
        <w:jc w:val="left"/>
        <w:sectPr>
          <w:footerReference w:type="default" r:id="rId11"/>
          <w:pgSz w:w="11910" w:h="16840"/>
          <w:pgMar w:footer="1195" w:header="825" w:top="1360" w:bottom="1380" w:left="1580" w:right="1040"/>
          <w:pgNumType w:start="11"/>
        </w:sectPr>
      </w:pPr>
    </w:p>
    <w:p>
      <w:pPr>
        <w:spacing w:line="240" w:lineRule="auto" w:before="12"/>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825" w:footer="1195" w:top="1360" w:bottom="1380" w:left="1640" w:right="1060"/>
        </w:sectPr>
      </w:pPr>
    </w:p>
    <w:p>
      <w:pPr>
        <w:pStyle w:val="BodyText"/>
        <w:tabs>
          <w:tab w:pos="1009" w:val="left" w:leader="none"/>
        </w:tabs>
        <w:spacing w:line="240" w:lineRule="auto" w:before="36"/>
        <w:ind w:left="158" w:right="0"/>
        <w:jc w:val="left"/>
        <w:rPr>
          <w:rFonts w:ascii="宋体" w:hAnsi="宋体" w:cs="宋体" w:eastAsia="宋体" w:hint="default"/>
        </w:rPr>
      </w:pPr>
      <w:r>
        <w:rPr>
          <w:rFonts w:ascii="宋体"/>
          <w:w w:val="100"/>
        </w:rPr>
        <w:t> </w:t>
      </w:r>
      <w:r>
        <w:rPr>
          <w:rFonts w:ascii="宋体"/>
        </w:rPr>
        <w:tab/>
      </w:r>
      <w:r>
        <w:rPr>
          <w:rFonts w:ascii="宋体"/>
          <w:w w:val="100"/>
        </w:rPr>
        <w:t> </w:t>
      </w:r>
    </w:p>
    <w:p>
      <w:pPr>
        <w:pStyle w:val="Heading2"/>
        <w:spacing w:line="240" w:lineRule="auto" w:before="61"/>
        <w:ind w:left="158" w:right="0"/>
        <w:jc w:val="left"/>
        <w:rPr>
          <w:b w:val="0"/>
          <w:bCs w:val="0"/>
        </w:rPr>
      </w:pPr>
      <w:r>
        <w:rPr>
          <w:rFonts w:ascii="宋体" w:hAnsi="宋体" w:cs="宋体" w:eastAsia="宋体" w:hint="default"/>
        </w:rPr>
        <w:t>(1).</w:t>
      </w:r>
      <w:r>
        <w:rPr>
          <w:rFonts w:ascii="宋体" w:hAnsi="宋体" w:cs="宋体" w:eastAsia="宋体" w:hint="default"/>
          <w:spacing w:val="38"/>
        </w:rPr>
        <w:t> </w:t>
      </w:r>
      <w:r>
        <w:rPr/>
        <w:t>主营业务分行业、分产品、分地区情况</w:t>
      </w:r>
      <w:r>
        <w:rPr>
          <w:b w:val="0"/>
          <w:bCs w:val="0"/>
        </w:rPr>
      </w:r>
    </w:p>
    <w:p>
      <w:pPr>
        <w:spacing w:line="240" w:lineRule="auto" w:before="0"/>
        <w:rPr>
          <w:rFonts w:ascii="宋体" w:hAnsi="宋体" w:cs="宋体" w:eastAsia="宋体" w:hint="default"/>
          <w:b/>
          <w:bCs/>
          <w:sz w:val="20"/>
          <w:szCs w:val="20"/>
        </w:rPr>
      </w:pPr>
    </w:p>
    <w:p>
      <w:pPr>
        <w:spacing w:before="173"/>
        <w:ind w:left="0" w:right="0" w:firstLine="0"/>
        <w:jc w:val="right"/>
        <w:rPr>
          <w:rFonts w:ascii="宋体" w:hAnsi="宋体" w:cs="宋体" w:eastAsia="宋体" w:hint="default"/>
          <w:sz w:val="20"/>
          <w:szCs w:val="20"/>
        </w:rPr>
      </w:pPr>
      <w:r>
        <w:rPr/>
        <w:pict>
          <v:group style="position:absolute;margin-left:87.984001pt;margin-top:5.089702pt;width:445.55pt;height:2.9pt;mso-position-horizontal-relative:page;mso-position-vertical-relative:paragraph;z-index:1312" coordorigin="1760,102" coordsize="8911,58">
            <v:group style="position:absolute;left:1769;top:111;width:8891;height:2" coordorigin="1769,111" coordsize="8891,2">
              <v:shape style="position:absolute;left:1769;top:111;width:8891;height:2" coordorigin="1769,111" coordsize="8891,0" path="m1769,111l10660,111e" filled="false" stroked="true" strokeweight=".96pt" strokecolor="#41b7ee">
                <v:path arrowok="t"/>
              </v:shape>
            </v:group>
            <v:group style="position:absolute;left:1769;top:150;width:8891;height:2" coordorigin="1769,150" coordsize="8891,2">
              <v:shape style="position:absolute;left:1769;top:150;width:8891;height:2" coordorigin="1769,150" coordsize="8891,0" path="m1769,150l10660,150e" filled="false" stroked="true" strokeweight=".95999pt" strokecolor="#41b7ee">
                <v:path arrowok="t"/>
              </v:shape>
            </v:group>
            <w10:wrap type="none"/>
          </v:group>
        </w:pict>
      </w:r>
      <w:r>
        <w:rPr>
          <w:rFonts w:ascii="宋体" w:hAnsi="宋体" w:cs="宋体" w:eastAsia="宋体" w:hint="default"/>
          <w:w w:val="95"/>
          <w:sz w:val="20"/>
          <w:szCs w:val="20"/>
        </w:rPr>
        <w:t>主营业务分行业情况</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80"/>
        <w:ind w:left="15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640" w:right="1060"/>
          <w:cols w:num="2" w:equalWidth="0">
            <w:col w:w="5472" w:space="1261"/>
            <w:col w:w="2477"/>
          </w:cols>
        </w:sectPr>
      </w:pPr>
    </w:p>
    <w:p>
      <w:pPr>
        <w:spacing w:line="240" w:lineRule="auto" w:before="7"/>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1284"/>
        <w:gridCol w:w="1625"/>
        <w:gridCol w:w="1231"/>
        <w:gridCol w:w="713"/>
        <w:gridCol w:w="1140"/>
        <w:gridCol w:w="1429"/>
        <w:gridCol w:w="1469"/>
      </w:tblGrid>
      <w:tr>
        <w:trPr>
          <w:trHeight w:val="790" w:hRule="exact"/>
        </w:trPr>
        <w:tc>
          <w:tcPr>
            <w:tcW w:w="128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40" w:right="0"/>
              <w:jc w:val="left"/>
              <w:rPr>
                <w:rFonts w:ascii="宋体" w:hAnsi="宋体" w:cs="宋体" w:eastAsia="宋体" w:hint="default"/>
                <w:sz w:val="20"/>
                <w:szCs w:val="20"/>
              </w:rPr>
            </w:pPr>
            <w:r>
              <w:rPr>
                <w:rFonts w:ascii="宋体" w:hAnsi="宋体" w:cs="宋体" w:eastAsia="宋体" w:hint="default"/>
                <w:sz w:val="20"/>
                <w:szCs w:val="20"/>
              </w:rPr>
              <w:t>分行业</w:t>
            </w:r>
          </w:p>
        </w:tc>
        <w:tc>
          <w:tcPr>
            <w:tcW w:w="162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05"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23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20"/>
                <w:szCs w:val="20"/>
              </w:rPr>
            </w:pPr>
            <w:r>
              <w:rPr>
                <w:rFonts w:ascii="宋体" w:hAnsi="宋体" w:cs="宋体" w:eastAsia="宋体" w:hint="default"/>
                <w:sz w:val="20"/>
                <w:szCs w:val="20"/>
              </w:rPr>
              <w:t>营业成本</w:t>
            </w: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97"/>
              <w:ind w:left="50" w:right="0"/>
              <w:jc w:val="left"/>
              <w:rPr>
                <w:rFonts w:ascii="宋体" w:hAnsi="宋体" w:cs="宋体" w:eastAsia="宋体" w:hint="default"/>
                <w:sz w:val="20"/>
                <w:szCs w:val="20"/>
              </w:rPr>
            </w:pPr>
            <w:r>
              <w:rPr>
                <w:rFonts w:ascii="宋体" w:hAnsi="宋体" w:cs="宋体" w:eastAsia="宋体" w:hint="default"/>
                <w:sz w:val="20"/>
                <w:szCs w:val="20"/>
              </w:rPr>
              <w:t>毛利率</w:t>
            </w:r>
          </w:p>
          <w:p>
            <w:pPr>
              <w:pStyle w:val="TableParagraph"/>
              <w:spacing w:line="240" w:lineRule="auto"/>
              <w:ind w:left="60" w:right="0"/>
              <w:jc w:val="lef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w:t>
            </w:r>
          </w:p>
        </w:tc>
        <w:tc>
          <w:tcPr>
            <w:tcW w:w="1140" w:type="dxa"/>
            <w:tcBorders>
              <w:top w:val="single" w:sz="4" w:space="0" w:color="41B7EE"/>
              <w:left w:val="single" w:sz="4" w:space="0" w:color="41B7EE"/>
              <w:bottom w:val="single" w:sz="4" w:space="0" w:color="41B7EE"/>
              <w:right w:val="single" w:sz="4" w:space="0" w:color="41B7EE"/>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sz w:val="20"/>
                <w:szCs w:val="20"/>
              </w:rPr>
              <w:t>营业收入比</w:t>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sz w:val="20"/>
                <w:szCs w:val="20"/>
              </w:rPr>
              <w:t>上年增减</w:t>
            </w:r>
          </w:p>
          <w:p>
            <w:pPr>
              <w:pStyle w:val="TableParagraph"/>
              <w:spacing w:line="275" w:lineRule="exact"/>
              <w:ind w:right="5"/>
              <w:jc w:val="center"/>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w:t>
            </w:r>
          </w:p>
        </w:tc>
        <w:tc>
          <w:tcPr>
            <w:tcW w:w="142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97"/>
              <w:ind w:left="120" w:right="111" w:hanging="12"/>
              <w:jc w:val="left"/>
              <w:rPr>
                <w:rFonts w:ascii="宋体" w:hAnsi="宋体" w:cs="宋体" w:eastAsia="宋体" w:hint="default"/>
                <w:sz w:val="20"/>
                <w:szCs w:val="20"/>
              </w:rPr>
            </w:pPr>
            <w:r>
              <w:rPr>
                <w:rFonts w:ascii="宋体" w:hAnsi="宋体" w:cs="宋体" w:eastAsia="宋体" w:hint="default"/>
                <w:sz w:val="20"/>
                <w:szCs w:val="20"/>
              </w:rPr>
              <w:t>营业成本比上</w:t>
            </w:r>
            <w:r>
              <w:rPr>
                <w:rFonts w:ascii="宋体" w:hAnsi="宋体" w:cs="宋体" w:eastAsia="宋体" w:hint="default"/>
                <w:w w:val="99"/>
                <w:sz w:val="20"/>
                <w:szCs w:val="20"/>
              </w:rPr>
              <w:t> </w:t>
            </w:r>
            <w:r>
              <w:rPr>
                <w:rFonts w:ascii="宋体" w:hAnsi="宋体" w:cs="宋体" w:eastAsia="宋体" w:hint="default"/>
                <w:sz w:val="20"/>
                <w:szCs w:val="20"/>
              </w:rPr>
              <w:t>年增减（</w:t>
            </w:r>
            <w:r>
              <w:rPr>
                <w:rFonts w:ascii="Arial" w:hAnsi="Arial" w:cs="Arial" w:eastAsia="Arial" w:hint="default"/>
                <w:sz w:val="20"/>
                <w:szCs w:val="20"/>
              </w:rPr>
              <w:t>%</w:t>
            </w:r>
            <w:r>
              <w:rPr>
                <w:rFonts w:ascii="宋体" w:hAnsi="宋体" w:cs="宋体" w:eastAsia="宋体" w:hint="default"/>
                <w:sz w:val="20"/>
                <w:szCs w:val="20"/>
              </w:rPr>
              <w:t>）</w:t>
            </w:r>
          </w:p>
        </w:tc>
        <w:tc>
          <w:tcPr>
            <w:tcW w:w="146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97"/>
              <w:ind w:left="338" w:right="36" w:hanging="310"/>
              <w:jc w:val="left"/>
              <w:rPr>
                <w:rFonts w:ascii="宋体" w:hAnsi="宋体" w:cs="宋体" w:eastAsia="宋体" w:hint="default"/>
                <w:sz w:val="20"/>
                <w:szCs w:val="20"/>
              </w:rPr>
            </w:pPr>
            <w:r>
              <w:rPr>
                <w:rFonts w:ascii="宋体" w:hAnsi="宋体" w:cs="宋体" w:eastAsia="宋体" w:hint="default"/>
                <w:sz w:val="20"/>
                <w:szCs w:val="20"/>
              </w:rPr>
              <w:t>毛利率比上年增</w:t>
            </w:r>
            <w:r>
              <w:rPr>
                <w:rFonts w:ascii="宋体" w:hAnsi="宋体" w:cs="宋体" w:eastAsia="宋体" w:hint="default"/>
                <w:w w:val="99"/>
                <w:sz w:val="20"/>
                <w:szCs w:val="20"/>
              </w:rPr>
              <w:t> </w:t>
            </w:r>
            <w:r>
              <w:rPr>
                <w:rFonts w:ascii="宋体" w:hAnsi="宋体" w:cs="宋体" w:eastAsia="宋体" w:hint="default"/>
                <w:sz w:val="20"/>
                <w:szCs w:val="20"/>
              </w:rPr>
              <w:t>减（</w:t>
            </w:r>
            <w:r>
              <w:rPr>
                <w:rFonts w:ascii="Arial" w:hAnsi="Arial" w:cs="Arial" w:eastAsia="Arial" w:hint="default"/>
                <w:sz w:val="20"/>
                <w:szCs w:val="20"/>
              </w:rPr>
              <w:t>%</w:t>
            </w:r>
            <w:r>
              <w:rPr>
                <w:rFonts w:ascii="宋体" w:hAnsi="宋体" w:cs="宋体" w:eastAsia="宋体" w:hint="default"/>
                <w:sz w:val="20"/>
                <w:szCs w:val="20"/>
              </w:rPr>
              <w:t>）</w:t>
            </w:r>
          </w:p>
        </w:tc>
      </w:tr>
      <w:tr>
        <w:trPr>
          <w:trHeight w:val="355" w:hRule="exact"/>
        </w:trPr>
        <w:tc>
          <w:tcPr>
            <w:tcW w:w="128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农业行业</w:t>
            </w:r>
          </w:p>
        </w:tc>
        <w:tc>
          <w:tcPr>
            <w:tcW w:w="162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5"/>
              <w:jc w:val="right"/>
              <w:rPr>
                <w:rFonts w:ascii="Arial" w:hAnsi="Arial" w:cs="Arial" w:eastAsia="Arial" w:hint="default"/>
                <w:sz w:val="20"/>
                <w:szCs w:val="20"/>
              </w:rPr>
            </w:pPr>
            <w:r>
              <w:rPr>
                <w:rFonts w:ascii="Arial"/>
                <w:w w:val="95"/>
                <w:sz w:val="20"/>
              </w:rPr>
              <w:t>2,675,129,872.46</w:t>
            </w:r>
            <w:r>
              <w:rPr>
                <w:rFonts w:ascii="Arial"/>
                <w:sz w:val="20"/>
              </w:rPr>
            </w:r>
          </w:p>
        </w:tc>
        <w:tc>
          <w:tcPr>
            <w:tcW w:w="1231" w:type="dxa"/>
            <w:tcBorders>
              <w:top w:val="single" w:sz="4" w:space="0" w:color="41B7EE"/>
              <w:left w:val="single" w:sz="4" w:space="0" w:color="41B7EE"/>
              <w:bottom w:val="single" w:sz="4" w:space="0" w:color="41B7EE"/>
              <w:right w:val="single" w:sz="4" w:space="0" w:color="41B7EE"/>
            </w:tcBorders>
          </w:tcPr>
          <w:p>
            <w:pP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left="40" w:right="0"/>
              <w:jc w:val="center"/>
              <w:rPr>
                <w:rFonts w:ascii="Arial" w:hAnsi="Arial" w:cs="Arial" w:eastAsia="Arial" w:hint="default"/>
                <w:sz w:val="20"/>
                <w:szCs w:val="20"/>
              </w:rPr>
            </w:pPr>
            <w:r>
              <w:rPr>
                <w:rFonts w:ascii="Arial"/>
                <w:sz w:val="20"/>
              </w:rPr>
              <w:t>100.00</w:t>
            </w:r>
          </w:p>
        </w:tc>
        <w:tc>
          <w:tcPr>
            <w:tcW w:w="114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spacing w:val="-1"/>
                <w:w w:val="95"/>
                <w:sz w:val="20"/>
              </w:rPr>
              <w:t>-0.82</w:t>
            </w:r>
            <w:r>
              <w:rPr>
                <w:rFonts w:ascii="Arial"/>
                <w:sz w:val="20"/>
              </w:rPr>
            </w:r>
          </w:p>
        </w:tc>
        <w:tc>
          <w:tcPr>
            <w:tcW w:w="142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-100.00</w:t>
            </w:r>
            <w:r>
              <w:rPr>
                <w:rFonts w:ascii="Arial"/>
                <w:sz w:val="20"/>
              </w:rPr>
            </w:r>
          </w:p>
        </w:tc>
        <w:tc>
          <w:tcPr>
            <w:tcW w:w="146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5"/>
              <w:ind w:right="5"/>
              <w:jc w:val="right"/>
              <w:rPr>
                <w:rFonts w:ascii="宋体" w:hAnsi="宋体" w:cs="宋体" w:eastAsia="宋体" w:hint="default"/>
                <w:sz w:val="18"/>
                <w:szCs w:val="18"/>
              </w:rPr>
            </w:pPr>
            <w:r>
              <w:rPr>
                <w:rFonts w:ascii="宋体" w:hAnsi="宋体" w:cs="宋体" w:eastAsia="宋体" w:hint="default"/>
                <w:spacing w:val="-10"/>
                <w:sz w:val="18"/>
                <w:szCs w:val="18"/>
              </w:rPr>
              <w:t>增加</w:t>
            </w:r>
            <w:r>
              <w:rPr>
                <w:rFonts w:ascii="宋体" w:hAnsi="宋体" w:cs="宋体" w:eastAsia="宋体" w:hint="default"/>
                <w:spacing w:val="-68"/>
                <w:sz w:val="18"/>
                <w:szCs w:val="18"/>
              </w:rPr>
              <w:t> </w:t>
            </w:r>
            <w:r>
              <w:rPr>
                <w:rFonts w:ascii="Arial" w:hAnsi="Arial" w:cs="Arial" w:eastAsia="Arial" w:hint="default"/>
                <w:spacing w:val="-9"/>
                <w:sz w:val="18"/>
                <w:szCs w:val="18"/>
              </w:rPr>
              <w:t>0.72</w:t>
            </w:r>
            <w:r>
              <w:rPr>
                <w:rFonts w:ascii="Arial" w:hAnsi="Arial" w:cs="Arial" w:eastAsia="Arial" w:hint="default"/>
                <w:spacing w:val="-17"/>
                <w:sz w:val="18"/>
                <w:szCs w:val="18"/>
              </w:rPr>
              <w:t> </w:t>
            </w:r>
            <w:r>
              <w:rPr>
                <w:rFonts w:ascii="宋体" w:hAnsi="宋体" w:cs="宋体" w:eastAsia="宋体" w:hint="default"/>
                <w:spacing w:val="-16"/>
                <w:sz w:val="18"/>
                <w:szCs w:val="18"/>
              </w:rPr>
              <w:t>个百分点</w:t>
            </w:r>
          </w:p>
        </w:tc>
      </w:tr>
      <w:tr>
        <w:trPr>
          <w:trHeight w:val="358" w:hRule="exact"/>
        </w:trPr>
        <w:tc>
          <w:tcPr>
            <w:tcW w:w="128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房地产行业</w:t>
            </w:r>
          </w:p>
        </w:tc>
        <w:tc>
          <w:tcPr>
            <w:tcW w:w="162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5"/>
              <w:jc w:val="right"/>
              <w:rPr>
                <w:rFonts w:ascii="Arial" w:hAnsi="Arial" w:cs="Arial" w:eastAsia="Arial" w:hint="default"/>
                <w:sz w:val="20"/>
                <w:szCs w:val="20"/>
              </w:rPr>
            </w:pPr>
            <w:r>
              <w:rPr>
                <w:rFonts w:ascii="Arial"/>
                <w:w w:val="95"/>
                <w:sz w:val="20"/>
              </w:rPr>
              <w:t>10,827,049.91</w:t>
            </w:r>
            <w:r>
              <w:rPr>
                <w:rFonts w:ascii="Arial"/>
                <w:sz w:val="20"/>
              </w:rPr>
            </w:r>
          </w:p>
        </w:tc>
        <w:tc>
          <w:tcPr>
            <w:tcW w:w="123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left="2" w:right="0"/>
              <w:jc w:val="center"/>
              <w:rPr>
                <w:rFonts w:ascii="Arial" w:hAnsi="Arial" w:cs="Arial" w:eastAsia="Arial" w:hint="default"/>
                <w:sz w:val="20"/>
                <w:szCs w:val="20"/>
              </w:rPr>
            </w:pPr>
            <w:r>
              <w:rPr>
                <w:rFonts w:ascii="Arial"/>
                <w:sz w:val="20"/>
              </w:rPr>
              <w:t>7,478,014.51</w:t>
            </w: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left="150" w:right="0"/>
              <w:jc w:val="center"/>
              <w:rPr>
                <w:rFonts w:ascii="Arial" w:hAnsi="Arial" w:cs="Arial" w:eastAsia="Arial" w:hint="default"/>
                <w:sz w:val="20"/>
                <w:szCs w:val="20"/>
              </w:rPr>
            </w:pPr>
            <w:r>
              <w:rPr>
                <w:rFonts w:ascii="Arial"/>
                <w:sz w:val="20"/>
              </w:rPr>
              <w:t>30.93</w:t>
            </w:r>
          </w:p>
        </w:tc>
        <w:tc>
          <w:tcPr>
            <w:tcW w:w="114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spacing w:val="-1"/>
                <w:w w:val="95"/>
                <w:sz w:val="20"/>
              </w:rPr>
              <w:t>-95.36</w:t>
            </w:r>
            <w:r>
              <w:rPr>
                <w:rFonts w:ascii="Arial"/>
                <w:sz w:val="20"/>
              </w:rPr>
            </w:r>
          </w:p>
        </w:tc>
        <w:tc>
          <w:tcPr>
            <w:tcW w:w="142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5"/>
              <w:jc w:val="right"/>
              <w:rPr>
                <w:rFonts w:ascii="Arial" w:hAnsi="Arial" w:cs="Arial" w:eastAsia="Arial" w:hint="default"/>
                <w:sz w:val="20"/>
                <w:szCs w:val="20"/>
              </w:rPr>
            </w:pPr>
            <w:r>
              <w:rPr>
                <w:rFonts w:ascii="Arial"/>
                <w:spacing w:val="-1"/>
                <w:w w:val="95"/>
                <w:sz w:val="20"/>
              </w:rPr>
              <w:t>-95.03</w:t>
            </w:r>
            <w:r>
              <w:rPr>
                <w:rFonts w:ascii="Arial"/>
                <w:sz w:val="20"/>
              </w:rPr>
            </w:r>
          </w:p>
        </w:tc>
        <w:tc>
          <w:tcPr>
            <w:tcW w:w="146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7"/>
              <w:ind w:right="5"/>
              <w:jc w:val="right"/>
              <w:rPr>
                <w:rFonts w:ascii="宋体" w:hAnsi="宋体" w:cs="宋体" w:eastAsia="宋体" w:hint="default"/>
                <w:sz w:val="18"/>
                <w:szCs w:val="18"/>
              </w:rPr>
            </w:pPr>
            <w:r>
              <w:rPr>
                <w:rFonts w:ascii="宋体" w:hAnsi="宋体" w:cs="宋体" w:eastAsia="宋体" w:hint="default"/>
                <w:spacing w:val="-10"/>
                <w:sz w:val="18"/>
                <w:szCs w:val="18"/>
              </w:rPr>
              <w:t>减少</w:t>
            </w:r>
            <w:r>
              <w:rPr>
                <w:rFonts w:ascii="宋体" w:hAnsi="宋体" w:cs="宋体" w:eastAsia="宋体" w:hint="default"/>
                <w:spacing w:val="-68"/>
                <w:sz w:val="18"/>
                <w:szCs w:val="18"/>
              </w:rPr>
              <w:t> </w:t>
            </w:r>
            <w:r>
              <w:rPr>
                <w:rFonts w:ascii="Arial" w:hAnsi="Arial" w:cs="Arial" w:eastAsia="Arial" w:hint="default"/>
                <w:spacing w:val="-9"/>
                <w:sz w:val="18"/>
                <w:szCs w:val="18"/>
              </w:rPr>
              <w:t>4.56</w:t>
            </w:r>
            <w:r>
              <w:rPr>
                <w:rFonts w:ascii="Arial" w:hAnsi="Arial" w:cs="Arial" w:eastAsia="Arial" w:hint="default"/>
                <w:spacing w:val="-17"/>
                <w:sz w:val="18"/>
                <w:szCs w:val="18"/>
              </w:rPr>
              <w:t> </w:t>
            </w:r>
            <w:r>
              <w:rPr>
                <w:rFonts w:ascii="宋体" w:hAnsi="宋体" w:cs="宋体" w:eastAsia="宋体" w:hint="default"/>
                <w:spacing w:val="-16"/>
                <w:sz w:val="18"/>
                <w:szCs w:val="18"/>
              </w:rPr>
              <w:t>个百分点</w:t>
            </w:r>
          </w:p>
        </w:tc>
      </w:tr>
      <w:tr>
        <w:trPr>
          <w:trHeight w:val="358" w:hRule="exact"/>
        </w:trPr>
        <w:tc>
          <w:tcPr>
            <w:tcW w:w="128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62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5"/>
              <w:jc w:val="right"/>
              <w:rPr>
                <w:rFonts w:ascii="Arial" w:hAnsi="Arial" w:cs="Arial" w:eastAsia="Arial" w:hint="default"/>
                <w:sz w:val="20"/>
                <w:szCs w:val="20"/>
              </w:rPr>
            </w:pPr>
            <w:r>
              <w:rPr>
                <w:rFonts w:ascii="Arial"/>
                <w:w w:val="95"/>
                <w:sz w:val="20"/>
              </w:rPr>
              <w:t>2,685,956,922.37</w:t>
            </w:r>
            <w:r>
              <w:rPr>
                <w:rFonts w:ascii="Arial"/>
                <w:sz w:val="20"/>
              </w:rPr>
            </w:r>
          </w:p>
        </w:tc>
        <w:tc>
          <w:tcPr>
            <w:tcW w:w="123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left="2" w:right="0"/>
              <w:jc w:val="center"/>
              <w:rPr>
                <w:rFonts w:ascii="Arial" w:hAnsi="Arial" w:cs="Arial" w:eastAsia="Arial" w:hint="default"/>
                <w:sz w:val="20"/>
                <w:szCs w:val="20"/>
              </w:rPr>
            </w:pPr>
            <w:r>
              <w:rPr>
                <w:rFonts w:ascii="Arial"/>
                <w:sz w:val="20"/>
              </w:rPr>
              <w:t>7,478,014.51</w:t>
            </w: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left="150" w:right="0"/>
              <w:jc w:val="center"/>
              <w:rPr>
                <w:rFonts w:ascii="Arial" w:hAnsi="Arial" w:cs="Arial" w:eastAsia="Arial" w:hint="default"/>
                <w:sz w:val="20"/>
                <w:szCs w:val="20"/>
              </w:rPr>
            </w:pPr>
            <w:r>
              <w:rPr>
                <w:rFonts w:ascii="Arial"/>
                <w:sz w:val="20"/>
              </w:rPr>
              <w:t>99.72</w:t>
            </w:r>
          </w:p>
        </w:tc>
        <w:tc>
          <w:tcPr>
            <w:tcW w:w="114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spacing w:val="-1"/>
                <w:w w:val="95"/>
                <w:sz w:val="20"/>
              </w:rPr>
              <w:t>-9.12</w:t>
            </w:r>
            <w:r>
              <w:rPr>
                <w:rFonts w:ascii="Arial"/>
                <w:sz w:val="20"/>
              </w:rPr>
            </w:r>
          </w:p>
        </w:tc>
        <w:tc>
          <w:tcPr>
            <w:tcW w:w="142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5"/>
              <w:jc w:val="right"/>
              <w:rPr>
                <w:rFonts w:ascii="Arial" w:hAnsi="Arial" w:cs="Arial" w:eastAsia="Arial" w:hint="default"/>
                <w:sz w:val="20"/>
                <w:szCs w:val="20"/>
              </w:rPr>
            </w:pPr>
            <w:r>
              <w:rPr>
                <w:rFonts w:ascii="Arial"/>
                <w:spacing w:val="-1"/>
                <w:w w:val="95"/>
                <w:sz w:val="20"/>
              </w:rPr>
              <w:t>-96.04</w:t>
            </w:r>
            <w:r>
              <w:rPr>
                <w:rFonts w:ascii="Arial"/>
                <w:sz w:val="20"/>
              </w:rPr>
            </w:r>
          </w:p>
        </w:tc>
        <w:tc>
          <w:tcPr>
            <w:tcW w:w="146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7"/>
              <w:ind w:right="5"/>
              <w:jc w:val="right"/>
              <w:rPr>
                <w:rFonts w:ascii="宋体" w:hAnsi="宋体" w:cs="宋体" w:eastAsia="宋体" w:hint="default"/>
                <w:sz w:val="18"/>
                <w:szCs w:val="18"/>
              </w:rPr>
            </w:pPr>
            <w:r>
              <w:rPr>
                <w:rFonts w:ascii="宋体" w:hAnsi="宋体" w:cs="宋体" w:eastAsia="宋体" w:hint="default"/>
                <w:spacing w:val="-10"/>
                <w:sz w:val="18"/>
                <w:szCs w:val="18"/>
              </w:rPr>
              <w:t>增加</w:t>
            </w:r>
            <w:r>
              <w:rPr>
                <w:rFonts w:ascii="宋体" w:hAnsi="宋体" w:cs="宋体" w:eastAsia="宋体" w:hint="default"/>
                <w:spacing w:val="-68"/>
                <w:sz w:val="18"/>
                <w:szCs w:val="18"/>
              </w:rPr>
              <w:t> </w:t>
            </w:r>
            <w:r>
              <w:rPr>
                <w:rFonts w:ascii="Arial" w:hAnsi="Arial" w:cs="Arial" w:eastAsia="Arial" w:hint="default"/>
                <w:spacing w:val="-9"/>
                <w:sz w:val="18"/>
                <w:szCs w:val="18"/>
              </w:rPr>
              <w:t>6.11</w:t>
            </w:r>
            <w:r>
              <w:rPr>
                <w:rFonts w:ascii="Arial" w:hAnsi="Arial" w:cs="Arial" w:eastAsia="Arial" w:hint="default"/>
                <w:spacing w:val="-17"/>
                <w:sz w:val="18"/>
                <w:szCs w:val="18"/>
              </w:rPr>
              <w:t> </w:t>
            </w:r>
            <w:r>
              <w:rPr>
                <w:rFonts w:ascii="宋体" w:hAnsi="宋体" w:cs="宋体" w:eastAsia="宋体" w:hint="default"/>
                <w:spacing w:val="-16"/>
                <w:sz w:val="18"/>
                <w:szCs w:val="18"/>
              </w:rPr>
              <w:t>个百分点</w:t>
            </w:r>
          </w:p>
        </w:tc>
      </w:tr>
    </w:tbl>
    <w:p>
      <w:pPr>
        <w:spacing w:before="11"/>
        <w:ind w:left="3654" w:right="3712" w:firstLine="0"/>
        <w:jc w:val="center"/>
        <w:rPr>
          <w:rFonts w:ascii="宋体" w:hAnsi="宋体" w:cs="宋体" w:eastAsia="宋体" w:hint="default"/>
          <w:sz w:val="20"/>
          <w:szCs w:val="20"/>
        </w:rPr>
      </w:pPr>
      <w:r>
        <w:rPr>
          <w:rFonts w:ascii="宋体" w:hAnsi="宋体" w:cs="宋体" w:eastAsia="宋体" w:hint="default"/>
          <w:sz w:val="20"/>
          <w:szCs w:val="20"/>
        </w:rPr>
        <w:t>主营业务分产品情况</w:t>
      </w:r>
    </w:p>
    <w:p>
      <w:pPr>
        <w:spacing w:line="240" w:lineRule="auto" w:before="10"/>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1284"/>
        <w:gridCol w:w="1625"/>
        <w:gridCol w:w="1231"/>
        <w:gridCol w:w="713"/>
        <w:gridCol w:w="1140"/>
        <w:gridCol w:w="1429"/>
        <w:gridCol w:w="1469"/>
      </w:tblGrid>
      <w:tr>
        <w:trPr>
          <w:trHeight w:val="788" w:hRule="exact"/>
        </w:trPr>
        <w:tc>
          <w:tcPr>
            <w:tcW w:w="128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40" w:right="0"/>
              <w:jc w:val="left"/>
              <w:rPr>
                <w:rFonts w:ascii="宋体" w:hAnsi="宋体" w:cs="宋体" w:eastAsia="宋体" w:hint="default"/>
                <w:sz w:val="20"/>
                <w:szCs w:val="20"/>
              </w:rPr>
            </w:pPr>
            <w:r>
              <w:rPr>
                <w:rFonts w:ascii="宋体" w:hAnsi="宋体" w:cs="宋体" w:eastAsia="宋体" w:hint="default"/>
                <w:sz w:val="20"/>
                <w:szCs w:val="20"/>
              </w:rPr>
              <w:t>分产品</w:t>
            </w:r>
          </w:p>
        </w:tc>
        <w:tc>
          <w:tcPr>
            <w:tcW w:w="162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05"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23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20"/>
                <w:szCs w:val="20"/>
              </w:rPr>
            </w:pPr>
            <w:r>
              <w:rPr>
                <w:rFonts w:ascii="宋体" w:hAnsi="宋体" w:cs="宋体" w:eastAsia="宋体" w:hint="default"/>
                <w:sz w:val="20"/>
                <w:szCs w:val="20"/>
              </w:rPr>
              <w:t>营业成本</w:t>
            </w: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60" w:lineRule="exact" w:before="98"/>
              <w:ind w:left="50" w:right="0"/>
              <w:jc w:val="left"/>
              <w:rPr>
                <w:rFonts w:ascii="宋体" w:hAnsi="宋体" w:cs="宋体" w:eastAsia="宋体" w:hint="default"/>
                <w:sz w:val="20"/>
                <w:szCs w:val="20"/>
              </w:rPr>
            </w:pPr>
            <w:r>
              <w:rPr>
                <w:rFonts w:ascii="宋体" w:hAnsi="宋体" w:cs="宋体" w:eastAsia="宋体" w:hint="default"/>
                <w:sz w:val="20"/>
                <w:szCs w:val="20"/>
              </w:rPr>
              <w:t>毛利率</w:t>
            </w:r>
          </w:p>
          <w:p>
            <w:pPr>
              <w:pStyle w:val="TableParagraph"/>
              <w:spacing w:line="275" w:lineRule="exact"/>
              <w:ind w:left="60" w:right="0"/>
              <w:jc w:val="lef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w:t>
            </w:r>
          </w:p>
        </w:tc>
        <w:tc>
          <w:tcPr>
            <w:tcW w:w="1140" w:type="dxa"/>
            <w:tcBorders>
              <w:top w:val="single" w:sz="4" w:space="0" w:color="41B7EE"/>
              <w:left w:val="single" w:sz="4" w:space="0" w:color="41B7EE"/>
              <w:bottom w:val="single" w:sz="4" w:space="0" w:color="41B7EE"/>
              <w:right w:val="single" w:sz="4" w:space="0" w:color="41B7EE"/>
            </w:tcBorders>
          </w:tcPr>
          <w:p>
            <w:pPr>
              <w:pStyle w:val="TableParagraph"/>
              <w:spacing w:line="229" w:lineRule="exact"/>
              <w:ind w:right="5"/>
              <w:jc w:val="center"/>
              <w:rPr>
                <w:rFonts w:ascii="宋体" w:hAnsi="宋体" w:cs="宋体" w:eastAsia="宋体" w:hint="default"/>
                <w:sz w:val="20"/>
                <w:szCs w:val="20"/>
              </w:rPr>
            </w:pPr>
            <w:r>
              <w:rPr>
                <w:rFonts w:ascii="宋体" w:hAnsi="宋体" w:cs="宋体" w:eastAsia="宋体" w:hint="default"/>
                <w:sz w:val="20"/>
                <w:szCs w:val="20"/>
              </w:rPr>
              <w:t>营业收入比</w:t>
            </w:r>
          </w:p>
          <w:p>
            <w:pPr>
              <w:pStyle w:val="TableParagraph"/>
              <w:spacing w:line="259" w:lineRule="exact"/>
              <w:ind w:right="5"/>
              <w:jc w:val="center"/>
              <w:rPr>
                <w:rFonts w:ascii="宋体" w:hAnsi="宋体" w:cs="宋体" w:eastAsia="宋体" w:hint="default"/>
                <w:sz w:val="20"/>
                <w:szCs w:val="20"/>
              </w:rPr>
            </w:pPr>
            <w:r>
              <w:rPr>
                <w:rFonts w:ascii="宋体" w:hAnsi="宋体" w:cs="宋体" w:eastAsia="宋体" w:hint="default"/>
                <w:sz w:val="20"/>
                <w:szCs w:val="20"/>
              </w:rPr>
              <w:t>上年增减</w:t>
            </w:r>
          </w:p>
          <w:p>
            <w:pPr>
              <w:pStyle w:val="TableParagraph"/>
              <w:spacing w:line="275" w:lineRule="exact"/>
              <w:ind w:right="5"/>
              <w:jc w:val="center"/>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w:t>
            </w:r>
          </w:p>
        </w:tc>
        <w:tc>
          <w:tcPr>
            <w:tcW w:w="1429" w:type="dxa"/>
            <w:tcBorders>
              <w:top w:val="single" w:sz="4" w:space="0" w:color="41B7EE"/>
              <w:left w:val="single" w:sz="4" w:space="0" w:color="41B7EE"/>
              <w:bottom w:val="single" w:sz="4" w:space="0" w:color="41B7EE"/>
              <w:right w:val="single" w:sz="4" w:space="0" w:color="41B7EE"/>
            </w:tcBorders>
          </w:tcPr>
          <w:p>
            <w:pPr>
              <w:pStyle w:val="TableParagraph"/>
              <w:spacing w:line="260" w:lineRule="exact" w:before="123"/>
              <w:ind w:left="120" w:right="111" w:hanging="12"/>
              <w:jc w:val="left"/>
              <w:rPr>
                <w:rFonts w:ascii="宋体" w:hAnsi="宋体" w:cs="宋体" w:eastAsia="宋体" w:hint="default"/>
                <w:sz w:val="20"/>
                <w:szCs w:val="20"/>
              </w:rPr>
            </w:pPr>
            <w:r>
              <w:rPr>
                <w:rFonts w:ascii="宋体" w:hAnsi="宋体" w:cs="宋体" w:eastAsia="宋体" w:hint="default"/>
                <w:sz w:val="20"/>
                <w:szCs w:val="20"/>
              </w:rPr>
              <w:t>营业成本比上</w:t>
            </w:r>
            <w:r>
              <w:rPr>
                <w:rFonts w:ascii="宋体" w:hAnsi="宋体" w:cs="宋体" w:eastAsia="宋体" w:hint="default"/>
                <w:w w:val="99"/>
                <w:sz w:val="20"/>
                <w:szCs w:val="20"/>
              </w:rPr>
              <w:t> </w:t>
            </w:r>
            <w:r>
              <w:rPr>
                <w:rFonts w:ascii="宋体" w:hAnsi="宋体" w:cs="宋体" w:eastAsia="宋体" w:hint="default"/>
                <w:sz w:val="20"/>
                <w:szCs w:val="20"/>
              </w:rPr>
              <w:t>年增减（</w:t>
            </w:r>
            <w:r>
              <w:rPr>
                <w:rFonts w:ascii="Arial" w:hAnsi="Arial" w:cs="Arial" w:eastAsia="Arial" w:hint="default"/>
                <w:sz w:val="20"/>
                <w:szCs w:val="20"/>
              </w:rPr>
              <w:t>%</w:t>
            </w:r>
            <w:r>
              <w:rPr>
                <w:rFonts w:ascii="宋体" w:hAnsi="宋体" w:cs="宋体" w:eastAsia="宋体" w:hint="default"/>
                <w:sz w:val="20"/>
                <w:szCs w:val="20"/>
              </w:rPr>
              <w:t>）</w:t>
            </w:r>
          </w:p>
        </w:tc>
        <w:tc>
          <w:tcPr>
            <w:tcW w:w="1469" w:type="dxa"/>
            <w:tcBorders>
              <w:top w:val="single" w:sz="4" w:space="0" w:color="41B7EE"/>
              <w:left w:val="single" w:sz="4" w:space="0" w:color="41B7EE"/>
              <w:bottom w:val="single" w:sz="4" w:space="0" w:color="41B7EE"/>
              <w:right w:val="nil" w:sz="6" w:space="0" w:color="auto"/>
            </w:tcBorders>
          </w:tcPr>
          <w:p>
            <w:pPr>
              <w:pStyle w:val="TableParagraph"/>
              <w:spacing w:line="260" w:lineRule="exact" w:before="123"/>
              <w:ind w:left="338" w:right="36" w:hanging="310"/>
              <w:jc w:val="left"/>
              <w:rPr>
                <w:rFonts w:ascii="宋体" w:hAnsi="宋体" w:cs="宋体" w:eastAsia="宋体" w:hint="default"/>
                <w:sz w:val="20"/>
                <w:szCs w:val="20"/>
              </w:rPr>
            </w:pPr>
            <w:r>
              <w:rPr>
                <w:rFonts w:ascii="宋体" w:hAnsi="宋体" w:cs="宋体" w:eastAsia="宋体" w:hint="default"/>
                <w:sz w:val="20"/>
                <w:szCs w:val="20"/>
              </w:rPr>
              <w:t>毛利率比上年增</w:t>
            </w:r>
            <w:r>
              <w:rPr>
                <w:rFonts w:ascii="宋体" w:hAnsi="宋体" w:cs="宋体" w:eastAsia="宋体" w:hint="default"/>
                <w:w w:val="99"/>
                <w:sz w:val="20"/>
                <w:szCs w:val="20"/>
              </w:rPr>
              <w:t> </w:t>
            </w:r>
            <w:r>
              <w:rPr>
                <w:rFonts w:ascii="宋体" w:hAnsi="宋体" w:cs="宋体" w:eastAsia="宋体" w:hint="default"/>
                <w:sz w:val="20"/>
                <w:szCs w:val="20"/>
              </w:rPr>
              <w:t>减（</w:t>
            </w:r>
            <w:r>
              <w:rPr>
                <w:rFonts w:ascii="Arial" w:hAnsi="Arial" w:cs="Arial" w:eastAsia="Arial" w:hint="default"/>
                <w:sz w:val="20"/>
                <w:szCs w:val="20"/>
              </w:rPr>
              <w:t>%</w:t>
            </w:r>
            <w:r>
              <w:rPr>
                <w:rFonts w:ascii="宋体" w:hAnsi="宋体" w:cs="宋体" w:eastAsia="宋体" w:hint="default"/>
                <w:sz w:val="20"/>
                <w:szCs w:val="20"/>
              </w:rPr>
              <w:t>）</w:t>
            </w:r>
          </w:p>
        </w:tc>
      </w:tr>
      <w:tr>
        <w:trPr>
          <w:trHeight w:val="358" w:hRule="exact"/>
        </w:trPr>
        <w:tc>
          <w:tcPr>
            <w:tcW w:w="128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土地承包费</w:t>
            </w:r>
          </w:p>
        </w:tc>
        <w:tc>
          <w:tcPr>
            <w:tcW w:w="162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5"/>
              <w:jc w:val="right"/>
              <w:rPr>
                <w:rFonts w:ascii="Arial" w:hAnsi="Arial" w:cs="Arial" w:eastAsia="Arial" w:hint="default"/>
                <w:sz w:val="20"/>
                <w:szCs w:val="20"/>
              </w:rPr>
            </w:pPr>
            <w:r>
              <w:rPr>
                <w:rFonts w:ascii="Arial"/>
                <w:w w:val="95"/>
                <w:sz w:val="20"/>
              </w:rPr>
              <w:t>2,675,129,872.46</w:t>
            </w:r>
            <w:r>
              <w:rPr>
                <w:rFonts w:ascii="Arial"/>
                <w:sz w:val="20"/>
              </w:rPr>
            </w:r>
          </w:p>
        </w:tc>
        <w:tc>
          <w:tcPr>
            <w:tcW w:w="1231" w:type="dxa"/>
            <w:tcBorders>
              <w:top w:val="single" w:sz="4" w:space="0" w:color="41B7EE"/>
              <w:left w:val="single" w:sz="4" w:space="0" w:color="41B7EE"/>
              <w:bottom w:val="single" w:sz="4" w:space="0" w:color="41B7EE"/>
              <w:right w:val="single" w:sz="4" w:space="0" w:color="41B7EE"/>
            </w:tcBorders>
          </w:tcPr>
          <w:p>
            <w:pP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left="40" w:right="0"/>
              <w:jc w:val="center"/>
              <w:rPr>
                <w:rFonts w:ascii="Arial" w:hAnsi="Arial" w:cs="Arial" w:eastAsia="Arial" w:hint="default"/>
                <w:sz w:val="20"/>
                <w:szCs w:val="20"/>
              </w:rPr>
            </w:pPr>
            <w:r>
              <w:rPr>
                <w:rFonts w:ascii="Arial"/>
                <w:sz w:val="20"/>
              </w:rPr>
              <w:t>100.00</w:t>
            </w:r>
          </w:p>
        </w:tc>
        <w:tc>
          <w:tcPr>
            <w:tcW w:w="114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spacing w:val="-1"/>
                <w:w w:val="95"/>
                <w:sz w:val="20"/>
              </w:rPr>
              <w:t>-0.07</w:t>
            </w:r>
            <w:r>
              <w:rPr>
                <w:rFonts w:ascii="Arial"/>
                <w:sz w:val="20"/>
              </w:rPr>
            </w:r>
          </w:p>
        </w:tc>
        <w:tc>
          <w:tcPr>
            <w:tcW w:w="1429" w:type="dxa"/>
            <w:tcBorders>
              <w:top w:val="single" w:sz="4" w:space="0" w:color="41B7EE"/>
              <w:left w:val="single" w:sz="4" w:space="0" w:color="41B7EE"/>
              <w:bottom w:val="single" w:sz="4" w:space="0" w:color="41B7EE"/>
              <w:right w:val="single" w:sz="4" w:space="0" w:color="41B7EE"/>
            </w:tcBorders>
          </w:tcPr>
          <w:p>
            <w:pPr/>
          </w:p>
        </w:tc>
        <w:tc>
          <w:tcPr>
            <w:tcW w:w="1469"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128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商品房销售</w:t>
            </w:r>
          </w:p>
        </w:tc>
        <w:tc>
          <w:tcPr>
            <w:tcW w:w="162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5"/>
              <w:jc w:val="right"/>
              <w:rPr>
                <w:rFonts w:ascii="Arial" w:hAnsi="Arial" w:cs="Arial" w:eastAsia="Arial" w:hint="default"/>
                <w:sz w:val="20"/>
                <w:szCs w:val="20"/>
              </w:rPr>
            </w:pPr>
            <w:r>
              <w:rPr>
                <w:rFonts w:ascii="Arial"/>
                <w:w w:val="95"/>
                <w:sz w:val="20"/>
              </w:rPr>
              <w:t>10,827,049.91</w:t>
            </w:r>
            <w:r>
              <w:rPr>
                <w:rFonts w:ascii="Arial"/>
                <w:sz w:val="20"/>
              </w:rPr>
            </w:r>
          </w:p>
        </w:tc>
        <w:tc>
          <w:tcPr>
            <w:tcW w:w="123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left="2" w:right="0"/>
              <w:jc w:val="center"/>
              <w:rPr>
                <w:rFonts w:ascii="Arial" w:hAnsi="Arial" w:cs="Arial" w:eastAsia="Arial" w:hint="default"/>
                <w:sz w:val="20"/>
                <w:szCs w:val="20"/>
              </w:rPr>
            </w:pPr>
            <w:r>
              <w:rPr>
                <w:rFonts w:ascii="Arial"/>
                <w:sz w:val="20"/>
              </w:rPr>
              <w:t>7,478,014.51</w:t>
            </w: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left="150" w:right="0"/>
              <w:jc w:val="center"/>
              <w:rPr>
                <w:rFonts w:ascii="Arial" w:hAnsi="Arial" w:cs="Arial" w:eastAsia="Arial" w:hint="default"/>
                <w:sz w:val="20"/>
                <w:szCs w:val="20"/>
              </w:rPr>
            </w:pPr>
            <w:r>
              <w:rPr>
                <w:rFonts w:ascii="Arial"/>
                <w:sz w:val="20"/>
              </w:rPr>
              <w:t>30.93</w:t>
            </w:r>
          </w:p>
        </w:tc>
        <w:tc>
          <w:tcPr>
            <w:tcW w:w="114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spacing w:val="-1"/>
                <w:w w:val="95"/>
                <w:sz w:val="20"/>
              </w:rPr>
              <w:t>-95.36</w:t>
            </w:r>
            <w:r>
              <w:rPr>
                <w:rFonts w:ascii="Arial"/>
                <w:spacing w:val="-1"/>
                <w:sz w:val="20"/>
              </w:rPr>
            </w:r>
          </w:p>
        </w:tc>
        <w:tc>
          <w:tcPr>
            <w:tcW w:w="142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spacing w:val="-1"/>
                <w:sz w:val="20"/>
              </w:rPr>
              <w:t>-95.02</w:t>
            </w:r>
          </w:p>
        </w:tc>
        <w:tc>
          <w:tcPr>
            <w:tcW w:w="146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7"/>
              <w:ind w:right="5"/>
              <w:jc w:val="right"/>
              <w:rPr>
                <w:rFonts w:ascii="宋体" w:hAnsi="宋体" w:cs="宋体" w:eastAsia="宋体" w:hint="default"/>
                <w:sz w:val="18"/>
                <w:szCs w:val="18"/>
              </w:rPr>
            </w:pPr>
            <w:r>
              <w:rPr>
                <w:rFonts w:ascii="宋体" w:hAnsi="宋体" w:cs="宋体" w:eastAsia="宋体" w:hint="default"/>
                <w:spacing w:val="-10"/>
                <w:sz w:val="18"/>
                <w:szCs w:val="18"/>
              </w:rPr>
              <w:t>减少</w:t>
            </w:r>
            <w:r>
              <w:rPr>
                <w:rFonts w:ascii="宋体" w:hAnsi="宋体" w:cs="宋体" w:eastAsia="宋体" w:hint="default"/>
                <w:spacing w:val="-68"/>
                <w:sz w:val="18"/>
                <w:szCs w:val="18"/>
              </w:rPr>
              <w:t> </w:t>
            </w:r>
            <w:r>
              <w:rPr>
                <w:rFonts w:ascii="Arial" w:hAnsi="Arial" w:cs="Arial" w:eastAsia="Arial" w:hint="default"/>
                <w:spacing w:val="-9"/>
                <w:sz w:val="18"/>
                <w:szCs w:val="18"/>
              </w:rPr>
              <w:t>4.56</w:t>
            </w:r>
            <w:r>
              <w:rPr>
                <w:rFonts w:ascii="Arial" w:hAnsi="Arial" w:cs="Arial" w:eastAsia="Arial" w:hint="default"/>
                <w:spacing w:val="-17"/>
                <w:sz w:val="18"/>
                <w:szCs w:val="18"/>
              </w:rPr>
              <w:t> </w:t>
            </w:r>
            <w:r>
              <w:rPr>
                <w:rFonts w:ascii="宋体" w:hAnsi="宋体" w:cs="宋体" w:eastAsia="宋体" w:hint="default"/>
                <w:spacing w:val="-16"/>
                <w:sz w:val="18"/>
                <w:szCs w:val="18"/>
              </w:rPr>
              <w:t>个百分点</w:t>
            </w:r>
          </w:p>
        </w:tc>
      </w:tr>
      <w:tr>
        <w:trPr>
          <w:trHeight w:val="355" w:hRule="exact"/>
        </w:trPr>
        <w:tc>
          <w:tcPr>
            <w:tcW w:w="128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62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5"/>
              <w:jc w:val="right"/>
              <w:rPr>
                <w:rFonts w:ascii="Arial" w:hAnsi="Arial" w:cs="Arial" w:eastAsia="Arial" w:hint="default"/>
                <w:sz w:val="20"/>
                <w:szCs w:val="20"/>
              </w:rPr>
            </w:pPr>
            <w:r>
              <w:rPr>
                <w:rFonts w:ascii="Arial"/>
                <w:w w:val="95"/>
                <w:sz w:val="20"/>
              </w:rPr>
              <w:t>2,685,956,922.37</w:t>
            </w:r>
            <w:r>
              <w:rPr>
                <w:rFonts w:ascii="Arial"/>
                <w:sz w:val="20"/>
              </w:rPr>
            </w:r>
          </w:p>
        </w:tc>
        <w:tc>
          <w:tcPr>
            <w:tcW w:w="123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left="2" w:right="0"/>
              <w:jc w:val="center"/>
              <w:rPr>
                <w:rFonts w:ascii="Arial" w:hAnsi="Arial" w:cs="Arial" w:eastAsia="Arial" w:hint="default"/>
                <w:sz w:val="20"/>
                <w:szCs w:val="20"/>
              </w:rPr>
            </w:pPr>
            <w:r>
              <w:rPr>
                <w:rFonts w:ascii="Arial"/>
                <w:sz w:val="20"/>
              </w:rPr>
              <w:t>7,478,014.51</w:t>
            </w: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left="150" w:right="0"/>
              <w:jc w:val="center"/>
              <w:rPr>
                <w:rFonts w:ascii="Arial" w:hAnsi="Arial" w:cs="Arial" w:eastAsia="Arial" w:hint="default"/>
                <w:sz w:val="20"/>
                <w:szCs w:val="20"/>
              </w:rPr>
            </w:pPr>
            <w:r>
              <w:rPr>
                <w:rFonts w:ascii="Arial"/>
                <w:sz w:val="20"/>
              </w:rPr>
              <w:t>99.72</w:t>
            </w:r>
          </w:p>
        </w:tc>
        <w:tc>
          <w:tcPr>
            <w:tcW w:w="114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spacing w:val="-1"/>
                <w:w w:val="95"/>
                <w:sz w:val="20"/>
              </w:rPr>
              <w:t>-9.12</w:t>
            </w:r>
            <w:r>
              <w:rPr>
                <w:rFonts w:ascii="Arial"/>
                <w:sz w:val="20"/>
              </w:rPr>
            </w:r>
          </w:p>
        </w:tc>
        <w:tc>
          <w:tcPr>
            <w:tcW w:w="142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5"/>
              <w:jc w:val="right"/>
              <w:rPr>
                <w:rFonts w:ascii="Arial" w:hAnsi="Arial" w:cs="Arial" w:eastAsia="Arial" w:hint="default"/>
                <w:sz w:val="20"/>
                <w:szCs w:val="20"/>
              </w:rPr>
            </w:pPr>
            <w:r>
              <w:rPr>
                <w:rFonts w:ascii="Arial"/>
                <w:spacing w:val="-1"/>
                <w:w w:val="95"/>
                <w:sz w:val="20"/>
              </w:rPr>
              <w:t>-96.04</w:t>
            </w:r>
            <w:r>
              <w:rPr>
                <w:rFonts w:ascii="Arial"/>
                <w:sz w:val="20"/>
              </w:rPr>
            </w:r>
          </w:p>
        </w:tc>
        <w:tc>
          <w:tcPr>
            <w:tcW w:w="146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5"/>
              <w:ind w:right="5"/>
              <w:jc w:val="right"/>
              <w:rPr>
                <w:rFonts w:ascii="宋体" w:hAnsi="宋体" w:cs="宋体" w:eastAsia="宋体" w:hint="default"/>
                <w:sz w:val="18"/>
                <w:szCs w:val="18"/>
              </w:rPr>
            </w:pPr>
            <w:r>
              <w:rPr>
                <w:rFonts w:ascii="宋体" w:hAnsi="宋体" w:cs="宋体" w:eastAsia="宋体" w:hint="default"/>
                <w:spacing w:val="-10"/>
                <w:sz w:val="18"/>
                <w:szCs w:val="18"/>
              </w:rPr>
              <w:t>增加</w:t>
            </w:r>
            <w:r>
              <w:rPr>
                <w:rFonts w:ascii="宋体" w:hAnsi="宋体" w:cs="宋体" w:eastAsia="宋体" w:hint="default"/>
                <w:spacing w:val="-68"/>
                <w:sz w:val="18"/>
                <w:szCs w:val="18"/>
              </w:rPr>
              <w:t> </w:t>
            </w:r>
            <w:r>
              <w:rPr>
                <w:rFonts w:ascii="Arial" w:hAnsi="Arial" w:cs="Arial" w:eastAsia="Arial" w:hint="default"/>
                <w:spacing w:val="-9"/>
                <w:sz w:val="18"/>
                <w:szCs w:val="18"/>
              </w:rPr>
              <w:t>6.11</w:t>
            </w:r>
            <w:r>
              <w:rPr>
                <w:rFonts w:ascii="Arial" w:hAnsi="Arial" w:cs="Arial" w:eastAsia="Arial" w:hint="default"/>
                <w:spacing w:val="-17"/>
                <w:sz w:val="18"/>
                <w:szCs w:val="18"/>
              </w:rPr>
              <w:t> </w:t>
            </w:r>
            <w:r>
              <w:rPr>
                <w:rFonts w:ascii="宋体" w:hAnsi="宋体" w:cs="宋体" w:eastAsia="宋体" w:hint="default"/>
                <w:spacing w:val="-16"/>
                <w:sz w:val="18"/>
                <w:szCs w:val="18"/>
              </w:rPr>
              <w:t>个百分点</w:t>
            </w:r>
          </w:p>
        </w:tc>
      </w:tr>
    </w:tbl>
    <w:p>
      <w:pPr>
        <w:spacing w:before="13"/>
        <w:ind w:left="3654" w:right="3712" w:firstLine="0"/>
        <w:jc w:val="center"/>
        <w:rPr>
          <w:rFonts w:ascii="宋体" w:hAnsi="宋体" w:cs="宋体" w:eastAsia="宋体" w:hint="default"/>
          <w:sz w:val="20"/>
          <w:szCs w:val="20"/>
        </w:rPr>
      </w:pPr>
      <w:r>
        <w:rPr>
          <w:rFonts w:ascii="宋体" w:hAnsi="宋体" w:cs="宋体" w:eastAsia="宋体" w:hint="default"/>
          <w:sz w:val="20"/>
          <w:szCs w:val="20"/>
        </w:rPr>
        <w:t>主营业务分地区情况</w:t>
      </w:r>
    </w:p>
    <w:p>
      <w:pPr>
        <w:spacing w:line="240" w:lineRule="auto" w:before="7"/>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1284"/>
        <w:gridCol w:w="1625"/>
        <w:gridCol w:w="1231"/>
        <w:gridCol w:w="713"/>
        <w:gridCol w:w="1140"/>
        <w:gridCol w:w="1429"/>
        <w:gridCol w:w="1469"/>
      </w:tblGrid>
      <w:tr>
        <w:trPr>
          <w:trHeight w:val="787" w:hRule="exact"/>
        </w:trPr>
        <w:tc>
          <w:tcPr>
            <w:tcW w:w="128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40" w:right="0"/>
              <w:jc w:val="left"/>
              <w:rPr>
                <w:rFonts w:ascii="宋体" w:hAnsi="宋体" w:cs="宋体" w:eastAsia="宋体" w:hint="default"/>
                <w:sz w:val="20"/>
                <w:szCs w:val="20"/>
              </w:rPr>
            </w:pPr>
            <w:r>
              <w:rPr>
                <w:rFonts w:ascii="宋体" w:hAnsi="宋体" w:cs="宋体" w:eastAsia="宋体" w:hint="default"/>
                <w:sz w:val="20"/>
                <w:szCs w:val="20"/>
              </w:rPr>
              <w:t>分地区</w:t>
            </w:r>
          </w:p>
        </w:tc>
        <w:tc>
          <w:tcPr>
            <w:tcW w:w="162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20"/>
                <w:szCs w:val="20"/>
              </w:rPr>
            </w:pPr>
            <w:r>
              <w:rPr>
                <w:rFonts w:ascii="宋体" w:hAnsi="宋体" w:cs="宋体" w:eastAsia="宋体" w:hint="default"/>
                <w:sz w:val="20"/>
                <w:szCs w:val="20"/>
              </w:rPr>
              <w:t>营业收入</w:t>
            </w:r>
          </w:p>
        </w:tc>
        <w:tc>
          <w:tcPr>
            <w:tcW w:w="123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20"/>
                <w:szCs w:val="20"/>
              </w:rPr>
            </w:pPr>
            <w:r>
              <w:rPr>
                <w:rFonts w:ascii="宋体" w:hAnsi="宋体" w:cs="宋体" w:eastAsia="宋体" w:hint="default"/>
                <w:sz w:val="20"/>
                <w:szCs w:val="20"/>
              </w:rPr>
              <w:t>营业成本</w:t>
            </w: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60" w:lineRule="exact" w:before="97"/>
              <w:ind w:left="50" w:right="0"/>
              <w:jc w:val="left"/>
              <w:rPr>
                <w:rFonts w:ascii="宋体" w:hAnsi="宋体" w:cs="宋体" w:eastAsia="宋体" w:hint="default"/>
                <w:sz w:val="20"/>
                <w:szCs w:val="20"/>
              </w:rPr>
            </w:pPr>
            <w:r>
              <w:rPr>
                <w:rFonts w:ascii="宋体" w:hAnsi="宋体" w:cs="宋体" w:eastAsia="宋体" w:hint="default"/>
                <w:sz w:val="20"/>
                <w:szCs w:val="20"/>
              </w:rPr>
              <w:t>毛利率</w:t>
            </w:r>
          </w:p>
          <w:p>
            <w:pPr>
              <w:pStyle w:val="TableParagraph"/>
              <w:spacing w:line="275" w:lineRule="exact"/>
              <w:ind w:left="60" w:right="0"/>
              <w:jc w:val="lef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w:t>
            </w:r>
          </w:p>
        </w:tc>
        <w:tc>
          <w:tcPr>
            <w:tcW w:w="1140" w:type="dxa"/>
            <w:tcBorders>
              <w:top w:val="single" w:sz="4" w:space="0" w:color="41B7EE"/>
              <w:left w:val="single" w:sz="4" w:space="0" w:color="41B7EE"/>
              <w:bottom w:val="single" w:sz="4" w:space="0" w:color="41B7EE"/>
              <w:right w:val="single" w:sz="4" w:space="0" w:color="41B7EE"/>
            </w:tcBorders>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sz w:val="20"/>
                <w:szCs w:val="20"/>
              </w:rPr>
              <w:t>营业收入比</w:t>
            </w:r>
          </w:p>
          <w:p>
            <w:pPr>
              <w:pStyle w:val="TableParagraph"/>
              <w:spacing w:line="259" w:lineRule="exact"/>
              <w:ind w:right="5"/>
              <w:jc w:val="center"/>
              <w:rPr>
                <w:rFonts w:ascii="宋体" w:hAnsi="宋体" w:cs="宋体" w:eastAsia="宋体" w:hint="default"/>
                <w:sz w:val="20"/>
                <w:szCs w:val="20"/>
              </w:rPr>
            </w:pPr>
            <w:r>
              <w:rPr>
                <w:rFonts w:ascii="宋体" w:hAnsi="宋体" w:cs="宋体" w:eastAsia="宋体" w:hint="default"/>
                <w:sz w:val="20"/>
                <w:szCs w:val="20"/>
              </w:rPr>
              <w:t>上年增减</w:t>
            </w:r>
          </w:p>
          <w:p>
            <w:pPr>
              <w:pStyle w:val="TableParagraph"/>
              <w:spacing w:line="275" w:lineRule="exact"/>
              <w:ind w:right="5"/>
              <w:jc w:val="center"/>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w:t>
            </w:r>
          </w:p>
        </w:tc>
        <w:tc>
          <w:tcPr>
            <w:tcW w:w="1429" w:type="dxa"/>
            <w:tcBorders>
              <w:top w:val="single" w:sz="4" w:space="0" w:color="41B7EE"/>
              <w:left w:val="single" w:sz="4" w:space="0" w:color="41B7EE"/>
              <w:bottom w:val="single" w:sz="4" w:space="0" w:color="41B7EE"/>
              <w:right w:val="single" w:sz="4" w:space="0" w:color="41B7EE"/>
            </w:tcBorders>
          </w:tcPr>
          <w:p>
            <w:pPr>
              <w:pStyle w:val="TableParagraph"/>
              <w:spacing w:line="260" w:lineRule="exact" w:before="123"/>
              <w:ind w:left="120" w:right="111" w:hanging="12"/>
              <w:jc w:val="left"/>
              <w:rPr>
                <w:rFonts w:ascii="宋体" w:hAnsi="宋体" w:cs="宋体" w:eastAsia="宋体" w:hint="default"/>
                <w:sz w:val="20"/>
                <w:szCs w:val="20"/>
              </w:rPr>
            </w:pPr>
            <w:r>
              <w:rPr>
                <w:rFonts w:ascii="宋体" w:hAnsi="宋体" w:cs="宋体" w:eastAsia="宋体" w:hint="default"/>
                <w:sz w:val="20"/>
                <w:szCs w:val="20"/>
              </w:rPr>
              <w:t>营业成本比上</w:t>
            </w:r>
            <w:r>
              <w:rPr>
                <w:rFonts w:ascii="宋体" w:hAnsi="宋体" w:cs="宋体" w:eastAsia="宋体" w:hint="default"/>
                <w:w w:val="99"/>
                <w:sz w:val="20"/>
                <w:szCs w:val="20"/>
              </w:rPr>
              <w:t> </w:t>
            </w:r>
            <w:r>
              <w:rPr>
                <w:rFonts w:ascii="宋体" w:hAnsi="宋体" w:cs="宋体" w:eastAsia="宋体" w:hint="default"/>
                <w:sz w:val="20"/>
                <w:szCs w:val="20"/>
              </w:rPr>
              <w:t>年增减（</w:t>
            </w:r>
            <w:r>
              <w:rPr>
                <w:rFonts w:ascii="Arial" w:hAnsi="Arial" w:cs="Arial" w:eastAsia="Arial" w:hint="default"/>
                <w:sz w:val="20"/>
                <w:szCs w:val="20"/>
              </w:rPr>
              <w:t>%</w:t>
            </w:r>
            <w:r>
              <w:rPr>
                <w:rFonts w:ascii="宋体" w:hAnsi="宋体" w:cs="宋体" w:eastAsia="宋体" w:hint="default"/>
                <w:sz w:val="20"/>
                <w:szCs w:val="20"/>
              </w:rPr>
              <w:t>）</w:t>
            </w:r>
          </w:p>
        </w:tc>
        <w:tc>
          <w:tcPr>
            <w:tcW w:w="1469" w:type="dxa"/>
            <w:tcBorders>
              <w:top w:val="single" w:sz="4" w:space="0" w:color="41B7EE"/>
              <w:left w:val="single" w:sz="4" w:space="0" w:color="41B7EE"/>
              <w:bottom w:val="single" w:sz="4" w:space="0" w:color="41B7EE"/>
              <w:right w:val="nil" w:sz="6" w:space="0" w:color="auto"/>
            </w:tcBorders>
          </w:tcPr>
          <w:p>
            <w:pPr>
              <w:pStyle w:val="TableParagraph"/>
              <w:spacing w:line="260" w:lineRule="exact" w:before="123"/>
              <w:ind w:left="338" w:right="36" w:hanging="310"/>
              <w:jc w:val="left"/>
              <w:rPr>
                <w:rFonts w:ascii="宋体" w:hAnsi="宋体" w:cs="宋体" w:eastAsia="宋体" w:hint="default"/>
                <w:sz w:val="20"/>
                <w:szCs w:val="20"/>
              </w:rPr>
            </w:pPr>
            <w:r>
              <w:rPr>
                <w:rFonts w:ascii="宋体" w:hAnsi="宋体" w:cs="宋体" w:eastAsia="宋体" w:hint="default"/>
                <w:sz w:val="20"/>
                <w:szCs w:val="20"/>
              </w:rPr>
              <w:t>毛利率比上年增</w:t>
            </w:r>
            <w:r>
              <w:rPr>
                <w:rFonts w:ascii="宋体" w:hAnsi="宋体" w:cs="宋体" w:eastAsia="宋体" w:hint="default"/>
                <w:w w:val="99"/>
                <w:sz w:val="20"/>
                <w:szCs w:val="20"/>
              </w:rPr>
              <w:t> </w:t>
            </w:r>
            <w:r>
              <w:rPr>
                <w:rFonts w:ascii="宋体" w:hAnsi="宋体" w:cs="宋体" w:eastAsia="宋体" w:hint="default"/>
                <w:sz w:val="20"/>
                <w:szCs w:val="20"/>
              </w:rPr>
              <w:t>减（</w:t>
            </w:r>
            <w:r>
              <w:rPr>
                <w:rFonts w:ascii="Arial" w:hAnsi="Arial" w:cs="Arial" w:eastAsia="Arial" w:hint="default"/>
                <w:sz w:val="20"/>
                <w:szCs w:val="20"/>
              </w:rPr>
              <w:t>%</w:t>
            </w:r>
            <w:r>
              <w:rPr>
                <w:rFonts w:ascii="宋体" w:hAnsi="宋体" w:cs="宋体" w:eastAsia="宋体" w:hint="default"/>
                <w:sz w:val="20"/>
                <w:szCs w:val="20"/>
              </w:rPr>
              <w:t>）</w:t>
            </w:r>
          </w:p>
        </w:tc>
      </w:tr>
      <w:tr>
        <w:trPr>
          <w:trHeight w:val="384" w:hRule="exact"/>
        </w:trPr>
        <w:tc>
          <w:tcPr>
            <w:tcW w:w="1284"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黑龙江省</w:t>
            </w:r>
          </w:p>
        </w:tc>
        <w:tc>
          <w:tcPr>
            <w:tcW w:w="1625"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57"/>
              <w:ind w:left="6" w:right="0"/>
              <w:jc w:val="center"/>
              <w:rPr>
                <w:rFonts w:ascii="Arial" w:hAnsi="Arial" w:cs="Arial" w:eastAsia="Arial" w:hint="default"/>
                <w:sz w:val="20"/>
                <w:szCs w:val="20"/>
              </w:rPr>
            </w:pPr>
            <w:r>
              <w:rPr>
                <w:rFonts w:ascii="Arial"/>
                <w:sz w:val="20"/>
              </w:rPr>
              <w:t>2,685,956,922.37</w:t>
            </w:r>
          </w:p>
        </w:tc>
        <w:tc>
          <w:tcPr>
            <w:tcW w:w="1231"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57"/>
              <w:ind w:left="2" w:right="0"/>
              <w:jc w:val="center"/>
              <w:rPr>
                <w:rFonts w:ascii="Arial" w:hAnsi="Arial" w:cs="Arial" w:eastAsia="Arial" w:hint="default"/>
                <w:sz w:val="20"/>
                <w:szCs w:val="20"/>
              </w:rPr>
            </w:pPr>
            <w:r>
              <w:rPr>
                <w:rFonts w:ascii="Arial"/>
                <w:sz w:val="20"/>
              </w:rPr>
              <w:t>7,478,014.51</w:t>
            </w:r>
          </w:p>
        </w:tc>
        <w:tc>
          <w:tcPr>
            <w:tcW w:w="713"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57"/>
              <w:ind w:left="177" w:right="0"/>
              <w:jc w:val="left"/>
              <w:rPr>
                <w:rFonts w:ascii="Arial" w:hAnsi="Arial" w:cs="Arial" w:eastAsia="Arial" w:hint="default"/>
                <w:sz w:val="20"/>
                <w:szCs w:val="20"/>
              </w:rPr>
            </w:pPr>
            <w:r>
              <w:rPr>
                <w:rFonts w:ascii="Arial"/>
                <w:sz w:val="20"/>
              </w:rPr>
              <w:t>99.72</w:t>
            </w:r>
          </w:p>
        </w:tc>
        <w:tc>
          <w:tcPr>
            <w:tcW w:w="1140"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57"/>
              <w:ind w:left="650" w:right="0"/>
              <w:jc w:val="left"/>
              <w:rPr>
                <w:rFonts w:ascii="Arial" w:hAnsi="Arial" w:cs="Arial" w:eastAsia="Arial" w:hint="default"/>
                <w:sz w:val="20"/>
                <w:szCs w:val="20"/>
              </w:rPr>
            </w:pPr>
            <w:r>
              <w:rPr>
                <w:rFonts w:ascii="Arial"/>
                <w:sz w:val="20"/>
              </w:rPr>
              <w:t>-9.12</w:t>
            </w:r>
          </w:p>
        </w:tc>
        <w:tc>
          <w:tcPr>
            <w:tcW w:w="1429"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57"/>
              <w:ind w:left="828" w:right="0"/>
              <w:jc w:val="left"/>
              <w:rPr>
                <w:rFonts w:ascii="Arial" w:hAnsi="Arial" w:cs="Arial" w:eastAsia="Arial" w:hint="default"/>
                <w:sz w:val="20"/>
                <w:szCs w:val="20"/>
              </w:rPr>
            </w:pPr>
            <w:r>
              <w:rPr>
                <w:rFonts w:ascii="Arial"/>
                <w:sz w:val="20"/>
              </w:rPr>
              <w:t>-96.04</w:t>
            </w:r>
          </w:p>
        </w:tc>
        <w:tc>
          <w:tcPr>
            <w:tcW w:w="1469"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27"/>
              <w:ind w:left="83" w:right="0"/>
              <w:jc w:val="left"/>
              <w:rPr>
                <w:rFonts w:ascii="宋体" w:hAnsi="宋体" w:cs="宋体" w:eastAsia="宋体" w:hint="default"/>
                <w:sz w:val="18"/>
                <w:szCs w:val="18"/>
              </w:rPr>
            </w:pPr>
            <w:r>
              <w:rPr>
                <w:rFonts w:ascii="宋体" w:hAnsi="宋体" w:cs="宋体" w:eastAsia="宋体" w:hint="default"/>
                <w:spacing w:val="-10"/>
                <w:sz w:val="18"/>
                <w:szCs w:val="18"/>
              </w:rPr>
              <w:t>增加</w:t>
            </w:r>
            <w:r>
              <w:rPr>
                <w:rFonts w:ascii="宋体" w:hAnsi="宋体" w:cs="宋体" w:eastAsia="宋体" w:hint="default"/>
                <w:spacing w:val="-68"/>
                <w:sz w:val="18"/>
                <w:szCs w:val="18"/>
              </w:rPr>
              <w:t> </w:t>
            </w:r>
            <w:r>
              <w:rPr>
                <w:rFonts w:ascii="Arial" w:hAnsi="Arial" w:cs="Arial" w:eastAsia="Arial" w:hint="default"/>
                <w:spacing w:val="-9"/>
                <w:sz w:val="18"/>
                <w:szCs w:val="18"/>
              </w:rPr>
              <w:t>6.11</w:t>
            </w:r>
            <w:r>
              <w:rPr>
                <w:rFonts w:ascii="Arial" w:hAnsi="Arial" w:cs="Arial" w:eastAsia="Arial" w:hint="default"/>
                <w:spacing w:val="-17"/>
                <w:sz w:val="18"/>
                <w:szCs w:val="18"/>
              </w:rPr>
              <w:t> </w:t>
            </w:r>
            <w:r>
              <w:rPr>
                <w:rFonts w:ascii="宋体" w:hAnsi="宋体" w:cs="宋体" w:eastAsia="宋体" w:hint="default"/>
                <w:spacing w:val="-16"/>
                <w:sz w:val="18"/>
                <w:szCs w:val="18"/>
              </w:rPr>
              <w:t>个百分点</w:t>
            </w:r>
          </w:p>
        </w:tc>
      </w:tr>
    </w:tbl>
    <w:p>
      <w:pPr>
        <w:spacing w:after="0" w:line="240" w:lineRule="auto"/>
        <w:jc w:val="left"/>
        <w:rPr>
          <w:rFonts w:ascii="宋体" w:hAnsi="宋体" w:cs="宋体" w:eastAsia="宋体" w:hint="default"/>
          <w:sz w:val="18"/>
          <w:szCs w:val="18"/>
        </w:rPr>
        <w:sectPr>
          <w:type w:val="continuous"/>
          <w:pgSz w:w="11910" w:h="16840"/>
          <w:pgMar w:top="1360" w:bottom="1380" w:left="1640" w:right="1060"/>
        </w:sectPr>
      </w:pPr>
    </w:p>
    <w:p>
      <w:pPr>
        <w:pStyle w:val="BodyText"/>
        <w:spacing w:line="241" w:lineRule="exact"/>
        <w:ind w:left="158" w:right="0"/>
        <w:jc w:val="left"/>
        <w:rPr>
          <w:rFonts w:ascii="宋体" w:hAnsi="宋体" w:cs="宋体" w:eastAsia="宋体" w:hint="default"/>
        </w:rPr>
      </w:pPr>
      <w:r>
        <w:rPr>
          <w:rFonts w:ascii="宋体"/>
          <w:w w:val="100"/>
        </w:rPr>
        <w:t> </w:t>
      </w:r>
    </w:p>
    <w:p>
      <w:pPr>
        <w:pStyle w:val="Heading2"/>
        <w:spacing w:line="240" w:lineRule="auto" w:before="58"/>
        <w:ind w:left="158" w:right="-20"/>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spacing w:line="290" w:lineRule="auto" w:before="56"/>
        <w:ind w:left="158" w:right="27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pacing w:val="39"/>
          <w:sz w:val="21"/>
          <w:szCs w:val="21"/>
        </w:rPr>
        <w:t> </w:t>
      </w:r>
      <w:r>
        <w:rPr>
          <w:rFonts w:ascii="宋体" w:hAnsi="宋体" w:cs="宋体" w:eastAsia="宋体" w:hint="default"/>
          <w:b/>
          <w:bCs/>
          <w:sz w:val="21"/>
          <w:szCs w:val="21"/>
        </w:rPr>
        <w:t>成本分析表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7"/>
          <w:szCs w:val="27"/>
        </w:rPr>
      </w:pPr>
    </w:p>
    <w:p>
      <w:pPr>
        <w:spacing w:before="0"/>
        <w:ind w:left="158" w:right="0" w:firstLine="0"/>
        <w:jc w:val="left"/>
        <w:rPr>
          <w:rFonts w:ascii="宋体" w:hAnsi="宋体" w:cs="宋体" w:eastAsia="宋体" w:hint="default"/>
          <w:sz w:val="20"/>
          <w:szCs w:val="20"/>
        </w:rPr>
      </w:pPr>
      <w:r>
        <w:rPr>
          <w:rFonts w:ascii="宋体" w:hAnsi="宋体" w:cs="宋体" w:eastAsia="宋体" w:hint="default"/>
          <w:sz w:val="20"/>
          <w:szCs w:val="20"/>
        </w:rPr>
        <w:t>分行业情况</w:t>
      </w:r>
      <w:r>
        <w:rPr>
          <w:rFonts w:ascii="宋体" w:hAnsi="宋体" w:cs="宋体" w:eastAsia="宋体" w:hint="default"/>
          <w:sz w:val="20"/>
          <w:szCs w:val="2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spacing w:line="240" w:lineRule="auto"/>
        <w:ind w:left="158" w:right="0"/>
        <w:jc w:val="left"/>
      </w:pPr>
      <w:r>
        <w:rPr/>
        <w:pict>
          <v:group style="position:absolute;margin-left:87.984009pt;margin-top:15.383687pt;width:445.55pt;height:2.9pt;mso-position-horizontal-relative:page;mso-position-vertical-relative:paragraph;z-index:1336" coordorigin="1760,308" coordsize="8911,58">
            <v:group style="position:absolute;left:1769;top:317;width:8891;height:2" coordorigin="1769,317" coordsize="8891,2">
              <v:shape style="position:absolute;left:1769;top:317;width:8891;height:2" coordorigin="1769,317" coordsize="8891,0" path="m1769,317l10660,317e" filled="false" stroked="true" strokeweight=".95999pt" strokecolor="#41b7ee">
                <v:path arrowok="t"/>
              </v:shape>
            </v:group>
            <v:group style="position:absolute;left:1769;top:356;width:8891;height:2" coordorigin="1769,356" coordsize="8891,2">
              <v:shape style="position:absolute;left:1769;top:356;width:8891;height:2" coordorigin="1769,356" coordsize="8891,0" path="m1769,356l10660,356e" filled="false" stroked="true" strokeweight=".95999pt" strokecolor="#41b7ee">
                <v:path arrowok="t"/>
              </v:shape>
            </v:group>
            <w10:wrap type="none"/>
          </v:group>
        </w:pict>
      </w:r>
      <w:r>
        <w:rPr/>
        <w:t>单位：元</w:t>
      </w:r>
    </w:p>
    <w:p>
      <w:pPr>
        <w:spacing w:after="0" w:line="240" w:lineRule="auto"/>
        <w:jc w:val="left"/>
        <w:sectPr>
          <w:type w:val="continuous"/>
          <w:pgSz w:w="11910" w:h="16840"/>
          <w:pgMar w:top="1360" w:bottom="1380" w:left="1640" w:right="1060"/>
          <w:cols w:num="3" w:equalWidth="0">
            <w:col w:w="2415" w:space="1500"/>
            <w:col w:w="1259" w:space="2819"/>
            <w:col w:w="1217"/>
          </w:cols>
        </w:sectPr>
      </w:pPr>
    </w:p>
    <w:p>
      <w:pPr>
        <w:spacing w:line="240" w:lineRule="auto" w:before="7"/>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1373"/>
        <w:gridCol w:w="1340"/>
        <w:gridCol w:w="1426"/>
        <w:gridCol w:w="1001"/>
        <w:gridCol w:w="1714"/>
        <w:gridCol w:w="1030"/>
        <w:gridCol w:w="1008"/>
      </w:tblGrid>
      <w:tr>
        <w:trPr>
          <w:trHeight w:val="1049" w:hRule="exact"/>
        </w:trPr>
        <w:tc>
          <w:tcPr>
            <w:tcW w:w="137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281"/>
              <w:jc w:val="right"/>
              <w:rPr>
                <w:rFonts w:ascii="宋体" w:hAnsi="宋体" w:cs="宋体" w:eastAsia="宋体" w:hint="default"/>
                <w:sz w:val="20"/>
                <w:szCs w:val="20"/>
              </w:rPr>
            </w:pPr>
            <w:r>
              <w:rPr>
                <w:rFonts w:ascii="宋体" w:hAnsi="宋体" w:cs="宋体" w:eastAsia="宋体" w:hint="default"/>
                <w:w w:val="95"/>
                <w:sz w:val="20"/>
                <w:szCs w:val="20"/>
              </w:rPr>
              <w:t>分行业</w:t>
            </w:r>
            <w:r>
              <w:rPr>
                <w:rFonts w:ascii="宋体" w:hAnsi="宋体" w:cs="宋体" w:eastAsia="宋体" w:hint="default"/>
                <w:w w:val="95"/>
                <w:sz w:val="20"/>
                <w:szCs w:val="20"/>
              </w:rPr>
              <w:t> </w:t>
            </w:r>
            <w:r>
              <w:rPr>
                <w:rFonts w:ascii="宋体" w:hAnsi="宋体" w:cs="宋体" w:eastAsia="宋体" w:hint="default"/>
                <w:sz w:val="20"/>
                <w:szCs w:val="20"/>
              </w:rPr>
            </w:r>
          </w:p>
        </w:tc>
        <w:tc>
          <w:tcPr>
            <w:tcW w:w="1340" w:type="dxa"/>
            <w:tcBorders>
              <w:top w:val="single" w:sz="4" w:space="0" w:color="41B7EE"/>
              <w:left w:val="single" w:sz="4" w:space="0" w:color="41B7EE"/>
              <w:bottom w:val="single" w:sz="4" w:space="0" w:color="41B7EE"/>
              <w:right w:val="single" w:sz="9" w:space="0" w:color="FFFFFF"/>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62" w:right="-39"/>
              <w:jc w:val="left"/>
              <w:rPr>
                <w:rFonts w:ascii="宋体" w:hAnsi="宋体" w:cs="宋体" w:eastAsia="宋体" w:hint="default"/>
                <w:sz w:val="20"/>
                <w:szCs w:val="20"/>
              </w:rPr>
            </w:pPr>
            <w:r>
              <w:rPr>
                <w:rFonts w:ascii="宋体" w:hAnsi="宋体" w:cs="宋体" w:eastAsia="宋体" w:hint="default"/>
                <w:sz w:val="20"/>
                <w:szCs w:val="20"/>
              </w:rPr>
              <w:t>成本构成项目</w:t>
            </w:r>
            <w:r>
              <w:rPr>
                <w:rFonts w:ascii="宋体" w:hAnsi="宋体" w:cs="宋体" w:eastAsia="宋体" w:hint="default"/>
                <w:sz w:val="20"/>
                <w:szCs w:val="20"/>
              </w:rPr>
              <w:t> </w:t>
            </w:r>
          </w:p>
        </w:tc>
        <w:tc>
          <w:tcPr>
            <w:tcW w:w="1426" w:type="dxa"/>
            <w:tcBorders>
              <w:top w:val="single" w:sz="4" w:space="0" w:color="41B7EE"/>
              <w:left w:val="single" w:sz="9" w:space="0" w:color="FFFFFF"/>
              <w:bottom w:val="single" w:sz="4" w:space="0" w:color="41B7EE"/>
              <w:right w:val="single" w:sz="4" w:space="0" w:color="41B7EE"/>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91" w:right="0"/>
              <w:jc w:val="center"/>
              <w:rPr>
                <w:rFonts w:ascii="宋体" w:hAnsi="宋体" w:cs="宋体" w:eastAsia="宋体" w:hint="default"/>
                <w:sz w:val="20"/>
                <w:szCs w:val="20"/>
              </w:rPr>
            </w:pPr>
            <w:r>
              <w:rPr>
                <w:rFonts w:ascii="宋体" w:hAnsi="宋体" w:cs="宋体" w:eastAsia="宋体" w:hint="default"/>
                <w:sz w:val="20"/>
                <w:szCs w:val="20"/>
              </w:rPr>
              <w:t>本期金额</w:t>
            </w:r>
            <w:r>
              <w:rPr>
                <w:rFonts w:ascii="宋体" w:hAnsi="宋体" w:cs="宋体" w:eastAsia="宋体" w:hint="default"/>
                <w:sz w:val="20"/>
                <w:szCs w:val="20"/>
              </w:rPr>
              <w:t> </w:t>
            </w:r>
          </w:p>
        </w:tc>
        <w:tc>
          <w:tcPr>
            <w:tcW w:w="1001" w:type="dxa"/>
            <w:tcBorders>
              <w:top w:val="single" w:sz="4" w:space="0" w:color="41B7EE"/>
              <w:left w:val="single" w:sz="4" w:space="0" w:color="41B7EE"/>
              <w:bottom w:val="single" w:sz="4" w:space="0" w:color="41B7EE"/>
              <w:right w:val="single" w:sz="4" w:space="0" w:color="41B7EE"/>
            </w:tcBorders>
          </w:tcPr>
          <w:p>
            <w:pPr>
              <w:pStyle w:val="TableParagraph"/>
              <w:spacing w:line="260" w:lineRule="exact" w:before="123"/>
              <w:ind w:left="93" w:right="99"/>
              <w:jc w:val="center"/>
              <w:rPr>
                <w:rFonts w:ascii="宋体" w:hAnsi="宋体" w:cs="宋体" w:eastAsia="宋体" w:hint="default"/>
                <w:sz w:val="20"/>
                <w:szCs w:val="20"/>
              </w:rPr>
            </w:pPr>
            <w:r>
              <w:rPr>
                <w:rFonts w:ascii="宋体" w:hAnsi="宋体" w:cs="宋体" w:eastAsia="宋体" w:hint="default"/>
                <w:sz w:val="20"/>
                <w:szCs w:val="20"/>
              </w:rPr>
              <w:t>本期占总</w:t>
            </w:r>
            <w:r>
              <w:rPr>
                <w:rFonts w:ascii="宋体" w:hAnsi="宋体" w:cs="宋体" w:eastAsia="宋体" w:hint="default"/>
                <w:w w:val="99"/>
                <w:sz w:val="20"/>
                <w:szCs w:val="20"/>
              </w:rPr>
              <w:t> </w:t>
            </w:r>
            <w:r>
              <w:rPr>
                <w:rFonts w:ascii="宋体" w:hAnsi="宋体" w:cs="宋体" w:eastAsia="宋体" w:hint="default"/>
                <w:sz w:val="20"/>
                <w:szCs w:val="20"/>
              </w:rPr>
              <w:t>成本比例</w:t>
            </w:r>
          </w:p>
          <w:p>
            <w:pPr>
              <w:pStyle w:val="TableParagraph"/>
              <w:spacing w:line="238" w:lineRule="exact"/>
              <w:ind w:left="94" w:right="0"/>
              <w:jc w:val="center"/>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 </w:t>
            </w:r>
          </w:p>
        </w:tc>
        <w:tc>
          <w:tcPr>
            <w:tcW w:w="171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252" w:right="0"/>
              <w:jc w:val="left"/>
              <w:rPr>
                <w:rFonts w:ascii="宋体" w:hAnsi="宋体" w:cs="宋体" w:eastAsia="宋体" w:hint="default"/>
                <w:sz w:val="20"/>
                <w:szCs w:val="20"/>
              </w:rPr>
            </w:pPr>
            <w:r>
              <w:rPr>
                <w:rFonts w:ascii="宋体" w:hAnsi="宋体" w:cs="宋体" w:eastAsia="宋体" w:hint="default"/>
                <w:sz w:val="20"/>
                <w:szCs w:val="20"/>
              </w:rPr>
              <w:t>上年同期金额</w:t>
            </w:r>
            <w:r>
              <w:rPr>
                <w:rFonts w:ascii="宋体" w:hAnsi="宋体" w:cs="宋体" w:eastAsia="宋体" w:hint="default"/>
                <w:sz w:val="20"/>
                <w:szCs w:val="20"/>
              </w:rPr>
              <w:t> </w:t>
            </w:r>
          </w:p>
        </w:tc>
        <w:tc>
          <w:tcPr>
            <w:tcW w:w="1030" w:type="dxa"/>
            <w:tcBorders>
              <w:top w:val="single" w:sz="4" w:space="0" w:color="41B7EE"/>
              <w:left w:val="single" w:sz="4" w:space="0" w:color="41B7EE"/>
              <w:bottom w:val="single" w:sz="4" w:space="0" w:color="41B7EE"/>
              <w:right w:val="single" w:sz="4" w:space="0" w:color="41B7EE"/>
            </w:tcBorders>
          </w:tcPr>
          <w:p>
            <w:pPr>
              <w:pStyle w:val="TableParagraph"/>
              <w:spacing w:line="237" w:lineRule="auto" w:before="100"/>
              <w:ind w:left="108" w:right="11"/>
              <w:jc w:val="both"/>
              <w:rPr>
                <w:rFonts w:ascii="宋体" w:hAnsi="宋体" w:cs="宋体" w:eastAsia="宋体" w:hint="default"/>
                <w:sz w:val="20"/>
                <w:szCs w:val="20"/>
              </w:rPr>
            </w:pPr>
            <w:r>
              <w:rPr>
                <w:rFonts w:ascii="宋体" w:hAnsi="宋体" w:cs="宋体" w:eastAsia="宋体" w:hint="default"/>
                <w:sz w:val="20"/>
                <w:szCs w:val="20"/>
              </w:rPr>
              <w:t>上年同期</w:t>
            </w:r>
            <w:r>
              <w:rPr>
                <w:rFonts w:ascii="宋体" w:hAnsi="宋体" w:cs="宋体" w:eastAsia="宋体" w:hint="default"/>
                <w:w w:val="99"/>
                <w:sz w:val="20"/>
                <w:szCs w:val="20"/>
              </w:rPr>
              <w:t> </w:t>
            </w:r>
            <w:r>
              <w:rPr>
                <w:rFonts w:ascii="宋体" w:hAnsi="宋体" w:cs="宋体" w:eastAsia="宋体" w:hint="default"/>
                <w:sz w:val="20"/>
                <w:szCs w:val="20"/>
              </w:rPr>
              <w:t>占总成本</w:t>
            </w:r>
            <w:r>
              <w:rPr>
                <w:rFonts w:ascii="宋体" w:hAnsi="宋体" w:cs="宋体" w:eastAsia="宋体" w:hint="default"/>
                <w:w w:val="99"/>
                <w:sz w:val="20"/>
                <w:szCs w:val="20"/>
              </w:rPr>
              <w:t> </w:t>
            </w:r>
            <w:r>
              <w:rPr>
                <w:rFonts w:ascii="宋体" w:hAnsi="宋体" w:cs="宋体" w:eastAsia="宋体" w:hint="default"/>
                <w:sz w:val="20"/>
                <w:szCs w:val="20"/>
              </w:rPr>
              <w:t>比例（</w:t>
            </w:r>
            <w:r>
              <w:rPr>
                <w:rFonts w:ascii="宋体" w:hAnsi="宋体" w:cs="宋体" w:eastAsia="宋体" w:hint="default"/>
                <w:sz w:val="20"/>
                <w:szCs w:val="20"/>
              </w:rPr>
              <w:t>%) </w:t>
            </w:r>
          </w:p>
        </w:tc>
        <w:tc>
          <w:tcPr>
            <w:tcW w:w="1008" w:type="dxa"/>
            <w:tcBorders>
              <w:top w:val="single" w:sz="4" w:space="0" w:color="41B7EE"/>
              <w:left w:val="single" w:sz="4" w:space="0" w:color="41B7EE"/>
              <w:bottom w:val="single" w:sz="4" w:space="0" w:color="41B7EE"/>
              <w:right w:val="nil" w:sz="6" w:space="0" w:color="auto"/>
            </w:tcBorders>
          </w:tcPr>
          <w:p>
            <w:pPr>
              <w:pStyle w:val="TableParagraph"/>
              <w:spacing w:line="228" w:lineRule="exact"/>
              <w:ind w:left="98" w:right="0"/>
              <w:jc w:val="both"/>
              <w:rPr>
                <w:rFonts w:ascii="宋体" w:hAnsi="宋体" w:cs="宋体" w:eastAsia="宋体" w:hint="default"/>
                <w:sz w:val="20"/>
                <w:szCs w:val="20"/>
              </w:rPr>
            </w:pPr>
            <w:r>
              <w:rPr>
                <w:rFonts w:ascii="宋体" w:hAnsi="宋体" w:cs="宋体" w:eastAsia="宋体" w:hint="default"/>
                <w:sz w:val="20"/>
                <w:szCs w:val="20"/>
              </w:rPr>
              <w:t>本期金额</w:t>
            </w:r>
          </w:p>
          <w:p>
            <w:pPr>
              <w:pStyle w:val="TableParagraph"/>
              <w:spacing w:line="237" w:lineRule="auto" w:before="1"/>
              <w:ind w:left="98" w:right="104"/>
              <w:jc w:val="both"/>
              <w:rPr>
                <w:rFonts w:ascii="宋体" w:hAnsi="宋体" w:cs="宋体" w:eastAsia="宋体" w:hint="default"/>
                <w:sz w:val="20"/>
                <w:szCs w:val="20"/>
              </w:rPr>
            </w:pPr>
            <w:r>
              <w:rPr>
                <w:rFonts w:ascii="宋体" w:hAnsi="宋体" w:cs="宋体" w:eastAsia="宋体" w:hint="default"/>
                <w:sz w:val="20"/>
                <w:szCs w:val="20"/>
              </w:rPr>
              <w:t>较上年同</w:t>
            </w:r>
            <w:r>
              <w:rPr>
                <w:rFonts w:ascii="宋体" w:hAnsi="宋体" w:cs="宋体" w:eastAsia="宋体" w:hint="default"/>
                <w:w w:val="99"/>
                <w:sz w:val="20"/>
                <w:szCs w:val="20"/>
              </w:rPr>
              <w:t> </w:t>
            </w:r>
            <w:r>
              <w:rPr>
                <w:rFonts w:ascii="宋体" w:hAnsi="宋体" w:cs="宋体" w:eastAsia="宋体" w:hint="default"/>
                <w:sz w:val="20"/>
                <w:szCs w:val="20"/>
              </w:rPr>
              <w:t>期变动比</w:t>
            </w:r>
            <w:r>
              <w:rPr>
                <w:rFonts w:ascii="宋体" w:hAnsi="宋体" w:cs="宋体" w:eastAsia="宋体" w:hint="default"/>
                <w:w w:val="99"/>
                <w:sz w:val="20"/>
                <w:szCs w:val="20"/>
              </w:rPr>
              <w:t> </w:t>
            </w:r>
            <w:r>
              <w:rPr>
                <w:rFonts w:ascii="宋体" w:hAnsi="宋体" w:cs="宋体" w:eastAsia="宋体" w:hint="default"/>
                <w:sz w:val="20"/>
                <w:szCs w:val="20"/>
              </w:rPr>
              <w:t>例（</w:t>
            </w:r>
            <w:r>
              <w:rPr>
                <w:rFonts w:ascii="宋体" w:hAnsi="宋体" w:cs="宋体" w:eastAsia="宋体" w:hint="default"/>
                <w:sz w:val="20"/>
                <w:szCs w:val="20"/>
              </w:rPr>
              <w:t>%) </w:t>
            </w:r>
          </w:p>
        </w:tc>
      </w:tr>
      <w:tr>
        <w:trPr>
          <w:trHeight w:val="355" w:hRule="exact"/>
        </w:trPr>
        <w:tc>
          <w:tcPr>
            <w:tcW w:w="137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right="283"/>
              <w:jc w:val="right"/>
              <w:rPr>
                <w:rFonts w:ascii="宋体" w:hAnsi="宋体" w:cs="宋体" w:eastAsia="宋体" w:hint="default"/>
                <w:sz w:val="21"/>
                <w:szCs w:val="21"/>
              </w:rPr>
            </w:pPr>
            <w:r>
              <w:rPr>
                <w:rFonts w:ascii="宋体" w:hAnsi="宋体" w:cs="宋体" w:eastAsia="宋体" w:hint="default"/>
                <w:spacing w:val="-1"/>
                <w:sz w:val="21"/>
                <w:szCs w:val="21"/>
              </w:rPr>
              <w:t>房地产行业</w:t>
            </w:r>
          </w:p>
        </w:tc>
        <w:tc>
          <w:tcPr>
            <w:tcW w:w="134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21" w:right="0"/>
              <w:jc w:val="left"/>
              <w:rPr>
                <w:rFonts w:ascii="宋体" w:hAnsi="宋体" w:cs="宋体" w:eastAsia="宋体" w:hint="default"/>
                <w:sz w:val="21"/>
                <w:szCs w:val="21"/>
              </w:rPr>
            </w:pPr>
            <w:r>
              <w:rPr>
                <w:rFonts w:ascii="宋体" w:hAnsi="宋体" w:cs="宋体" w:eastAsia="宋体" w:hint="default"/>
                <w:sz w:val="21"/>
                <w:szCs w:val="21"/>
              </w:rPr>
              <w:t>商品房和车位</w:t>
            </w:r>
          </w:p>
        </w:tc>
        <w:tc>
          <w:tcPr>
            <w:tcW w:w="142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left="196" w:right="0"/>
              <w:jc w:val="center"/>
              <w:rPr>
                <w:rFonts w:ascii="Arial" w:hAnsi="Arial" w:cs="Arial" w:eastAsia="Arial" w:hint="default"/>
                <w:sz w:val="20"/>
                <w:szCs w:val="20"/>
              </w:rPr>
            </w:pPr>
            <w:r>
              <w:rPr>
                <w:rFonts w:ascii="Arial"/>
                <w:sz w:val="20"/>
              </w:rPr>
              <w:t>7,478,014.51</w:t>
            </w:r>
          </w:p>
        </w:tc>
        <w:tc>
          <w:tcPr>
            <w:tcW w:w="10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left="323" w:right="0"/>
              <w:jc w:val="left"/>
              <w:rPr>
                <w:rFonts w:ascii="Arial" w:hAnsi="Arial" w:cs="Arial" w:eastAsia="Arial" w:hint="default"/>
                <w:sz w:val="21"/>
                <w:szCs w:val="21"/>
              </w:rPr>
            </w:pPr>
            <w:r>
              <w:rPr>
                <w:rFonts w:ascii="Arial"/>
                <w:sz w:val="21"/>
              </w:rPr>
              <w:t>100.00</w:t>
            </w:r>
          </w:p>
        </w:tc>
        <w:tc>
          <w:tcPr>
            <w:tcW w:w="171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left="220" w:right="0"/>
              <w:jc w:val="left"/>
              <w:rPr>
                <w:rFonts w:ascii="Arial" w:hAnsi="Arial" w:cs="Arial" w:eastAsia="Arial" w:hint="default"/>
                <w:sz w:val="21"/>
                <w:szCs w:val="21"/>
              </w:rPr>
            </w:pPr>
            <w:r>
              <w:rPr>
                <w:rFonts w:ascii="Arial"/>
                <w:sz w:val="21"/>
              </w:rPr>
              <w:t>150,381,428.16</w:t>
            </w:r>
          </w:p>
        </w:tc>
        <w:tc>
          <w:tcPr>
            <w:tcW w:w="103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left="352" w:right="0"/>
              <w:jc w:val="left"/>
              <w:rPr>
                <w:rFonts w:ascii="Arial" w:hAnsi="Arial" w:cs="Arial" w:eastAsia="Arial" w:hint="default"/>
                <w:sz w:val="21"/>
                <w:szCs w:val="21"/>
              </w:rPr>
            </w:pPr>
            <w:r>
              <w:rPr>
                <w:rFonts w:ascii="Arial"/>
                <w:sz w:val="21"/>
              </w:rPr>
              <w:t>100.00</w:t>
            </w:r>
          </w:p>
        </w:tc>
        <w:tc>
          <w:tcPr>
            <w:tcW w:w="100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left="379" w:right="0"/>
              <w:jc w:val="left"/>
              <w:rPr>
                <w:rFonts w:ascii="Arial" w:hAnsi="Arial" w:cs="Arial" w:eastAsia="Arial" w:hint="default"/>
                <w:sz w:val="21"/>
                <w:szCs w:val="21"/>
              </w:rPr>
            </w:pPr>
            <w:r>
              <w:rPr>
                <w:rFonts w:ascii="Arial"/>
                <w:sz w:val="21"/>
              </w:rPr>
              <w:t>-95.03</w:t>
            </w:r>
          </w:p>
        </w:tc>
      </w:tr>
    </w:tbl>
    <w:p>
      <w:pPr>
        <w:pStyle w:val="BodyText"/>
        <w:spacing w:line="240" w:lineRule="auto" w:before="4"/>
        <w:ind w:left="3654" w:right="3606"/>
        <w:jc w:val="center"/>
        <w:rPr>
          <w:rFonts w:ascii="宋体" w:hAnsi="宋体" w:cs="宋体" w:eastAsia="宋体" w:hint="default"/>
        </w:rPr>
      </w:pPr>
      <w:r>
        <w:rPr/>
        <w:t>分产品情况</w:t>
      </w:r>
      <w:r>
        <w:rPr>
          <w:rFonts w:ascii="宋体" w:hAnsi="宋体" w:cs="宋体" w:eastAsia="宋体" w:hint="default"/>
        </w:rPr>
        <w:t> </w:t>
      </w:r>
    </w:p>
    <w:p>
      <w:pPr>
        <w:spacing w:line="240" w:lineRule="auto" w:before="4"/>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1373"/>
        <w:gridCol w:w="1340"/>
        <w:gridCol w:w="1426"/>
        <w:gridCol w:w="1001"/>
        <w:gridCol w:w="1714"/>
        <w:gridCol w:w="1030"/>
        <w:gridCol w:w="1008"/>
      </w:tblGrid>
      <w:tr>
        <w:trPr>
          <w:trHeight w:val="1049" w:hRule="exact"/>
        </w:trPr>
        <w:tc>
          <w:tcPr>
            <w:tcW w:w="137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281"/>
              <w:jc w:val="right"/>
              <w:rPr>
                <w:rFonts w:ascii="宋体" w:hAnsi="宋体" w:cs="宋体" w:eastAsia="宋体" w:hint="default"/>
                <w:sz w:val="20"/>
                <w:szCs w:val="20"/>
              </w:rPr>
            </w:pPr>
            <w:r>
              <w:rPr>
                <w:rFonts w:ascii="宋体" w:hAnsi="宋体" w:cs="宋体" w:eastAsia="宋体" w:hint="default"/>
                <w:w w:val="95"/>
                <w:sz w:val="20"/>
                <w:szCs w:val="20"/>
              </w:rPr>
              <w:t>分产品</w:t>
            </w:r>
            <w:r>
              <w:rPr>
                <w:rFonts w:ascii="宋体" w:hAnsi="宋体" w:cs="宋体" w:eastAsia="宋体" w:hint="default"/>
                <w:w w:val="95"/>
                <w:sz w:val="20"/>
                <w:szCs w:val="20"/>
              </w:rPr>
              <w:t> </w:t>
            </w:r>
            <w:r>
              <w:rPr>
                <w:rFonts w:ascii="宋体" w:hAnsi="宋体" w:cs="宋体" w:eastAsia="宋体" w:hint="default"/>
                <w:sz w:val="20"/>
                <w:szCs w:val="20"/>
              </w:rPr>
            </w:r>
          </w:p>
        </w:tc>
        <w:tc>
          <w:tcPr>
            <w:tcW w:w="1340" w:type="dxa"/>
            <w:tcBorders>
              <w:top w:val="single" w:sz="4" w:space="0" w:color="41B7EE"/>
              <w:left w:val="single" w:sz="4" w:space="0" w:color="41B7EE"/>
              <w:bottom w:val="single" w:sz="4" w:space="0" w:color="41B7EE"/>
              <w:right w:val="single" w:sz="9" w:space="0" w:color="FFFFFF"/>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62" w:right="-39"/>
              <w:jc w:val="left"/>
              <w:rPr>
                <w:rFonts w:ascii="宋体" w:hAnsi="宋体" w:cs="宋体" w:eastAsia="宋体" w:hint="default"/>
                <w:sz w:val="20"/>
                <w:szCs w:val="20"/>
              </w:rPr>
            </w:pPr>
            <w:r>
              <w:rPr>
                <w:rFonts w:ascii="宋体" w:hAnsi="宋体" w:cs="宋体" w:eastAsia="宋体" w:hint="default"/>
                <w:sz w:val="20"/>
                <w:szCs w:val="20"/>
              </w:rPr>
              <w:t>成本构成项目</w:t>
            </w:r>
            <w:r>
              <w:rPr>
                <w:rFonts w:ascii="宋体" w:hAnsi="宋体" w:cs="宋体" w:eastAsia="宋体" w:hint="default"/>
                <w:sz w:val="20"/>
                <w:szCs w:val="20"/>
              </w:rPr>
              <w:t> </w:t>
            </w:r>
          </w:p>
        </w:tc>
        <w:tc>
          <w:tcPr>
            <w:tcW w:w="1426" w:type="dxa"/>
            <w:tcBorders>
              <w:top w:val="single" w:sz="4" w:space="0" w:color="41B7EE"/>
              <w:left w:val="single" w:sz="9" w:space="0" w:color="FFFFFF"/>
              <w:bottom w:val="single" w:sz="4" w:space="0" w:color="41B7EE"/>
              <w:right w:val="single" w:sz="4" w:space="0" w:color="41B7EE"/>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91" w:right="0"/>
              <w:jc w:val="center"/>
              <w:rPr>
                <w:rFonts w:ascii="宋体" w:hAnsi="宋体" w:cs="宋体" w:eastAsia="宋体" w:hint="default"/>
                <w:sz w:val="20"/>
                <w:szCs w:val="20"/>
              </w:rPr>
            </w:pPr>
            <w:r>
              <w:rPr>
                <w:rFonts w:ascii="宋体" w:hAnsi="宋体" w:cs="宋体" w:eastAsia="宋体" w:hint="default"/>
                <w:sz w:val="20"/>
                <w:szCs w:val="20"/>
              </w:rPr>
              <w:t>本期金额</w:t>
            </w:r>
            <w:r>
              <w:rPr>
                <w:rFonts w:ascii="宋体" w:hAnsi="宋体" w:cs="宋体" w:eastAsia="宋体" w:hint="default"/>
                <w:sz w:val="20"/>
                <w:szCs w:val="20"/>
              </w:rPr>
              <w:t> </w:t>
            </w:r>
          </w:p>
        </w:tc>
        <w:tc>
          <w:tcPr>
            <w:tcW w:w="1001" w:type="dxa"/>
            <w:tcBorders>
              <w:top w:val="single" w:sz="4" w:space="0" w:color="41B7EE"/>
              <w:left w:val="single" w:sz="4" w:space="0" w:color="41B7EE"/>
              <w:bottom w:val="single" w:sz="4" w:space="0" w:color="41B7EE"/>
              <w:right w:val="single" w:sz="4" w:space="0" w:color="41B7EE"/>
            </w:tcBorders>
          </w:tcPr>
          <w:p>
            <w:pPr>
              <w:pStyle w:val="TableParagraph"/>
              <w:spacing w:line="260" w:lineRule="exact" w:before="123"/>
              <w:ind w:left="93" w:right="99"/>
              <w:jc w:val="center"/>
              <w:rPr>
                <w:rFonts w:ascii="宋体" w:hAnsi="宋体" w:cs="宋体" w:eastAsia="宋体" w:hint="default"/>
                <w:sz w:val="20"/>
                <w:szCs w:val="20"/>
              </w:rPr>
            </w:pPr>
            <w:r>
              <w:rPr>
                <w:rFonts w:ascii="宋体" w:hAnsi="宋体" w:cs="宋体" w:eastAsia="宋体" w:hint="default"/>
                <w:sz w:val="20"/>
                <w:szCs w:val="20"/>
              </w:rPr>
              <w:t>本期占总</w:t>
            </w:r>
            <w:r>
              <w:rPr>
                <w:rFonts w:ascii="宋体" w:hAnsi="宋体" w:cs="宋体" w:eastAsia="宋体" w:hint="default"/>
                <w:w w:val="99"/>
                <w:sz w:val="20"/>
                <w:szCs w:val="20"/>
              </w:rPr>
              <w:t> </w:t>
            </w:r>
            <w:r>
              <w:rPr>
                <w:rFonts w:ascii="宋体" w:hAnsi="宋体" w:cs="宋体" w:eastAsia="宋体" w:hint="default"/>
                <w:sz w:val="20"/>
                <w:szCs w:val="20"/>
              </w:rPr>
              <w:t>成本比例</w:t>
            </w:r>
          </w:p>
          <w:p>
            <w:pPr>
              <w:pStyle w:val="TableParagraph"/>
              <w:spacing w:line="235" w:lineRule="exact"/>
              <w:ind w:left="94" w:right="0"/>
              <w:jc w:val="center"/>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 </w:t>
            </w:r>
          </w:p>
        </w:tc>
        <w:tc>
          <w:tcPr>
            <w:tcW w:w="171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252" w:right="0"/>
              <w:jc w:val="left"/>
              <w:rPr>
                <w:rFonts w:ascii="宋体" w:hAnsi="宋体" w:cs="宋体" w:eastAsia="宋体" w:hint="default"/>
                <w:sz w:val="20"/>
                <w:szCs w:val="20"/>
              </w:rPr>
            </w:pPr>
            <w:r>
              <w:rPr>
                <w:rFonts w:ascii="宋体" w:hAnsi="宋体" w:cs="宋体" w:eastAsia="宋体" w:hint="default"/>
                <w:sz w:val="20"/>
                <w:szCs w:val="20"/>
              </w:rPr>
              <w:t>上年同期金额</w:t>
            </w:r>
            <w:r>
              <w:rPr>
                <w:rFonts w:ascii="宋体" w:hAnsi="宋体" w:cs="宋体" w:eastAsia="宋体" w:hint="default"/>
                <w:sz w:val="20"/>
                <w:szCs w:val="20"/>
              </w:rPr>
              <w:t> </w:t>
            </w:r>
          </w:p>
        </w:tc>
        <w:tc>
          <w:tcPr>
            <w:tcW w:w="1030" w:type="dxa"/>
            <w:tcBorders>
              <w:top w:val="single" w:sz="4" w:space="0" w:color="41B7EE"/>
              <w:left w:val="single" w:sz="4" w:space="0" w:color="41B7EE"/>
              <w:bottom w:val="single" w:sz="4" w:space="0" w:color="41B7EE"/>
              <w:right w:val="single" w:sz="4" w:space="0" w:color="41B7EE"/>
            </w:tcBorders>
          </w:tcPr>
          <w:p>
            <w:pPr>
              <w:pStyle w:val="TableParagraph"/>
              <w:spacing w:line="260" w:lineRule="exact" w:before="123"/>
              <w:ind w:left="108" w:right="11"/>
              <w:jc w:val="both"/>
              <w:rPr>
                <w:rFonts w:ascii="宋体" w:hAnsi="宋体" w:cs="宋体" w:eastAsia="宋体" w:hint="default"/>
                <w:sz w:val="20"/>
                <w:szCs w:val="20"/>
              </w:rPr>
            </w:pPr>
            <w:r>
              <w:rPr>
                <w:rFonts w:ascii="宋体" w:hAnsi="宋体" w:cs="宋体" w:eastAsia="宋体" w:hint="default"/>
                <w:sz w:val="20"/>
                <w:szCs w:val="20"/>
              </w:rPr>
              <w:t>上年同期</w:t>
            </w:r>
            <w:r>
              <w:rPr>
                <w:rFonts w:ascii="宋体" w:hAnsi="宋体" w:cs="宋体" w:eastAsia="宋体" w:hint="default"/>
                <w:w w:val="99"/>
                <w:sz w:val="20"/>
                <w:szCs w:val="20"/>
              </w:rPr>
              <w:t> </w:t>
            </w:r>
            <w:r>
              <w:rPr>
                <w:rFonts w:ascii="宋体" w:hAnsi="宋体" w:cs="宋体" w:eastAsia="宋体" w:hint="default"/>
                <w:sz w:val="20"/>
                <w:szCs w:val="20"/>
              </w:rPr>
              <w:t>占总成本</w:t>
            </w:r>
            <w:r>
              <w:rPr>
                <w:rFonts w:ascii="宋体" w:hAnsi="宋体" w:cs="宋体" w:eastAsia="宋体" w:hint="default"/>
                <w:w w:val="99"/>
                <w:sz w:val="20"/>
                <w:szCs w:val="20"/>
              </w:rPr>
              <w:t> </w:t>
            </w:r>
            <w:r>
              <w:rPr>
                <w:rFonts w:ascii="宋体" w:hAnsi="宋体" w:cs="宋体" w:eastAsia="宋体" w:hint="default"/>
                <w:sz w:val="20"/>
                <w:szCs w:val="20"/>
              </w:rPr>
              <w:t>比例（</w:t>
            </w:r>
            <w:r>
              <w:rPr>
                <w:rFonts w:ascii="宋体" w:hAnsi="宋体" w:cs="宋体" w:eastAsia="宋体" w:hint="default"/>
                <w:sz w:val="20"/>
                <w:szCs w:val="20"/>
              </w:rPr>
              <w:t>%) </w:t>
            </w:r>
          </w:p>
        </w:tc>
        <w:tc>
          <w:tcPr>
            <w:tcW w:w="1008" w:type="dxa"/>
            <w:tcBorders>
              <w:top w:val="single" w:sz="4" w:space="0" w:color="41B7EE"/>
              <w:left w:val="single" w:sz="4" w:space="0" w:color="41B7EE"/>
              <w:bottom w:val="single" w:sz="4" w:space="0" w:color="41B7EE"/>
              <w:right w:val="nil" w:sz="6" w:space="0" w:color="auto"/>
            </w:tcBorders>
          </w:tcPr>
          <w:p>
            <w:pPr>
              <w:pStyle w:val="TableParagraph"/>
              <w:spacing w:line="228" w:lineRule="exact"/>
              <w:ind w:left="98" w:right="0"/>
              <w:jc w:val="both"/>
              <w:rPr>
                <w:rFonts w:ascii="宋体" w:hAnsi="宋体" w:cs="宋体" w:eastAsia="宋体" w:hint="default"/>
                <w:sz w:val="20"/>
                <w:szCs w:val="20"/>
              </w:rPr>
            </w:pPr>
            <w:r>
              <w:rPr>
                <w:rFonts w:ascii="宋体" w:hAnsi="宋体" w:cs="宋体" w:eastAsia="宋体" w:hint="default"/>
                <w:sz w:val="20"/>
                <w:szCs w:val="20"/>
              </w:rPr>
              <w:t>本期金额</w:t>
            </w:r>
          </w:p>
          <w:p>
            <w:pPr>
              <w:pStyle w:val="TableParagraph"/>
              <w:spacing w:line="237" w:lineRule="auto" w:before="1"/>
              <w:ind w:left="98" w:right="104"/>
              <w:jc w:val="both"/>
              <w:rPr>
                <w:rFonts w:ascii="宋体" w:hAnsi="宋体" w:cs="宋体" w:eastAsia="宋体" w:hint="default"/>
                <w:sz w:val="20"/>
                <w:szCs w:val="20"/>
              </w:rPr>
            </w:pPr>
            <w:r>
              <w:rPr>
                <w:rFonts w:ascii="宋体" w:hAnsi="宋体" w:cs="宋体" w:eastAsia="宋体" w:hint="default"/>
                <w:sz w:val="20"/>
                <w:szCs w:val="20"/>
              </w:rPr>
              <w:t>较上年同</w:t>
            </w:r>
            <w:r>
              <w:rPr>
                <w:rFonts w:ascii="宋体" w:hAnsi="宋体" w:cs="宋体" w:eastAsia="宋体" w:hint="default"/>
                <w:w w:val="99"/>
                <w:sz w:val="20"/>
                <w:szCs w:val="20"/>
              </w:rPr>
              <w:t> </w:t>
            </w:r>
            <w:r>
              <w:rPr>
                <w:rFonts w:ascii="宋体" w:hAnsi="宋体" w:cs="宋体" w:eastAsia="宋体" w:hint="default"/>
                <w:sz w:val="20"/>
                <w:szCs w:val="20"/>
              </w:rPr>
              <w:t>期变动比</w:t>
            </w:r>
            <w:r>
              <w:rPr>
                <w:rFonts w:ascii="宋体" w:hAnsi="宋体" w:cs="宋体" w:eastAsia="宋体" w:hint="default"/>
                <w:w w:val="99"/>
                <w:sz w:val="20"/>
                <w:szCs w:val="20"/>
              </w:rPr>
              <w:t> </w:t>
            </w:r>
            <w:r>
              <w:rPr>
                <w:rFonts w:ascii="宋体" w:hAnsi="宋体" w:cs="宋体" w:eastAsia="宋体" w:hint="default"/>
                <w:sz w:val="20"/>
                <w:szCs w:val="20"/>
              </w:rPr>
              <w:t>例（</w:t>
            </w:r>
            <w:r>
              <w:rPr>
                <w:rFonts w:ascii="宋体" w:hAnsi="宋体" w:cs="宋体" w:eastAsia="宋体" w:hint="default"/>
                <w:sz w:val="20"/>
                <w:szCs w:val="20"/>
              </w:rPr>
              <w:t>%) </w:t>
            </w:r>
          </w:p>
        </w:tc>
      </w:tr>
      <w:tr>
        <w:trPr>
          <w:trHeight w:val="362" w:hRule="exact"/>
        </w:trPr>
        <w:tc>
          <w:tcPr>
            <w:tcW w:w="1373"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2"/>
              <w:ind w:right="283"/>
              <w:jc w:val="right"/>
              <w:rPr>
                <w:rFonts w:ascii="宋体" w:hAnsi="宋体" w:cs="宋体" w:eastAsia="宋体" w:hint="default"/>
                <w:sz w:val="21"/>
                <w:szCs w:val="21"/>
              </w:rPr>
            </w:pPr>
            <w:r>
              <w:rPr>
                <w:rFonts w:ascii="宋体" w:hAnsi="宋体" w:cs="宋体" w:eastAsia="宋体" w:hint="default"/>
                <w:spacing w:val="-1"/>
                <w:sz w:val="21"/>
                <w:szCs w:val="21"/>
              </w:rPr>
              <w:t>商品房销售</w:t>
            </w:r>
          </w:p>
        </w:tc>
        <w:tc>
          <w:tcPr>
            <w:tcW w:w="1340"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2"/>
              <w:ind w:left="21" w:right="0"/>
              <w:jc w:val="left"/>
              <w:rPr>
                <w:rFonts w:ascii="宋体" w:hAnsi="宋体" w:cs="宋体" w:eastAsia="宋体" w:hint="default"/>
                <w:sz w:val="21"/>
                <w:szCs w:val="21"/>
              </w:rPr>
            </w:pPr>
            <w:r>
              <w:rPr>
                <w:rFonts w:ascii="宋体" w:hAnsi="宋体" w:cs="宋体" w:eastAsia="宋体" w:hint="default"/>
                <w:sz w:val="21"/>
                <w:szCs w:val="21"/>
              </w:rPr>
              <w:t>商品房成本</w:t>
            </w:r>
            <w:r>
              <w:rPr>
                <w:rFonts w:ascii="宋体" w:hAnsi="宋体" w:cs="宋体" w:eastAsia="宋体" w:hint="default"/>
                <w:sz w:val="21"/>
                <w:szCs w:val="21"/>
              </w:rPr>
              <w:t> </w:t>
            </w:r>
          </w:p>
        </w:tc>
        <w:tc>
          <w:tcPr>
            <w:tcW w:w="1426"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left="143" w:right="0"/>
              <w:jc w:val="center"/>
              <w:rPr>
                <w:rFonts w:ascii="Arial" w:hAnsi="Arial" w:cs="Arial" w:eastAsia="Arial" w:hint="default"/>
                <w:sz w:val="21"/>
                <w:szCs w:val="21"/>
              </w:rPr>
            </w:pPr>
            <w:r>
              <w:rPr>
                <w:rFonts w:ascii="Arial"/>
                <w:sz w:val="21"/>
              </w:rPr>
              <w:t>7,478,014.51</w:t>
            </w:r>
          </w:p>
        </w:tc>
        <w:tc>
          <w:tcPr>
            <w:tcW w:w="1001"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left="323" w:right="0"/>
              <w:jc w:val="left"/>
              <w:rPr>
                <w:rFonts w:ascii="Arial" w:hAnsi="Arial" w:cs="Arial" w:eastAsia="Arial" w:hint="default"/>
                <w:sz w:val="21"/>
                <w:szCs w:val="21"/>
              </w:rPr>
            </w:pPr>
            <w:r>
              <w:rPr>
                <w:rFonts w:ascii="Arial"/>
                <w:sz w:val="21"/>
              </w:rPr>
              <w:t>100.00</w:t>
            </w:r>
          </w:p>
        </w:tc>
        <w:tc>
          <w:tcPr>
            <w:tcW w:w="1714"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left="220" w:right="0"/>
              <w:jc w:val="left"/>
              <w:rPr>
                <w:rFonts w:ascii="Arial" w:hAnsi="Arial" w:cs="Arial" w:eastAsia="Arial" w:hint="default"/>
                <w:sz w:val="21"/>
                <w:szCs w:val="21"/>
              </w:rPr>
            </w:pPr>
            <w:r>
              <w:rPr>
                <w:rFonts w:ascii="Arial"/>
                <w:sz w:val="21"/>
              </w:rPr>
              <w:t>149,773,617.95</w:t>
            </w:r>
          </w:p>
        </w:tc>
        <w:tc>
          <w:tcPr>
            <w:tcW w:w="1030"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left="352" w:right="0"/>
              <w:jc w:val="left"/>
              <w:rPr>
                <w:rFonts w:ascii="Arial" w:hAnsi="Arial" w:cs="Arial" w:eastAsia="Arial" w:hint="default"/>
                <w:sz w:val="21"/>
                <w:szCs w:val="21"/>
              </w:rPr>
            </w:pPr>
            <w:r>
              <w:rPr>
                <w:rFonts w:ascii="Arial"/>
                <w:sz w:val="21"/>
              </w:rPr>
              <w:t>100.00</w:t>
            </w:r>
          </w:p>
        </w:tc>
        <w:tc>
          <w:tcPr>
            <w:tcW w:w="1008"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8"/>
              <w:ind w:left="379" w:right="0"/>
              <w:jc w:val="left"/>
              <w:rPr>
                <w:rFonts w:ascii="Arial" w:hAnsi="Arial" w:cs="Arial" w:eastAsia="Arial" w:hint="default"/>
                <w:sz w:val="21"/>
                <w:szCs w:val="21"/>
              </w:rPr>
            </w:pPr>
            <w:r>
              <w:rPr>
                <w:rFonts w:ascii="Arial"/>
                <w:sz w:val="21"/>
              </w:rPr>
              <w:t>-95.01</w:t>
            </w:r>
          </w:p>
        </w:tc>
      </w:tr>
    </w:tbl>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1368;height:2" coordorigin="10,10" coordsize="1368,2">
              <v:shape style="position:absolute;left:10;top:10;width:1368;height:2" coordorigin="10,10" coordsize="1368,0" path="m10,10l1378,10e" filled="false" stroked="true" strokeweight=".96002pt" strokecolor="#41b7ee">
                <v:path arrowok="t"/>
              </v:shape>
            </v:group>
            <v:group style="position:absolute;left:1378;top:10;width:58;height:2" coordorigin="1378,10" coordsize="58,2">
              <v:shape style="position:absolute;left:1378;top:10;width:58;height:2" coordorigin="1378,10" coordsize="58,0" path="m1378,10l1435,10e" filled="false" stroked="true" strokeweight=".96002pt" strokecolor="#41b7ee">
                <v:path arrowok="t"/>
              </v:shape>
            </v:group>
            <v:group style="position:absolute;left:1435;top:10;width:1283;height:2" coordorigin="1435,10" coordsize="1283,2">
              <v:shape style="position:absolute;left:1435;top:10;width:1283;height:2" coordorigin="1435,10" coordsize="1283,0" path="m1435,10l2717,10e" filled="false" stroked="true" strokeweight=".96002pt" strokecolor="#41b7ee">
                <v:path arrowok="t"/>
              </v:shape>
            </v:group>
            <v:group style="position:absolute;left:2717;top:10;width:58;height:2" coordorigin="2717,10" coordsize="58,2">
              <v:shape style="position:absolute;left:2717;top:10;width:58;height:2" coordorigin="2717,10" coordsize="58,0" path="m2717,10l2775,10e" filled="false" stroked="true" strokeweight=".96002pt" strokecolor="#41b7ee">
                <v:path arrowok="t"/>
              </v:shape>
            </v:group>
            <v:group style="position:absolute;left:2775;top:10;width:1368;height:2" coordorigin="2775,10" coordsize="1368,2">
              <v:shape style="position:absolute;left:2775;top:10;width:1368;height:2" coordorigin="2775,10" coordsize="1368,0" path="m2775,10l4143,10e" filled="false" stroked="true" strokeweight=".96002pt" strokecolor="#41b7ee">
                <v:path arrowok="t"/>
              </v:shape>
            </v:group>
            <v:group style="position:absolute;left:4143;top:10;width:58;height:2" coordorigin="4143,10" coordsize="58,2">
              <v:shape style="position:absolute;left:4143;top:10;width:58;height:2" coordorigin="4143,10" coordsize="58,0" path="m4143,10l4201,10e" filled="false" stroked="true" strokeweight=".96002pt" strokecolor="#41b7ee">
                <v:path arrowok="t"/>
              </v:shape>
            </v:group>
            <v:group style="position:absolute;left:4201;top:10;width:944;height:2" coordorigin="4201,10" coordsize="944,2">
              <v:shape style="position:absolute;left:4201;top:10;width:944;height:2" coordorigin="4201,10" coordsize="944,0" path="m4201,10l5144,10e" filled="false" stroked="true" strokeweight=".96002pt" strokecolor="#41b7ee">
                <v:path arrowok="t"/>
              </v:shape>
            </v:group>
            <v:group style="position:absolute;left:5144;top:10;width:58;height:2" coordorigin="5144,10" coordsize="58,2">
              <v:shape style="position:absolute;left:5144;top:10;width:58;height:2" coordorigin="5144,10" coordsize="58,0" path="m5144,10l5202,10e" filled="false" stroked="true" strokeweight=".96002pt" strokecolor="#41b7ee">
                <v:path arrowok="t"/>
              </v:shape>
            </v:group>
            <v:group style="position:absolute;left:5202;top:10;width:1656;height:2" coordorigin="5202,10" coordsize="1656,2">
              <v:shape style="position:absolute;left:5202;top:10;width:1656;height:2" coordorigin="5202,10" coordsize="1656,0" path="m5202,10l6858,10e" filled="false" stroked="true" strokeweight=".96002pt" strokecolor="#41b7ee">
                <v:path arrowok="t"/>
              </v:shape>
            </v:group>
            <v:group style="position:absolute;left:6858;top:10;width:58;height:2" coordorigin="6858,10" coordsize="58,2">
              <v:shape style="position:absolute;left:6858;top:10;width:58;height:2" coordorigin="6858,10" coordsize="58,0" path="m6858,10l6915,10e" filled="false" stroked="true" strokeweight=".96002pt" strokecolor="#41b7ee">
                <v:path arrowok="t"/>
              </v:shape>
            </v:group>
            <v:group style="position:absolute;left:6915;top:10;width:973;height:2" coordorigin="6915,10" coordsize="973,2">
              <v:shape style="position:absolute;left:6915;top:10;width:973;height:2" coordorigin="6915,10" coordsize="973,0" path="m6915,10l7888,10e" filled="false" stroked="true" strokeweight=".96002pt" strokecolor="#41b7ee">
                <v:path arrowok="t"/>
              </v:shape>
            </v:group>
            <v:group style="position:absolute;left:7888;top:10;width:58;height:2" coordorigin="7888,10" coordsize="58,2">
              <v:shape style="position:absolute;left:7888;top:10;width:58;height:2" coordorigin="7888,10" coordsize="58,0" path="m7888,10l7946,10e" filled="false" stroked="true" strokeweight=".96002pt" strokecolor="#41b7ee">
                <v:path arrowok="t"/>
              </v:shape>
            </v:group>
            <v:group style="position:absolute;left:7946;top:10;width:956;height:2" coordorigin="7946,10" coordsize="956,2">
              <v:shape style="position:absolute;left:7946;top:10;width:956;height:2" coordorigin="7946,10" coordsize="956,0" path="m7946,10l8901,10e" filled="false" stroked="true" strokeweight=".96002pt" strokecolor="#41b7ee">
                <v:path arrowok="t"/>
              </v:shape>
            </v:group>
          </v:group>
        </w:pict>
      </w:r>
      <w:r>
        <w:rPr>
          <w:rFonts w:ascii="宋体" w:hAnsi="宋体" w:cs="宋体" w:eastAsia="宋体" w:hint="default"/>
          <w:sz w:val="2"/>
          <w:szCs w:val="2"/>
        </w:rPr>
      </w:r>
    </w:p>
    <w:p>
      <w:pPr>
        <w:pStyle w:val="BodyText"/>
        <w:spacing w:line="259" w:lineRule="exact"/>
        <w:ind w:left="158" w:right="0"/>
        <w:jc w:val="left"/>
        <w:rPr>
          <w:rFonts w:ascii="宋体" w:hAnsi="宋体" w:cs="宋体" w:eastAsia="宋体" w:hint="default"/>
        </w:rPr>
      </w:pPr>
      <w:r>
        <w:rPr>
          <w:rFonts w:ascii="宋体"/>
          <w:w w:val="100"/>
        </w:rPr>
        <w:t> </w:t>
      </w:r>
    </w:p>
    <w:p>
      <w:pPr>
        <w:pStyle w:val="Heading2"/>
        <w:spacing w:line="240" w:lineRule="auto" w:before="58"/>
        <w:ind w:left="158" w:right="0"/>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40" w:lineRule="auto" w:before="56"/>
        <w:ind w:left="1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44"/>
        <w:ind w:left="578" w:right="0"/>
        <w:jc w:val="left"/>
        <w:rPr>
          <w:rFonts w:ascii="宋体" w:hAnsi="宋体" w:cs="宋体" w:eastAsia="宋体" w:hint="default"/>
        </w:rPr>
      </w:pPr>
      <w:r>
        <w:rPr/>
        <w:t>前五名客户销售额</w:t>
      </w:r>
      <w:r>
        <w:rPr>
          <w:spacing w:val="-55"/>
        </w:rPr>
        <w:t> </w:t>
      </w:r>
      <w:r>
        <w:rPr>
          <w:rFonts w:ascii="Arial" w:hAnsi="Arial" w:cs="Arial" w:eastAsia="Arial" w:hint="default"/>
        </w:rPr>
        <w:t>610.27</w:t>
      </w:r>
      <w:r>
        <w:rPr>
          <w:rFonts w:ascii="Arial" w:hAnsi="Arial" w:cs="Arial" w:eastAsia="Arial" w:hint="default"/>
          <w:spacing w:val="-11"/>
        </w:rPr>
        <w:t> </w:t>
      </w:r>
      <w:r>
        <w:rPr/>
        <w:t>万元，占年度销售总额</w:t>
      </w:r>
      <w:r>
        <w:rPr>
          <w:spacing w:val="-56"/>
        </w:rPr>
        <w:t> </w:t>
      </w:r>
      <w:r>
        <w:rPr>
          <w:rFonts w:ascii="Arial" w:hAnsi="Arial" w:cs="Arial" w:eastAsia="Arial" w:hint="default"/>
        </w:rPr>
        <w:t>0.20</w:t>
      </w:r>
      <w:r>
        <w:rPr>
          <w:rFonts w:ascii="宋体" w:hAnsi="宋体" w:cs="宋体" w:eastAsia="宋体" w:hint="default"/>
        </w:rPr>
        <w:t>%</w:t>
      </w:r>
      <w:r>
        <w:rPr/>
        <w:t>。</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640" w:right="1060"/>
        </w:sectPr>
      </w:pPr>
    </w:p>
    <w:p>
      <w:pPr>
        <w:spacing w:line="240" w:lineRule="auto" w:before="12"/>
        <w:rPr>
          <w:rFonts w:ascii="宋体" w:hAnsi="宋体" w:cs="宋体" w:eastAsia="宋体" w:hint="default"/>
          <w:sz w:val="9"/>
          <w:szCs w:val="9"/>
        </w:rPr>
      </w:pPr>
    </w:p>
    <w:p>
      <w:pPr>
        <w:pStyle w:val="BodyText"/>
        <w:spacing w:line="266" w:lineRule="auto" w:before="36"/>
        <w:ind w:left="218" w:right="225" w:firstLine="419"/>
        <w:jc w:val="left"/>
        <w:rPr>
          <w:rFonts w:ascii="宋体" w:hAnsi="宋体" w:cs="宋体" w:eastAsia="宋体" w:hint="default"/>
        </w:rPr>
      </w:pPr>
      <w:r>
        <w:rPr/>
        <w:t>前五名供应商采购额</w:t>
      </w:r>
      <w:r>
        <w:rPr>
          <w:spacing w:val="-54"/>
        </w:rPr>
        <w:t> </w:t>
      </w:r>
      <w:r>
        <w:rPr>
          <w:rFonts w:ascii="Arial" w:hAnsi="Arial" w:cs="Arial" w:eastAsia="Arial" w:hint="default"/>
        </w:rPr>
        <w:t>31,633.20</w:t>
      </w:r>
      <w:r>
        <w:rPr>
          <w:rFonts w:ascii="Arial" w:hAnsi="Arial" w:cs="Arial" w:eastAsia="Arial" w:hint="default"/>
          <w:spacing w:val="-10"/>
        </w:rPr>
        <w:t> </w:t>
      </w:r>
      <w:r>
        <w:rPr>
          <w:spacing w:val="-3"/>
        </w:rPr>
        <w:t>万元，占年度采购总额</w:t>
      </w:r>
      <w:r>
        <w:rPr>
          <w:spacing w:val="-55"/>
        </w:rPr>
        <w:t> </w:t>
      </w:r>
      <w:r>
        <w:rPr>
          <w:rFonts w:ascii="Arial" w:hAnsi="Arial" w:cs="Arial" w:eastAsia="Arial" w:hint="default"/>
        </w:rPr>
        <w:t>69.98</w:t>
      </w:r>
      <w:r>
        <w:rPr>
          <w:rFonts w:ascii="宋体" w:hAnsi="宋体" w:cs="宋体" w:eastAsia="宋体" w:hint="default"/>
        </w:rPr>
        <w:t>%</w:t>
      </w:r>
      <w:r>
        <w:rPr/>
        <w:t>；其中前五名供应商采购额中</w:t>
      </w:r>
      <w:r>
        <w:rPr>
          <w:w w:val="100"/>
        </w:rPr>
        <w:t> </w:t>
      </w:r>
      <w:r>
        <w:rPr/>
        <w:t>关联方采购额</w:t>
      </w:r>
      <w:r>
        <w:rPr>
          <w:spacing w:val="-54"/>
        </w:rPr>
        <w:t> </w:t>
      </w:r>
      <w:r>
        <w:rPr>
          <w:rFonts w:ascii="Arial" w:hAnsi="Arial" w:cs="Arial" w:eastAsia="Arial" w:hint="default"/>
        </w:rPr>
        <w:t>30,359.55</w:t>
      </w:r>
      <w:r>
        <w:rPr>
          <w:rFonts w:ascii="Arial" w:hAnsi="Arial" w:cs="Arial" w:eastAsia="Arial" w:hint="default"/>
          <w:spacing w:val="-9"/>
        </w:rPr>
        <w:t> </w:t>
      </w:r>
      <w:r>
        <w:rPr/>
        <w:t>万元，占年度采购总额</w:t>
      </w:r>
      <w:r>
        <w:rPr>
          <w:spacing w:val="-54"/>
        </w:rPr>
        <w:t> </w:t>
      </w:r>
      <w:r>
        <w:rPr>
          <w:rFonts w:ascii="Arial" w:hAnsi="Arial" w:cs="Arial" w:eastAsia="Arial" w:hint="default"/>
        </w:rPr>
        <w:t>67.16</w:t>
      </w:r>
      <w:r>
        <w:rPr>
          <w:rFonts w:ascii="宋体" w:hAnsi="宋体" w:cs="宋体" w:eastAsia="宋体" w:hint="default"/>
        </w:rPr>
        <w:t>%</w:t>
      </w:r>
      <w:r>
        <w:rPr/>
        <w:t>。</w:t>
      </w:r>
      <w:r>
        <w:rPr>
          <w:rFonts w:ascii="宋体" w:hAnsi="宋体" w:cs="宋体" w:eastAsia="宋体" w:hint="default"/>
        </w:rPr>
        <w:t> </w:t>
      </w:r>
    </w:p>
    <w:p>
      <w:pPr>
        <w:pStyle w:val="Heading2"/>
        <w:tabs>
          <w:tab w:pos="637" w:val="left" w:leader="none"/>
        </w:tabs>
        <w:spacing w:line="240" w:lineRule="auto" w:before="18"/>
        <w:ind w:right="2410"/>
        <w:jc w:val="left"/>
        <w:rPr>
          <w:rFonts w:ascii="宋体" w:hAnsi="宋体" w:cs="宋体" w:eastAsia="宋体" w:hint="default"/>
          <w:b w:val="0"/>
          <w:bCs w:val="0"/>
        </w:rPr>
      </w:pPr>
      <w:r>
        <w:rPr>
          <w:rFonts w:ascii="宋体" w:hAnsi="宋体" w:cs="宋体" w:eastAsia="宋体" w:hint="default"/>
          <w:w w:val="95"/>
        </w:rPr>
        <w:t>3.</w:t>
        <w:tab/>
      </w:r>
      <w:r>
        <w:rPr/>
        <w:t>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241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64" w:lineRule="auto" w:before="42"/>
        <w:ind w:left="218" w:right="322" w:firstLine="419"/>
        <w:jc w:val="left"/>
      </w:pPr>
      <w:r>
        <w:rPr/>
        <w:t>（</w:t>
      </w:r>
      <w:r>
        <w:rPr>
          <w:rFonts w:ascii="Arial" w:hAnsi="Arial" w:cs="Arial" w:eastAsia="Arial" w:hint="default"/>
        </w:rPr>
        <w:t>1</w:t>
      </w:r>
      <w:r>
        <w:rPr/>
        <w:t>）本报告期发生</w:t>
      </w:r>
      <w:r>
        <w:rPr>
          <w:rFonts w:ascii="宋体" w:hAnsi="宋体" w:cs="宋体" w:eastAsia="宋体" w:hint="default"/>
          <w:b/>
          <w:bCs/>
        </w:rPr>
        <w:t>销售费用</w:t>
      </w:r>
      <w:r>
        <w:rPr>
          <w:rFonts w:ascii="宋体" w:hAnsi="宋体" w:cs="宋体" w:eastAsia="宋体" w:hint="default"/>
          <w:b/>
          <w:bCs/>
          <w:spacing w:val="-57"/>
        </w:rPr>
        <w:t> </w:t>
      </w:r>
      <w:r>
        <w:rPr>
          <w:rFonts w:ascii="Arial" w:hAnsi="Arial" w:cs="Arial" w:eastAsia="Arial" w:hint="default"/>
        </w:rPr>
        <w:t>1,456.05</w:t>
      </w:r>
      <w:r>
        <w:rPr>
          <w:rFonts w:ascii="Arial" w:hAnsi="Arial" w:cs="Arial" w:eastAsia="Arial" w:hint="default"/>
          <w:spacing w:val="-9"/>
        </w:rPr>
        <w:t> </w:t>
      </w:r>
      <w:r>
        <w:rPr/>
        <w:t>万元，同比下降</w:t>
      </w:r>
      <w:r>
        <w:rPr>
          <w:spacing w:val="-56"/>
        </w:rPr>
        <w:t> </w:t>
      </w:r>
      <w:r>
        <w:rPr>
          <w:rFonts w:ascii="Arial" w:hAnsi="Arial" w:cs="Arial" w:eastAsia="Arial" w:hint="default"/>
        </w:rPr>
        <w:t>17.45%</w:t>
      </w:r>
      <w:r>
        <w:rPr/>
        <w:t>，主要原因为农业分公司本</w:t>
      </w:r>
      <w:r>
        <w:rPr>
          <w:w w:val="100"/>
        </w:rPr>
        <w:t> </w:t>
      </w:r>
      <w:r>
        <w:rPr/>
        <w:t>年未开展粮食经营业务，发生的变动费用支出同比减少形成。</w:t>
      </w:r>
    </w:p>
    <w:p>
      <w:pPr>
        <w:pStyle w:val="BodyText"/>
        <w:spacing w:line="264" w:lineRule="auto" w:before="25"/>
        <w:ind w:left="218" w:right="228" w:firstLine="419"/>
        <w:jc w:val="left"/>
      </w:pPr>
      <w:r>
        <w:rPr/>
        <w:t>（</w:t>
      </w:r>
      <w:r>
        <w:rPr>
          <w:rFonts w:ascii="Arial" w:hAnsi="Arial" w:cs="Arial" w:eastAsia="Arial" w:hint="default"/>
        </w:rPr>
        <w:t>2</w:t>
      </w:r>
      <w:r>
        <w:rPr/>
        <w:t>）本报告期发生</w:t>
      </w:r>
      <w:r>
        <w:rPr>
          <w:rFonts w:ascii="宋体" w:hAnsi="宋体" w:cs="宋体" w:eastAsia="宋体" w:hint="default"/>
          <w:b/>
          <w:bCs/>
        </w:rPr>
        <w:t>管理费用</w:t>
      </w:r>
      <w:r>
        <w:rPr>
          <w:rFonts w:ascii="宋体" w:hAnsi="宋体" w:cs="宋体" w:eastAsia="宋体" w:hint="default"/>
          <w:b/>
          <w:bCs/>
          <w:spacing w:val="-57"/>
        </w:rPr>
        <w:t> </w:t>
      </w:r>
      <w:r>
        <w:rPr>
          <w:rFonts w:ascii="Arial" w:hAnsi="Arial" w:cs="Arial" w:eastAsia="Arial" w:hint="default"/>
        </w:rPr>
        <w:t>168,801.53</w:t>
      </w:r>
      <w:r>
        <w:rPr>
          <w:rFonts w:ascii="Arial" w:hAnsi="Arial" w:cs="Arial" w:eastAsia="Arial" w:hint="default"/>
          <w:spacing w:val="-11"/>
        </w:rPr>
        <w:t> </w:t>
      </w:r>
      <w:r>
        <w:rPr>
          <w:spacing w:val="-3"/>
        </w:rPr>
        <w:t>万元，同比增长</w:t>
      </w:r>
      <w:r>
        <w:rPr>
          <w:spacing w:val="-56"/>
        </w:rPr>
        <w:t> </w:t>
      </w:r>
      <w:r>
        <w:rPr>
          <w:rFonts w:ascii="Arial" w:hAnsi="Arial" w:cs="Arial" w:eastAsia="Arial" w:hint="default"/>
        </w:rPr>
        <w:t>1.21%</w:t>
      </w:r>
      <w:r>
        <w:rPr/>
        <w:t>，主要原因为农业分公司农</w:t>
      </w:r>
      <w:r>
        <w:rPr>
          <w:w w:val="100"/>
        </w:rPr>
        <w:t> </w:t>
      </w:r>
      <w:r>
        <w:rPr/>
        <w:t>业基础设施维护支出同比增加形成。</w:t>
      </w:r>
    </w:p>
    <w:p>
      <w:pPr>
        <w:pStyle w:val="BodyText"/>
        <w:spacing w:line="266" w:lineRule="auto" w:before="23"/>
        <w:ind w:left="218" w:right="238" w:firstLine="407"/>
        <w:jc w:val="left"/>
      </w:pPr>
      <w:r>
        <w:rPr/>
        <w:t>（</w:t>
      </w:r>
      <w:r>
        <w:rPr>
          <w:rFonts w:ascii="Arial" w:hAnsi="Arial" w:cs="Arial" w:eastAsia="Arial" w:hint="default"/>
        </w:rPr>
        <w:t>3</w:t>
      </w:r>
      <w:r>
        <w:rPr/>
        <w:t>）本报告期发生</w:t>
      </w:r>
      <w:r>
        <w:rPr>
          <w:rFonts w:ascii="宋体" w:hAnsi="宋体" w:cs="宋体" w:eastAsia="宋体" w:hint="default"/>
          <w:b/>
          <w:bCs/>
        </w:rPr>
        <w:t>研发费用</w:t>
      </w:r>
      <w:r>
        <w:rPr>
          <w:rFonts w:ascii="宋体" w:hAnsi="宋体" w:cs="宋体" w:eastAsia="宋体" w:hint="default"/>
          <w:b/>
          <w:bCs/>
          <w:spacing w:val="-56"/>
        </w:rPr>
        <w:t> </w:t>
      </w:r>
      <w:r>
        <w:rPr>
          <w:rFonts w:ascii="Arial" w:hAnsi="Arial" w:cs="Arial" w:eastAsia="Arial" w:hint="default"/>
        </w:rPr>
        <w:t>1,430.93</w:t>
      </w:r>
      <w:r>
        <w:rPr>
          <w:rFonts w:ascii="Arial" w:hAnsi="Arial" w:cs="Arial" w:eastAsia="Arial" w:hint="default"/>
          <w:spacing w:val="-8"/>
        </w:rPr>
        <w:t> </w:t>
      </w:r>
      <w:r>
        <w:rPr/>
        <w:t>万元，同比下降</w:t>
      </w:r>
      <w:r>
        <w:rPr>
          <w:spacing w:val="-55"/>
        </w:rPr>
        <w:t> </w:t>
      </w:r>
      <w:r>
        <w:rPr>
          <w:rFonts w:ascii="Arial" w:hAnsi="Arial" w:cs="Arial" w:eastAsia="Arial" w:hint="default"/>
        </w:rPr>
        <w:t>8.99%</w:t>
      </w:r>
      <w:r>
        <w:rPr/>
        <w:t>，主要原因为农业研究项目支</w:t>
      </w:r>
      <w:r>
        <w:rPr>
          <w:w w:val="100"/>
        </w:rPr>
        <w:t> </w:t>
      </w:r>
      <w:r>
        <w:rPr/>
        <w:t>出同比减少形成。</w:t>
      </w:r>
    </w:p>
    <w:p>
      <w:pPr>
        <w:pStyle w:val="BodyText"/>
        <w:spacing w:line="264" w:lineRule="auto" w:before="21"/>
        <w:ind w:left="218" w:right="0" w:firstLine="419"/>
        <w:jc w:val="left"/>
      </w:pPr>
      <w:r>
        <w:rPr/>
        <w:t>（</w:t>
      </w:r>
      <w:r>
        <w:rPr>
          <w:rFonts w:ascii="Arial" w:hAnsi="Arial" w:cs="Arial" w:eastAsia="Arial" w:hint="default"/>
        </w:rPr>
        <w:t>4</w:t>
      </w:r>
      <w:r>
        <w:rPr/>
        <w:t>）本报告期发生</w:t>
      </w:r>
      <w:r>
        <w:rPr>
          <w:rFonts w:ascii="宋体" w:hAnsi="宋体" w:cs="宋体" w:eastAsia="宋体" w:hint="default"/>
          <w:b/>
          <w:bCs/>
        </w:rPr>
        <w:t>财务费用</w:t>
      </w:r>
      <w:r>
        <w:rPr>
          <w:rFonts w:ascii="Arial" w:hAnsi="Arial" w:cs="Arial" w:eastAsia="Arial" w:hint="default"/>
        </w:rPr>
        <w:t>-862.01</w:t>
      </w:r>
      <w:r>
        <w:rPr>
          <w:rFonts w:ascii="Arial" w:hAnsi="Arial" w:cs="Arial" w:eastAsia="Arial" w:hint="default"/>
          <w:spacing w:val="17"/>
        </w:rPr>
        <w:t> </w:t>
      </w:r>
      <w:r>
        <w:rPr>
          <w:spacing w:val="-3"/>
        </w:rPr>
        <w:t>万元，主要原因为公司利用暂时闲置资金办理银行定期</w:t>
      </w:r>
      <w:r>
        <w:rPr>
          <w:w w:val="100"/>
        </w:rPr>
        <w:t> </w:t>
      </w:r>
      <w:r>
        <w:rPr/>
        <w:t>存款利息收入形成。</w:t>
      </w:r>
    </w:p>
    <w:p>
      <w:pPr>
        <w:pStyle w:val="BodyText"/>
        <w:spacing w:line="264" w:lineRule="auto" w:before="25"/>
        <w:ind w:left="218" w:right="286" w:firstLine="419"/>
        <w:jc w:val="left"/>
        <w:rPr>
          <w:rFonts w:ascii="宋体" w:hAnsi="宋体" w:cs="宋体" w:eastAsia="宋体" w:hint="default"/>
        </w:rPr>
      </w:pPr>
      <w:r>
        <w:rPr/>
        <w:t>（</w:t>
      </w:r>
      <w:r>
        <w:rPr>
          <w:rFonts w:ascii="Arial" w:hAnsi="Arial" w:cs="Arial" w:eastAsia="Arial" w:hint="default"/>
        </w:rPr>
        <w:t>5</w:t>
      </w:r>
      <w:r>
        <w:rPr/>
        <w:t>）本报告期发生</w:t>
      </w:r>
      <w:r>
        <w:rPr>
          <w:rFonts w:ascii="宋体" w:hAnsi="宋体" w:cs="宋体" w:eastAsia="宋体" w:hint="default"/>
          <w:b/>
          <w:bCs/>
        </w:rPr>
        <w:t>税金及附加</w:t>
      </w:r>
      <w:r>
        <w:rPr>
          <w:rFonts w:ascii="宋体" w:hAnsi="宋体" w:cs="宋体" w:eastAsia="宋体" w:hint="default"/>
          <w:b/>
          <w:bCs/>
          <w:spacing w:val="-57"/>
        </w:rPr>
        <w:t> </w:t>
      </w:r>
      <w:r>
        <w:rPr>
          <w:rFonts w:ascii="Arial" w:hAnsi="Arial" w:cs="Arial" w:eastAsia="Arial" w:hint="default"/>
        </w:rPr>
        <w:t>894.99</w:t>
      </w:r>
      <w:r>
        <w:rPr>
          <w:rFonts w:ascii="Arial" w:hAnsi="Arial" w:cs="Arial" w:eastAsia="Arial" w:hint="default"/>
          <w:spacing w:val="-9"/>
        </w:rPr>
        <w:t> </w:t>
      </w:r>
      <w:r>
        <w:rPr/>
        <w:t>万元，同比下降</w:t>
      </w:r>
      <w:r>
        <w:rPr>
          <w:spacing w:val="-56"/>
        </w:rPr>
        <w:t> </w:t>
      </w:r>
      <w:r>
        <w:rPr>
          <w:rFonts w:ascii="Arial" w:hAnsi="Arial" w:cs="Arial" w:eastAsia="Arial" w:hint="default"/>
        </w:rPr>
        <w:t>78.45%</w:t>
      </w:r>
      <w:r>
        <w:rPr/>
        <w:t>，主要原因为鑫都公司交纳</w:t>
      </w:r>
      <w:r>
        <w:rPr>
          <w:w w:val="100"/>
        </w:rPr>
        <w:t> </w:t>
      </w:r>
      <w:r>
        <w:rPr/>
        <w:t>土地增值税、城市维护建设税和教育费附加同比减少形成。</w:t>
      </w:r>
      <w:r>
        <w:rPr>
          <w:rFonts w:ascii="宋体" w:hAnsi="宋体" w:cs="宋体" w:eastAsia="宋体" w:hint="default"/>
        </w:rPr>
        <w:t> </w:t>
      </w:r>
    </w:p>
    <w:p>
      <w:pPr>
        <w:pStyle w:val="Heading2"/>
        <w:tabs>
          <w:tab w:pos="637" w:val="left" w:leader="none"/>
        </w:tabs>
        <w:spacing w:line="240" w:lineRule="auto" w:before="37"/>
        <w:ind w:right="2410"/>
        <w:jc w:val="left"/>
        <w:rPr>
          <w:rFonts w:ascii="宋体" w:hAnsi="宋体" w:cs="宋体" w:eastAsia="宋体" w:hint="default"/>
          <w:b w:val="0"/>
          <w:bCs w:val="0"/>
        </w:rPr>
      </w:pPr>
      <w:r>
        <w:rPr>
          <w:rFonts w:ascii="宋体" w:hAnsi="宋体" w:cs="宋体" w:eastAsia="宋体" w:hint="default"/>
          <w:w w:val="95"/>
        </w:rPr>
        <w:t>4.</w:t>
        <w:tab/>
      </w:r>
      <w:r>
        <w:rPr/>
        <w:t>研发投入</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8"/>
        <w:ind w:right="2410"/>
        <w:jc w:val="left"/>
        <w:rPr>
          <w:rFonts w:ascii="宋体" w:hAnsi="宋体" w:cs="宋体" w:eastAsia="宋体" w:hint="default"/>
          <w:b w:val="0"/>
          <w:bCs w:val="0"/>
        </w:rPr>
      </w:pPr>
      <w:r>
        <w:rPr/>
        <w:t>（</w:t>
      </w:r>
      <w:r>
        <w:rPr>
          <w:rFonts w:ascii="宋体" w:hAnsi="宋体" w:cs="宋体" w:eastAsia="宋体" w:hint="default"/>
        </w:rPr>
        <w:t>1).</w:t>
      </w:r>
      <w:r>
        <w:rPr>
          <w:rFonts w:ascii="宋体" w:hAnsi="宋体" w:cs="宋体" w:eastAsia="宋体" w:hint="default"/>
          <w:spacing w:val="-1"/>
        </w:rPr>
        <w:t> </w:t>
      </w:r>
      <w:r>
        <w:rPr/>
        <w:t>研发投入情况表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241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spacing w:val="-2"/>
        </w:rPr>
        <w:t>单位：元</w:t>
      </w:r>
      <w:r>
        <w:rPr>
          <w:rFonts w:ascii="宋体" w:hAnsi="宋体" w:cs="宋体" w:eastAsia="宋体" w:hint="default"/>
        </w:rPr>
        <w:t> </w:t>
      </w:r>
    </w:p>
    <w:p>
      <w:pPr>
        <w:spacing w:line="240" w:lineRule="auto" w:before="4"/>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352;height:2" coordorigin="10,10" coordsize="4352,2">
              <v:shape style="position:absolute;left:10;top:10;width:4352;height:2" coordorigin="10,10" coordsize="4352,0" path="m10,10l4361,10e" filled="false" stroked="true" strokeweight=".95999pt" strokecolor="#41b7ee">
                <v:path arrowok="t"/>
              </v:shape>
            </v:group>
            <v:group style="position:absolute;left:4361;top:10;width:58;height:2" coordorigin="4361,10" coordsize="58,2">
              <v:shape style="position:absolute;left:4361;top:10;width:58;height:2" coordorigin="4361,10" coordsize="58,0" path="m4361,10l4419,10e" filled="false" stroked="true" strokeweight=".95999pt" strokecolor="#41b7ee">
                <v:path arrowok="t"/>
              </v:shape>
            </v:group>
            <v:group style="position:absolute;left:4419;top:10;width:4641;height:2" coordorigin="4419,10" coordsize="4641,2">
              <v:shape style="position:absolute;left:4419;top:10;width:4641;height:2" coordorigin="4419,10" coordsize="4641,0" path="m4419,10l9059,10e" filled="false" stroked="true" strokeweight=".95999pt" strokecolor="#41b7ee">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4357"/>
        <w:gridCol w:w="4693"/>
      </w:tblGrid>
      <w:tr>
        <w:trPr>
          <w:trHeight w:val="365" w:hRule="exact"/>
        </w:trPr>
        <w:tc>
          <w:tcPr>
            <w:tcW w:w="4357"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6"/>
              <w:ind w:left="107"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r>
              <w:rPr>
                <w:rFonts w:ascii="宋体" w:hAnsi="宋体" w:cs="宋体" w:eastAsia="宋体" w:hint="default"/>
                <w:sz w:val="21"/>
                <w:szCs w:val="21"/>
              </w:rPr>
              <w:t> </w:t>
            </w:r>
          </w:p>
        </w:tc>
        <w:tc>
          <w:tcPr>
            <w:tcW w:w="4693"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50"/>
              <w:ind w:right="103"/>
              <w:jc w:val="right"/>
              <w:rPr>
                <w:rFonts w:ascii="Arial" w:hAnsi="Arial" w:cs="Arial" w:eastAsia="Arial" w:hint="default"/>
                <w:sz w:val="21"/>
                <w:szCs w:val="21"/>
              </w:rPr>
            </w:pPr>
            <w:r>
              <w:rPr>
                <w:rFonts w:ascii="Arial"/>
                <w:spacing w:val="-2"/>
                <w:sz w:val="21"/>
              </w:rPr>
              <w:t>14,309,323.11</w:t>
            </w:r>
          </w:p>
        </w:tc>
      </w:tr>
      <w:tr>
        <w:trPr>
          <w:trHeight w:val="358" w:hRule="exact"/>
        </w:trPr>
        <w:tc>
          <w:tcPr>
            <w:tcW w:w="435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69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right="0"/>
              <w:jc w:val="right"/>
              <w:rPr>
                <w:rFonts w:ascii="宋体" w:hAnsi="宋体" w:cs="宋体" w:eastAsia="宋体" w:hint="default"/>
                <w:sz w:val="21"/>
                <w:szCs w:val="21"/>
              </w:rPr>
            </w:pPr>
            <w:r>
              <w:rPr>
                <w:rFonts w:ascii="宋体"/>
                <w:w w:val="100"/>
                <w:sz w:val="21"/>
              </w:rPr>
              <w:t> </w:t>
            </w:r>
          </w:p>
        </w:tc>
      </w:tr>
      <w:tr>
        <w:trPr>
          <w:trHeight w:val="355" w:hRule="exact"/>
        </w:trPr>
        <w:tc>
          <w:tcPr>
            <w:tcW w:w="435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研发投入合计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69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2"/>
                <w:sz w:val="21"/>
              </w:rPr>
              <w:t>14,309,323.11</w:t>
            </w:r>
          </w:p>
        </w:tc>
      </w:tr>
      <w:tr>
        <w:trPr>
          <w:trHeight w:val="358" w:hRule="exact"/>
        </w:trPr>
        <w:tc>
          <w:tcPr>
            <w:tcW w:w="435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69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right="103"/>
              <w:jc w:val="right"/>
              <w:rPr>
                <w:rFonts w:ascii="Arial" w:hAnsi="Arial" w:cs="Arial" w:eastAsia="Arial" w:hint="default"/>
                <w:sz w:val="21"/>
                <w:szCs w:val="21"/>
              </w:rPr>
            </w:pPr>
            <w:r>
              <w:rPr>
                <w:rFonts w:ascii="Arial"/>
                <w:spacing w:val="-1"/>
                <w:sz w:val="21"/>
              </w:rPr>
              <w:t>0.46</w:t>
            </w:r>
          </w:p>
        </w:tc>
      </w:tr>
      <w:tr>
        <w:trPr>
          <w:trHeight w:val="358" w:hRule="exact"/>
        </w:trPr>
        <w:tc>
          <w:tcPr>
            <w:tcW w:w="435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r>
              <w:rPr>
                <w:rFonts w:ascii="宋体" w:hAnsi="宋体" w:cs="宋体" w:eastAsia="宋体" w:hint="default"/>
                <w:sz w:val="21"/>
                <w:szCs w:val="21"/>
              </w:rPr>
              <w:t> </w:t>
            </w:r>
          </w:p>
        </w:tc>
        <w:tc>
          <w:tcPr>
            <w:tcW w:w="469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z w:val="21"/>
              </w:rPr>
              <w:t>278</w:t>
            </w:r>
          </w:p>
        </w:tc>
      </w:tr>
      <w:tr>
        <w:trPr>
          <w:trHeight w:val="358" w:hRule="exact"/>
        </w:trPr>
        <w:tc>
          <w:tcPr>
            <w:tcW w:w="435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研发人员数量占公司总人数的比例（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469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0.80%</w:t>
            </w:r>
          </w:p>
        </w:tc>
      </w:tr>
      <w:tr>
        <w:trPr>
          <w:trHeight w:val="362" w:hRule="exact"/>
        </w:trPr>
        <w:tc>
          <w:tcPr>
            <w:tcW w:w="4357"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4693"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2"/>
              <w:ind w:right="0"/>
              <w:jc w:val="right"/>
              <w:rPr>
                <w:rFonts w:ascii="宋体" w:hAnsi="宋体" w:cs="宋体" w:eastAsia="宋体" w:hint="default"/>
                <w:sz w:val="21"/>
                <w:szCs w:val="21"/>
              </w:rPr>
            </w:pPr>
            <w:r>
              <w:rPr>
                <w:rFonts w:ascii="宋体"/>
                <w:w w:val="100"/>
                <w:sz w:val="21"/>
              </w:rPr>
              <w:t> </w:t>
            </w:r>
          </w:p>
        </w:tc>
      </w:tr>
    </w:tbl>
    <w:p>
      <w:pPr>
        <w:spacing w:line="240" w:lineRule="auto" w:before="11"/>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352;height:2" coordorigin="10,10" coordsize="4352,2">
              <v:shape style="position:absolute;left:10;top:10;width:4352;height:2" coordorigin="10,10" coordsize="4352,0" path="m10,10l4361,10e" filled="false" stroked="true" strokeweight=".95999pt" strokecolor="#41b7ee">
                <v:path arrowok="t"/>
              </v:shape>
            </v:group>
            <v:group style="position:absolute;left:4361;top:10;width:58;height:2" coordorigin="4361,10" coordsize="58,2">
              <v:shape style="position:absolute;left:4361;top:10;width:58;height:2" coordorigin="4361,10" coordsize="58,0" path="m4361,10l4419,10e" filled="false" stroked="true" strokeweight=".95999pt" strokecolor="#41b7ee">
                <v:path arrowok="t"/>
              </v:shape>
            </v:group>
            <v:group style="position:absolute;left:4419;top:10;width:4641;height:2" coordorigin="4419,10" coordsize="4641,2">
              <v:shape style="position:absolute;left:4419;top:10;width:4641;height:2" coordorigin="4419,10" coordsize="4641,0" path="m4419,10l9059,10e" filled="false" stroked="true" strokeweight=".95999pt" strokecolor="#41b7ee">
                <v:path arrowok="t"/>
              </v:shape>
            </v:group>
          </v:group>
        </w:pict>
      </w:r>
      <w:r>
        <w:rPr>
          <w:rFonts w:ascii="宋体" w:hAnsi="宋体" w:cs="宋体" w:eastAsia="宋体" w:hint="default"/>
          <w:sz w:val="2"/>
          <w:szCs w:val="2"/>
        </w:rPr>
      </w:r>
    </w:p>
    <w:p>
      <w:pPr>
        <w:pStyle w:val="BodyText"/>
        <w:spacing w:line="240" w:lineRule="exact"/>
        <w:ind w:left="218" w:right="0"/>
        <w:jc w:val="left"/>
        <w:rPr>
          <w:rFonts w:ascii="宋体" w:hAnsi="宋体" w:cs="宋体" w:eastAsia="宋体" w:hint="default"/>
        </w:rPr>
      </w:pPr>
      <w:r>
        <w:rPr>
          <w:rFonts w:ascii="宋体"/>
          <w:w w:val="100"/>
        </w:rPr>
        <w:t> </w:t>
      </w:r>
    </w:p>
    <w:p>
      <w:pPr>
        <w:pStyle w:val="Heading2"/>
        <w:spacing w:line="240" w:lineRule="auto" w:before="58"/>
        <w:ind w:right="2410"/>
        <w:jc w:val="left"/>
        <w:rPr>
          <w:rFonts w:ascii="宋体" w:hAnsi="宋体" w:cs="宋体" w:eastAsia="宋体" w:hint="default"/>
          <w:b w:val="0"/>
          <w:bCs w:val="0"/>
        </w:rPr>
      </w:pPr>
      <w:r>
        <w:rPr/>
        <w:t>（</w:t>
      </w:r>
      <w:r>
        <w:rPr>
          <w:rFonts w:ascii="宋体" w:hAnsi="宋体" w:cs="宋体" w:eastAsia="宋体" w:hint="default"/>
        </w:rPr>
        <w:t>2).</w:t>
      </w:r>
      <w:r>
        <w:rPr>
          <w:rFonts w:ascii="宋体" w:hAnsi="宋体" w:cs="宋体" w:eastAsia="宋体" w:hint="default"/>
          <w:spacing w:val="-3"/>
        </w:rPr>
        <w:t> </w:t>
      </w:r>
      <w:r>
        <w:rPr/>
        <w:t>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241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04"/>
        <w:ind w:left="638" w:right="0"/>
        <w:jc w:val="left"/>
      </w:pPr>
      <w:r>
        <w:rPr>
          <w:rFonts w:ascii="Arial" w:hAnsi="Arial" w:cs="Arial" w:eastAsia="Arial" w:hint="default"/>
        </w:rPr>
        <w:t>2019  </w:t>
      </w:r>
      <w:r>
        <w:rPr>
          <w:spacing w:val="-2"/>
        </w:rPr>
        <w:t>年本着农业的长远发展和当前迫切之需</w:t>
      </w:r>
      <w:r>
        <w:rPr>
          <w:rFonts w:ascii="Arial" w:hAnsi="Arial" w:cs="Arial" w:eastAsia="Arial" w:hint="default"/>
          <w:spacing w:val="-2"/>
        </w:rPr>
        <w:t>,</w:t>
      </w:r>
      <w:r>
        <w:rPr>
          <w:spacing w:val="-2"/>
        </w:rPr>
        <w:t>公司重点在以下方面进行了试验示范：</w:t>
      </w:r>
    </w:p>
    <w:p>
      <w:pPr>
        <w:pStyle w:val="BodyText"/>
        <w:spacing w:line="276" w:lineRule="auto" w:before="29"/>
        <w:ind w:left="218" w:right="237" w:firstLine="422"/>
        <w:jc w:val="both"/>
      </w:pPr>
      <w:r>
        <w:rPr>
          <w:rFonts w:ascii="Arial" w:hAnsi="Arial" w:cs="Arial" w:eastAsia="Arial" w:hint="default"/>
          <w:b/>
          <w:bCs/>
          <w:spacing w:val="-2"/>
        </w:rPr>
        <w:t>1.</w:t>
      </w:r>
      <w:r>
        <w:rPr>
          <w:rFonts w:ascii="宋体" w:hAnsi="宋体" w:cs="宋体" w:eastAsia="宋体" w:hint="default"/>
          <w:b/>
          <w:bCs/>
          <w:spacing w:val="-2"/>
        </w:rPr>
        <w:t>水稻基质秧盘试验项目。</w:t>
      </w:r>
      <w:r>
        <w:rPr>
          <w:spacing w:val="-2"/>
        </w:rPr>
        <w:t>该项研究旨在解决当前水稻生产上育秧苗床土取土难、甚至无处</w:t>
      </w:r>
      <w:r>
        <w:rPr>
          <w:w w:val="100"/>
        </w:rPr>
        <w:t> </w:t>
      </w:r>
      <w:r>
        <w:rPr>
          <w:spacing w:val="-2"/>
        </w:rPr>
        <w:t>可取的共性问题。通过两年试验结果看，目前基质秧盘在生产工艺上还存在明显不足，秧苗生长</w:t>
      </w:r>
      <w:r>
        <w:rPr>
          <w:spacing w:val="-25"/>
        </w:rPr>
        <w:t> </w:t>
      </w:r>
      <w:r>
        <w:rPr>
          <w:spacing w:val="-25"/>
        </w:rPr>
      </w:r>
      <w:r>
        <w:rPr>
          <w:spacing w:val="-2"/>
        </w:rPr>
        <w:t>缓慢、植株矮小、叶色黄绿，保水性不好，秧田管理难度大；插秧植伤重、返青慢，比常规毯盘</w:t>
      </w:r>
      <w:r>
        <w:rPr>
          <w:spacing w:val="-25"/>
        </w:rPr>
        <w:t> </w:t>
      </w:r>
      <w:r>
        <w:rPr>
          <w:spacing w:val="-25"/>
        </w:rPr>
      </w:r>
      <w:r>
        <w:rPr/>
        <w:t>育苗差；基质秧盘育苗技术还不够成熟，还需进一步研究基质秧盘配方和生产技术标准。</w:t>
      </w:r>
    </w:p>
    <w:p>
      <w:pPr>
        <w:pStyle w:val="BodyText"/>
        <w:spacing w:line="273" w:lineRule="auto" w:before="13"/>
        <w:ind w:left="218" w:right="228" w:firstLine="422"/>
        <w:jc w:val="both"/>
      </w:pPr>
      <w:r>
        <w:rPr>
          <w:rFonts w:ascii="Arial" w:hAnsi="Arial" w:cs="Arial" w:eastAsia="Arial" w:hint="default"/>
          <w:b/>
          <w:bCs/>
          <w:spacing w:val="-2"/>
        </w:rPr>
        <w:t>2.</w:t>
      </w:r>
      <w:r>
        <w:rPr>
          <w:rFonts w:ascii="宋体" w:hAnsi="宋体" w:cs="宋体" w:eastAsia="宋体" w:hint="default"/>
          <w:b/>
          <w:bCs/>
          <w:spacing w:val="-2"/>
        </w:rPr>
        <w:t>人造苗床土应用项目。</w:t>
      </w:r>
      <w:r>
        <w:rPr>
          <w:spacing w:val="-2"/>
        </w:rPr>
        <w:t>该项研究旨在检验人造土在水稻育秧上的应用价值，是否可以取代</w:t>
      </w:r>
      <w:r>
        <w:rPr>
          <w:w w:val="100"/>
        </w:rPr>
        <w:t> </w:t>
      </w:r>
      <w:r>
        <w:rPr>
          <w:spacing w:val="-6"/>
        </w:rPr>
        <w:t>常规自然土壤进行育秧。经过一年试验，用人造苗床土育秧出苗比常规育秧出苗晚、出苗不整齐，</w:t>
      </w:r>
      <w:r>
        <w:rPr>
          <w:spacing w:val="-54"/>
        </w:rPr>
        <w:t> </w:t>
      </w:r>
      <w:r>
        <w:rPr>
          <w:spacing w:val="-54"/>
        </w:rPr>
      </w:r>
      <w:r>
        <w:rPr/>
        <w:t>且保水性差，浇水次数多，秧苗素质明显比常规育苗差，不能满足生产要求。</w:t>
      </w:r>
    </w:p>
    <w:p>
      <w:pPr>
        <w:pStyle w:val="BodyText"/>
        <w:spacing w:line="273" w:lineRule="auto" w:before="15"/>
        <w:ind w:left="218" w:right="237" w:firstLine="422"/>
        <w:jc w:val="both"/>
      </w:pPr>
      <w:r>
        <w:rPr>
          <w:rFonts w:ascii="Arial" w:hAnsi="Arial" w:cs="Arial" w:eastAsia="Arial" w:hint="default"/>
          <w:b/>
          <w:bCs/>
          <w:spacing w:val="-2"/>
        </w:rPr>
        <w:t>3.</w:t>
      </w:r>
      <w:r>
        <w:rPr>
          <w:rFonts w:ascii="宋体" w:hAnsi="宋体" w:cs="宋体" w:eastAsia="宋体" w:hint="default"/>
          <w:b/>
          <w:bCs/>
          <w:spacing w:val="-2"/>
        </w:rPr>
        <w:t>大豆保花促结荚制剂项目。</w:t>
      </w:r>
      <w:r>
        <w:rPr>
          <w:spacing w:val="-2"/>
        </w:rPr>
        <w:t>该项研究旨在探索大豆保花增荚、提高大豆增产的可能性。经</w:t>
      </w:r>
      <w:r>
        <w:rPr>
          <w:w w:val="100"/>
        </w:rPr>
        <w:t> </w:t>
      </w:r>
      <w:r>
        <w:rPr>
          <w:spacing w:val="-2"/>
        </w:rPr>
        <w:t>过一年试验，该大豆保花促荚制剂有一定增产效果，但不显著；因该制剂厂家未告知价格，与常</w:t>
      </w:r>
      <w:r>
        <w:rPr>
          <w:spacing w:val="-25"/>
        </w:rPr>
        <w:t> </w:t>
      </w:r>
      <w:r>
        <w:rPr>
          <w:spacing w:val="-25"/>
        </w:rPr>
      </w:r>
      <w:r>
        <w:rPr>
          <w:spacing w:val="-2"/>
        </w:rPr>
        <w:t>规种植相比是否增效也无法进行对比；该制剂实际用水量较大，生产上不易操作；由于今年的严</w:t>
      </w:r>
      <w:r>
        <w:rPr>
          <w:spacing w:val="-25"/>
        </w:rPr>
        <w:t> </w:t>
      </w:r>
      <w:r>
        <w:rPr>
          <w:spacing w:val="-25"/>
        </w:rPr>
      </w:r>
      <w:r>
        <w:rPr/>
        <w:t>重秋涝灾害天气，致使大豆长势整体较差，进而一定程度上影响了试验结果。</w:t>
      </w:r>
    </w:p>
    <w:p>
      <w:pPr>
        <w:spacing w:after="0" w:line="273" w:lineRule="auto"/>
        <w:jc w:val="both"/>
        <w:sectPr>
          <w:pgSz w:w="11910" w:h="16840"/>
          <w:pgMar w:header="825" w:footer="1195" w:top="1360" w:bottom="1380" w:left="1580" w:right="1040"/>
        </w:sectPr>
      </w:pPr>
    </w:p>
    <w:p>
      <w:pPr>
        <w:spacing w:line="240" w:lineRule="auto" w:before="12"/>
        <w:rPr>
          <w:rFonts w:ascii="宋体" w:hAnsi="宋体" w:cs="宋体" w:eastAsia="宋体" w:hint="default"/>
          <w:sz w:val="9"/>
          <w:szCs w:val="9"/>
        </w:rPr>
      </w:pPr>
    </w:p>
    <w:p>
      <w:pPr>
        <w:pStyle w:val="BodyText"/>
        <w:spacing w:line="266" w:lineRule="auto" w:before="36"/>
        <w:ind w:left="158" w:right="208" w:firstLine="422"/>
        <w:jc w:val="both"/>
      </w:pPr>
      <w:r>
        <w:rPr>
          <w:rFonts w:ascii="Arial" w:hAnsi="Arial" w:cs="Arial" w:eastAsia="Arial" w:hint="default"/>
          <w:b/>
          <w:bCs/>
          <w:spacing w:val="-2"/>
        </w:rPr>
        <w:t>4.</w:t>
      </w:r>
      <w:r>
        <w:rPr>
          <w:rFonts w:ascii="宋体" w:hAnsi="宋体" w:cs="宋体" w:eastAsia="宋体" w:hint="default"/>
          <w:b/>
          <w:bCs/>
          <w:spacing w:val="-2"/>
        </w:rPr>
        <w:t>生物无机肥及缓释肥项目。</w:t>
      </w:r>
      <w:r>
        <w:rPr>
          <w:spacing w:val="-2"/>
        </w:rPr>
        <w:t>该项研究旨在探讨在常规复合肥、缓释复合肥中加入枯草杆菌</w:t>
      </w:r>
      <w:r>
        <w:rPr>
          <w:w w:val="100"/>
        </w:rPr>
        <w:t> </w:t>
      </w:r>
      <w:r>
        <w:rPr>
          <w:spacing w:val="-3"/>
        </w:rPr>
        <w:t>能否起到肥料增益作用。经过一年试验，水稻产量明显比当地习惯用肥要低</w:t>
      </w:r>
      <w:r>
        <w:rPr>
          <w:rFonts w:ascii="Arial" w:hAnsi="Arial" w:cs="Arial" w:eastAsia="Arial" w:hint="default"/>
          <w:spacing w:val="-3"/>
        </w:rPr>
        <w:t>,</w:t>
      </w:r>
      <w:r>
        <w:rPr>
          <w:spacing w:val="-3"/>
        </w:rPr>
        <w:t>试验生物复合肥及缓</w:t>
      </w:r>
      <w:r>
        <w:rPr>
          <w:spacing w:val="-32"/>
        </w:rPr>
        <w:t> </w:t>
      </w:r>
      <w:r>
        <w:rPr>
          <w:spacing w:val="-32"/>
        </w:rPr>
      </w:r>
      <w:r>
        <w:rPr/>
        <w:t>释肥养分配比不合理，不能满足水稻生长所需</w:t>
      </w:r>
      <w:r>
        <w:rPr>
          <w:rFonts w:ascii="Arial" w:hAnsi="Arial" w:cs="Arial" w:eastAsia="Arial" w:hint="default"/>
        </w:rPr>
        <w:t>;</w:t>
      </w:r>
      <w:r>
        <w:rPr/>
        <w:t>在高寒地区生物肥替代化肥还需进一步研究。</w:t>
      </w:r>
    </w:p>
    <w:p>
      <w:pPr>
        <w:pStyle w:val="BodyText"/>
        <w:spacing w:line="271" w:lineRule="auto" w:before="3"/>
        <w:ind w:left="158" w:right="208" w:firstLine="422"/>
        <w:jc w:val="both"/>
      </w:pPr>
      <w:r>
        <w:rPr>
          <w:rFonts w:ascii="Arial" w:hAnsi="Arial" w:cs="Arial" w:eastAsia="Arial" w:hint="default"/>
          <w:b/>
          <w:bCs/>
          <w:spacing w:val="-1"/>
        </w:rPr>
        <w:t>5.</w:t>
      </w:r>
      <w:r>
        <w:rPr>
          <w:rFonts w:ascii="宋体" w:hAnsi="宋体" w:cs="宋体" w:eastAsia="宋体" w:hint="default"/>
          <w:b/>
          <w:bCs/>
          <w:spacing w:val="-1"/>
        </w:rPr>
        <w:t>水稻秋旋平春免搅浆试验项目。</w:t>
      </w:r>
      <w:r>
        <w:rPr>
          <w:spacing w:val="-1"/>
        </w:rPr>
        <w:t>该项目是为有效解决长期水整地作业导致浆层过厚、土壤</w:t>
      </w:r>
      <w:r>
        <w:rPr>
          <w:w w:val="100"/>
        </w:rPr>
        <w:t> </w:t>
      </w:r>
      <w:r>
        <w:rPr>
          <w:spacing w:val="-4"/>
        </w:rPr>
        <w:t>板结、秸秆还田后</w:t>
      </w:r>
      <w:r>
        <w:rPr>
          <w:spacing w:val="-32"/>
        </w:rPr>
        <w:t> </w:t>
      </w:r>
      <w:r>
        <w:rPr>
          <w:rFonts w:ascii="Arial" w:hAnsi="Arial" w:cs="Arial" w:eastAsia="Arial" w:hint="default"/>
          <w:spacing w:val="-4"/>
        </w:rPr>
        <w:t>H2S</w:t>
      </w:r>
      <w:r>
        <w:rPr>
          <w:spacing w:val="-4"/>
        </w:rPr>
        <w:t>、</w:t>
      </w:r>
      <w:r>
        <w:rPr>
          <w:rFonts w:ascii="Arial" w:hAnsi="Arial" w:cs="Arial" w:eastAsia="Arial" w:hint="default"/>
          <w:spacing w:val="-4"/>
        </w:rPr>
        <w:t>NH3</w:t>
      </w:r>
      <w:r>
        <w:rPr>
          <w:rFonts w:ascii="Arial" w:hAnsi="Arial" w:cs="Arial" w:eastAsia="Arial" w:hint="default"/>
          <w:spacing w:val="15"/>
        </w:rPr>
        <w:t> </w:t>
      </w:r>
      <w:r>
        <w:rPr>
          <w:spacing w:val="-3"/>
        </w:rPr>
        <w:t>有毒气体释放影响水稻生长等问题设立的。试图通过秋旋平后，减</w:t>
      </w:r>
      <w:r>
        <w:rPr>
          <w:spacing w:val="-94"/>
        </w:rPr>
        <w:t> </w:t>
      </w:r>
      <w:r>
        <w:rPr>
          <w:spacing w:val="-94"/>
        </w:rPr>
      </w:r>
      <w:r>
        <w:rPr>
          <w:spacing w:val="-2"/>
        </w:rPr>
        <w:t>少春泡田多次整地对土壤结构的破坏。经过两年试验，这种整地方式具有作业效率高、平地效果</w:t>
      </w:r>
      <w:r>
        <w:rPr>
          <w:spacing w:val="-25"/>
        </w:rPr>
        <w:t> </w:t>
      </w:r>
      <w:r>
        <w:rPr>
          <w:spacing w:val="-25"/>
        </w:rPr>
      </w:r>
      <w:r>
        <w:rPr>
          <w:spacing w:val="-2"/>
        </w:rPr>
        <w:t>好、省水、增温、施肥均匀、土壤容重下降等技术优势，对水稻生产表现出返青快、分蘖多，成</w:t>
      </w:r>
      <w:r>
        <w:rPr>
          <w:spacing w:val="-25"/>
        </w:rPr>
        <w:t> </w:t>
      </w:r>
      <w:r>
        <w:rPr>
          <w:spacing w:val="-25"/>
        </w:rPr>
      </w:r>
      <w:r>
        <w:rPr>
          <w:spacing w:val="-4"/>
        </w:rPr>
        <w:t>熟早，增产效果好等明显作用。</w:t>
      </w:r>
      <w:r>
        <w:rPr>
          <w:rFonts w:ascii="Arial" w:hAnsi="Arial" w:cs="Arial" w:eastAsia="Arial" w:hint="default"/>
          <w:spacing w:val="-4"/>
        </w:rPr>
        <w:t>2020 </w:t>
      </w:r>
      <w:r>
        <w:rPr>
          <w:spacing w:val="-4"/>
        </w:rPr>
        <w:t>年公司将进一步进行深入研究，扩大示范应用规模，逐步使</w:t>
      </w:r>
      <w:r>
        <w:rPr>
          <w:spacing w:val="-84"/>
        </w:rPr>
        <w:t> </w:t>
      </w:r>
      <w:r>
        <w:rPr>
          <w:spacing w:val="-84"/>
        </w:rPr>
      </w:r>
      <w:r>
        <w:rPr/>
        <w:t>之成为水稻生产的常规技术措施。</w:t>
      </w:r>
    </w:p>
    <w:p>
      <w:pPr>
        <w:pStyle w:val="BodyText"/>
        <w:spacing w:line="268" w:lineRule="auto" w:before="17"/>
        <w:ind w:left="158" w:right="0" w:firstLine="422"/>
        <w:jc w:val="left"/>
      </w:pPr>
      <w:r>
        <w:rPr>
          <w:rFonts w:ascii="Arial" w:hAnsi="Arial" w:cs="Arial" w:eastAsia="Arial" w:hint="default"/>
          <w:b/>
          <w:bCs/>
          <w:spacing w:val="-3"/>
        </w:rPr>
        <w:t>6.</w:t>
      </w:r>
      <w:r>
        <w:rPr>
          <w:rFonts w:ascii="宋体" w:hAnsi="宋体" w:cs="宋体" w:eastAsia="宋体" w:hint="default"/>
          <w:b/>
          <w:bCs/>
          <w:spacing w:val="-3"/>
        </w:rPr>
        <w:t>水稻抗寒促根浸种制剂应用试验项目。</w:t>
      </w:r>
      <w:r>
        <w:rPr>
          <w:spacing w:val="-3"/>
        </w:rPr>
        <w:t>该项目是基于挖掘水稻秧苗根系发育潜力而设立的。</w:t>
      </w:r>
      <w:r>
        <w:rPr>
          <w:w w:val="100"/>
        </w:rPr>
        <w:t> </w:t>
      </w:r>
      <w:r>
        <w:rPr/>
        <w:t>目前，在现有光热条件和技术模式下，一般秧苗根系平均在</w:t>
      </w:r>
      <w:r>
        <w:rPr>
          <w:spacing w:val="-54"/>
        </w:rPr>
        <w:t> </w:t>
      </w:r>
      <w:r>
        <w:rPr>
          <w:rFonts w:ascii="Arial" w:hAnsi="Arial" w:cs="Arial" w:eastAsia="Arial" w:hint="default"/>
        </w:rPr>
        <w:t>7.5</w:t>
      </w:r>
      <w:r>
        <w:rPr>
          <w:rFonts w:ascii="Arial" w:hAnsi="Arial" w:cs="Arial" w:eastAsia="Arial" w:hint="default"/>
          <w:spacing w:val="-7"/>
        </w:rPr>
        <w:t> </w:t>
      </w:r>
      <w:r>
        <w:rPr/>
        <w:t>条左右，距离理论上应有的</w:t>
      </w:r>
      <w:r>
        <w:rPr>
          <w:spacing w:val="-54"/>
        </w:rPr>
        <w:t> </w:t>
      </w:r>
      <w:r>
        <w:rPr>
          <w:rFonts w:ascii="Arial" w:hAnsi="Arial" w:cs="Arial" w:eastAsia="Arial" w:hint="default"/>
        </w:rPr>
        <w:t>14</w:t>
      </w:r>
      <w:r>
        <w:rPr>
          <w:rFonts w:ascii="Arial" w:hAnsi="Arial" w:cs="Arial" w:eastAsia="Arial" w:hint="default"/>
          <w:w w:val="100"/>
        </w:rPr>
        <w:t> </w:t>
      </w:r>
      <w:r>
        <w:rPr/>
        <w:t>条还有很大差距。经过两年试验，抗寒促根剂处理后表现出秧苗出苗早、根系发达，返青快，分</w:t>
      </w:r>
      <w:r>
        <w:rPr>
          <w:w w:val="100"/>
        </w:rPr>
        <w:t> </w:t>
      </w:r>
      <w:r>
        <w:rPr>
          <w:spacing w:val="-4"/>
        </w:rPr>
        <w:t>蘖多，成熟早，可有效增加平方米有效穗数、穗粒数和结实率，</w:t>
      </w:r>
      <w:r>
        <w:rPr>
          <w:rFonts w:ascii="Arial" w:hAnsi="Arial" w:cs="Arial" w:eastAsia="Arial" w:hint="default"/>
          <w:spacing w:val="-4"/>
        </w:rPr>
        <w:t>11 </w:t>
      </w:r>
      <w:r>
        <w:rPr/>
        <w:t>家分公司试验点产量调查数据</w:t>
      </w:r>
      <w:r>
        <w:rPr>
          <w:spacing w:val="-58"/>
        </w:rPr>
        <w:t> </w:t>
      </w:r>
      <w:r>
        <w:rPr>
          <w:spacing w:val="-58"/>
        </w:rPr>
      </w:r>
      <w:r>
        <w:rPr/>
        <w:t>表明，抗寒促根剂处理后具有明显的增产效果，且抗寒促根剂</w:t>
      </w:r>
      <w:r>
        <w:rPr>
          <w:spacing w:val="-54"/>
        </w:rPr>
        <w:t> </w:t>
      </w:r>
      <w:r>
        <w:rPr>
          <w:rFonts w:ascii="Arial" w:hAnsi="Arial" w:cs="Arial" w:eastAsia="Arial" w:hint="default"/>
        </w:rPr>
        <w:t>B</w:t>
      </w:r>
      <w:r>
        <w:rPr>
          <w:rFonts w:ascii="Arial" w:hAnsi="Arial" w:cs="Arial" w:eastAsia="Arial" w:hint="default"/>
          <w:spacing w:val="-9"/>
        </w:rPr>
        <w:t> </w:t>
      </w:r>
      <w:r>
        <w:rPr/>
        <w:t>处理的增产效果好于</w:t>
      </w:r>
      <w:r>
        <w:rPr>
          <w:spacing w:val="-56"/>
        </w:rPr>
        <w:t> </w:t>
      </w:r>
      <w:r>
        <w:rPr>
          <w:rFonts w:ascii="Arial" w:hAnsi="Arial" w:cs="Arial" w:eastAsia="Arial" w:hint="default"/>
        </w:rPr>
        <w:t>A</w:t>
      </w:r>
      <w:r>
        <w:rPr/>
        <w:t>。</w:t>
      </w:r>
      <w:r>
        <w:rPr>
          <w:rFonts w:ascii="Arial" w:hAnsi="Arial" w:cs="Arial" w:eastAsia="Arial" w:hint="default"/>
        </w:rPr>
        <w:t>2020</w:t>
      </w:r>
      <w:r>
        <w:rPr>
          <w:rFonts w:ascii="Arial" w:hAnsi="Arial" w:cs="Arial" w:eastAsia="Arial" w:hint="default"/>
          <w:w w:val="100"/>
        </w:rPr>
        <w:t> </w:t>
      </w:r>
      <w:r>
        <w:rPr/>
        <w:t>年公司将对该项目进一步进行深入研究和示范应用，为今后全面推广做好技术储备。</w:t>
      </w:r>
    </w:p>
    <w:p>
      <w:pPr>
        <w:pStyle w:val="BodyText"/>
        <w:spacing w:line="276" w:lineRule="auto" w:before="19"/>
        <w:ind w:left="158" w:right="204" w:firstLine="422"/>
        <w:jc w:val="left"/>
        <w:rPr>
          <w:rFonts w:ascii="宋体" w:hAnsi="宋体" w:cs="宋体" w:eastAsia="宋体" w:hint="default"/>
        </w:rPr>
      </w:pPr>
      <w:r>
        <w:rPr>
          <w:rFonts w:ascii="Arial" w:hAnsi="Arial" w:cs="Arial" w:eastAsia="Arial" w:hint="default"/>
          <w:b/>
          <w:bCs/>
          <w:spacing w:val="-1"/>
        </w:rPr>
        <w:t>7.</w:t>
      </w:r>
      <w:r>
        <w:rPr>
          <w:rFonts w:ascii="宋体" w:hAnsi="宋体" w:cs="宋体" w:eastAsia="宋体" w:hint="default"/>
          <w:b/>
          <w:bCs/>
          <w:spacing w:val="-1"/>
        </w:rPr>
        <w:t>水稻除锈防枯剂应用试验项目。</w:t>
      </w:r>
      <w:r>
        <w:rPr>
          <w:spacing w:val="-1"/>
        </w:rPr>
        <w:t>该项研究旨在探讨改变传统水稻苗床调酸抗病方法，减少</w:t>
      </w:r>
      <w:r>
        <w:rPr>
          <w:w w:val="100"/>
        </w:rPr>
        <w:t> </w:t>
      </w:r>
      <w:r>
        <w:rPr>
          <w:spacing w:val="-2"/>
        </w:rPr>
        <w:t>苗床硫酸类调酸剂使用，从而有效遏制本田土壤酸化板结的加剧势头，同时达到有效预防水稻秧</w:t>
      </w:r>
      <w:r>
        <w:rPr>
          <w:spacing w:val="-25"/>
        </w:rPr>
        <w:t> </w:t>
      </w:r>
      <w:r>
        <w:rPr>
          <w:spacing w:val="-25"/>
        </w:rPr>
      </w:r>
      <w:r>
        <w:rPr>
          <w:spacing w:val="-6"/>
          <w:w w:val="100"/>
        </w:rPr>
        <w:t>苗立枯病和青枯病的发生。经过一年试验结果表明，喷施除锈防枯剂对提高秧苗素质有一定作用，</w:t>
      </w:r>
      <w:r>
        <w:rPr>
          <w:spacing w:val="-104"/>
          <w:w w:val="100"/>
        </w:rPr>
        <w:t> </w:t>
      </w:r>
      <w:r>
        <w:rPr>
          <w:spacing w:val="-104"/>
          <w:w w:val="100"/>
        </w:rPr>
      </w:r>
      <w:r>
        <w:rPr/>
        <w:t>同时可促进水稻分蘖，提高平方米有效穗数及结实率，起到增产效果，明年继续试验验证。</w:t>
      </w:r>
      <w:r>
        <w:rPr>
          <w:w w:val="100"/>
        </w:rPr>
        <w:t> </w:t>
      </w:r>
      <w:r>
        <w:rPr>
          <w:spacing w:val="-2"/>
        </w:rPr>
        <w:t>此外，分公司每年都要进行品种、植保、肥料以及农业机械、不同栽培措施研究与应用，以筛选</w:t>
      </w:r>
      <w:r>
        <w:rPr>
          <w:spacing w:val="-25"/>
        </w:rPr>
        <w:t> </w:t>
      </w:r>
      <w:r>
        <w:rPr>
          <w:spacing w:val="-25"/>
        </w:rPr>
      </w:r>
      <w:r>
        <w:rPr>
          <w:spacing w:val="-2"/>
        </w:rPr>
        <w:t>出产量更高、品质更优、效益更好、成本更低、更加环保的各种生产资料和技术措施，使公司农</w:t>
      </w:r>
      <w:r>
        <w:rPr>
          <w:spacing w:val="-25"/>
        </w:rPr>
        <w:t> </w:t>
      </w:r>
      <w:r>
        <w:rPr>
          <w:spacing w:val="-25"/>
        </w:rPr>
      </w:r>
      <w:r>
        <w:rPr/>
        <w:t>业生产始终保持技术领先地位。</w:t>
      </w:r>
      <w:r>
        <w:rPr>
          <w:rFonts w:ascii="宋体" w:hAnsi="宋体" w:cs="宋体" w:eastAsia="宋体" w:hint="default"/>
          <w:b/>
          <w:bCs/>
          <w:w w:val="99"/>
        </w:rPr>
        <w:t> </w:t>
      </w:r>
      <w:r>
        <w:rPr>
          <w:rFonts w:ascii="宋体" w:hAnsi="宋体" w:cs="宋体" w:eastAsia="宋体" w:hint="default"/>
        </w:rPr>
      </w:r>
    </w:p>
    <w:p>
      <w:pPr>
        <w:pStyle w:val="Heading2"/>
        <w:tabs>
          <w:tab w:pos="577" w:val="left" w:leader="none"/>
        </w:tabs>
        <w:spacing w:line="240" w:lineRule="auto" w:before="30"/>
        <w:ind w:left="158" w:right="0"/>
        <w:jc w:val="left"/>
        <w:rPr>
          <w:rFonts w:ascii="宋体" w:hAnsi="宋体" w:cs="宋体" w:eastAsia="宋体" w:hint="default"/>
          <w:b w:val="0"/>
          <w:bCs w:val="0"/>
        </w:rPr>
      </w:pPr>
      <w:r>
        <w:rPr>
          <w:rFonts w:ascii="宋体" w:hAnsi="宋体" w:cs="宋体" w:eastAsia="宋体" w:hint="default"/>
          <w:w w:val="95"/>
        </w:rPr>
        <w:t>5.</w:t>
        <w:tab/>
      </w:r>
      <w:r>
        <w:rPr/>
        <w:t>现金流</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auto" w:before="44"/>
        <w:ind w:left="158" w:right="207" w:firstLine="419"/>
        <w:jc w:val="both"/>
      </w:pPr>
      <w:r>
        <w:rPr/>
        <w:t>（</w:t>
      </w:r>
      <w:r>
        <w:rPr>
          <w:rFonts w:ascii="Arial" w:hAnsi="Arial" w:cs="Arial" w:eastAsia="Arial" w:hint="default"/>
        </w:rPr>
        <w:t>1</w:t>
      </w:r>
      <w:r>
        <w:rPr/>
        <w:t>）本报告期</w:t>
      </w:r>
      <w:r>
        <w:rPr>
          <w:rFonts w:ascii="宋体" w:hAnsi="宋体" w:cs="宋体" w:eastAsia="宋体" w:hint="default"/>
          <w:b/>
          <w:bCs/>
        </w:rPr>
        <w:t>经营活动产生的现金流量净额</w:t>
      </w:r>
      <w:r>
        <w:rPr>
          <w:rFonts w:ascii="宋体" w:hAnsi="宋体" w:cs="宋体" w:eastAsia="宋体" w:hint="default"/>
          <w:b/>
          <w:bCs/>
          <w:spacing w:val="-57"/>
        </w:rPr>
        <w:t> </w:t>
      </w:r>
      <w:r>
        <w:rPr>
          <w:rFonts w:ascii="Arial" w:hAnsi="Arial" w:cs="Arial" w:eastAsia="Arial" w:hint="default"/>
        </w:rPr>
        <w:t>81,416.83</w:t>
      </w:r>
      <w:r>
        <w:rPr>
          <w:rFonts w:ascii="Arial" w:hAnsi="Arial" w:cs="Arial" w:eastAsia="Arial" w:hint="default"/>
          <w:spacing w:val="-9"/>
        </w:rPr>
        <w:t> </w:t>
      </w:r>
      <w:r>
        <w:rPr>
          <w:spacing w:val="-3"/>
        </w:rPr>
        <w:t>万元，同比下降</w:t>
      </w:r>
      <w:r>
        <w:rPr>
          <w:spacing w:val="-59"/>
        </w:rPr>
        <w:t> </w:t>
      </w:r>
      <w:r>
        <w:rPr>
          <w:rFonts w:ascii="Arial" w:hAnsi="Arial" w:cs="Arial" w:eastAsia="Arial" w:hint="default"/>
        </w:rPr>
        <w:t>38.03%</w:t>
      </w:r>
      <w:r>
        <w:rPr/>
        <w:t>，主要原因</w:t>
      </w:r>
      <w:r>
        <w:rPr>
          <w:w w:val="100"/>
        </w:rPr>
        <w:t> </w:t>
      </w:r>
      <w:r>
        <w:rPr>
          <w:spacing w:val="-2"/>
        </w:rPr>
        <w:t>为鑫都公司销售商品房、鑫亚公司销售库存亚麻和农业分公司预收下年承包费及农用材料收现同</w:t>
      </w:r>
      <w:r>
        <w:rPr>
          <w:spacing w:val="-26"/>
        </w:rPr>
        <w:t> </w:t>
      </w:r>
      <w:r>
        <w:rPr>
          <w:spacing w:val="-26"/>
        </w:rPr>
      </w:r>
      <w:r>
        <w:rPr/>
        <w:t>比减少形成。</w:t>
      </w:r>
    </w:p>
    <w:p>
      <w:pPr>
        <w:pStyle w:val="BodyText"/>
        <w:spacing w:line="264" w:lineRule="auto" w:before="19"/>
        <w:ind w:left="158" w:right="207" w:firstLine="419"/>
        <w:jc w:val="both"/>
      </w:pPr>
      <w:r>
        <w:rPr/>
        <w:t>（</w:t>
      </w:r>
      <w:r>
        <w:rPr>
          <w:rFonts w:ascii="Arial" w:hAnsi="Arial" w:cs="Arial" w:eastAsia="Arial" w:hint="default"/>
        </w:rPr>
        <w:t>2</w:t>
      </w:r>
      <w:r>
        <w:rPr/>
        <w:t>）本报告期</w:t>
      </w:r>
      <w:r>
        <w:rPr>
          <w:rFonts w:ascii="宋体" w:hAnsi="宋体" w:cs="宋体" w:eastAsia="宋体" w:hint="default"/>
          <w:b/>
          <w:bCs/>
        </w:rPr>
        <w:t>投资活动产生的现金流量净额</w:t>
      </w:r>
      <w:r>
        <w:rPr>
          <w:rFonts w:ascii="宋体" w:hAnsi="宋体" w:cs="宋体" w:eastAsia="宋体" w:hint="default"/>
          <w:b/>
          <w:bCs/>
          <w:spacing w:val="-55"/>
        </w:rPr>
        <w:t> </w:t>
      </w:r>
      <w:r>
        <w:rPr>
          <w:rFonts w:ascii="Arial" w:hAnsi="Arial" w:cs="Arial" w:eastAsia="Arial" w:hint="default"/>
        </w:rPr>
        <w:t>60,375.78</w:t>
      </w:r>
      <w:r>
        <w:rPr>
          <w:rFonts w:ascii="Arial" w:hAnsi="Arial" w:cs="Arial" w:eastAsia="Arial" w:hint="default"/>
          <w:spacing w:val="-7"/>
        </w:rPr>
        <w:t> </w:t>
      </w:r>
      <w:r>
        <w:rPr/>
        <w:t>万元，同比增加</w:t>
      </w:r>
      <w:r>
        <w:rPr>
          <w:spacing w:val="-57"/>
        </w:rPr>
        <w:t> </w:t>
      </w:r>
      <w:r>
        <w:rPr>
          <w:rFonts w:ascii="Arial" w:hAnsi="Arial" w:cs="Arial" w:eastAsia="Arial" w:hint="default"/>
        </w:rPr>
        <w:t>160,878.87</w:t>
      </w:r>
      <w:r>
        <w:rPr>
          <w:rFonts w:ascii="Arial" w:hAnsi="Arial" w:cs="Arial" w:eastAsia="Arial" w:hint="default"/>
          <w:spacing w:val="-8"/>
        </w:rPr>
        <w:t> </w:t>
      </w:r>
      <w:r>
        <w:rPr/>
        <w:t>万元，</w:t>
      </w:r>
      <w:r>
        <w:rPr>
          <w:w w:val="100"/>
        </w:rPr>
        <w:t> </w:t>
      </w:r>
      <w:r>
        <w:rPr/>
        <w:t>主要原因为本报告期结构性存款和国债逆回购业务净收现同比增加形成。</w:t>
      </w:r>
    </w:p>
    <w:p>
      <w:pPr>
        <w:pStyle w:val="BodyText"/>
        <w:spacing w:line="266" w:lineRule="auto" w:before="23"/>
        <w:ind w:left="158" w:right="306" w:firstLine="419"/>
        <w:jc w:val="both"/>
      </w:pPr>
      <w:r>
        <w:rPr/>
        <w:t>（</w:t>
      </w:r>
      <w:r>
        <w:rPr>
          <w:rFonts w:ascii="Arial" w:hAnsi="Arial" w:cs="Arial" w:eastAsia="Arial" w:hint="default"/>
        </w:rPr>
        <w:t>3</w:t>
      </w:r>
      <w:r>
        <w:rPr/>
        <w:t>）本报告期</w:t>
      </w:r>
      <w:r>
        <w:rPr>
          <w:rFonts w:ascii="宋体" w:hAnsi="宋体" w:cs="宋体" w:eastAsia="宋体" w:hint="default"/>
          <w:b/>
          <w:bCs/>
        </w:rPr>
        <w:t>筹资活动产生的现金流量净额</w:t>
      </w:r>
      <w:r>
        <w:rPr>
          <w:rFonts w:ascii="Arial" w:hAnsi="Arial" w:cs="Arial" w:eastAsia="Arial" w:hint="default"/>
        </w:rPr>
        <w:t>-71,077.00</w:t>
      </w:r>
      <w:r>
        <w:rPr>
          <w:rFonts w:ascii="Arial" w:hAnsi="Arial" w:cs="Arial" w:eastAsia="Arial" w:hint="default"/>
          <w:spacing w:val="-8"/>
        </w:rPr>
        <w:t> </w:t>
      </w:r>
      <w:r>
        <w:rPr/>
        <w:t>万元，同比减少</w:t>
      </w:r>
      <w:r>
        <w:rPr>
          <w:spacing w:val="-56"/>
        </w:rPr>
        <w:t> </w:t>
      </w:r>
      <w:r>
        <w:rPr>
          <w:rFonts w:ascii="Arial" w:hAnsi="Arial" w:cs="Arial" w:eastAsia="Arial" w:hint="default"/>
        </w:rPr>
        <w:t>23,085.97</w:t>
      </w:r>
      <w:r>
        <w:rPr>
          <w:rFonts w:ascii="Arial" w:hAnsi="Arial" w:cs="Arial" w:eastAsia="Arial" w:hint="default"/>
          <w:spacing w:val="-9"/>
        </w:rPr>
        <w:t> </w:t>
      </w:r>
      <w:r>
        <w:rPr/>
        <w:t>万元，</w:t>
      </w:r>
      <w:r>
        <w:rPr>
          <w:w w:val="100"/>
        </w:rPr>
        <w:t> </w:t>
      </w:r>
      <w:r>
        <w:rPr/>
        <w:t>主要原因为本报告期支付股东红利同比增加形成。</w:t>
      </w:r>
    </w:p>
    <w:p>
      <w:pPr>
        <w:pStyle w:val="Heading2"/>
        <w:tabs>
          <w:tab w:pos="997" w:val="left" w:leader="none"/>
        </w:tabs>
        <w:spacing w:line="240" w:lineRule="auto" w:before="35"/>
        <w:ind w:left="15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40" w:lineRule="auto" w:before="58"/>
        <w:ind w:left="1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997" w:val="left" w:leader="none"/>
        </w:tabs>
        <w:spacing w:line="240" w:lineRule="auto" w:before="57"/>
        <w:ind w:left="15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tabs>
          <w:tab w:pos="582" w:val="left" w:leader="none"/>
        </w:tabs>
        <w:spacing w:line="290" w:lineRule="auto" w:before="56"/>
        <w:ind w:left="158" w:right="7044"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资产及负债状况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0" w:right="107"/>
        <w:jc w:val="right"/>
        <w:rPr>
          <w:rFonts w:ascii="宋体" w:hAnsi="宋体" w:cs="宋体" w:eastAsia="宋体" w:hint="default"/>
        </w:rPr>
      </w:pPr>
      <w:r>
        <w:rPr>
          <w:spacing w:val="-2"/>
        </w:rPr>
        <w:t>单位：万元</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2566;height:2" coordorigin="10,10" coordsize="2566,2">
              <v:shape style="position:absolute;left:10;top:10;width:2566;height:2" coordorigin="10,10" coordsize="2566,0" path="m10,10l2576,10e" filled="false" stroked="true" strokeweight=".95996pt" strokecolor="#41b7ee">
                <v:path arrowok="t"/>
              </v:shape>
            </v:group>
            <v:group style="position:absolute;left:2576;top:10;width:58;height:2" coordorigin="2576,10" coordsize="58,2">
              <v:shape style="position:absolute;left:2576;top:10;width:58;height:2" coordorigin="2576,10" coordsize="58,0" path="m2576,10l2633,10e" filled="false" stroked="true" strokeweight=".95996pt" strokecolor="#41b7ee">
                <v:path arrowok="t"/>
              </v:shape>
            </v:group>
            <v:group style="position:absolute;left:2633;top:10;width:1227;height:2" coordorigin="2633,10" coordsize="1227,2">
              <v:shape style="position:absolute;left:2633;top:10;width:1227;height:2" coordorigin="2633,10" coordsize="1227,0" path="m2633,10l3860,10e" filled="false" stroked="true" strokeweight=".95996pt" strokecolor="#41b7ee">
                <v:path arrowok="t"/>
              </v:shape>
            </v:group>
            <v:group style="position:absolute;left:3860;top:10;width:58;height:2" coordorigin="3860,10" coordsize="58,2">
              <v:shape style="position:absolute;left:3860;top:10;width:58;height:2" coordorigin="3860,10" coordsize="58,0" path="m3860,10l3917,10e" filled="false" stroked="true" strokeweight=".95996pt" strokecolor="#41b7ee">
                <v:path arrowok="t"/>
              </v:shape>
            </v:group>
            <v:group style="position:absolute;left:3917;top:10;width:939;height:2" coordorigin="3917,10" coordsize="939,2">
              <v:shape style="position:absolute;left:3917;top:10;width:939;height:2" coordorigin="3917,10" coordsize="939,0" path="m3917,10l4856,10e" filled="false" stroked="true" strokeweight=".95996pt" strokecolor="#41b7ee">
                <v:path arrowok="t"/>
              </v:shape>
            </v:group>
            <v:group style="position:absolute;left:4856;top:10;width:58;height:2" coordorigin="4856,10" coordsize="58,2">
              <v:shape style="position:absolute;left:4856;top:10;width:58;height:2" coordorigin="4856,10" coordsize="58,0" path="m4856,10l4914,10e" filled="false" stroked="true" strokeweight=".95996pt" strokecolor="#41b7ee">
                <v:path arrowok="t"/>
              </v:shape>
            </v:group>
            <v:group style="position:absolute;left:4914;top:10;width:1088;height:2" coordorigin="4914,10" coordsize="1088,2">
              <v:shape style="position:absolute;left:4914;top:10;width:1088;height:2" coordorigin="4914,10" coordsize="1088,0" path="m4914,10l6001,10e" filled="false" stroked="true" strokeweight=".95996pt" strokecolor="#41b7ee">
                <v:path arrowok="t"/>
              </v:shape>
            </v:group>
            <v:group style="position:absolute;left:6001;top:10;width:58;height:2" coordorigin="6001,10" coordsize="58,2">
              <v:shape style="position:absolute;left:6001;top:10;width:58;height:2" coordorigin="6001,10" coordsize="58,0" path="m6001,10l6059,10e" filled="false" stroked="true" strokeweight=".95996pt" strokecolor="#41b7ee">
                <v:path arrowok="t"/>
              </v:shape>
            </v:group>
            <v:group style="position:absolute;left:6059;top:10;width:1054;height:2" coordorigin="6059,10" coordsize="1054,2">
              <v:shape style="position:absolute;left:6059;top:10;width:1054;height:2" coordorigin="6059,10" coordsize="1054,0" path="m6059,10l7112,10e" filled="false" stroked="true" strokeweight=".95996pt" strokecolor="#41b7ee">
                <v:path arrowok="t"/>
              </v:shape>
            </v:group>
            <v:group style="position:absolute;left:7112;top:10;width:58;height:2" coordorigin="7112,10" coordsize="58,2">
              <v:shape style="position:absolute;left:7112;top:10;width:58;height:2" coordorigin="7112,10" coordsize="58,0" path="m7112,10l7170,10e" filled="false" stroked="true" strokeweight=".95996pt" strokecolor="#41b7ee">
                <v:path arrowok="t"/>
              </v:shape>
            </v:group>
            <v:group style="position:absolute;left:7170;top:10;width:963;height:2" coordorigin="7170,10" coordsize="963,2">
              <v:shape style="position:absolute;left:7170;top:10;width:963;height:2" coordorigin="7170,10" coordsize="963,0" path="m7170,10l8133,10e" filled="false" stroked="true" strokeweight=".95996pt" strokecolor="#41b7ee">
                <v:path arrowok="t"/>
              </v:shape>
            </v:group>
            <v:group style="position:absolute;left:8133;top:10;width:58;height:2" coordorigin="8133,10" coordsize="58,2">
              <v:shape style="position:absolute;left:8133;top:10;width:58;height:2" coordorigin="8133,10" coordsize="58,0" path="m8133,10l8190,10e" filled="false" stroked="true" strokeweight=".95996pt" strokecolor="#41b7ee">
                <v:path arrowok="t"/>
              </v:shape>
            </v:group>
            <v:group style="position:absolute;left:8190;top:10;width:711;height:2" coordorigin="8190,10" coordsize="711,2">
              <v:shape style="position:absolute;left:8190;top:10;width:711;height:2" coordorigin="8190,10" coordsize="711,0" path="m8190,10l8901,10e" filled="false" stroked="true" strokeweight=".95996pt" strokecolor="#41b7ee">
                <v:path arrowok="t"/>
              </v:shape>
            </v:group>
          </v:group>
        </w:pict>
      </w:r>
      <w:r>
        <w:rPr>
          <w:rFonts w:ascii="宋体" w:hAnsi="宋体" w:cs="宋体" w:eastAsia="宋体" w:hint="default"/>
          <w:sz w:val="2"/>
          <w:szCs w:val="2"/>
        </w:rPr>
      </w:r>
    </w:p>
    <w:tbl>
      <w:tblPr>
        <w:tblW w:w="0" w:type="auto"/>
        <w:jc w:val="left"/>
        <w:tblInd w:w="119" w:type="dxa"/>
        <w:tblLayout w:type="fixed"/>
        <w:tblCellMar>
          <w:top w:w="0" w:type="dxa"/>
          <w:left w:w="0" w:type="dxa"/>
          <w:bottom w:w="0" w:type="dxa"/>
          <w:right w:w="0" w:type="dxa"/>
        </w:tblCellMar>
        <w:tblLook w:val="01E0"/>
      </w:tblPr>
      <w:tblGrid>
        <w:gridCol w:w="2571"/>
        <w:gridCol w:w="1284"/>
        <w:gridCol w:w="996"/>
        <w:gridCol w:w="1145"/>
        <w:gridCol w:w="1111"/>
        <w:gridCol w:w="1021"/>
        <w:gridCol w:w="763"/>
      </w:tblGrid>
      <w:tr>
        <w:trPr>
          <w:trHeight w:val="950" w:hRule="exact"/>
        </w:trPr>
        <w:tc>
          <w:tcPr>
            <w:tcW w:w="2571"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284"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996" w:type="dxa"/>
            <w:tcBorders>
              <w:top w:val="single" w:sz="8" w:space="0" w:color="41B7EE"/>
              <w:left w:val="single" w:sz="4" w:space="0" w:color="41B7EE"/>
              <w:bottom w:val="single" w:sz="4" w:space="0" w:color="41B7EE"/>
              <w:right w:val="single" w:sz="4" w:space="0" w:color="41B7EE"/>
            </w:tcBorders>
          </w:tcPr>
          <w:p>
            <w:pPr>
              <w:pStyle w:val="TableParagraph"/>
              <w:spacing w:line="232" w:lineRule="exact" w:before="114"/>
              <w:ind w:left="40" w:right="45"/>
              <w:jc w:val="both"/>
              <w:rPr>
                <w:rFonts w:ascii="宋体" w:hAnsi="宋体" w:cs="宋体" w:eastAsia="宋体" w:hint="default"/>
                <w:sz w:val="18"/>
                <w:szCs w:val="18"/>
              </w:rPr>
            </w:pPr>
            <w:r>
              <w:rPr>
                <w:rFonts w:ascii="宋体" w:hAnsi="宋体" w:cs="宋体" w:eastAsia="宋体" w:hint="default"/>
                <w:sz w:val="18"/>
                <w:szCs w:val="18"/>
              </w:rPr>
              <w:t>本期期末数 占总资产的 比例（</w:t>
            </w:r>
            <w:r>
              <w:rPr>
                <w:rFonts w:ascii="Arial" w:hAnsi="Arial" w:cs="Arial" w:eastAsia="Arial" w:hint="default"/>
                <w:sz w:val="18"/>
                <w:szCs w:val="18"/>
              </w:rPr>
              <w:t>%</w:t>
            </w:r>
            <w:r>
              <w:rPr>
                <w:rFonts w:ascii="宋体" w:hAnsi="宋体" w:cs="宋体" w:eastAsia="宋体" w:hint="default"/>
                <w:sz w:val="18"/>
                <w:szCs w:val="18"/>
              </w:rPr>
              <w:t>）</w:t>
            </w:r>
          </w:p>
        </w:tc>
        <w:tc>
          <w:tcPr>
            <w:tcW w:w="1145"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6"/>
              <w:jc w:val="right"/>
              <w:rPr>
                <w:rFonts w:ascii="宋体" w:hAnsi="宋体" w:cs="宋体" w:eastAsia="宋体" w:hint="default"/>
                <w:sz w:val="21"/>
                <w:szCs w:val="21"/>
              </w:rPr>
            </w:pPr>
            <w:r>
              <w:rPr>
                <w:rFonts w:ascii="宋体" w:hAnsi="宋体" w:cs="宋体" w:eastAsia="宋体" w:hint="default"/>
                <w:spacing w:val="-1"/>
                <w:sz w:val="21"/>
                <w:szCs w:val="21"/>
              </w:rPr>
              <w:t>上期期末数</w:t>
            </w:r>
          </w:p>
        </w:tc>
        <w:tc>
          <w:tcPr>
            <w:tcW w:w="1111" w:type="dxa"/>
            <w:tcBorders>
              <w:top w:val="single" w:sz="8" w:space="0" w:color="41B7EE"/>
              <w:left w:val="single" w:sz="4" w:space="0" w:color="41B7EE"/>
              <w:bottom w:val="single" w:sz="4" w:space="0" w:color="41B7EE"/>
              <w:right w:val="single" w:sz="4" w:space="0" w:color="41B7EE"/>
            </w:tcBorders>
          </w:tcPr>
          <w:p>
            <w:pPr>
              <w:pStyle w:val="TableParagraph"/>
              <w:spacing w:line="232" w:lineRule="exact" w:before="114"/>
              <w:ind w:left="100" w:right="98"/>
              <w:jc w:val="both"/>
              <w:rPr>
                <w:rFonts w:ascii="宋体" w:hAnsi="宋体" w:cs="宋体" w:eastAsia="宋体" w:hint="default"/>
                <w:sz w:val="18"/>
                <w:szCs w:val="18"/>
              </w:rPr>
            </w:pPr>
            <w:r>
              <w:rPr>
                <w:rFonts w:ascii="宋体" w:hAnsi="宋体" w:cs="宋体" w:eastAsia="宋体" w:hint="default"/>
                <w:sz w:val="18"/>
                <w:szCs w:val="18"/>
              </w:rPr>
              <w:t>上期期末数 占总资产的 比例（</w:t>
            </w:r>
            <w:r>
              <w:rPr>
                <w:rFonts w:ascii="Arial" w:hAnsi="Arial" w:cs="Arial" w:eastAsia="Arial" w:hint="default"/>
                <w:sz w:val="18"/>
                <w:szCs w:val="18"/>
              </w:rPr>
              <w:t>%</w:t>
            </w:r>
            <w:r>
              <w:rPr>
                <w:rFonts w:ascii="宋体" w:hAnsi="宋体" w:cs="宋体" w:eastAsia="宋体" w:hint="default"/>
                <w:sz w:val="18"/>
                <w:szCs w:val="18"/>
              </w:rPr>
              <w:t>）</w:t>
            </w:r>
          </w:p>
        </w:tc>
        <w:tc>
          <w:tcPr>
            <w:tcW w:w="1021" w:type="dxa"/>
            <w:tcBorders>
              <w:top w:val="single" w:sz="8" w:space="0" w:color="41B7EE"/>
              <w:left w:val="single" w:sz="4" w:space="0" w:color="41B7EE"/>
              <w:bottom w:val="single" w:sz="4" w:space="0" w:color="41B7EE"/>
              <w:right w:val="single" w:sz="4" w:space="0" w:color="41B7EE"/>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本期期末金</w:t>
            </w:r>
          </w:p>
          <w:p>
            <w:pPr>
              <w:pStyle w:val="TableParagraph"/>
              <w:spacing w:line="232" w:lineRule="exact" w:before="23"/>
              <w:ind w:left="55" w:right="53"/>
              <w:jc w:val="center"/>
              <w:rPr>
                <w:rFonts w:ascii="宋体" w:hAnsi="宋体" w:cs="宋体" w:eastAsia="宋体" w:hint="default"/>
                <w:sz w:val="18"/>
                <w:szCs w:val="18"/>
              </w:rPr>
            </w:pPr>
            <w:r>
              <w:rPr>
                <w:rFonts w:ascii="宋体" w:hAnsi="宋体" w:cs="宋体" w:eastAsia="宋体" w:hint="default"/>
                <w:sz w:val="18"/>
                <w:szCs w:val="18"/>
              </w:rPr>
              <w:t>额较上期期 末变动比例</w:t>
            </w:r>
          </w:p>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763"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72" w:lineRule="exact"/>
              <w:ind w:left="165" w:right="168"/>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358" w:hRule="exact"/>
        </w:trPr>
        <w:tc>
          <w:tcPr>
            <w:tcW w:w="257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28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102,175.55</w:t>
            </w:r>
          </w:p>
        </w:tc>
        <w:tc>
          <w:tcPr>
            <w:tcW w:w="99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13.02</w:t>
            </w:r>
          </w:p>
        </w:tc>
        <w:tc>
          <w:tcPr>
            <w:tcW w:w="114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31,352.22</w:t>
            </w:r>
          </w:p>
        </w:tc>
        <w:tc>
          <w:tcPr>
            <w:tcW w:w="111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left="672" w:right="0"/>
              <w:jc w:val="left"/>
              <w:rPr>
                <w:rFonts w:ascii="Arial" w:hAnsi="Arial" w:cs="Arial" w:eastAsia="Arial" w:hint="default"/>
                <w:sz w:val="21"/>
                <w:szCs w:val="21"/>
              </w:rPr>
            </w:pPr>
            <w:r>
              <w:rPr>
                <w:rFonts w:ascii="Arial"/>
                <w:sz w:val="21"/>
              </w:rPr>
              <w:t>3.93</w:t>
            </w:r>
          </w:p>
        </w:tc>
        <w:tc>
          <w:tcPr>
            <w:tcW w:w="102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z w:val="21"/>
              </w:rPr>
              <w:t>225.90</w:t>
            </w:r>
          </w:p>
        </w:tc>
        <w:tc>
          <w:tcPr>
            <w:tcW w:w="76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right="5"/>
              <w:jc w:val="center"/>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1</w:t>
            </w:r>
          </w:p>
        </w:tc>
      </w:tr>
      <w:tr>
        <w:trPr>
          <w:trHeight w:val="362" w:hRule="exact"/>
        </w:trPr>
        <w:tc>
          <w:tcPr>
            <w:tcW w:w="2571"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284"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7"/>
              <w:ind w:right="19"/>
              <w:jc w:val="right"/>
              <w:rPr>
                <w:rFonts w:ascii="Arial" w:hAnsi="Arial" w:cs="Arial" w:eastAsia="Arial" w:hint="default"/>
                <w:sz w:val="21"/>
                <w:szCs w:val="21"/>
              </w:rPr>
            </w:pPr>
            <w:r>
              <w:rPr>
                <w:rFonts w:ascii="Arial"/>
                <w:spacing w:val="-1"/>
                <w:sz w:val="21"/>
              </w:rPr>
              <w:t>140,376.71</w:t>
            </w:r>
          </w:p>
        </w:tc>
        <w:tc>
          <w:tcPr>
            <w:tcW w:w="996"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7"/>
              <w:ind w:right="20"/>
              <w:jc w:val="right"/>
              <w:rPr>
                <w:rFonts w:ascii="Arial" w:hAnsi="Arial" w:cs="Arial" w:eastAsia="Arial" w:hint="default"/>
                <w:sz w:val="21"/>
                <w:szCs w:val="21"/>
              </w:rPr>
            </w:pPr>
            <w:r>
              <w:rPr>
                <w:rFonts w:ascii="Arial"/>
                <w:spacing w:val="-1"/>
                <w:sz w:val="21"/>
              </w:rPr>
              <w:t>17.89</w:t>
            </w:r>
          </w:p>
        </w:tc>
        <w:tc>
          <w:tcPr>
            <w:tcW w:w="1145" w:type="dxa"/>
            <w:tcBorders>
              <w:top w:val="single" w:sz="4" w:space="0" w:color="41B7EE"/>
              <w:left w:val="single" w:sz="4" w:space="0" w:color="41B7EE"/>
              <w:bottom w:val="single" w:sz="8" w:space="0" w:color="41B7EE"/>
              <w:right w:val="single" w:sz="4" w:space="0" w:color="41B7EE"/>
            </w:tcBorders>
          </w:tcPr>
          <w:p>
            <w:pPr/>
          </w:p>
        </w:tc>
        <w:tc>
          <w:tcPr>
            <w:tcW w:w="1111" w:type="dxa"/>
            <w:tcBorders>
              <w:top w:val="single" w:sz="4" w:space="0" w:color="41B7EE"/>
              <w:left w:val="single" w:sz="4" w:space="0" w:color="41B7EE"/>
              <w:bottom w:val="single" w:sz="8" w:space="0" w:color="41B7EE"/>
              <w:right w:val="single" w:sz="4" w:space="0" w:color="41B7EE"/>
            </w:tcBorders>
          </w:tcPr>
          <w:p>
            <w:pPr/>
          </w:p>
        </w:tc>
        <w:tc>
          <w:tcPr>
            <w:tcW w:w="1021"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2"/>
              <w:ind w:right="19"/>
              <w:jc w:val="right"/>
              <w:rPr>
                <w:rFonts w:ascii="宋体" w:hAnsi="宋体" w:cs="宋体" w:eastAsia="宋体" w:hint="default"/>
                <w:sz w:val="21"/>
                <w:szCs w:val="21"/>
              </w:rPr>
            </w:pPr>
            <w:r>
              <w:rPr>
                <w:rFonts w:ascii="宋体" w:hAnsi="宋体" w:cs="宋体" w:eastAsia="宋体" w:hint="default"/>
                <w:sz w:val="21"/>
                <w:szCs w:val="21"/>
              </w:rPr>
              <w:t>不适用</w:t>
            </w:r>
          </w:p>
        </w:tc>
        <w:tc>
          <w:tcPr>
            <w:tcW w:w="763"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2"/>
              <w:ind w:right="5"/>
              <w:jc w:val="center"/>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2</w:t>
            </w:r>
          </w:p>
        </w:tc>
      </w:tr>
    </w:tbl>
    <w:p>
      <w:pPr>
        <w:spacing w:line="240" w:lineRule="auto" w:before="11"/>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2566;height:2" coordorigin="10,10" coordsize="2566,2">
              <v:shape style="position:absolute;left:10;top:10;width:2566;height:2" coordorigin="10,10" coordsize="2566,0" path="m10,10l2576,10e" filled="false" stroked="true" strokeweight=".96002pt" strokecolor="#41b7ee">
                <v:path arrowok="t"/>
              </v:shape>
            </v:group>
            <v:group style="position:absolute;left:2576;top:10;width:58;height:2" coordorigin="2576,10" coordsize="58,2">
              <v:shape style="position:absolute;left:2576;top:10;width:58;height:2" coordorigin="2576,10" coordsize="58,0" path="m2576,10l2633,10e" filled="false" stroked="true" strokeweight=".96002pt" strokecolor="#41b7ee">
                <v:path arrowok="t"/>
              </v:shape>
            </v:group>
            <v:group style="position:absolute;left:2633;top:10;width:1227;height:2" coordorigin="2633,10" coordsize="1227,2">
              <v:shape style="position:absolute;left:2633;top:10;width:1227;height:2" coordorigin="2633,10" coordsize="1227,0" path="m2633,10l3860,10e" filled="false" stroked="true" strokeweight=".96002pt" strokecolor="#41b7ee">
                <v:path arrowok="t"/>
              </v:shape>
            </v:group>
            <v:group style="position:absolute;left:3860;top:10;width:58;height:2" coordorigin="3860,10" coordsize="58,2">
              <v:shape style="position:absolute;left:3860;top:10;width:58;height:2" coordorigin="3860,10" coordsize="58,0" path="m3860,10l3917,10e" filled="false" stroked="true" strokeweight=".96002pt" strokecolor="#41b7ee">
                <v:path arrowok="t"/>
              </v:shape>
            </v:group>
            <v:group style="position:absolute;left:3917;top:10;width:939;height:2" coordorigin="3917,10" coordsize="939,2">
              <v:shape style="position:absolute;left:3917;top:10;width:939;height:2" coordorigin="3917,10" coordsize="939,0" path="m3917,10l4856,10e" filled="false" stroked="true" strokeweight=".96002pt" strokecolor="#41b7ee">
                <v:path arrowok="t"/>
              </v:shape>
            </v:group>
            <v:group style="position:absolute;left:4856;top:10;width:58;height:2" coordorigin="4856,10" coordsize="58,2">
              <v:shape style="position:absolute;left:4856;top:10;width:58;height:2" coordorigin="4856,10" coordsize="58,0" path="m4856,10l4914,10e" filled="false" stroked="true" strokeweight=".96002pt" strokecolor="#41b7ee">
                <v:path arrowok="t"/>
              </v:shape>
            </v:group>
            <v:group style="position:absolute;left:4914;top:10;width:1088;height:2" coordorigin="4914,10" coordsize="1088,2">
              <v:shape style="position:absolute;left:4914;top:10;width:1088;height:2" coordorigin="4914,10" coordsize="1088,0" path="m4914,10l6001,10e" filled="false" stroked="true" strokeweight=".96002pt" strokecolor="#41b7ee">
                <v:path arrowok="t"/>
              </v:shape>
            </v:group>
            <v:group style="position:absolute;left:6001;top:10;width:58;height:2" coordorigin="6001,10" coordsize="58,2">
              <v:shape style="position:absolute;left:6001;top:10;width:58;height:2" coordorigin="6001,10" coordsize="58,0" path="m6001,10l6059,10e" filled="false" stroked="true" strokeweight=".96002pt" strokecolor="#41b7ee">
                <v:path arrowok="t"/>
              </v:shape>
            </v:group>
            <v:group style="position:absolute;left:6059;top:10;width:1054;height:2" coordorigin="6059,10" coordsize="1054,2">
              <v:shape style="position:absolute;left:6059;top:10;width:1054;height:2" coordorigin="6059,10" coordsize="1054,0" path="m6059,10l7112,10e" filled="false" stroked="true" strokeweight=".96002pt" strokecolor="#41b7ee">
                <v:path arrowok="t"/>
              </v:shape>
            </v:group>
            <v:group style="position:absolute;left:7112;top:10;width:58;height:2" coordorigin="7112,10" coordsize="58,2">
              <v:shape style="position:absolute;left:7112;top:10;width:58;height:2" coordorigin="7112,10" coordsize="58,0" path="m7112,10l7170,10e" filled="false" stroked="true" strokeweight=".96002pt" strokecolor="#41b7ee">
                <v:path arrowok="t"/>
              </v:shape>
            </v:group>
            <v:group style="position:absolute;left:7170;top:10;width:963;height:2" coordorigin="7170,10" coordsize="963,2">
              <v:shape style="position:absolute;left:7170;top:10;width:963;height:2" coordorigin="7170,10" coordsize="963,0" path="m7170,10l8133,10e" filled="false" stroked="true" strokeweight=".96002pt" strokecolor="#41b7ee">
                <v:path arrowok="t"/>
              </v:shape>
            </v:group>
            <v:group style="position:absolute;left:8133;top:10;width:58;height:2" coordorigin="8133,10" coordsize="58,2">
              <v:shape style="position:absolute;left:8133;top:10;width:58;height:2" coordorigin="8133,10" coordsize="58,0" path="m8133,10l8190,10e" filled="false" stroked="true" strokeweight=".96002pt" strokecolor="#41b7ee">
                <v:path arrowok="t"/>
              </v:shape>
            </v:group>
            <v:group style="position:absolute;left:8190;top:10;width:711;height:2" coordorigin="8190,10" coordsize="711,2">
              <v:shape style="position:absolute;left:8190;top:10;width:711;height:2" coordorigin="8190,10" coordsize="711,0" path="m8190,10l8901,10e" filled="false" stroked="true" strokeweight=".96002pt" strokecolor="#41b7ee">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25" w:footer="1195" w:top="1360" w:bottom="1380" w:left="1640" w:right="1060"/>
        </w:sectPr>
      </w:pPr>
    </w:p>
    <w:p>
      <w:pPr>
        <w:spacing w:line="240" w:lineRule="auto" w:before="10"/>
        <w:rPr>
          <w:rFonts w:ascii="宋体" w:hAnsi="宋体" w:cs="宋体" w:eastAsia="宋体" w:hint="default"/>
          <w:sz w:val="11"/>
          <w:szCs w:val="11"/>
        </w:rPr>
      </w:pPr>
    </w:p>
    <w:p>
      <w:pPr>
        <w:spacing w:line="20" w:lineRule="exact"/>
        <w:ind w:left="17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2566;height:2" coordorigin="10,10" coordsize="2566,2">
              <v:shape style="position:absolute;left:10;top:10;width:2566;height:2" coordorigin="10,10" coordsize="2566,0" path="m10,10l2576,10e" filled="false" stroked="true" strokeweight=".96001pt" strokecolor="#41b7ee">
                <v:path arrowok="t"/>
              </v:shape>
            </v:group>
            <v:group style="position:absolute;left:2576;top:10;width:58;height:2" coordorigin="2576,10" coordsize="58,2">
              <v:shape style="position:absolute;left:2576;top:10;width:58;height:2" coordorigin="2576,10" coordsize="58,0" path="m2576,10l2633,10e" filled="false" stroked="true" strokeweight=".96001pt" strokecolor="#41b7ee">
                <v:path arrowok="t"/>
              </v:shape>
            </v:group>
            <v:group style="position:absolute;left:2633;top:10;width:1227;height:2" coordorigin="2633,10" coordsize="1227,2">
              <v:shape style="position:absolute;left:2633;top:10;width:1227;height:2" coordorigin="2633,10" coordsize="1227,0" path="m2633,10l3860,10e" filled="false" stroked="true" strokeweight=".96001pt" strokecolor="#41b7ee">
                <v:path arrowok="t"/>
              </v:shape>
            </v:group>
            <v:group style="position:absolute;left:3860;top:10;width:58;height:2" coordorigin="3860,10" coordsize="58,2">
              <v:shape style="position:absolute;left:3860;top:10;width:58;height:2" coordorigin="3860,10" coordsize="58,0" path="m3860,10l3917,10e" filled="false" stroked="true" strokeweight=".96001pt" strokecolor="#41b7ee">
                <v:path arrowok="t"/>
              </v:shape>
            </v:group>
            <v:group style="position:absolute;left:3917;top:10;width:939;height:2" coordorigin="3917,10" coordsize="939,2">
              <v:shape style="position:absolute;left:3917;top:10;width:939;height:2" coordorigin="3917,10" coordsize="939,0" path="m3917,10l4856,10e" filled="false" stroked="true" strokeweight=".96001pt" strokecolor="#41b7ee">
                <v:path arrowok="t"/>
              </v:shape>
            </v:group>
            <v:group style="position:absolute;left:4856;top:10;width:58;height:2" coordorigin="4856,10" coordsize="58,2">
              <v:shape style="position:absolute;left:4856;top:10;width:58;height:2" coordorigin="4856,10" coordsize="58,0" path="m4856,10l4914,10e" filled="false" stroked="true" strokeweight=".96001pt" strokecolor="#41b7ee">
                <v:path arrowok="t"/>
              </v:shape>
            </v:group>
            <v:group style="position:absolute;left:4914;top:10;width:1088;height:2" coordorigin="4914,10" coordsize="1088,2">
              <v:shape style="position:absolute;left:4914;top:10;width:1088;height:2" coordorigin="4914,10" coordsize="1088,0" path="m4914,10l6001,10e" filled="false" stroked="true" strokeweight=".96001pt" strokecolor="#41b7ee">
                <v:path arrowok="t"/>
              </v:shape>
            </v:group>
            <v:group style="position:absolute;left:6001;top:10;width:58;height:2" coordorigin="6001,10" coordsize="58,2">
              <v:shape style="position:absolute;left:6001;top:10;width:58;height:2" coordorigin="6001,10" coordsize="58,0" path="m6001,10l6059,10e" filled="false" stroked="true" strokeweight=".96001pt" strokecolor="#41b7ee">
                <v:path arrowok="t"/>
              </v:shape>
            </v:group>
            <v:group style="position:absolute;left:6059;top:10;width:1054;height:2" coordorigin="6059,10" coordsize="1054,2">
              <v:shape style="position:absolute;left:6059;top:10;width:1054;height:2" coordorigin="6059,10" coordsize="1054,0" path="m6059,10l7112,10e" filled="false" stroked="true" strokeweight=".96001pt" strokecolor="#41b7ee">
                <v:path arrowok="t"/>
              </v:shape>
            </v:group>
            <v:group style="position:absolute;left:7112;top:10;width:58;height:2" coordorigin="7112,10" coordsize="58,2">
              <v:shape style="position:absolute;left:7112;top:10;width:58;height:2" coordorigin="7112,10" coordsize="58,0" path="m7112,10l7170,10e" filled="false" stroked="true" strokeweight=".96001pt" strokecolor="#41b7ee">
                <v:path arrowok="t"/>
              </v:shape>
            </v:group>
            <v:group style="position:absolute;left:7170;top:10;width:963;height:2" coordorigin="7170,10" coordsize="963,2">
              <v:shape style="position:absolute;left:7170;top:10;width:963;height:2" coordorigin="7170,10" coordsize="963,0" path="m7170,10l8133,10e" filled="false" stroked="true" strokeweight=".96001pt" strokecolor="#41b7ee">
                <v:path arrowok="t"/>
              </v:shape>
            </v:group>
            <v:group style="position:absolute;left:8133;top:10;width:58;height:2" coordorigin="8133,10" coordsize="58,2">
              <v:shape style="position:absolute;left:8133;top:10;width:58;height:2" coordorigin="8133,10" coordsize="58,0" path="m8133,10l8190,10e" filled="false" stroked="true" strokeweight=".96001pt" strokecolor="#41b7ee">
                <v:path arrowok="t"/>
              </v:shape>
            </v:group>
            <v:group style="position:absolute;left:8190;top:10;width:711;height:2" coordorigin="8190,10" coordsize="711,2">
              <v:shape style="position:absolute;left:8190;top:10;width:711;height:2" coordorigin="8190,10" coordsize="711,0" path="m8190,10l8901,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60" w:type="dxa"/>
        <w:tblLayout w:type="fixed"/>
        <w:tblCellMar>
          <w:top w:w="0" w:type="dxa"/>
          <w:left w:w="0" w:type="dxa"/>
          <w:bottom w:w="0" w:type="dxa"/>
          <w:right w:w="0" w:type="dxa"/>
        </w:tblCellMar>
        <w:tblLook w:val="01E0"/>
      </w:tblPr>
      <w:tblGrid>
        <w:gridCol w:w="2571"/>
        <w:gridCol w:w="1284"/>
        <w:gridCol w:w="996"/>
        <w:gridCol w:w="1145"/>
        <w:gridCol w:w="1111"/>
        <w:gridCol w:w="1021"/>
        <w:gridCol w:w="763"/>
      </w:tblGrid>
      <w:tr>
        <w:trPr>
          <w:trHeight w:val="365" w:hRule="exact"/>
        </w:trPr>
        <w:tc>
          <w:tcPr>
            <w:tcW w:w="2571"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7"/>
              <w:ind w:left="28"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284" w:type="dxa"/>
            <w:tcBorders>
              <w:top w:val="single" w:sz="8" w:space="0" w:color="41B7EE"/>
              <w:left w:val="single" w:sz="4" w:space="0" w:color="41B7EE"/>
              <w:bottom w:val="single" w:sz="4" w:space="0" w:color="41B7EE"/>
              <w:right w:val="single" w:sz="4" w:space="0" w:color="41B7EE"/>
            </w:tcBorders>
          </w:tcPr>
          <w:p>
            <w:pPr/>
          </w:p>
        </w:tc>
        <w:tc>
          <w:tcPr>
            <w:tcW w:w="996" w:type="dxa"/>
            <w:tcBorders>
              <w:top w:val="single" w:sz="8" w:space="0" w:color="41B7EE"/>
              <w:left w:val="single" w:sz="4" w:space="0" w:color="41B7EE"/>
              <w:bottom w:val="single" w:sz="4" w:space="0" w:color="41B7EE"/>
              <w:right w:val="single" w:sz="4" w:space="0" w:color="41B7EE"/>
            </w:tcBorders>
          </w:tcPr>
          <w:p>
            <w:pPr/>
          </w:p>
        </w:tc>
        <w:tc>
          <w:tcPr>
            <w:tcW w:w="1145"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50"/>
              <w:ind w:right="16"/>
              <w:jc w:val="right"/>
              <w:rPr>
                <w:rFonts w:ascii="Arial" w:hAnsi="Arial" w:cs="Arial" w:eastAsia="Arial" w:hint="default"/>
                <w:sz w:val="21"/>
                <w:szCs w:val="21"/>
              </w:rPr>
            </w:pPr>
            <w:r>
              <w:rPr>
                <w:rFonts w:ascii="Arial"/>
                <w:sz w:val="21"/>
              </w:rPr>
              <w:t>985.89</w:t>
            </w:r>
          </w:p>
        </w:tc>
        <w:tc>
          <w:tcPr>
            <w:tcW w:w="1111"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50"/>
              <w:ind w:right="17"/>
              <w:jc w:val="right"/>
              <w:rPr>
                <w:rFonts w:ascii="Arial" w:hAnsi="Arial" w:cs="Arial" w:eastAsia="Arial" w:hint="default"/>
                <w:sz w:val="21"/>
                <w:szCs w:val="21"/>
              </w:rPr>
            </w:pPr>
            <w:r>
              <w:rPr>
                <w:rFonts w:ascii="Arial"/>
                <w:spacing w:val="-1"/>
                <w:sz w:val="21"/>
              </w:rPr>
              <w:t>0.12</w:t>
            </w:r>
          </w:p>
        </w:tc>
        <w:tc>
          <w:tcPr>
            <w:tcW w:w="1021"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50"/>
              <w:ind w:right="19"/>
              <w:jc w:val="right"/>
              <w:rPr>
                <w:rFonts w:ascii="Arial" w:hAnsi="Arial" w:cs="Arial" w:eastAsia="Arial" w:hint="default"/>
                <w:sz w:val="21"/>
                <w:szCs w:val="21"/>
              </w:rPr>
            </w:pPr>
            <w:r>
              <w:rPr>
                <w:rFonts w:ascii="Arial"/>
                <w:spacing w:val="-1"/>
                <w:sz w:val="21"/>
              </w:rPr>
              <w:t>-100.00</w:t>
            </w:r>
          </w:p>
        </w:tc>
        <w:tc>
          <w:tcPr>
            <w:tcW w:w="763"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7"/>
              <w:ind w:right="5"/>
              <w:jc w:val="center"/>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2</w:t>
            </w:r>
          </w:p>
        </w:tc>
      </w:tr>
      <w:tr>
        <w:trPr>
          <w:trHeight w:val="358" w:hRule="exact"/>
        </w:trPr>
        <w:tc>
          <w:tcPr>
            <w:tcW w:w="257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28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3,408.60</w:t>
            </w:r>
          </w:p>
        </w:tc>
        <w:tc>
          <w:tcPr>
            <w:tcW w:w="99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0.43</w:t>
            </w:r>
          </w:p>
        </w:tc>
        <w:tc>
          <w:tcPr>
            <w:tcW w:w="114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216,931.11</w:t>
            </w:r>
          </w:p>
        </w:tc>
        <w:tc>
          <w:tcPr>
            <w:tcW w:w="111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27.21</w:t>
            </w:r>
          </w:p>
        </w:tc>
        <w:tc>
          <w:tcPr>
            <w:tcW w:w="102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-98.43</w:t>
            </w:r>
          </w:p>
        </w:tc>
        <w:tc>
          <w:tcPr>
            <w:tcW w:w="76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right="5"/>
              <w:jc w:val="center"/>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2</w:t>
            </w:r>
          </w:p>
        </w:tc>
      </w:tr>
      <w:tr>
        <w:trPr>
          <w:trHeight w:val="358" w:hRule="exact"/>
        </w:trPr>
        <w:tc>
          <w:tcPr>
            <w:tcW w:w="257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284" w:type="dxa"/>
            <w:tcBorders>
              <w:top w:val="single" w:sz="4" w:space="0" w:color="41B7EE"/>
              <w:left w:val="single" w:sz="4" w:space="0" w:color="41B7EE"/>
              <w:bottom w:val="single" w:sz="4" w:space="0" w:color="41B7EE"/>
              <w:right w:val="single" w:sz="4" w:space="0" w:color="41B7EE"/>
            </w:tcBorders>
          </w:tcPr>
          <w:p>
            <w:pPr/>
          </w:p>
        </w:tc>
        <w:tc>
          <w:tcPr>
            <w:tcW w:w="996" w:type="dxa"/>
            <w:tcBorders>
              <w:top w:val="single" w:sz="4" w:space="0" w:color="41B7EE"/>
              <w:left w:val="single" w:sz="4" w:space="0" w:color="41B7EE"/>
              <w:bottom w:val="single" w:sz="4" w:space="0" w:color="41B7EE"/>
              <w:right w:val="single" w:sz="4" w:space="0" w:color="41B7EE"/>
            </w:tcBorders>
          </w:tcPr>
          <w:p>
            <w:pPr/>
          </w:p>
        </w:tc>
        <w:tc>
          <w:tcPr>
            <w:tcW w:w="114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6"/>
              <w:jc w:val="right"/>
              <w:rPr>
                <w:rFonts w:ascii="Arial" w:hAnsi="Arial" w:cs="Arial" w:eastAsia="Arial" w:hint="default"/>
                <w:sz w:val="21"/>
                <w:szCs w:val="21"/>
              </w:rPr>
            </w:pPr>
            <w:r>
              <w:rPr>
                <w:rFonts w:ascii="Arial"/>
                <w:sz w:val="21"/>
              </w:rPr>
              <w:t>243.81</w:t>
            </w:r>
          </w:p>
        </w:tc>
        <w:tc>
          <w:tcPr>
            <w:tcW w:w="111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0.03</w:t>
            </w:r>
          </w:p>
        </w:tc>
        <w:tc>
          <w:tcPr>
            <w:tcW w:w="102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-100.00</w:t>
            </w:r>
          </w:p>
        </w:tc>
        <w:tc>
          <w:tcPr>
            <w:tcW w:w="76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right="5"/>
              <w:jc w:val="center"/>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3</w:t>
            </w:r>
          </w:p>
        </w:tc>
      </w:tr>
      <w:tr>
        <w:trPr>
          <w:trHeight w:val="355" w:hRule="exact"/>
        </w:trPr>
        <w:tc>
          <w:tcPr>
            <w:tcW w:w="257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8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1,291.39</w:t>
            </w:r>
          </w:p>
        </w:tc>
        <w:tc>
          <w:tcPr>
            <w:tcW w:w="99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0.16</w:t>
            </w:r>
          </w:p>
        </w:tc>
        <w:tc>
          <w:tcPr>
            <w:tcW w:w="114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6"/>
              <w:jc w:val="right"/>
              <w:rPr>
                <w:rFonts w:ascii="Arial" w:hAnsi="Arial" w:cs="Arial" w:eastAsia="Arial" w:hint="default"/>
                <w:sz w:val="21"/>
                <w:szCs w:val="21"/>
              </w:rPr>
            </w:pPr>
            <w:r>
              <w:rPr>
                <w:rFonts w:ascii="Arial"/>
                <w:spacing w:val="-1"/>
                <w:sz w:val="21"/>
              </w:rPr>
              <w:t>1,889.02</w:t>
            </w:r>
          </w:p>
        </w:tc>
        <w:tc>
          <w:tcPr>
            <w:tcW w:w="111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0.24</w:t>
            </w:r>
          </w:p>
        </w:tc>
        <w:tc>
          <w:tcPr>
            <w:tcW w:w="102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-31.64</w:t>
            </w:r>
          </w:p>
        </w:tc>
        <w:tc>
          <w:tcPr>
            <w:tcW w:w="76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right="5"/>
              <w:jc w:val="center"/>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4</w:t>
            </w:r>
          </w:p>
        </w:tc>
      </w:tr>
      <w:tr>
        <w:trPr>
          <w:trHeight w:val="358" w:hRule="exact"/>
        </w:trPr>
        <w:tc>
          <w:tcPr>
            <w:tcW w:w="257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b/>
                <w:bCs/>
                <w:sz w:val="21"/>
                <w:szCs w:val="21"/>
              </w:rPr>
              <w:t>流动资产合计</w:t>
            </w:r>
            <w:r>
              <w:rPr>
                <w:rFonts w:ascii="宋体" w:hAnsi="宋体" w:cs="宋体" w:eastAsia="宋体" w:hint="default"/>
                <w:sz w:val="21"/>
                <w:szCs w:val="21"/>
              </w:rPr>
            </w:r>
          </w:p>
        </w:tc>
        <w:tc>
          <w:tcPr>
            <w:tcW w:w="128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b/>
                <w:spacing w:val="-1"/>
                <w:sz w:val="21"/>
              </w:rPr>
              <w:t>293,951.52</w:t>
            </w:r>
            <w:r>
              <w:rPr>
                <w:rFonts w:ascii="Arial"/>
                <w:spacing w:val="-1"/>
                <w:sz w:val="21"/>
              </w:rPr>
            </w:r>
          </w:p>
        </w:tc>
        <w:tc>
          <w:tcPr>
            <w:tcW w:w="99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b/>
                <w:spacing w:val="-1"/>
                <w:sz w:val="21"/>
              </w:rPr>
              <w:t>37.47</w:t>
            </w:r>
            <w:r>
              <w:rPr>
                <w:rFonts w:ascii="Arial"/>
                <w:spacing w:val="-1"/>
                <w:sz w:val="21"/>
              </w:rPr>
            </w:r>
          </w:p>
        </w:tc>
        <w:tc>
          <w:tcPr>
            <w:tcW w:w="114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b/>
                <w:spacing w:val="-1"/>
                <w:sz w:val="21"/>
              </w:rPr>
              <w:t>304,563.54</w:t>
            </w:r>
            <w:r>
              <w:rPr>
                <w:rFonts w:ascii="Arial"/>
                <w:spacing w:val="-1"/>
                <w:sz w:val="21"/>
              </w:rPr>
            </w:r>
          </w:p>
        </w:tc>
        <w:tc>
          <w:tcPr>
            <w:tcW w:w="111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b/>
                <w:spacing w:val="-1"/>
                <w:sz w:val="21"/>
              </w:rPr>
              <w:t>38.20</w:t>
            </w:r>
            <w:r>
              <w:rPr>
                <w:rFonts w:ascii="Arial"/>
                <w:spacing w:val="-1"/>
                <w:sz w:val="21"/>
              </w:rPr>
            </w:r>
          </w:p>
        </w:tc>
        <w:tc>
          <w:tcPr>
            <w:tcW w:w="102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b/>
                <w:spacing w:val="-1"/>
                <w:sz w:val="21"/>
              </w:rPr>
              <w:t>-3.48</w:t>
            </w:r>
            <w:r>
              <w:rPr>
                <w:rFonts w:ascii="Arial"/>
                <w:spacing w:val="-1"/>
                <w:sz w:val="21"/>
              </w:rPr>
            </w:r>
          </w:p>
        </w:tc>
        <w:tc>
          <w:tcPr>
            <w:tcW w:w="76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6"/>
              <w:jc w:val="center"/>
              <w:rPr>
                <w:rFonts w:ascii="Arial" w:hAnsi="Arial" w:cs="Arial" w:eastAsia="Arial" w:hint="default"/>
                <w:sz w:val="21"/>
                <w:szCs w:val="21"/>
              </w:rPr>
            </w:pPr>
            <w:r>
              <w:rPr>
                <w:rFonts w:ascii="Arial"/>
                <w:w w:val="100"/>
                <w:sz w:val="21"/>
              </w:rPr>
              <w:t>/</w:t>
            </w:r>
          </w:p>
        </w:tc>
      </w:tr>
      <w:tr>
        <w:trPr>
          <w:trHeight w:val="358" w:hRule="exact"/>
        </w:trPr>
        <w:tc>
          <w:tcPr>
            <w:tcW w:w="257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128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1,100.00</w:t>
            </w:r>
          </w:p>
        </w:tc>
        <w:tc>
          <w:tcPr>
            <w:tcW w:w="99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0.14</w:t>
            </w:r>
          </w:p>
        </w:tc>
        <w:tc>
          <w:tcPr>
            <w:tcW w:w="1145" w:type="dxa"/>
            <w:tcBorders>
              <w:top w:val="single" w:sz="4" w:space="0" w:color="41B7EE"/>
              <w:left w:val="single" w:sz="4" w:space="0" w:color="41B7EE"/>
              <w:bottom w:val="single" w:sz="4" w:space="0" w:color="41B7EE"/>
              <w:right w:val="single" w:sz="4" w:space="0" w:color="41B7EE"/>
            </w:tcBorders>
          </w:tcPr>
          <w:p>
            <w:pPr/>
          </w:p>
        </w:tc>
        <w:tc>
          <w:tcPr>
            <w:tcW w:w="1111" w:type="dxa"/>
            <w:tcBorders>
              <w:top w:val="single" w:sz="4" w:space="0" w:color="41B7EE"/>
              <w:left w:val="single" w:sz="4" w:space="0" w:color="41B7EE"/>
              <w:bottom w:val="single" w:sz="4" w:space="0" w:color="41B7EE"/>
              <w:right w:val="single" w:sz="4" w:space="0" w:color="41B7EE"/>
            </w:tcBorders>
          </w:tcPr>
          <w:p>
            <w:pPr/>
          </w:p>
        </w:tc>
        <w:tc>
          <w:tcPr>
            <w:tcW w:w="102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right="19"/>
              <w:jc w:val="right"/>
              <w:rPr>
                <w:rFonts w:ascii="宋体" w:hAnsi="宋体" w:cs="宋体" w:eastAsia="宋体" w:hint="default"/>
                <w:sz w:val="21"/>
                <w:szCs w:val="21"/>
              </w:rPr>
            </w:pPr>
            <w:r>
              <w:rPr>
                <w:rFonts w:ascii="宋体" w:hAnsi="宋体" w:cs="宋体" w:eastAsia="宋体" w:hint="default"/>
                <w:sz w:val="21"/>
                <w:szCs w:val="21"/>
              </w:rPr>
              <w:t>不适用</w:t>
            </w:r>
          </w:p>
        </w:tc>
        <w:tc>
          <w:tcPr>
            <w:tcW w:w="76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right="5"/>
              <w:jc w:val="center"/>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5</w:t>
            </w:r>
          </w:p>
        </w:tc>
      </w:tr>
      <w:tr>
        <w:trPr>
          <w:trHeight w:val="358" w:hRule="exact"/>
        </w:trPr>
        <w:tc>
          <w:tcPr>
            <w:tcW w:w="257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284" w:type="dxa"/>
            <w:tcBorders>
              <w:top w:val="single" w:sz="4" w:space="0" w:color="41B7EE"/>
              <w:left w:val="single" w:sz="4" w:space="0" w:color="41B7EE"/>
              <w:bottom w:val="single" w:sz="4" w:space="0" w:color="41B7EE"/>
              <w:right w:val="single" w:sz="4" w:space="0" w:color="41B7EE"/>
            </w:tcBorders>
          </w:tcPr>
          <w:p>
            <w:pPr/>
          </w:p>
        </w:tc>
        <w:tc>
          <w:tcPr>
            <w:tcW w:w="996" w:type="dxa"/>
            <w:tcBorders>
              <w:top w:val="single" w:sz="4" w:space="0" w:color="41B7EE"/>
              <w:left w:val="single" w:sz="4" w:space="0" w:color="41B7EE"/>
              <w:bottom w:val="single" w:sz="4" w:space="0" w:color="41B7EE"/>
              <w:right w:val="single" w:sz="4" w:space="0" w:color="41B7EE"/>
            </w:tcBorders>
          </w:tcPr>
          <w:p>
            <w:pPr/>
          </w:p>
        </w:tc>
        <w:tc>
          <w:tcPr>
            <w:tcW w:w="114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6"/>
              <w:jc w:val="right"/>
              <w:rPr>
                <w:rFonts w:ascii="Arial" w:hAnsi="Arial" w:cs="Arial" w:eastAsia="Arial" w:hint="default"/>
                <w:sz w:val="21"/>
                <w:szCs w:val="21"/>
              </w:rPr>
            </w:pPr>
            <w:r>
              <w:rPr>
                <w:rFonts w:ascii="Arial"/>
                <w:spacing w:val="-1"/>
                <w:sz w:val="21"/>
              </w:rPr>
              <w:t>2,100.00</w:t>
            </w:r>
          </w:p>
        </w:tc>
        <w:tc>
          <w:tcPr>
            <w:tcW w:w="111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0.26</w:t>
            </w:r>
          </w:p>
        </w:tc>
        <w:tc>
          <w:tcPr>
            <w:tcW w:w="102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-100.00</w:t>
            </w:r>
          </w:p>
        </w:tc>
        <w:tc>
          <w:tcPr>
            <w:tcW w:w="76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right="5"/>
              <w:jc w:val="center"/>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5</w:t>
            </w:r>
          </w:p>
        </w:tc>
      </w:tr>
      <w:tr>
        <w:trPr>
          <w:trHeight w:val="355" w:hRule="exact"/>
        </w:trPr>
        <w:tc>
          <w:tcPr>
            <w:tcW w:w="257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28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4,399.46</w:t>
            </w:r>
          </w:p>
        </w:tc>
        <w:tc>
          <w:tcPr>
            <w:tcW w:w="99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0.56</w:t>
            </w:r>
          </w:p>
        </w:tc>
        <w:tc>
          <w:tcPr>
            <w:tcW w:w="114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6"/>
              <w:jc w:val="right"/>
              <w:rPr>
                <w:rFonts w:ascii="Arial" w:hAnsi="Arial" w:cs="Arial" w:eastAsia="Arial" w:hint="default"/>
                <w:sz w:val="21"/>
                <w:szCs w:val="21"/>
              </w:rPr>
            </w:pPr>
            <w:r>
              <w:rPr>
                <w:rFonts w:ascii="Arial"/>
                <w:spacing w:val="-1"/>
                <w:sz w:val="21"/>
              </w:rPr>
              <w:t>2,311.97</w:t>
            </w:r>
          </w:p>
        </w:tc>
        <w:tc>
          <w:tcPr>
            <w:tcW w:w="111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0.29</w:t>
            </w:r>
          </w:p>
        </w:tc>
        <w:tc>
          <w:tcPr>
            <w:tcW w:w="102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90.29</w:t>
            </w:r>
          </w:p>
        </w:tc>
        <w:tc>
          <w:tcPr>
            <w:tcW w:w="76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right="5"/>
              <w:jc w:val="center"/>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6</w:t>
            </w:r>
          </w:p>
        </w:tc>
      </w:tr>
      <w:tr>
        <w:trPr>
          <w:trHeight w:val="358" w:hRule="exact"/>
        </w:trPr>
        <w:tc>
          <w:tcPr>
            <w:tcW w:w="257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b/>
                <w:bCs/>
                <w:sz w:val="21"/>
                <w:szCs w:val="21"/>
              </w:rPr>
              <w:t>其他非流动资产合计</w:t>
            </w:r>
            <w:r>
              <w:rPr>
                <w:rFonts w:ascii="宋体" w:hAnsi="宋体" w:cs="宋体" w:eastAsia="宋体" w:hint="default"/>
                <w:sz w:val="21"/>
                <w:szCs w:val="21"/>
              </w:rPr>
            </w:r>
          </w:p>
        </w:tc>
        <w:tc>
          <w:tcPr>
            <w:tcW w:w="128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b/>
                <w:spacing w:val="-1"/>
                <w:sz w:val="21"/>
              </w:rPr>
              <w:t>490,580.93</w:t>
            </w:r>
            <w:r>
              <w:rPr>
                <w:rFonts w:ascii="Arial"/>
                <w:spacing w:val="-1"/>
                <w:sz w:val="21"/>
              </w:rPr>
            </w:r>
          </w:p>
        </w:tc>
        <w:tc>
          <w:tcPr>
            <w:tcW w:w="99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b/>
                <w:spacing w:val="-1"/>
                <w:sz w:val="21"/>
              </w:rPr>
              <w:t>62.53</w:t>
            </w:r>
            <w:r>
              <w:rPr>
                <w:rFonts w:ascii="Arial"/>
                <w:spacing w:val="-1"/>
                <w:sz w:val="21"/>
              </w:rPr>
            </w:r>
          </w:p>
        </w:tc>
        <w:tc>
          <w:tcPr>
            <w:tcW w:w="114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b/>
                <w:spacing w:val="-1"/>
                <w:sz w:val="21"/>
              </w:rPr>
              <w:t>492,783.12</w:t>
            </w:r>
            <w:r>
              <w:rPr>
                <w:rFonts w:ascii="Arial"/>
                <w:spacing w:val="-1"/>
                <w:sz w:val="21"/>
              </w:rPr>
            </w:r>
          </w:p>
        </w:tc>
        <w:tc>
          <w:tcPr>
            <w:tcW w:w="111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b/>
                <w:spacing w:val="-1"/>
                <w:sz w:val="21"/>
              </w:rPr>
              <w:t>61.80</w:t>
            </w:r>
            <w:r>
              <w:rPr>
                <w:rFonts w:ascii="Arial"/>
                <w:spacing w:val="-1"/>
                <w:sz w:val="21"/>
              </w:rPr>
            </w:r>
          </w:p>
        </w:tc>
        <w:tc>
          <w:tcPr>
            <w:tcW w:w="102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b/>
                <w:spacing w:val="-1"/>
                <w:sz w:val="21"/>
              </w:rPr>
              <w:t>-0.45</w:t>
            </w:r>
            <w:r>
              <w:rPr>
                <w:rFonts w:ascii="Arial"/>
                <w:spacing w:val="-1"/>
                <w:sz w:val="21"/>
              </w:rPr>
            </w:r>
          </w:p>
        </w:tc>
        <w:tc>
          <w:tcPr>
            <w:tcW w:w="76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6"/>
              <w:jc w:val="center"/>
              <w:rPr>
                <w:rFonts w:ascii="Arial" w:hAnsi="Arial" w:cs="Arial" w:eastAsia="Arial" w:hint="default"/>
                <w:sz w:val="21"/>
                <w:szCs w:val="21"/>
              </w:rPr>
            </w:pPr>
            <w:r>
              <w:rPr>
                <w:rFonts w:ascii="Arial"/>
                <w:w w:val="100"/>
                <w:sz w:val="21"/>
              </w:rPr>
              <w:t>/</w:t>
            </w:r>
          </w:p>
        </w:tc>
      </w:tr>
      <w:tr>
        <w:trPr>
          <w:trHeight w:val="358" w:hRule="exact"/>
        </w:trPr>
        <w:tc>
          <w:tcPr>
            <w:tcW w:w="257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284" w:type="dxa"/>
            <w:tcBorders>
              <w:top w:val="single" w:sz="4" w:space="0" w:color="41B7EE"/>
              <w:left w:val="single" w:sz="4" w:space="0" w:color="41B7EE"/>
              <w:bottom w:val="single" w:sz="4" w:space="0" w:color="41B7EE"/>
              <w:right w:val="single" w:sz="4" w:space="0" w:color="41B7EE"/>
            </w:tcBorders>
          </w:tcPr>
          <w:p>
            <w:pPr/>
          </w:p>
        </w:tc>
        <w:tc>
          <w:tcPr>
            <w:tcW w:w="996" w:type="dxa"/>
            <w:tcBorders>
              <w:top w:val="single" w:sz="4" w:space="0" w:color="41B7EE"/>
              <w:left w:val="single" w:sz="4" w:space="0" w:color="41B7EE"/>
              <w:bottom w:val="single" w:sz="4" w:space="0" w:color="41B7EE"/>
              <w:right w:val="single" w:sz="4" w:space="0" w:color="41B7EE"/>
            </w:tcBorders>
          </w:tcPr>
          <w:p>
            <w:pPr/>
          </w:p>
        </w:tc>
        <w:tc>
          <w:tcPr>
            <w:tcW w:w="114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7.03</w:t>
            </w:r>
          </w:p>
        </w:tc>
        <w:tc>
          <w:tcPr>
            <w:tcW w:w="1111" w:type="dxa"/>
            <w:tcBorders>
              <w:top w:val="single" w:sz="4" w:space="0" w:color="41B7EE"/>
              <w:left w:val="single" w:sz="4" w:space="0" w:color="41B7EE"/>
              <w:bottom w:val="single" w:sz="4" w:space="0" w:color="41B7EE"/>
              <w:right w:val="single" w:sz="4" w:space="0" w:color="41B7EE"/>
            </w:tcBorders>
          </w:tcPr>
          <w:p>
            <w:pPr/>
          </w:p>
        </w:tc>
        <w:tc>
          <w:tcPr>
            <w:tcW w:w="102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-100.00</w:t>
            </w:r>
          </w:p>
        </w:tc>
        <w:tc>
          <w:tcPr>
            <w:tcW w:w="76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right="5"/>
              <w:jc w:val="center"/>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7</w:t>
            </w:r>
          </w:p>
        </w:tc>
      </w:tr>
      <w:tr>
        <w:trPr>
          <w:trHeight w:val="358" w:hRule="exact"/>
        </w:trPr>
        <w:tc>
          <w:tcPr>
            <w:tcW w:w="257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b/>
                <w:bCs/>
                <w:sz w:val="21"/>
                <w:szCs w:val="21"/>
              </w:rPr>
              <w:t>流动负债合计</w:t>
            </w:r>
            <w:r>
              <w:rPr>
                <w:rFonts w:ascii="宋体" w:hAnsi="宋体" w:cs="宋体" w:eastAsia="宋体" w:hint="default"/>
                <w:sz w:val="21"/>
                <w:szCs w:val="21"/>
              </w:rPr>
            </w:r>
          </w:p>
        </w:tc>
        <w:tc>
          <w:tcPr>
            <w:tcW w:w="128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b/>
                <w:spacing w:val="-1"/>
                <w:sz w:val="21"/>
              </w:rPr>
              <w:t>129,689.07</w:t>
            </w:r>
            <w:r>
              <w:rPr>
                <w:rFonts w:ascii="Arial"/>
                <w:spacing w:val="-1"/>
                <w:sz w:val="21"/>
              </w:rPr>
            </w:r>
          </w:p>
        </w:tc>
        <w:tc>
          <w:tcPr>
            <w:tcW w:w="99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b/>
                <w:spacing w:val="-1"/>
                <w:sz w:val="21"/>
              </w:rPr>
              <w:t>16.53</w:t>
            </w:r>
            <w:r>
              <w:rPr>
                <w:rFonts w:ascii="Arial"/>
                <w:spacing w:val="-1"/>
                <w:sz w:val="21"/>
              </w:rPr>
            </w:r>
          </w:p>
        </w:tc>
        <w:tc>
          <w:tcPr>
            <w:tcW w:w="114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b/>
                <w:spacing w:val="-1"/>
                <w:sz w:val="21"/>
              </w:rPr>
              <w:t>154,417.28</w:t>
            </w:r>
            <w:r>
              <w:rPr>
                <w:rFonts w:ascii="Arial"/>
                <w:spacing w:val="-1"/>
                <w:sz w:val="21"/>
              </w:rPr>
            </w:r>
          </w:p>
        </w:tc>
        <w:tc>
          <w:tcPr>
            <w:tcW w:w="111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b/>
                <w:spacing w:val="-1"/>
                <w:sz w:val="21"/>
              </w:rPr>
              <w:t>19.37</w:t>
            </w:r>
            <w:r>
              <w:rPr>
                <w:rFonts w:ascii="Arial"/>
                <w:spacing w:val="-1"/>
                <w:sz w:val="21"/>
              </w:rPr>
            </w:r>
          </w:p>
        </w:tc>
        <w:tc>
          <w:tcPr>
            <w:tcW w:w="102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b/>
                <w:spacing w:val="-1"/>
                <w:sz w:val="21"/>
              </w:rPr>
              <w:t>-16.01</w:t>
            </w:r>
            <w:r>
              <w:rPr>
                <w:rFonts w:ascii="Arial"/>
                <w:spacing w:val="-1"/>
                <w:sz w:val="21"/>
              </w:rPr>
            </w:r>
          </w:p>
        </w:tc>
        <w:tc>
          <w:tcPr>
            <w:tcW w:w="76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6"/>
              <w:jc w:val="center"/>
              <w:rPr>
                <w:rFonts w:ascii="Arial" w:hAnsi="Arial" w:cs="Arial" w:eastAsia="Arial" w:hint="default"/>
                <w:sz w:val="21"/>
                <w:szCs w:val="21"/>
              </w:rPr>
            </w:pPr>
            <w:r>
              <w:rPr>
                <w:rFonts w:ascii="Arial"/>
                <w:w w:val="100"/>
                <w:sz w:val="21"/>
              </w:rPr>
              <w:t>/</w:t>
            </w:r>
          </w:p>
        </w:tc>
      </w:tr>
      <w:tr>
        <w:trPr>
          <w:trHeight w:val="355" w:hRule="exact"/>
        </w:trPr>
        <w:tc>
          <w:tcPr>
            <w:tcW w:w="257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28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z w:val="21"/>
              </w:rPr>
              <w:t>395.94</w:t>
            </w:r>
          </w:p>
        </w:tc>
        <w:tc>
          <w:tcPr>
            <w:tcW w:w="99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0.05</w:t>
            </w:r>
          </w:p>
        </w:tc>
        <w:tc>
          <w:tcPr>
            <w:tcW w:w="114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6"/>
              <w:jc w:val="right"/>
              <w:rPr>
                <w:rFonts w:ascii="Arial" w:hAnsi="Arial" w:cs="Arial" w:eastAsia="Arial" w:hint="default"/>
                <w:sz w:val="21"/>
                <w:szCs w:val="21"/>
              </w:rPr>
            </w:pPr>
            <w:r>
              <w:rPr>
                <w:rFonts w:ascii="Arial"/>
                <w:sz w:val="21"/>
              </w:rPr>
              <w:t>170.18</w:t>
            </w:r>
          </w:p>
        </w:tc>
        <w:tc>
          <w:tcPr>
            <w:tcW w:w="111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0.02</w:t>
            </w:r>
          </w:p>
        </w:tc>
        <w:tc>
          <w:tcPr>
            <w:tcW w:w="102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z w:val="21"/>
              </w:rPr>
              <w:t>132.66</w:t>
            </w:r>
          </w:p>
        </w:tc>
        <w:tc>
          <w:tcPr>
            <w:tcW w:w="76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right="5"/>
              <w:jc w:val="center"/>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8</w:t>
            </w:r>
          </w:p>
        </w:tc>
      </w:tr>
      <w:tr>
        <w:trPr>
          <w:trHeight w:val="358" w:hRule="exact"/>
        </w:trPr>
        <w:tc>
          <w:tcPr>
            <w:tcW w:w="257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b/>
                <w:bCs/>
                <w:sz w:val="21"/>
                <w:szCs w:val="21"/>
              </w:rPr>
              <w:t>流动非流动负债合计</w:t>
            </w:r>
            <w:r>
              <w:rPr>
                <w:rFonts w:ascii="宋体" w:hAnsi="宋体" w:cs="宋体" w:eastAsia="宋体" w:hint="default"/>
                <w:sz w:val="21"/>
                <w:szCs w:val="21"/>
              </w:rPr>
            </w:r>
          </w:p>
        </w:tc>
        <w:tc>
          <w:tcPr>
            <w:tcW w:w="128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b/>
                <w:spacing w:val="-1"/>
                <w:sz w:val="21"/>
              </w:rPr>
              <w:t>11,861.99</w:t>
            </w:r>
            <w:r>
              <w:rPr>
                <w:rFonts w:ascii="Arial"/>
                <w:spacing w:val="-1"/>
                <w:sz w:val="21"/>
              </w:rPr>
            </w:r>
          </w:p>
        </w:tc>
        <w:tc>
          <w:tcPr>
            <w:tcW w:w="99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b/>
                <w:spacing w:val="-1"/>
                <w:sz w:val="21"/>
              </w:rPr>
              <w:t>1.51</w:t>
            </w:r>
            <w:r>
              <w:rPr>
                <w:rFonts w:ascii="Arial"/>
                <w:spacing w:val="-1"/>
                <w:sz w:val="21"/>
              </w:rPr>
            </w:r>
          </w:p>
        </w:tc>
        <w:tc>
          <w:tcPr>
            <w:tcW w:w="114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b/>
                <w:spacing w:val="-1"/>
                <w:sz w:val="21"/>
              </w:rPr>
              <w:t>12,138.84</w:t>
            </w:r>
            <w:r>
              <w:rPr>
                <w:rFonts w:ascii="Arial"/>
                <w:spacing w:val="-1"/>
                <w:sz w:val="21"/>
              </w:rPr>
            </w:r>
          </w:p>
        </w:tc>
        <w:tc>
          <w:tcPr>
            <w:tcW w:w="111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b/>
                <w:spacing w:val="-1"/>
                <w:sz w:val="21"/>
              </w:rPr>
              <w:t>1.52</w:t>
            </w:r>
            <w:r>
              <w:rPr>
                <w:rFonts w:ascii="Arial"/>
                <w:spacing w:val="-1"/>
                <w:sz w:val="21"/>
              </w:rPr>
            </w:r>
          </w:p>
        </w:tc>
        <w:tc>
          <w:tcPr>
            <w:tcW w:w="102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b/>
                <w:spacing w:val="-1"/>
                <w:sz w:val="21"/>
              </w:rPr>
              <w:t>-2.28</w:t>
            </w:r>
            <w:r>
              <w:rPr>
                <w:rFonts w:ascii="Arial"/>
                <w:spacing w:val="-1"/>
                <w:sz w:val="21"/>
              </w:rPr>
            </w:r>
          </w:p>
        </w:tc>
        <w:tc>
          <w:tcPr>
            <w:tcW w:w="76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6"/>
              <w:jc w:val="center"/>
              <w:rPr>
                <w:rFonts w:ascii="Arial" w:hAnsi="Arial" w:cs="Arial" w:eastAsia="Arial" w:hint="default"/>
                <w:sz w:val="21"/>
                <w:szCs w:val="21"/>
              </w:rPr>
            </w:pPr>
            <w:r>
              <w:rPr>
                <w:rFonts w:ascii="Arial"/>
                <w:w w:val="100"/>
                <w:sz w:val="21"/>
              </w:rPr>
              <w:t>/</w:t>
            </w:r>
          </w:p>
        </w:tc>
      </w:tr>
      <w:tr>
        <w:trPr>
          <w:trHeight w:val="358" w:hRule="exact"/>
        </w:trPr>
        <w:tc>
          <w:tcPr>
            <w:tcW w:w="257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28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15.33</w:t>
            </w:r>
          </w:p>
        </w:tc>
        <w:tc>
          <w:tcPr>
            <w:tcW w:w="996" w:type="dxa"/>
            <w:tcBorders>
              <w:top w:val="single" w:sz="4" w:space="0" w:color="41B7EE"/>
              <w:left w:val="single" w:sz="4" w:space="0" w:color="41B7EE"/>
              <w:bottom w:val="single" w:sz="4" w:space="0" w:color="41B7EE"/>
              <w:right w:val="single" w:sz="4" w:space="0" w:color="41B7EE"/>
            </w:tcBorders>
          </w:tcPr>
          <w:p>
            <w:pPr/>
          </w:p>
        </w:tc>
        <w:tc>
          <w:tcPr>
            <w:tcW w:w="1145" w:type="dxa"/>
            <w:tcBorders>
              <w:top w:val="single" w:sz="4" w:space="0" w:color="41B7EE"/>
              <w:left w:val="single" w:sz="4" w:space="0" w:color="41B7EE"/>
              <w:bottom w:val="single" w:sz="4" w:space="0" w:color="41B7EE"/>
              <w:right w:val="single" w:sz="4" w:space="0" w:color="41B7EE"/>
            </w:tcBorders>
          </w:tcPr>
          <w:p>
            <w:pPr/>
          </w:p>
        </w:tc>
        <w:tc>
          <w:tcPr>
            <w:tcW w:w="1111" w:type="dxa"/>
            <w:tcBorders>
              <w:top w:val="single" w:sz="4" w:space="0" w:color="41B7EE"/>
              <w:left w:val="single" w:sz="4" w:space="0" w:color="41B7EE"/>
              <w:bottom w:val="single" w:sz="4" w:space="0" w:color="41B7EE"/>
              <w:right w:val="single" w:sz="4" w:space="0" w:color="41B7EE"/>
            </w:tcBorders>
          </w:tcPr>
          <w:p>
            <w:pPr/>
          </w:p>
        </w:tc>
        <w:tc>
          <w:tcPr>
            <w:tcW w:w="102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right="19"/>
              <w:jc w:val="right"/>
              <w:rPr>
                <w:rFonts w:ascii="宋体" w:hAnsi="宋体" w:cs="宋体" w:eastAsia="宋体" w:hint="default"/>
                <w:sz w:val="21"/>
                <w:szCs w:val="21"/>
              </w:rPr>
            </w:pPr>
            <w:r>
              <w:rPr>
                <w:rFonts w:ascii="宋体" w:hAnsi="宋体" w:cs="宋体" w:eastAsia="宋体" w:hint="default"/>
                <w:sz w:val="21"/>
                <w:szCs w:val="21"/>
              </w:rPr>
              <w:t>不适用</w:t>
            </w:r>
          </w:p>
        </w:tc>
        <w:tc>
          <w:tcPr>
            <w:tcW w:w="76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right="5"/>
              <w:jc w:val="center"/>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9</w:t>
            </w:r>
          </w:p>
        </w:tc>
      </w:tr>
      <w:tr>
        <w:trPr>
          <w:trHeight w:val="384" w:hRule="exact"/>
        </w:trPr>
        <w:tc>
          <w:tcPr>
            <w:tcW w:w="2571"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284"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664,817.72</w:t>
            </w:r>
          </w:p>
        </w:tc>
        <w:tc>
          <w:tcPr>
            <w:tcW w:w="996"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84.74</w:t>
            </w:r>
          </w:p>
        </w:tc>
        <w:tc>
          <w:tcPr>
            <w:tcW w:w="1145"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651,122.20</w:t>
            </w:r>
          </w:p>
        </w:tc>
        <w:tc>
          <w:tcPr>
            <w:tcW w:w="1111"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81.66</w:t>
            </w:r>
          </w:p>
        </w:tc>
        <w:tc>
          <w:tcPr>
            <w:tcW w:w="1021"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2.10</w:t>
            </w:r>
          </w:p>
        </w:tc>
        <w:tc>
          <w:tcPr>
            <w:tcW w:w="763"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6"/>
              <w:jc w:val="center"/>
              <w:rPr>
                <w:rFonts w:ascii="Arial" w:hAnsi="Arial" w:cs="Arial" w:eastAsia="Arial" w:hint="default"/>
                <w:sz w:val="21"/>
                <w:szCs w:val="21"/>
              </w:rPr>
            </w:pPr>
            <w:r>
              <w:rPr>
                <w:rFonts w:ascii="Arial"/>
                <w:w w:val="100"/>
                <w:sz w:val="21"/>
              </w:rPr>
              <w:t>/</w:t>
            </w:r>
          </w:p>
        </w:tc>
      </w:tr>
    </w:tbl>
    <w:p>
      <w:pPr>
        <w:pStyle w:val="BodyText"/>
        <w:spacing w:line="240" w:lineRule="auto" w:before="30"/>
        <w:ind w:left="218" w:right="2410"/>
        <w:jc w:val="left"/>
        <w:rPr>
          <w:rFonts w:ascii="宋体" w:hAnsi="宋体" w:cs="宋体" w:eastAsia="宋体" w:hint="default"/>
        </w:rPr>
      </w:pPr>
      <w:r>
        <w:rPr/>
        <w:t>其他说明：</w:t>
      </w:r>
      <w:r>
        <w:rPr>
          <w:rFonts w:ascii="宋体" w:hAnsi="宋体" w:cs="宋体" w:eastAsia="宋体" w:hint="default"/>
        </w:rPr>
        <w:t> </w:t>
      </w:r>
    </w:p>
    <w:p>
      <w:pPr>
        <w:spacing w:line="252" w:lineRule="auto" w:before="32"/>
        <w:ind w:left="218" w:right="0" w:firstLine="419"/>
        <w:jc w:val="left"/>
        <w:rPr>
          <w:rFonts w:ascii="宋体" w:hAnsi="宋体" w:cs="宋体" w:eastAsia="宋体" w:hint="default"/>
          <w:sz w:val="22"/>
          <w:szCs w:val="22"/>
        </w:rPr>
      </w:pPr>
      <w:r>
        <w:rPr>
          <w:rFonts w:ascii="宋体" w:hAnsi="宋体" w:cs="宋体" w:eastAsia="宋体" w:hint="default"/>
          <w:sz w:val="21"/>
          <w:szCs w:val="21"/>
        </w:rPr>
        <w:t>注 </w:t>
      </w:r>
      <w:r>
        <w:rPr>
          <w:rFonts w:ascii="Arial" w:hAnsi="Arial" w:cs="Arial" w:eastAsia="Arial" w:hint="default"/>
          <w:spacing w:val="-4"/>
          <w:sz w:val="21"/>
          <w:szCs w:val="21"/>
        </w:rPr>
        <w:t>1</w:t>
      </w:r>
      <w:r>
        <w:rPr>
          <w:rFonts w:ascii="宋体" w:hAnsi="宋体" w:cs="宋体" w:eastAsia="宋体" w:hint="default"/>
          <w:spacing w:val="-4"/>
          <w:sz w:val="21"/>
          <w:szCs w:val="21"/>
        </w:rPr>
        <w:t>：报告期末</w:t>
      </w:r>
      <w:r>
        <w:rPr>
          <w:rFonts w:ascii="宋体" w:hAnsi="宋体" w:cs="宋体" w:eastAsia="宋体" w:hint="default"/>
          <w:spacing w:val="-4"/>
          <w:sz w:val="22"/>
          <w:szCs w:val="22"/>
        </w:rPr>
        <w:t>“</w:t>
      </w:r>
      <w:r>
        <w:rPr>
          <w:rFonts w:ascii="宋体" w:hAnsi="宋体" w:cs="宋体" w:eastAsia="宋体" w:hint="default"/>
          <w:b/>
          <w:bCs/>
          <w:spacing w:val="-4"/>
          <w:sz w:val="22"/>
          <w:szCs w:val="22"/>
        </w:rPr>
        <w:t>货币资金</w:t>
      </w:r>
      <w:r>
        <w:rPr>
          <w:rFonts w:ascii="宋体" w:hAnsi="宋体" w:cs="宋体" w:eastAsia="宋体" w:hint="default"/>
          <w:spacing w:val="-4"/>
          <w:sz w:val="22"/>
          <w:szCs w:val="22"/>
        </w:rPr>
        <w:t>”比上期期末增长</w:t>
      </w:r>
      <w:r>
        <w:rPr>
          <w:rFonts w:ascii="宋体" w:hAnsi="宋体" w:cs="宋体" w:eastAsia="宋体" w:hint="default"/>
          <w:spacing w:val="-67"/>
          <w:sz w:val="22"/>
          <w:szCs w:val="22"/>
        </w:rPr>
        <w:t> </w:t>
      </w:r>
      <w:r>
        <w:rPr>
          <w:rFonts w:ascii="Arial" w:hAnsi="Arial" w:cs="Arial" w:eastAsia="Arial" w:hint="default"/>
          <w:spacing w:val="-4"/>
          <w:sz w:val="22"/>
          <w:szCs w:val="22"/>
        </w:rPr>
        <w:t>225.90%</w:t>
      </w:r>
      <w:r>
        <w:rPr>
          <w:rFonts w:ascii="宋体" w:hAnsi="宋体" w:cs="宋体" w:eastAsia="宋体" w:hint="default"/>
          <w:spacing w:val="-4"/>
          <w:sz w:val="22"/>
          <w:szCs w:val="22"/>
        </w:rPr>
        <w:t>，主要原因为公司利用闲置资金办</w:t>
      </w:r>
      <w:r>
        <w:rPr>
          <w:rFonts w:ascii="宋体" w:hAnsi="宋体" w:cs="宋体" w:eastAsia="宋体" w:hint="default"/>
          <w:w w:val="100"/>
          <w:sz w:val="22"/>
          <w:szCs w:val="22"/>
        </w:rPr>
        <w:t> </w:t>
      </w:r>
      <w:r>
        <w:rPr>
          <w:rFonts w:ascii="宋体" w:hAnsi="宋体" w:cs="宋体" w:eastAsia="宋体" w:hint="default"/>
          <w:sz w:val="22"/>
          <w:szCs w:val="22"/>
        </w:rPr>
        <w:t>理定期存款同比增加形成。</w:t>
      </w:r>
    </w:p>
    <w:p>
      <w:pPr>
        <w:spacing w:line="264" w:lineRule="auto" w:before="22"/>
        <w:ind w:left="218" w:right="0" w:firstLine="419"/>
        <w:jc w:val="left"/>
        <w:rPr>
          <w:rFonts w:ascii="宋体" w:hAnsi="宋体" w:cs="宋体" w:eastAsia="宋体" w:hint="default"/>
          <w:sz w:val="22"/>
          <w:szCs w:val="22"/>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Arial" w:hAnsi="Arial" w:cs="Arial" w:eastAsia="Arial" w:hint="default"/>
          <w:sz w:val="21"/>
          <w:szCs w:val="21"/>
        </w:rPr>
        <w:t>2</w:t>
      </w:r>
      <w:r>
        <w:rPr>
          <w:rFonts w:ascii="宋体" w:hAnsi="宋体" w:cs="宋体" w:eastAsia="宋体" w:hint="default"/>
          <w:sz w:val="21"/>
          <w:szCs w:val="21"/>
        </w:rPr>
        <w:t>：报告期末“</w:t>
      </w:r>
      <w:r>
        <w:rPr>
          <w:rFonts w:ascii="宋体" w:hAnsi="宋体" w:cs="宋体" w:eastAsia="宋体" w:hint="default"/>
          <w:b/>
          <w:bCs/>
          <w:sz w:val="21"/>
          <w:szCs w:val="21"/>
        </w:rPr>
        <w:t>交易性金融资产</w:t>
      </w:r>
      <w:r>
        <w:rPr>
          <w:rFonts w:ascii="宋体" w:hAnsi="宋体" w:cs="宋体" w:eastAsia="宋体" w:hint="default"/>
          <w:sz w:val="21"/>
          <w:szCs w:val="21"/>
        </w:rPr>
        <w:t>”“</w:t>
      </w:r>
      <w:r>
        <w:rPr>
          <w:rFonts w:ascii="宋体" w:hAnsi="宋体" w:cs="宋体" w:eastAsia="宋体" w:hint="default"/>
          <w:b/>
          <w:bCs/>
          <w:sz w:val="21"/>
          <w:szCs w:val="21"/>
        </w:rPr>
        <w:t>应收利息</w:t>
      </w:r>
      <w:r>
        <w:rPr>
          <w:rFonts w:ascii="宋体" w:hAnsi="宋体" w:cs="宋体" w:eastAsia="宋体" w:hint="default"/>
          <w:sz w:val="21"/>
          <w:szCs w:val="21"/>
        </w:rPr>
        <w:t>”</w:t>
      </w:r>
      <w:r>
        <w:rPr>
          <w:rFonts w:ascii="宋体" w:hAnsi="宋体" w:cs="宋体" w:eastAsia="宋体" w:hint="default"/>
          <w:sz w:val="22"/>
          <w:szCs w:val="22"/>
        </w:rPr>
        <w:t>“</w:t>
      </w:r>
      <w:r>
        <w:rPr>
          <w:rFonts w:ascii="宋体" w:hAnsi="宋体" w:cs="宋体" w:eastAsia="宋体" w:hint="default"/>
          <w:b/>
          <w:bCs/>
          <w:sz w:val="22"/>
          <w:szCs w:val="22"/>
        </w:rPr>
        <w:t>其他流动资产</w:t>
      </w:r>
      <w:r>
        <w:rPr>
          <w:rFonts w:ascii="宋体" w:hAnsi="宋体" w:cs="宋体" w:eastAsia="宋体" w:hint="default"/>
          <w:sz w:val="22"/>
          <w:szCs w:val="22"/>
        </w:rPr>
        <w:t>”比上期期末变动原因</w:t>
      </w:r>
      <w:r>
        <w:rPr>
          <w:rFonts w:ascii="宋体" w:hAnsi="宋体" w:cs="宋体" w:eastAsia="宋体" w:hint="default"/>
          <w:w w:val="100"/>
          <w:sz w:val="22"/>
          <w:szCs w:val="22"/>
        </w:rPr>
        <w:t> </w:t>
      </w:r>
      <w:r>
        <w:rPr>
          <w:rFonts w:ascii="宋体" w:hAnsi="宋体" w:cs="宋体" w:eastAsia="宋体" w:hint="default"/>
          <w:sz w:val="22"/>
          <w:szCs w:val="22"/>
        </w:rPr>
        <w:t>为公司执行新金融工具准则后，将国债逆回购和结构性存款业务划分为以公允价值计量且其</w:t>
      </w:r>
      <w:r>
        <w:rPr>
          <w:rFonts w:ascii="宋体" w:hAnsi="宋体" w:cs="宋体" w:eastAsia="宋体" w:hint="default"/>
          <w:w w:val="100"/>
          <w:sz w:val="22"/>
          <w:szCs w:val="22"/>
        </w:rPr>
        <w:t> </w:t>
      </w:r>
      <w:r>
        <w:rPr>
          <w:rFonts w:ascii="宋体" w:hAnsi="宋体" w:cs="宋体" w:eastAsia="宋体" w:hint="default"/>
          <w:spacing w:val="-3"/>
          <w:sz w:val="22"/>
          <w:szCs w:val="22"/>
        </w:rPr>
        <w:t>变动计入当期损益的金融资产，“其他流动资产”和“应收利息”调整为“交易性金融资产”</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z w:val="22"/>
          <w:szCs w:val="22"/>
        </w:rPr>
        <w:t>项目列报。</w:t>
      </w:r>
    </w:p>
    <w:p>
      <w:pPr>
        <w:spacing w:line="252" w:lineRule="auto" w:before="9"/>
        <w:ind w:left="218" w:right="251" w:firstLine="439"/>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8"/>
          <w:sz w:val="22"/>
          <w:szCs w:val="22"/>
        </w:rPr>
        <w:t> </w:t>
      </w:r>
      <w:r>
        <w:rPr>
          <w:rFonts w:ascii="Arial" w:hAnsi="Arial" w:cs="Arial" w:eastAsia="Arial" w:hint="default"/>
          <w:sz w:val="22"/>
          <w:szCs w:val="22"/>
        </w:rPr>
        <w:t>3</w:t>
      </w:r>
      <w:r>
        <w:rPr>
          <w:rFonts w:ascii="宋体" w:hAnsi="宋体" w:cs="宋体" w:eastAsia="宋体" w:hint="default"/>
          <w:sz w:val="22"/>
          <w:szCs w:val="22"/>
        </w:rPr>
        <w:t>：报告期末“</w:t>
      </w:r>
      <w:r>
        <w:rPr>
          <w:rFonts w:ascii="宋体" w:hAnsi="宋体" w:cs="宋体" w:eastAsia="宋体" w:hint="default"/>
          <w:b/>
          <w:bCs/>
          <w:sz w:val="22"/>
          <w:szCs w:val="22"/>
        </w:rPr>
        <w:t>应收票据</w:t>
      </w:r>
      <w:r>
        <w:rPr>
          <w:rFonts w:ascii="宋体" w:hAnsi="宋体" w:cs="宋体" w:eastAsia="宋体" w:hint="default"/>
          <w:sz w:val="22"/>
          <w:szCs w:val="22"/>
        </w:rPr>
        <w:t>”比上期期末下降</w:t>
      </w:r>
      <w:r>
        <w:rPr>
          <w:rFonts w:ascii="宋体" w:hAnsi="宋体" w:cs="宋体" w:eastAsia="宋体" w:hint="default"/>
          <w:spacing w:val="-58"/>
          <w:sz w:val="22"/>
          <w:szCs w:val="22"/>
        </w:rPr>
        <w:t> </w:t>
      </w:r>
      <w:r>
        <w:rPr>
          <w:rFonts w:ascii="Arial" w:hAnsi="Arial" w:cs="Arial" w:eastAsia="Arial" w:hint="default"/>
          <w:sz w:val="22"/>
          <w:szCs w:val="22"/>
        </w:rPr>
        <w:t>100.00%</w:t>
      </w:r>
      <w:r>
        <w:rPr>
          <w:rFonts w:ascii="宋体" w:hAnsi="宋体" w:cs="宋体" w:eastAsia="宋体" w:hint="default"/>
          <w:sz w:val="22"/>
          <w:szCs w:val="22"/>
        </w:rPr>
        <w:t>，主要原因为麦芽公司年初应收</w:t>
      </w:r>
      <w:r>
        <w:rPr>
          <w:rFonts w:ascii="宋体" w:hAnsi="宋体" w:cs="宋体" w:eastAsia="宋体" w:hint="default"/>
          <w:w w:val="100"/>
          <w:sz w:val="22"/>
          <w:szCs w:val="22"/>
        </w:rPr>
        <w:t> </w:t>
      </w:r>
      <w:r>
        <w:rPr>
          <w:rFonts w:ascii="宋体" w:hAnsi="宋体" w:cs="宋体" w:eastAsia="宋体" w:hint="default"/>
          <w:sz w:val="22"/>
          <w:szCs w:val="22"/>
        </w:rPr>
        <w:t>票据已到期收回货币资金。</w:t>
      </w:r>
    </w:p>
    <w:p>
      <w:pPr>
        <w:spacing w:line="252" w:lineRule="auto" w:before="22"/>
        <w:ind w:left="218" w:right="242" w:firstLine="419"/>
        <w:jc w:val="left"/>
        <w:rPr>
          <w:rFonts w:ascii="宋体" w:hAnsi="宋体" w:cs="宋体" w:eastAsia="宋体" w:hint="default"/>
          <w:sz w:val="22"/>
          <w:szCs w:val="22"/>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Arial" w:hAnsi="Arial" w:cs="Arial" w:eastAsia="Arial" w:hint="default"/>
          <w:sz w:val="21"/>
          <w:szCs w:val="21"/>
        </w:rPr>
        <w:t>4</w:t>
      </w:r>
      <w:r>
        <w:rPr>
          <w:rFonts w:ascii="宋体" w:hAnsi="宋体" w:cs="宋体" w:eastAsia="宋体" w:hint="default"/>
          <w:sz w:val="21"/>
          <w:szCs w:val="21"/>
        </w:rPr>
        <w:t>：报告期末</w:t>
      </w:r>
      <w:r>
        <w:rPr>
          <w:rFonts w:ascii="宋体" w:hAnsi="宋体" w:cs="宋体" w:eastAsia="宋体" w:hint="default"/>
          <w:sz w:val="22"/>
          <w:szCs w:val="22"/>
        </w:rPr>
        <w:t>“</w:t>
      </w:r>
      <w:r>
        <w:rPr>
          <w:rFonts w:ascii="宋体" w:hAnsi="宋体" w:cs="宋体" w:eastAsia="宋体" w:hint="default"/>
          <w:b/>
          <w:bCs/>
          <w:sz w:val="22"/>
          <w:szCs w:val="22"/>
        </w:rPr>
        <w:t>应收账款</w:t>
      </w:r>
      <w:r>
        <w:rPr>
          <w:rFonts w:ascii="宋体" w:hAnsi="宋体" w:cs="宋体" w:eastAsia="宋体" w:hint="default"/>
          <w:sz w:val="22"/>
          <w:szCs w:val="22"/>
        </w:rPr>
        <w:t>”比上期期末下降</w:t>
      </w:r>
      <w:r>
        <w:rPr>
          <w:rFonts w:ascii="宋体" w:hAnsi="宋体" w:cs="宋体" w:eastAsia="宋体" w:hint="default"/>
          <w:spacing w:val="-58"/>
          <w:sz w:val="22"/>
          <w:szCs w:val="22"/>
        </w:rPr>
        <w:t> </w:t>
      </w:r>
      <w:r>
        <w:rPr>
          <w:rFonts w:ascii="Arial" w:hAnsi="Arial" w:cs="Arial" w:eastAsia="Arial" w:hint="default"/>
          <w:sz w:val="22"/>
          <w:szCs w:val="22"/>
        </w:rPr>
        <w:t>31.64%</w:t>
      </w:r>
      <w:r>
        <w:rPr>
          <w:rFonts w:ascii="宋体" w:hAnsi="宋体" w:cs="宋体" w:eastAsia="宋体" w:hint="default"/>
          <w:sz w:val="22"/>
          <w:szCs w:val="22"/>
        </w:rPr>
        <w:t>，主要原因为鑫亚公司根据法院判</w:t>
      </w:r>
      <w:r>
        <w:rPr>
          <w:rFonts w:ascii="宋体" w:hAnsi="宋体" w:cs="宋体" w:eastAsia="宋体" w:hint="default"/>
          <w:w w:val="100"/>
          <w:sz w:val="22"/>
          <w:szCs w:val="22"/>
        </w:rPr>
        <w:t> </w:t>
      </w:r>
      <w:r>
        <w:rPr>
          <w:rFonts w:ascii="宋体" w:hAnsi="宋体" w:cs="宋体" w:eastAsia="宋体" w:hint="default"/>
          <w:sz w:val="22"/>
          <w:szCs w:val="22"/>
        </w:rPr>
        <w:t>决将同一实际控制人的预收款冲销应收账款形成。</w:t>
      </w:r>
    </w:p>
    <w:p>
      <w:pPr>
        <w:spacing w:line="259" w:lineRule="auto" w:before="20"/>
        <w:ind w:left="218" w:right="264" w:firstLine="439"/>
        <w:jc w:val="both"/>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7"/>
          <w:sz w:val="22"/>
          <w:szCs w:val="22"/>
        </w:rPr>
        <w:t> </w:t>
      </w:r>
      <w:r>
        <w:rPr>
          <w:rFonts w:ascii="Arial" w:hAnsi="Arial" w:cs="Arial" w:eastAsia="Arial" w:hint="default"/>
          <w:sz w:val="22"/>
          <w:szCs w:val="22"/>
        </w:rPr>
        <w:t>5</w:t>
      </w:r>
      <w:r>
        <w:rPr>
          <w:rFonts w:ascii="宋体" w:hAnsi="宋体" w:cs="宋体" w:eastAsia="宋体" w:hint="default"/>
          <w:sz w:val="22"/>
          <w:szCs w:val="22"/>
        </w:rPr>
        <w:t>：报告期末“</w:t>
      </w:r>
      <w:r>
        <w:rPr>
          <w:rFonts w:ascii="宋体" w:hAnsi="宋体" w:cs="宋体" w:eastAsia="宋体" w:hint="default"/>
          <w:b/>
          <w:bCs/>
          <w:sz w:val="22"/>
          <w:szCs w:val="22"/>
        </w:rPr>
        <w:t>可供出售金融资产</w:t>
      </w:r>
      <w:r>
        <w:rPr>
          <w:rFonts w:ascii="宋体" w:hAnsi="宋体" w:cs="宋体" w:eastAsia="宋体" w:hint="default"/>
          <w:sz w:val="22"/>
          <w:szCs w:val="22"/>
        </w:rPr>
        <w:t>”和“</w:t>
      </w:r>
      <w:r>
        <w:rPr>
          <w:rFonts w:ascii="宋体" w:hAnsi="宋体" w:cs="宋体" w:eastAsia="宋体" w:hint="default"/>
          <w:b/>
          <w:bCs/>
          <w:sz w:val="22"/>
          <w:szCs w:val="22"/>
        </w:rPr>
        <w:t>其他权益工具投资</w:t>
      </w:r>
      <w:r>
        <w:rPr>
          <w:rFonts w:ascii="宋体" w:hAnsi="宋体" w:cs="宋体" w:eastAsia="宋体" w:hint="default"/>
          <w:sz w:val="22"/>
          <w:szCs w:val="22"/>
        </w:rPr>
        <w:t>”比上年末变动原因为公</w:t>
      </w:r>
      <w:r>
        <w:rPr>
          <w:rFonts w:ascii="宋体" w:hAnsi="宋体" w:cs="宋体" w:eastAsia="宋体" w:hint="default"/>
          <w:w w:val="100"/>
          <w:sz w:val="22"/>
          <w:szCs w:val="22"/>
        </w:rPr>
        <w:t> </w:t>
      </w:r>
      <w:r>
        <w:rPr>
          <w:rFonts w:ascii="宋体" w:hAnsi="宋体" w:cs="宋体" w:eastAsia="宋体" w:hint="default"/>
          <w:spacing w:val="-1"/>
          <w:sz w:val="22"/>
          <w:szCs w:val="22"/>
        </w:rPr>
        <w:t>司执行新金融工具准则后，将非交易性股权投资指定为以公允价值计量且其变动计入其他综</w:t>
      </w:r>
      <w:r>
        <w:rPr>
          <w:rFonts w:ascii="宋体" w:hAnsi="宋体" w:cs="宋体" w:eastAsia="宋体" w:hint="default"/>
          <w:spacing w:val="-76"/>
          <w:sz w:val="22"/>
          <w:szCs w:val="22"/>
        </w:rPr>
        <w:t> </w:t>
      </w:r>
      <w:r>
        <w:rPr>
          <w:rFonts w:ascii="宋体" w:hAnsi="宋体" w:cs="宋体" w:eastAsia="宋体" w:hint="default"/>
          <w:spacing w:val="-76"/>
          <w:sz w:val="22"/>
          <w:szCs w:val="22"/>
        </w:rPr>
      </w:r>
      <w:r>
        <w:rPr>
          <w:rFonts w:ascii="宋体" w:hAnsi="宋体" w:cs="宋体" w:eastAsia="宋体" w:hint="default"/>
          <w:sz w:val="22"/>
          <w:szCs w:val="22"/>
        </w:rPr>
        <w:t>合收益的金融资产，“可供出售金融资产”调整为“其他权益工具投资”项目列报。</w:t>
      </w:r>
    </w:p>
    <w:p>
      <w:pPr>
        <w:spacing w:line="254" w:lineRule="auto" w:before="13"/>
        <w:ind w:left="218" w:right="228" w:firstLine="439"/>
        <w:jc w:val="left"/>
        <w:rPr>
          <w:rFonts w:ascii="宋体" w:hAnsi="宋体" w:cs="宋体" w:eastAsia="宋体" w:hint="default"/>
          <w:sz w:val="22"/>
          <w:szCs w:val="22"/>
        </w:rPr>
      </w:pPr>
      <w:r>
        <w:rPr>
          <w:rFonts w:ascii="宋体" w:hAnsi="宋体" w:cs="宋体" w:eastAsia="宋体" w:hint="default"/>
          <w:sz w:val="22"/>
          <w:szCs w:val="22"/>
        </w:rPr>
        <w:t>注 </w:t>
      </w:r>
      <w:r>
        <w:rPr>
          <w:rFonts w:ascii="Arial" w:hAnsi="Arial" w:cs="Arial" w:eastAsia="Arial" w:hint="default"/>
          <w:spacing w:val="-3"/>
          <w:sz w:val="22"/>
          <w:szCs w:val="22"/>
        </w:rPr>
        <w:t>6</w:t>
      </w:r>
      <w:r>
        <w:rPr>
          <w:rFonts w:ascii="宋体" w:hAnsi="宋体" w:cs="宋体" w:eastAsia="宋体" w:hint="default"/>
          <w:spacing w:val="-3"/>
          <w:sz w:val="22"/>
          <w:szCs w:val="22"/>
        </w:rPr>
        <w:t>：报告期末“</w:t>
      </w:r>
      <w:r>
        <w:rPr>
          <w:rFonts w:ascii="宋体" w:hAnsi="宋体" w:cs="宋体" w:eastAsia="宋体" w:hint="default"/>
          <w:b/>
          <w:bCs/>
          <w:spacing w:val="-3"/>
          <w:sz w:val="22"/>
          <w:szCs w:val="22"/>
        </w:rPr>
        <w:t>在建工程</w:t>
      </w:r>
      <w:r>
        <w:rPr>
          <w:rFonts w:ascii="宋体" w:hAnsi="宋体" w:cs="宋体" w:eastAsia="宋体" w:hint="default"/>
          <w:spacing w:val="-3"/>
          <w:sz w:val="22"/>
          <w:szCs w:val="22"/>
        </w:rPr>
        <w:t>”比上期期末增长</w:t>
      </w:r>
      <w:r>
        <w:rPr>
          <w:rFonts w:ascii="宋体" w:hAnsi="宋体" w:cs="宋体" w:eastAsia="宋体" w:hint="default"/>
          <w:spacing w:val="-71"/>
          <w:sz w:val="22"/>
          <w:szCs w:val="22"/>
        </w:rPr>
        <w:t> </w:t>
      </w:r>
      <w:r>
        <w:rPr>
          <w:rFonts w:ascii="Arial" w:hAnsi="Arial" w:cs="Arial" w:eastAsia="Arial" w:hint="default"/>
          <w:spacing w:val="-3"/>
          <w:sz w:val="22"/>
          <w:szCs w:val="22"/>
        </w:rPr>
        <w:t>99.29%</w:t>
      </w:r>
      <w:r>
        <w:rPr>
          <w:rFonts w:ascii="宋体" w:hAnsi="宋体" w:cs="宋体" w:eastAsia="宋体" w:hint="default"/>
          <w:spacing w:val="-3"/>
          <w:sz w:val="22"/>
          <w:szCs w:val="22"/>
        </w:rPr>
        <w:t>，主要原因为农业基础设施建设项</w:t>
      </w:r>
      <w:r>
        <w:rPr>
          <w:rFonts w:ascii="宋体" w:hAnsi="宋体" w:cs="宋体" w:eastAsia="宋体" w:hint="default"/>
          <w:w w:val="100"/>
          <w:sz w:val="22"/>
          <w:szCs w:val="22"/>
        </w:rPr>
        <w:t> </w:t>
      </w:r>
      <w:r>
        <w:rPr>
          <w:rFonts w:ascii="宋体" w:hAnsi="宋体" w:cs="宋体" w:eastAsia="宋体" w:hint="default"/>
          <w:sz w:val="22"/>
          <w:szCs w:val="22"/>
        </w:rPr>
        <w:t>目受工期内连续降雨影响报告期末尚未完工形成。</w:t>
      </w:r>
    </w:p>
    <w:p>
      <w:pPr>
        <w:spacing w:line="261" w:lineRule="auto" w:before="18"/>
        <w:ind w:left="218" w:right="293" w:firstLine="439"/>
        <w:jc w:val="left"/>
        <w:rPr>
          <w:rFonts w:ascii="宋体" w:hAnsi="宋体" w:cs="宋体" w:eastAsia="宋体" w:hint="default"/>
          <w:sz w:val="21"/>
          <w:szCs w:val="21"/>
        </w:rPr>
      </w:pPr>
      <w:r>
        <w:rPr>
          <w:rFonts w:ascii="宋体" w:hAnsi="宋体" w:cs="宋体" w:eastAsia="宋体" w:hint="default"/>
          <w:sz w:val="22"/>
          <w:szCs w:val="22"/>
        </w:rPr>
        <w:t>注</w:t>
      </w:r>
      <w:r>
        <w:rPr>
          <w:rFonts w:ascii="宋体" w:hAnsi="宋体" w:cs="宋体" w:eastAsia="宋体" w:hint="default"/>
          <w:spacing w:val="-59"/>
          <w:sz w:val="22"/>
          <w:szCs w:val="22"/>
        </w:rPr>
        <w:t> </w:t>
      </w:r>
      <w:r>
        <w:rPr>
          <w:rFonts w:ascii="Arial" w:hAnsi="Arial" w:cs="Arial" w:eastAsia="Arial" w:hint="default"/>
          <w:sz w:val="22"/>
          <w:szCs w:val="22"/>
        </w:rPr>
        <w:t>7</w:t>
      </w:r>
      <w:r>
        <w:rPr>
          <w:rFonts w:ascii="宋体" w:hAnsi="宋体" w:cs="宋体" w:eastAsia="宋体" w:hint="default"/>
          <w:sz w:val="22"/>
          <w:szCs w:val="22"/>
        </w:rPr>
        <w:t>：报告期末</w:t>
      </w:r>
      <w:r>
        <w:rPr>
          <w:rFonts w:ascii="宋体" w:hAnsi="宋体" w:cs="宋体" w:eastAsia="宋体" w:hint="default"/>
          <w:sz w:val="21"/>
          <w:szCs w:val="21"/>
        </w:rPr>
        <w:t>“</w:t>
      </w:r>
      <w:r>
        <w:rPr>
          <w:rFonts w:ascii="宋体" w:hAnsi="宋体" w:cs="宋体" w:eastAsia="宋体" w:hint="default"/>
          <w:b/>
          <w:bCs/>
          <w:sz w:val="21"/>
          <w:szCs w:val="21"/>
        </w:rPr>
        <w:t>应付股利</w:t>
      </w:r>
      <w:r>
        <w:rPr>
          <w:rFonts w:ascii="宋体" w:hAnsi="宋体" w:cs="宋体" w:eastAsia="宋体" w:hint="default"/>
          <w:sz w:val="21"/>
          <w:szCs w:val="21"/>
        </w:rPr>
        <w:t>”比上期期末</w:t>
      </w:r>
      <w:r>
        <w:rPr>
          <w:rFonts w:ascii="宋体" w:hAnsi="宋体" w:cs="宋体" w:eastAsia="宋体" w:hint="default"/>
          <w:sz w:val="22"/>
          <w:szCs w:val="22"/>
        </w:rPr>
        <w:t>下降</w:t>
      </w:r>
      <w:r>
        <w:rPr>
          <w:rFonts w:ascii="宋体" w:hAnsi="宋体" w:cs="宋体" w:eastAsia="宋体" w:hint="default"/>
          <w:spacing w:val="-59"/>
          <w:sz w:val="22"/>
          <w:szCs w:val="22"/>
        </w:rPr>
        <w:t> </w:t>
      </w:r>
      <w:r>
        <w:rPr>
          <w:rFonts w:ascii="Arial" w:hAnsi="Arial" w:cs="Arial" w:eastAsia="Arial" w:hint="default"/>
          <w:sz w:val="22"/>
          <w:szCs w:val="22"/>
        </w:rPr>
        <w:t>100.00%</w:t>
      </w:r>
      <w:r>
        <w:rPr>
          <w:rFonts w:ascii="宋体" w:hAnsi="宋体" w:cs="宋体" w:eastAsia="宋体" w:hint="default"/>
          <w:sz w:val="21"/>
          <w:szCs w:val="21"/>
        </w:rPr>
        <w:t>，主要原因为公司将无法支付的应</w:t>
      </w:r>
      <w:r>
        <w:rPr>
          <w:rFonts w:ascii="宋体" w:hAnsi="宋体" w:cs="宋体" w:eastAsia="宋体" w:hint="default"/>
          <w:w w:val="100"/>
          <w:sz w:val="21"/>
          <w:szCs w:val="21"/>
        </w:rPr>
        <w:t> </w:t>
      </w:r>
      <w:r>
        <w:rPr>
          <w:rFonts w:ascii="宋体" w:hAnsi="宋体" w:cs="宋体" w:eastAsia="宋体" w:hint="default"/>
          <w:sz w:val="21"/>
          <w:szCs w:val="21"/>
        </w:rPr>
        <w:t>付股利计入当期损益。</w:t>
      </w:r>
    </w:p>
    <w:p>
      <w:pPr>
        <w:pStyle w:val="BodyText"/>
        <w:spacing w:line="264" w:lineRule="auto" w:before="28"/>
        <w:ind w:left="218" w:right="232" w:firstLine="419"/>
        <w:jc w:val="left"/>
      </w:pPr>
      <w:r>
        <w:rPr/>
        <w:t>注</w:t>
      </w:r>
      <w:r>
        <w:rPr>
          <w:spacing w:val="-55"/>
        </w:rPr>
        <w:t> </w:t>
      </w:r>
      <w:r>
        <w:rPr>
          <w:rFonts w:ascii="Arial" w:hAnsi="Arial" w:cs="Arial" w:eastAsia="Arial" w:hint="default"/>
        </w:rPr>
        <w:t>8</w:t>
      </w:r>
      <w:r>
        <w:rPr/>
        <w:t>：报告期末“</w:t>
      </w:r>
      <w:r>
        <w:rPr>
          <w:rFonts w:ascii="宋体" w:hAnsi="宋体" w:cs="宋体" w:eastAsia="宋体" w:hint="default"/>
          <w:b/>
          <w:bCs/>
        </w:rPr>
        <w:t>递延收益</w:t>
      </w:r>
      <w:r>
        <w:rPr/>
        <w:t>”比上期期末增长</w:t>
      </w:r>
      <w:r>
        <w:rPr>
          <w:spacing w:val="-57"/>
        </w:rPr>
        <w:t> </w:t>
      </w:r>
      <w:r>
        <w:rPr>
          <w:rFonts w:ascii="Arial" w:hAnsi="Arial" w:cs="Arial" w:eastAsia="Arial" w:hint="default"/>
        </w:rPr>
        <w:t>132.66%</w:t>
      </w:r>
      <w:r>
        <w:rPr/>
        <w:t>，主要原因为公司取得粮食仓储项目</w:t>
      </w:r>
      <w:r>
        <w:rPr>
          <w:w w:val="100"/>
        </w:rPr>
        <w:t> </w:t>
      </w:r>
      <w:r>
        <w:rPr/>
        <w:t>国家补贴资金形成。</w:t>
      </w:r>
    </w:p>
    <w:p>
      <w:pPr>
        <w:spacing w:line="264" w:lineRule="auto" w:before="11"/>
        <w:ind w:left="218" w:right="221" w:firstLine="419"/>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61"/>
          <w:sz w:val="21"/>
          <w:szCs w:val="21"/>
        </w:rPr>
        <w:t> </w:t>
      </w:r>
      <w:r>
        <w:rPr>
          <w:rFonts w:ascii="Arial" w:hAnsi="Arial" w:cs="Arial" w:eastAsia="Arial" w:hint="default"/>
          <w:sz w:val="21"/>
          <w:szCs w:val="21"/>
        </w:rPr>
        <w:t>9</w:t>
      </w:r>
      <w:r>
        <w:rPr>
          <w:rFonts w:ascii="宋体" w:hAnsi="宋体" w:cs="宋体" w:eastAsia="宋体" w:hint="default"/>
          <w:sz w:val="21"/>
          <w:szCs w:val="21"/>
        </w:rPr>
        <w:t>：报告期末“</w:t>
      </w:r>
      <w:r>
        <w:rPr>
          <w:rFonts w:ascii="宋体" w:hAnsi="宋体" w:cs="宋体" w:eastAsia="宋体" w:hint="default"/>
          <w:b/>
          <w:bCs/>
          <w:sz w:val="21"/>
          <w:szCs w:val="21"/>
        </w:rPr>
        <w:t>其他综合收益</w:t>
      </w:r>
      <w:r>
        <w:rPr>
          <w:rFonts w:ascii="宋体" w:hAnsi="宋体" w:cs="宋体" w:eastAsia="宋体" w:hint="default"/>
          <w:sz w:val="21"/>
          <w:szCs w:val="21"/>
        </w:rPr>
        <w:t>”比上期期末</w:t>
      </w:r>
      <w:r>
        <w:rPr>
          <w:rFonts w:ascii="宋体" w:hAnsi="宋体" w:cs="宋体" w:eastAsia="宋体" w:hint="default"/>
          <w:sz w:val="22"/>
          <w:szCs w:val="22"/>
        </w:rPr>
        <w:t>增加</w:t>
      </w:r>
      <w:r>
        <w:rPr>
          <w:rFonts w:ascii="宋体" w:hAnsi="宋体" w:cs="宋体" w:eastAsia="宋体" w:hint="default"/>
          <w:spacing w:val="-65"/>
          <w:sz w:val="22"/>
          <w:szCs w:val="22"/>
        </w:rPr>
        <w:t> </w:t>
      </w:r>
      <w:r>
        <w:rPr>
          <w:rFonts w:ascii="Arial" w:hAnsi="Arial" w:cs="Arial" w:eastAsia="Arial" w:hint="default"/>
          <w:sz w:val="22"/>
          <w:szCs w:val="22"/>
        </w:rPr>
        <w:t>15.33</w:t>
      </w:r>
      <w:r>
        <w:rPr>
          <w:rFonts w:ascii="Arial" w:hAnsi="Arial" w:cs="Arial" w:eastAsia="Arial" w:hint="default"/>
          <w:spacing w:val="-14"/>
          <w:sz w:val="22"/>
          <w:szCs w:val="22"/>
        </w:rPr>
        <w:t> </w:t>
      </w:r>
      <w:r>
        <w:rPr>
          <w:rFonts w:ascii="宋体" w:hAnsi="宋体" w:cs="宋体" w:eastAsia="宋体" w:hint="default"/>
          <w:sz w:val="22"/>
          <w:szCs w:val="22"/>
        </w:rPr>
        <w:t>万元</w:t>
      </w:r>
      <w:r>
        <w:rPr>
          <w:rFonts w:ascii="宋体" w:hAnsi="宋体" w:cs="宋体" w:eastAsia="宋体" w:hint="default"/>
          <w:sz w:val="21"/>
          <w:szCs w:val="21"/>
        </w:rPr>
        <w:t>，主要原因为投资管理公司按</w:t>
      </w:r>
      <w:r>
        <w:rPr>
          <w:rFonts w:ascii="宋体" w:hAnsi="宋体" w:cs="宋体" w:eastAsia="宋体" w:hint="default"/>
          <w:w w:val="100"/>
          <w:sz w:val="21"/>
          <w:szCs w:val="21"/>
        </w:rPr>
        <w:t> </w:t>
      </w:r>
      <w:r>
        <w:rPr>
          <w:rFonts w:ascii="宋体" w:hAnsi="宋体" w:cs="宋体" w:eastAsia="宋体" w:hint="default"/>
          <w:sz w:val="21"/>
          <w:szCs w:val="21"/>
        </w:rPr>
        <w:t>持股比例确认佳沃投资公司其他综合收益变动形成。</w:t>
      </w:r>
    </w:p>
    <w:p>
      <w:pPr>
        <w:pStyle w:val="Heading2"/>
        <w:tabs>
          <w:tab w:pos="642" w:val="left" w:leader="none"/>
        </w:tabs>
        <w:spacing w:line="240" w:lineRule="auto" w:before="37"/>
        <w:ind w:right="2410"/>
        <w:jc w:val="left"/>
        <w:rPr>
          <w:rFonts w:ascii="宋体" w:hAnsi="宋体" w:cs="宋体" w:eastAsia="宋体" w:hint="default"/>
          <w:b w:val="0"/>
          <w:bCs w:val="0"/>
        </w:rPr>
      </w:pPr>
      <w:r>
        <w:rPr>
          <w:rFonts w:ascii="宋体" w:hAnsi="宋体" w:cs="宋体" w:eastAsia="宋体" w:hint="default"/>
          <w:w w:val="95"/>
        </w:rPr>
        <w:t>2.</w:t>
        <w:tab/>
      </w:r>
      <w:r>
        <w:rPr/>
        <w:t>截至报告期末主要资产受限情况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241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3"/>
        </w:rPr>
        <w:t> </w:t>
      </w:r>
      <w:r>
        <w:rPr>
          <w:rFonts w:ascii="宋体" w:hAnsi="宋体" w:cs="宋体" w:eastAsia="宋体" w:hint="default"/>
          <w:spacing w:val="-3"/>
        </w:rPr>
      </w:r>
      <w:r>
        <w:rPr/>
        <w:t>币别：人民币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708"/>
        <w:gridCol w:w="1561"/>
        <w:gridCol w:w="6793"/>
      </w:tblGrid>
      <w:tr>
        <w:trPr>
          <w:trHeight w:val="384" w:hRule="exact"/>
        </w:trPr>
        <w:tc>
          <w:tcPr>
            <w:tcW w:w="708"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left="10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61"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6793"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1910" w:h="16840"/>
          <w:pgMar w:header="825" w:footer="1195" w:top="1360" w:bottom="1380" w:left="1580" w:right="1040"/>
        </w:sectPr>
      </w:pPr>
    </w:p>
    <w:p>
      <w:pPr>
        <w:spacing w:line="240" w:lineRule="auto" w:before="10"/>
        <w:rPr>
          <w:rFonts w:ascii="宋体" w:hAnsi="宋体" w:cs="宋体" w:eastAsia="宋体" w:hint="default"/>
          <w:sz w:val="11"/>
          <w:szCs w:val="11"/>
        </w:rPr>
      </w:pPr>
    </w:p>
    <w:p>
      <w:pPr>
        <w:spacing w:line="20" w:lineRule="exact"/>
        <w:ind w:left="115" w:right="0" w:firstLine="0"/>
        <w:rPr>
          <w:rFonts w:ascii="宋体" w:hAnsi="宋体" w:cs="宋体" w:eastAsia="宋体" w:hint="default"/>
          <w:sz w:val="2"/>
          <w:szCs w:val="2"/>
        </w:rPr>
      </w:pPr>
      <w:r>
        <w:rPr>
          <w:rFonts w:ascii="宋体" w:hAnsi="宋体" w:cs="宋体" w:eastAsia="宋体" w:hint="default"/>
          <w:sz w:val="2"/>
          <w:szCs w:val="2"/>
        </w:rPr>
        <w:pict>
          <v:group style="width:454.05pt;height:1pt;mso-position-horizontal-relative:char;mso-position-vertical-relative:line" coordorigin="0,0" coordsize="9081,20">
            <v:group style="position:absolute;left:10;top:10;width:704;height:2" coordorigin="10,10" coordsize="704,2">
              <v:shape style="position:absolute;left:10;top:10;width:704;height:2" coordorigin="10,10" coordsize="704,0" path="m10,10l713,10e" filled="false" stroked="true" strokeweight=".96001pt" strokecolor="#41b7ee">
                <v:path arrowok="t"/>
              </v:shape>
            </v:group>
            <v:group style="position:absolute;left:713;top:10;width:58;height:2" coordorigin="713,10" coordsize="58,2">
              <v:shape style="position:absolute;left:713;top:10;width:58;height:2" coordorigin="713,10" coordsize="58,0" path="m713,10l770,10e" filled="false" stroked="true" strokeweight=".96001pt" strokecolor="#41b7ee">
                <v:path arrowok="t"/>
              </v:shape>
            </v:group>
            <v:group style="position:absolute;left:770;top:10;width:1503;height:2" coordorigin="770,10" coordsize="1503,2">
              <v:shape style="position:absolute;left:770;top:10;width:1503;height:2" coordorigin="770,10" coordsize="1503,0" path="m770,10l2273,10e" filled="false" stroked="true" strokeweight=".96001pt" strokecolor="#41b7ee">
                <v:path arrowok="t"/>
              </v:shape>
            </v:group>
            <v:group style="position:absolute;left:2273;top:10;width:58;height:2" coordorigin="2273,10" coordsize="58,2">
              <v:shape style="position:absolute;left:2273;top:10;width:58;height:2" coordorigin="2273,10" coordsize="58,0" path="m2273,10l2331,10e" filled="false" stroked="true" strokeweight=".96001pt" strokecolor="#41b7ee">
                <v:path arrowok="t"/>
              </v:shape>
            </v:group>
            <v:group style="position:absolute;left:2331;top:10;width:6741;height:2" coordorigin="2331,10" coordsize="6741,2">
              <v:shape style="position:absolute;left:2331;top:10;width:6741;height:2" coordorigin="2331,10" coordsize="6741,0" path="m2331,10l9071,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15" w:type="dxa"/>
        <w:tblLayout w:type="fixed"/>
        <w:tblCellMar>
          <w:top w:w="0" w:type="dxa"/>
          <w:left w:w="0" w:type="dxa"/>
          <w:bottom w:w="0" w:type="dxa"/>
          <w:right w:w="0" w:type="dxa"/>
        </w:tblCellMar>
        <w:tblLook w:val="01E0"/>
      </w:tblPr>
      <w:tblGrid>
        <w:gridCol w:w="708"/>
        <w:gridCol w:w="1561"/>
        <w:gridCol w:w="6793"/>
      </w:tblGrid>
      <w:tr>
        <w:trPr>
          <w:trHeight w:val="836" w:hRule="exact"/>
        </w:trPr>
        <w:tc>
          <w:tcPr>
            <w:tcW w:w="708"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105"/>
              <w:ind w:left="108" w:right="67"/>
              <w:jc w:val="left"/>
              <w:rPr>
                <w:rFonts w:ascii="宋体" w:hAnsi="宋体" w:cs="宋体" w:eastAsia="宋体" w:hint="default"/>
                <w:sz w:val="21"/>
                <w:szCs w:val="21"/>
              </w:rPr>
            </w:pPr>
            <w:r>
              <w:rPr>
                <w:rFonts w:ascii="宋体" w:hAnsi="宋体" w:cs="宋体" w:eastAsia="宋体" w:hint="default"/>
                <w:sz w:val="21"/>
                <w:szCs w:val="21"/>
              </w:rPr>
              <w:t>货币</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c>
          <w:tcPr>
            <w:tcW w:w="1561"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
              <w:jc w:val="right"/>
              <w:rPr>
                <w:rFonts w:ascii="宋体" w:hAnsi="宋体" w:cs="宋体" w:eastAsia="宋体" w:hint="default"/>
                <w:sz w:val="21"/>
                <w:szCs w:val="21"/>
              </w:rPr>
            </w:pPr>
            <w:r>
              <w:rPr>
                <w:rFonts w:ascii="Arial"/>
                <w:spacing w:val="-1"/>
                <w:sz w:val="21"/>
              </w:rPr>
              <w:t>1,626,199.71</w:t>
            </w:r>
            <w:r>
              <w:rPr>
                <w:rFonts w:ascii="宋体"/>
                <w:w w:val="100"/>
                <w:sz w:val="21"/>
              </w:rPr>
              <w:t> </w:t>
            </w:r>
          </w:p>
        </w:tc>
        <w:tc>
          <w:tcPr>
            <w:tcW w:w="6793" w:type="dxa"/>
            <w:tcBorders>
              <w:top w:val="single" w:sz="8" w:space="0" w:color="41B7EE"/>
              <w:left w:val="single" w:sz="4" w:space="0" w:color="41B7EE"/>
              <w:bottom w:val="single" w:sz="4" w:space="0" w:color="41B7EE"/>
              <w:right w:val="nil" w:sz="6" w:space="0" w:color="auto"/>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4"/>
                <w:sz w:val="21"/>
                <w:szCs w:val="21"/>
              </w:rPr>
              <w:t> </w:t>
            </w:r>
            <w:r>
              <w:rPr>
                <w:rFonts w:ascii="Arial" w:hAnsi="Arial" w:cs="Arial" w:eastAsia="Arial" w:hint="default"/>
                <w:sz w:val="21"/>
                <w:szCs w:val="21"/>
              </w:rPr>
              <w:t>2019</w:t>
            </w:r>
            <w:r>
              <w:rPr>
                <w:rFonts w:ascii="Arial" w:hAnsi="Arial" w:cs="Arial" w:eastAsia="Arial"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日，公司所有权受到限制的货币资金为人民币</w:t>
            </w:r>
          </w:p>
          <w:p>
            <w:pPr>
              <w:pStyle w:val="TableParagraph"/>
              <w:spacing w:line="272" w:lineRule="exact" w:before="19"/>
              <w:ind w:left="103" w:right="149"/>
              <w:jc w:val="left"/>
              <w:rPr>
                <w:rFonts w:ascii="宋体" w:hAnsi="宋体" w:cs="宋体" w:eastAsia="宋体" w:hint="default"/>
                <w:sz w:val="21"/>
                <w:szCs w:val="21"/>
              </w:rPr>
            </w:pPr>
            <w:r>
              <w:rPr>
                <w:rFonts w:ascii="Arial" w:hAnsi="Arial" w:cs="Arial" w:eastAsia="Arial" w:hint="default"/>
                <w:sz w:val="21"/>
                <w:szCs w:val="21"/>
              </w:rPr>
              <w:t>1,626,199.71</w:t>
            </w:r>
            <w:r>
              <w:rPr>
                <w:rFonts w:ascii="Arial" w:hAnsi="Arial" w:cs="Arial" w:eastAsia="Arial" w:hint="default"/>
                <w:spacing w:val="-9"/>
                <w:sz w:val="21"/>
                <w:szCs w:val="21"/>
              </w:rPr>
              <w:t> </w:t>
            </w:r>
            <w:r>
              <w:rPr>
                <w:rFonts w:ascii="宋体" w:hAnsi="宋体" w:cs="宋体" w:eastAsia="宋体" w:hint="default"/>
                <w:sz w:val="21"/>
                <w:szCs w:val="21"/>
              </w:rPr>
              <w:t>元，为友谊分公司依据《土地复垦条例实施办法》，粮食</w:t>
            </w:r>
            <w:r>
              <w:rPr>
                <w:rFonts w:ascii="宋体" w:hAnsi="宋体" w:cs="宋体" w:eastAsia="宋体" w:hint="default"/>
                <w:w w:val="100"/>
                <w:sz w:val="21"/>
                <w:szCs w:val="21"/>
              </w:rPr>
              <w:t> </w:t>
            </w:r>
            <w:r>
              <w:rPr>
                <w:rFonts w:ascii="宋体" w:hAnsi="宋体" w:cs="宋体" w:eastAsia="宋体" w:hint="default"/>
                <w:sz w:val="21"/>
                <w:szCs w:val="21"/>
              </w:rPr>
              <w:t>管护项目晒场台面占用耕地缴纳复垦保证金。</w:t>
            </w:r>
            <w:r>
              <w:rPr>
                <w:rFonts w:ascii="宋体" w:hAnsi="宋体" w:cs="宋体" w:eastAsia="宋体" w:hint="default"/>
                <w:sz w:val="21"/>
                <w:szCs w:val="21"/>
              </w:rPr>
              <w:t> </w:t>
            </w:r>
          </w:p>
        </w:tc>
      </w:tr>
      <w:tr>
        <w:trPr>
          <w:trHeight w:val="554" w:hRule="exact"/>
        </w:trPr>
        <w:tc>
          <w:tcPr>
            <w:tcW w:w="70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02"/>
              <w:ind w:left="38" w:right="0"/>
              <w:jc w:val="center"/>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56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2"/>
              <w:jc w:val="right"/>
              <w:rPr>
                <w:rFonts w:ascii="宋体" w:hAnsi="宋体" w:cs="宋体" w:eastAsia="宋体" w:hint="default"/>
                <w:sz w:val="21"/>
                <w:szCs w:val="21"/>
              </w:rPr>
            </w:pPr>
            <w:r>
              <w:rPr>
                <w:rFonts w:ascii="Arial"/>
                <w:spacing w:val="-1"/>
                <w:sz w:val="21"/>
              </w:rPr>
              <w:t>11,084,844.29</w:t>
            </w:r>
            <w:r>
              <w:rPr>
                <w:rFonts w:ascii="宋体"/>
                <w:w w:val="100"/>
                <w:sz w:val="21"/>
              </w:rPr>
              <w:t> </w:t>
            </w:r>
          </w:p>
        </w:tc>
        <w:tc>
          <w:tcPr>
            <w:tcW w:w="6793" w:type="dxa"/>
            <w:tcBorders>
              <w:top w:val="single" w:sz="4" w:space="0" w:color="41B7EE"/>
              <w:left w:val="single" w:sz="4" w:space="0" w:color="41B7EE"/>
              <w:bottom w:val="single" w:sz="4" w:space="0" w:color="41B7EE"/>
              <w:right w:val="nil" w:sz="6" w:space="0" w:color="auto"/>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子公司鑫亚公司与北大荒青枫亚麻纺织有限公司因货款结算纠纷提起诉</w:t>
            </w:r>
          </w:p>
          <w:p>
            <w:pPr>
              <w:pStyle w:val="TableParagraph"/>
              <w:spacing w:line="28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讼</w:t>
            </w:r>
            <w:r>
              <w:rPr>
                <w:rFonts w:ascii="宋体" w:hAnsi="宋体" w:cs="宋体" w:eastAsia="宋体" w:hint="default"/>
                <w:spacing w:val="-63"/>
                <w:w w:val="100"/>
                <w:sz w:val="21"/>
                <w:szCs w:val="21"/>
              </w:rPr>
              <w:t>，</w:t>
            </w:r>
            <w:r>
              <w:rPr>
                <w:rFonts w:ascii="宋体" w:hAnsi="宋体" w:cs="宋体" w:eastAsia="宋体" w:hint="default"/>
                <w:spacing w:val="-3"/>
                <w:w w:val="100"/>
                <w:sz w:val="21"/>
                <w:szCs w:val="21"/>
              </w:rPr>
              <w:t>法</w:t>
            </w:r>
            <w:r>
              <w:rPr>
                <w:rFonts w:ascii="宋体" w:hAnsi="宋体" w:cs="宋体" w:eastAsia="宋体" w:hint="default"/>
                <w:w w:val="100"/>
                <w:sz w:val="21"/>
                <w:szCs w:val="21"/>
              </w:rPr>
              <w:t>院</w:t>
            </w:r>
            <w:r>
              <w:rPr>
                <w:rFonts w:ascii="宋体" w:hAnsi="宋体" w:cs="宋体" w:eastAsia="宋体" w:hint="default"/>
                <w:spacing w:val="-3"/>
                <w:w w:val="100"/>
                <w:sz w:val="21"/>
                <w:szCs w:val="21"/>
              </w:rPr>
              <w:t>查</w:t>
            </w:r>
            <w:r>
              <w:rPr>
                <w:rFonts w:ascii="宋体" w:hAnsi="宋体" w:cs="宋体" w:eastAsia="宋体" w:hint="default"/>
                <w:w w:val="100"/>
                <w:sz w:val="21"/>
                <w:szCs w:val="21"/>
              </w:rPr>
              <w:t>封</w:t>
            </w:r>
            <w:r>
              <w:rPr>
                <w:rFonts w:ascii="宋体" w:hAnsi="宋体" w:cs="宋体" w:eastAsia="宋体" w:hint="default"/>
                <w:spacing w:val="-3"/>
                <w:w w:val="100"/>
                <w:sz w:val="21"/>
                <w:szCs w:val="21"/>
              </w:rPr>
              <w:t>鑫</w:t>
            </w:r>
            <w:r>
              <w:rPr>
                <w:rFonts w:ascii="宋体" w:hAnsi="宋体" w:cs="宋体" w:eastAsia="宋体" w:hint="default"/>
                <w:w w:val="100"/>
                <w:sz w:val="21"/>
                <w:szCs w:val="21"/>
              </w:rPr>
              <w:t>亚</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亚</w:t>
            </w:r>
            <w:r>
              <w:rPr>
                <w:rFonts w:ascii="宋体" w:hAnsi="宋体" w:cs="宋体" w:eastAsia="宋体" w:hint="default"/>
                <w:w w:val="100"/>
                <w:sz w:val="21"/>
                <w:szCs w:val="21"/>
              </w:rPr>
              <w:t>麻纱</w:t>
            </w:r>
            <w:r>
              <w:rPr>
                <w:rFonts w:ascii="宋体" w:hAnsi="宋体" w:cs="宋体" w:eastAsia="宋体" w:hint="default"/>
                <w:spacing w:val="-53"/>
                <w:sz w:val="21"/>
                <w:szCs w:val="21"/>
              </w:rPr>
              <w:t> </w:t>
            </w:r>
            <w:r>
              <w:rPr>
                <w:rFonts w:ascii="Arial" w:hAnsi="Arial" w:cs="Arial" w:eastAsia="Arial" w:hint="default"/>
                <w:spacing w:val="-3"/>
                <w:w w:val="100"/>
                <w:sz w:val="21"/>
                <w:szCs w:val="21"/>
              </w:rPr>
              <w:t>6</w:t>
            </w:r>
            <w:r>
              <w:rPr>
                <w:rFonts w:ascii="Arial" w:hAnsi="Arial" w:cs="Arial" w:eastAsia="Arial" w:hint="default"/>
                <w:w w:val="100"/>
                <w:sz w:val="21"/>
                <w:szCs w:val="21"/>
              </w:rPr>
              <w:t>99</w:t>
            </w:r>
            <w:r>
              <w:rPr>
                <w:rFonts w:ascii="Arial" w:hAnsi="Arial" w:cs="Arial" w:eastAsia="Arial" w:hint="default"/>
                <w:spacing w:val="-1"/>
                <w:w w:val="100"/>
                <w:sz w:val="21"/>
                <w:szCs w:val="21"/>
              </w:rPr>
              <w:t>,</w:t>
            </w:r>
            <w:r>
              <w:rPr>
                <w:rFonts w:ascii="Arial" w:hAnsi="Arial" w:cs="Arial" w:eastAsia="Arial" w:hint="default"/>
                <w:w w:val="100"/>
                <w:sz w:val="21"/>
                <w:szCs w:val="21"/>
              </w:rPr>
              <w:t>4</w:t>
            </w:r>
            <w:r>
              <w:rPr>
                <w:rFonts w:ascii="Arial" w:hAnsi="Arial" w:cs="Arial" w:eastAsia="Arial" w:hint="default"/>
                <w:spacing w:val="-3"/>
                <w:w w:val="100"/>
                <w:sz w:val="21"/>
                <w:szCs w:val="21"/>
              </w:rPr>
              <w:t>1</w:t>
            </w:r>
            <w:r>
              <w:rPr>
                <w:rFonts w:ascii="Arial" w:hAnsi="Arial" w:cs="Arial" w:eastAsia="Arial" w:hint="default"/>
                <w:w w:val="100"/>
                <w:sz w:val="21"/>
                <w:szCs w:val="21"/>
              </w:rPr>
              <w:t>1</w:t>
            </w:r>
            <w:r>
              <w:rPr>
                <w:rFonts w:ascii="Arial" w:hAnsi="Arial" w:cs="Arial" w:eastAsia="Arial" w:hint="default"/>
                <w:spacing w:val="-1"/>
                <w:w w:val="100"/>
                <w:sz w:val="21"/>
                <w:szCs w:val="21"/>
              </w:rPr>
              <w:t>.</w:t>
            </w:r>
            <w:r>
              <w:rPr>
                <w:rFonts w:ascii="Arial" w:hAnsi="Arial" w:cs="Arial" w:eastAsia="Arial" w:hint="default"/>
                <w:w w:val="100"/>
                <w:sz w:val="21"/>
                <w:szCs w:val="21"/>
              </w:rPr>
              <w:t>41</w:t>
            </w:r>
            <w:r>
              <w:rPr>
                <w:rFonts w:ascii="Arial" w:hAnsi="Arial" w:cs="Arial" w:eastAsia="Arial" w:hint="default"/>
                <w:spacing w:val="-8"/>
                <w:sz w:val="21"/>
                <w:szCs w:val="21"/>
              </w:rPr>
              <w:t> </w:t>
            </w:r>
            <w:r>
              <w:rPr>
                <w:rFonts w:ascii="宋体" w:hAnsi="宋体" w:cs="宋体" w:eastAsia="宋体" w:hint="default"/>
                <w:w w:val="100"/>
                <w:sz w:val="21"/>
                <w:szCs w:val="21"/>
              </w:rPr>
              <w:t>元</w:t>
            </w:r>
            <w:r>
              <w:rPr>
                <w:rFonts w:ascii="宋体" w:hAnsi="宋体" w:cs="宋体" w:eastAsia="宋体" w:hint="default"/>
                <w:spacing w:val="-65"/>
                <w:w w:val="100"/>
                <w:sz w:val="21"/>
                <w:szCs w:val="21"/>
              </w:rPr>
              <w:t>、</w:t>
            </w:r>
            <w:r>
              <w:rPr>
                <w:rFonts w:ascii="宋体" w:hAnsi="宋体" w:cs="宋体" w:eastAsia="宋体" w:hint="default"/>
                <w:w w:val="100"/>
                <w:sz w:val="21"/>
                <w:szCs w:val="21"/>
              </w:rPr>
              <w:t>亚</w:t>
            </w:r>
            <w:r>
              <w:rPr>
                <w:rFonts w:ascii="宋体" w:hAnsi="宋体" w:cs="宋体" w:eastAsia="宋体" w:hint="default"/>
                <w:spacing w:val="-3"/>
                <w:w w:val="100"/>
                <w:sz w:val="21"/>
                <w:szCs w:val="21"/>
              </w:rPr>
              <w:t>麻</w:t>
            </w:r>
            <w:r>
              <w:rPr>
                <w:rFonts w:ascii="宋体" w:hAnsi="宋体" w:cs="宋体" w:eastAsia="宋体" w:hint="default"/>
                <w:w w:val="100"/>
                <w:sz w:val="21"/>
                <w:szCs w:val="21"/>
              </w:rPr>
              <w:t>布</w:t>
            </w:r>
            <w:r>
              <w:rPr>
                <w:rFonts w:ascii="宋体" w:hAnsi="宋体" w:cs="宋体" w:eastAsia="宋体" w:hint="default"/>
                <w:spacing w:val="-53"/>
                <w:sz w:val="21"/>
                <w:szCs w:val="21"/>
              </w:rPr>
              <w:t> </w:t>
            </w:r>
            <w:r>
              <w:rPr>
                <w:rFonts w:ascii="Arial" w:hAnsi="Arial" w:cs="Arial" w:eastAsia="Arial" w:hint="default"/>
                <w:w w:val="100"/>
                <w:sz w:val="21"/>
                <w:szCs w:val="21"/>
              </w:rPr>
              <w:t>10</w:t>
            </w:r>
            <w:r>
              <w:rPr>
                <w:rFonts w:ascii="Arial" w:hAnsi="Arial" w:cs="Arial" w:eastAsia="Arial" w:hint="default"/>
                <w:spacing w:val="-1"/>
                <w:w w:val="100"/>
                <w:sz w:val="21"/>
                <w:szCs w:val="21"/>
              </w:rPr>
              <w:t>,</w:t>
            </w:r>
            <w:r>
              <w:rPr>
                <w:rFonts w:ascii="Arial" w:hAnsi="Arial" w:cs="Arial" w:eastAsia="Arial" w:hint="default"/>
                <w:spacing w:val="-3"/>
                <w:w w:val="100"/>
                <w:sz w:val="21"/>
                <w:szCs w:val="21"/>
              </w:rPr>
              <w:t>3</w:t>
            </w:r>
            <w:r>
              <w:rPr>
                <w:rFonts w:ascii="Arial" w:hAnsi="Arial" w:cs="Arial" w:eastAsia="Arial" w:hint="default"/>
                <w:w w:val="100"/>
                <w:sz w:val="21"/>
                <w:szCs w:val="21"/>
              </w:rPr>
              <w:t>85</w:t>
            </w:r>
            <w:r>
              <w:rPr>
                <w:rFonts w:ascii="Arial" w:hAnsi="Arial" w:cs="Arial" w:eastAsia="Arial" w:hint="default"/>
                <w:spacing w:val="-1"/>
                <w:w w:val="100"/>
                <w:sz w:val="21"/>
                <w:szCs w:val="21"/>
              </w:rPr>
              <w:t>,</w:t>
            </w:r>
            <w:r>
              <w:rPr>
                <w:rFonts w:ascii="Arial" w:hAnsi="Arial" w:cs="Arial" w:eastAsia="Arial" w:hint="default"/>
                <w:w w:val="100"/>
                <w:sz w:val="21"/>
                <w:szCs w:val="21"/>
              </w:rPr>
              <w:t>4</w:t>
            </w:r>
            <w:r>
              <w:rPr>
                <w:rFonts w:ascii="Arial" w:hAnsi="Arial" w:cs="Arial" w:eastAsia="Arial" w:hint="default"/>
                <w:spacing w:val="-3"/>
                <w:w w:val="100"/>
                <w:sz w:val="21"/>
                <w:szCs w:val="21"/>
              </w:rPr>
              <w:t>3</w:t>
            </w:r>
            <w:r>
              <w:rPr>
                <w:rFonts w:ascii="Arial" w:hAnsi="Arial" w:cs="Arial" w:eastAsia="Arial" w:hint="default"/>
                <w:w w:val="100"/>
                <w:sz w:val="21"/>
                <w:szCs w:val="21"/>
              </w:rPr>
              <w:t>2</w:t>
            </w:r>
            <w:r>
              <w:rPr>
                <w:rFonts w:ascii="Arial" w:hAnsi="Arial" w:cs="Arial" w:eastAsia="Arial" w:hint="default"/>
                <w:spacing w:val="-1"/>
                <w:w w:val="100"/>
                <w:sz w:val="21"/>
                <w:szCs w:val="21"/>
              </w:rPr>
              <w:t>.</w:t>
            </w:r>
            <w:r>
              <w:rPr>
                <w:rFonts w:ascii="Arial" w:hAnsi="Arial" w:cs="Arial" w:eastAsia="Arial" w:hint="default"/>
                <w:w w:val="100"/>
                <w:sz w:val="21"/>
                <w:szCs w:val="21"/>
              </w:rPr>
              <w:t>88</w:t>
            </w:r>
            <w:r>
              <w:rPr>
                <w:rFonts w:ascii="Arial" w:hAnsi="Arial" w:cs="Arial" w:eastAsia="Arial" w:hint="default"/>
                <w:spacing w:val="-7"/>
                <w:sz w:val="21"/>
                <w:szCs w:val="21"/>
              </w:rPr>
              <w:t> </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r>
      <w:tr>
        <w:trPr>
          <w:trHeight w:val="2461" w:hRule="exact"/>
        </w:trPr>
        <w:tc>
          <w:tcPr>
            <w:tcW w:w="708" w:type="dxa"/>
            <w:tcBorders>
              <w:top w:val="single" w:sz="4" w:space="0" w:color="41B7EE"/>
              <w:left w:val="nil" w:sz="6" w:space="0" w:color="auto"/>
              <w:bottom w:val="single" w:sz="4" w:space="0" w:color="41B7EE"/>
              <w:right w:val="single" w:sz="4" w:space="0" w:color="41B7EE"/>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8" w:right="67"/>
              <w:jc w:val="left"/>
              <w:rPr>
                <w:rFonts w:ascii="宋体" w:hAnsi="宋体" w:cs="宋体" w:eastAsia="宋体" w:hint="default"/>
                <w:sz w:val="21"/>
                <w:szCs w:val="21"/>
              </w:rPr>
            </w:pPr>
            <w:r>
              <w:rPr>
                <w:rFonts w:ascii="宋体" w:hAnsi="宋体" w:cs="宋体" w:eastAsia="宋体" w:hint="default"/>
                <w:sz w:val="21"/>
                <w:szCs w:val="21"/>
              </w:rPr>
              <w:t>固定</w:t>
            </w:r>
            <w:r>
              <w:rPr>
                <w:rFonts w:ascii="宋体" w:hAnsi="宋体" w:cs="宋体" w:eastAsia="宋体" w:hint="default"/>
                <w:spacing w:val="-103"/>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c>
          <w:tcPr>
            <w:tcW w:w="156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
              <w:jc w:val="right"/>
              <w:rPr>
                <w:rFonts w:ascii="宋体" w:hAnsi="宋体" w:cs="宋体" w:eastAsia="宋体" w:hint="default"/>
                <w:sz w:val="21"/>
                <w:szCs w:val="21"/>
              </w:rPr>
            </w:pPr>
            <w:r>
              <w:rPr>
                <w:rFonts w:ascii="Arial"/>
                <w:spacing w:val="-1"/>
                <w:sz w:val="21"/>
              </w:rPr>
              <w:t>8,322,541.02</w:t>
            </w:r>
            <w:r>
              <w:rPr>
                <w:rFonts w:ascii="宋体"/>
                <w:w w:val="100"/>
                <w:sz w:val="21"/>
              </w:rPr>
              <w:t> </w:t>
            </w:r>
          </w:p>
        </w:tc>
        <w:tc>
          <w:tcPr>
            <w:tcW w:w="6793" w:type="dxa"/>
            <w:tcBorders>
              <w:top w:val="single" w:sz="4" w:space="0" w:color="41B7EE"/>
              <w:left w:val="single" w:sz="4" w:space="0" w:color="41B7EE"/>
              <w:bottom w:val="single" w:sz="4" w:space="0" w:color="41B7EE"/>
              <w:right w:val="nil" w:sz="6" w:space="0" w:color="auto"/>
            </w:tcBorders>
          </w:tcPr>
          <w:p>
            <w:pPr>
              <w:pStyle w:val="TableParagraph"/>
              <w:spacing w:line="248" w:lineRule="exact"/>
              <w:ind w:left="103" w:right="0"/>
              <w:jc w:val="both"/>
              <w:rPr>
                <w:rFonts w:ascii="宋体" w:hAnsi="宋体" w:cs="宋体" w:eastAsia="宋体" w:hint="default"/>
                <w:sz w:val="21"/>
                <w:szCs w:val="21"/>
              </w:rPr>
            </w:pPr>
            <w:r>
              <w:rPr>
                <w:rFonts w:ascii="宋体" w:hAnsi="宋体" w:cs="宋体" w:eastAsia="宋体" w:hint="default"/>
                <w:sz w:val="21"/>
                <w:szCs w:val="21"/>
              </w:rPr>
              <w:t>①鑫亚公司子公司玉丰公司红旗粮库房产（账面原值</w:t>
            </w:r>
            <w:r>
              <w:rPr>
                <w:rFonts w:ascii="宋体" w:hAnsi="宋体" w:cs="宋体" w:eastAsia="宋体" w:hint="default"/>
                <w:spacing w:val="-54"/>
                <w:sz w:val="21"/>
                <w:szCs w:val="21"/>
              </w:rPr>
              <w:t> </w:t>
            </w:r>
            <w:r>
              <w:rPr>
                <w:rFonts w:ascii="Arial" w:hAnsi="Arial" w:cs="Arial" w:eastAsia="Arial" w:hint="default"/>
                <w:sz w:val="21"/>
                <w:szCs w:val="21"/>
              </w:rPr>
              <w:t>3,057,165.00</w:t>
            </w:r>
            <w:r>
              <w:rPr>
                <w:rFonts w:ascii="Arial" w:hAnsi="Arial" w:cs="Arial" w:eastAsia="Arial" w:hint="default"/>
                <w:spacing w:val="-6"/>
                <w:sz w:val="21"/>
                <w:szCs w:val="21"/>
              </w:rPr>
              <w:t> </w:t>
            </w:r>
            <w:r>
              <w:rPr>
                <w:rFonts w:ascii="宋体" w:hAnsi="宋体" w:cs="宋体" w:eastAsia="宋体" w:hint="default"/>
                <w:sz w:val="21"/>
                <w:szCs w:val="21"/>
              </w:rPr>
              <w:t>元，</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pacing w:val="-59"/>
                <w:sz w:val="21"/>
                <w:szCs w:val="21"/>
              </w:rPr>
              <w:t> </w:t>
            </w:r>
            <w:r>
              <w:rPr>
                <w:rFonts w:ascii="Arial" w:hAnsi="Arial" w:cs="Arial" w:eastAsia="Arial" w:hint="default"/>
                <w:sz w:val="21"/>
                <w:szCs w:val="21"/>
              </w:rPr>
              <w:t>1,899,893.01</w:t>
            </w:r>
            <w:r>
              <w:rPr>
                <w:rFonts w:ascii="Arial" w:hAnsi="Arial" w:cs="Arial" w:eastAsia="Arial" w:hint="default"/>
                <w:spacing w:val="-13"/>
                <w:sz w:val="21"/>
                <w:szCs w:val="21"/>
              </w:rPr>
              <w:t> </w:t>
            </w:r>
            <w:r>
              <w:rPr>
                <w:rFonts w:ascii="宋体" w:hAnsi="宋体" w:cs="宋体" w:eastAsia="宋体" w:hint="default"/>
                <w:sz w:val="21"/>
                <w:szCs w:val="21"/>
              </w:rPr>
              <w:t>元）在黑龙江龙凤玉米开发有限公司起诉玉丰公</w:t>
            </w:r>
          </w:p>
          <w:p>
            <w:pPr>
              <w:pStyle w:val="TableParagraph"/>
              <w:spacing w:line="232" w:lineRule="auto"/>
              <w:ind w:left="103" w:right="103"/>
              <w:jc w:val="both"/>
              <w:rPr>
                <w:rFonts w:ascii="宋体" w:hAnsi="宋体" w:cs="宋体" w:eastAsia="宋体" w:hint="default"/>
                <w:sz w:val="21"/>
                <w:szCs w:val="21"/>
              </w:rPr>
            </w:pPr>
            <w:r>
              <w:rPr>
                <w:rFonts w:ascii="宋体" w:hAnsi="宋体" w:cs="宋体" w:eastAsia="宋体" w:hint="default"/>
                <w:sz w:val="21"/>
                <w:szCs w:val="21"/>
              </w:rPr>
              <w:t>司一案中，经黑龙江省青冈县人民法院〔</w:t>
            </w:r>
            <w:r>
              <w:rPr>
                <w:rFonts w:ascii="Arial" w:hAnsi="Arial" w:cs="Arial" w:eastAsia="Arial" w:hint="default"/>
                <w:sz w:val="21"/>
                <w:szCs w:val="21"/>
              </w:rPr>
              <w:t>2014</w:t>
            </w:r>
            <w:r>
              <w:rPr>
                <w:rFonts w:ascii="宋体" w:hAnsi="宋体" w:cs="宋体" w:eastAsia="宋体" w:hint="default"/>
                <w:sz w:val="21"/>
                <w:szCs w:val="21"/>
              </w:rPr>
              <w:t>〕青法商初字第</w:t>
            </w:r>
            <w:r>
              <w:rPr>
                <w:rFonts w:ascii="宋体" w:hAnsi="宋体" w:cs="宋体" w:eastAsia="宋体" w:hint="default"/>
                <w:spacing w:val="-55"/>
                <w:sz w:val="21"/>
                <w:szCs w:val="21"/>
              </w:rPr>
              <w:t> </w:t>
            </w:r>
            <w:r>
              <w:rPr>
                <w:rFonts w:ascii="Arial" w:hAnsi="Arial" w:cs="Arial" w:eastAsia="Arial" w:hint="default"/>
                <w:sz w:val="21"/>
                <w:szCs w:val="21"/>
              </w:rPr>
              <w:t>148-1</w:t>
            </w:r>
            <w:r>
              <w:rPr>
                <w:rFonts w:ascii="Arial" w:hAnsi="Arial" w:cs="Arial" w:eastAsia="Arial" w:hint="default"/>
                <w:spacing w:val="-9"/>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民事裁定书裁定予以查封。鑫亚公司子公司玉丰公司兴华粮库、祯祥粮</w:t>
            </w:r>
            <w:r>
              <w:rPr>
                <w:rFonts w:ascii="宋体" w:hAnsi="宋体" w:cs="宋体" w:eastAsia="宋体" w:hint="default"/>
                <w:w w:val="100"/>
                <w:sz w:val="21"/>
                <w:szCs w:val="21"/>
              </w:rPr>
              <w:t> </w:t>
            </w:r>
            <w:r>
              <w:rPr>
                <w:rFonts w:ascii="宋体" w:hAnsi="宋体" w:cs="宋体" w:eastAsia="宋体" w:hint="default"/>
                <w:spacing w:val="-3"/>
                <w:sz w:val="21"/>
                <w:szCs w:val="21"/>
              </w:rPr>
              <w:t>库、中和粮库房产（账面原值</w:t>
            </w:r>
            <w:r>
              <w:rPr>
                <w:rFonts w:ascii="宋体" w:hAnsi="宋体" w:cs="宋体" w:eastAsia="宋体" w:hint="default"/>
                <w:spacing w:val="-45"/>
                <w:sz w:val="21"/>
                <w:szCs w:val="21"/>
              </w:rPr>
              <w:t> </w:t>
            </w:r>
            <w:r>
              <w:rPr>
                <w:rFonts w:ascii="Arial" w:hAnsi="Arial" w:cs="Arial" w:eastAsia="Arial" w:hint="default"/>
                <w:sz w:val="21"/>
                <w:szCs w:val="21"/>
              </w:rPr>
              <w:t>9,985,029.00 </w:t>
            </w:r>
            <w:r>
              <w:rPr>
                <w:rFonts w:ascii="宋体" w:hAnsi="宋体" w:cs="宋体" w:eastAsia="宋体" w:hint="default"/>
                <w:spacing w:val="-3"/>
                <w:sz w:val="21"/>
                <w:szCs w:val="21"/>
              </w:rPr>
              <w:t>元，账面价值</w:t>
            </w:r>
            <w:r>
              <w:rPr>
                <w:rFonts w:ascii="宋体" w:hAnsi="宋体" w:cs="宋体" w:eastAsia="宋体" w:hint="default"/>
                <w:spacing w:val="-44"/>
                <w:sz w:val="21"/>
                <w:szCs w:val="21"/>
              </w:rPr>
              <w:t> </w:t>
            </w:r>
            <w:r>
              <w:rPr>
                <w:rFonts w:ascii="Arial" w:hAnsi="Arial" w:cs="Arial" w:eastAsia="Arial" w:hint="default"/>
                <w:sz w:val="21"/>
                <w:szCs w:val="21"/>
              </w:rPr>
              <w:t>6,396,722.98</w:t>
            </w:r>
            <w:r>
              <w:rPr>
                <w:rFonts w:ascii="Arial" w:hAnsi="Arial" w:cs="Arial" w:eastAsia="Arial" w:hint="default"/>
                <w:spacing w:val="-56"/>
                <w:sz w:val="21"/>
                <w:szCs w:val="21"/>
              </w:rPr>
              <w:t> </w:t>
            </w:r>
            <w:r>
              <w:rPr>
                <w:rFonts w:ascii="Arial" w:hAnsi="Arial" w:cs="Arial" w:eastAsia="Arial" w:hint="default"/>
                <w:spacing w:val="-56"/>
                <w:sz w:val="21"/>
                <w:szCs w:val="21"/>
              </w:rPr>
            </w:r>
            <w:r>
              <w:rPr>
                <w:rFonts w:ascii="宋体" w:hAnsi="宋体" w:cs="宋体" w:eastAsia="宋体" w:hint="default"/>
                <w:sz w:val="21"/>
                <w:szCs w:val="21"/>
              </w:rPr>
              <w:t>元），在鑫亚公司起诉玉丰公司一案中，经黑龙江省哈尔滨市中级人民</w:t>
            </w:r>
            <w:r>
              <w:rPr>
                <w:rFonts w:ascii="宋体" w:hAnsi="宋体" w:cs="宋体" w:eastAsia="宋体" w:hint="default"/>
                <w:w w:val="100"/>
                <w:sz w:val="21"/>
                <w:szCs w:val="21"/>
              </w:rPr>
              <w:t> </w:t>
            </w:r>
            <w:r>
              <w:rPr>
                <w:rFonts w:ascii="宋体" w:hAnsi="宋体" w:cs="宋体" w:eastAsia="宋体" w:hint="default"/>
                <w:sz w:val="21"/>
                <w:szCs w:val="21"/>
              </w:rPr>
              <w:t>法院执行裁定书〔</w:t>
            </w:r>
            <w:r>
              <w:rPr>
                <w:rFonts w:ascii="Arial" w:hAnsi="Arial" w:cs="Arial" w:eastAsia="Arial" w:hint="default"/>
                <w:sz w:val="21"/>
                <w:szCs w:val="21"/>
              </w:rPr>
              <w:t>2019</w:t>
            </w:r>
            <w:r>
              <w:rPr>
                <w:rFonts w:ascii="宋体" w:hAnsi="宋体" w:cs="宋体" w:eastAsia="宋体" w:hint="default"/>
                <w:sz w:val="21"/>
                <w:szCs w:val="21"/>
              </w:rPr>
              <w:t>〕黑</w:t>
            </w:r>
            <w:r>
              <w:rPr>
                <w:rFonts w:ascii="宋体" w:hAnsi="宋体" w:cs="宋体" w:eastAsia="宋体" w:hint="default"/>
                <w:spacing w:val="-53"/>
                <w:sz w:val="21"/>
                <w:szCs w:val="21"/>
              </w:rPr>
              <w:t> </w:t>
            </w:r>
            <w:r>
              <w:rPr>
                <w:rFonts w:ascii="Arial" w:hAnsi="Arial" w:cs="Arial" w:eastAsia="Arial" w:hint="default"/>
                <w:sz w:val="21"/>
                <w:szCs w:val="21"/>
              </w:rPr>
              <w:t>01</w:t>
            </w:r>
            <w:r>
              <w:rPr>
                <w:rFonts w:ascii="Arial" w:hAnsi="Arial" w:cs="Arial" w:eastAsia="Arial" w:hint="default"/>
                <w:spacing w:val="-9"/>
                <w:sz w:val="21"/>
                <w:szCs w:val="21"/>
              </w:rPr>
              <w:t> </w:t>
            </w:r>
            <w:r>
              <w:rPr>
                <w:rFonts w:ascii="宋体" w:hAnsi="宋体" w:cs="宋体" w:eastAsia="宋体" w:hint="default"/>
                <w:sz w:val="21"/>
                <w:szCs w:val="21"/>
              </w:rPr>
              <w:t>执</w:t>
            </w:r>
            <w:r>
              <w:rPr>
                <w:rFonts w:ascii="宋体" w:hAnsi="宋体" w:cs="宋体" w:eastAsia="宋体" w:hint="default"/>
                <w:spacing w:val="-54"/>
                <w:sz w:val="21"/>
                <w:szCs w:val="21"/>
              </w:rPr>
              <w:t> </w:t>
            </w:r>
            <w:r>
              <w:rPr>
                <w:rFonts w:ascii="Arial" w:hAnsi="Arial" w:cs="Arial" w:eastAsia="Arial" w:hint="default"/>
                <w:sz w:val="21"/>
                <w:szCs w:val="21"/>
              </w:rPr>
              <w:t>1974</w:t>
            </w:r>
            <w:r>
              <w:rPr>
                <w:rFonts w:ascii="Arial" w:hAnsi="Arial" w:cs="Arial" w:eastAsia="Arial" w:hint="default"/>
                <w:spacing w:val="-9"/>
                <w:sz w:val="21"/>
                <w:szCs w:val="21"/>
              </w:rPr>
              <w:t> </w:t>
            </w:r>
            <w:r>
              <w:rPr>
                <w:rFonts w:ascii="宋体" w:hAnsi="宋体" w:cs="宋体" w:eastAsia="宋体" w:hint="default"/>
                <w:sz w:val="21"/>
                <w:szCs w:val="21"/>
              </w:rPr>
              <w:t>号予以查封。</w:t>
            </w:r>
          </w:p>
          <w:p>
            <w:pPr>
              <w:pStyle w:val="TableParagraph"/>
              <w:spacing w:line="265" w:lineRule="exact"/>
              <w:ind w:left="103" w:right="0"/>
              <w:jc w:val="both"/>
              <w:rPr>
                <w:rFonts w:ascii="宋体" w:hAnsi="宋体" w:cs="宋体" w:eastAsia="宋体" w:hint="default"/>
                <w:sz w:val="21"/>
                <w:szCs w:val="21"/>
              </w:rPr>
            </w:pPr>
            <w:r>
              <w:rPr>
                <w:rFonts w:ascii="宋体" w:hAnsi="宋体" w:cs="宋体" w:eastAsia="宋体" w:hint="default"/>
                <w:sz w:val="21"/>
                <w:szCs w:val="21"/>
              </w:rPr>
              <w:t>②纸业公司与陈伟发生纠纷一案中，法院查封纸业公司挖掘机</w:t>
            </w:r>
            <w:r>
              <w:rPr>
                <w:rFonts w:ascii="宋体" w:hAnsi="宋体" w:cs="宋体" w:eastAsia="宋体" w:hint="default"/>
                <w:spacing w:val="-55"/>
                <w:sz w:val="21"/>
                <w:szCs w:val="21"/>
              </w:rPr>
              <w:t> </w:t>
            </w:r>
            <w:r>
              <w:rPr>
                <w:rFonts w:ascii="Arial" w:hAnsi="Arial" w:cs="Arial" w:eastAsia="Arial" w:hint="default"/>
                <w:sz w:val="21"/>
                <w:szCs w:val="21"/>
              </w:rPr>
              <w:t>2</w:t>
            </w:r>
            <w:r>
              <w:rPr>
                <w:rFonts w:ascii="Arial" w:hAnsi="Arial" w:cs="Arial" w:eastAsia="Arial" w:hint="default"/>
                <w:spacing w:val="-10"/>
                <w:sz w:val="21"/>
                <w:szCs w:val="21"/>
              </w:rPr>
              <w:t> </w:t>
            </w:r>
            <w:r>
              <w:rPr>
                <w:rFonts w:ascii="宋体" w:hAnsi="宋体" w:cs="宋体" w:eastAsia="宋体" w:hint="default"/>
                <w:sz w:val="21"/>
                <w:szCs w:val="21"/>
              </w:rPr>
              <w:t>台（账</w:t>
            </w:r>
          </w:p>
          <w:p>
            <w:pPr>
              <w:pStyle w:val="TableParagraph"/>
              <w:spacing w:line="282" w:lineRule="exact"/>
              <w:ind w:left="103" w:right="0"/>
              <w:jc w:val="both"/>
              <w:rPr>
                <w:rFonts w:ascii="宋体" w:hAnsi="宋体" w:cs="宋体" w:eastAsia="宋体" w:hint="default"/>
                <w:sz w:val="21"/>
                <w:szCs w:val="21"/>
              </w:rPr>
            </w:pPr>
            <w:r>
              <w:rPr>
                <w:rFonts w:ascii="宋体" w:hAnsi="宋体" w:cs="宋体" w:eastAsia="宋体" w:hint="default"/>
                <w:sz w:val="21"/>
                <w:szCs w:val="21"/>
              </w:rPr>
              <w:t>面原值</w:t>
            </w:r>
            <w:r>
              <w:rPr>
                <w:rFonts w:ascii="宋体" w:hAnsi="宋体" w:cs="宋体" w:eastAsia="宋体" w:hint="default"/>
                <w:spacing w:val="-55"/>
                <w:sz w:val="21"/>
                <w:szCs w:val="21"/>
              </w:rPr>
              <w:t> </w:t>
            </w:r>
            <w:r>
              <w:rPr>
                <w:rFonts w:ascii="Arial" w:hAnsi="Arial" w:cs="Arial" w:eastAsia="Arial" w:hint="default"/>
                <w:sz w:val="21"/>
                <w:szCs w:val="21"/>
              </w:rPr>
              <w:t>1,683,760.61</w:t>
            </w:r>
            <w:r>
              <w:rPr>
                <w:rFonts w:ascii="Arial" w:hAnsi="Arial" w:cs="Arial" w:eastAsia="Arial" w:hint="default"/>
                <w:spacing w:val="-8"/>
                <w:sz w:val="21"/>
                <w:szCs w:val="21"/>
              </w:rPr>
              <w:t> </w:t>
            </w:r>
            <w:r>
              <w:rPr>
                <w:rFonts w:ascii="宋体" w:hAnsi="宋体" w:cs="宋体" w:eastAsia="宋体" w:hint="default"/>
                <w:sz w:val="21"/>
                <w:szCs w:val="21"/>
              </w:rPr>
              <w:t>元，账面价值</w:t>
            </w:r>
            <w:r>
              <w:rPr>
                <w:rFonts w:ascii="宋体" w:hAnsi="宋体" w:cs="宋体" w:eastAsia="宋体" w:hint="default"/>
                <w:spacing w:val="-55"/>
                <w:sz w:val="21"/>
                <w:szCs w:val="21"/>
              </w:rPr>
              <w:t> </w:t>
            </w:r>
            <w:r>
              <w:rPr>
                <w:rFonts w:ascii="Arial" w:hAnsi="Arial" w:cs="Arial" w:eastAsia="Arial" w:hint="default"/>
                <w:sz w:val="21"/>
                <w:szCs w:val="21"/>
              </w:rPr>
              <w:t>25,925.03</w:t>
            </w:r>
            <w:r>
              <w:rPr>
                <w:rFonts w:ascii="Arial" w:hAnsi="Arial" w:cs="Arial" w:eastAsia="Arial" w:hint="default"/>
                <w:spacing w:val="-8"/>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tc>
      </w:tr>
      <w:tr>
        <w:trPr>
          <w:trHeight w:val="2189" w:hRule="exact"/>
        </w:trPr>
        <w:tc>
          <w:tcPr>
            <w:tcW w:w="708" w:type="dxa"/>
            <w:tcBorders>
              <w:top w:val="single" w:sz="4" w:space="0" w:color="41B7EE"/>
              <w:left w:val="nil" w:sz="6" w:space="0" w:color="auto"/>
              <w:bottom w:val="single" w:sz="4" w:space="0" w:color="41B7EE"/>
              <w:right w:val="single" w:sz="4" w:space="0" w:color="41B7EE"/>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108" w:right="67"/>
              <w:jc w:val="left"/>
              <w:rPr>
                <w:rFonts w:ascii="宋体" w:hAnsi="宋体" w:cs="宋体" w:eastAsia="宋体" w:hint="default"/>
                <w:sz w:val="21"/>
                <w:szCs w:val="21"/>
              </w:rPr>
            </w:pPr>
            <w:r>
              <w:rPr>
                <w:rFonts w:ascii="宋体" w:hAnsi="宋体" w:cs="宋体" w:eastAsia="宋体" w:hint="default"/>
                <w:sz w:val="21"/>
                <w:szCs w:val="21"/>
              </w:rPr>
              <w:t>无形</w:t>
            </w:r>
            <w:r>
              <w:rPr>
                <w:rFonts w:ascii="宋体" w:hAnsi="宋体" w:cs="宋体" w:eastAsia="宋体" w:hint="default"/>
                <w:spacing w:val="-103"/>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c>
          <w:tcPr>
            <w:tcW w:w="156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
              <w:jc w:val="right"/>
              <w:rPr>
                <w:rFonts w:ascii="宋体" w:hAnsi="宋体" w:cs="宋体" w:eastAsia="宋体" w:hint="default"/>
                <w:sz w:val="21"/>
                <w:szCs w:val="21"/>
              </w:rPr>
            </w:pPr>
            <w:r>
              <w:rPr>
                <w:rFonts w:ascii="Arial"/>
                <w:spacing w:val="-1"/>
                <w:sz w:val="21"/>
              </w:rPr>
              <w:t>44,531,210.07</w:t>
            </w:r>
            <w:r>
              <w:rPr>
                <w:rFonts w:ascii="宋体"/>
                <w:w w:val="100"/>
                <w:sz w:val="21"/>
              </w:rPr>
              <w:t> </w:t>
            </w:r>
          </w:p>
        </w:tc>
        <w:tc>
          <w:tcPr>
            <w:tcW w:w="6793" w:type="dxa"/>
            <w:tcBorders>
              <w:top w:val="single" w:sz="4" w:space="0" w:color="41B7EE"/>
              <w:left w:val="single" w:sz="4" w:space="0" w:color="41B7EE"/>
              <w:bottom w:val="single" w:sz="4" w:space="0" w:color="41B7EE"/>
              <w:right w:val="nil" w:sz="6" w:space="0" w:color="auto"/>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①鑫亚公司子公司玉丰公司红旗粮库土地使用权（账面原值</w:t>
            </w:r>
          </w:p>
          <w:p>
            <w:pPr>
              <w:pStyle w:val="TableParagraph"/>
              <w:spacing w:line="225" w:lineRule="auto" w:before="13"/>
              <w:ind w:left="103" w:right="122"/>
              <w:jc w:val="both"/>
              <w:rPr>
                <w:rFonts w:ascii="宋体" w:hAnsi="宋体" w:cs="宋体" w:eastAsia="宋体" w:hint="default"/>
                <w:sz w:val="21"/>
                <w:szCs w:val="21"/>
              </w:rPr>
            </w:pPr>
            <w:r>
              <w:rPr>
                <w:rFonts w:ascii="Arial" w:hAnsi="Arial" w:cs="Arial" w:eastAsia="Arial" w:hint="default"/>
                <w:sz w:val="21"/>
                <w:szCs w:val="21"/>
              </w:rPr>
              <w:t>11,444,983.00</w:t>
            </w:r>
            <w:r>
              <w:rPr>
                <w:rFonts w:ascii="Arial" w:hAnsi="Arial" w:cs="Arial" w:eastAsia="Arial" w:hint="default"/>
                <w:spacing w:val="-8"/>
                <w:sz w:val="21"/>
                <w:szCs w:val="21"/>
              </w:rPr>
              <w:t> </w:t>
            </w:r>
            <w:r>
              <w:rPr>
                <w:rFonts w:ascii="宋体" w:hAnsi="宋体" w:cs="宋体" w:eastAsia="宋体" w:hint="default"/>
                <w:sz w:val="21"/>
                <w:szCs w:val="21"/>
              </w:rPr>
              <w:t>元，账面价值</w:t>
            </w:r>
            <w:r>
              <w:rPr>
                <w:rFonts w:ascii="宋体" w:hAnsi="宋体" w:cs="宋体" w:eastAsia="宋体" w:hint="default"/>
                <w:spacing w:val="-55"/>
                <w:sz w:val="21"/>
                <w:szCs w:val="21"/>
              </w:rPr>
              <w:t> </w:t>
            </w:r>
            <w:r>
              <w:rPr>
                <w:rFonts w:ascii="Arial" w:hAnsi="Arial" w:cs="Arial" w:eastAsia="Arial" w:hint="default"/>
                <w:sz w:val="21"/>
                <w:szCs w:val="21"/>
              </w:rPr>
              <w:t>9,514,887.39</w:t>
            </w:r>
            <w:r>
              <w:rPr>
                <w:rFonts w:ascii="Arial" w:hAnsi="Arial" w:cs="Arial" w:eastAsia="Arial" w:hint="default"/>
                <w:spacing w:val="-8"/>
                <w:sz w:val="21"/>
                <w:szCs w:val="21"/>
              </w:rPr>
              <w:t> </w:t>
            </w:r>
            <w:r>
              <w:rPr>
                <w:rFonts w:ascii="宋体" w:hAnsi="宋体" w:cs="宋体" w:eastAsia="宋体" w:hint="default"/>
                <w:sz w:val="21"/>
                <w:szCs w:val="21"/>
              </w:rPr>
              <w:t>元）在黑龙江龙凤玉米开发</w:t>
            </w:r>
            <w:r>
              <w:rPr>
                <w:rFonts w:ascii="宋体" w:hAnsi="宋体" w:cs="宋体" w:eastAsia="宋体" w:hint="default"/>
                <w:w w:val="100"/>
                <w:sz w:val="21"/>
                <w:szCs w:val="21"/>
              </w:rPr>
              <w:t> </w:t>
            </w:r>
            <w:r>
              <w:rPr>
                <w:rFonts w:ascii="宋体" w:hAnsi="宋体" w:cs="宋体" w:eastAsia="宋体" w:hint="default"/>
                <w:spacing w:val="-2"/>
                <w:sz w:val="21"/>
                <w:szCs w:val="21"/>
              </w:rPr>
              <w:t>有限公司起诉玉丰公司一案中，经黑龙江省青冈县人民法院〔</w:t>
            </w:r>
            <w:r>
              <w:rPr>
                <w:rFonts w:ascii="Arial" w:hAnsi="Arial" w:cs="Arial" w:eastAsia="Arial" w:hint="default"/>
                <w:spacing w:val="-2"/>
                <w:sz w:val="21"/>
                <w:szCs w:val="21"/>
              </w:rPr>
              <w:t>2014</w:t>
            </w:r>
            <w:r>
              <w:rPr>
                <w:rFonts w:ascii="宋体" w:hAnsi="宋体" w:cs="宋体" w:eastAsia="宋体" w:hint="default"/>
                <w:spacing w:val="-2"/>
                <w:sz w:val="21"/>
                <w:szCs w:val="21"/>
              </w:rPr>
              <w:t>〕青</w:t>
            </w:r>
            <w:r>
              <w:rPr>
                <w:rFonts w:ascii="宋体" w:hAnsi="宋体" w:cs="宋体" w:eastAsia="宋体" w:hint="default"/>
                <w:spacing w:val="-46"/>
                <w:sz w:val="21"/>
                <w:szCs w:val="21"/>
              </w:rPr>
              <w:t> </w:t>
            </w:r>
            <w:r>
              <w:rPr>
                <w:rFonts w:ascii="宋体" w:hAnsi="宋体" w:cs="宋体" w:eastAsia="宋体" w:hint="default"/>
                <w:sz w:val="21"/>
                <w:szCs w:val="21"/>
              </w:rPr>
              <w:t>法商初字第</w:t>
            </w:r>
            <w:r>
              <w:rPr>
                <w:rFonts w:ascii="宋体" w:hAnsi="宋体" w:cs="宋体" w:eastAsia="宋体" w:hint="default"/>
                <w:spacing w:val="-55"/>
                <w:sz w:val="21"/>
                <w:szCs w:val="21"/>
              </w:rPr>
              <w:t> </w:t>
            </w:r>
            <w:r>
              <w:rPr>
                <w:rFonts w:ascii="Arial" w:hAnsi="Arial" w:cs="Arial" w:eastAsia="Arial" w:hint="default"/>
                <w:sz w:val="21"/>
                <w:szCs w:val="21"/>
              </w:rPr>
              <w:t>148-1</w:t>
            </w:r>
            <w:r>
              <w:rPr>
                <w:rFonts w:ascii="Arial" w:hAnsi="Arial" w:cs="Arial" w:eastAsia="Arial" w:hint="default"/>
                <w:spacing w:val="-8"/>
                <w:sz w:val="21"/>
                <w:szCs w:val="21"/>
              </w:rPr>
              <w:t> </w:t>
            </w:r>
            <w:r>
              <w:rPr>
                <w:rFonts w:ascii="宋体" w:hAnsi="宋体" w:cs="宋体" w:eastAsia="宋体" w:hint="default"/>
                <w:sz w:val="21"/>
                <w:szCs w:val="21"/>
              </w:rPr>
              <w:t>号民事裁定书裁定予以查封。</w:t>
            </w:r>
          </w:p>
          <w:p>
            <w:pPr>
              <w:pStyle w:val="TableParagraph"/>
              <w:spacing w:line="258" w:lineRule="exact"/>
              <w:ind w:left="103" w:right="0"/>
              <w:jc w:val="both"/>
              <w:rPr>
                <w:rFonts w:ascii="宋体" w:hAnsi="宋体" w:cs="宋体" w:eastAsia="宋体" w:hint="default"/>
                <w:sz w:val="21"/>
                <w:szCs w:val="21"/>
              </w:rPr>
            </w:pPr>
            <w:r>
              <w:rPr>
                <w:rFonts w:ascii="宋体" w:hAnsi="宋体" w:cs="宋体" w:eastAsia="宋体" w:hint="default"/>
                <w:sz w:val="21"/>
                <w:szCs w:val="21"/>
              </w:rPr>
              <w:t>②鑫亚公司子公司玉丰公司兴华粮库、祯祥粮库、中和粮库土地使用权</w:t>
            </w:r>
          </w:p>
          <w:p>
            <w:pPr>
              <w:pStyle w:val="TableParagraph"/>
              <w:spacing w:line="272" w:lineRule="exact" w:before="27"/>
              <w:ind w:left="103" w:right="103"/>
              <w:jc w:val="both"/>
              <w:rPr>
                <w:rFonts w:ascii="宋体" w:hAnsi="宋体" w:cs="宋体" w:eastAsia="宋体" w:hint="default"/>
                <w:sz w:val="21"/>
                <w:szCs w:val="21"/>
              </w:rPr>
            </w:pPr>
            <w:r>
              <w:rPr>
                <w:rFonts w:ascii="宋体" w:hAnsi="宋体" w:cs="宋体" w:eastAsia="宋体" w:hint="default"/>
                <w:sz w:val="21"/>
                <w:szCs w:val="21"/>
              </w:rPr>
              <w:t>（账面原值</w:t>
            </w:r>
            <w:r>
              <w:rPr>
                <w:rFonts w:ascii="宋体" w:hAnsi="宋体" w:cs="宋体" w:eastAsia="宋体" w:hint="default"/>
                <w:spacing w:val="-51"/>
                <w:sz w:val="21"/>
                <w:szCs w:val="21"/>
              </w:rPr>
              <w:t> </w:t>
            </w:r>
            <w:r>
              <w:rPr>
                <w:rFonts w:ascii="Arial" w:hAnsi="Arial" w:cs="Arial" w:eastAsia="Arial" w:hint="default"/>
                <w:sz w:val="21"/>
                <w:szCs w:val="21"/>
              </w:rPr>
              <w:t>42,118,583.00</w:t>
            </w:r>
            <w:r>
              <w:rPr>
                <w:rFonts w:ascii="Arial" w:hAnsi="Arial" w:cs="Arial" w:eastAsia="Arial" w:hint="default"/>
                <w:spacing w:val="-3"/>
                <w:sz w:val="21"/>
                <w:szCs w:val="21"/>
              </w:rPr>
              <w:t> </w:t>
            </w:r>
            <w:r>
              <w:rPr>
                <w:rFonts w:ascii="宋体" w:hAnsi="宋体" w:cs="宋体" w:eastAsia="宋体" w:hint="default"/>
                <w:spacing w:val="-7"/>
                <w:sz w:val="21"/>
                <w:szCs w:val="21"/>
              </w:rPr>
              <w:t>元，账面价值</w:t>
            </w:r>
            <w:r>
              <w:rPr>
                <w:rFonts w:ascii="宋体" w:hAnsi="宋体" w:cs="宋体" w:eastAsia="宋体" w:hint="default"/>
                <w:spacing w:val="-51"/>
                <w:sz w:val="21"/>
                <w:szCs w:val="21"/>
              </w:rPr>
              <w:t> </w:t>
            </w:r>
            <w:r>
              <w:rPr>
                <w:rFonts w:ascii="Arial" w:hAnsi="Arial" w:cs="Arial" w:eastAsia="Arial" w:hint="default"/>
                <w:sz w:val="21"/>
                <w:szCs w:val="21"/>
              </w:rPr>
              <w:t>35,016,322.68</w:t>
            </w:r>
            <w:r>
              <w:rPr>
                <w:rFonts w:ascii="Arial" w:hAnsi="Arial" w:cs="Arial" w:eastAsia="Arial" w:hint="default"/>
                <w:spacing w:val="-3"/>
                <w:sz w:val="21"/>
                <w:szCs w:val="21"/>
              </w:rPr>
              <w:t> </w:t>
            </w:r>
            <w:r>
              <w:rPr>
                <w:rFonts w:ascii="宋体" w:hAnsi="宋体" w:cs="宋体" w:eastAsia="宋体" w:hint="default"/>
                <w:spacing w:val="-11"/>
                <w:sz w:val="21"/>
                <w:szCs w:val="21"/>
              </w:rPr>
              <w:t>元），在鑫亚公</w:t>
            </w:r>
            <w:r>
              <w:rPr>
                <w:rFonts w:ascii="宋体" w:hAnsi="宋体" w:cs="宋体" w:eastAsia="宋体" w:hint="default"/>
                <w:w w:val="100"/>
                <w:sz w:val="21"/>
                <w:szCs w:val="21"/>
              </w:rPr>
              <w:t> </w:t>
            </w:r>
            <w:r>
              <w:rPr>
                <w:rFonts w:ascii="宋体" w:hAnsi="宋体" w:cs="宋体" w:eastAsia="宋体" w:hint="default"/>
                <w:sz w:val="21"/>
                <w:szCs w:val="21"/>
              </w:rPr>
              <w:t>司起诉玉丰公司一案中，经黑龙江省哈尔滨市中级人民法院执行裁定书</w:t>
            </w:r>
          </w:p>
          <w:p>
            <w:pPr>
              <w:pStyle w:val="TableParagraph"/>
              <w:spacing w:line="264" w:lineRule="exact"/>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2019</w:t>
            </w:r>
            <w:r>
              <w:rPr>
                <w:rFonts w:ascii="宋体" w:hAnsi="宋体" w:cs="宋体" w:eastAsia="宋体" w:hint="default"/>
                <w:sz w:val="21"/>
                <w:szCs w:val="21"/>
              </w:rPr>
              <w:t>〕黑</w:t>
            </w:r>
            <w:r>
              <w:rPr>
                <w:rFonts w:ascii="宋体" w:hAnsi="宋体" w:cs="宋体" w:eastAsia="宋体" w:hint="default"/>
                <w:spacing w:val="-54"/>
                <w:sz w:val="21"/>
                <w:szCs w:val="21"/>
              </w:rPr>
              <w:t> </w:t>
            </w:r>
            <w:r>
              <w:rPr>
                <w:rFonts w:ascii="Arial" w:hAnsi="Arial" w:cs="Arial" w:eastAsia="Arial" w:hint="default"/>
                <w:sz w:val="21"/>
                <w:szCs w:val="21"/>
              </w:rPr>
              <w:t>01</w:t>
            </w:r>
            <w:r>
              <w:rPr>
                <w:rFonts w:ascii="Arial" w:hAnsi="Arial" w:cs="Arial" w:eastAsia="Arial" w:hint="default"/>
                <w:spacing w:val="-7"/>
                <w:sz w:val="21"/>
                <w:szCs w:val="21"/>
              </w:rPr>
              <w:t> </w:t>
            </w:r>
            <w:r>
              <w:rPr>
                <w:rFonts w:ascii="宋体" w:hAnsi="宋体" w:cs="宋体" w:eastAsia="宋体" w:hint="default"/>
                <w:sz w:val="21"/>
                <w:szCs w:val="21"/>
              </w:rPr>
              <w:t>执</w:t>
            </w:r>
            <w:r>
              <w:rPr>
                <w:rFonts w:ascii="宋体" w:hAnsi="宋体" w:cs="宋体" w:eastAsia="宋体" w:hint="default"/>
                <w:spacing w:val="-56"/>
                <w:sz w:val="21"/>
                <w:szCs w:val="21"/>
              </w:rPr>
              <w:t> </w:t>
            </w:r>
            <w:r>
              <w:rPr>
                <w:rFonts w:ascii="Arial" w:hAnsi="Arial" w:cs="Arial" w:eastAsia="Arial" w:hint="default"/>
                <w:sz w:val="21"/>
                <w:szCs w:val="21"/>
              </w:rPr>
              <w:t>1974</w:t>
            </w:r>
            <w:r>
              <w:rPr>
                <w:rFonts w:ascii="Arial" w:hAnsi="Arial" w:cs="Arial" w:eastAsia="Arial" w:hint="default"/>
                <w:spacing w:val="-7"/>
                <w:sz w:val="21"/>
                <w:szCs w:val="21"/>
              </w:rPr>
              <w:t> </w:t>
            </w:r>
            <w:r>
              <w:rPr>
                <w:rFonts w:ascii="宋体" w:hAnsi="宋体" w:cs="宋体" w:eastAsia="宋体" w:hint="default"/>
                <w:sz w:val="21"/>
                <w:szCs w:val="21"/>
              </w:rPr>
              <w:t>号予以查封。</w:t>
            </w:r>
            <w:r>
              <w:rPr>
                <w:rFonts w:ascii="宋体" w:hAnsi="宋体" w:cs="宋体" w:eastAsia="宋体" w:hint="default"/>
                <w:sz w:val="21"/>
                <w:szCs w:val="21"/>
              </w:rPr>
              <w:t> </w:t>
            </w:r>
          </w:p>
        </w:tc>
      </w:tr>
      <w:tr>
        <w:trPr>
          <w:trHeight w:val="365" w:hRule="exact"/>
        </w:trPr>
        <w:tc>
          <w:tcPr>
            <w:tcW w:w="708"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4"/>
              <w:ind w:left="3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61"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0"/>
              <w:ind w:right="-2"/>
              <w:jc w:val="right"/>
              <w:rPr>
                <w:rFonts w:ascii="宋体" w:hAnsi="宋体" w:cs="宋体" w:eastAsia="宋体" w:hint="default"/>
                <w:sz w:val="21"/>
                <w:szCs w:val="21"/>
              </w:rPr>
            </w:pPr>
            <w:r>
              <w:rPr>
                <w:rFonts w:ascii="Arial"/>
                <w:spacing w:val="-1"/>
                <w:sz w:val="21"/>
              </w:rPr>
              <w:t>65,564,795.09</w:t>
            </w:r>
            <w:r>
              <w:rPr>
                <w:rFonts w:ascii="宋体"/>
                <w:w w:val="100"/>
                <w:sz w:val="21"/>
              </w:rPr>
              <w:t> </w:t>
            </w:r>
          </w:p>
        </w:tc>
        <w:tc>
          <w:tcPr>
            <w:tcW w:w="6793"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50"/>
              <w:ind w:left="100" w:right="0"/>
              <w:jc w:val="center"/>
              <w:rPr>
                <w:rFonts w:ascii="宋体" w:hAnsi="宋体" w:cs="宋体" w:eastAsia="宋体" w:hint="default"/>
                <w:sz w:val="21"/>
                <w:szCs w:val="21"/>
              </w:rPr>
            </w:pPr>
            <w:r>
              <w:rPr>
                <w:rFonts w:ascii="Arial"/>
                <w:sz w:val="21"/>
              </w:rPr>
              <w:t>/</w:t>
            </w:r>
            <w:r>
              <w:rPr>
                <w:rFonts w:ascii="宋体"/>
                <w:w w:val="100"/>
                <w:sz w:val="21"/>
              </w:rPr>
              <w:t> </w:t>
            </w:r>
          </w:p>
        </w:tc>
      </w:tr>
    </w:tbl>
    <w:p>
      <w:pPr>
        <w:spacing w:line="240" w:lineRule="auto" w:before="11"/>
        <w:rPr>
          <w:rFonts w:ascii="宋体" w:hAnsi="宋体" w:cs="宋体" w:eastAsia="宋体" w:hint="default"/>
          <w:sz w:val="2"/>
          <w:szCs w:val="2"/>
        </w:rPr>
      </w:pPr>
    </w:p>
    <w:p>
      <w:pPr>
        <w:spacing w:line="20" w:lineRule="exact"/>
        <w:ind w:left="115" w:right="0" w:firstLine="0"/>
        <w:rPr>
          <w:rFonts w:ascii="宋体" w:hAnsi="宋体" w:cs="宋体" w:eastAsia="宋体" w:hint="default"/>
          <w:sz w:val="2"/>
          <w:szCs w:val="2"/>
        </w:rPr>
      </w:pPr>
      <w:r>
        <w:rPr>
          <w:rFonts w:ascii="宋体" w:hAnsi="宋体" w:cs="宋体" w:eastAsia="宋体" w:hint="default"/>
          <w:sz w:val="2"/>
          <w:szCs w:val="2"/>
        </w:rPr>
        <w:pict>
          <v:group style="width:454.05pt;height:1pt;mso-position-horizontal-relative:char;mso-position-vertical-relative:line" coordorigin="0,0" coordsize="9081,20">
            <v:group style="position:absolute;left:10;top:10;width:704;height:2" coordorigin="10,10" coordsize="704,2">
              <v:shape style="position:absolute;left:10;top:10;width:704;height:2" coordorigin="10,10" coordsize="704,0" path="m10,10l713,10e" filled="false" stroked="true" strokeweight=".95999pt" strokecolor="#41b7ee">
                <v:path arrowok="t"/>
              </v:shape>
            </v:group>
            <v:group style="position:absolute;left:713;top:10;width:58;height:2" coordorigin="713,10" coordsize="58,2">
              <v:shape style="position:absolute;left:713;top:10;width:58;height:2" coordorigin="713,10" coordsize="58,0" path="m713,10l770,10e" filled="false" stroked="true" strokeweight=".95999pt" strokecolor="#41b7ee">
                <v:path arrowok="t"/>
              </v:shape>
            </v:group>
            <v:group style="position:absolute;left:770;top:10;width:1503;height:2" coordorigin="770,10" coordsize="1503,2">
              <v:shape style="position:absolute;left:770;top:10;width:1503;height:2" coordorigin="770,10" coordsize="1503,0" path="m770,10l2273,10e" filled="false" stroked="true" strokeweight=".95999pt" strokecolor="#41b7ee">
                <v:path arrowok="t"/>
              </v:shape>
            </v:group>
            <v:group style="position:absolute;left:2273;top:10;width:58;height:2" coordorigin="2273,10" coordsize="58,2">
              <v:shape style="position:absolute;left:2273;top:10;width:58;height:2" coordorigin="2273,10" coordsize="58,0" path="m2273,10l2331,10e" filled="false" stroked="true" strokeweight=".95999pt" strokecolor="#41b7ee">
                <v:path arrowok="t"/>
              </v:shape>
            </v:group>
            <v:group style="position:absolute;left:2331;top:10;width:6741;height:2" coordorigin="2331,10" coordsize="6741,2">
              <v:shape style="position:absolute;left:2331;top:10;width:6741;height:2" coordorigin="2331,10" coordsize="6741,0" path="m2331,10l9071,10e" filled="false" stroked="true" strokeweight=".95999pt" strokecolor="#41b7ee">
                <v:path arrowok="t"/>
              </v:shape>
            </v:group>
          </v:group>
        </w:pict>
      </w:r>
      <w:r>
        <w:rPr>
          <w:rFonts w:ascii="宋体" w:hAnsi="宋体" w:cs="宋体" w:eastAsia="宋体" w:hint="default"/>
          <w:sz w:val="2"/>
          <w:szCs w:val="2"/>
        </w:rPr>
      </w:r>
    </w:p>
    <w:p>
      <w:pPr>
        <w:pStyle w:val="Heading2"/>
        <w:tabs>
          <w:tab w:pos="662" w:val="left" w:leader="none"/>
        </w:tabs>
        <w:spacing w:line="240" w:lineRule="auto" w:before="25"/>
        <w:ind w:left="238" w:right="0"/>
        <w:jc w:val="left"/>
        <w:rPr>
          <w:rFonts w:ascii="宋体" w:hAnsi="宋体" w:cs="宋体" w:eastAsia="宋体" w:hint="default"/>
          <w:b w:val="0"/>
          <w:bCs w:val="0"/>
        </w:rPr>
      </w:pPr>
      <w:r>
        <w:rPr>
          <w:rFonts w:ascii="宋体" w:hAnsi="宋体" w:cs="宋体" w:eastAsia="宋体" w:hint="default"/>
          <w:w w:val="95"/>
        </w:rPr>
        <w:t>3.</w:t>
        <w:tab/>
      </w: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6" w:lineRule="auto" w:before="42"/>
        <w:ind w:left="238" w:right="230" w:firstLine="419"/>
        <w:jc w:val="both"/>
        <w:rPr>
          <w:rFonts w:ascii="宋体" w:hAnsi="宋体" w:cs="宋体" w:eastAsia="宋体" w:hint="default"/>
        </w:rPr>
      </w:pPr>
      <w:r>
        <w:rPr/>
        <w:t>截止本报告期末公司尚有未办妥房产权证书的固定资产账面价值</w:t>
      </w:r>
      <w:r>
        <w:rPr>
          <w:spacing w:val="-55"/>
        </w:rPr>
        <w:t> </w:t>
      </w:r>
      <w:r>
        <w:rPr>
          <w:rFonts w:ascii="Arial" w:hAnsi="Arial" w:cs="Arial" w:eastAsia="Arial" w:hint="default"/>
        </w:rPr>
        <w:t>34,319,142.54</w:t>
      </w:r>
      <w:r>
        <w:rPr>
          <w:rFonts w:ascii="Arial" w:hAnsi="Arial" w:cs="Arial" w:eastAsia="Arial" w:hint="default"/>
          <w:spacing w:val="-7"/>
        </w:rPr>
        <w:t> </w:t>
      </w:r>
      <w:r>
        <w:rPr/>
        <w:t>元，未办妥</w:t>
      </w:r>
      <w:r>
        <w:rPr>
          <w:w w:val="100"/>
        </w:rPr>
        <w:t> </w:t>
      </w:r>
      <w:r>
        <w:rPr>
          <w:spacing w:val="-2"/>
        </w:rPr>
        <w:t>房屋产权证书的主要原因：农业分公司主要是科技园区、科研中心、农业信息中心、作业站管理</w:t>
      </w:r>
      <w:r>
        <w:rPr>
          <w:spacing w:val="-26"/>
        </w:rPr>
        <w:t> </w:t>
      </w:r>
      <w:r>
        <w:rPr>
          <w:spacing w:val="-26"/>
        </w:rPr>
      </w:r>
      <w:r>
        <w:rPr>
          <w:spacing w:val="-7"/>
        </w:rPr>
        <w:t>用房等生产设施、附属设施和配套设施；浩良河化肥分公司、麦芽、纸业公司主要是一些生产（维</w:t>
      </w:r>
      <w:r>
        <w:rPr>
          <w:spacing w:val="-15"/>
        </w:rPr>
        <w:t> </w:t>
      </w:r>
      <w:r>
        <w:rPr>
          <w:spacing w:val="-15"/>
        </w:rPr>
      </w:r>
      <w:r>
        <w:rPr>
          <w:spacing w:val="-2"/>
        </w:rPr>
        <w:t>修</w:t>
      </w:r>
      <w:r>
        <w:rPr>
          <w:rFonts w:ascii="宋体" w:hAnsi="宋体" w:cs="宋体" w:eastAsia="宋体" w:hint="default"/>
          <w:spacing w:val="-2"/>
        </w:rPr>
        <w:t>)</w:t>
      </w:r>
      <w:r>
        <w:rPr>
          <w:spacing w:val="-2"/>
        </w:rPr>
        <w:t>车间、材料库等在原厂址上改（扩</w:t>
      </w:r>
      <w:r>
        <w:rPr>
          <w:rFonts w:ascii="宋体" w:hAnsi="宋体" w:cs="宋体" w:eastAsia="宋体" w:hint="default"/>
          <w:spacing w:val="-2"/>
        </w:rPr>
        <w:t>)</w:t>
      </w:r>
      <w:r>
        <w:rPr>
          <w:spacing w:val="-2"/>
        </w:rPr>
        <w:t>建。由于历史上的原因，部分房屋及建筑物缺少或未取得</w:t>
      </w:r>
      <w:r>
        <w:rPr>
          <w:spacing w:val="-30"/>
        </w:rPr>
        <w:t> </w:t>
      </w:r>
      <w:r>
        <w:rPr>
          <w:spacing w:val="-30"/>
        </w:rPr>
      </w:r>
      <w:r>
        <w:rPr/>
        <w:t>规划、消防等相关手续，以及办理不及时形成的，不影响其正常使用。</w:t>
      </w:r>
      <w:r>
        <w:rPr>
          <w:rFonts w:ascii="宋体" w:hAnsi="宋体" w:cs="宋体" w:eastAsia="宋体" w:hint="default"/>
        </w:rPr>
        <w:t> </w:t>
      </w:r>
    </w:p>
    <w:p>
      <w:pPr>
        <w:pStyle w:val="Heading2"/>
        <w:tabs>
          <w:tab w:pos="1077" w:val="left" w:leader="none"/>
        </w:tabs>
        <w:spacing w:line="240" w:lineRule="auto" w:before="29"/>
        <w:ind w:left="2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spacing w:line="240" w:lineRule="auto" w:before="56"/>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8" w:lineRule="auto" w:before="44"/>
        <w:ind w:left="238" w:right="228" w:firstLine="419"/>
        <w:jc w:val="both"/>
        <w:rPr>
          <w:rFonts w:ascii="宋体" w:hAnsi="宋体" w:cs="宋体" w:eastAsia="宋体" w:hint="default"/>
        </w:rPr>
      </w:pPr>
      <w:r>
        <w:rPr>
          <w:spacing w:val="-3"/>
        </w:rPr>
        <w:t>公司已在本报告第三节描述了行业经营性信息分析，详见“第三节</w:t>
      </w:r>
      <w:r>
        <w:rPr>
          <w:spacing w:val="54"/>
        </w:rPr>
        <w:t> </w:t>
      </w:r>
      <w:r>
        <w:rPr>
          <w:rFonts w:ascii="宋体" w:hAnsi="宋体" w:cs="宋体" w:eastAsia="宋体" w:hint="default"/>
          <w:spacing w:val="54"/>
        </w:rPr>
      </w:r>
      <w:r>
        <w:rPr>
          <w:spacing w:val="-7"/>
        </w:rPr>
        <w:t>公司业务概要”“一、报</w:t>
      </w:r>
      <w:r>
        <w:rPr>
          <w:w w:val="100"/>
        </w:rPr>
        <w:t> </w:t>
      </w:r>
      <w:r>
        <w:rPr/>
        <w:t>告期内公司所从事的主要业务、经营模式及行业情况说明”。</w:t>
      </w:r>
      <w:r>
        <w:rPr>
          <w:rFonts w:ascii="宋体" w:hAnsi="宋体" w:cs="宋体" w:eastAsia="宋体" w:hint="default"/>
        </w:rPr>
        <w:t> </w:t>
      </w:r>
    </w:p>
    <w:p>
      <w:pPr>
        <w:pStyle w:val="Heading2"/>
        <w:tabs>
          <w:tab w:pos="662" w:val="left" w:leader="none"/>
        </w:tabs>
        <w:spacing w:line="290" w:lineRule="auto" w:before="25"/>
        <w:ind w:left="238" w:right="6219"/>
        <w:jc w:val="left"/>
        <w:rPr>
          <w:b w:val="0"/>
          <w:bCs w:val="0"/>
        </w:rPr>
      </w:pPr>
      <w:r>
        <w:rPr/>
        <w:t>农林牧渔行业经营性信息分析</w:t>
      </w:r>
      <w:r>
        <w:rPr>
          <w:rFonts w:ascii="宋体" w:hAnsi="宋体" w:cs="宋体" w:eastAsia="宋体" w:hint="default"/>
          <w:w w:val="99"/>
        </w:rPr>
        <w:t> </w:t>
      </w:r>
      <w:r>
        <w:rPr>
          <w:rFonts w:ascii="宋体" w:hAnsi="宋体" w:cs="宋体" w:eastAsia="宋体" w:hint="default"/>
          <w:w w:val="95"/>
        </w:rPr>
        <w:t>1</w:t>
        <w:tab/>
      </w:r>
      <w:r>
        <w:rPr/>
        <w:t>行业和公司基本情况</w:t>
      </w:r>
      <w:r>
        <w:rPr>
          <w:spacing w:val="-103"/>
        </w:rPr>
        <w:t> </w:t>
      </w:r>
      <w:r>
        <w:rPr>
          <w:rFonts w:ascii="宋体" w:hAnsi="宋体" w:cs="宋体" w:eastAsia="宋体" w:hint="default"/>
        </w:rPr>
        <w:t>(1).</w:t>
      </w:r>
      <w:r>
        <w:rPr/>
        <w:t>行业政策及对公司影响</w:t>
      </w:r>
      <w:r>
        <w:rPr>
          <w:b w:val="0"/>
          <w:bCs w:val="0"/>
        </w:rPr>
      </w:r>
    </w:p>
    <w:p>
      <w:pPr>
        <w:pStyle w:val="BodyText"/>
        <w:spacing w:line="229"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68" w:lineRule="auto" w:before="42"/>
        <w:ind w:left="238" w:right="228" w:firstLine="419"/>
        <w:jc w:val="both"/>
        <w:rPr>
          <w:rFonts w:ascii="Arial" w:hAnsi="Arial" w:cs="Arial" w:eastAsia="Arial" w:hint="default"/>
        </w:rPr>
      </w:pPr>
      <w:r>
        <w:rPr>
          <w:rFonts w:ascii="Arial" w:hAnsi="Arial" w:cs="Arial" w:eastAsia="Arial" w:hint="default"/>
        </w:rPr>
        <w:t>2019</w:t>
      </w:r>
      <w:r>
        <w:rPr>
          <w:rFonts w:ascii="Arial" w:hAnsi="Arial" w:cs="Arial" w:eastAsia="Arial" w:hint="default"/>
          <w:spacing w:val="34"/>
        </w:rPr>
        <w:t> </w:t>
      </w:r>
      <w:r>
        <w:rPr>
          <w:spacing w:val="-4"/>
        </w:rPr>
        <w:t>年，受农业供给侧结构性改革和粮食定价政策的影响，如何提高粮食品质、降低种植成</w:t>
      </w:r>
      <w:r>
        <w:rPr>
          <w:w w:val="100"/>
        </w:rPr>
        <w:t> </w:t>
      </w:r>
      <w:r>
        <w:rPr>
          <w:spacing w:val="-2"/>
        </w:rPr>
        <w:t>本，保障种植效益，从而稳定公司收益成为当前公司农业发展面临的主要挑战。为顺应国家政策</w:t>
      </w:r>
      <w:r>
        <w:rPr>
          <w:spacing w:val="-25"/>
        </w:rPr>
        <w:t> </w:t>
      </w:r>
      <w:r>
        <w:rPr>
          <w:spacing w:val="-25"/>
        </w:rPr>
      </w:r>
      <w:r>
        <w:rPr>
          <w:spacing w:val="-3"/>
        </w:rPr>
        <w:t>的变动和调整，</w:t>
      </w:r>
      <w:r>
        <w:rPr>
          <w:rFonts w:ascii="Arial" w:hAnsi="Arial" w:cs="Arial" w:eastAsia="Arial" w:hint="default"/>
          <w:spacing w:val="-3"/>
        </w:rPr>
        <w:t>2019 </w:t>
      </w:r>
      <w:r>
        <w:rPr>
          <w:spacing w:val="-4"/>
        </w:rPr>
        <w:t>年，公司以转方式调结构、推广应用新技术、强化农具配备、探索标准种植</w:t>
      </w:r>
      <w:r>
        <w:rPr>
          <w:spacing w:val="-44"/>
        </w:rPr>
        <w:t> </w:t>
      </w:r>
      <w:r>
        <w:rPr>
          <w:spacing w:val="-44"/>
        </w:rPr>
      </w:r>
      <w:r>
        <w:rPr>
          <w:spacing w:val="-6"/>
        </w:rPr>
        <w:t>模式、实施精细管理为重点，全面推进农业提质增效。大力推广优质特色种植，种植优质水稻</w:t>
      </w:r>
      <w:r>
        <w:rPr>
          <w:spacing w:val="4"/>
        </w:rPr>
        <w:t> </w:t>
      </w:r>
      <w:r>
        <w:rPr>
          <w:rFonts w:ascii="Arial" w:hAnsi="Arial" w:cs="Arial" w:eastAsia="Arial" w:hint="default"/>
        </w:rPr>
        <w:t>188</w:t>
      </w:r>
    </w:p>
    <w:p>
      <w:pPr>
        <w:pStyle w:val="BodyText"/>
        <w:spacing w:line="240" w:lineRule="auto" w:before="3"/>
        <w:ind w:left="238" w:right="0"/>
        <w:jc w:val="left"/>
      </w:pPr>
      <w:r>
        <w:rPr/>
        <w:t>万亩，种植高蛋白大豆</w:t>
      </w:r>
      <w:r>
        <w:rPr>
          <w:spacing w:val="-54"/>
        </w:rPr>
        <w:t> </w:t>
      </w:r>
      <w:r>
        <w:rPr>
          <w:rFonts w:ascii="Arial" w:hAnsi="Arial" w:cs="Arial" w:eastAsia="Arial" w:hint="default"/>
        </w:rPr>
        <w:t>44</w:t>
      </w:r>
      <w:r>
        <w:rPr>
          <w:rFonts w:ascii="Arial" w:hAnsi="Arial" w:cs="Arial" w:eastAsia="Arial" w:hint="default"/>
          <w:spacing w:val="-10"/>
        </w:rPr>
        <w:t> </w:t>
      </w:r>
      <w:r>
        <w:rPr/>
        <w:t>万亩，甜糯食用型玉米</w:t>
      </w:r>
      <w:r>
        <w:rPr>
          <w:spacing w:val="-55"/>
        </w:rPr>
        <w:t> </w:t>
      </w:r>
      <w:r>
        <w:rPr>
          <w:rFonts w:ascii="Arial" w:hAnsi="Arial" w:cs="Arial" w:eastAsia="Arial" w:hint="default"/>
        </w:rPr>
        <w:t>5.27</w:t>
      </w:r>
      <w:r>
        <w:rPr>
          <w:rFonts w:ascii="Arial" w:hAnsi="Arial" w:cs="Arial" w:eastAsia="Arial" w:hint="default"/>
          <w:spacing w:val="-7"/>
        </w:rPr>
        <w:t> </w:t>
      </w:r>
      <w:r>
        <w:rPr/>
        <w:t>万亩等。继续稳定订单种植，积极发展农</w:t>
      </w:r>
    </w:p>
    <w:p>
      <w:pPr>
        <w:pStyle w:val="BodyText"/>
        <w:spacing w:line="240" w:lineRule="auto" w:before="29"/>
        <w:ind w:left="238" w:right="0"/>
        <w:jc w:val="left"/>
      </w:pPr>
      <w:r>
        <w:rPr/>
        <w:t>牧共作模式和棚室经济，全年实现订单作物种植 </w:t>
      </w:r>
      <w:r>
        <w:rPr>
          <w:rFonts w:ascii="Arial" w:hAnsi="Arial" w:cs="Arial" w:eastAsia="Arial" w:hint="default"/>
        </w:rPr>
        <w:t>149</w:t>
      </w:r>
      <w:r>
        <w:rPr>
          <w:rFonts w:ascii="Arial" w:hAnsi="Arial" w:cs="Arial" w:eastAsia="Arial" w:hint="default"/>
          <w:spacing w:val="15"/>
        </w:rPr>
        <w:t> </w:t>
      </w:r>
      <w:r>
        <w:rPr/>
        <w:t>万亩，利用大棚种植食用菌、木耳、瓜果、</w:t>
      </w:r>
    </w:p>
    <w:p>
      <w:pPr>
        <w:pStyle w:val="BodyText"/>
        <w:spacing w:line="240" w:lineRule="auto" w:before="29"/>
        <w:ind w:left="238" w:right="0"/>
        <w:jc w:val="left"/>
      </w:pPr>
      <w:r>
        <w:rPr/>
        <w:t>辣椒等各类作物</w:t>
      </w:r>
      <w:r>
        <w:rPr>
          <w:spacing w:val="-36"/>
        </w:rPr>
        <w:t> </w:t>
      </w:r>
      <w:r>
        <w:rPr>
          <w:rFonts w:ascii="Arial" w:hAnsi="Arial" w:cs="Arial" w:eastAsia="Arial" w:hint="default"/>
        </w:rPr>
        <w:t>6.8</w:t>
      </w:r>
      <w:r>
        <w:rPr>
          <w:rFonts w:ascii="Arial" w:hAnsi="Arial" w:cs="Arial" w:eastAsia="Arial" w:hint="default"/>
          <w:spacing w:val="8"/>
        </w:rPr>
        <w:t> </w:t>
      </w:r>
      <w:r>
        <w:rPr>
          <w:spacing w:val="-5"/>
        </w:rPr>
        <w:t>万栋，种植面积</w:t>
      </w:r>
      <w:r>
        <w:rPr>
          <w:spacing w:val="-35"/>
        </w:rPr>
        <w:t> </w:t>
      </w:r>
      <w:r>
        <w:rPr>
          <w:rFonts w:ascii="Arial" w:hAnsi="Arial" w:cs="Arial" w:eastAsia="Arial" w:hint="default"/>
        </w:rPr>
        <w:t>3.78</w:t>
      </w:r>
      <w:r>
        <w:rPr>
          <w:rFonts w:ascii="Arial" w:hAnsi="Arial" w:cs="Arial" w:eastAsia="Arial" w:hint="default"/>
          <w:spacing w:val="8"/>
        </w:rPr>
        <w:t> </w:t>
      </w:r>
      <w:r>
        <w:rPr>
          <w:spacing w:val="-4"/>
        </w:rPr>
        <w:t>万亩，有效提高了农产品品质及种植效益。加大节本增</w:t>
      </w:r>
    </w:p>
    <w:p>
      <w:pPr>
        <w:spacing w:after="0" w:line="240" w:lineRule="auto"/>
        <w:jc w:val="left"/>
        <w:sectPr>
          <w:pgSz w:w="11910" w:h="16840"/>
          <w:pgMar w:header="825" w:footer="1195" w:top="1360" w:bottom="1380" w:left="1560" w:right="1040"/>
        </w:sectPr>
      </w:pPr>
    </w:p>
    <w:p>
      <w:pPr>
        <w:spacing w:line="240" w:lineRule="auto" w:before="12"/>
        <w:rPr>
          <w:rFonts w:ascii="宋体" w:hAnsi="宋体" w:cs="宋体" w:eastAsia="宋体" w:hint="default"/>
          <w:sz w:val="9"/>
          <w:szCs w:val="9"/>
        </w:rPr>
      </w:pPr>
    </w:p>
    <w:p>
      <w:pPr>
        <w:pStyle w:val="BodyText"/>
        <w:spacing w:line="280" w:lineRule="auto" w:before="36"/>
        <w:ind w:left="138" w:right="128"/>
        <w:jc w:val="both"/>
        <w:rPr>
          <w:rFonts w:ascii="Arial" w:hAnsi="Arial" w:cs="Arial" w:eastAsia="Arial" w:hint="default"/>
        </w:rPr>
      </w:pPr>
      <w:r>
        <w:rPr>
          <w:spacing w:val="-2"/>
        </w:rPr>
        <w:t>效实用型技术的推广应用，重点推广水稻机插侧深施肥、棚内全程机械化、控氮减磷稳钾、两年</w:t>
      </w:r>
      <w:r>
        <w:rPr>
          <w:spacing w:val="-25"/>
        </w:rPr>
        <w:t> </w:t>
      </w:r>
      <w:r>
        <w:rPr>
          <w:spacing w:val="-25"/>
        </w:rPr>
      </w:r>
      <w:r>
        <w:rPr>
          <w:spacing w:val="-6"/>
        </w:rPr>
        <w:t>玉米茬轮作大豆免施基肥、有机肥替代、水稻插前寄秧、水稻分段收获等各类实用技术累计达</w:t>
      </w:r>
      <w:r>
        <w:rPr>
          <w:spacing w:val="4"/>
        </w:rPr>
        <w:t> </w:t>
      </w:r>
      <w:r>
        <w:rPr>
          <w:rFonts w:ascii="Arial" w:hAnsi="Arial" w:cs="Arial" w:eastAsia="Arial" w:hint="default"/>
        </w:rPr>
        <w:t>780</w:t>
      </w:r>
    </w:p>
    <w:p>
      <w:pPr>
        <w:pStyle w:val="BodyText"/>
        <w:spacing w:line="276" w:lineRule="auto"/>
        <w:ind w:left="138" w:right="128"/>
        <w:jc w:val="both"/>
      </w:pPr>
      <w:r>
        <w:rPr>
          <w:spacing w:val="-2"/>
        </w:rPr>
        <w:t>万亩，为节本增效提供了强有力的技术支撑。强化农业机械配备，全年累计更新各类机具</w:t>
      </w:r>
      <w:r>
        <w:rPr/>
        <w:t> </w:t>
      </w:r>
      <w:r>
        <w:rPr>
          <w:rFonts w:ascii="Arial" w:hAnsi="Arial" w:cs="Arial" w:eastAsia="Arial" w:hint="default"/>
          <w:spacing w:val="-1"/>
        </w:rPr>
        <w:t>13033</w:t>
      </w:r>
      <w:r>
        <w:rPr>
          <w:rFonts w:ascii="Arial" w:hAnsi="Arial" w:cs="Arial" w:eastAsia="Arial" w:hint="default"/>
          <w:spacing w:val="-35"/>
        </w:rPr>
        <w:t> </w:t>
      </w:r>
      <w:r>
        <w:rPr>
          <w:rFonts w:ascii="Arial" w:hAnsi="Arial" w:cs="Arial" w:eastAsia="Arial" w:hint="default"/>
          <w:spacing w:val="-35"/>
        </w:rPr>
      </w:r>
      <w:r>
        <w:rPr>
          <w:spacing w:val="-2"/>
        </w:rPr>
        <w:t>台套，重点对棚内整平、摆盘、喷药等作业机械、本田轨道应用机械、侧深施肥机械、割晒拾禾</w:t>
      </w:r>
      <w:r>
        <w:rPr>
          <w:spacing w:val="-25"/>
        </w:rPr>
        <w:t> </w:t>
      </w:r>
      <w:r>
        <w:rPr>
          <w:spacing w:val="-25"/>
        </w:rPr>
      </w:r>
      <w:r>
        <w:rPr>
          <w:spacing w:val="-6"/>
        </w:rPr>
        <w:t>设备等机具进行了更新和配备，确保了技术推广应用到位率。探索标准种植模式，实施精细管理，</w:t>
      </w:r>
      <w:r>
        <w:rPr>
          <w:spacing w:val="-54"/>
        </w:rPr>
        <w:t> </w:t>
      </w:r>
      <w:r>
        <w:rPr>
          <w:spacing w:val="-54"/>
        </w:rPr>
      </w:r>
      <w:r>
        <w:rPr>
          <w:spacing w:val="-6"/>
        </w:rPr>
        <w:t>开展标准成本控制下的标准种植模式，改变传统粗放管理种植方式，在各农业分公司管理区（站）</w:t>
      </w:r>
      <w:r>
        <w:rPr>
          <w:spacing w:val="-54"/>
        </w:rPr>
        <w:t> </w:t>
      </w:r>
      <w:r>
        <w:rPr>
          <w:spacing w:val="-54"/>
        </w:rPr>
      </w:r>
      <w:r>
        <w:rPr>
          <w:spacing w:val="-3"/>
        </w:rPr>
        <w:t>选择示范户进行典型带动</w:t>
      </w:r>
      <w:r>
        <w:rPr>
          <w:rFonts w:ascii="Arial" w:hAnsi="Arial" w:cs="Arial" w:eastAsia="Arial" w:hint="default"/>
          <w:spacing w:val="-3"/>
        </w:rPr>
        <w:t>,</w:t>
      </w:r>
      <w:r>
        <w:rPr>
          <w:spacing w:val="-3"/>
        </w:rPr>
        <w:t>以点带面逐步推广，从而达到节本增效的目的；同时，推进高标准格田</w:t>
      </w:r>
    </w:p>
    <w:p>
      <w:pPr>
        <w:spacing w:line="274" w:lineRule="exact" w:before="22"/>
        <w:ind w:left="138" w:right="2314" w:firstLine="0"/>
        <w:jc w:val="left"/>
        <w:rPr>
          <w:rFonts w:ascii="宋体" w:hAnsi="宋体" w:cs="宋体" w:eastAsia="宋体" w:hint="default"/>
          <w:sz w:val="21"/>
          <w:szCs w:val="21"/>
        </w:rPr>
      </w:pPr>
      <w:r>
        <w:rPr>
          <w:rFonts w:ascii="宋体" w:hAnsi="宋体" w:cs="宋体" w:eastAsia="宋体" w:hint="default"/>
          <w:sz w:val="21"/>
          <w:szCs w:val="21"/>
        </w:rPr>
        <w:t>建设，累计改造格田</w:t>
      </w:r>
      <w:r>
        <w:rPr>
          <w:rFonts w:ascii="宋体" w:hAnsi="宋体" w:cs="宋体" w:eastAsia="宋体" w:hint="default"/>
          <w:spacing w:val="-54"/>
          <w:sz w:val="21"/>
          <w:szCs w:val="21"/>
        </w:rPr>
        <w:t> </w:t>
      </w:r>
      <w:r>
        <w:rPr>
          <w:rFonts w:ascii="Arial" w:hAnsi="Arial" w:cs="Arial" w:eastAsia="Arial" w:hint="default"/>
          <w:sz w:val="21"/>
          <w:szCs w:val="21"/>
        </w:rPr>
        <w:t>48</w:t>
      </w:r>
      <w:r>
        <w:rPr>
          <w:rFonts w:ascii="Arial" w:hAnsi="Arial" w:cs="Arial" w:eastAsia="Arial" w:hint="default"/>
          <w:spacing w:val="-9"/>
          <w:sz w:val="21"/>
          <w:szCs w:val="21"/>
        </w:rPr>
        <w:t> </w:t>
      </w:r>
      <w:r>
        <w:rPr>
          <w:rFonts w:ascii="宋体" w:hAnsi="宋体" w:cs="宋体" w:eastAsia="宋体" w:hint="default"/>
          <w:sz w:val="21"/>
          <w:szCs w:val="21"/>
        </w:rPr>
        <w:t>万亩，有效提高了土地利用率和机械作业效率。</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公司行业地位及竞争优劣势</w:t>
      </w:r>
      <w:r>
        <w:rPr>
          <w:rFonts w:ascii="宋体" w:hAnsi="宋体" w:cs="宋体" w:eastAsia="宋体" w:hint="default"/>
          <w:sz w:val="21"/>
          <w:szCs w:val="21"/>
        </w:rPr>
      </w:r>
    </w:p>
    <w:p>
      <w:pPr>
        <w:pStyle w:val="BodyText"/>
        <w:spacing w:line="248" w:lineRule="exact"/>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80" w:lineRule="auto" w:before="42"/>
        <w:ind w:left="138" w:right="128" w:firstLine="419"/>
        <w:jc w:val="both"/>
      </w:pPr>
      <w:r>
        <w:rPr>
          <w:spacing w:val="-2"/>
        </w:rPr>
        <w:t>公司所属农业行业，是目前国内现代化程度较高的种植业上市公司，是重要的商品粮生产基</w:t>
      </w:r>
      <w:r>
        <w:rPr>
          <w:w w:val="100"/>
        </w:rPr>
        <w:t> </w:t>
      </w:r>
      <w:r>
        <w:rPr>
          <w:spacing w:val="-6"/>
        </w:rPr>
        <w:t>地。其在规模、资源、技术、装备、管理和服务、人才等方面都处于同行业领先水平。报告期内，</w:t>
      </w:r>
      <w:r>
        <w:rPr>
          <w:spacing w:val="-53"/>
        </w:rPr>
        <w:t> </w:t>
      </w:r>
      <w:r>
        <w:rPr>
          <w:spacing w:val="-53"/>
        </w:rPr>
      </w:r>
      <w:r>
        <w:rPr>
          <w:spacing w:val="-2"/>
        </w:rPr>
        <w:t>面临农业政策影响，公司充分利用自身优势、挖掘自身潜力，提升核心竞争力，以应对农业发展</w:t>
      </w:r>
      <w:r>
        <w:rPr>
          <w:spacing w:val="-25"/>
        </w:rPr>
        <w:t> </w:t>
      </w:r>
      <w:r>
        <w:rPr>
          <w:spacing w:val="-25"/>
        </w:rPr>
      </w:r>
      <w:r>
        <w:rPr/>
        <w:t>面临的挑战。其优势具体表现在以下几个方面：</w:t>
      </w:r>
    </w:p>
    <w:p>
      <w:pPr>
        <w:pStyle w:val="Heading2"/>
        <w:spacing w:line="240" w:lineRule="auto" w:before="8"/>
        <w:ind w:left="555" w:right="0"/>
        <w:jc w:val="left"/>
        <w:rPr>
          <w:b w:val="0"/>
          <w:bCs w:val="0"/>
        </w:rPr>
      </w:pPr>
      <w:r>
        <w:rPr>
          <w:rFonts w:ascii="Arial" w:hAnsi="Arial" w:cs="Arial" w:eastAsia="Arial" w:hint="default"/>
        </w:rPr>
        <w:t>1.</w:t>
      </w:r>
      <w:r>
        <w:rPr/>
        <w:t>资源优势</w:t>
      </w:r>
      <w:r>
        <w:rPr>
          <w:b w:val="0"/>
          <w:bCs w:val="0"/>
        </w:rPr>
      </w:r>
    </w:p>
    <w:p>
      <w:pPr>
        <w:pStyle w:val="BodyText"/>
        <w:spacing w:line="273" w:lineRule="auto" w:before="32"/>
        <w:ind w:left="138" w:right="0" w:firstLine="417"/>
        <w:jc w:val="left"/>
      </w:pPr>
      <w:r>
        <w:rPr/>
        <w:t>公司拥有</w:t>
      </w:r>
      <w:r>
        <w:rPr>
          <w:spacing w:val="-54"/>
        </w:rPr>
        <w:t> </w:t>
      </w:r>
      <w:r>
        <w:rPr>
          <w:rFonts w:ascii="Arial" w:hAnsi="Arial" w:cs="Arial" w:eastAsia="Arial" w:hint="default"/>
        </w:rPr>
        <w:t>16</w:t>
      </w:r>
      <w:r>
        <w:rPr>
          <w:rFonts w:ascii="Arial" w:hAnsi="Arial" w:cs="Arial" w:eastAsia="Arial" w:hint="default"/>
          <w:spacing w:val="-7"/>
        </w:rPr>
        <w:t> </w:t>
      </w:r>
      <w:r>
        <w:rPr/>
        <w:t>家农业分公司，区域内以种植水稻、玉米、大豆为主。公司所属区域内土地资</w:t>
      </w:r>
      <w:r>
        <w:rPr>
          <w:w w:val="100"/>
        </w:rPr>
        <w:t> </w:t>
      </w:r>
      <w:r>
        <w:rPr>
          <w:spacing w:val="-2"/>
        </w:rPr>
        <w:t>源丰富，地处世界三大黑土带之一的三江平原，地势平坦、土壤肥沃，生态环境良好，具有生产</w:t>
      </w:r>
      <w:r>
        <w:rPr>
          <w:spacing w:val="-25"/>
        </w:rPr>
        <w:t> </w:t>
      </w:r>
      <w:r>
        <w:rPr>
          <w:spacing w:val="-25"/>
        </w:rPr>
      </w:r>
      <w:r>
        <w:rPr>
          <w:spacing w:val="-2"/>
        </w:rPr>
        <w:t>绿色、有机农产品得天独厚的地理优势，所生产的农产品具有较好的优质性和均质性，在生产成</w:t>
      </w:r>
      <w:r>
        <w:rPr>
          <w:spacing w:val="-25"/>
        </w:rPr>
        <w:t> </w:t>
      </w:r>
      <w:r>
        <w:rPr>
          <w:spacing w:val="-25"/>
        </w:rPr>
      </w:r>
      <w:r>
        <w:rPr/>
        <w:t>本和品质等方面都具有一定的市场竞争力。</w:t>
      </w:r>
    </w:p>
    <w:p>
      <w:pPr>
        <w:pStyle w:val="BodyText"/>
        <w:spacing w:line="264" w:lineRule="auto" w:before="15"/>
        <w:ind w:left="555" w:right="0"/>
        <w:jc w:val="left"/>
      </w:pPr>
      <w:r>
        <w:rPr>
          <w:rFonts w:ascii="Arial" w:hAnsi="Arial" w:cs="Arial" w:eastAsia="Arial" w:hint="default"/>
          <w:b/>
          <w:bCs/>
        </w:rPr>
        <w:t>2.</w:t>
      </w:r>
      <w:r>
        <w:rPr>
          <w:rFonts w:ascii="宋体" w:hAnsi="宋体" w:cs="宋体" w:eastAsia="宋体" w:hint="default"/>
          <w:b/>
          <w:bCs/>
        </w:rPr>
        <w:t>基础优势</w:t>
      </w:r>
      <w:r>
        <w:rPr>
          <w:rFonts w:ascii="宋体" w:hAnsi="宋体" w:cs="宋体" w:eastAsia="宋体" w:hint="default"/>
          <w:b/>
          <w:bCs/>
          <w:spacing w:val="-104"/>
        </w:rPr>
        <w:t> </w:t>
      </w:r>
      <w:r>
        <w:rPr>
          <w:rFonts w:ascii="宋体" w:hAnsi="宋体" w:cs="宋体" w:eastAsia="宋体" w:hint="default"/>
          <w:b/>
          <w:bCs/>
          <w:spacing w:val="-104"/>
        </w:rPr>
      </w:r>
      <w:r>
        <w:rPr>
          <w:spacing w:val="-2"/>
        </w:rPr>
        <w:t>公司建有完备的生产服务设施、粮食管护及农机管护设施、农田水利设施等农业生产基础设</w:t>
      </w:r>
    </w:p>
    <w:p>
      <w:pPr>
        <w:pStyle w:val="BodyText"/>
        <w:spacing w:line="271" w:lineRule="auto" w:before="25"/>
        <w:ind w:left="138" w:right="128"/>
        <w:jc w:val="both"/>
      </w:pPr>
      <w:r>
        <w:rPr>
          <w:spacing w:val="-4"/>
        </w:rPr>
        <w:t>施体系。</w:t>
      </w:r>
      <w:r>
        <w:rPr>
          <w:rFonts w:ascii="Arial" w:hAnsi="Arial" w:cs="Arial" w:eastAsia="Arial" w:hint="default"/>
          <w:spacing w:val="-4"/>
        </w:rPr>
        <w:t>2019 </w:t>
      </w:r>
      <w:r>
        <w:rPr>
          <w:spacing w:val="-4"/>
        </w:rPr>
        <w:t>年，公司继续加强了对基础建设的投入，进行格田改造，提高农田建设标准；重点</w:t>
      </w:r>
      <w:r>
        <w:rPr>
          <w:spacing w:val="-82"/>
        </w:rPr>
        <w:t> </w:t>
      </w:r>
      <w:r>
        <w:rPr>
          <w:spacing w:val="-82"/>
        </w:rPr>
      </w:r>
      <w:r>
        <w:rPr>
          <w:spacing w:val="-2"/>
        </w:rPr>
        <w:t>对水泥晒场、粮食仓储、农机具停放场及水利工程配套等基础设施进行了建设，进一步增强了农</w:t>
      </w:r>
      <w:r>
        <w:rPr>
          <w:spacing w:val="-25"/>
        </w:rPr>
        <w:t> </w:t>
      </w:r>
      <w:r>
        <w:rPr>
          <w:spacing w:val="-25"/>
        </w:rPr>
      </w:r>
      <w:r>
        <w:rPr/>
        <w:t>业防灾减灾能力。</w:t>
      </w:r>
    </w:p>
    <w:p>
      <w:pPr>
        <w:pStyle w:val="BodyText"/>
        <w:spacing w:line="264" w:lineRule="auto" w:before="19"/>
        <w:ind w:left="555" w:right="0"/>
        <w:jc w:val="left"/>
      </w:pPr>
      <w:r>
        <w:rPr>
          <w:rFonts w:ascii="Arial" w:hAnsi="Arial" w:cs="Arial" w:eastAsia="Arial" w:hint="default"/>
          <w:b/>
          <w:bCs/>
        </w:rPr>
        <w:t>3.</w:t>
      </w:r>
      <w:r>
        <w:rPr>
          <w:rFonts w:ascii="宋体" w:hAnsi="宋体" w:cs="宋体" w:eastAsia="宋体" w:hint="default"/>
          <w:b/>
          <w:bCs/>
        </w:rPr>
        <w:t>装备优势</w:t>
      </w:r>
      <w:r>
        <w:rPr>
          <w:rFonts w:ascii="宋体" w:hAnsi="宋体" w:cs="宋体" w:eastAsia="宋体" w:hint="default"/>
          <w:b/>
          <w:bCs/>
          <w:spacing w:val="-104"/>
        </w:rPr>
        <w:t> </w:t>
      </w:r>
      <w:r>
        <w:rPr>
          <w:rFonts w:ascii="宋体" w:hAnsi="宋体" w:cs="宋体" w:eastAsia="宋体" w:hint="default"/>
          <w:b/>
          <w:bCs/>
          <w:spacing w:val="-104"/>
        </w:rPr>
      </w:r>
      <w:r>
        <w:rPr>
          <w:spacing w:val="-2"/>
        </w:rPr>
        <w:t>近年，随着农机补贴及更新力度不断加强，公司所在区域内，农业生产全程机械化率不断提</w:t>
      </w:r>
    </w:p>
    <w:p>
      <w:pPr>
        <w:pStyle w:val="BodyText"/>
        <w:spacing w:line="276" w:lineRule="auto" w:before="23"/>
        <w:ind w:left="138" w:right="127"/>
        <w:jc w:val="both"/>
      </w:pPr>
      <w:r>
        <w:rPr>
          <w:spacing w:val="-2"/>
        </w:rPr>
        <w:t>高。目前，区域内现已配备了大型、现代、智能化的动力机车及配套高性能联合整地机械、精密</w:t>
      </w:r>
      <w:r>
        <w:rPr>
          <w:spacing w:val="-25"/>
        </w:rPr>
        <w:t> </w:t>
      </w:r>
      <w:r>
        <w:rPr>
          <w:spacing w:val="-25"/>
        </w:rPr>
      </w:r>
      <w:r>
        <w:rPr>
          <w:spacing w:val="-6"/>
        </w:rPr>
        <w:t>播种机械和联合收获机械，实现了旱田整地、播种和收获全程机械化。配备了高桩重型灭茬机械、</w:t>
      </w:r>
      <w:r>
        <w:rPr>
          <w:spacing w:val="-54"/>
        </w:rPr>
        <w:t> </w:t>
      </w:r>
      <w:r>
        <w:rPr>
          <w:spacing w:val="-54"/>
        </w:rPr>
      </w:r>
      <w:r>
        <w:rPr>
          <w:spacing w:val="-2"/>
        </w:rPr>
        <w:t>自平衡双轴搅浆整地机械，激光平地机械、高性能插秧机械等，有效提高了水田的作业效率；配</w:t>
      </w:r>
      <w:r>
        <w:rPr>
          <w:spacing w:val="-25"/>
        </w:rPr>
        <w:t> </w:t>
      </w:r>
      <w:r>
        <w:rPr>
          <w:spacing w:val="-25"/>
        </w:rPr>
      </w:r>
      <w:r>
        <w:rPr>
          <w:spacing w:val="-4"/>
        </w:rPr>
        <w:t>备了小型全链轨及防陷半链轨等抗灾性较强的机具，有效提高了农业抗灾能力。</w:t>
      </w:r>
      <w:r>
        <w:rPr>
          <w:rFonts w:ascii="Arial" w:hAnsi="Arial" w:cs="Arial" w:eastAsia="Arial" w:hint="default"/>
          <w:spacing w:val="-4"/>
        </w:rPr>
        <w:t>2019 </w:t>
      </w:r>
      <w:r>
        <w:rPr/>
        <w:t>年公司重点</w:t>
      </w:r>
      <w:r>
        <w:rPr>
          <w:spacing w:val="-47"/>
        </w:rPr>
        <w:t> </w:t>
      </w:r>
      <w:r>
        <w:rPr>
          <w:spacing w:val="-47"/>
        </w:rPr>
      </w:r>
      <w:r>
        <w:rPr>
          <w:spacing w:val="-2"/>
        </w:rPr>
        <w:t>对棚内机械、本田轨道应用机械、侧深施肥机械、割晒拾禾设备等机具进行了更新和配备，为实</w:t>
      </w:r>
      <w:r>
        <w:rPr>
          <w:spacing w:val="-25"/>
        </w:rPr>
        <w:t> </w:t>
      </w:r>
      <w:r>
        <w:rPr>
          <w:spacing w:val="-25"/>
        </w:rPr>
      </w:r>
      <w:r>
        <w:rPr/>
        <w:t>现农业节本增效技术应用和推广奠定了坚实基础。截至</w:t>
      </w:r>
      <w:r>
        <w:rPr>
          <w:spacing w:val="-57"/>
        </w:rPr>
        <w:t> </w:t>
      </w:r>
      <w:r>
        <w:rPr>
          <w:rFonts w:ascii="Arial" w:hAnsi="Arial" w:cs="Arial" w:eastAsia="Arial" w:hint="default"/>
        </w:rPr>
        <w:t>2019</w:t>
      </w:r>
      <w:r>
        <w:rPr>
          <w:rFonts w:ascii="Arial" w:hAnsi="Arial" w:cs="Arial" w:eastAsia="Arial" w:hint="default"/>
          <w:spacing w:val="-10"/>
        </w:rPr>
        <w:t> </w:t>
      </w:r>
      <w:r>
        <w:rPr/>
        <w:t>年末，区域内实现农业机械总量达</w:t>
      </w:r>
    </w:p>
    <w:p>
      <w:pPr>
        <w:pStyle w:val="BodyText"/>
        <w:spacing w:line="284" w:lineRule="exact"/>
        <w:ind w:left="138" w:right="0"/>
        <w:jc w:val="both"/>
      </w:pPr>
      <w:r>
        <w:rPr>
          <w:rFonts w:ascii="Arial" w:hAnsi="Arial" w:cs="Arial" w:eastAsia="Arial" w:hint="default"/>
        </w:rPr>
        <w:t>32.86</w:t>
      </w:r>
      <w:r>
        <w:rPr>
          <w:rFonts w:ascii="Arial" w:hAnsi="Arial" w:cs="Arial" w:eastAsia="Arial" w:hint="default"/>
          <w:spacing w:val="-10"/>
        </w:rPr>
        <w:t> </w:t>
      </w:r>
      <w:r>
        <w:rPr/>
        <w:t>万台套，农业机械总动力达</w:t>
      </w:r>
      <w:r>
        <w:rPr>
          <w:spacing w:val="-54"/>
        </w:rPr>
        <w:t> </w:t>
      </w:r>
      <w:r>
        <w:rPr>
          <w:rFonts w:ascii="Arial" w:hAnsi="Arial" w:cs="Arial" w:eastAsia="Arial" w:hint="default"/>
        </w:rPr>
        <w:t>360.93</w:t>
      </w:r>
      <w:r>
        <w:rPr>
          <w:rFonts w:ascii="Arial" w:hAnsi="Arial" w:cs="Arial" w:eastAsia="Arial" w:hint="default"/>
          <w:spacing w:val="-8"/>
        </w:rPr>
        <w:t> </w:t>
      </w:r>
      <w:r>
        <w:rPr/>
        <w:t>万千瓦。</w:t>
      </w:r>
    </w:p>
    <w:p>
      <w:pPr>
        <w:pStyle w:val="BodyText"/>
        <w:spacing w:line="264" w:lineRule="auto" w:before="32"/>
        <w:ind w:left="558" w:right="0" w:hanging="3"/>
        <w:jc w:val="left"/>
      </w:pPr>
      <w:r>
        <w:rPr>
          <w:rFonts w:ascii="Arial" w:hAnsi="Arial" w:cs="Arial" w:eastAsia="Arial" w:hint="default"/>
          <w:b/>
          <w:bCs/>
        </w:rPr>
        <w:t>4.</w:t>
      </w:r>
      <w:r>
        <w:rPr>
          <w:rFonts w:ascii="宋体" w:hAnsi="宋体" w:cs="宋体" w:eastAsia="宋体" w:hint="default"/>
          <w:b/>
          <w:bCs/>
        </w:rPr>
        <w:t>技术优势</w:t>
      </w:r>
      <w:r>
        <w:rPr>
          <w:rFonts w:ascii="宋体" w:hAnsi="宋体" w:cs="宋体" w:eastAsia="宋体" w:hint="default"/>
          <w:b/>
          <w:bCs/>
          <w:spacing w:val="-104"/>
        </w:rPr>
        <w:t> </w:t>
      </w:r>
      <w:r>
        <w:rPr>
          <w:rFonts w:ascii="宋体" w:hAnsi="宋体" w:cs="宋体" w:eastAsia="宋体" w:hint="default"/>
          <w:b/>
          <w:bCs/>
          <w:spacing w:val="-104"/>
        </w:rPr>
      </w:r>
      <w:r>
        <w:rPr>
          <w:spacing w:val="-2"/>
        </w:rPr>
        <w:t>经过多年生产经营实践，公司现已掌握了完善的作物栽培技术、良种繁育技术、施肥施药技</w:t>
      </w:r>
    </w:p>
    <w:p>
      <w:pPr>
        <w:pStyle w:val="BodyText"/>
        <w:spacing w:line="276" w:lineRule="auto" w:before="23"/>
        <w:ind w:left="138" w:right="128"/>
        <w:jc w:val="both"/>
      </w:pPr>
      <w:r>
        <w:rPr>
          <w:spacing w:val="-2"/>
        </w:rPr>
        <w:t>术、病虫草害防治技术、农机应用技术及农业经营管理技术，拥有农机农艺各项技术相配套、良</w:t>
      </w:r>
      <w:r>
        <w:rPr>
          <w:spacing w:val="-25"/>
        </w:rPr>
        <w:t> </w:t>
      </w:r>
      <w:r>
        <w:rPr>
          <w:spacing w:val="-25"/>
        </w:rPr>
      </w:r>
      <w:r>
        <w:rPr>
          <w:spacing w:val="-2"/>
        </w:rPr>
        <w:t>种良法相结合的农业先进生产技术模式；同时，储备了节本增效的一系列栽培新技术，形成了一</w:t>
      </w:r>
      <w:r>
        <w:rPr>
          <w:spacing w:val="-25"/>
        </w:rPr>
        <w:t> </w:t>
      </w:r>
      <w:r>
        <w:rPr>
          <w:spacing w:val="-25"/>
        </w:rPr>
      </w:r>
      <w:r>
        <w:rPr>
          <w:spacing w:val="-3"/>
        </w:rPr>
        <w:t>整套抵御旱涝病虫灾害的有效措施。</w:t>
      </w:r>
      <w:r>
        <w:rPr>
          <w:rFonts w:ascii="Arial" w:hAnsi="Arial" w:cs="Arial" w:eastAsia="Arial" w:hint="default"/>
          <w:spacing w:val="-3"/>
        </w:rPr>
        <w:t>2019 </w:t>
      </w:r>
      <w:r>
        <w:rPr>
          <w:spacing w:val="-5"/>
        </w:rPr>
        <w:t>年，公司重点推广了侧深施肥技术、轨道农业、两年玉</w:t>
      </w:r>
      <w:r>
        <w:rPr>
          <w:spacing w:val="-79"/>
        </w:rPr>
        <w:t> </w:t>
      </w:r>
      <w:r>
        <w:rPr>
          <w:spacing w:val="-79"/>
        </w:rPr>
      </w:r>
      <w:r>
        <w:rPr>
          <w:spacing w:val="-2"/>
        </w:rPr>
        <w:t>米茬种大豆免施基肥、水稻控氮减磷稳钾、有机肥替代、水稻插前寄秧、水稻分段收获等技术，</w:t>
      </w:r>
      <w:r>
        <w:rPr>
          <w:spacing w:val="-25"/>
        </w:rPr>
        <w:t> </w:t>
      </w:r>
      <w:r>
        <w:rPr>
          <w:spacing w:val="-25"/>
        </w:rPr>
      </w:r>
      <w:r>
        <w:rPr/>
        <w:t>为农业提质增效奠定了坚实的基础。</w:t>
      </w:r>
    </w:p>
    <w:p>
      <w:pPr>
        <w:pStyle w:val="Heading2"/>
        <w:spacing w:line="240" w:lineRule="auto" w:before="13"/>
        <w:ind w:left="555" w:right="0"/>
        <w:jc w:val="left"/>
        <w:rPr>
          <w:b w:val="0"/>
          <w:bCs w:val="0"/>
        </w:rPr>
      </w:pPr>
      <w:r>
        <w:rPr>
          <w:rFonts w:ascii="Arial" w:hAnsi="Arial" w:cs="Arial" w:eastAsia="Arial" w:hint="default"/>
        </w:rPr>
        <w:t>5.</w:t>
      </w:r>
      <w:r>
        <w:rPr/>
        <w:t>管理与服务优势</w:t>
      </w:r>
      <w:r>
        <w:rPr>
          <w:b w:val="0"/>
          <w:bCs w:val="0"/>
        </w:rPr>
      </w:r>
    </w:p>
    <w:p>
      <w:pPr>
        <w:pStyle w:val="BodyText"/>
        <w:spacing w:line="266" w:lineRule="auto" w:before="29"/>
        <w:ind w:left="138" w:right="0" w:firstLine="417"/>
        <w:jc w:val="left"/>
      </w:pPr>
      <w:r>
        <w:rPr/>
        <w:t>公司建有完善的农业科技服务体系，拥有</w:t>
      </w:r>
      <w:r>
        <w:rPr>
          <w:spacing w:val="-54"/>
        </w:rPr>
        <w:t> </w:t>
      </w:r>
      <w:r>
        <w:rPr>
          <w:rFonts w:ascii="Arial" w:hAnsi="Arial" w:cs="Arial" w:eastAsia="Arial" w:hint="default"/>
        </w:rPr>
        <w:t>16</w:t>
      </w:r>
      <w:r>
        <w:rPr>
          <w:rFonts w:ascii="Arial" w:hAnsi="Arial" w:cs="Arial" w:eastAsia="Arial" w:hint="default"/>
          <w:spacing w:val="-9"/>
        </w:rPr>
        <w:t> </w:t>
      </w:r>
      <w:r>
        <w:rPr/>
        <w:t>家农业技术推广中心，下设植保站、气象站、</w:t>
      </w:r>
      <w:r>
        <w:rPr>
          <w:w w:val="100"/>
        </w:rPr>
        <w:t> </w:t>
      </w:r>
      <w:r>
        <w:rPr>
          <w:spacing w:val="-5"/>
        </w:rPr>
        <w:t>试验站和土壤化验室即</w:t>
      </w:r>
      <w:r>
        <w:rPr>
          <w:rFonts w:ascii="Arial" w:hAnsi="Arial" w:cs="Arial" w:eastAsia="Arial" w:hint="default"/>
          <w:spacing w:val="-5"/>
        </w:rPr>
        <w:t>“</w:t>
      </w:r>
      <w:r>
        <w:rPr>
          <w:spacing w:val="-5"/>
        </w:rPr>
        <w:t>三站一室</w:t>
      </w:r>
      <w:r>
        <w:rPr>
          <w:rFonts w:ascii="Arial" w:hAnsi="Arial" w:cs="Arial" w:eastAsia="Arial" w:hint="default"/>
          <w:spacing w:val="-5"/>
        </w:rPr>
        <w:t>”</w:t>
      </w:r>
      <w:r>
        <w:rPr>
          <w:spacing w:val="-5"/>
        </w:rPr>
        <w:t>，建立了完善的病虫害预警服务体系、气象预测预报服务体系、</w:t>
      </w:r>
    </w:p>
    <w:p>
      <w:pPr>
        <w:spacing w:after="0" w:line="266" w:lineRule="auto"/>
        <w:jc w:val="left"/>
        <w:sectPr>
          <w:pgSz w:w="11910" w:h="16840"/>
          <w:pgMar w:header="825" w:footer="1195" w:top="1360" w:bottom="1380" w:left="1660" w:right="1140"/>
        </w:sectPr>
      </w:pPr>
    </w:p>
    <w:p>
      <w:pPr>
        <w:spacing w:line="240" w:lineRule="auto" w:before="12"/>
        <w:rPr>
          <w:rFonts w:ascii="宋体" w:hAnsi="宋体" w:cs="宋体" w:eastAsia="宋体" w:hint="default"/>
          <w:sz w:val="9"/>
          <w:szCs w:val="9"/>
        </w:rPr>
      </w:pPr>
    </w:p>
    <w:p>
      <w:pPr>
        <w:pStyle w:val="BodyText"/>
        <w:spacing w:line="278" w:lineRule="auto" w:before="36"/>
        <w:ind w:left="218" w:right="237"/>
        <w:jc w:val="both"/>
      </w:pPr>
      <w:r>
        <w:rPr>
          <w:spacing w:val="-2"/>
        </w:rPr>
        <w:t>科技推广服务体系、测土配方施肥服务体系，为各阶段农业生产的顺利开展提供了有力的体系保</w:t>
      </w:r>
      <w:r>
        <w:rPr>
          <w:spacing w:val="-25"/>
        </w:rPr>
        <w:t> </w:t>
      </w:r>
      <w:r>
        <w:rPr>
          <w:spacing w:val="-25"/>
        </w:rPr>
      </w:r>
      <w:r>
        <w:rPr>
          <w:spacing w:val="-2"/>
        </w:rPr>
        <w:t>障。经过多年农业生产实践，公司建立了高度组织化的管理体系及规范的管控制度，规范了农业</w:t>
      </w:r>
      <w:r>
        <w:rPr>
          <w:spacing w:val="-25"/>
        </w:rPr>
        <w:t> </w:t>
      </w:r>
      <w:r>
        <w:rPr>
          <w:spacing w:val="-25"/>
        </w:rPr>
      </w:r>
      <w:r>
        <w:rPr>
          <w:spacing w:val="-2"/>
        </w:rPr>
        <w:t>生产作业流程，有效确保了公司千万亩耕地的模式化栽培和标准化生产；建立了高效的组织管理</w:t>
      </w:r>
      <w:r>
        <w:rPr>
          <w:spacing w:val="-25"/>
        </w:rPr>
        <w:t> </w:t>
      </w:r>
      <w:r>
        <w:rPr>
          <w:spacing w:val="-25"/>
        </w:rPr>
      </w:r>
      <w:r>
        <w:rPr>
          <w:spacing w:val="-2"/>
        </w:rPr>
        <w:t>模式，拥有完备的技术研发和服务团队，可在技术、信息、培训等方面为家庭农场提供服务。建</w:t>
      </w:r>
      <w:r>
        <w:rPr>
          <w:spacing w:val="-25"/>
        </w:rPr>
        <w:t> </w:t>
      </w:r>
      <w:r>
        <w:rPr>
          <w:spacing w:val="-25"/>
        </w:rPr>
      </w:r>
      <w:r>
        <w:rPr>
          <w:spacing w:val="-2"/>
        </w:rPr>
        <w:t>立了农业信息化管理体系，农业物联网项目已具备数据实时传输、智能化监控、数据统计与分析</w:t>
      </w:r>
      <w:r>
        <w:rPr>
          <w:spacing w:val="-26"/>
        </w:rPr>
        <w:t> </w:t>
      </w:r>
      <w:r>
        <w:rPr>
          <w:spacing w:val="-26"/>
        </w:rPr>
      </w:r>
      <w:r>
        <w:rPr>
          <w:spacing w:val="-2"/>
        </w:rPr>
        <w:t>等功能，正逐步实现与绿色有机农产品生产流程进行全面对接，构建实时可控、在控的农产品质</w:t>
      </w:r>
      <w:r>
        <w:rPr>
          <w:spacing w:val="-25"/>
        </w:rPr>
        <w:t> </w:t>
      </w:r>
      <w:r>
        <w:rPr>
          <w:spacing w:val="-25"/>
        </w:rPr>
      </w:r>
      <w:r>
        <w:rPr/>
        <w:t>量安全追溯体系。</w:t>
      </w:r>
    </w:p>
    <w:p>
      <w:pPr>
        <w:pStyle w:val="BodyText"/>
        <w:spacing w:line="264" w:lineRule="auto" w:before="13"/>
        <w:ind w:left="635" w:right="0"/>
        <w:jc w:val="left"/>
      </w:pPr>
      <w:r>
        <w:rPr>
          <w:rFonts w:ascii="Arial" w:hAnsi="Arial" w:cs="Arial" w:eastAsia="Arial" w:hint="default"/>
          <w:b/>
          <w:bCs/>
        </w:rPr>
        <w:t>6.</w:t>
      </w:r>
      <w:r>
        <w:rPr>
          <w:rFonts w:ascii="宋体" w:hAnsi="宋体" w:cs="宋体" w:eastAsia="宋体" w:hint="default"/>
          <w:b/>
          <w:bCs/>
        </w:rPr>
        <w:t>人才优势</w:t>
      </w:r>
      <w:r>
        <w:rPr>
          <w:rFonts w:ascii="宋体" w:hAnsi="宋体" w:cs="宋体" w:eastAsia="宋体" w:hint="default"/>
          <w:b/>
          <w:bCs/>
          <w:spacing w:val="-104"/>
        </w:rPr>
        <w:t> </w:t>
      </w:r>
      <w:r>
        <w:rPr>
          <w:rFonts w:ascii="宋体" w:hAnsi="宋体" w:cs="宋体" w:eastAsia="宋体" w:hint="default"/>
          <w:b/>
          <w:bCs/>
          <w:spacing w:val="-104"/>
        </w:rPr>
      </w:r>
      <w:r>
        <w:rPr>
          <w:spacing w:val="-2"/>
        </w:rPr>
        <w:t>公司拥有一支实践经验丰富，涵盖栽培、植保、农机等各类涉农专业的高素质人才队伍，在</w:t>
      </w:r>
    </w:p>
    <w:p>
      <w:pPr>
        <w:pStyle w:val="BodyText"/>
        <w:spacing w:line="280" w:lineRule="auto" w:before="23"/>
        <w:ind w:left="218" w:right="0"/>
        <w:jc w:val="left"/>
      </w:pPr>
      <w:r>
        <w:rPr>
          <w:spacing w:val="-2"/>
        </w:rPr>
        <w:t>农业研发、科技推广、农业经营管理等方面发挥着极其重要的作用，为公司后期农业转型升级提</w:t>
      </w:r>
      <w:r>
        <w:rPr>
          <w:spacing w:val="-25"/>
        </w:rPr>
        <w:t> </w:t>
      </w:r>
      <w:r>
        <w:rPr>
          <w:spacing w:val="-25"/>
        </w:rPr>
      </w:r>
      <w:r>
        <w:rPr/>
        <w:t>供了强有力的保障。</w:t>
      </w:r>
    </w:p>
    <w:p>
      <w:pPr>
        <w:pStyle w:val="Heading2"/>
        <w:spacing w:line="238" w:lineRule="exact" w:before="0"/>
        <w:ind w:right="0"/>
        <w:jc w:val="both"/>
        <w:rPr>
          <w:b w:val="0"/>
          <w:bCs w:val="0"/>
        </w:rPr>
      </w:pPr>
      <w:r>
        <w:rPr>
          <w:rFonts w:ascii="宋体" w:hAnsi="宋体" w:cs="宋体" w:eastAsia="宋体" w:hint="default"/>
        </w:rPr>
        <w:t>(3).</w:t>
      </w:r>
      <w:r>
        <w:rPr/>
        <w:t>公司经营模式及行业上下游情况</w:t>
      </w:r>
      <w:r>
        <w:rPr>
          <w:b w:val="0"/>
          <w:bCs w:val="0"/>
        </w:rPr>
      </w:r>
    </w:p>
    <w:p>
      <w:pPr>
        <w:pStyle w:val="BodyText"/>
        <w:spacing w:line="276" w:lineRule="auto"/>
        <w:ind w:left="6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公司采取以统一经营管理为主导，家庭农场承包经营为基础的统分结合的双层经营模式，为</w:t>
      </w:r>
    </w:p>
    <w:p>
      <w:pPr>
        <w:pStyle w:val="BodyText"/>
        <w:spacing w:line="280" w:lineRule="auto" w:before="13"/>
        <w:ind w:left="638" w:right="0" w:hanging="420"/>
        <w:jc w:val="left"/>
      </w:pPr>
      <w:r>
        <w:rPr/>
        <w:t>家庭农场提供产前、产中、产后服务。</w:t>
      </w:r>
      <w:r>
        <w:rPr>
          <w:rFonts w:ascii="宋体" w:hAnsi="宋体" w:cs="宋体" w:eastAsia="宋体" w:hint="default"/>
          <w:w w:val="100"/>
        </w:rPr>
        <w:t> </w:t>
      </w:r>
      <w:r>
        <w:rPr>
          <w:spacing w:val="-2"/>
        </w:rPr>
        <w:t>在报告期内，下游农产品市场对种植业带来的影响，相比上游种子、化肥等生产资料行业对</w:t>
      </w:r>
    </w:p>
    <w:p>
      <w:pPr>
        <w:pStyle w:val="BodyText"/>
        <w:spacing w:line="278" w:lineRule="auto" w:before="8"/>
        <w:ind w:left="218" w:right="0"/>
        <w:jc w:val="left"/>
        <w:rPr>
          <w:rFonts w:ascii="宋体" w:hAnsi="宋体" w:cs="宋体" w:eastAsia="宋体" w:hint="default"/>
        </w:rPr>
      </w:pPr>
      <w:r>
        <w:rPr>
          <w:spacing w:val="-2"/>
        </w:rPr>
        <w:t>其影响较大；下游农产品市场仍然处于阶段性供过于求的状态，对种植业造成一定影响，尤其给</w:t>
      </w:r>
      <w:r>
        <w:rPr>
          <w:spacing w:val="-25"/>
        </w:rPr>
        <w:t> </w:t>
      </w:r>
      <w:r>
        <w:rPr>
          <w:spacing w:val="-25"/>
        </w:rPr>
      </w:r>
      <w:r>
        <w:rPr/>
        <w:t>公司所在区域内粮食销售带来一定压力。</w:t>
      </w:r>
      <w:r>
        <w:rPr>
          <w:rFonts w:ascii="宋体" w:hAnsi="宋体" w:cs="宋体" w:eastAsia="宋体" w:hint="default"/>
        </w:rPr>
        <w:t> </w:t>
      </w:r>
    </w:p>
    <w:p>
      <w:pPr>
        <w:pStyle w:val="Heading2"/>
        <w:spacing w:line="241" w:lineRule="exact" w:before="0"/>
        <w:ind w:right="0"/>
        <w:jc w:val="both"/>
        <w:rPr>
          <w:b w:val="0"/>
          <w:bCs w:val="0"/>
        </w:rPr>
      </w:pPr>
      <w:r>
        <w:rPr>
          <w:rFonts w:ascii="宋体" w:hAnsi="宋体" w:cs="宋体" w:eastAsia="宋体" w:hint="default"/>
        </w:rPr>
        <w:t>(4).</w:t>
      </w:r>
      <w:r>
        <w:rPr/>
        <w:t>生产经营资质</w:t>
      </w:r>
      <w:r>
        <w:rPr>
          <w:b w:val="0"/>
          <w:bCs w:val="0"/>
        </w:rPr>
      </w:r>
    </w:p>
    <w:p>
      <w:pPr>
        <w:spacing w:before="0"/>
        <w:ind w:left="218" w:right="650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主要技术</w:t>
      </w:r>
      <w:r>
        <w:rPr>
          <w:rFonts w:ascii="宋体" w:hAnsi="宋体" w:cs="宋体" w:eastAsia="宋体" w:hint="default"/>
          <w:sz w:val="21"/>
          <w:szCs w:val="21"/>
        </w:rPr>
      </w:r>
    </w:p>
    <w:p>
      <w:pPr>
        <w:pStyle w:val="BodyText"/>
        <w:spacing w:line="278" w:lineRule="auto"/>
        <w:ind w:left="6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水稻“三化两管”栽培模式（即旱育壮苗智能化、全程生产机械化、稻谷品质安全化、叶龄</w:t>
      </w:r>
    </w:p>
    <w:p>
      <w:pPr>
        <w:pStyle w:val="BodyText"/>
        <w:spacing w:line="278" w:lineRule="auto" w:before="11"/>
        <w:ind w:left="218" w:right="237"/>
        <w:jc w:val="both"/>
        <w:rPr>
          <w:rFonts w:ascii="宋体" w:hAnsi="宋体" w:cs="宋体" w:eastAsia="宋体" w:hint="default"/>
        </w:rPr>
      </w:pPr>
      <w:r>
        <w:rPr>
          <w:spacing w:val="-2"/>
        </w:rPr>
        <w:t>指标计划管理、全面标准化管理），玉米“四精两管”栽培模式（即精细耕作、精密栽培、精准</w:t>
      </w:r>
      <w:r>
        <w:rPr>
          <w:spacing w:val="-25"/>
        </w:rPr>
        <w:t> </w:t>
      </w:r>
      <w:r>
        <w:rPr>
          <w:spacing w:val="-25"/>
        </w:rPr>
      </w:r>
      <w:r>
        <w:rPr>
          <w:spacing w:val="-2"/>
        </w:rPr>
        <w:t>施肥、精确防控、叶龄管理、标准化管理），大豆“两密一卡”栽培模式（即大豆大垄密、深窄</w:t>
      </w:r>
      <w:r>
        <w:rPr>
          <w:spacing w:val="-25"/>
        </w:rPr>
        <w:t> </w:t>
      </w:r>
      <w:r>
        <w:rPr>
          <w:spacing w:val="-25"/>
        </w:rPr>
      </w:r>
      <w:r>
        <w:rPr/>
        <w:t>密、玉米原垄卡种大豆），水稻侧深施肥技术，测土配方施肥技术，</w:t>
      </w:r>
      <w:r>
        <w:rPr>
          <w:rFonts w:ascii="宋体" w:hAnsi="宋体" w:cs="宋体" w:eastAsia="宋体" w:hint="default"/>
        </w:rPr>
        <w:t>GPS</w:t>
      </w:r>
      <w:r>
        <w:rPr>
          <w:rFonts w:ascii="宋体" w:hAnsi="宋体" w:cs="宋体" w:eastAsia="宋体" w:hint="default"/>
          <w:spacing w:val="-56"/>
        </w:rPr>
        <w:t> </w:t>
      </w:r>
      <w:r>
        <w:rPr/>
        <w:t>自动驾驶技术，精量播</w:t>
      </w:r>
      <w:r>
        <w:rPr>
          <w:w w:val="100"/>
        </w:rPr>
        <w:t> </w:t>
      </w:r>
      <w:r>
        <w:rPr/>
        <w:t>种机应用技术等。</w:t>
      </w:r>
      <w:r>
        <w:rPr>
          <w:rFonts w:ascii="宋体" w:hAnsi="宋体" w:cs="宋体" w:eastAsia="宋体" w:hint="default"/>
        </w:rPr>
        <w:t> </w:t>
      </w:r>
    </w:p>
    <w:p>
      <w:pPr>
        <w:pStyle w:val="Heading2"/>
        <w:spacing w:line="239" w:lineRule="exact" w:before="0"/>
        <w:ind w:right="0"/>
        <w:jc w:val="both"/>
        <w:rPr>
          <w:b w:val="0"/>
          <w:bCs w:val="0"/>
        </w:rPr>
      </w:pPr>
      <w:r>
        <w:rPr>
          <w:rFonts w:ascii="宋体" w:hAnsi="宋体" w:cs="宋体" w:eastAsia="宋体" w:hint="default"/>
        </w:rPr>
        <w:t>(6).</w:t>
      </w:r>
      <w:r>
        <w:rPr/>
        <w:t>使用的农场或基地等的所有制形式及取得方式</w:t>
      </w:r>
      <w:r>
        <w:rPr>
          <w:b w:val="0"/>
          <w:bCs w:val="0"/>
        </w:rPr>
      </w:r>
    </w:p>
    <w:p>
      <w:pPr>
        <w:spacing w:line="272" w:lineRule="exact" w:before="27"/>
        <w:ind w:left="218" w:right="468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b/>
          <w:bCs/>
          <w:w w:val="99"/>
          <w:sz w:val="21"/>
          <w:szCs w:val="21"/>
        </w:rPr>
        <w:t> </w:t>
      </w:r>
      <w:r>
        <w:rPr>
          <w:rFonts w:ascii="宋体" w:hAnsi="宋体" w:cs="宋体" w:eastAsia="宋体" w:hint="default"/>
          <w:b/>
          <w:bCs/>
          <w:spacing w:val="-1"/>
          <w:sz w:val="21"/>
          <w:szCs w:val="21"/>
        </w:rPr>
        <w:t>通过承包或租赁方式取得土地或水域</w:t>
      </w:r>
      <w:r>
        <w:rPr>
          <w:rFonts w:ascii="宋体" w:hAnsi="宋体" w:cs="宋体" w:eastAsia="宋体" w:hint="default"/>
          <w:spacing w:val="-1"/>
          <w:sz w:val="21"/>
          <w:szCs w:val="21"/>
        </w:rPr>
      </w:r>
    </w:p>
    <w:p>
      <w:pPr>
        <w:pStyle w:val="BodyText"/>
        <w:spacing w:line="249" w:lineRule="exact"/>
        <w:ind w:left="21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366;height:2" coordorigin="10,10" coordsize="3366,2">
              <v:shape style="position:absolute;left:10;top:10;width:3366;height:2" coordorigin="10,10" coordsize="3366,0" path="m10,10l3375,10e" filled="false" stroked="true" strokeweight=".96002pt" strokecolor="#41b7ee">
                <v:path arrowok="t"/>
              </v:shape>
            </v:group>
            <v:group style="position:absolute;left:3375;top:10;width:58;height:2" coordorigin="3375,10" coordsize="58,2">
              <v:shape style="position:absolute;left:3375;top:10;width:58;height:2" coordorigin="3375,10" coordsize="58,0" path="m3375,10l3433,10e" filled="false" stroked="true" strokeweight=".96002pt" strokecolor="#41b7ee">
                <v:path arrowok="t"/>
              </v:shape>
            </v:group>
            <v:group style="position:absolute;left:3433;top:10;width:1645;height:2" coordorigin="3433,10" coordsize="1645,2">
              <v:shape style="position:absolute;left:3433;top:10;width:1645;height:2" coordorigin="3433,10" coordsize="1645,0" path="m3433,10l5077,10e" filled="false" stroked="true" strokeweight=".96002pt" strokecolor="#41b7ee">
                <v:path arrowok="t"/>
              </v:shape>
            </v:group>
            <v:group style="position:absolute;left:5077;top:10;width:58;height:2" coordorigin="5077,10" coordsize="58,2">
              <v:shape style="position:absolute;left:5077;top:10;width:58;height:2" coordorigin="5077,10" coordsize="58,0" path="m5077,10l5135,10e" filled="false" stroked="true" strokeweight=".96002pt" strokecolor="#41b7ee">
                <v:path arrowok="t"/>
              </v:shape>
            </v:group>
            <v:group style="position:absolute;left:5135;top:10;width:1500;height:2" coordorigin="5135,10" coordsize="1500,2">
              <v:shape style="position:absolute;left:5135;top:10;width:1500;height:2" coordorigin="5135,10" coordsize="1500,0" path="m5135,10l6635,10e" filled="false" stroked="true" strokeweight=".96002pt" strokecolor="#41b7ee">
                <v:path arrowok="t"/>
              </v:shape>
            </v:group>
            <v:group style="position:absolute;left:6635;top:10;width:58;height:2" coordorigin="6635,10" coordsize="58,2">
              <v:shape style="position:absolute;left:6635;top:10;width:58;height:2" coordorigin="6635,10" coordsize="58,0" path="m6635,10l6692,10e" filled="false" stroked="true" strokeweight=".96002pt" strokecolor="#41b7ee">
                <v:path arrowok="t"/>
              </v:shape>
            </v:group>
            <v:group style="position:absolute;left:6692;top:10;width:1220;height:2" coordorigin="6692,10" coordsize="1220,2">
              <v:shape style="position:absolute;left:6692;top:10;width:1220;height:2" coordorigin="6692,10" coordsize="1220,0" path="m6692,10l7912,10e" filled="false" stroked="true" strokeweight=".96002pt" strokecolor="#41b7ee">
                <v:path arrowok="t"/>
              </v:shape>
            </v:group>
            <v:group style="position:absolute;left:7912;top:10;width:58;height:2" coordorigin="7912,10" coordsize="58,2">
              <v:shape style="position:absolute;left:7912;top:10;width:58;height:2" coordorigin="7912,10" coordsize="58,0" path="m7912,10l7970,10e" filled="false" stroked="true" strokeweight=".96002pt" strokecolor="#41b7ee">
                <v:path arrowok="t"/>
              </v:shape>
            </v:group>
            <v:group style="position:absolute;left:7970;top:10;width:1090;height:2" coordorigin="7970,10" coordsize="1090,2">
              <v:shape style="position:absolute;left:7970;top:10;width:1090;height:2" coordorigin="7970,10" coordsize="1090,0" path="m7970,10l9059,10e" filled="false" stroked="true" strokeweight=".96002pt" strokecolor="#41b7ee">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3370"/>
        <w:gridCol w:w="1702"/>
        <w:gridCol w:w="1558"/>
        <w:gridCol w:w="1277"/>
        <w:gridCol w:w="1142"/>
      </w:tblGrid>
      <w:tr>
        <w:trPr>
          <w:trHeight w:val="362" w:hRule="exact"/>
        </w:trPr>
        <w:tc>
          <w:tcPr>
            <w:tcW w:w="3370"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4"/>
              <w:ind w:left="109" w:right="0"/>
              <w:jc w:val="center"/>
              <w:rPr>
                <w:rFonts w:ascii="宋体" w:hAnsi="宋体" w:cs="宋体" w:eastAsia="宋体" w:hint="default"/>
                <w:sz w:val="21"/>
                <w:szCs w:val="21"/>
              </w:rPr>
            </w:pPr>
            <w:r>
              <w:rPr>
                <w:rFonts w:ascii="宋体" w:hAnsi="宋体" w:cs="宋体" w:eastAsia="宋体" w:hint="default"/>
                <w:sz w:val="21"/>
                <w:szCs w:val="21"/>
              </w:rPr>
              <w:t>合同双方</w:t>
            </w:r>
            <w:r>
              <w:rPr>
                <w:rFonts w:ascii="宋体" w:hAnsi="宋体" w:cs="宋体" w:eastAsia="宋体" w:hint="default"/>
                <w:sz w:val="21"/>
                <w:szCs w:val="21"/>
              </w:rPr>
              <w:t> </w:t>
            </w:r>
          </w:p>
        </w:tc>
        <w:tc>
          <w:tcPr>
            <w:tcW w:w="1702"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4"/>
              <w:ind w:left="105" w:right="0"/>
              <w:jc w:val="center"/>
              <w:rPr>
                <w:rFonts w:ascii="宋体" w:hAnsi="宋体" w:cs="宋体" w:eastAsia="宋体" w:hint="default"/>
                <w:sz w:val="21"/>
                <w:szCs w:val="21"/>
              </w:rPr>
            </w:pPr>
            <w:r>
              <w:rPr>
                <w:rFonts w:ascii="宋体" w:hAnsi="宋体" w:cs="宋体" w:eastAsia="宋体" w:hint="default"/>
                <w:sz w:val="21"/>
                <w:szCs w:val="21"/>
              </w:rPr>
              <w:t>合同签订时间</w:t>
            </w:r>
            <w:r>
              <w:rPr>
                <w:rFonts w:ascii="宋体" w:hAnsi="宋体" w:cs="宋体" w:eastAsia="宋体" w:hint="default"/>
                <w:sz w:val="21"/>
                <w:szCs w:val="21"/>
              </w:rPr>
              <w:t> </w:t>
            </w:r>
          </w:p>
        </w:tc>
        <w:tc>
          <w:tcPr>
            <w:tcW w:w="1558"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4"/>
              <w:ind w:left="105" w:right="0"/>
              <w:jc w:val="center"/>
              <w:rPr>
                <w:rFonts w:ascii="宋体" w:hAnsi="宋体" w:cs="宋体" w:eastAsia="宋体" w:hint="default"/>
                <w:sz w:val="21"/>
                <w:szCs w:val="21"/>
              </w:rPr>
            </w:pPr>
            <w:r>
              <w:rPr>
                <w:rFonts w:ascii="宋体" w:hAnsi="宋体" w:cs="宋体" w:eastAsia="宋体" w:hint="default"/>
                <w:sz w:val="21"/>
                <w:szCs w:val="21"/>
              </w:rPr>
              <w:t>租赁标的面积</w:t>
            </w:r>
            <w:r>
              <w:rPr>
                <w:rFonts w:ascii="宋体" w:hAnsi="宋体" w:cs="宋体" w:eastAsia="宋体" w:hint="default"/>
                <w:sz w:val="21"/>
                <w:szCs w:val="21"/>
              </w:rPr>
              <w:t> </w:t>
            </w:r>
          </w:p>
        </w:tc>
        <w:tc>
          <w:tcPr>
            <w:tcW w:w="1277"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4"/>
              <w:ind w:left="105" w:right="0"/>
              <w:jc w:val="center"/>
              <w:rPr>
                <w:rFonts w:ascii="宋体" w:hAnsi="宋体" w:cs="宋体" w:eastAsia="宋体" w:hint="default"/>
                <w:sz w:val="21"/>
                <w:szCs w:val="21"/>
              </w:rPr>
            </w:pPr>
            <w:r>
              <w:rPr>
                <w:rFonts w:ascii="宋体" w:hAnsi="宋体" w:cs="宋体" w:eastAsia="宋体" w:hint="default"/>
                <w:sz w:val="21"/>
                <w:szCs w:val="21"/>
              </w:rPr>
              <w:t>合同期限</w:t>
            </w:r>
            <w:r>
              <w:rPr>
                <w:rFonts w:ascii="宋体" w:hAnsi="宋体" w:cs="宋体" w:eastAsia="宋体" w:hint="default"/>
                <w:sz w:val="21"/>
                <w:szCs w:val="21"/>
              </w:rPr>
              <w:t> </w:t>
            </w:r>
          </w:p>
        </w:tc>
        <w:tc>
          <w:tcPr>
            <w:tcW w:w="1142"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4"/>
              <w:ind w:left="100" w:right="0"/>
              <w:jc w:val="center"/>
              <w:rPr>
                <w:rFonts w:ascii="宋体" w:hAnsi="宋体" w:cs="宋体" w:eastAsia="宋体" w:hint="default"/>
                <w:sz w:val="21"/>
                <w:szCs w:val="21"/>
              </w:rPr>
            </w:pPr>
            <w:r>
              <w:rPr>
                <w:rFonts w:ascii="宋体" w:hAnsi="宋体" w:cs="宋体" w:eastAsia="宋体" w:hint="default"/>
                <w:sz w:val="21"/>
                <w:szCs w:val="21"/>
              </w:rPr>
              <w:t>租赁价格</w:t>
            </w:r>
            <w:r>
              <w:rPr>
                <w:rFonts w:ascii="宋体" w:hAnsi="宋体" w:cs="宋体" w:eastAsia="宋体" w:hint="default"/>
                <w:sz w:val="21"/>
                <w:szCs w:val="21"/>
              </w:rPr>
              <w:t> </w:t>
            </w:r>
          </w:p>
        </w:tc>
      </w:tr>
      <w:tr>
        <w:trPr>
          <w:trHeight w:val="562" w:hRule="exact"/>
        </w:trPr>
        <w:tc>
          <w:tcPr>
            <w:tcW w:w="3370" w:type="dxa"/>
            <w:tcBorders>
              <w:top w:val="single" w:sz="4" w:space="0" w:color="41B7EE"/>
              <w:left w:val="nil" w:sz="6" w:space="0" w:color="auto"/>
              <w:bottom w:val="single" w:sz="8" w:space="0" w:color="41B7EE"/>
              <w:right w:val="single" w:sz="4" w:space="0" w:color="41B7EE"/>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黑龙江北大荒农垦集团总公司与黑</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龙江北大荒农业股份有限公司</w:t>
            </w:r>
            <w:r>
              <w:rPr>
                <w:rFonts w:ascii="宋体" w:hAnsi="宋体" w:cs="宋体" w:eastAsia="宋体" w:hint="default"/>
                <w:sz w:val="21"/>
                <w:szCs w:val="21"/>
              </w:rPr>
              <w:t> </w:t>
            </w:r>
          </w:p>
        </w:tc>
        <w:tc>
          <w:tcPr>
            <w:tcW w:w="1702"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102"/>
              <w:ind w:left="102" w:right="0"/>
              <w:jc w:val="center"/>
              <w:rPr>
                <w:rFonts w:ascii="宋体" w:hAnsi="宋体" w:cs="宋体" w:eastAsia="宋体" w:hint="default"/>
                <w:sz w:val="21"/>
                <w:szCs w:val="21"/>
              </w:rPr>
            </w:pPr>
            <w:r>
              <w:rPr>
                <w:rFonts w:ascii="Arial" w:hAnsi="Arial" w:cs="Arial" w:eastAsia="Arial" w:hint="default"/>
                <w:sz w:val="21"/>
                <w:szCs w:val="21"/>
              </w:rPr>
              <w:t>1998</w:t>
            </w:r>
            <w:r>
              <w:rPr>
                <w:rFonts w:ascii="Arial" w:hAnsi="Arial" w:cs="Arial" w:eastAsia="Arial" w:hint="default"/>
                <w:spacing w:val="-5"/>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558"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102"/>
              <w:ind w:left="103" w:right="0"/>
              <w:jc w:val="center"/>
              <w:rPr>
                <w:rFonts w:ascii="宋体" w:hAnsi="宋体" w:cs="宋体" w:eastAsia="宋体" w:hint="default"/>
                <w:sz w:val="21"/>
                <w:szCs w:val="21"/>
              </w:rPr>
            </w:pPr>
            <w:r>
              <w:rPr>
                <w:rFonts w:ascii="Arial" w:hAnsi="Arial" w:cs="Arial" w:eastAsia="Arial" w:hint="default"/>
                <w:sz w:val="21"/>
                <w:szCs w:val="21"/>
              </w:rPr>
              <w:t>1296</w:t>
            </w:r>
            <w:r>
              <w:rPr>
                <w:rFonts w:ascii="Arial" w:hAnsi="Arial" w:cs="Arial" w:eastAsia="Arial" w:hint="default"/>
                <w:spacing w:val="-7"/>
                <w:sz w:val="21"/>
                <w:szCs w:val="21"/>
              </w:rPr>
              <w:t> </w:t>
            </w:r>
            <w:r>
              <w:rPr>
                <w:rFonts w:ascii="宋体" w:hAnsi="宋体" w:cs="宋体" w:eastAsia="宋体" w:hint="default"/>
                <w:sz w:val="21"/>
                <w:szCs w:val="21"/>
              </w:rPr>
              <w:t>万亩</w:t>
            </w:r>
            <w:r>
              <w:rPr>
                <w:rFonts w:ascii="宋体" w:hAnsi="宋体" w:cs="宋体" w:eastAsia="宋体" w:hint="default"/>
                <w:sz w:val="21"/>
                <w:szCs w:val="21"/>
              </w:rPr>
              <w:t> </w:t>
            </w:r>
          </w:p>
        </w:tc>
        <w:tc>
          <w:tcPr>
            <w:tcW w:w="1277"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102"/>
              <w:ind w:left="103" w:right="0"/>
              <w:jc w:val="center"/>
              <w:rPr>
                <w:rFonts w:ascii="宋体" w:hAnsi="宋体" w:cs="宋体" w:eastAsia="宋体" w:hint="default"/>
                <w:sz w:val="21"/>
                <w:szCs w:val="21"/>
              </w:rPr>
            </w:pPr>
            <w:r>
              <w:rPr>
                <w:rFonts w:ascii="Arial" w:hAnsi="Arial" w:cs="Arial" w:eastAsia="Arial" w:hint="default"/>
                <w:sz w:val="21"/>
                <w:szCs w:val="21"/>
              </w:rPr>
              <w:t>50</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142"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r>
    </w:tbl>
    <w:p>
      <w:pPr>
        <w:spacing w:line="240" w:lineRule="auto" w:before="12"/>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5pt;height:1pt;mso-position-horizontal-relative:char;mso-position-vertical-relative:line" coordorigin="0,0" coordsize="9070,20">
            <v:group style="position:absolute;left:10;top:10;width:3366;height:2" coordorigin="10,10" coordsize="3366,2">
              <v:shape style="position:absolute;left:10;top:10;width:3366;height:2" coordorigin="10,10" coordsize="3366,0" path="m10,10l3375,10e" filled="false" stroked="true" strokeweight=".98401pt" strokecolor="#41b7ee">
                <v:path arrowok="t"/>
              </v:shape>
            </v:group>
            <v:group style="position:absolute;left:3375;top:10;width:58;height:2" coordorigin="3375,10" coordsize="58,2">
              <v:shape style="position:absolute;left:3375;top:10;width:58;height:2" coordorigin="3375,10" coordsize="58,0" path="m3375,10l3433,10e" filled="false" stroked="true" strokeweight=".98401pt" strokecolor="#41b7ee">
                <v:path arrowok="t"/>
              </v:shape>
            </v:group>
            <v:group style="position:absolute;left:3433;top:10;width:1645;height:2" coordorigin="3433,10" coordsize="1645,2">
              <v:shape style="position:absolute;left:3433;top:10;width:1645;height:2" coordorigin="3433,10" coordsize="1645,0" path="m3433,10l5077,10e" filled="false" stroked="true" strokeweight=".98401pt" strokecolor="#41b7ee">
                <v:path arrowok="t"/>
              </v:shape>
            </v:group>
            <v:group style="position:absolute;left:5077;top:10;width:58;height:2" coordorigin="5077,10" coordsize="58,2">
              <v:shape style="position:absolute;left:5077;top:10;width:58;height:2" coordorigin="5077,10" coordsize="58,0" path="m5077,10l5135,10e" filled="false" stroked="true" strokeweight=".98401pt" strokecolor="#41b7ee">
                <v:path arrowok="t"/>
              </v:shape>
            </v:group>
            <v:group style="position:absolute;left:5135;top:10;width:1500;height:2" coordorigin="5135,10" coordsize="1500,2">
              <v:shape style="position:absolute;left:5135;top:10;width:1500;height:2" coordorigin="5135,10" coordsize="1500,0" path="m5135,10l6635,10e" filled="false" stroked="true" strokeweight=".98401pt" strokecolor="#41b7ee">
                <v:path arrowok="t"/>
              </v:shape>
            </v:group>
            <v:group style="position:absolute;left:6635;top:10;width:58;height:2" coordorigin="6635,10" coordsize="58,2">
              <v:shape style="position:absolute;left:6635;top:10;width:58;height:2" coordorigin="6635,10" coordsize="58,0" path="m6635,10l6692,10e" filled="false" stroked="true" strokeweight=".98401pt" strokecolor="#41b7ee">
                <v:path arrowok="t"/>
              </v:shape>
            </v:group>
            <v:group style="position:absolute;left:6692;top:10;width:1220;height:2" coordorigin="6692,10" coordsize="1220,2">
              <v:shape style="position:absolute;left:6692;top:10;width:1220;height:2" coordorigin="6692,10" coordsize="1220,0" path="m6692,10l7912,10e" filled="false" stroked="true" strokeweight=".98401pt" strokecolor="#41b7ee">
                <v:path arrowok="t"/>
              </v:shape>
            </v:group>
            <v:group style="position:absolute;left:7912;top:10;width:58;height:2" coordorigin="7912,10" coordsize="58,2">
              <v:shape style="position:absolute;left:7912;top:10;width:58;height:2" coordorigin="7912,10" coordsize="58,0" path="m7912,10l7970,10e" filled="false" stroked="true" strokeweight=".98401pt" strokecolor="#41b7ee">
                <v:path arrowok="t"/>
              </v:shape>
            </v:group>
            <v:group style="position:absolute;left:7970;top:10;width:1090;height:2" coordorigin="7970,10" coordsize="1090,2">
              <v:shape style="position:absolute;left:7970;top:10;width:1090;height:2" coordorigin="7970,10" coordsize="1090,0" path="m7970,10l9059,10e" filled="false" stroked="true" strokeweight=".98401pt" strokecolor="#41b7ee">
                <v:path arrowok="t"/>
              </v:shape>
            </v:group>
          </v:group>
        </w:pict>
      </w:r>
      <w:r>
        <w:rPr>
          <w:rFonts w:ascii="宋体" w:hAnsi="宋体" w:cs="宋体" w:eastAsia="宋体" w:hint="default"/>
          <w:sz w:val="2"/>
          <w:szCs w:val="2"/>
        </w:rPr>
      </w:r>
    </w:p>
    <w:p>
      <w:pPr>
        <w:pStyle w:val="Heading2"/>
        <w:tabs>
          <w:tab w:pos="642" w:val="left" w:leader="none"/>
        </w:tabs>
        <w:spacing w:line="290" w:lineRule="auto" w:before="25"/>
        <w:ind w:right="6320"/>
        <w:jc w:val="left"/>
        <w:rPr>
          <w:b w:val="0"/>
          <w:bCs w:val="0"/>
        </w:rPr>
      </w:pPr>
      <w:r>
        <w:rPr>
          <w:rFonts w:ascii="宋体" w:hAnsi="宋体" w:cs="宋体" w:eastAsia="宋体" w:hint="default"/>
          <w:w w:val="95"/>
        </w:rPr>
        <w:t>2</w:t>
        <w:tab/>
      </w:r>
      <w:r>
        <w:rPr/>
        <w:t>主要产品生产、销售情况</w:t>
      </w:r>
      <w:r>
        <w:rPr>
          <w:w w:val="100"/>
        </w:rPr>
        <w:t> </w:t>
      </w:r>
      <w:r>
        <w:rPr>
          <w:rFonts w:ascii="宋体" w:hAnsi="宋体" w:cs="宋体" w:eastAsia="宋体" w:hint="default"/>
        </w:rPr>
        <w:t>(1).</w:t>
      </w:r>
      <w:r>
        <w:rPr/>
        <w:t>主要产品生产与销售模式</w:t>
      </w:r>
      <w:r>
        <w:rPr>
          <w:b w:val="0"/>
          <w:bCs w:val="0"/>
        </w:rPr>
      </w:r>
    </w:p>
    <w:p>
      <w:pPr>
        <w:pStyle w:val="BodyText"/>
        <w:spacing w:line="227" w:lineRule="exact"/>
        <w:ind w:left="218" w:right="241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8" w:lineRule="auto" w:before="44"/>
        <w:ind w:left="218" w:right="228" w:firstLine="419"/>
        <w:jc w:val="both"/>
        <w:rPr>
          <w:rFonts w:ascii="宋体" w:hAnsi="宋体" w:cs="宋体" w:eastAsia="宋体" w:hint="default"/>
        </w:rPr>
      </w:pPr>
      <w:r>
        <w:rPr>
          <w:spacing w:val="-2"/>
        </w:rPr>
        <w:t>公司从事土地发包经营活动，不直接从事农业种植生产活动，由与公司签订《农业生产承包</w:t>
      </w:r>
      <w:r>
        <w:rPr>
          <w:w w:val="100"/>
        </w:rPr>
        <w:t> </w:t>
      </w:r>
      <w:r>
        <w:rPr>
          <w:spacing w:val="-6"/>
        </w:rPr>
        <w:t>协议》的家庭农场种植水稻、大豆、玉米等作物，产出的产品归与公司签订《农业生产承包协议》</w:t>
      </w:r>
      <w:r>
        <w:rPr>
          <w:spacing w:val="-54"/>
        </w:rPr>
        <w:t> </w:t>
      </w:r>
      <w:r>
        <w:rPr>
          <w:spacing w:val="-54"/>
        </w:rPr>
      </w:r>
      <w:r>
        <w:rPr/>
        <w:t>的家庭农场所有并自行销售。</w:t>
      </w:r>
      <w:r>
        <w:rPr>
          <w:rFonts w:ascii="宋体" w:hAnsi="宋体" w:cs="宋体" w:eastAsia="宋体" w:hint="default"/>
        </w:rPr>
        <w:t> </w:t>
      </w:r>
    </w:p>
    <w:p>
      <w:pPr>
        <w:spacing w:before="13"/>
        <w:ind w:left="218" w:right="0" w:firstLine="419"/>
        <w:jc w:val="left"/>
        <w:rPr>
          <w:rFonts w:ascii="宋体" w:hAnsi="宋体" w:cs="宋体" w:eastAsia="宋体" w:hint="default"/>
          <w:sz w:val="21"/>
          <w:szCs w:val="21"/>
        </w:rPr>
      </w:pPr>
      <w:r>
        <w:rPr>
          <w:rFonts w:ascii="宋体" w:hAnsi="宋体" w:cs="宋体" w:eastAsia="宋体" w:hint="default"/>
          <w:sz w:val="21"/>
          <w:szCs w:val="21"/>
        </w:rPr>
        <w:t>部分农业分公司结合农产品市场行情，收购部分农产品再销售以获得收益。</w:t>
      </w:r>
      <w:r>
        <w:rPr>
          <w:rFonts w:ascii="宋体" w:hAnsi="宋体" w:cs="宋体" w:eastAsia="宋体" w:hint="default"/>
          <w:w w:val="100"/>
          <w:sz w:val="21"/>
          <w:szCs w:val="21"/>
        </w:rPr>
        <w:t> </w:t>
      </w:r>
      <w:r>
        <w:rPr>
          <w:rFonts w:ascii="宋体" w:hAnsi="宋体" w:cs="宋体" w:eastAsia="宋体" w:hint="default"/>
          <w:b/>
          <w:bCs/>
          <w:sz w:val="21"/>
          <w:szCs w:val="21"/>
        </w:rPr>
        <w:t>存在与农户合作生产模式的</w:t>
      </w:r>
      <w:r>
        <w:rPr>
          <w:rFonts w:ascii="宋体" w:hAnsi="宋体" w:cs="宋体" w:eastAsia="宋体" w:hint="default"/>
          <w:sz w:val="21"/>
          <w:szCs w:val="21"/>
        </w:rPr>
      </w:r>
    </w:p>
    <w:p>
      <w:pPr>
        <w:spacing w:line="272" w:lineRule="exact" w:before="26"/>
        <w:ind w:left="218" w:right="693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主要产品销售情况</w:t>
      </w:r>
      <w:r>
        <w:rPr>
          <w:rFonts w:ascii="宋体" w:hAnsi="宋体" w:cs="宋体" w:eastAsia="宋体" w:hint="default"/>
          <w:sz w:val="21"/>
          <w:szCs w:val="21"/>
        </w:rPr>
      </w:r>
    </w:p>
    <w:p>
      <w:pPr>
        <w:spacing w:after="0" w:line="272" w:lineRule="exact"/>
        <w:jc w:val="left"/>
        <w:rPr>
          <w:rFonts w:ascii="宋体" w:hAnsi="宋体" w:cs="宋体" w:eastAsia="宋体" w:hint="default"/>
          <w:sz w:val="21"/>
          <w:szCs w:val="21"/>
        </w:rPr>
        <w:sectPr>
          <w:pgSz w:w="11910" w:h="16840"/>
          <w:pgMar w:header="825" w:footer="1195" w:top="1360" w:bottom="1380" w:left="1580" w:right="1040"/>
        </w:sectPr>
      </w:pPr>
    </w:p>
    <w:p>
      <w:pPr>
        <w:spacing w:before="119"/>
        <w:ind w:left="218" w:right="125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采用经销模式的</w:t>
      </w:r>
      <w:r>
        <w:rPr>
          <w:rFonts w:ascii="宋体" w:hAnsi="宋体" w:cs="宋体" w:eastAsia="宋体" w:hint="default"/>
          <w:sz w:val="21"/>
          <w:szCs w:val="21"/>
        </w:rPr>
      </w:r>
    </w:p>
    <w:p>
      <w:pPr>
        <w:spacing w:line="274" w:lineRule="exact" w:before="22"/>
        <w:ind w:left="218" w:right="125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客户规模小且较分散的</w:t>
      </w:r>
      <w:r>
        <w:rPr>
          <w:rFonts w:ascii="宋体" w:hAnsi="宋体" w:cs="宋体" w:eastAsia="宋体" w:hint="default"/>
          <w:spacing w:val="-1"/>
          <w:sz w:val="21"/>
          <w:szCs w:val="21"/>
        </w:rPr>
      </w:r>
    </w:p>
    <w:p>
      <w:pPr>
        <w:pStyle w:val="BodyText"/>
        <w:spacing w:line="245" w:lineRule="exact"/>
        <w:ind w:left="218" w:right="125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72" w:lineRule="exact" w:before="0"/>
        <w:ind w:right="1258"/>
        <w:jc w:val="left"/>
        <w:rPr>
          <w:b w:val="0"/>
          <w:bCs w:val="0"/>
        </w:rPr>
      </w:pPr>
      <w:r>
        <w:rPr/>
        <w:t>有线上销售业务的</w:t>
      </w:r>
      <w:r>
        <w:rPr>
          <w:b w:val="0"/>
          <w:bCs w:val="0"/>
        </w:rPr>
      </w:r>
    </w:p>
    <w:p>
      <w:pPr>
        <w:pStyle w:val="BodyText"/>
        <w:spacing w:line="273" w:lineRule="exact"/>
        <w:ind w:left="218" w:right="125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642" w:val="left" w:leader="none"/>
        </w:tabs>
        <w:spacing w:line="290" w:lineRule="auto" w:before="58"/>
        <w:ind w:right="0"/>
        <w:jc w:val="left"/>
        <w:rPr>
          <w:b w:val="0"/>
          <w:bCs w:val="0"/>
        </w:rPr>
      </w:pPr>
      <w:r>
        <w:rPr>
          <w:rFonts w:ascii="宋体" w:hAnsi="宋体" w:cs="宋体" w:eastAsia="宋体" w:hint="default"/>
          <w:w w:val="95"/>
        </w:rPr>
        <w:t>3</w:t>
        <w:tab/>
      </w:r>
      <w:r>
        <w:rPr>
          <w:spacing w:val="-1"/>
        </w:rPr>
        <w:t>按细分行业划分的公司经营信息</w:t>
      </w:r>
      <w:r>
        <w:rPr>
          <w:spacing w:val="-93"/>
        </w:rPr>
        <w:t> </w:t>
      </w:r>
      <w:r>
        <w:rPr>
          <w:spacing w:val="-93"/>
        </w:rPr>
      </w:r>
      <w:r>
        <w:rPr>
          <w:rFonts w:ascii="宋体" w:hAnsi="宋体" w:cs="宋体" w:eastAsia="宋体" w:hint="default"/>
        </w:rPr>
        <w:t>(1).</w:t>
      </w:r>
      <w:r>
        <w:rPr/>
        <w:t>从事农业业务公司的经营信息</w:t>
      </w:r>
      <w:r>
        <w:rPr>
          <w:b w:val="0"/>
          <w:bCs w:val="0"/>
        </w:rPr>
      </w:r>
    </w:p>
    <w:p>
      <w:pPr>
        <w:pStyle w:val="BodyText"/>
        <w:spacing w:line="228" w:lineRule="exact"/>
        <w:ind w:left="218" w:right="125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72" w:lineRule="exact" w:before="0"/>
        <w:ind w:right="1258"/>
        <w:jc w:val="left"/>
        <w:rPr>
          <w:b w:val="0"/>
          <w:bCs w:val="0"/>
        </w:rPr>
      </w:pPr>
      <w:r>
        <w:rPr/>
        <w:t>从事种业业务</w:t>
      </w:r>
      <w:r>
        <w:rPr>
          <w:b w:val="0"/>
          <w:bCs w:val="0"/>
        </w:rPr>
      </w:r>
    </w:p>
    <w:p>
      <w:pPr>
        <w:spacing w:line="272" w:lineRule="exact" w:before="27"/>
        <w:ind w:left="218" w:right="125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从事土地出租业务</w:t>
      </w:r>
      <w:r>
        <w:rPr>
          <w:rFonts w:ascii="宋体" w:hAnsi="宋体" w:cs="宋体" w:eastAsia="宋体" w:hint="default"/>
          <w:sz w:val="21"/>
          <w:szCs w:val="21"/>
        </w:rPr>
      </w:r>
    </w:p>
    <w:p>
      <w:pPr>
        <w:pStyle w:val="BodyText"/>
        <w:spacing w:line="249" w:lineRule="exact"/>
        <w:ind w:left="218" w:right="125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25" w:footer="1195" w:top="1360" w:bottom="1380" w:left="1580" w:right="960"/>
          <w:cols w:num="2" w:equalWidth="0">
            <w:col w:w="3595" w:space="2926"/>
            <w:col w:w="2849"/>
          </w:cols>
        </w:sectPr>
      </w:pPr>
    </w:p>
    <w:p>
      <w:pPr>
        <w:spacing w:line="240" w:lineRule="auto" w:before="7"/>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2482;height:2" coordorigin="10,10" coordsize="2482,2">
              <v:shape style="position:absolute;left:10;top:10;width:2482;height:2" coordorigin="10,10" coordsize="2482,0" path="m10,10l2492,10e" filled="false" stroked="true" strokeweight=".95999pt" strokecolor="#41b7ee">
                <v:path arrowok="t"/>
              </v:shape>
            </v:group>
            <v:group style="position:absolute;left:2492;top:10;width:58;height:2" coordorigin="2492,10" coordsize="58,2">
              <v:shape style="position:absolute;left:2492;top:10;width:58;height:2" coordorigin="2492,10" coordsize="58,0" path="m2492,10l2549,10e" filled="false" stroked="true" strokeweight=".95999pt" strokecolor="#41b7ee">
                <v:path arrowok="t"/>
              </v:shape>
            </v:group>
            <v:group style="position:absolute;left:2549;top:10;width:2254;height:2" coordorigin="2549,10" coordsize="2254,2">
              <v:shape style="position:absolute;left:2549;top:10;width:2254;height:2" coordorigin="2549,10" coordsize="2254,0" path="m2549,10l4803,10e" filled="false" stroked="true" strokeweight=".95999pt" strokecolor="#41b7ee">
                <v:path arrowok="t"/>
              </v:shape>
            </v:group>
            <v:group style="position:absolute;left:4803;top:10;width:58;height:2" coordorigin="4803,10" coordsize="58,2">
              <v:shape style="position:absolute;left:4803;top:10;width:58;height:2" coordorigin="4803,10" coordsize="58,0" path="m4803,10l4861,10e" filled="false" stroked="true" strokeweight=".95999pt" strokecolor="#41b7ee">
                <v:path arrowok="t"/>
              </v:shape>
            </v:group>
            <v:group style="position:absolute;left:4861;top:10;width:2043;height:2" coordorigin="4861,10" coordsize="2043,2">
              <v:shape style="position:absolute;left:4861;top:10;width:2043;height:2" coordorigin="4861,10" coordsize="2043,0" path="m4861,10l6903,10e" filled="false" stroked="true" strokeweight=".95999pt" strokecolor="#41b7ee">
                <v:path arrowok="t"/>
              </v:shape>
            </v:group>
            <v:group style="position:absolute;left:6903;top:10;width:58;height:2" coordorigin="6903,10" coordsize="58,2">
              <v:shape style="position:absolute;left:6903;top:10;width:58;height:2" coordorigin="6903,10" coordsize="58,0" path="m6903,10l6961,10e" filled="false" stroked="true" strokeweight=".95999pt" strokecolor="#41b7ee">
                <v:path arrowok="t"/>
              </v:shape>
            </v:group>
            <v:group style="position:absolute;left:6961;top:10;width:2098;height:2" coordorigin="6961,10" coordsize="2098,2">
              <v:shape style="position:absolute;left:6961;top:10;width:2098;height:2" coordorigin="6961,10" coordsize="2098,0" path="m6961,10l9059,10e" filled="false" stroked="true" strokeweight=".95999pt" strokecolor="#41b7ee">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2487"/>
        <w:gridCol w:w="2312"/>
        <w:gridCol w:w="2100"/>
        <w:gridCol w:w="2151"/>
      </w:tblGrid>
      <w:tr>
        <w:trPr>
          <w:trHeight w:val="362" w:hRule="exact"/>
        </w:trPr>
        <w:tc>
          <w:tcPr>
            <w:tcW w:w="2487"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4"/>
              <w:ind w:left="403" w:right="0"/>
              <w:jc w:val="left"/>
              <w:rPr>
                <w:rFonts w:ascii="宋体" w:hAnsi="宋体" w:cs="宋体" w:eastAsia="宋体" w:hint="default"/>
                <w:sz w:val="21"/>
                <w:szCs w:val="21"/>
              </w:rPr>
            </w:pPr>
            <w:r>
              <w:rPr>
                <w:rFonts w:ascii="宋体" w:hAnsi="宋体" w:cs="宋体" w:eastAsia="宋体" w:hint="default"/>
                <w:sz w:val="21"/>
                <w:szCs w:val="21"/>
              </w:rPr>
              <w:t>可供出租土地面积</w:t>
            </w:r>
            <w:r>
              <w:rPr>
                <w:rFonts w:ascii="宋体" w:hAnsi="宋体" w:cs="宋体" w:eastAsia="宋体" w:hint="default"/>
                <w:sz w:val="21"/>
                <w:szCs w:val="21"/>
              </w:rPr>
              <w:t> </w:t>
            </w:r>
          </w:p>
        </w:tc>
        <w:tc>
          <w:tcPr>
            <w:tcW w:w="2312"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4"/>
              <w:ind w:left="309" w:right="0"/>
              <w:jc w:val="left"/>
              <w:rPr>
                <w:rFonts w:ascii="宋体" w:hAnsi="宋体" w:cs="宋体" w:eastAsia="宋体" w:hint="default"/>
                <w:sz w:val="21"/>
                <w:szCs w:val="21"/>
              </w:rPr>
            </w:pPr>
            <w:r>
              <w:rPr>
                <w:rFonts w:ascii="宋体" w:hAnsi="宋体" w:cs="宋体" w:eastAsia="宋体" w:hint="default"/>
                <w:sz w:val="21"/>
                <w:szCs w:val="21"/>
              </w:rPr>
              <w:t>实际出租土地面积</w:t>
            </w:r>
            <w:r>
              <w:rPr>
                <w:rFonts w:ascii="宋体" w:hAnsi="宋体" w:cs="宋体" w:eastAsia="宋体" w:hint="default"/>
                <w:sz w:val="21"/>
                <w:szCs w:val="21"/>
              </w:rPr>
              <w:t> </w:t>
            </w:r>
          </w:p>
        </w:tc>
        <w:tc>
          <w:tcPr>
            <w:tcW w:w="2100"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4"/>
              <w:ind w:left="415" w:right="0"/>
              <w:jc w:val="left"/>
              <w:rPr>
                <w:rFonts w:ascii="宋体" w:hAnsi="宋体" w:cs="宋体" w:eastAsia="宋体" w:hint="default"/>
                <w:sz w:val="21"/>
                <w:szCs w:val="21"/>
              </w:rPr>
            </w:pPr>
            <w:r>
              <w:rPr>
                <w:rFonts w:ascii="宋体" w:hAnsi="宋体" w:cs="宋体" w:eastAsia="宋体" w:hint="default"/>
                <w:sz w:val="21"/>
                <w:szCs w:val="21"/>
              </w:rPr>
              <w:t>土地租金单价</w:t>
            </w:r>
            <w:r>
              <w:rPr>
                <w:rFonts w:ascii="宋体" w:hAnsi="宋体" w:cs="宋体" w:eastAsia="宋体" w:hint="default"/>
                <w:sz w:val="21"/>
                <w:szCs w:val="21"/>
              </w:rPr>
              <w:t> </w:t>
            </w:r>
          </w:p>
        </w:tc>
        <w:tc>
          <w:tcPr>
            <w:tcW w:w="2151"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4"/>
              <w:ind w:left="99"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r>
      <w:tr>
        <w:trPr>
          <w:trHeight w:val="365" w:hRule="exact"/>
        </w:trPr>
        <w:tc>
          <w:tcPr>
            <w:tcW w:w="2487"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48"/>
              <w:ind w:left="1034" w:right="0"/>
              <w:jc w:val="left"/>
              <w:rPr>
                <w:rFonts w:ascii="Arial" w:hAnsi="Arial" w:cs="Arial" w:eastAsia="Arial" w:hint="default"/>
                <w:sz w:val="21"/>
                <w:szCs w:val="21"/>
              </w:rPr>
            </w:pPr>
            <w:r>
              <w:rPr>
                <w:rFonts w:ascii="Arial"/>
                <w:sz w:val="21"/>
              </w:rPr>
              <w:t>11,580,000.00</w:t>
            </w:r>
          </w:p>
        </w:tc>
        <w:tc>
          <w:tcPr>
            <w:tcW w:w="2312"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left="854" w:right="0"/>
              <w:jc w:val="left"/>
              <w:rPr>
                <w:rFonts w:ascii="Arial" w:hAnsi="Arial" w:cs="Arial" w:eastAsia="Arial" w:hint="default"/>
                <w:sz w:val="21"/>
                <w:szCs w:val="21"/>
              </w:rPr>
            </w:pPr>
            <w:r>
              <w:rPr>
                <w:rFonts w:ascii="Arial"/>
                <w:sz w:val="21"/>
              </w:rPr>
              <w:t>10,429,309.75</w:t>
            </w:r>
          </w:p>
        </w:tc>
        <w:tc>
          <w:tcPr>
            <w:tcW w:w="2100"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left="1344" w:right="0"/>
              <w:jc w:val="left"/>
              <w:rPr>
                <w:rFonts w:ascii="Arial" w:hAnsi="Arial" w:cs="Arial" w:eastAsia="Arial" w:hint="default"/>
                <w:sz w:val="21"/>
                <w:szCs w:val="21"/>
              </w:rPr>
            </w:pPr>
            <w:r>
              <w:rPr>
                <w:rFonts w:ascii="Arial"/>
                <w:sz w:val="21"/>
              </w:rPr>
              <w:t>256.50</w:t>
            </w:r>
          </w:p>
        </w:tc>
        <w:tc>
          <w:tcPr>
            <w:tcW w:w="2151"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8"/>
              <w:ind w:left="403" w:right="0"/>
              <w:jc w:val="left"/>
              <w:rPr>
                <w:rFonts w:ascii="Arial" w:hAnsi="Arial" w:cs="Arial" w:eastAsia="Arial" w:hint="default"/>
                <w:sz w:val="21"/>
                <w:szCs w:val="21"/>
              </w:rPr>
            </w:pPr>
            <w:r>
              <w:rPr>
                <w:rFonts w:ascii="Arial"/>
                <w:sz w:val="21"/>
              </w:rPr>
              <w:t>2,675,129,872.46</w:t>
            </w:r>
          </w:p>
        </w:tc>
      </w:tr>
    </w:tbl>
    <w:p>
      <w:pPr>
        <w:spacing w:line="240" w:lineRule="auto" w:before="11"/>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2482;height:2" coordorigin="10,10" coordsize="2482,2">
              <v:shape style="position:absolute;left:10;top:10;width:2482;height:2" coordorigin="10,10" coordsize="2482,0" path="m10,10l2492,10e" filled="false" stroked="true" strokeweight=".95999pt" strokecolor="#41b7ee">
                <v:path arrowok="t"/>
              </v:shape>
            </v:group>
            <v:group style="position:absolute;left:2492;top:10;width:58;height:2" coordorigin="2492,10" coordsize="58,2">
              <v:shape style="position:absolute;left:2492;top:10;width:58;height:2" coordorigin="2492,10" coordsize="58,0" path="m2492,10l2549,10e" filled="false" stroked="true" strokeweight=".95999pt" strokecolor="#41b7ee">
                <v:path arrowok="t"/>
              </v:shape>
            </v:group>
            <v:group style="position:absolute;left:2549;top:10;width:2254;height:2" coordorigin="2549,10" coordsize="2254,2">
              <v:shape style="position:absolute;left:2549;top:10;width:2254;height:2" coordorigin="2549,10" coordsize="2254,0" path="m2549,10l4803,10e" filled="false" stroked="true" strokeweight=".95999pt" strokecolor="#41b7ee">
                <v:path arrowok="t"/>
              </v:shape>
            </v:group>
            <v:group style="position:absolute;left:4803;top:10;width:58;height:2" coordorigin="4803,10" coordsize="58,2">
              <v:shape style="position:absolute;left:4803;top:10;width:58;height:2" coordorigin="4803,10" coordsize="58,0" path="m4803,10l4861,10e" filled="false" stroked="true" strokeweight=".95999pt" strokecolor="#41b7ee">
                <v:path arrowok="t"/>
              </v:shape>
            </v:group>
            <v:group style="position:absolute;left:4861;top:10;width:2043;height:2" coordorigin="4861,10" coordsize="2043,2">
              <v:shape style="position:absolute;left:4861;top:10;width:2043;height:2" coordorigin="4861,10" coordsize="2043,0" path="m4861,10l6903,10e" filled="false" stroked="true" strokeweight=".95999pt" strokecolor="#41b7ee">
                <v:path arrowok="t"/>
              </v:shape>
            </v:group>
            <v:group style="position:absolute;left:6903;top:10;width:58;height:2" coordorigin="6903,10" coordsize="58,2">
              <v:shape style="position:absolute;left:6903;top:10;width:58;height:2" coordorigin="6903,10" coordsize="58,0" path="m6903,10l6961,10e" filled="false" stroked="true" strokeweight=".95999pt" strokecolor="#41b7ee">
                <v:path arrowok="t"/>
              </v:shape>
            </v:group>
            <v:group style="position:absolute;left:6961;top:10;width:2098;height:2" coordorigin="6961,10" coordsize="2098,2">
              <v:shape style="position:absolute;left:6961;top:10;width:2098;height:2" coordorigin="6961,10" coordsize="2098,0" path="m6961,10l9059,10e" filled="false" stroked="true" strokeweight=".95999pt" strokecolor="#41b7ee">
                <v:path arrowok="t"/>
              </v:shape>
            </v:group>
          </v:group>
        </w:pict>
      </w:r>
      <w:r>
        <w:rPr>
          <w:rFonts w:ascii="宋体" w:hAnsi="宋体" w:cs="宋体" w:eastAsia="宋体" w:hint="default"/>
          <w:sz w:val="2"/>
          <w:szCs w:val="2"/>
        </w:rPr>
      </w:r>
    </w:p>
    <w:p>
      <w:pPr>
        <w:pStyle w:val="BodyText"/>
        <w:spacing w:line="238" w:lineRule="exact"/>
        <w:ind w:left="218" w:right="5964"/>
        <w:jc w:val="left"/>
        <w:rPr>
          <w:rFonts w:ascii="宋体" w:hAnsi="宋体" w:cs="宋体" w:eastAsia="宋体" w:hint="default"/>
        </w:rPr>
      </w:pPr>
      <w:r>
        <w:rPr/>
        <w:t>其他说明：</w:t>
      </w:r>
      <w:r>
        <w:rPr>
          <w:rFonts w:ascii="宋体" w:hAnsi="宋体" w:cs="宋体" w:eastAsia="宋体" w:hint="default"/>
        </w:rPr>
        <w:t> </w:t>
      </w:r>
    </w:p>
    <w:p>
      <w:pPr>
        <w:spacing w:before="0"/>
        <w:ind w:left="218" w:right="5964" w:firstLine="419"/>
        <w:jc w:val="left"/>
        <w:rPr>
          <w:rFonts w:ascii="宋体" w:hAnsi="宋体" w:cs="宋体" w:eastAsia="宋体" w:hint="default"/>
          <w:sz w:val="21"/>
          <w:szCs w:val="21"/>
        </w:rPr>
      </w:pPr>
      <w:r>
        <w:rPr>
          <w:rFonts w:ascii="宋体" w:hAnsi="宋体" w:cs="宋体" w:eastAsia="宋体" w:hint="default"/>
          <w:sz w:val="21"/>
          <w:szCs w:val="21"/>
        </w:rPr>
        <w:t>土地面积计量单位为亩。</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从事林业业务公司的经营信息</w:t>
      </w:r>
      <w:r>
        <w:rPr>
          <w:rFonts w:ascii="宋体" w:hAnsi="宋体" w:cs="宋体" w:eastAsia="宋体" w:hint="default"/>
          <w:sz w:val="21"/>
          <w:szCs w:val="21"/>
        </w:rPr>
      </w:r>
    </w:p>
    <w:p>
      <w:pPr>
        <w:spacing w:line="274" w:lineRule="exact" w:before="22"/>
        <w:ind w:left="218" w:right="5753"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从事畜牧业业务公司的经营信息</w:t>
      </w:r>
      <w:r>
        <w:rPr>
          <w:rFonts w:ascii="宋体" w:hAnsi="宋体" w:cs="宋体" w:eastAsia="宋体" w:hint="default"/>
          <w:sz w:val="21"/>
          <w:szCs w:val="21"/>
        </w:rPr>
      </w:r>
    </w:p>
    <w:p>
      <w:pPr>
        <w:pStyle w:val="BodyText"/>
        <w:spacing w:line="245" w:lineRule="exact"/>
        <w:ind w:left="218" w:right="5964"/>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72" w:lineRule="exact" w:before="0"/>
        <w:ind w:right="5753"/>
        <w:jc w:val="left"/>
        <w:rPr>
          <w:b w:val="0"/>
          <w:bCs w:val="0"/>
        </w:rPr>
      </w:pPr>
      <w:r>
        <w:rPr>
          <w:rFonts w:ascii="宋体" w:hAnsi="宋体" w:cs="宋体" w:eastAsia="宋体" w:hint="default"/>
        </w:rPr>
        <w:t>(4).</w:t>
      </w:r>
      <w:r>
        <w:rPr/>
        <w:t>从事渔业业务公司的经营信息</w:t>
      </w:r>
      <w:r>
        <w:rPr>
          <w:b w:val="0"/>
          <w:bCs w:val="0"/>
        </w:rPr>
      </w:r>
    </w:p>
    <w:p>
      <w:pPr>
        <w:pStyle w:val="BodyText"/>
        <w:spacing w:line="273" w:lineRule="exact"/>
        <w:ind w:left="218" w:right="5964"/>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642" w:val="left" w:leader="none"/>
        </w:tabs>
        <w:spacing w:line="240" w:lineRule="auto" w:before="59"/>
        <w:ind w:right="5964"/>
        <w:jc w:val="left"/>
        <w:rPr>
          <w:b w:val="0"/>
          <w:bCs w:val="0"/>
        </w:rPr>
      </w:pPr>
      <w:r>
        <w:rPr>
          <w:rFonts w:ascii="宋体" w:hAnsi="宋体" w:cs="宋体" w:eastAsia="宋体" w:hint="default"/>
          <w:w w:val="95"/>
        </w:rPr>
        <w:t>4</w:t>
        <w:tab/>
      </w:r>
      <w:r>
        <w:rPr/>
        <w:t>行业会计政策和财务信息</w:t>
      </w:r>
      <w:r>
        <w:rPr>
          <w:b w:val="0"/>
          <w:bCs w:val="0"/>
        </w:rPr>
      </w:r>
    </w:p>
    <w:p>
      <w:pPr>
        <w:pStyle w:val="BodyText"/>
        <w:spacing w:line="240" w:lineRule="auto" w:before="56"/>
        <w:ind w:left="218" w:right="5964"/>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642" w:val="left" w:leader="none"/>
        </w:tabs>
        <w:spacing w:line="240" w:lineRule="auto" w:before="58"/>
        <w:ind w:right="5964"/>
        <w:jc w:val="left"/>
        <w:rPr>
          <w:b w:val="0"/>
          <w:bCs w:val="0"/>
        </w:rPr>
      </w:pPr>
      <w:r>
        <w:rPr>
          <w:rFonts w:ascii="宋体" w:hAnsi="宋体" w:cs="宋体" w:eastAsia="宋体" w:hint="default"/>
          <w:w w:val="95"/>
        </w:rPr>
        <w:t>5</w:t>
        <w:tab/>
      </w:r>
      <w:r>
        <w:rPr/>
        <w:t>政府补助与税收优惠</w:t>
      </w:r>
      <w:r>
        <w:rPr>
          <w:b w:val="0"/>
          <w:bCs w:val="0"/>
        </w:rPr>
      </w:r>
    </w:p>
    <w:p>
      <w:pPr>
        <w:pStyle w:val="BodyText"/>
        <w:spacing w:line="240" w:lineRule="auto" w:before="56"/>
        <w:ind w:left="218" w:right="59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64" w:lineRule="auto" w:before="44"/>
        <w:ind w:left="218" w:right="384" w:firstLine="419"/>
        <w:jc w:val="both"/>
      </w:pPr>
      <w:r>
        <w:rPr>
          <w:spacing w:val="-2"/>
        </w:rPr>
        <w:t>（</w:t>
      </w:r>
      <w:r>
        <w:rPr>
          <w:rFonts w:ascii="Arial" w:hAnsi="Arial" w:cs="Arial" w:eastAsia="Arial" w:hint="default"/>
          <w:spacing w:val="-2"/>
        </w:rPr>
        <w:t>1</w:t>
      </w:r>
      <w:r>
        <w:rPr>
          <w:spacing w:val="-2"/>
        </w:rPr>
        <w:t>）根据《中华人民共和国企业所得税法》及其实施条例和国税函〔</w:t>
      </w:r>
      <w:r>
        <w:rPr>
          <w:rFonts w:ascii="Arial" w:hAnsi="Arial" w:cs="Arial" w:eastAsia="Arial" w:hint="default"/>
          <w:spacing w:val="-2"/>
        </w:rPr>
        <w:t>2009</w:t>
      </w:r>
      <w:r>
        <w:rPr>
          <w:spacing w:val="-2"/>
        </w:rPr>
        <w:t>〕</w:t>
      </w:r>
      <w:r>
        <w:rPr>
          <w:rFonts w:ascii="Arial" w:hAnsi="Arial" w:cs="Arial" w:eastAsia="Arial" w:hint="default"/>
          <w:spacing w:val="-2"/>
        </w:rPr>
        <w:t>779</w:t>
      </w:r>
      <w:r>
        <w:rPr>
          <w:rFonts w:ascii="Arial" w:hAnsi="Arial" w:cs="Arial" w:eastAsia="Arial" w:hint="default"/>
          <w:spacing w:val="45"/>
        </w:rPr>
        <w:t> </w:t>
      </w:r>
      <w:r>
        <w:rPr>
          <w:spacing w:val="-1"/>
        </w:rPr>
        <w:t>号文件的</w:t>
      </w:r>
      <w:r>
        <w:rPr>
          <w:w w:val="100"/>
        </w:rPr>
        <w:t> </w:t>
      </w:r>
      <w:r>
        <w:rPr/>
        <w:t>规定，从事农业项目免征企业所得税。</w:t>
      </w:r>
    </w:p>
    <w:p>
      <w:pPr>
        <w:pStyle w:val="BodyText"/>
        <w:spacing w:line="268" w:lineRule="auto" w:before="23"/>
        <w:ind w:left="218" w:right="308" w:firstLine="419"/>
        <w:jc w:val="both"/>
      </w:pPr>
      <w:r>
        <w:rPr>
          <w:spacing w:val="-2"/>
        </w:rPr>
        <w:t>（</w:t>
      </w:r>
      <w:r>
        <w:rPr>
          <w:rFonts w:ascii="Arial" w:hAnsi="Arial" w:cs="Arial" w:eastAsia="Arial" w:hint="default"/>
          <w:spacing w:val="-2"/>
        </w:rPr>
        <w:t>2</w:t>
      </w:r>
      <w:r>
        <w:rPr>
          <w:spacing w:val="-2"/>
        </w:rPr>
        <w:t>）根据《关于实施农林牧渔业项目企业所得税优惠问题》（国家税务总局公告〔</w:t>
      </w:r>
      <w:r>
        <w:rPr>
          <w:rFonts w:ascii="Arial" w:hAnsi="Arial" w:cs="Arial" w:eastAsia="Arial" w:hint="default"/>
          <w:spacing w:val="-2"/>
        </w:rPr>
        <w:t>2011</w:t>
      </w:r>
      <w:r>
        <w:rPr>
          <w:spacing w:val="-2"/>
        </w:rPr>
        <w:t>〕</w:t>
      </w:r>
      <w:r>
        <w:rPr>
          <w:w w:val="100"/>
        </w:rPr>
        <w:t> </w:t>
      </w:r>
      <w:r>
        <w:rPr/>
        <w:t>第</w:t>
      </w:r>
      <w:r>
        <w:rPr>
          <w:spacing w:val="-55"/>
        </w:rPr>
        <w:t> </w:t>
      </w:r>
      <w:r>
        <w:rPr>
          <w:rFonts w:ascii="Arial" w:hAnsi="Arial" w:cs="Arial" w:eastAsia="Arial" w:hint="default"/>
        </w:rPr>
        <w:t>48</w:t>
      </w:r>
      <w:r>
        <w:rPr>
          <w:rFonts w:ascii="Arial" w:hAnsi="Arial" w:cs="Arial" w:eastAsia="Arial" w:hint="default"/>
          <w:spacing w:val="-10"/>
        </w:rPr>
        <w:t> </w:t>
      </w:r>
      <w:r>
        <w:rPr/>
        <w:t>号）第九条规定：企业委托其他企业或个人从事实施条例第八十六条规定农、林、牧、渔</w:t>
      </w:r>
      <w:r>
        <w:rPr>
          <w:w w:val="100"/>
        </w:rPr>
        <w:t> </w:t>
      </w:r>
      <w:r>
        <w:rPr>
          <w:spacing w:val="-7"/>
        </w:rPr>
        <w:t>业项目取得的所得，可享受相应的税收优惠政策；企业受托从事实施条例第八十六条规定农、林、</w:t>
      </w:r>
      <w:r>
        <w:rPr>
          <w:spacing w:val="-12"/>
        </w:rPr>
        <w:t> </w:t>
      </w:r>
      <w:r>
        <w:rPr>
          <w:spacing w:val="-12"/>
        </w:rPr>
      </w:r>
      <w:r>
        <w:rPr/>
        <w:t>牧、渔业项目取得的收入，比照委托方享受相应的税收优惠政策。</w:t>
      </w:r>
    </w:p>
    <w:p>
      <w:pPr>
        <w:pStyle w:val="BodyText"/>
        <w:spacing w:line="240" w:lineRule="auto" w:before="21"/>
        <w:ind w:left="638" w:right="0"/>
        <w:jc w:val="left"/>
      </w:pPr>
      <w:r>
        <w:rPr>
          <w:spacing w:val="-5"/>
        </w:rPr>
        <w:t>（</w:t>
      </w:r>
      <w:r>
        <w:rPr>
          <w:rFonts w:ascii="Arial" w:hAnsi="Arial" w:cs="Arial" w:eastAsia="Arial" w:hint="default"/>
          <w:spacing w:val="-5"/>
        </w:rPr>
        <w:t>3</w:t>
      </w:r>
      <w:r>
        <w:rPr>
          <w:spacing w:val="-5"/>
        </w:rPr>
        <w:t>）根据《财政部国家税务总局关于全面推开营业税改增值税试点的通知》（财税〔</w:t>
      </w:r>
      <w:r>
        <w:rPr>
          <w:rFonts w:ascii="Arial" w:hAnsi="Arial" w:cs="Arial" w:eastAsia="Arial" w:hint="default"/>
          <w:spacing w:val="-5"/>
        </w:rPr>
        <w:t>2016</w:t>
      </w:r>
      <w:r>
        <w:rPr>
          <w:spacing w:val="-5"/>
        </w:rPr>
        <w:t>〕</w:t>
      </w:r>
    </w:p>
    <w:p>
      <w:pPr>
        <w:pStyle w:val="BodyText"/>
        <w:spacing w:line="240" w:lineRule="auto" w:before="30"/>
        <w:ind w:left="218" w:right="0"/>
        <w:jc w:val="left"/>
      </w:pPr>
      <w:r>
        <w:rPr>
          <w:rFonts w:ascii="Arial" w:hAnsi="Arial" w:cs="Arial" w:eastAsia="Arial" w:hint="default"/>
          <w:w w:val="100"/>
        </w:rPr>
        <w:t>36</w:t>
      </w:r>
      <w:r>
        <w:rPr>
          <w:rFonts w:ascii="Arial" w:hAnsi="Arial" w:cs="Arial" w:eastAsia="Arial" w:hint="default"/>
          <w:spacing w:val="-6"/>
        </w:rPr>
        <w:t> </w:t>
      </w:r>
      <w:r>
        <w:rPr>
          <w:spacing w:val="-3"/>
          <w:w w:val="100"/>
        </w:rPr>
        <w:t>号</w:t>
      </w:r>
      <w:r>
        <w:rPr>
          <w:spacing w:val="-92"/>
          <w:w w:val="100"/>
        </w:rPr>
        <w:t>）</w:t>
      </w:r>
      <w:r>
        <w:rPr>
          <w:spacing w:val="-3"/>
          <w:w w:val="100"/>
        </w:rPr>
        <w:t>规</w:t>
      </w:r>
      <w:r>
        <w:rPr>
          <w:w w:val="100"/>
        </w:rPr>
        <w:t>定</w:t>
      </w:r>
      <w:r>
        <w:rPr>
          <w:spacing w:val="-94"/>
          <w:w w:val="100"/>
        </w:rPr>
        <w:t>：</w:t>
      </w:r>
      <w:r>
        <w:rPr>
          <w:w w:val="100"/>
        </w:rPr>
        <w:t>病</w:t>
      </w:r>
      <w:r>
        <w:rPr>
          <w:spacing w:val="-3"/>
          <w:w w:val="100"/>
        </w:rPr>
        <w:t>虫</w:t>
      </w:r>
      <w:r>
        <w:rPr>
          <w:w w:val="100"/>
        </w:rPr>
        <w:t>害</w:t>
      </w:r>
      <w:r>
        <w:rPr>
          <w:spacing w:val="-3"/>
          <w:w w:val="100"/>
        </w:rPr>
        <w:t>防</w:t>
      </w:r>
      <w:r>
        <w:rPr>
          <w:w w:val="100"/>
        </w:rPr>
        <w:t>治</w:t>
      </w:r>
      <w:r>
        <w:rPr>
          <w:spacing w:val="-3"/>
          <w:w w:val="100"/>
        </w:rPr>
        <w:t>免</w:t>
      </w:r>
      <w:r>
        <w:rPr>
          <w:w w:val="100"/>
        </w:rPr>
        <w:t>税备</w:t>
      </w:r>
      <w:r>
        <w:rPr>
          <w:spacing w:val="-3"/>
          <w:w w:val="100"/>
        </w:rPr>
        <w:t>案</w:t>
      </w:r>
      <w:r>
        <w:rPr>
          <w:spacing w:val="-92"/>
          <w:w w:val="100"/>
        </w:rPr>
        <w:t>；</w:t>
      </w:r>
      <w:r>
        <w:rPr>
          <w:spacing w:val="-3"/>
          <w:w w:val="100"/>
        </w:rPr>
        <w:t>为</w:t>
      </w:r>
      <w:r>
        <w:rPr>
          <w:w w:val="100"/>
        </w:rPr>
        <w:t>农</w:t>
      </w:r>
      <w:r>
        <w:rPr>
          <w:spacing w:val="-3"/>
          <w:w w:val="100"/>
        </w:rPr>
        <w:t>业</w:t>
      </w:r>
      <w:r>
        <w:rPr>
          <w:w w:val="100"/>
        </w:rPr>
        <w:t>生</w:t>
      </w:r>
      <w:r>
        <w:rPr>
          <w:spacing w:val="-3"/>
          <w:w w:val="100"/>
        </w:rPr>
        <w:t>产</w:t>
      </w:r>
      <w:r>
        <w:rPr>
          <w:w w:val="100"/>
        </w:rPr>
        <w:t>者</w:t>
      </w:r>
      <w:r>
        <w:rPr>
          <w:spacing w:val="-3"/>
          <w:w w:val="100"/>
        </w:rPr>
        <w:t>销售</w:t>
      </w:r>
      <w:r>
        <w:rPr>
          <w:w w:val="100"/>
        </w:rPr>
        <w:t>的自</w:t>
      </w:r>
      <w:r>
        <w:rPr>
          <w:spacing w:val="-3"/>
          <w:w w:val="100"/>
        </w:rPr>
        <w:t>产</w:t>
      </w:r>
      <w:r>
        <w:rPr>
          <w:w w:val="100"/>
        </w:rPr>
        <w:t>农</w:t>
      </w:r>
      <w:r>
        <w:rPr>
          <w:spacing w:val="-3"/>
          <w:w w:val="100"/>
        </w:rPr>
        <w:t>产</w:t>
      </w:r>
      <w:r>
        <w:rPr>
          <w:w w:val="100"/>
        </w:rPr>
        <w:t>品</w:t>
      </w:r>
      <w:r>
        <w:rPr>
          <w:spacing w:val="-3"/>
          <w:w w:val="100"/>
        </w:rPr>
        <w:t>及</w:t>
      </w:r>
      <w:r>
        <w:rPr>
          <w:w w:val="100"/>
        </w:rPr>
        <w:t>农</w:t>
      </w:r>
      <w:r>
        <w:rPr>
          <w:spacing w:val="-3"/>
          <w:w w:val="100"/>
        </w:rPr>
        <w:t>业</w:t>
      </w:r>
      <w:r>
        <w:rPr>
          <w:w w:val="100"/>
        </w:rPr>
        <w:t>生</w:t>
      </w:r>
      <w:r>
        <w:rPr>
          <w:spacing w:val="-3"/>
          <w:w w:val="100"/>
        </w:rPr>
        <w:t>产</w:t>
      </w:r>
      <w:r>
        <w:rPr>
          <w:w w:val="100"/>
        </w:rPr>
        <w:t>资料</w:t>
      </w:r>
      <w:r>
        <w:rPr>
          <w:spacing w:val="-3"/>
          <w:w w:val="100"/>
        </w:rPr>
        <w:t>免</w:t>
      </w:r>
      <w:r>
        <w:rPr>
          <w:w w:val="100"/>
        </w:rPr>
        <w:t>征</w:t>
      </w:r>
      <w:r>
        <w:rPr>
          <w:spacing w:val="-3"/>
          <w:w w:val="100"/>
        </w:rPr>
        <w:t>增</w:t>
      </w:r>
      <w:r>
        <w:rPr>
          <w:w w:val="100"/>
        </w:rPr>
        <w:t>值</w:t>
      </w:r>
      <w:r>
        <w:rPr>
          <w:spacing w:val="-3"/>
          <w:w w:val="100"/>
        </w:rPr>
        <w:t>税</w:t>
      </w:r>
      <w:r>
        <w:rPr>
          <w:w w:val="100"/>
        </w:rPr>
        <w:t>；</w:t>
      </w:r>
    </w:p>
    <w:p>
      <w:pPr>
        <w:pStyle w:val="BodyText"/>
        <w:spacing w:line="266" w:lineRule="auto" w:before="29"/>
        <w:ind w:left="218" w:right="0"/>
        <w:jc w:val="left"/>
      </w:pPr>
      <w:r>
        <w:rPr/>
        <w:t>一般纳税人出租其</w:t>
      </w:r>
      <w:r>
        <w:rPr>
          <w:spacing w:val="-55"/>
        </w:rPr>
        <w:t> </w:t>
      </w:r>
      <w:r>
        <w:rPr>
          <w:rFonts w:ascii="Arial" w:hAnsi="Arial" w:cs="Arial" w:eastAsia="Arial" w:hint="default"/>
        </w:rPr>
        <w:t>2016</w:t>
      </w:r>
      <w:r>
        <w:rPr>
          <w:rFonts w:ascii="Arial" w:hAnsi="Arial" w:cs="Arial" w:eastAsia="Arial" w:hint="default"/>
          <w:spacing w:val="-9"/>
        </w:rPr>
        <w:t> </w:t>
      </w:r>
      <w:r>
        <w:rPr/>
        <w:t>年</w:t>
      </w:r>
      <w:r>
        <w:rPr>
          <w:spacing w:val="-55"/>
        </w:rPr>
        <w:t> </w:t>
      </w:r>
      <w:r>
        <w:rPr>
          <w:rFonts w:ascii="Arial" w:hAnsi="Arial" w:cs="Arial" w:eastAsia="Arial" w:hint="default"/>
        </w:rPr>
        <w:t>4</w:t>
      </w:r>
      <w:r>
        <w:rPr>
          <w:rFonts w:ascii="Arial" w:hAnsi="Arial" w:cs="Arial" w:eastAsia="Arial" w:hint="default"/>
          <w:spacing w:val="-9"/>
        </w:rPr>
        <w:t> </w:t>
      </w:r>
      <w:r>
        <w:rPr/>
        <w:t>月</w:t>
      </w:r>
      <w:r>
        <w:rPr>
          <w:spacing w:val="-55"/>
        </w:rPr>
        <w:t> </w:t>
      </w:r>
      <w:r>
        <w:rPr>
          <w:rFonts w:ascii="Arial" w:hAnsi="Arial" w:cs="Arial" w:eastAsia="Arial" w:hint="default"/>
        </w:rPr>
        <w:t>30</w:t>
      </w:r>
      <w:r>
        <w:rPr>
          <w:rFonts w:ascii="Arial" w:hAnsi="Arial" w:cs="Arial" w:eastAsia="Arial" w:hint="default"/>
          <w:spacing w:val="-9"/>
        </w:rPr>
        <w:t> </w:t>
      </w:r>
      <w:r>
        <w:rPr/>
        <w:t>日前取得的不动产，可以选择适用简易计税方法，按照</w:t>
      </w:r>
      <w:r>
        <w:rPr>
          <w:spacing w:val="-56"/>
        </w:rPr>
        <w:t> </w:t>
      </w:r>
      <w:r>
        <w:rPr>
          <w:rFonts w:ascii="Arial" w:hAnsi="Arial" w:cs="Arial" w:eastAsia="Arial" w:hint="default"/>
        </w:rPr>
        <w:t>5%</w:t>
      </w:r>
      <w:r>
        <w:rPr/>
        <w:t>的</w:t>
      </w:r>
      <w:r>
        <w:rPr>
          <w:w w:val="100"/>
        </w:rPr>
        <w:t> </w:t>
      </w:r>
      <w:r>
        <w:rPr/>
        <w:t>征收率计算应纳税额。</w:t>
      </w:r>
    </w:p>
    <w:p>
      <w:pPr>
        <w:pStyle w:val="BodyText"/>
        <w:spacing w:line="240" w:lineRule="auto" w:before="21"/>
        <w:ind w:left="638" w:right="0"/>
        <w:jc w:val="left"/>
      </w:pPr>
      <w:r>
        <w:rPr>
          <w:w w:val="100"/>
        </w:rPr>
        <w:t>（</w:t>
      </w:r>
      <w:r>
        <w:rPr>
          <w:rFonts w:ascii="Arial" w:hAnsi="Arial" w:cs="Arial" w:eastAsia="Arial" w:hint="default"/>
          <w:w w:val="100"/>
        </w:rPr>
        <w:t>4</w:t>
      </w:r>
      <w:r>
        <w:rPr>
          <w:spacing w:val="-97"/>
          <w:w w:val="100"/>
        </w:rPr>
        <w:t>）</w:t>
      </w:r>
      <w:r>
        <w:rPr>
          <w:spacing w:val="-3"/>
          <w:w w:val="100"/>
        </w:rPr>
        <w:t>根</w:t>
      </w:r>
      <w:r>
        <w:rPr>
          <w:w w:val="100"/>
        </w:rPr>
        <w:t>据</w:t>
      </w:r>
      <w:r>
        <w:rPr>
          <w:spacing w:val="-3"/>
          <w:w w:val="100"/>
        </w:rPr>
        <w:t>财</w:t>
      </w:r>
      <w:r>
        <w:rPr>
          <w:w w:val="100"/>
        </w:rPr>
        <w:t>政</w:t>
      </w:r>
      <w:r>
        <w:rPr>
          <w:spacing w:val="-3"/>
          <w:w w:val="100"/>
        </w:rPr>
        <w:t>部</w:t>
      </w:r>
      <w:r>
        <w:rPr>
          <w:spacing w:val="-97"/>
          <w:w w:val="100"/>
        </w:rPr>
        <w:t>、</w:t>
      </w:r>
      <w:r>
        <w:rPr>
          <w:spacing w:val="-3"/>
          <w:w w:val="100"/>
        </w:rPr>
        <w:t>国</w:t>
      </w:r>
      <w:r>
        <w:rPr>
          <w:w w:val="100"/>
        </w:rPr>
        <w:t>家</w:t>
      </w:r>
      <w:r>
        <w:rPr>
          <w:spacing w:val="-3"/>
          <w:w w:val="100"/>
        </w:rPr>
        <w:t>税务</w:t>
      </w:r>
      <w:r>
        <w:rPr>
          <w:w w:val="100"/>
        </w:rPr>
        <w:t>总</w:t>
      </w:r>
      <w:r>
        <w:rPr>
          <w:spacing w:val="-97"/>
          <w:w w:val="100"/>
        </w:rPr>
        <w:t>局</w:t>
      </w:r>
      <w:r>
        <w:rPr>
          <w:spacing w:val="-3"/>
          <w:w w:val="100"/>
        </w:rPr>
        <w:t>《</w:t>
      </w:r>
      <w:r>
        <w:rPr>
          <w:w w:val="100"/>
        </w:rPr>
        <w:t>关</w:t>
      </w:r>
      <w:r>
        <w:rPr>
          <w:spacing w:val="-3"/>
          <w:w w:val="100"/>
        </w:rPr>
        <w:t>于</w:t>
      </w:r>
      <w:r>
        <w:rPr>
          <w:w w:val="100"/>
        </w:rPr>
        <w:t>若</w:t>
      </w:r>
      <w:r>
        <w:rPr>
          <w:spacing w:val="-3"/>
          <w:w w:val="100"/>
        </w:rPr>
        <w:t>干</w:t>
      </w:r>
      <w:r>
        <w:rPr>
          <w:w w:val="100"/>
        </w:rPr>
        <w:t>农</w:t>
      </w:r>
      <w:r>
        <w:rPr>
          <w:spacing w:val="-3"/>
          <w:w w:val="100"/>
        </w:rPr>
        <w:t>业</w:t>
      </w:r>
      <w:r>
        <w:rPr>
          <w:w w:val="100"/>
        </w:rPr>
        <w:t>生</w:t>
      </w:r>
      <w:r>
        <w:rPr>
          <w:spacing w:val="-3"/>
          <w:w w:val="100"/>
        </w:rPr>
        <w:t>产资</w:t>
      </w:r>
      <w:r>
        <w:rPr>
          <w:w w:val="100"/>
        </w:rPr>
        <w:t>料征</w:t>
      </w:r>
      <w:r>
        <w:rPr>
          <w:spacing w:val="-3"/>
          <w:w w:val="100"/>
        </w:rPr>
        <w:t>免</w:t>
      </w:r>
      <w:r>
        <w:rPr>
          <w:w w:val="100"/>
        </w:rPr>
        <w:t>增</w:t>
      </w:r>
      <w:r>
        <w:rPr>
          <w:spacing w:val="-3"/>
          <w:w w:val="100"/>
        </w:rPr>
        <w:t>值</w:t>
      </w:r>
      <w:r>
        <w:rPr>
          <w:w w:val="100"/>
        </w:rPr>
        <w:t>税</w:t>
      </w:r>
      <w:r>
        <w:rPr>
          <w:spacing w:val="-3"/>
          <w:w w:val="100"/>
        </w:rPr>
        <w:t>政</w:t>
      </w:r>
      <w:r>
        <w:rPr>
          <w:w w:val="100"/>
        </w:rPr>
        <w:t>策</w:t>
      </w:r>
      <w:r>
        <w:rPr>
          <w:spacing w:val="-3"/>
          <w:w w:val="100"/>
        </w:rPr>
        <w:t>的</w:t>
      </w:r>
      <w:r>
        <w:rPr>
          <w:w w:val="100"/>
        </w:rPr>
        <w:t>通</w:t>
      </w:r>
      <w:r>
        <w:rPr>
          <w:spacing w:val="-3"/>
          <w:w w:val="100"/>
        </w:rPr>
        <w:t>知</w:t>
      </w:r>
      <w:r>
        <w:rPr>
          <w:spacing w:val="-195"/>
          <w:w w:val="100"/>
        </w:rPr>
        <w:t>》</w:t>
      </w:r>
      <w:r>
        <w:rPr>
          <w:w w:val="100"/>
        </w:rPr>
        <w:t>（财</w:t>
      </w:r>
      <w:r>
        <w:rPr>
          <w:spacing w:val="-97"/>
          <w:w w:val="100"/>
        </w:rPr>
        <w:t>税</w:t>
      </w:r>
      <w:r>
        <w:rPr>
          <w:spacing w:val="-2"/>
          <w:w w:val="100"/>
        </w:rPr>
        <w:t>〔</w:t>
      </w:r>
      <w:r>
        <w:rPr>
          <w:rFonts w:ascii="Arial" w:hAnsi="Arial" w:cs="Arial" w:eastAsia="Arial" w:hint="default"/>
          <w:w w:val="100"/>
        </w:rPr>
        <w:t>20</w:t>
      </w:r>
      <w:r>
        <w:rPr>
          <w:rFonts w:ascii="Arial" w:hAnsi="Arial" w:cs="Arial" w:eastAsia="Arial" w:hint="default"/>
          <w:spacing w:val="-2"/>
          <w:w w:val="100"/>
        </w:rPr>
        <w:t>1</w:t>
      </w:r>
      <w:r>
        <w:rPr>
          <w:rFonts w:ascii="Arial" w:hAnsi="Arial" w:cs="Arial" w:eastAsia="Arial" w:hint="default"/>
          <w:w w:val="100"/>
        </w:rPr>
        <w:t>1</w:t>
      </w:r>
      <w:r>
        <w:rPr>
          <w:w w:val="100"/>
        </w:rPr>
        <w:t>〕</w:t>
      </w:r>
    </w:p>
    <w:p>
      <w:pPr>
        <w:pStyle w:val="BodyText"/>
        <w:spacing w:line="240" w:lineRule="auto" w:before="29"/>
        <w:ind w:left="218" w:right="0"/>
        <w:jc w:val="left"/>
      </w:pPr>
      <w:r>
        <w:rPr>
          <w:rFonts w:ascii="Arial" w:hAnsi="Arial" w:cs="Arial" w:eastAsia="Arial" w:hint="default"/>
        </w:rPr>
        <w:t>113</w:t>
      </w:r>
      <w:r>
        <w:rPr>
          <w:rFonts w:ascii="Arial" w:hAnsi="Arial" w:cs="Arial" w:eastAsia="Arial" w:hint="default"/>
          <w:spacing w:val="51"/>
        </w:rPr>
        <w:t> </w:t>
      </w:r>
      <w:r>
        <w:rPr>
          <w:spacing w:val="-2"/>
        </w:rPr>
        <w:t>号）文件的规定，批发和零售的种子、种苗、农药、农机免征增值税。</w:t>
      </w:r>
    </w:p>
    <w:p>
      <w:pPr>
        <w:pStyle w:val="Heading2"/>
        <w:tabs>
          <w:tab w:pos="642" w:val="left" w:leader="none"/>
        </w:tabs>
        <w:spacing w:line="240" w:lineRule="auto" w:before="46"/>
        <w:ind w:right="5964"/>
        <w:jc w:val="left"/>
        <w:rPr>
          <w:b w:val="0"/>
          <w:bCs w:val="0"/>
        </w:rPr>
      </w:pPr>
      <w:r>
        <w:rPr>
          <w:rFonts w:ascii="宋体" w:hAnsi="宋体" w:cs="宋体" w:eastAsia="宋体" w:hint="default"/>
          <w:w w:val="95"/>
        </w:rPr>
        <w:t>6</w:t>
        <w:tab/>
      </w:r>
      <w:r>
        <w:rPr/>
        <w:t>其他说明</w:t>
      </w:r>
      <w:r>
        <w:rPr>
          <w:b w:val="0"/>
          <w:bCs w:val="0"/>
        </w:rPr>
      </w:r>
    </w:p>
    <w:p>
      <w:pPr>
        <w:pStyle w:val="BodyText"/>
        <w:spacing w:line="274" w:lineRule="exact" w:before="56"/>
        <w:ind w:left="218" w:right="5964"/>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rFonts w:ascii="宋体"/>
          <w:w w:val="100"/>
        </w:rPr>
        <w:t> </w:t>
      </w:r>
    </w:p>
    <w:p>
      <w:pPr>
        <w:pStyle w:val="BodyText"/>
        <w:spacing w:line="273" w:lineRule="exact"/>
        <w:ind w:left="21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360" w:bottom="1380" w:left="1580" w:right="960"/>
        </w:sectPr>
      </w:pPr>
    </w:p>
    <w:p>
      <w:pPr>
        <w:pStyle w:val="Heading2"/>
        <w:tabs>
          <w:tab w:pos="1017" w:val="left" w:leader="none"/>
        </w:tabs>
        <w:spacing w:line="240" w:lineRule="auto" w:before="119"/>
        <w:ind w:left="178" w:right="102"/>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2"/>
        <w:spacing w:line="240" w:lineRule="auto" w:before="59"/>
        <w:ind w:left="178" w:right="102"/>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对外股权投资总体分析</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178" w:right="714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重大的股权投资</w:t>
      </w:r>
      <w:r>
        <w:rPr>
          <w:rFonts w:ascii="宋体" w:hAnsi="宋体" w:cs="宋体" w:eastAsia="宋体" w:hint="default"/>
          <w:sz w:val="21"/>
          <w:szCs w:val="21"/>
        </w:rPr>
      </w:r>
    </w:p>
    <w:p>
      <w:pPr>
        <w:spacing w:line="290" w:lineRule="auto" w:before="12"/>
        <w:ind w:left="178" w:right="693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重大的非股权投资</w:t>
      </w:r>
      <w:r>
        <w:rPr>
          <w:rFonts w:ascii="宋体" w:hAnsi="宋体" w:cs="宋体" w:eastAsia="宋体" w:hint="default"/>
          <w:sz w:val="21"/>
          <w:szCs w:val="21"/>
        </w:rPr>
      </w:r>
    </w:p>
    <w:p>
      <w:pPr>
        <w:pStyle w:val="BodyText"/>
        <w:spacing w:line="240" w:lineRule="auto" w:before="12"/>
        <w:ind w:left="178" w:right="10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left="178" w:right="102"/>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78" w:lineRule="auto" w:before="56"/>
        <w:ind w:left="598" w:right="102"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在公司董事会授权范围内，在不影响生产经营前提下，公司使用暂时闲置的自有资金购买国</w:t>
      </w:r>
    </w:p>
    <w:p>
      <w:pPr>
        <w:pStyle w:val="BodyText"/>
        <w:spacing w:line="240" w:lineRule="auto" w:before="10"/>
        <w:ind w:left="178" w:right="102"/>
        <w:jc w:val="left"/>
      </w:pPr>
      <w:r>
        <w:rPr>
          <w:spacing w:val="-3"/>
        </w:rPr>
        <w:t>债逆回购和结构性存款理财产品，报告期内累计取得投资收益 </w:t>
      </w:r>
      <w:r>
        <w:rPr>
          <w:rFonts w:ascii="Arial" w:hAnsi="Arial" w:cs="Arial" w:eastAsia="Arial" w:hint="default"/>
        </w:rPr>
        <w:t>8,914.31</w:t>
      </w:r>
      <w:r>
        <w:rPr>
          <w:rFonts w:ascii="Arial" w:hAnsi="Arial" w:cs="Arial" w:eastAsia="Arial" w:hint="default"/>
          <w:spacing w:val="2"/>
        </w:rPr>
        <w:t> </w:t>
      </w:r>
      <w:r>
        <w:rPr>
          <w:spacing w:val="-5"/>
        </w:rPr>
        <w:t>万元，报告期末剩余未到</w:t>
      </w:r>
    </w:p>
    <w:p>
      <w:pPr>
        <w:pStyle w:val="BodyText"/>
        <w:spacing w:line="266" w:lineRule="auto" w:before="30"/>
        <w:ind w:left="178" w:right="207"/>
        <w:jc w:val="left"/>
      </w:pPr>
      <w:r>
        <w:rPr>
          <w:spacing w:val="-1"/>
          <w:w w:val="100"/>
        </w:rPr>
        <w:t>期的公允价值</w:t>
      </w:r>
      <w:r>
        <w:rPr>
          <w:spacing w:val="-45"/>
          <w:w w:val="100"/>
        </w:rPr>
        <w:t> </w:t>
      </w:r>
      <w:r>
        <w:rPr>
          <w:rFonts w:ascii="Arial" w:hAnsi="Arial" w:cs="Arial" w:eastAsia="Arial" w:hint="default"/>
          <w:spacing w:val="-1"/>
          <w:w w:val="100"/>
        </w:rPr>
        <w:t>140,376.71</w:t>
      </w:r>
      <w:r>
        <w:rPr>
          <w:rFonts w:ascii="Arial" w:hAnsi="Arial" w:cs="Arial" w:eastAsia="Arial" w:hint="default"/>
          <w:spacing w:val="1"/>
          <w:w w:val="100"/>
        </w:rPr>
        <w:t> </w:t>
      </w:r>
      <w:r>
        <w:rPr>
          <w:spacing w:val="-5"/>
          <w:w w:val="100"/>
        </w:rPr>
        <w:t>万元，按新金融工具准则分类要求将其分类为以公允价值计量且其变动</w:t>
      </w:r>
      <w:r>
        <w:rPr>
          <w:spacing w:val="-103"/>
          <w:w w:val="100"/>
        </w:rPr>
        <w:t> </w:t>
      </w:r>
      <w:r>
        <w:rPr>
          <w:spacing w:val="-103"/>
          <w:w w:val="100"/>
        </w:rPr>
      </w:r>
      <w:r>
        <w:rPr/>
        <w:t>计入当年损益的金融资产。</w:t>
      </w:r>
    </w:p>
    <w:p>
      <w:pPr>
        <w:pStyle w:val="BodyText"/>
        <w:spacing w:line="240" w:lineRule="auto" w:before="21"/>
        <w:ind w:left="598" w:right="102"/>
        <w:jc w:val="left"/>
      </w:pPr>
      <w:r>
        <w:rPr/>
        <w:t>公司将持有的</w:t>
      </w:r>
      <w:r>
        <w:rPr>
          <w:spacing w:val="-57"/>
        </w:rPr>
        <w:t> </w:t>
      </w:r>
      <w:r>
        <w:rPr>
          <w:rFonts w:ascii="Arial" w:hAnsi="Arial" w:cs="Arial" w:eastAsia="Arial" w:hint="default"/>
        </w:rPr>
        <w:t>6</w:t>
      </w:r>
      <w:r>
        <w:rPr>
          <w:rFonts w:ascii="Arial" w:hAnsi="Arial" w:cs="Arial" w:eastAsia="Arial" w:hint="default"/>
          <w:spacing w:val="-8"/>
        </w:rPr>
        <w:t> </w:t>
      </w:r>
      <w:r>
        <w:rPr/>
        <w:t>家非交易性且未达到重大影响的股权投资指定为以公允价值计量且其变动计</w:t>
      </w:r>
    </w:p>
    <w:p>
      <w:pPr>
        <w:pStyle w:val="BodyText"/>
        <w:spacing w:line="266" w:lineRule="auto" w:before="29"/>
        <w:ind w:left="598" w:right="102" w:hanging="420"/>
        <w:jc w:val="left"/>
      </w:pPr>
      <w:r>
        <w:rPr/>
        <w:t>入其他综合收益的金融资产，报告期内取得股利收入</w:t>
      </w:r>
      <w:r>
        <w:rPr>
          <w:spacing w:val="-34"/>
        </w:rPr>
        <w:t> </w:t>
      </w:r>
      <w:r>
        <w:rPr>
          <w:rFonts w:ascii="Arial" w:hAnsi="Arial" w:cs="Arial" w:eastAsia="Arial" w:hint="default"/>
        </w:rPr>
        <w:t>121</w:t>
      </w:r>
      <w:r>
        <w:rPr>
          <w:rFonts w:ascii="Arial" w:hAnsi="Arial" w:cs="Arial" w:eastAsia="Arial" w:hint="default"/>
          <w:spacing w:val="11"/>
        </w:rPr>
        <w:t> </w:t>
      </w:r>
      <w:r>
        <w:rPr/>
        <w:t>万元，报告期末公允价值</w:t>
      </w:r>
      <w:r>
        <w:rPr>
          <w:spacing w:val="-35"/>
        </w:rPr>
        <w:t> </w:t>
      </w:r>
      <w:r>
        <w:rPr>
          <w:rFonts w:ascii="Arial" w:hAnsi="Arial" w:cs="Arial" w:eastAsia="Arial" w:hint="default"/>
        </w:rPr>
        <w:t>1,100</w:t>
      </w:r>
      <w:r>
        <w:rPr>
          <w:rFonts w:ascii="Arial" w:hAnsi="Arial" w:cs="Arial" w:eastAsia="Arial" w:hint="default"/>
          <w:spacing w:val="11"/>
        </w:rPr>
        <w:t> </w:t>
      </w:r>
      <w:r>
        <w:rPr/>
        <w:t>万元。</w:t>
      </w:r>
      <w:r>
        <w:rPr>
          <w:spacing w:val="-102"/>
        </w:rPr>
        <w:t> </w:t>
      </w:r>
      <w:r>
        <w:rPr>
          <w:spacing w:val="-102"/>
        </w:rPr>
      </w:r>
      <w:r>
        <w:rPr/>
        <w:t>报告期内公司能够对克东腐乳公司施加重大影响，将其由公允价值计量分类为长期股权投资</w:t>
      </w:r>
    </w:p>
    <w:p>
      <w:pPr>
        <w:pStyle w:val="BodyText"/>
        <w:spacing w:line="240" w:lineRule="auto" w:before="21"/>
        <w:ind w:left="178" w:right="102"/>
        <w:jc w:val="left"/>
      </w:pPr>
      <w:r>
        <w:rPr/>
        <w:t>列报。</w:t>
      </w:r>
    </w:p>
    <w:p>
      <w:pPr>
        <w:pStyle w:val="Heading2"/>
        <w:tabs>
          <w:tab w:pos="1017" w:val="left" w:leader="none"/>
        </w:tabs>
        <w:spacing w:line="240" w:lineRule="auto" w:before="58"/>
        <w:ind w:left="178" w:right="102"/>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spacing w:line="240" w:lineRule="auto" w:before="58"/>
        <w:ind w:left="178" w:right="10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1017" w:val="left" w:leader="none"/>
        </w:tabs>
        <w:spacing w:line="240" w:lineRule="auto"/>
        <w:ind w:left="178" w:right="102"/>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spacing w:line="273" w:lineRule="exact" w:before="58"/>
        <w:ind w:left="178" w:right="10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89" w:lineRule="exact" w:before="0"/>
        <w:ind w:left="178" w:right="102"/>
        <w:jc w:val="left"/>
        <w:rPr>
          <w:rFonts w:ascii="宋体" w:hAnsi="宋体" w:cs="宋体" w:eastAsia="宋体" w:hint="default"/>
          <w:b w:val="0"/>
          <w:bCs w:val="0"/>
        </w:rPr>
      </w:pPr>
      <w:r>
        <w:rPr>
          <w:rFonts w:ascii="Times New Roman" w:hAnsi="Times New Roman" w:cs="Times New Roman" w:eastAsia="Times New Roman" w:hint="default"/>
        </w:rPr>
        <w:t>1</w:t>
      </w:r>
      <w:r>
        <w:rPr>
          <w:rFonts w:ascii="宋体" w:hAnsi="宋体" w:cs="宋体" w:eastAsia="宋体" w:hint="default"/>
        </w:rPr>
        <w:t>.</w:t>
      </w:r>
      <w:r>
        <w:rPr/>
        <w:t>主要子公司情况</w:t>
      </w:r>
      <w:r>
        <w:rPr>
          <w:rFonts w:ascii="宋体" w:hAnsi="宋体" w:cs="宋体" w:eastAsia="宋体" w:hint="default"/>
          <w:w w:val="99"/>
        </w:rPr>
        <w:t> </w:t>
      </w:r>
      <w:r>
        <w:rPr>
          <w:rFonts w:ascii="宋体" w:hAnsi="宋体" w:cs="宋体" w:eastAsia="宋体" w:hint="default"/>
          <w:b w:val="0"/>
          <w:bCs w:val="0"/>
        </w:rPr>
      </w:r>
    </w:p>
    <w:p>
      <w:pPr>
        <w:pStyle w:val="BodyText"/>
        <w:spacing w:line="258" w:lineRule="exact"/>
        <w:ind w:left="0" w:right="316"/>
        <w:jc w:val="right"/>
        <w:rPr>
          <w:rFonts w:ascii="宋体" w:hAnsi="宋体" w:cs="宋体" w:eastAsia="宋体" w:hint="default"/>
        </w:rPr>
      </w:pPr>
      <w:r>
        <w:rPr/>
        <w:t>单位：万元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34pt;height:1pt;mso-position-horizontal-relative:char;mso-position-vertical-relative:line" coordorigin="0,0" coordsize="8680,20">
            <v:group style="position:absolute;left:10;top:10;width:3097;height:2" coordorigin="10,10" coordsize="3097,2">
              <v:shape style="position:absolute;left:10;top:10;width:3097;height:2" coordorigin="10,10" coordsize="3097,0" path="m10,10l3106,10e" filled="false" stroked="true" strokeweight=".95999pt" strokecolor="#41b7ee">
                <v:path arrowok="t"/>
              </v:shape>
            </v:group>
            <v:group style="position:absolute;left:3106;top:10;width:58;height:2" coordorigin="3106,10" coordsize="58,2">
              <v:shape style="position:absolute;left:3106;top:10;width:58;height:2" coordorigin="3106,10" coordsize="58,0" path="m3106,10l3164,10e" filled="false" stroked="true" strokeweight=".95999pt" strokecolor="#41b7ee">
                <v:path arrowok="t"/>
              </v:shape>
            </v:group>
            <v:group style="position:absolute;left:3164;top:10;width:1520;height:2" coordorigin="3164,10" coordsize="1520,2">
              <v:shape style="position:absolute;left:3164;top:10;width:1520;height:2" coordorigin="3164,10" coordsize="1520,0" path="m3164,10l4683,10e" filled="false" stroked="true" strokeweight=".95999pt" strokecolor="#41b7ee">
                <v:path arrowok="t"/>
              </v:shape>
            </v:group>
            <v:group style="position:absolute;left:4683;top:10;width:59;height:2" coordorigin="4683,10" coordsize="59,2">
              <v:shape style="position:absolute;left:4683;top:10;width:59;height:2" coordorigin="4683,10" coordsize="59,0" path="m4683,10l4741,10e" filled="false" stroked="true" strokeweight=".95999pt" strokecolor="#41b7ee">
                <v:path arrowok="t"/>
              </v:shape>
            </v:group>
            <v:group style="position:absolute;left:4741;top:10;width:987;height:2" coordorigin="4741,10" coordsize="987,2">
              <v:shape style="position:absolute;left:4741;top:10;width:987;height:2" coordorigin="4741,10" coordsize="987,0" path="m4741,10l5727,10e" filled="false" stroked="true" strokeweight=".95999pt" strokecolor="#41b7ee">
                <v:path arrowok="t"/>
              </v:shape>
            </v:group>
            <v:group style="position:absolute;left:5727;top:10;width:58;height:2" coordorigin="5727,10" coordsize="58,2">
              <v:shape style="position:absolute;left:5727;top:10;width:58;height:2" coordorigin="5727,10" coordsize="58,0" path="m5727,10l5785,10e" filled="false" stroked="true" strokeweight=".95999pt" strokecolor="#41b7ee">
                <v:path arrowok="t"/>
              </v:shape>
            </v:group>
            <v:group style="position:absolute;left:5785;top:10;width:903;height:2" coordorigin="5785,10" coordsize="903,2">
              <v:shape style="position:absolute;left:5785;top:10;width:903;height:2" coordorigin="5785,10" coordsize="903,0" path="m5785,10l6687,10e" filled="false" stroked="true" strokeweight=".95999pt" strokecolor="#41b7ee">
                <v:path arrowok="t"/>
              </v:shape>
            </v:group>
            <v:group style="position:absolute;left:6687;top:10;width:58;height:2" coordorigin="6687,10" coordsize="58,2">
              <v:shape style="position:absolute;left:6687;top:10;width:58;height:2" coordorigin="6687,10" coordsize="58,0" path="m6687,10l6745,10e" filled="false" stroked="true" strokeweight=".95999pt" strokecolor="#41b7ee">
                <v:path arrowok="t"/>
              </v:shape>
            </v:group>
            <v:group style="position:absolute;left:6745;top:10;width:975;height:2" coordorigin="6745,10" coordsize="975,2">
              <v:shape style="position:absolute;left:6745;top:10;width:975;height:2" coordorigin="6745,10" coordsize="975,0" path="m6745,10l7720,10e" filled="false" stroked="true" strokeweight=".95999pt" strokecolor="#41b7ee">
                <v:path arrowok="t"/>
              </v:shape>
            </v:group>
            <v:group style="position:absolute;left:7720;top:10;width:58;height:2" coordorigin="7720,10" coordsize="58,2">
              <v:shape style="position:absolute;left:7720;top:10;width:58;height:2" coordorigin="7720,10" coordsize="58,0" path="m7720,10l7778,10e" filled="false" stroked="true" strokeweight=".95999pt" strokecolor="#41b7ee">
                <v:path arrowok="t"/>
              </v:shape>
            </v:group>
            <v:group style="position:absolute;left:7778;top:10;width:893;height:2" coordorigin="7778,10" coordsize="893,2">
              <v:shape style="position:absolute;left:7778;top:10;width:893;height:2" coordorigin="7778,10" coordsize="893,0" path="m7778,10l8670,10e" filled="false" stroked="true" strokeweight=".95999pt" strokecolor="#41b7ee">
                <v:path arrowok="t"/>
              </v:shape>
            </v:group>
          </v:group>
        </w:pict>
      </w:r>
      <w:r>
        <w:rPr>
          <w:rFonts w:ascii="宋体" w:hAnsi="宋体" w:cs="宋体" w:eastAsia="宋体" w:hint="default"/>
          <w:sz w:val="2"/>
          <w:szCs w:val="2"/>
        </w:rPr>
      </w:r>
    </w:p>
    <w:tbl>
      <w:tblPr>
        <w:tblW w:w="0" w:type="auto"/>
        <w:jc w:val="left"/>
        <w:tblInd w:w="110" w:type="dxa"/>
        <w:tblLayout w:type="fixed"/>
        <w:tblCellMar>
          <w:top w:w="0" w:type="dxa"/>
          <w:left w:w="0" w:type="dxa"/>
          <w:bottom w:w="0" w:type="dxa"/>
          <w:right w:w="0" w:type="dxa"/>
        </w:tblCellMar>
        <w:tblLook w:val="01E0"/>
      </w:tblPr>
      <w:tblGrid>
        <w:gridCol w:w="3101"/>
        <w:gridCol w:w="1577"/>
        <w:gridCol w:w="1044"/>
        <w:gridCol w:w="960"/>
        <w:gridCol w:w="1033"/>
        <w:gridCol w:w="946"/>
      </w:tblGrid>
      <w:tr>
        <w:trPr>
          <w:trHeight w:val="365" w:hRule="exact"/>
        </w:trPr>
        <w:tc>
          <w:tcPr>
            <w:tcW w:w="3101"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6"/>
              <w:ind w:left="6"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577"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6"/>
              <w:ind w:left="151" w:right="0"/>
              <w:jc w:val="left"/>
              <w:rPr>
                <w:rFonts w:ascii="宋体" w:hAnsi="宋体" w:cs="宋体" w:eastAsia="宋体" w:hint="default"/>
                <w:sz w:val="21"/>
                <w:szCs w:val="21"/>
              </w:rPr>
            </w:pPr>
            <w:r>
              <w:rPr>
                <w:rFonts w:ascii="宋体" w:hAnsi="宋体" w:cs="宋体" w:eastAsia="宋体" w:hint="default"/>
                <w:sz w:val="21"/>
                <w:szCs w:val="21"/>
              </w:rPr>
              <w:t>主要经营范围</w:t>
            </w:r>
          </w:p>
        </w:tc>
        <w:tc>
          <w:tcPr>
            <w:tcW w:w="1044"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6"/>
              <w:ind w:right="93"/>
              <w:jc w:val="right"/>
              <w:rPr>
                <w:rFonts w:ascii="宋体" w:hAnsi="宋体" w:cs="宋体" w:eastAsia="宋体" w:hint="default"/>
                <w:sz w:val="21"/>
                <w:szCs w:val="21"/>
              </w:rPr>
            </w:pPr>
            <w:r>
              <w:rPr>
                <w:rFonts w:ascii="宋体" w:hAnsi="宋体" w:cs="宋体" w:eastAsia="宋体" w:hint="default"/>
                <w:spacing w:val="-1"/>
                <w:sz w:val="21"/>
                <w:szCs w:val="21"/>
              </w:rPr>
              <w:t>注册资本</w:t>
            </w:r>
          </w:p>
        </w:tc>
        <w:tc>
          <w:tcPr>
            <w:tcW w:w="960"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6"/>
              <w:ind w:left="158"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033"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6"/>
              <w:ind w:left="194"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946"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6"/>
              <w:ind w:left="153"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358" w:hRule="exact"/>
        </w:trPr>
        <w:tc>
          <w:tcPr>
            <w:tcW w:w="310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7" w:right="0"/>
              <w:jc w:val="left"/>
              <w:rPr>
                <w:rFonts w:ascii="宋体" w:hAnsi="宋体" w:cs="宋体" w:eastAsia="宋体" w:hint="default"/>
                <w:sz w:val="21"/>
                <w:szCs w:val="21"/>
              </w:rPr>
            </w:pPr>
            <w:r>
              <w:rPr>
                <w:rFonts w:ascii="宋体" w:hAnsi="宋体" w:cs="宋体" w:eastAsia="宋体" w:hint="default"/>
                <w:sz w:val="21"/>
                <w:szCs w:val="21"/>
              </w:rPr>
              <w:t>黑龙江北大荒纸业有限责任公司</w:t>
            </w:r>
          </w:p>
        </w:tc>
        <w:tc>
          <w:tcPr>
            <w:tcW w:w="157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7"/>
              <w:ind w:left="50" w:right="0"/>
              <w:jc w:val="left"/>
              <w:rPr>
                <w:rFonts w:ascii="宋体" w:hAnsi="宋体" w:cs="宋体" w:eastAsia="宋体" w:hint="default"/>
                <w:sz w:val="18"/>
                <w:szCs w:val="18"/>
              </w:rPr>
            </w:pPr>
            <w:r>
              <w:rPr>
                <w:rFonts w:ascii="宋体" w:hAnsi="宋体" w:cs="宋体" w:eastAsia="宋体" w:hint="default"/>
                <w:sz w:val="18"/>
                <w:szCs w:val="18"/>
              </w:rPr>
              <w:t>纸制品生产和销售</w:t>
            </w:r>
          </w:p>
        </w:tc>
        <w:tc>
          <w:tcPr>
            <w:tcW w:w="104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4"/>
              <w:ind w:right="50"/>
              <w:jc w:val="right"/>
              <w:rPr>
                <w:rFonts w:ascii="Arial" w:hAnsi="Arial" w:cs="Arial" w:eastAsia="Arial" w:hint="default"/>
                <w:sz w:val="19"/>
                <w:szCs w:val="19"/>
              </w:rPr>
            </w:pPr>
            <w:r>
              <w:rPr>
                <w:rFonts w:ascii="Arial"/>
                <w:w w:val="95"/>
                <w:sz w:val="19"/>
              </w:rPr>
              <w:t>19,200</w:t>
            </w:r>
            <w:r>
              <w:rPr>
                <w:rFonts w:ascii="Arial"/>
                <w:sz w:val="19"/>
              </w:rPr>
            </w:r>
          </w:p>
        </w:tc>
        <w:tc>
          <w:tcPr>
            <w:tcW w:w="96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4"/>
              <w:ind w:right="50"/>
              <w:jc w:val="right"/>
              <w:rPr>
                <w:rFonts w:ascii="Arial" w:hAnsi="Arial" w:cs="Arial" w:eastAsia="Arial" w:hint="default"/>
                <w:sz w:val="19"/>
                <w:szCs w:val="19"/>
              </w:rPr>
            </w:pPr>
            <w:r>
              <w:rPr>
                <w:rFonts w:ascii="Arial"/>
                <w:w w:val="95"/>
                <w:sz w:val="19"/>
              </w:rPr>
              <w:t>1,054.06</w:t>
            </w:r>
            <w:r>
              <w:rPr>
                <w:rFonts w:ascii="Arial"/>
                <w:sz w:val="19"/>
              </w:rPr>
            </w:r>
          </w:p>
        </w:tc>
        <w:tc>
          <w:tcPr>
            <w:tcW w:w="10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4"/>
              <w:ind w:right="53"/>
              <w:jc w:val="right"/>
              <w:rPr>
                <w:rFonts w:ascii="Arial" w:hAnsi="Arial" w:cs="Arial" w:eastAsia="Arial" w:hint="default"/>
                <w:sz w:val="19"/>
                <w:szCs w:val="19"/>
              </w:rPr>
            </w:pPr>
            <w:r>
              <w:rPr>
                <w:rFonts w:ascii="Arial"/>
                <w:spacing w:val="-1"/>
                <w:sz w:val="19"/>
              </w:rPr>
              <w:t>-13,746.14</w:t>
            </w:r>
          </w:p>
        </w:tc>
        <w:tc>
          <w:tcPr>
            <w:tcW w:w="94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64"/>
              <w:ind w:right="53"/>
              <w:jc w:val="right"/>
              <w:rPr>
                <w:rFonts w:ascii="Arial" w:hAnsi="Arial" w:cs="Arial" w:eastAsia="Arial" w:hint="default"/>
                <w:sz w:val="19"/>
                <w:szCs w:val="19"/>
              </w:rPr>
            </w:pPr>
            <w:r>
              <w:rPr>
                <w:rFonts w:ascii="Arial"/>
                <w:spacing w:val="-1"/>
                <w:sz w:val="19"/>
              </w:rPr>
              <w:t>-8.31</w:t>
            </w:r>
          </w:p>
        </w:tc>
      </w:tr>
      <w:tr>
        <w:trPr>
          <w:trHeight w:val="355" w:hRule="exact"/>
        </w:trPr>
        <w:tc>
          <w:tcPr>
            <w:tcW w:w="310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57" w:right="0"/>
              <w:jc w:val="left"/>
              <w:rPr>
                <w:rFonts w:ascii="宋体" w:hAnsi="宋体" w:cs="宋体" w:eastAsia="宋体" w:hint="default"/>
                <w:sz w:val="21"/>
                <w:szCs w:val="21"/>
              </w:rPr>
            </w:pPr>
            <w:r>
              <w:rPr>
                <w:rFonts w:ascii="宋体" w:hAnsi="宋体" w:cs="宋体" w:eastAsia="宋体" w:hint="default"/>
                <w:sz w:val="21"/>
                <w:szCs w:val="21"/>
              </w:rPr>
              <w:t>北大荒龙垦麦芽有限公司</w:t>
            </w:r>
          </w:p>
        </w:tc>
        <w:tc>
          <w:tcPr>
            <w:tcW w:w="157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1"/>
              <w:ind w:left="50" w:right="0"/>
              <w:jc w:val="left"/>
              <w:rPr>
                <w:rFonts w:ascii="宋体" w:hAnsi="宋体" w:cs="宋体" w:eastAsia="宋体" w:hint="default"/>
                <w:sz w:val="20"/>
                <w:szCs w:val="20"/>
              </w:rPr>
            </w:pPr>
            <w:r>
              <w:rPr>
                <w:rFonts w:ascii="宋体" w:hAnsi="宋体" w:cs="宋体" w:eastAsia="宋体" w:hint="default"/>
                <w:sz w:val="20"/>
                <w:szCs w:val="20"/>
              </w:rPr>
              <w:t>麦芽生产和销售</w:t>
            </w:r>
          </w:p>
        </w:tc>
        <w:tc>
          <w:tcPr>
            <w:tcW w:w="104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4"/>
              <w:ind w:right="50"/>
              <w:jc w:val="right"/>
              <w:rPr>
                <w:rFonts w:ascii="Arial" w:hAnsi="Arial" w:cs="Arial" w:eastAsia="Arial" w:hint="default"/>
                <w:sz w:val="19"/>
                <w:szCs w:val="19"/>
              </w:rPr>
            </w:pPr>
            <w:r>
              <w:rPr>
                <w:rFonts w:ascii="Arial"/>
                <w:w w:val="95"/>
                <w:sz w:val="19"/>
              </w:rPr>
              <w:t>38,500</w:t>
            </w:r>
            <w:r>
              <w:rPr>
                <w:rFonts w:ascii="Arial"/>
                <w:sz w:val="19"/>
              </w:rPr>
            </w:r>
          </w:p>
        </w:tc>
        <w:tc>
          <w:tcPr>
            <w:tcW w:w="96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4"/>
              <w:ind w:right="50"/>
              <w:jc w:val="right"/>
              <w:rPr>
                <w:rFonts w:ascii="Arial" w:hAnsi="Arial" w:cs="Arial" w:eastAsia="Arial" w:hint="default"/>
                <w:sz w:val="19"/>
                <w:szCs w:val="19"/>
              </w:rPr>
            </w:pPr>
            <w:r>
              <w:rPr>
                <w:rFonts w:ascii="Arial"/>
                <w:w w:val="95"/>
                <w:sz w:val="19"/>
              </w:rPr>
              <w:t>62,968.28</w:t>
            </w:r>
            <w:r>
              <w:rPr>
                <w:rFonts w:ascii="Arial"/>
                <w:sz w:val="19"/>
              </w:rPr>
            </w:r>
          </w:p>
        </w:tc>
        <w:tc>
          <w:tcPr>
            <w:tcW w:w="10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4"/>
              <w:ind w:right="53"/>
              <w:jc w:val="right"/>
              <w:rPr>
                <w:rFonts w:ascii="Arial" w:hAnsi="Arial" w:cs="Arial" w:eastAsia="Arial" w:hint="default"/>
                <w:sz w:val="19"/>
                <w:szCs w:val="19"/>
              </w:rPr>
            </w:pPr>
            <w:r>
              <w:rPr>
                <w:rFonts w:ascii="Arial"/>
                <w:spacing w:val="-1"/>
                <w:sz w:val="19"/>
              </w:rPr>
              <w:t>-27,980.19</w:t>
            </w:r>
          </w:p>
        </w:tc>
        <w:tc>
          <w:tcPr>
            <w:tcW w:w="94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64"/>
              <w:ind w:right="55"/>
              <w:jc w:val="right"/>
              <w:rPr>
                <w:rFonts w:ascii="Arial" w:hAnsi="Arial" w:cs="Arial" w:eastAsia="Arial" w:hint="default"/>
                <w:sz w:val="19"/>
                <w:szCs w:val="19"/>
              </w:rPr>
            </w:pPr>
            <w:r>
              <w:rPr>
                <w:rFonts w:ascii="Arial"/>
                <w:spacing w:val="-1"/>
                <w:sz w:val="19"/>
              </w:rPr>
              <w:t>-3,547.47</w:t>
            </w:r>
          </w:p>
        </w:tc>
      </w:tr>
      <w:tr>
        <w:trPr>
          <w:trHeight w:val="358" w:hRule="exact"/>
        </w:trPr>
        <w:tc>
          <w:tcPr>
            <w:tcW w:w="310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7" w:right="0"/>
              <w:jc w:val="left"/>
              <w:rPr>
                <w:rFonts w:ascii="宋体" w:hAnsi="宋体" w:cs="宋体" w:eastAsia="宋体" w:hint="default"/>
                <w:sz w:val="21"/>
                <w:szCs w:val="21"/>
              </w:rPr>
            </w:pPr>
            <w:r>
              <w:rPr>
                <w:rFonts w:ascii="宋体" w:hAnsi="宋体" w:cs="宋体" w:eastAsia="宋体" w:hint="default"/>
                <w:sz w:val="21"/>
                <w:szCs w:val="21"/>
              </w:rPr>
              <w:t>北大荒鑫亚经贸有限责任公司</w:t>
            </w:r>
          </w:p>
        </w:tc>
        <w:tc>
          <w:tcPr>
            <w:tcW w:w="157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3"/>
              <w:ind w:left="50" w:right="0"/>
              <w:jc w:val="left"/>
              <w:rPr>
                <w:rFonts w:ascii="宋体" w:hAnsi="宋体" w:cs="宋体" w:eastAsia="宋体" w:hint="default"/>
                <w:sz w:val="20"/>
                <w:szCs w:val="20"/>
              </w:rPr>
            </w:pPr>
            <w:r>
              <w:rPr>
                <w:rFonts w:ascii="宋体" w:hAnsi="宋体" w:cs="宋体" w:eastAsia="宋体" w:hint="default"/>
                <w:sz w:val="20"/>
                <w:szCs w:val="20"/>
              </w:rPr>
              <w:t>粮食收购和销售</w:t>
            </w:r>
          </w:p>
        </w:tc>
        <w:tc>
          <w:tcPr>
            <w:tcW w:w="104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4"/>
              <w:ind w:right="50"/>
              <w:jc w:val="right"/>
              <w:rPr>
                <w:rFonts w:ascii="Arial" w:hAnsi="Arial" w:cs="Arial" w:eastAsia="Arial" w:hint="default"/>
                <w:sz w:val="19"/>
                <w:szCs w:val="19"/>
              </w:rPr>
            </w:pPr>
            <w:r>
              <w:rPr>
                <w:rFonts w:ascii="Arial"/>
                <w:w w:val="95"/>
                <w:sz w:val="19"/>
              </w:rPr>
              <w:t>5,000</w:t>
            </w:r>
            <w:r>
              <w:rPr>
                <w:rFonts w:ascii="Arial"/>
                <w:sz w:val="19"/>
              </w:rPr>
            </w:r>
          </w:p>
        </w:tc>
        <w:tc>
          <w:tcPr>
            <w:tcW w:w="96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4"/>
              <w:ind w:right="50"/>
              <w:jc w:val="right"/>
              <w:rPr>
                <w:rFonts w:ascii="Arial" w:hAnsi="Arial" w:cs="Arial" w:eastAsia="Arial" w:hint="default"/>
                <w:sz w:val="19"/>
                <w:szCs w:val="19"/>
              </w:rPr>
            </w:pPr>
            <w:r>
              <w:rPr>
                <w:rFonts w:ascii="Arial"/>
                <w:w w:val="95"/>
                <w:sz w:val="19"/>
              </w:rPr>
              <w:t>37,010.79</w:t>
            </w:r>
            <w:r>
              <w:rPr>
                <w:rFonts w:ascii="Arial"/>
                <w:sz w:val="19"/>
              </w:rPr>
            </w:r>
          </w:p>
        </w:tc>
        <w:tc>
          <w:tcPr>
            <w:tcW w:w="10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4"/>
              <w:ind w:right="53"/>
              <w:jc w:val="right"/>
              <w:rPr>
                <w:rFonts w:ascii="Arial" w:hAnsi="Arial" w:cs="Arial" w:eastAsia="Arial" w:hint="default"/>
                <w:sz w:val="19"/>
                <w:szCs w:val="19"/>
              </w:rPr>
            </w:pPr>
            <w:r>
              <w:rPr>
                <w:rFonts w:ascii="Arial"/>
                <w:spacing w:val="-1"/>
                <w:sz w:val="19"/>
              </w:rPr>
              <w:t>-82,120.33</w:t>
            </w:r>
          </w:p>
        </w:tc>
        <w:tc>
          <w:tcPr>
            <w:tcW w:w="94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64"/>
              <w:ind w:right="55"/>
              <w:jc w:val="right"/>
              <w:rPr>
                <w:rFonts w:ascii="Arial" w:hAnsi="Arial" w:cs="Arial" w:eastAsia="Arial" w:hint="default"/>
                <w:sz w:val="19"/>
                <w:szCs w:val="19"/>
              </w:rPr>
            </w:pPr>
            <w:r>
              <w:rPr>
                <w:rFonts w:ascii="Arial"/>
                <w:spacing w:val="-1"/>
                <w:sz w:val="19"/>
              </w:rPr>
              <w:t>-280.13</w:t>
            </w:r>
          </w:p>
        </w:tc>
      </w:tr>
      <w:tr>
        <w:trPr>
          <w:trHeight w:val="358" w:hRule="exact"/>
        </w:trPr>
        <w:tc>
          <w:tcPr>
            <w:tcW w:w="310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7" w:right="0"/>
              <w:jc w:val="left"/>
              <w:rPr>
                <w:rFonts w:ascii="宋体" w:hAnsi="宋体" w:cs="宋体" w:eastAsia="宋体" w:hint="default"/>
                <w:sz w:val="21"/>
                <w:szCs w:val="21"/>
              </w:rPr>
            </w:pPr>
            <w:r>
              <w:rPr>
                <w:rFonts w:ascii="宋体" w:hAnsi="宋体" w:cs="宋体" w:eastAsia="宋体" w:hint="default"/>
                <w:sz w:val="21"/>
                <w:szCs w:val="21"/>
              </w:rPr>
              <w:t>北大荒鑫都房地产开发有限公司</w:t>
            </w:r>
          </w:p>
        </w:tc>
        <w:tc>
          <w:tcPr>
            <w:tcW w:w="157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50" w:right="0"/>
              <w:jc w:val="left"/>
              <w:rPr>
                <w:rFonts w:ascii="宋体" w:hAnsi="宋体" w:cs="宋体" w:eastAsia="宋体" w:hint="default"/>
                <w:sz w:val="21"/>
                <w:szCs w:val="21"/>
              </w:rPr>
            </w:pPr>
            <w:r>
              <w:rPr>
                <w:rFonts w:ascii="宋体" w:hAnsi="宋体" w:cs="宋体" w:eastAsia="宋体" w:hint="default"/>
                <w:sz w:val="21"/>
                <w:szCs w:val="21"/>
              </w:rPr>
              <w:t>房地产开发</w:t>
            </w:r>
          </w:p>
        </w:tc>
        <w:tc>
          <w:tcPr>
            <w:tcW w:w="104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4"/>
              <w:ind w:right="50"/>
              <w:jc w:val="right"/>
              <w:rPr>
                <w:rFonts w:ascii="Arial" w:hAnsi="Arial" w:cs="Arial" w:eastAsia="Arial" w:hint="default"/>
                <w:sz w:val="19"/>
                <w:szCs w:val="19"/>
              </w:rPr>
            </w:pPr>
            <w:r>
              <w:rPr>
                <w:rFonts w:ascii="Arial"/>
                <w:w w:val="95"/>
                <w:sz w:val="19"/>
              </w:rPr>
              <w:t>5,000</w:t>
            </w:r>
            <w:r>
              <w:rPr>
                <w:rFonts w:ascii="Arial"/>
                <w:sz w:val="19"/>
              </w:rPr>
            </w:r>
          </w:p>
        </w:tc>
        <w:tc>
          <w:tcPr>
            <w:tcW w:w="96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4"/>
              <w:ind w:right="50"/>
              <w:jc w:val="right"/>
              <w:rPr>
                <w:rFonts w:ascii="Arial" w:hAnsi="Arial" w:cs="Arial" w:eastAsia="Arial" w:hint="default"/>
                <w:sz w:val="19"/>
                <w:szCs w:val="19"/>
              </w:rPr>
            </w:pPr>
            <w:r>
              <w:rPr>
                <w:rFonts w:ascii="Arial"/>
                <w:w w:val="95"/>
                <w:sz w:val="19"/>
              </w:rPr>
              <w:t>15,954.09</w:t>
            </w:r>
            <w:r>
              <w:rPr>
                <w:rFonts w:ascii="Arial"/>
                <w:sz w:val="19"/>
              </w:rPr>
            </w:r>
          </w:p>
        </w:tc>
        <w:tc>
          <w:tcPr>
            <w:tcW w:w="10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4"/>
              <w:ind w:right="53"/>
              <w:jc w:val="right"/>
              <w:rPr>
                <w:rFonts w:ascii="Arial" w:hAnsi="Arial" w:cs="Arial" w:eastAsia="Arial" w:hint="default"/>
                <w:sz w:val="19"/>
                <w:szCs w:val="19"/>
              </w:rPr>
            </w:pPr>
            <w:r>
              <w:rPr>
                <w:rFonts w:ascii="Arial"/>
                <w:spacing w:val="-1"/>
                <w:sz w:val="19"/>
              </w:rPr>
              <w:t>-10,551.59</w:t>
            </w:r>
          </w:p>
        </w:tc>
        <w:tc>
          <w:tcPr>
            <w:tcW w:w="94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64"/>
              <w:ind w:right="53"/>
              <w:jc w:val="right"/>
              <w:rPr>
                <w:rFonts w:ascii="Arial" w:hAnsi="Arial" w:cs="Arial" w:eastAsia="Arial" w:hint="default"/>
                <w:sz w:val="19"/>
                <w:szCs w:val="19"/>
              </w:rPr>
            </w:pPr>
            <w:r>
              <w:rPr>
                <w:rFonts w:ascii="Arial"/>
                <w:w w:val="95"/>
                <w:sz w:val="19"/>
              </w:rPr>
              <w:t>441.06</w:t>
            </w:r>
            <w:r>
              <w:rPr>
                <w:rFonts w:ascii="Arial"/>
                <w:sz w:val="19"/>
              </w:rPr>
            </w:r>
          </w:p>
        </w:tc>
      </w:tr>
      <w:tr>
        <w:trPr>
          <w:trHeight w:val="358" w:hRule="exact"/>
        </w:trPr>
        <w:tc>
          <w:tcPr>
            <w:tcW w:w="310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7" w:right="0"/>
              <w:jc w:val="left"/>
              <w:rPr>
                <w:rFonts w:ascii="宋体" w:hAnsi="宋体" w:cs="宋体" w:eastAsia="宋体" w:hint="default"/>
                <w:sz w:val="21"/>
                <w:szCs w:val="21"/>
              </w:rPr>
            </w:pPr>
            <w:r>
              <w:rPr>
                <w:rFonts w:ascii="宋体" w:hAnsi="宋体" w:cs="宋体" w:eastAsia="宋体" w:hint="default"/>
                <w:sz w:val="21"/>
                <w:szCs w:val="21"/>
              </w:rPr>
              <w:t>北大荒鑫都建筑工程有限公司</w:t>
            </w:r>
          </w:p>
        </w:tc>
        <w:tc>
          <w:tcPr>
            <w:tcW w:w="157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50" w:right="0"/>
              <w:jc w:val="left"/>
              <w:rPr>
                <w:rFonts w:ascii="宋体" w:hAnsi="宋体" w:cs="宋体" w:eastAsia="宋体" w:hint="default"/>
                <w:sz w:val="21"/>
                <w:szCs w:val="21"/>
              </w:rPr>
            </w:pPr>
            <w:r>
              <w:rPr>
                <w:rFonts w:ascii="宋体" w:hAnsi="宋体" w:cs="宋体" w:eastAsia="宋体" w:hint="default"/>
                <w:sz w:val="21"/>
                <w:szCs w:val="21"/>
              </w:rPr>
              <w:t>建筑施工</w:t>
            </w:r>
          </w:p>
        </w:tc>
        <w:tc>
          <w:tcPr>
            <w:tcW w:w="104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4"/>
              <w:ind w:right="50"/>
              <w:jc w:val="right"/>
              <w:rPr>
                <w:rFonts w:ascii="Arial" w:hAnsi="Arial" w:cs="Arial" w:eastAsia="Arial" w:hint="default"/>
                <w:sz w:val="19"/>
                <w:szCs w:val="19"/>
              </w:rPr>
            </w:pPr>
            <w:r>
              <w:rPr>
                <w:rFonts w:ascii="Arial"/>
                <w:w w:val="95"/>
                <w:sz w:val="19"/>
              </w:rPr>
              <w:t>5,000</w:t>
            </w:r>
            <w:r>
              <w:rPr>
                <w:rFonts w:ascii="Arial"/>
                <w:sz w:val="19"/>
              </w:rPr>
            </w:r>
          </w:p>
        </w:tc>
        <w:tc>
          <w:tcPr>
            <w:tcW w:w="96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4"/>
              <w:ind w:right="50"/>
              <w:jc w:val="right"/>
              <w:rPr>
                <w:rFonts w:ascii="Arial" w:hAnsi="Arial" w:cs="Arial" w:eastAsia="Arial" w:hint="default"/>
                <w:sz w:val="19"/>
                <w:szCs w:val="19"/>
              </w:rPr>
            </w:pPr>
            <w:r>
              <w:rPr>
                <w:rFonts w:ascii="Arial"/>
                <w:w w:val="95"/>
                <w:sz w:val="19"/>
              </w:rPr>
              <w:t>4,202.14</w:t>
            </w:r>
            <w:r>
              <w:rPr>
                <w:rFonts w:ascii="Arial"/>
                <w:sz w:val="19"/>
              </w:rPr>
            </w:r>
          </w:p>
        </w:tc>
        <w:tc>
          <w:tcPr>
            <w:tcW w:w="10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4"/>
              <w:ind w:right="51"/>
              <w:jc w:val="right"/>
              <w:rPr>
                <w:rFonts w:ascii="Arial" w:hAnsi="Arial" w:cs="Arial" w:eastAsia="Arial" w:hint="default"/>
                <w:sz w:val="19"/>
                <w:szCs w:val="19"/>
              </w:rPr>
            </w:pPr>
            <w:r>
              <w:rPr>
                <w:rFonts w:ascii="Arial"/>
                <w:w w:val="95"/>
                <w:sz w:val="19"/>
              </w:rPr>
              <w:t>3,951.22</w:t>
            </w:r>
            <w:r>
              <w:rPr>
                <w:rFonts w:ascii="Arial"/>
                <w:sz w:val="19"/>
              </w:rPr>
            </w:r>
          </w:p>
        </w:tc>
        <w:tc>
          <w:tcPr>
            <w:tcW w:w="94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64"/>
              <w:ind w:right="53"/>
              <w:jc w:val="right"/>
              <w:rPr>
                <w:rFonts w:ascii="Arial" w:hAnsi="Arial" w:cs="Arial" w:eastAsia="Arial" w:hint="default"/>
                <w:sz w:val="19"/>
                <w:szCs w:val="19"/>
              </w:rPr>
            </w:pPr>
            <w:r>
              <w:rPr>
                <w:rFonts w:ascii="Arial"/>
                <w:spacing w:val="-1"/>
                <w:sz w:val="19"/>
              </w:rPr>
              <w:t>-81.73</w:t>
            </w:r>
          </w:p>
        </w:tc>
      </w:tr>
      <w:tr>
        <w:trPr>
          <w:trHeight w:val="554" w:hRule="exact"/>
        </w:trPr>
        <w:tc>
          <w:tcPr>
            <w:tcW w:w="3101" w:type="dxa"/>
            <w:tcBorders>
              <w:top w:val="single" w:sz="4" w:space="0" w:color="41B7EE"/>
              <w:left w:val="nil" w:sz="6" w:space="0" w:color="auto"/>
              <w:bottom w:val="single" w:sz="4" w:space="0" w:color="41B7EE"/>
              <w:right w:val="single" w:sz="4" w:space="0" w:color="41B7EE"/>
            </w:tcBorders>
          </w:tcPr>
          <w:p>
            <w:pPr>
              <w:pStyle w:val="TableParagraph"/>
              <w:spacing w:line="239" w:lineRule="exact"/>
              <w:ind w:left="57" w:right="0"/>
              <w:jc w:val="left"/>
              <w:rPr>
                <w:rFonts w:ascii="宋体" w:hAnsi="宋体" w:cs="宋体" w:eastAsia="宋体" w:hint="default"/>
                <w:sz w:val="21"/>
                <w:szCs w:val="21"/>
              </w:rPr>
            </w:pPr>
            <w:r>
              <w:rPr>
                <w:rFonts w:ascii="宋体" w:hAnsi="宋体" w:cs="宋体" w:eastAsia="宋体" w:hint="default"/>
                <w:sz w:val="21"/>
                <w:szCs w:val="21"/>
              </w:rPr>
              <w:t>黑龙江省宝泉岭农垦四方山石墨</w:t>
            </w:r>
          </w:p>
          <w:p>
            <w:pPr>
              <w:pStyle w:val="TableParagraph"/>
              <w:spacing w:line="273" w:lineRule="exact"/>
              <w:ind w:left="57" w:right="0"/>
              <w:jc w:val="left"/>
              <w:rPr>
                <w:rFonts w:ascii="宋体" w:hAnsi="宋体" w:cs="宋体" w:eastAsia="宋体" w:hint="default"/>
                <w:sz w:val="21"/>
                <w:szCs w:val="21"/>
              </w:rPr>
            </w:pPr>
            <w:r>
              <w:rPr>
                <w:rFonts w:ascii="宋体" w:hAnsi="宋体" w:cs="宋体" w:eastAsia="宋体" w:hint="default"/>
                <w:sz w:val="21"/>
                <w:szCs w:val="21"/>
              </w:rPr>
              <w:t>产业有限公司</w:t>
            </w:r>
          </w:p>
        </w:tc>
        <w:tc>
          <w:tcPr>
            <w:tcW w:w="157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0"/>
              <w:ind w:left="50" w:right="0"/>
              <w:jc w:val="left"/>
              <w:rPr>
                <w:rFonts w:ascii="宋体" w:hAnsi="宋体" w:cs="宋体" w:eastAsia="宋体" w:hint="default"/>
                <w:sz w:val="21"/>
                <w:szCs w:val="21"/>
              </w:rPr>
            </w:pPr>
            <w:r>
              <w:rPr>
                <w:rFonts w:ascii="宋体" w:hAnsi="宋体" w:cs="宋体" w:eastAsia="宋体" w:hint="default"/>
                <w:sz w:val="21"/>
                <w:szCs w:val="21"/>
              </w:rPr>
              <w:t>采矿业</w:t>
            </w:r>
          </w:p>
        </w:tc>
        <w:tc>
          <w:tcPr>
            <w:tcW w:w="104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50"/>
              <w:jc w:val="right"/>
              <w:rPr>
                <w:rFonts w:ascii="Arial" w:hAnsi="Arial" w:cs="Arial" w:eastAsia="Arial" w:hint="default"/>
                <w:sz w:val="19"/>
                <w:szCs w:val="19"/>
              </w:rPr>
            </w:pPr>
            <w:r>
              <w:rPr>
                <w:rFonts w:ascii="Arial"/>
                <w:w w:val="95"/>
                <w:sz w:val="19"/>
              </w:rPr>
              <w:t>1,000</w:t>
            </w:r>
            <w:r>
              <w:rPr>
                <w:rFonts w:ascii="Arial"/>
                <w:sz w:val="19"/>
              </w:rPr>
            </w:r>
          </w:p>
        </w:tc>
        <w:tc>
          <w:tcPr>
            <w:tcW w:w="96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50"/>
              <w:jc w:val="right"/>
              <w:rPr>
                <w:rFonts w:ascii="Arial" w:hAnsi="Arial" w:cs="Arial" w:eastAsia="Arial" w:hint="default"/>
                <w:sz w:val="19"/>
                <w:szCs w:val="19"/>
              </w:rPr>
            </w:pPr>
            <w:r>
              <w:rPr>
                <w:rFonts w:ascii="Arial"/>
                <w:w w:val="95"/>
                <w:sz w:val="19"/>
              </w:rPr>
              <w:t>2,223.58</w:t>
            </w:r>
            <w:r>
              <w:rPr>
                <w:rFonts w:ascii="Arial"/>
                <w:sz w:val="19"/>
              </w:rPr>
            </w:r>
          </w:p>
        </w:tc>
        <w:tc>
          <w:tcPr>
            <w:tcW w:w="10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51"/>
              <w:jc w:val="right"/>
              <w:rPr>
                <w:rFonts w:ascii="Arial" w:hAnsi="Arial" w:cs="Arial" w:eastAsia="Arial" w:hint="default"/>
                <w:sz w:val="19"/>
                <w:szCs w:val="19"/>
              </w:rPr>
            </w:pPr>
            <w:r>
              <w:rPr>
                <w:rFonts w:ascii="Arial"/>
                <w:w w:val="95"/>
                <w:sz w:val="19"/>
              </w:rPr>
              <w:t>996.22</w:t>
            </w:r>
            <w:r>
              <w:rPr>
                <w:rFonts w:ascii="Arial"/>
                <w:sz w:val="19"/>
              </w:rPr>
            </w:r>
          </w:p>
        </w:tc>
        <w:tc>
          <w:tcPr>
            <w:tcW w:w="94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53"/>
              <w:jc w:val="right"/>
              <w:rPr>
                <w:rFonts w:ascii="Arial" w:hAnsi="Arial" w:cs="Arial" w:eastAsia="Arial" w:hint="default"/>
                <w:sz w:val="19"/>
                <w:szCs w:val="19"/>
              </w:rPr>
            </w:pPr>
            <w:r>
              <w:rPr>
                <w:rFonts w:ascii="Arial"/>
                <w:w w:val="95"/>
                <w:sz w:val="19"/>
              </w:rPr>
              <w:t>0.80</w:t>
            </w:r>
            <w:r>
              <w:rPr>
                <w:rFonts w:ascii="Arial"/>
                <w:sz w:val="19"/>
              </w:rPr>
            </w:r>
          </w:p>
        </w:tc>
      </w:tr>
      <w:tr>
        <w:trPr>
          <w:trHeight w:val="362" w:hRule="exact"/>
        </w:trPr>
        <w:tc>
          <w:tcPr>
            <w:tcW w:w="3101"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2"/>
              <w:ind w:left="57" w:right="0"/>
              <w:jc w:val="left"/>
              <w:rPr>
                <w:rFonts w:ascii="宋体" w:hAnsi="宋体" w:cs="宋体" w:eastAsia="宋体" w:hint="default"/>
                <w:sz w:val="21"/>
                <w:szCs w:val="21"/>
              </w:rPr>
            </w:pPr>
            <w:r>
              <w:rPr>
                <w:rFonts w:ascii="宋体" w:hAnsi="宋体" w:cs="宋体" w:eastAsia="宋体" w:hint="default"/>
                <w:sz w:val="21"/>
                <w:szCs w:val="21"/>
              </w:rPr>
              <w:t>黑龙江北大荒投资管理有限公司</w:t>
            </w:r>
          </w:p>
        </w:tc>
        <w:tc>
          <w:tcPr>
            <w:tcW w:w="1577"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11"/>
              <w:ind w:left="50" w:right="0"/>
              <w:jc w:val="left"/>
              <w:rPr>
                <w:rFonts w:ascii="宋体" w:hAnsi="宋体" w:cs="宋体" w:eastAsia="宋体" w:hint="default"/>
                <w:sz w:val="20"/>
                <w:szCs w:val="20"/>
              </w:rPr>
            </w:pPr>
            <w:r>
              <w:rPr>
                <w:rFonts w:ascii="宋体" w:hAnsi="宋体" w:cs="宋体" w:eastAsia="宋体" w:hint="default"/>
                <w:sz w:val="20"/>
                <w:szCs w:val="20"/>
              </w:rPr>
              <w:t>投资管理、咨询</w:t>
            </w:r>
          </w:p>
        </w:tc>
        <w:tc>
          <w:tcPr>
            <w:tcW w:w="1044"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64"/>
              <w:ind w:right="50"/>
              <w:jc w:val="right"/>
              <w:rPr>
                <w:rFonts w:ascii="Arial" w:hAnsi="Arial" w:cs="Arial" w:eastAsia="Arial" w:hint="default"/>
                <w:sz w:val="19"/>
                <w:szCs w:val="19"/>
              </w:rPr>
            </w:pPr>
            <w:r>
              <w:rPr>
                <w:rFonts w:ascii="Arial"/>
                <w:w w:val="95"/>
                <w:sz w:val="19"/>
              </w:rPr>
              <w:t>10,000</w:t>
            </w:r>
            <w:r>
              <w:rPr>
                <w:rFonts w:ascii="Arial"/>
                <w:sz w:val="19"/>
              </w:rPr>
            </w:r>
          </w:p>
        </w:tc>
        <w:tc>
          <w:tcPr>
            <w:tcW w:w="960"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64"/>
              <w:ind w:right="50"/>
              <w:jc w:val="right"/>
              <w:rPr>
                <w:rFonts w:ascii="Arial" w:hAnsi="Arial" w:cs="Arial" w:eastAsia="Arial" w:hint="default"/>
                <w:sz w:val="19"/>
                <w:szCs w:val="19"/>
              </w:rPr>
            </w:pPr>
            <w:r>
              <w:rPr>
                <w:rFonts w:ascii="Arial"/>
                <w:w w:val="95"/>
                <w:sz w:val="19"/>
              </w:rPr>
              <w:t>5,581.39</w:t>
            </w:r>
            <w:r>
              <w:rPr>
                <w:rFonts w:ascii="Arial"/>
                <w:sz w:val="19"/>
              </w:rPr>
            </w:r>
          </w:p>
        </w:tc>
        <w:tc>
          <w:tcPr>
            <w:tcW w:w="1033"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64"/>
              <w:ind w:right="51"/>
              <w:jc w:val="right"/>
              <w:rPr>
                <w:rFonts w:ascii="Arial" w:hAnsi="Arial" w:cs="Arial" w:eastAsia="Arial" w:hint="default"/>
                <w:sz w:val="19"/>
                <w:szCs w:val="19"/>
              </w:rPr>
            </w:pPr>
            <w:r>
              <w:rPr>
                <w:rFonts w:ascii="Arial"/>
                <w:w w:val="95"/>
                <w:sz w:val="19"/>
              </w:rPr>
              <w:t>5,581.39</w:t>
            </w:r>
            <w:r>
              <w:rPr>
                <w:rFonts w:ascii="Arial"/>
                <w:sz w:val="19"/>
              </w:rPr>
            </w:r>
          </w:p>
        </w:tc>
        <w:tc>
          <w:tcPr>
            <w:tcW w:w="946"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64"/>
              <w:ind w:right="55"/>
              <w:jc w:val="right"/>
              <w:rPr>
                <w:rFonts w:ascii="Arial" w:hAnsi="Arial" w:cs="Arial" w:eastAsia="Arial" w:hint="default"/>
                <w:sz w:val="19"/>
                <w:szCs w:val="19"/>
              </w:rPr>
            </w:pPr>
            <w:r>
              <w:rPr>
                <w:rFonts w:ascii="Arial"/>
                <w:spacing w:val="-1"/>
                <w:sz w:val="19"/>
              </w:rPr>
              <w:t>-103.06</w:t>
            </w:r>
          </w:p>
        </w:tc>
      </w:tr>
    </w:tbl>
    <w:p>
      <w:pPr>
        <w:spacing w:line="240" w:lineRule="auto" w:before="11"/>
        <w:rPr>
          <w:rFonts w:ascii="宋体" w:hAnsi="宋体" w:cs="宋体" w:eastAsia="宋体" w:hint="default"/>
          <w:sz w:val="2"/>
          <w:szCs w:val="2"/>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34pt;height:1pt;mso-position-horizontal-relative:char;mso-position-vertical-relative:line" coordorigin="0,0" coordsize="8680,20">
            <v:group style="position:absolute;left:10;top:10;width:3097;height:2" coordorigin="10,10" coordsize="3097,2">
              <v:shape style="position:absolute;left:10;top:10;width:3097;height:2" coordorigin="10,10" coordsize="3097,0" path="m10,10l3106,10e" filled="false" stroked="true" strokeweight=".95996pt" strokecolor="#41b7ee">
                <v:path arrowok="t"/>
              </v:shape>
            </v:group>
            <v:group style="position:absolute;left:3106;top:10;width:58;height:2" coordorigin="3106,10" coordsize="58,2">
              <v:shape style="position:absolute;left:3106;top:10;width:58;height:2" coordorigin="3106,10" coordsize="58,0" path="m3106,10l3164,10e" filled="false" stroked="true" strokeweight=".95996pt" strokecolor="#41b7ee">
                <v:path arrowok="t"/>
              </v:shape>
            </v:group>
            <v:group style="position:absolute;left:3164;top:10;width:1520;height:2" coordorigin="3164,10" coordsize="1520,2">
              <v:shape style="position:absolute;left:3164;top:10;width:1520;height:2" coordorigin="3164,10" coordsize="1520,0" path="m3164,10l4683,10e" filled="false" stroked="true" strokeweight=".95996pt" strokecolor="#41b7ee">
                <v:path arrowok="t"/>
              </v:shape>
            </v:group>
            <v:group style="position:absolute;left:4683;top:10;width:59;height:2" coordorigin="4683,10" coordsize="59,2">
              <v:shape style="position:absolute;left:4683;top:10;width:59;height:2" coordorigin="4683,10" coordsize="59,0" path="m4683,10l4741,10e" filled="false" stroked="true" strokeweight=".95996pt" strokecolor="#41b7ee">
                <v:path arrowok="t"/>
              </v:shape>
            </v:group>
            <v:group style="position:absolute;left:4741;top:10;width:987;height:2" coordorigin="4741,10" coordsize="987,2">
              <v:shape style="position:absolute;left:4741;top:10;width:987;height:2" coordorigin="4741,10" coordsize="987,0" path="m4741,10l5727,10e" filled="false" stroked="true" strokeweight=".95996pt" strokecolor="#41b7ee">
                <v:path arrowok="t"/>
              </v:shape>
            </v:group>
            <v:group style="position:absolute;left:5727;top:10;width:58;height:2" coordorigin="5727,10" coordsize="58,2">
              <v:shape style="position:absolute;left:5727;top:10;width:58;height:2" coordorigin="5727,10" coordsize="58,0" path="m5727,10l5785,10e" filled="false" stroked="true" strokeweight=".95996pt" strokecolor="#41b7ee">
                <v:path arrowok="t"/>
              </v:shape>
            </v:group>
            <v:group style="position:absolute;left:5785;top:10;width:903;height:2" coordorigin="5785,10" coordsize="903,2">
              <v:shape style="position:absolute;left:5785;top:10;width:903;height:2" coordorigin="5785,10" coordsize="903,0" path="m5785,10l6687,10e" filled="false" stroked="true" strokeweight=".95996pt" strokecolor="#41b7ee">
                <v:path arrowok="t"/>
              </v:shape>
            </v:group>
            <v:group style="position:absolute;left:6687;top:10;width:58;height:2" coordorigin="6687,10" coordsize="58,2">
              <v:shape style="position:absolute;left:6687;top:10;width:58;height:2" coordorigin="6687,10" coordsize="58,0" path="m6687,10l6745,10e" filled="false" stroked="true" strokeweight=".95996pt" strokecolor="#41b7ee">
                <v:path arrowok="t"/>
              </v:shape>
            </v:group>
            <v:group style="position:absolute;left:6745;top:10;width:975;height:2" coordorigin="6745,10" coordsize="975,2">
              <v:shape style="position:absolute;left:6745;top:10;width:975;height:2" coordorigin="6745,10" coordsize="975,0" path="m6745,10l7720,10e" filled="false" stroked="true" strokeweight=".95996pt" strokecolor="#41b7ee">
                <v:path arrowok="t"/>
              </v:shape>
            </v:group>
            <v:group style="position:absolute;left:7720;top:10;width:58;height:2" coordorigin="7720,10" coordsize="58,2">
              <v:shape style="position:absolute;left:7720;top:10;width:58;height:2" coordorigin="7720,10" coordsize="58,0" path="m7720,10l7778,10e" filled="false" stroked="true" strokeweight=".95996pt" strokecolor="#41b7ee">
                <v:path arrowok="t"/>
              </v:shape>
            </v:group>
            <v:group style="position:absolute;left:7778;top:10;width:893;height:2" coordorigin="7778,10" coordsize="893,2">
              <v:shape style="position:absolute;left:7778;top:10;width:893;height:2" coordorigin="7778,10" coordsize="893,0" path="m7778,10l8670,10e" filled="false" stroked="true" strokeweight=".95996pt" strokecolor="#41b7ee">
                <v:path arrowok="t"/>
              </v:shape>
            </v:group>
          </v:group>
        </w:pict>
      </w:r>
      <w:r>
        <w:rPr>
          <w:rFonts w:ascii="宋体" w:hAnsi="宋体" w:cs="宋体" w:eastAsia="宋体" w:hint="default"/>
          <w:sz w:val="2"/>
          <w:szCs w:val="2"/>
        </w:rPr>
      </w:r>
    </w:p>
    <w:p>
      <w:pPr>
        <w:pStyle w:val="BodyText"/>
        <w:spacing w:line="240" w:lineRule="auto" w:before="11"/>
        <w:ind w:left="178" w:right="102"/>
        <w:jc w:val="left"/>
        <w:rPr>
          <w:rFonts w:ascii="宋体" w:hAnsi="宋体" w:cs="宋体" w:eastAsia="宋体" w:hint="default"/>
        </w:rPr>
      </w:pPr>
      <w:r>
        <w:rPr/>
        <w:t>变动情况说明：</w:t>
      </w:r>
      <w:r>
        <w:rPr>
          <w:rFonts w:ascii="宋体" w:hAnsi="宋体" w:cs="宋体" w:eastAsia="宋体" w:hint="default"/>
        </w:rPr>
        <w:t> </w:t>
      </w:r>
    </w:p>
    <w:p>
      <w:pPr>
        <w:pStyle w:val="BodyText"/>
        <w:spacing w:line="240" w:lineRule="auto" w:before="46"/>
        <w:ind w:left="598" w:right="102"/>
        <w:jc w:val="left"/>
      </w:pPr>
      <w:r>
        <w:rPr/>
        <w:t>（</w:t>
      </w:r>
      <w:r>
        <w:rPr>
          <w:rFonts w:ascii="Arial" w:hAnsi="Arial" w:cs="Arial" w:eastAsia="Arial" w:hint="default"/>
        </w:rPr>
        <w:t>1</w:t>
      </w:r>
      <w:r>
        <w:rPr/>
        <w:t>）纸业公司净利润同比减少</w:t>
      </w:r>
      <w:r>
        <w:rPr>
          <w:spacing w:val="-56"/>
        </w:rPr>
        <w:t> </w:t>
      </w:r>
      <w:r>
        <w:rPr>
          <w:rFonts w:ascii="Arial" w:hAnsi="Arial" w:cs="Arial" w:eastAsia="Arial" w:hint="default"/>
        </w:rPr>
        <w:t>26.33</w:t>
      </w:r>
      <w:r>
        <w:rPr>
          <w:rFonts w:ascii="Arial" w:hAnsi="Arial" w:cs="Arial" w:eastAsia="Arial" w:hint="default"/>
          <w:spacing w:val="-11"/>
        </w:rPr>
        <w:t> </w:t>
      </w:r>
      <w:r>
        <w:rPr/>
        <w:t>万元，主要原因为债务重组利得同比减少所致。</w:t>
      </w:r>
    </w:p>
    <w:p>
      <w:pPr>
        <w:pStyle w:val="BodyText"/>
        <w:spacing w:line="264" w:lineRule="auto" w:before="29"/>
        <w:ind w:left="178" w:right="228" w:firstLine="419"/>
        <w:jc w:val="left"/>
      </w:pPr>
      <w:r>
        <w:rPr/>
        <w:t>（</w:t>
      </w:r>
      <w:r>
        <w:rPr>
          <w:rFonts w:ascii="Arial" w:hAnsi="Arial" w:cs="Arial" w:eastAsia="Arial" w:hint="default"/>
        </w:rPr>
        <w:t>2</w:t>
      </w:r>
      <w:r>
        <w:rPr/>
        <w:t>）麦芽公司净利润同比减少</w:t>
      </w:r>
      <w:r>
        <w:rPr>
          <w:spacing w:val="-57"/>
        </w:rPr>
        <w:t> </w:t>
      </w:r>
      <w:r>
        <w:rPr>
          <w:rFonts w:ascii="Arial" w:hAnsi="Arial" w:cs="Arial" w:eastAsia="Arial" w:hint="default"/>
        </w:rPr>
        <w:t>1,220.91</w:t>
      </w:r>
      <w:r>
        <w:rPr>
          <w:rFonts w:ascii="Arial" w:hAnsi="Arial" w:cs="Arial" w:eastAsia="Arial" w:hint="default"/>
          <w:spacing w:val="-10"/>
        </w:rPr>
        <w:t> </w:t>
      </w:r>
      <w:r>
        <w:rPr/>
        <w:t>万元，主要原因为确认联营企业投资损失增加以及</w:t>
      </w:r>
      <w:r>
        <w:rPr>
          <w:w w:val="100"/>
        </w:rPr>
        <w:t> </w:t>
      </w:r>
      <w:r>
        <w:rPr/>
        <w:t>转回坏账损失减少等原因所致。</w:t>
      </w:r>
    </w:p>
    <w:p>
      <w:pPr>
        <w:pStyle w:val="BodyText"/>
        <w:spacing w:line="264" w:lineRule="auto" w:before="25"/>
        <w:ind w:left="178" w:right="202" w:firstLine="419"/>
        <w:jc w:val="left"/>
      </w:pPr>
      <w:r>
        <w:rPr/>
        <w:t>（</w:t>
      </w:r>
      <w:r>
        <w:rPr>
          <w:rFonts w:ascii="Arial" w:hAnsi="Arial" w:cs="Arial" w:eastAsia="Arial" w:hint="default"/>
        </w:rPr>
        <w:t>3</w:t>
      </w:r>
      <w:r>
        <w:rPr/>
        <w:t>）鑫亚公司净利润同比增加</w:t>
      </w:r>
      <w:r>
        <w:rPr>
          <w:spacing w:val="-61"/>
        </w:rPr>
        <w:t> </w:t>
      </w:r>
      <w:r>
        <w:rPr>
          <w:rFonts w:ascii="Arial" w:hAnsi="Arial" w:cs="Arial" w:eastAsia="Arial" w:hint="default"/>
        </w:rPr>
        <w:t>994.10</w:t>
      </w:r>
      <w:r>
        <w:rPr>
          <w:rFonts w:ascii="Arial" w:hAnsi="Arial" w:cs="Arial" w:eastAsia="Arial" w:hint="default"/>
          <w:spacing w:val="-15"/>
        </w:rPr>
        <w:t> </w:t>
      </w:r>
      <w:r>
        <w:rPr/>
        <w:t>万元，主要原因为根据减值测试结果计提应收款坏账</w:t>
      </w:r>
      <w:r>
        <w:rPr>
          <w:w w:val="100"/>
        </w:rPr>
        <w:t> </w:t>
      </w:r>
      <w:r>
        <w:rPr/>
        <w:t>损失同比减少形成。</w:t>
      </w:r>
    </w:p>
    <w:p>
      <w:pPr>
        <w:pStyle w:val="BodyText"/>
        <w:spacing w:line="240" w:lineRule="auto" w:before="23"/>
        <w:ind w:left="598" w:right="0"/>
        <w:jc w:val="left"/>
      </w:pPr>
      <w:r>
        <w:rPr/>
        <w:t>（</w:t>
      </w:r>
      <w:r>
        <w:rPr>
          <w:rFonts w:ascii="Arial" w:hAnsi="Arial" w:cs="Arial" w:eastAsia="Arial" w:hint="default"/>
        </w:rPr>
        <w:t>4</w:t>
      </w:r>
      <w:r>
        <w:rPr/>
        <w:t>）鑫都公司净利润同比增加</w:t>
      </w:r>
      <w:r>
        <w:rPr>
          <w:spacing w:val="-52"/>
        </w:rPr>
        <w:t> </w:t>
      </w:r>
      <w:r>
        <w:rPr>
          <w:rFonts w:ascii="Arial" w:hAnsi="Arial" w:cs="Arial" w:eastAsia="Arial" w:hint="default"/>
        </w:rPr>
        <w:t>12,893.18</w:t>
      </w:r>
      <w:r>
        <w:rPr>
          <w:rFonts w:ascii="Arial" w:hAnsi="Arial" w:cs="Arial" w:eastAsia="Arial" w:hint="default"/>
          <w:spacing w:val="-6"/>
        </w:rPr>
        <w:t> </w:t>
      </w:r>
      <w:r>
        <w:rPr/>
        <w:t>万元，主要原因为资金占用费支出同比减少形成。</w:t>
      </w:r>
    </w:p>
    <w:p>
      <w:pPr>
        <w:pStyle w:val="BodyText"/>
        <w:spacing w:line="264" w:lineRule="auto" w:before="32"/>
        <w:ind w:left="178" w:right="202" w:firstLine="419"/>
        <w:jc w:val="left"/>
      </w:pPr>
      <w:r>
        <w:rPr/>
        <w:t>（</w:t>
      </w:r>
      <w:r>
        <w:rPr>
          <w:rFonts w:ascii="Arial" w:hAnsi="Arial" w:cs="Arial" w:eastAsia="Arial" w:hint="default"/>
        </w:rPr>
        <w:t>5</w:t>
      </w:r>
      <w:r>
        <w:rPr/>
        <w:t>）投资管理公司净利润同比增加</w:t>
      </w:r>
      <w:r>
        <w:rPr>
          <w:spacing w:val="-61"/>
        </w:rPr>
        <w:t> </w:t>
      </w:r>
      <w:r>
        <w:rPr>
          <w:rFonts w:ascii="Arial" w:hAnsi="Arial" w:cs="Arial" w:eastAsia="Arial" w:hint="default"/>
        </w:rPr>
        <w:t>101.14</w:t>
      </w:r>
      <w:r>
        <w:rPr>
          <w:rFonts w:ascii="Arial" w:hAnsi="Arial" w:cs="Arial" w:eastAsia="Arial" w:hint="default"/>
          <w:spacing w:val="-15"/>
        </w:rPr>
        <w:t> </w:t>
      </w:r>
      <w:r>
        <w:rPr/>
        <w:t>万元，主要原因为确认联营企业投资损失减少形</w:t>
      </w:r>
      <w:r>
        <w:rPr>
          <w:w w:val="100"/>
        </w:rPr>
        <w:t> </w:t>
      </w:r>
      <w:r>
        <w:rPr/>
        <w:t>成。</w:t>
      </w:r>
    </w:p>
    <w:p>
      <w:pPr>
        <w:pStyle w:val="Heading2"/>
        <w:spacing w:line="253" w:lineRule="exact" w:before="0"/>
        <w:ind w:left="178" w:right="102"/>
        <w:jc w:val="left"/>
        <w:rPr>
          <w:rFonts w:ascii="宋体" w:hAnsi="宋体" w:cs="宋体" w:eastAsia="宋体" w:hint="default"/>
          <w:b w:val="0"/>
          <w:bCs w:val="0"/>
        </w:rPr>
      </w:pPr>
      <w:r>
        <w:rPr>
          <w:rFonts w:ascii="宋体" w:hAnsi="宋体" w:cs="宋体" w:eastAsia="宋体" w:hint="default"/>
        </w:rPr>
        <w:t>2.</w:t>
      </w:r>
      <w:r>
        <w:rPr/>
        <w:t>主要参股公司情况</w:t>
      </w:r>
      <w:r>
        <w:rPr>
          <w:rFonts w:ascii="宋体" w:hAnsi="宋体" w:cs="宋体" w:eastAsia="宋体" w:hint="default"/>
          <w:w w:val="99"/>
        </w:rPr>
        <w:t> </w:t>
      </w:r>
      <w:r>
        <w:rPr>
          <w:rFonts w:ascii="宋体" w:hAnsi="宋体" w:cs="宋体" w:eastAsia="宋体" w:hint="default"/>
          <w:b w:val="0"/>
          <w:bCs w:val="0"/>
        </w:rPr>
      </w:r>
    </w:p>
    <w:p>
      <w:pPr>
        <w:spacing w:after="0" w:line="253" w:lineRule="exact"/>
        <w:jc w:val="left"/>
        <w:rPr>
          <w:rFonts w:ascii="宋体" w:hAnsi="宋体" w:cs="宋体" w:eastAsia="宋体" w:hint="default"/>
        </w:rPr>
        <w:sectPr>
          <w:footerReference w:type="default" r:id="rId12"/>
          <w:pgSz w:w="11910" w:h="16840"/>
          <w:pgMar w:footer="1195" w:header="825" w:top="1360" w:bottom="1380" w:left="1620" w:right="1060"/>
        </w:sectPr>
      </w:pPr>
    </w:p>
    <w:p>
      <w:pPr>
        <w:pStyle w:val="BodyText"/>
        <w:spacing w:line="240" w:lineRule="auto" w:before="119"/>
        <w:ind w:left="0" w:right="255"/>
        <w:jc w:val="right"/>
        <w:rPr>
          <w:rFonts w:ascii="宋体" w:hAnsi="宋体" w:cs="宋体" w:eastAsia="宋体" w:hint="default"/>
        </w:rPr>
      </w:pPr>
      <w:r>
        <w:rPr/>
        <w:t>单位：万元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37pt;height:1pt;mso-position-horizontal-relative:char;mso-position-vertical-relative:line" coordorigin="0,0" coordsize="8740,20">
            <v:group style="position:absolute;left:10;top:10;width:2576;height:2" coordorigin="10,10" coordsize="2576,2">
              <v:shape style="position:absolute;left:10;top:10;width:2576;height:2" coordorigin="10,10" coordsize="2576,0" path="m10,10l2585,10e" filled="false" stroked="true" strokeweight=".96pt" strokecolor="#41b7ee">
                <v:path arrowok="t"/>
              </v:shape>
            </v:group>
            <v:group style="position:absolute;left:2585;top:10;width:58;height:2" coordorigin="2585,10" coordsize="58,2">
              <v:shape style="position:absolute;left:2585;top:10;width:58;height:2" coordorigin="2585,10" coordsize="58,0" path="m2585,10l2643,10e" filled="false" stroked="true" strokeweight=".96pt" strokecolor="#41b7ee">
                <v:path arrowok="t"/>
              </v:shape>
            </v:group>
            <v:group style="position:absolute;left:2643;top:10;width:1361;height:2" coordorigin="2643,10" coordsize="1361,2">
              <v:shape style="position:absolute;left:2643;top:10;width:1361;height:2" coordorigin="2643,10" coordsize="1361,0" path="m2643,10l4004,10e" filled="false" stroked="true" strokeweight=".96pt" strokecolor="#41b7ee">
                <v:path arrowok="t"/>
              </v:shape>
            </v:group>
            <v:group style="position:absolute;left:4004;top:10;width:58;height:2" coordorigin="4004,10" coordsize="58,2">
              <v:shape style="position:absolute;left:4004;top:10;width:58;height:2" coordorigin="4004,10" coordsize="58,0" path="m4004,10l4061,10e" filled="false" stroked="true" strokeweight=".96pt" strokecolor="#41b7ee">
                <v:path arrowok="t"/>
              </v:shape>
            </v:group>
            <v:group style="position:absolute;left:4061;top:10;width:550;height:2" coordorigin="4061,10" coordsize="550,2">
              <v:shape style="position:absolute;left:4061;top:10;width:550;height:2" coordorigin="4061,10" coordsize="550,0" path="m4061,10l4611,10e" filled="false" stroked="true" strokeweight=".96pt" strokecolor="#41b7ee">
                <v:path arrowok="t"/>
              </v:shape>
            </v:group>
            <v:group style="position:absolute;left:4611;top:10;width:58;height:2" coordorigin="4611,10" coordsize="58,2">
              <v:shape style="position:absolute;left:4611;top:10;width:58;height:2" coordorigin="4611,10" coordsize="58,0" path="m4611,10l4669,10e" filled="false" stroked="true" strokeweight=".96pt" strokecolor="#41b7ee">
                <v:path arrowok="t"/>
              </v:shape>
            </v:group>
            <v:group style="position:absolute;left:4669;top:10;width:606;height:2" coordorigin="4669,10" coordsize="606,2">
              <v:shape style="position:absolute;left:4669;top:10;width:606;height:2" coordorigin="4669,10" coordsize="606,0" path="m4669,10l5274,10e" filled="false" stroked="true" strokeweight=".96pt" strokecolor="#41b7ee">
                <v:path arrowok="t"/>
              </v:shape>
            </v:group>
            <v:group style="position:absolute;left:5274;top:10;width:58;height:2" coordorigin="5274,10" coordsize="58,2">
              <v:shape style="position:absolute;left:5274;top:10;width:58;height:2" coordorigin="5274,10" coordsize="58,0" path="m5274,10l5331,10e" filled="false" stroked="true" strokeweight=".96pt" strokecolor="#41b7ee">
                <v:path arrowok="t"/>
              </v:shape>
            </v:group>
            <v:group style="position:absolute;left:5331;top:10;width:800;height:2" coordorigin="5331,10" coordsize="800,2">
              <v:shape style="position:absolute;left:5331;top:10;width:800;height:2" coordorigin="5331,10" coordsize="800,0" path="m5331,10l6131,10e" filled="false" stroked="true" strokeweight=".96pt" strokecolor="#41b7ee">
                <v:path arrowok="t"/>
              </v:shape>
            </v:group>
            <v:group style="position:absolute;left:6131;top:10;width:58;height:2" coordorigin="6131,10" coordsize="58,2">
              <v:shape style="position:absolute;left:6131;top:10;width:58;height:2" coordorigin="6131,10" coordsize="58,0" path="m6131,10l6188,10e" filled="false" stroked="true" strokeweight=".96pt" strokecolor="#41b7ee">
                <v:path arrowok="t"/>
              </v:shape>
            </v:group>
            <v:group style="position:absolute;left:6188;top:10;width:831;height:2" coordorigin="6188,10" coordsize="831,2">
              <v:shape style="position:absolute;left:6188;top:10;width:831;height:2" coordorigin="6188,10" coordsize="831,0" path="m6188,10l7019,10e" filled="false" stroked="true" strokeweight=".96pt" strokecolor="#41b7ee">
                <v:path arrowok="t"/>
              </v:shape>
            </v:group>
            <v:group style="position:absolute;left:7019;top:10;width:58;height:2" coordorigin="7019,10" coordsize="58,2">
              <v:shape style="position:absolute;left:7019;top:10;width:58;height:2" coordorigin="7019,10" coordsize="58,0" path="m7019,10l7076,10e" filled="false" stroked="true" strokeweight=".96pt" strokecolor="#41b7ee">
                <v:path arrowok="t"/>
              </v:shape>
            </v:group>
            <v:group style="position:absolute;left:7076;top:10;width:800;height:2" coordorigin="7076,10" coordsize="800,2">
              <v:shape style="position:absolute;left:7076;top:10;width:800;height:2" coordorigin="7076,10" coordsize="800,0" path="m7076,10l7876,10e" filled="false" stroked="true" strokeweight=".96pt" strokecolor="#41b7ee">
                <v:path arrowok="t"/>
              </v:shape>
            </v:group>
            <v:group style="position:absolute;left:7876;top:10;width:58;height:2" coordorigin="7876,10" coordsize="58,2">
              <v:shape style="position:absolute;left:7876;top:10;width:58;height:2" coordorigin="7876,10" coordsize="58,0" path="m7876,10l7934,10e" filled="false" stroked="true" strokeweight=".96pt" strokecolor="#41b7ee">
                <v:path arrowok="t"/>
              </v:shape>
            </v:group>
            <v:group style="position:absolute;left:7934;top:10;width:797;height:2" coordorigin="7934,10" coordsize="797,2">
              <v:shape style="position:absolute;left:7934;top:10;width:797;height:2" coordorigin="7934,10" coordsize="797,0" path="m7934,10l8730,10e" filled="false" stroked="true" strokeweight=".96pt" strokecolor="#41b7ee">
                <v:path arrowok="t"/>
              </v:shape>
            </v:group>
          </v:group>
        </w:pict>
      </w:r>
      <w:r>
        <w:rPr>
          <w:rFonts w:ascii="宋体" w:hAnsi="宋体" w:cs="宋体" w:eastAsia="宋体" w:hint="default"/>
          <w:sz w:val="2"/>
          <w:szCs w:val="2"/>
        </w:rPr>
      </w:r>
    </w:p>
    <w:tbl>
      <w:tblPr>
        <w:tblW w:w="0" w:type="auto"/>
        <w:jc w:val="left"/>
        <w:tblInd w:w="119" w:type="dxa"/>
        <w:tblLayout w:type="fixed"/>
        <w:tblCellMar>
          <w:top w:w="0" w:type="dxa"/>
          <w:left w:w="0" w:type="dxa"/>
          <w:bottom w:w="0" w:type="dxa"/>
          <w:right w:w="0" w:type="dxa"/>
        </w:tblCellMar>
        <w:tblLook w:val="01E0"/>
      </w:tblPr>
      <w:tblGrid>
        <w:gridCol w:w="2581"/>
        <w:gridCol w:w="1418"/>
        <w:gridCol w:w="607"/>
        <w:gridCol w:w="663"/>
        <w:gridCol w:w="857"/>
        <w:gridCol w:w="888"/>
        <w:gridCol w:w="857"/>
        <w:gridCol w:w="850"/>
      </w:tblGrid>
      <w:tr>
        <w:trPr>
          <w:trHeight w:val="482" w:hRule="exact"/>
        </w:trPr>
        <w:tc>
          <w:tcPr>
            <w:tcW w:w="2581"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89"/>
              <w:ind w:left="931" w:right="0"/>
              <w:jc w:val="left"/>
              <w:rPr>
                <w:rFonts w:ascii="宋体" w:hAnsi="宋体" w:cs="宋体" w:eastAsia="宋体" w:hint="default"/>
                <w:sz w:val="18"/>
                <w:szCs w:val="18"/>
              </w:rPr>
            </w:pPr>
            <w:r>
              <w:rPr>
                <w:rFonts w:ascii="宋体" w:hAnsi="宋体" w:cs="宋体" w:eastAsia="宋体" w:hint="default"/>
                <w:sz w:val="18"/>
                <w:szCs w:val="18"/>
              </w:rPr>
              <w:t>公司名称</w:t>
            </w:r>
            <w:r>
              <w:rPr>
                <w:rFonts w:ascii="宋体" w:hAnsi="宋体" w:cs="宋体" w:eastAsia="宋体" w:hint="default"/>
                <w:sz w:val="18"/>
                <w:szCs w:val="18"/>
              </w:rPr>
              <w:t> </w:t>
            </w:r>
          </w:p>
        </w:tc>
        <w:tc>
          <w:tcPr>
            <w:tcW w:w="1418"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89"/>
              <w:ind w:left="163" w:right="0"/>
              <w:jc w:val="left"/>
              <w:rPr>
                <w:rFonts w:ascii="宋体" w:hAnsi="宋体" w:cs="宋体" w:eastAsia="宋体" w:hint="default"/>
                <w:sz w:val="18"/>
                <w:szCs w:val="18"/>
              </w:rPr>
            </w:pPr>
            <w:r>
              <w:rPr>
                <w:rFonts w:ascii="宋体" w:hAnsi="宋体" w:cs="宋体" w:eastAsia="宋体" w:hint="default"/>
                <w:sz w:val="18"/>
                <w:szCs w:val="18"/>
              </w:rPr>
              <w:t>主要经营范围</w:t>
            </w:r>
            <w:r>
              <w:rPr>
                <w:rFonts w:ascii="宋体" w:hAnsi="宋体" w:cs="宋体" w:eastAsia="宋体" w:hint="default"/>
                <w:sz w:val="18"/>
                <w:szCs w:val="18"/>
              </w:rPr>
              <w:t> </w:t>
            </w:r>
          </w:p>
        </w:tc>
        <w:tc>
          <w:tcPr>
            <w:tcW w:w="607" w:type="dxa"/>
            <w:tcBorders>
              <w:top w:val="single" w:sz="8" w:space="0" w:color="41B7EE"/>
              <w:left w:val="single" w:sz="4" w:space="0" w:color="41B7EE"/>
              <w:bottom w:val="single" w:sz="4" w:space="0" w:color="41B7EE"/>
              <w:right w:val="single" w:sz="4" w:space="0" w:color="41B7EE"/>
            </w:tcBorders>
          </w:tcPr>
          <w:p>
            <w:pPr>
              <w:pStyle w:val="TableParagraph"/>
              <w:spacing w:line="206" w:lineRule="exact"/>
              <w:ind w:left="117" w:right="0"/>
              <w:jc w:val="left"/>
              <w:rPr>
                <w:rFonts w:ascii="宋体" w:hAnsi="宋体" w:cs="宋体" w:eastAsia="宋体" w:hint="default"/>
                <w:sz w:val="18"/>
                <w:szCs w:val="18"/>
              </w:rPr>
            </w:pPr>
            <w:r>
              <w:rPr>
                <w:rFonts w:ascii="宋体" w:hAnsi="宋体" w:cs="宋体" w:eastAsia="宋体" w:hint="default"/>
                <w:sz w:val="18"/>
                <w:szCs w:val="18"/>
              </w:rPr>
              <w:t>注册</w:t>
            </w:r>
            <w:r>
              <w:rPr>
                <w:rFonts w:ascii="宋体" w:hAnsi="宋体" w:cs="宋体" w:eastAsia="宋体" w:hint="default"/>
                <w:sz w:val="18"/>
                <w:szCs w:val="18"/>
              </w:rPr>
              <w:t> </w:t>
            </w:r>
          </w:p>
          <w:p>
            <w:pPr>
              <w:pStyle w:val="TableParagraph"/>
              <w:spacing w:line="234" w:lineRule="exact"/>
              <w:ind w:left="117"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 </w:t>
            </w:r>
          </w:p>
        </w:tc>
        <w:tc>
          <w:tcPr>
            <w:tcW w:w="663" w:type="dxa"/>
            <w:tcBorders>
              <w:top w:val="single" w:sz="8" w:space="0" w:color="41B7EE"/>
              <w:left w:val="single" w:sz="4" w:space="0" w:color="41B7EE"/>
              <w:bottom w:val="single" w:sz="4" w:space="0" w:color="41B7EE"/>
              <w:right w:val="single" w:sz="9" w:space="0" w:color="FFFFFF"/>
            </w:tcBorders>
          </w:tcPr>
          <w:p>
            <w:pPr>
              <w:pStyle w:val="TableParagraph"/>
              <w:spacing w:line="206" w:lineRule="exact"/>
              <w:ind w:left="55" w:right="-39"/>
              <w:jc w:val="left"/>
              <w:rPr>
                <w:rFonts w:ascii="宋体" w:hAnsi="宋体" w:cs="宋体" w:eastAsia="宋体" w:hint="default"/>
                <w:sz w:val="18"/>
                <w:szCs w:val="18"/>
              </w:rPr>
            </w:pPr>
            <w:r>
              <w:rPr>
                <w:rFonts w:ascii="宋体" w:hAnsi="宋体" w:cs="宋体" w:eastAsia="宋体" w:hint="default"/>
                <w:sz w:val="18"/>
                <w:szCs w:val="18"/>
              </w:rPr>
              <w:t>持股比</w:t>
            </w:r>
          </w:p>
          <w:p>
            <w:pPr>
              <w:pStyle w:val="TableParagraph"/>
              <w:spacing w:line="234" w:lineRule="exact"/>
              <w:ind w:left="55" w:right="-39"/>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 </w:t>
            </w:r>
          </w:p>
        </w:tc>
        <w:tc>
          <w:tcPr>
            <w:tcW w:w="857" w:type="dxa"/>
            <w:tcBorders>
              <w:top w:val="single" w:sz="8" w:space="0" w:color="41B7EE"/>
              <w:left w:val="single" w:sz="9" w:space="0" w:color="FFFFFF"/>
              <w:bottom w:val="single" w:sz="50" w:space="0" w:color="FFFFFF"/>
              <w:right w:val="single" w:sz="4" w:space="0" w:color="41B7EE"/>
            </w:tcBorders>
          </w:tcPr>
          <w:p>
            <w:pPr>
              <w:pStyle w:val="TableParagraph"/>
              <w:spacing w:line="240" w:lineRule="auto" w:before="89"/>
              <w:ind w:right="65"/>
              <w:jc w:val="right"/>
              <w:rPr>
                <w:rFonts w:ascii="宋体" w:hAnsi="宋体" w:cs="宋体" w:eastAsia="宋体" w:hint="default"/>
                <w:sz w:val="18"/>
                <w:szCs w:val="18"/>
              </w:rPr>
            </w:pPr>
            <w:r>
              <w:rPr>
                <w:rFonts w:ascii="宋体" w:hAnsi="宋体" w:cs="宋体" w:eastAsia="宋体" w:hint="default"/>
                <w:sz w:val="18"/>
                <w:szCs w:val="18"/>
              </w:rPr>
              <w:t>总资产</w:t>
            </w:r>
            <w:r>
              <w:rPr>
                <w:rFonts w:ascii="宋体" w:hAnsi="宋体" w:cs="宋体" w:eastAsia="宋体" w:hint="default"/>
                <w:sz w:val="18"/>
                <w:szCs w:val="18"/>
              </w:rPr>
              <w:t> </w:t>
            </w:r>
          </w:p>
        </w:tc>
        <w:tc>
          <w:tcPr>
            <w:tcW w:w="888"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89"/>
              <w:ind w:right="80"/>
              <w:jc w:val="right"/>
              <w:rPr>
                <w:rFonts w:ascii="宋体" w:hAnsi="宋体" w:cs="宋体" w:eastAsia="宋体" w:hint="default"/>
                <w:sz w:val="18"/>
                <w:szCs w:val="18"/>
              </w:rPr>
            </w:pPr>
            <w:r>
              <w:rPr>
                <w:rFonts w:ascii="宋体" w:hAnsi="宋体" w:cs="宋体" w:eastAsia="宋体" w:hint="default"/>
                <w:sz w:val="18"/>
                <w:szCs w:val="18"/>
              </w:rPr>
              <w:t>净资产</w:t>
            </w:r>
            <w:r>
              <w:rPr>
                <w:rFonts w:ascii="宋体" w:hAnsi="宋体" w:cs="宋体" w:eastAsia="宋体" w:hint="default"/>
                <w:sz w:val="18"/>
                <w:szCs w:val="18"/>
              </w:rPr>
              <w:t> </w:t>
            </w:r>
          </w:p>
        </w:tc>
        <w:tc>
          <w:tcPr>
            <w:tcW w:w="857" w:type="dxa"/>
            <w:tcBorders>
              <w:top w:val="single" w:sz="8" w:space="0" w:color="41B7EE"/>
              <w:left w:val="single" w:sz="4" w:space="0" w:color="41B7EE"/>
              <w:bottom w:val="single" w:sz="4" w:space="0" w:color="41B7EE"/>
              <w:right w:val="single" w:sz="9" w:space="0" w:color="FFFFFF"/>
            </w:tcBorders>
          </w:tcPr>
          <w:p>
            <w:pPr>
              <w:pStyle w:val="TableParagraph"/>
              <w:spacing w:line="240" w:lineRule="auto" w:before="89"/>
              <w:ind w:left="62" w:right="-32"/>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850" w:type="dxa"/>
            <w:tcBorders>
              <w:top w:val="single" w:sz="8" w:space="0" w:color="41B7EE"/>
              <w:left w:val="single" w:sz="9" w:space="0" w:color="FFFFFF"/>
              <w:bottom w:val="single" w:sz="4" w:space="0" w:color="41B7EE"/>
              <w:right w:val="nil" w:sz="6" w:space="0" w:color="auto"/>
            </w:tcBorders>
          </w:tcPr>
          <w:p>
            <w:pPr>
              <w:pStyle w:val="TableParagraph"/>
              <w:spacing w:line="240" w:lineRule="auto" w:before="89"/>
              <w:ind w:right="65"/>
              <w:jc w:val="righ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r>
      <w:tr>
        <w:trPr>
          <w:trHeight w:val="358" w:hRule="exact"/>
        </w:trPr>
        <w:tc>
          <w:tcPr>
            <w:tcW w:w="258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z w:val="18"/>
                <w:szCs w:val="18"/>
              </w:rPr>
              <w:t>黑龙江北大荒全利选煤有限公司</w:t>
            </w:r>
          </w:p>
        </w:tc>
        <w:tc>
          <w:tcPr>
            <w:tcW w:w="14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7"/>
              <w:ind w:left="23" w:right="0"/>
              <w:jc w:val="left"/>
              <w:rPr>
                <w:rFonts w:ascii="宋体" w:hAnsi="宋体" w:cs="宋体" w:eastAsia="宋体" w:hint="default"/>
                <w:sz w:val="18"/>
                <w:szCs w:val="18"/>
              </w:rPr>
            </w:pPr>
            <w:r>
              <w:rPr>
                <w:rFonts w:ascii="宋体" w:hAnsi="宋体" w:cs="宋体" w:eastAsia="宋体" w:hint="default"/>
                <w:sz w:val="18"/>
                <w:szCs w:val="18"/>
              </w:rPr>
              <w:t>煤炭贸易</w:t>
            </w:r>
            <w:r>
              <w:rPr>
                <w:rFonts w:ascii="宋体" w:hAnsi="宋体" w:cs="宋体" w:eastAsia="宋体" w:hint="default"/>
                <w:sz w:val="18"/>
                <w:szCs w:val="18"/>
              </w:rPr>
              <w:t> </w:t>
            </w:r>
          </w:p>
        </w:tc>
        <w:tc>
          <w:tcPr>
            <w:tcW w:w="60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20"/>
              <w:jc w:val="right"/>
              <w:rPr>
                <w:rFonts w:ascii="Arial" w:hAnsi="Arial" w:cs="Arial" w:eastAsia="Arial" w:hint="default"/>
                <w:sz w:val="18"/>
                <w:szCs w:val="18"/>
              </w:rPr>
            </w:pPr>
            <w:r>
              <w:rPr>
                <w:rFonts w:ascii="Arial"/>
                <w:w w:val="95"/>
                <w:sz w:val="18"/>
              </w:rPr>
              <w:t>2,608</w:t>
            </w:r>
            <w:r>
              <w:rPr>
                <w:rFonts w:ascii="Arial"/>
                <w:sz w:val="18"/>
              </w:rPr>
            </w:r>
          </w:p>
        </w:tc>
        <w:tc>
          <w:tcPr>
            <w:tcW w:w="66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20"/>
              <w:jc w:val="right"/>
              <w:rPr>
                <w:rFonts w:ascii="Arial" w:hAnsi="Arial" w:cs="Arial" w:eastAsia="Arial" w:hint="default"/>
                <w:sz w:val="18"/>
                <w:szCs w:val="18"/>
              </w:rPr>
            </w:pPr>
            <w:r>
              <w:rPr>
                <w:rFonts w:ascii="Arial"/>
                <w:w w:val="95"/>
                <w:sz w:val="18"/>
              </w:rPr>
              <w:t>40.00</w:t>
            </w:r>
            <w:r>
              <w:rPr>
                <w:rFonts w:ascii="Arial"/>
                <w:sz w:val="18"/>
              </w:rPr>
            </w:r>
          </w:p>
        </w:tc>
        <w:tc>
          <w:tcPr>
            <w:tcW w:w="857" w:type="dxa"/>
            <w:tcBorders>
              <w:top w:val="single" w:sz="50" w:space="0" w:color="FFFFFF"/>
              <w:left w:val="single" w:sz="4" w:space="0" w:color="41B7EE"/>
              <w:bottom w:val="single" w:sz="4" w:space="0" w:color="41B7EE"/>
              <w:right w:val="single" w:sz="4" w:space="0" w:color="41B7EE"/>
            </w:tcBorders>
          </w:tcPr>
          <w:p>
            <w:pPr>
              <w:pStyle w:val="TableParagraph"/>
              <w:spacing w:line="240" w:lineRule="auto" w:before="13"/>
              <w:ind w:right="21"/>
              <w:jc w:val="right"/>
              <w:rPr>
                <w:rFonts w:ascii="Arial" w:hAnsi="Arial" w:cs="Arial" w:eastAsia="Arial" w:hint="default"/>
                <w:sz w:val="18"/>
                <w:szCs w:val="18"/>
              </w:rPr>
            </w:pPr>
            <w:r>
              <w:rPr>
                <w:rFonts w:ascii="Arial"/>
                <w:spacing w:val="-1"/>
                <w:sz w:val="18"/>
              </w:rPr>
              <w:t>1,276.52</w:t>
            </w:r>
          </w:p>
        </w:tc>
        <w:tc>
          <w:tcPr>
            <w:tcW w:w="88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23"/>
              <w:jc w:val="right"/>
              <w:rPr>
                <w:rFonts w:ascii="Arial" w:hAnsi="Arial" w:cs="Arial" w:eastAsia="Arial" w:hint="default"/>
                <w:sz w:val="18"/>
                <w:szCs w:val="18"/>
              </w:rPr>
            </w:pPr>
            <w:r>
              <w:rPr>
                <w:rFonts w:ascii="Arial"/>
                <w:spacing w:val="-1"/>
                <w:sz w:val="18"/>
              </w:rPr>
              <w:t>1,208.26</w:t>
            </w:r>
          </w:p>
        </w:tc>
        <w:tc>
          <w:tcPr>
            <w:tcW w:w="85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7"/>
              <w:ind w:left="21" w:right="0"/>
              <w:jc w:val="left"/>
              <w:rPr>
                <w:rFonts w:ascii="宋体" w:hAnsi="宋体" w:cs="宋体" w:eastAsia="宋体" w:hint="default"/>
                <w:sz w:val="18"/>
                <w:szCs w:val="18"/>
              </w:rPr>
            </w:pPr>
            <w:r>
              <w:rPr>
                <w:rFonts w:ascii="宋体"/>
                <w:sz w:val="18"/>
              </w:rPr>
              <w:t>   </w:t>
            </w:r>
          </w:p>
        </w:tc>
        <w:tc>
          <w:tcPr>
            <w:tcW w:w="85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71"/>
              <w:ind w:right="25"/>
              <w:jc w:val="right"/>
              <w:rPr>
                <w:rFonts w:ascii="Arial" w:hAnsi="Arial" w:cs="Arial" w:eastAsia="Arial" w:hint="default"/>
                <w:sz w:val="18"/>
                <w:szCs w:val="18"/>
              </w:rPr>
            </w:pPr>
            <w:r>
              <w:rPr>
                <w:rFonts w:ascii="Arial"/>
                <w:w w:val="95"/>
                <w:sz w:val="18"/>
              </w:rPr>
              <w:t>-38.63</w:t>
            </w:r>
            <w:r>
              <w:rPr>
                <w:rFonts w:ascii="Arial"/>
                <w:sz w:val="18"/>
              </w:rPr>
            </w:r>
          </w:p>
        </w:tc>
      </w:tr>
      <w:tr>
        <w:trPr>
          <w:trHeight w:val="478" w:hRule="exact"/>
        </w:trPr>
        <w:tc>
          <w:tcPr>
            <w:tcW w:w="2581" w:type="dxa"/>
            <w:tcBorders>
              <w:top w:val="single" w:sz="4" w:space="0" w:color="41B7EE"/>
              <w:left w:val="nil" w:sz="6" w:space="0" w:color="auto"/>
              <w:bottom w:val="single" w:sz="4" w:space="0" w:color="41B7EE"/>
              <w:right w:val="single" w:sz="10" w:space="0" w:color="FFFFFF"/>
            </w:tcBorders>
          </w:tcPr>
          <w:p>
            <w:pPr>
              <w:pStyle w:val="TableParagraph"/>
              <w:spacing w:line="240" w:lineRule="auto" w:before="87"/>
              <w:ind w:left="28" w:right="-47"/>
              <w:jc w:val="left"/>
              <w:rPr>
                <w:rFonts w:ascii="宋体" w:hAnsi="宋体" w:cs="宋体" w:eastAsia="宋体" w:hint="default"/>
                <w:sz w:val="18"/>
                <w:szCs w:val="18"/>
              </w:rPr>
            </w:pPr>
            <w:r>
              <w:rPr>
                <w:rFonts w:ascii="宋体" w:hAnsi="宋体" w:cs="宋体" w:eastAsia="宋体" w:hint="default"/>
                <w:spacing w:val="-24"/>
                <w:sz w:val="18"/>
                <w:szCs w:val="18"/>
              </w:rPr>
              <w:t>黑龙江北大荒汉枫农业发展有限公司</w:t>
            </w:r>
            <w:r>
              <w:rPr>
                <w:rFonts w:ascii="宋体" w:hAnsi="宋体" w:cs="宋体" w:eastAsia="宋体" w:hint="default"/>
                <w:sz w:val="18"/>
                <w:szCs w:val="18"/>
              </w:rPr>
              <w:t> </w:t>
            </w:r>
          </w:p>
        </w:tc>
        <w:tc>
          <w:tcPr>
            <w:tcW w:w="1418" w:type="dxa"/>
            <w:tcBorders>
              <w:top w:val="single" w:sz="4" w:space="0" w:color="41B7EE"/>
              <w:left w:val="single" w:sz="10" w:space="0" w:color="FFFFFF"/>
              <w:bottom w:val="single" w:sz="4" w:space="0" w:color="41B7EE"/>
              <w:right w:val="single" w:sz="4" w:space="0" w:color="41B7EE"/>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pacing w:val="-10"/>
                <w:sz w:val="18"/>
                <w:szCs w:val="18"/>
              </w:rPr>
              <w:t>粮食、化肥、大米</w:t>
            </w: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加工</w:t>
            </w:r>
            <w:r>
              <w:rPr>
                <w:rFonts w:ascii="宋体" w:hAnsi="宋体" w:cs="宋体" w:eastAsia="宋体" w:hint="default"/>
                <w:sz w:val="18"/>
                <w:szCs w:val="18"/>
              </w:rPr>
              <w:t> </w:t>
            </w:r>
          </w:p>
        </w:tc>
        <w:tc>
          <w:tcPr>
            <w:tcW w:w="60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28"/>
              <w:ind w:right="20"/>
              <w:jc w:val="right"/>
              <w:rPr>
                <w:rFonts w:ascii="Arial" w:hAnsi="Arial" w:cs="Arial" w:eastAsia="Arial" w:hint="default"/>
                <w:sz w:val="18"/>
                <w:szCs w:val="18"/>
              </w:rPr>
            </w:pPr>
            <w:r>
              <w:rPr>
                <w:rFonts w:ascii="Arial"/>
                <w:w w:val="95"/>
                <w:sz w:val="18"/>
              </w:rPr>
              <w:t>4,000</w:t>
            </w:r>
            <w:r>
              <w:rPr>
                <w:rFonts w:ascii="Arial"/>
                <w:sz w:val="18"/>
              </w:rPr>
            </w:r>
          </w:p>
        </w:tc>
        <w:tc>
          <w:tcPr>
            <w:tcW w:w="66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28"/>
              <w:ind w:right="20"/>
              <w:jc w:val="right"/>
              <w:rPr>
                <w:rFonts w:ascii="Arial" w:hAnsi="Arial" w:cs="Arial" w:eastAsia="Arial" w:hint="default"/>
                <w:sz w:val="18"/>
                <w:szCs w:val="18"/>
              </w:rPr>
            </w:pPr>
            <w:r>
              <w:rPr>
                <w:rFonts w:ascii="Arial"/>
                <w:w w:val="95"/>
                <w:sz w:val="18"/>
              </w:rPr>
              <w:t>40.00</w:t>
            </w:r>
            <w:r>
              <w:rPr>
                <w:rFonts w:ascii="Arial"/>
                <w:sz w:val="18"/>
              </w:rPr>
            </w:r>
          </w:p>
        </w:tc>
        <w:tc>
          <w:tcPr>
            <w:tcW w:w="85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28"/>
              <w:ind w:right="20"/>
              <w:jc w:val="right"/>
              <w:rPr>
                <w:rFonts w:ascii="Arial" w:hAnsi="Arial" w:cs="Arial" w:eastAsia="Arial" w:hint="default"/>
                <w:sz w:val="18"/>
                <w:szCs w:val="18"/>
              </w:rPr>
            </w:pPr>
            <w:r>
              <w:rPr>
                <w:rFonts w:ascii="Arial"/>
                <w:spacing w:val="-1"/>
                <w:sz w:val="18"/>
              </w:rPr>
              <w:t>235.23</w:t>
            </w:r>
          </w:p>
        </w:tc>
        <w:tc>
          <w:tcPr>
            <w:tcW w:w="88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28"/>
              <w:ind w:right="23"/>
              <w:jc w:val="right"/>
              <w:rPr>
                <w:rFonts w:ascii="Arial" w:hAnsi="Arial" w:cs="Arial" w:eastAsia="Arial" w:hint="default"/>
                <w:sz w:val="18"/>
                <w:szCs w:val="18"/>
              </w:rPr>
            </w:pPr>
            <w:r>
              <w:rPr>
                <w:rFonts w:ascii="Arial"/>
                <w:spacing w:val="-1"/>
                <w:sz w:val="18"/>
              </w:rPr>
              <w:t>-143.83</w:t>
            </w:r>
          </w:p>
        </w:tc>
        <w:tc>
          <w:tcPr>
            <w:tcW w:w="85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87"/>
              <w:ind w:left="21" w:right="0"/>
              <w:jc w:val="left"/>
              <w:rPr>
                <w:rFonts w:ascii="宋体" w:hAnsi="宋体" w:cs="宋体" w:eastAsia="宋体" w:hint="default"/>
                <w:sz w:val="18"/>
                <w:szCs w:val="18"/>
              </w:rPr>
            </w:pPr>
            <w:r>
              <w:rPr>
                <w:rFonts w:ascii="宋体"/>
                <w:sz w:val="18"/>
              </w:rPr>
              <w:t>   </w:t>
            </w:r>
          </w:p>
        </w:tc>
        <w:tc>
          <w:tcPr>
            <w:tcW w:w="85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28"/>
              <w:ind w:right="25"/>
              <w:jc w:val="right"/>
              <w:rPr>
                <w:rFonts w:ascii="Arial" w:hAnsi="Arial" w:cs="Arial" w:eastAsia="Arial" w:hint="default"/>
                <w:sz w:val="18"/>
                <w:szCs w:val="18"/>
              </w:rPr>
            </w:pPr>
            <w:r>
              <w:rPr>
                <w:rFonts w:ascii="Arial"/>
                <w:w w:val="95"/>
                <w:sz w:val="18"/>
              </w:rPr>
              <w:t>20.62</w:t>
            </w:r>
            <w:r>
              <w:rPr>
                <w:rFonts w:ascii="Arial"/>
                <w:sz w:val="18"/>
              </w:rPr>
            </w:r>
          </w:p>
        </w:tc>
      </w:tr>
      <w:tr>
        <w:trPr>
          <w:trHeight w:val="358" w:hRule="exact"/>
        </w:trPr>
        <w:tc>
          <w:tcPr>
            <w:tcW w:w="2581" w:type="dxa"/>
            <w:tcBorders>
              <w:top w:val="single" w:sz="4" w:space="0" w:color="41B7EE"/>
              <w:left w:val="nil" w:sz="6" w:space="0" w:color="auto"/>
              <w:bottom w:val="single" w:sz="4" w:space="0" w:color="41B7EE"/>
              <w:right w:val="single" w:sz="10" w:space="0" w:color="FFFFFF"/>
            </w:tcBorders>
          </w:tcPr>
          <w:p>
            <w:pPr>
              <w:pStyle w:val="TableParagraph"/>
              <w:spacing w:line="240" w:lineRule="auto" w:before="27"/>
              <w:ind w:left="28" w:right="-47"/>
              <w:jc w:val="left"/>
              <w:rPr>
                <w:rFonts w:ascii="宋体" w:hAnsi="宋体" w:cs="宋体" w:eastAsia="宋体" w:hint="default"/>
                <w:sz w:val="18"/>
                <w:szCs w:val="18"/>
              </w:rPr>
            </w:pPr>
            <w:r>
              <w:rPr>
                <w:rFonts w:ascii="宋体" w:hAnsi="宋体" w:cs="宋体" w:eastAsia="宋体" w:hint="default"/>
                <w:spacing w:val="-24"/>
                <w:sz w:val="18"/>
                <w:szCs w:val="18"/>
              </w:rPr>
              <w:t>黑龙江北大荒投资担保股份有限公司</w:t>
            </w:r>
            <w:r>
              <w:rPr>
                <w:rFonts w:ascii="宋体" w:hAnsi="宋体" w:cs="宋体" w:eastAsia="宋体" w:hint="default"/>
                <w:sz w:val="18"/>
                <w:szCs w:val="18"/>
              </w:rPr>
              <w:t> </w:t>
            </w:r>
          </w:p>
        </w:tc>
        <w:tc>
          <w:tcPr>
            <w:tcW w:w="1418" w:type="dxa"/>
            <w:tcBorders>
              <w:top w:val="single" w:sz="4" w:space="0" w:color="41B7EE"/>
              <w:left w:val="single" w:sz="10" w:space="0" w:color="FFFFFF"/>
              <w:bottom w:val="single" w:sz="4" w:space="0" w:color="41B7EE"/>
              <w:right w:val="single" w:sz="4" w:space="0" w:color="41B7EE"/>
            </w:tcBorders>
          </w:tcPr>
          <w:p>
            <w:pPr>
              <w:pStyle w:val="TableParagraph"/>
              <w:spacing w:line="240" w:lineRule="auto" w:before="27"/>
              <w:ind w:left="16" w:right="0"/>
              <w:jc w:val="left"/>
              <w:rPr>
                <w:rFonts w:ascii="宋体" w:hAnsi="宋体" w:cs="宋体" w:eastAsia="宋体" w:hint="default"/>
                <w:sz w:val="18"/>
                <w:szCs w:val="18"/>
              </w:rPr>
            </w:pPr>
            <w:r>
              <w:rPr>
                <w:rFonts w:ascii="宋体" w:hAnsi="宋体" w:cs="宋体" w:eastAsia="宋体" w:hint="default"/>
                <w:sz w:val="18"/>
                <w:szCs w:val="18"/>
              </w:rPr>
              <w:t>其他金融业务</w:t>
            </w:r>
            <w:r>
              <w:rPr>
                <w:rFonts w:ascii="宋体" w:hAnsi="宋体" w:cs="宋体" w:eastAsia="宋体" w:hint="default"/>
                <w:sz w:val="18"/>
                <w:szCs w:val="18"/>
              </w:rPr>
              <w:t> </w:t>
            </w:r>
          </w:p>
        </w:tc>
        <w:tc>
          <w:tcPr>
            <w:tcW w:w="60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0"/>
              <w:jc w:val="right"/>
              <w:rPr>
                <w:rFonts w:ascii="Arial" w:hAnsi="Arial" w:cs="Arial" w:eastAsia="Arial" w:hint="default"/>
                <w:sz w:val="18"/>
                <w:szCs w:val="18"/>
              </w:rPr>
            </w:pPr>
            <w:r>
              <w:rPr>
                <w:rFonts w:ascii="Arial"/>
                <w:spacing w:val="-1"/>
                <w:sz w:val="18"/>
              </w:rPr>
              <w:t>20,000</w:t>
            </w:r>
          </w:p>
        </w:tc>
        <w:tc>
          <w:tcPr>
            <w:tcW w:w="66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0"/>
              <w:jc w:val="right"/>
              <w:rPr>
                <w:rFonts w:ascii="Arial" w:hAnsi="Arial" w:cs="Arial" w:eastAsia="Arial" w:hint="default"/>
                <w:sz w:val="18"/>
                <w:szCs w:val="18"/>
              </w:rPr>
            </w:pPr>
            <w:r>
              <w:rPr>
                <w:rFonts w:ascii="Arial"/>
                <w:w w:val="95"/>
                <w:sz w:val="18"/>
              </w:rPr>
              <w:t>49.00</w:t>
            </w:r>
            <w:r>
              <w:rPr>
                <w:rFonts w:ascii="Arial"/>
                <w:sz w:val="18"/>
              </w:rPr>
            </w:r>
          </w:p>
        </w:tc>
        <w:tc>
          <w:tcPr>
            <w:tcW w:w="85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14,509.90</w:t>
            </w:r>
          </w:p>
        </w:tc>
        <w:tc>
          <w:tcPr>
            <w:tcW w:w="88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3"/>
              <w:jc w:val="right"/>
              <w:rPr>
                <w:rFonts w:ascii="Arial" w:hAnsi="Arial" w:cs="Arial" w:eastAsia="Arial" w:hint="default"/>
                <w:sz w:val="18"/>
                <w:szCs w:val="18"/>
              </w:rPr>
            </w:pPr>
            <w:r>
              <w:rPr>
                <w:rFonts w:ascii="Arial"/>
                <w:spacing w:val="-1"/>
                <w:sz w:val="18"/>
              </w:rPr>
              <w:t>13,556.64</w:t>
            </w:r>
          </w:p>
        </w:tc>
        <w:tc>
          <w:tcPr>
            <w:tcW w:w="85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3"/>
              <w:jc w:val="right"/>
              <w:rPr>
                <w:rFonts w:ascii="Arial" w:hAnsi="Arial" w:cs="Arial" w:eastAsia="Arial" w:hint="default"/>
                <w:sz w:val="18"/>
                <w:szCs w:val="18"/>
              </w:rPr>
            </w:pPr>
            <w:r>
              <w:rPr>
                <w:rFonts w:ascii="Arial"/>
                <w:spacing w:val="-1"/>
                <w:sz w:val="18"/>
              </w:rPr>
              <w:t>563.51</w:t>
            </w:r>
          </w:p>
        </w:tc>
        <w:tc>
          <w:tcPr>
            <w:tcW w:w="85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68"/>
              <w:ind w:right="25"/>
              <w:jc w:val="right"/>
              <w:rPr>
                <w:rFonts w:ascii="Arial" w:hAnsi="Arial" w:cs="Arial" w:eastAsia="Arial" w:hint="default"/>
                <w:sz w:val="18"/>
                <w:szCs w:val="18"/>
              </w:rPr>
            </w:pPr>
            <w:r>
              <w:rPr>
                <w:rFonts w:ascii="Arial"/>
                <w:spacing w:val="-1"/>
                <w:sz w:val="18"/>
              </w:rPr>
              <w:t>545.90</w:t>
            </w:r>
          </w:p>
        </w:tc>
      </w:tr>
      <w:tr>
        <w:trPr>
          <w:trHeight w:val="355" w:hRule="exact"/>
        </w:trPr>
        <w:tc>
          <w:tcPr>
            <w:tcW w:w="258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佳沃北大荒农业控股有限公司</w:t>
            </w:r>
            <w:r>
              <w:rPr>
                <w:rFonts w:ascii="宋体" w:hAnsi="宋体" w:cs="宋体" w:eastAsia="宋体" w:hint="default"/>
                <w:sz w:val="18"/>
                <w:szCs w:val="18"/>
              </w:rPr>
              <w:t> </w:t>
            </w:r>
          </w:p>
        </w:tc>
        <w:tc>
          <w:tcPr>
            <w:tcW w:w="14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z w:val="18"/>
                <w:szCs w:val="18"/>
              </w:rPr>
              <w:t>企业管理咨询等</w:t>
            </w:r>
            <w:r>
              <w:rPr>
                <w:rFonts w:ascii="宋体" w:hAnsi="宋体" w:cs="宋体" w:eastAsia="宋体" w:hint="default"/>
                <w:sz w:val="18"/>
                <w:szCs w:val="18"/>
              </w:rPr>
              <w:t> </w:t>
            </w:r>
          </w:p>
        </w:tc>
        <w:tc>
          <w:tcPr>
            <w:tcW w:w="60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0"/>
              <w:jc w:val="right"/>
              <w:rPr>
                <w:rFonts w:ascii="Arial" w:hAnsi="Arial" w:cs="Arial" w:eastAsia="Arial" w:hint="default"/>
                <w:sz w:val="18"/>
                <w:szCs w:val="18"/>
              </w:rPr>
            </w:pPr>
            <w:r>
              <w:rPr>
                <w:rFonts w:ascii="Arial"/>
                <w:spacing w:val="-1"/>
                <w:sz w:val="18"/>
              </w:rPr>
              <w:t>30,000</w:t>
            </w:r>
          </w:p>
        </w:tc>
        <w:tc>
          <w:tcPr>
            <w:tcW w:w="66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0"/>
              <w:jc w:val="right"/>
              <w:rPr>
                <w:rFonts w:ascii="Arial" w:hAnsi="Arial" w:cs="Arial" w:eastAsia="Arial" w:hint="default"/>
                <w:sz w:val="18"/>
                <w:szCs w:val="18"/>
              </w:rPr>
            </w:pPr>
            <w:r>
              <w:rPr>
                <w:rFonts w:ascii="Arial"/>
                <w:w w:val="95"/>
                <w:sz w:val="18"/>
              </w:rPr>
              <w:t>30.00</w:t>
            </w:r>
            <w:r>
              <w:rPr>
                <w:rFonts w:ascii="Arial"/>
                <w:sz w:val="18"/>
              </w:rPr>
            </w:r>
          </w:p>
        </w:tc>
        <w:tc>
          <w:tcPr>
            <w:tcW w:w="85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23,481.84</w:t>
            </w:r>
          </w:p>
        </w:tc>
        <w:tc>
          <w:tcPr>
            <w:tcW w:w="88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3"/>
              <w:jc w:val="right"/>
              <w:rPr>
                <w:rFonts w:ascii="Arial" w:hAnsi="Arial" w:cs="Arial" w:eastAsia="Arial" w:hint="default"/>
                <w:sz w:val="18"/>
                <w:szCs w:val="18"/>
              </w:rPr>
            </w:pPr>
            <w:r>
              <w:rPr>
                <w:rFonts w:ascii="Arial"/>
                <w:spacing w:val="-1"/>
                <w:sz w:val="18"/>
              </w:rPr>
              <w:t>18,307.16</w:t>
            </w:r>
          </w:p>
        </w:tc>
        <w:tc>
          <w:tcPr>
            <w:tcW w:w="85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left="21" w:right="0"/>
              <w:jc w:val="left"/>
              <w:rPr>
                <w:rFonts w:ascii="Arial" w:hAnsi="Arial" w:cs="Arial" w:eastAsia="Arial" w:hint="default"/>
                <w:sz w:val="18"/>
                <w:szCs w:val="18"/>
              </w:rPr>
            </w:pPr>
            <w:r>
              <w:rPr>
                <w:rFonts w:ascii="Arial"/>
                <w:sz w:val="18"/>
              </w:rPr>
              <w:t>38,334.36</w:t>
            </w:r>
          </w:p>
        </w:tc>
        <w:tc>
          <w:tcPr>
            <w:tcW w:w="85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68"/>
              <w:ind w:right="25"/>
              <w:jc w:val="right"/>
              <w:rPr>
                <w:rFonts w:ascii="Arial" w:hAnsi="Arial" w:cs="Arial" w:eastAsia="Arial" w:hint="default"/>
                <w:sz w:val="18"/>
                <w:szCs w:val="18"/>
              </w:rPr>
            </w:pPr>
            <w:r>
              <w:rPr>
                <w:rFonts w:ascii="Arial"/>
                <w:spacing w:val="-1"/>
                <w:sz w:val="18"/>
              </w:rPr>
              <w:t>-341.63</w:t>
            </w:r>
          </w:p>
        </w:tc>
      </w:tr>
      <w:tr>
        <w:trPr>
          <w:trHeight w:val="478" w:hRule="exact"/>
        </w:trPr>
        <w:tc>
          <w:tcPr>
            <w:tcW w:w="258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87"/>
              <w:ind w:left="28" w:right="0"/>
              <w:jc w:val="left"/>
              <w:rPr>
                <w:rFonts w:ascii="宋体" w:hAnsi="宋体" w:cs="宋体" w:eastAsia="宋体" w:hint="default"/>
                <w:sz w:val="18"/>
                <w:szCs w:val="18"/>
              </w:rPr>
            </w:pPr>
            <w:r>
              <w:rPr>
                <w:rFonts w:ascii="宋体" w:hAnsi="宋体" w:cs="宋体" w:eastAsia="宋体" w:hint="default"/>
                <w:spacing w:val="-12"/>
                <w:sz w:val="18"/>
                <w:szCs w:val="18"/>
              </w:rPr>
              <w:t>黑龙江北大荒浩良河化肥有限公司</w:t>
            </w:r>
            <w:r>
              <w:rPr>
                <w:rFonts w:ascii="宋体" w:hAnsi="宋体" w:cs="宋体" w:eastAsia="宋体" w:hint="default"/>
                <w:sz w:val="18"/>
                <w:szCs w:val="18"/>
              </w:rPr>
            </w:r>
          </w:p>
        </w:tc>
        <w:tc>
          <w:tcPr>
            <w:tcW w:w="1418" w:type="dxa"/>
            <w:tcBorders>
              <w:top w:val="single" w:sz="4" w:space="0" w:color="41B7EE"/>
              <w:left w:val="single" w:sz="4" w:space="0" w:color="41B7EE"/>
              <w:bottom w:val="single" w:sz="4" w:space="0" w:color="41B7EE"/>
              <w:right w:val="single" w:sz="4" w:space="0" w:color="41B7EE"/>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肥料制造</w:t>
            </w:r>
            <w:r>
              <w:rPr>
                <w:rFonts w:ascii="宋体" w:hAnsi="宋体" w:cs="宋体" w:eastAsia="宋体" w:hint="default"/>
                <w:spacing w:val="-80"/>
                <w:sz w:val="18"/>
                <w:szCs w:val="18"/>
              </w:rPr>
              <w:t>；</w:t>
            </w:r>
            <w:r>
              <w:rPr>
                <w:rFonts w:ascii="宋体" w:hAnsi="宋体" w:cs="宋体" w:eastAsia="宋体" w:hint="default"/>
                <w:sz w:val="18"/>
                <w:szCs w:val="18"/>
              </w:rPr>
              <w:t>基础化</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学原料制造等</w:t>
            </w:r>
            <w:r>
              <w:rPr>
                <w:rFonts w:ascii="宋体" w:hAnsi="宋体" w:cs="宋体" w:eastAsia="宋体" w:hint="default"/>
                <w:sz w:val="18"/>
                <w:szCs w:val="18"/>
              </w:rPr>
              <w:t> </w:t>
            </w:r>
          </w:p>
        </w:tc>
        <w:tc>
          <w:tcPr>
            <w:tcW w:w="60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31"/>
              <w:ind w:right="20"/>
              <w:jc w:val="right"/>
              <w:rPr>
                <w:rFonts w:ascii="Arial" w:hAnsi="Arial" w:cs="Arial" w:eastAsia="Arial" w:hint="default"/>
                <w:sz w:val="18"/>
                <w:szCs w:val="18"/>
              </w:rPr>
            </w:pPr>
            <w:r>
              <w:rPr>
                <w:rFonts w:ascii="Arial"/>
                <w:spacing w:val="-1"/>
                <w:sz w:val="18"/>
              </w:rPr>
              <w:t>30,000</w:t>
            </w:r>
          </w:p>
        </w:tc>
        <w:tc>
          <w:tcPr>
            <w:tcW w:w="66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31"/>
              <w:ind w:right="20"/>
              <w:jc w:val="right"/>
              <w:rPr>
                <w:rFonts w:ascii="Arial" w:hAnsi="Arial" w:cs="Arial" w:eastAsia="Arial" w:hint="default"/>
                <w:sz w:val="18"/>
                <w:szCs w:val="18"/>
              </w:rPr>
            </w:pPr>
            <w:r>
              <w:rPr>
                <w:rFonts w:ascii="Arial"/>
                <w:w w:val="95"/>
                <w:sz w:val="18"/>
              </w:rPr>
              <w:t>49.00</w:t>
            </w:r>
            <w:r>
              <w:rPr>
                <w:rFonts w:ascii="Arial"/>
                <w:sz w:val="18"/>
              </w:rPr>
            </w:r>
          </w:p>
        </w:tc>
        <w:tc>
          <w:tcPr>
            <w:tcW w:w="85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31"/>
              <w:ind w:right="21"/>
              <w:jc w:val="right"/>
              <w:rPr>
                <w:rFonts w:ascii="Arial" w:hAnsi="Arial" w:cs="Arial" w:eastAsia="Arial" w:hint="default"/>
                <w:sz w:val="18"/>
                <w:szCs w:val="18"/>
              </w:rPr>
            </w:pPr>
            <w:r>
              <w:rPr>
                <w:rFonts w:ascii="Arial"/>
                <w:spacing w:val="-1"/>
                <w:sz w:val="18"/>
              </w:rPr>
              <w:t>37,800.81</w:t>
            </w:r>
          </w:p>
        </w:tc>
        <w:tc>
          <w:tcPr>
            <w:tcW w:w="88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31"/>
              <w:ind w:right="23"/>
              <w:jc w:val="right"/>
              <w:rPr>
                <w:rFonts w:ascii="Arial" w:hAnsi="Arial" w:cs="Arial" w:eastAsia="Arial" w:hint="default"/>
                <w:sz w:val="18"/>
                <w:szCs w:val="18"/>
              </w:rPr>
            </w:pPr>
            <w:r>
              <w:rPr>
                <w:rFonts w:ascii="Arial"/>
                <w:spacing w:val="-1"/>
                <w:sz w:val="18"/>
              </w:rPr>
              <w:t>24,692.99</w:t>
            </w:r>
          </w:p>
        </w:tc>
        <w:tc>
          <w:tcPr>
            <w:tcW w:w="85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31"/>
              <w:ind w:right="23"/>
              <w:jc w:val="right"/>
              <w:rPr>
                <w:rFonts w:ascii="Arial" w:hAnsi="Arial" w:cs="Arial" w:eastAsia="Arial" w:hint="default"/>
                <w:sz w:val="18"/>
                <w:szCs w:val="18"/>
              </w:rPr>
            </w:pPr>
            <w:r>
              <w:rPr>
                <w:rFonts w:ascii="Arial"/>
                <w:spacing w:val="-1"/>
                <w:sz w:val="18"/>
              </w:rPr>
              <w:t>258.44</w:t>
            </w:r>
          </w:p>
        </w:tc>
        <w:tc>
          <w:tcPr>
            <w:tcW w:w="85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31"/>
              <w:ind w:right="25"/>
              <w:jc w:val="right"/>
              <w:rPr>
                <w:rFonts w:ascii="Arial" w:hAnsi="Arial" w:cs="Arial" w:eastAsia="Arial" w:hint="default"/>
                <w:sz w:val="18"/>
                <w:szCs w:val="18"/>
              </w:rPr>
            </w:pPr>
            <w:r>
              <w:rPr>
                <w:rFonts w:ascii="Arial"/>
                <w:spacing w:val="-1"/>
                <w:sz w:val="18"/>
              </w:rPr>
              <w:t>-5,410.34</w:t>
            </w:r>
          </w:p>
        </w:tc>
      </w:tr>
      <w:tr>
        <w:trPr>
          <w:trHeight w:val="478" w:hRule="exact"/>
        </w:trPr>
        <w:tc>
          <w:tcPr>
            <w:tcW w:w="258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87"/>
              <w:ind w:left="28" w:right="0"/>
              <w:jc w:val="left"/>
              <w:rPr>
                <w:rFonts w:ascii="宋体" w:hAnsi="宋体" w:cs="宋体" w:eastAsia="宋体" w:hint="default"/>
                <w:sz w:val="18"/>
                <w:szCs w:val="18"/>
              </w:rPr>
            </w:pPr>
            <w:r>
              <w:rPr>
                <w:rFonts w:ascii="宋体" w:hAnsi="宋体" w:cs="宋体" w:eastAsia="宋体" w:hint="default"/>
                <w:sz w:val="18"/>
                <w:szCs w:val="18"/>
              </w:rPr>
              <w:t>北大荒龙麦农业股份有限公司</w:t>
            </w:r>
            <w:r>
              <w:rPr>
                <w:rFonts w:ascii="宋体" w:hAnsi="宋体" w:cs="宋体" w:eastAsia="宋体" w:hint="default"/>
                <w:sz w:val="18"/>
                <w:szCs w:val="18"/>
              </w:rPr>
              <w:t> </w:t>
            </w:r>
          </w:p>
        </w:tc>
        <w:tc>
          <w:tcPr>
            <w:tcW w:w="1418" w:type="dxa"/>
            <w:tcBorders>
              <w:top w:val="single" w:sz="4" w:space="0" w:color="41B7EE"/>
              <w:left w:val="single" w:sz="4" w:space="0" w:color="41B7EE"/>
              <w:bottom w:val="single" w:sz="4" w:space="0" w:color="41B7EE"/>
              <w:right w:val="single" w:sz="4" w:space="0" w:color="41B7EE"/>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粮食收购</w:t>
            </w:r>
            <w:r>
              <w:rPr>
                <w:rFonts w:ascii="宋体" w:hAnsi="宋体" w:cs="宋体" w:eastAsia="宋体" w:hint="default"/>
                <w:spacing w:val="-80"/>
                <w:sz w:val="18"/>
                <w:szCs w:val="18"/>
              </w:rPr>
              <w:t>，</w:t>
            </w:r>
            <w:r>
              <w:rPr>
                <w:rFonts w:ascii="宋体" w:hAnsi="宋体" w:cs="宋体" w:eastAsia="宋体" w:hint="default"/>
                <w:sz w:val="18"/>
                <w:szCs w:val="18"/>
              </w:rPr>
              <w:t>热力生</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产和供应等</w:t>
            </w:r>
            <w:r>
              <w:rPr>
                <w:rFonts w:ascii="宋体" w:hAnsi="宋体" w:cs="宋体" w:eastAsia="宋体" w:hint="default"/>
                <w:sz w:val="18"/>
                <w:szCs w:val="18"/>
              </w:rPr>
              <w:t> </w:t>
            </w:r>
          </w:p>
        </w:tc>
        <w:tc>
          <w:tcPr>
            <w:tcW w:w="60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28"/>
              <w:ind w:right="20"/>
              <w:jc w:val="right"/>
              <w:rPr>
                <w:rFonts w:ascii="Arial" w:hAnsi="Arial" w:cs="Arial" w:eastAsia="Arial" w:hint="default"/>
                <w:sz w:val="18"/>
                <w:szCs w:val="18"/>
              </w:rPr>
            </w:pPr>
            <w:r>
              <w:rPr>
                <w:rFonts w:ascii="Arial"/>
                <w:spacing w:val="-1"/>
                <w:sz w:val="18"/>
              </w:rPr>
              <w:t>40,000</w:t>
            </w:r>
          </w:p>
        </w:tc>
        <w:tc>
          <w:tcPr>
            <w:tcW w:w="66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28"/>
              <w:ind w:right="20"/>
              <w:jc w:val="right"/>
              <w:rPr>
                <w:rFonts w:ascii="Arial" w:hAnsi="Arial" w:cs="Arial" w:eastAsia="Arial" w:hint="default"/>
                <w:sz w:val="18"/>
                <w:szCs w:val="18"/>
              </w:rPr>
            </w:pPr>
            <w:r>
              <w:rPr>
                <w:rFonts w:ascii="Arial"/>
                <w:w w:val="95"/>
                <w:sz w:val="18"/>
              </w:rPr>
              <w:t>49.00</w:t>
            </w:r>
            <w:r>
              <w:rPr>
                <w:rFonts w:ascii="Arial"/>
                <w:sz w:val="18"/>
              </w:rPr>
            </w:r>
          </w:p>
        </w:tc>
        <w:tc>
          <w:tcPr>
            <w:tcW w:w="85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28"/>
              <w:ind w:right="21"/>
              <w:jc w:val="right"/>
              <w:rPr>
                <w:rFonts w:ascii="Arial" w:hAnsi="Arial" w:cs="Arial" w:eastAsia="Arial" w:hint="default"/>
                <w:sz w:val="18"/>
                <w:szCs w:val="18"/>
              </w:rPr>
            </w:pPr>
            <w:r>
              <w:rPr>
                <w:rFonts w:ascii="Arial"/>
                <w:spacing w:val="-1"/>
                <w:sz w:val="18"/>
              </w:rPr>
              <w:t>44,702.28</w:t>
            </w:r>
          </w:p>
        </w:tc>
        <w:tc>
          <w:tcPr>
            <w:tcW w:w="88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28"/>
              <w:ind w:right="23"/>
              <w:jc w:val="right"/>
              <w:rPr>
                <w:rFonts w:ascii="Arial" w:hAnsi="Arial" w:cs="Arial" w:eastAsia="Arial" w:hint="default"/>
                <w:sz w:val="18"/>
                <w:szCs w:val="18"/>
              </w:rPr>
            </w:pPr>
            <w:r>
              <w:rPr>
                <w:rFonts w:ascii="Arial"/>
                <w:spacing w:val="-1"/>
                <w:sz w:val="18"/>
              </w:rPr>
              <w:t>19,682.52</w:t>
            </w:r>
          </w:p>
        </w:tc>
        <w:tc>
          <w:tcPr>
            <w:tcW w:w="85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28"/>
              <w:ind w:left="21" w:right="0"/>
              <w:jc w:val="left"/>
              <w:rPr>
                <w:rFonts w:ascii="Arial" w:hAnsi="Arial" w:cs="Arial" w:eastAsia="Arial" w:hint="default"/>
                <w:sz w:val="18"/>
                <w:szCs w:val="18"/>
              </w:rPr>
            </w:pPr>
            <w:r>
              <w:rPr>
                <w:rFonts w:ascii="Arial"/>
                <w:sz w:val="18"/>
              </w:rPr>
              <w:t>14,089.43</w:t>
            </w:r>
          </w:p>
        </w:tc>
        <w:tc>
          <w:tcPr>
            <w:tcW w:w="85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28"/>
              <w:ind w:right="25"/>
              <w:jc w:val="right"/>
              <w:rPr>
                <w:rFonts w:ascii="Arial" w:hAnsi="Arial" w:cs="Arial" w:eastAsia="Arial" w:hint="default"/>
                <w:sz w:val="18"/>
                <w:szCs w:val="18"/>
              </w:rPr>
            </w:pPr>
            <w:r>
              <w:rPr>
                <w:rFonts w:ascii="Arial"/>
                <w:spacing w:val="-1"/>
                <w:sz w:val="18"/>
              </w:rPr>
              <w:t>-3,008.83</w:t>
            </w:r>
          </w:p>
        </w:tc>
      </w:tr>
      <w:tr>
        <w:trPr>
          <w:trHeight w:val="483" w:hRule="exact"/>
        </w:trPr>
        <w:tc>
          <w:tcPr>
            <w:tcW w:w="2581"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87"/>
              <w:ind w:left="28" w:right="0"/>
              <w:jc w:val="left"/>
              <w:rPr>
                <w:rFonts w:ascii="宋体" w:hAnsi="宋体" w:cs="宋体" w:eastAsia="宋体" w:hint="default"/>
                <w:sz w:val="18"/>
                <w:szCs w:val="18"/>
              </w:rPr>
            </w:pPr>
            <w:r>
              <w:rPr>
                <w:rFonts w:ascii="宋体" w:hAnsi="宋体" w:cs="宋体" w:eastAsia="宋体" w:hint="default"/>
                <w:sz w:val="18"/>
                <w:szCs w:val="18"/>
              </w:rPr>
              <w:t>黑龙江省克东腐乳有限公司</w:t>
            </w:r>
            <w:r>
              <w:rPr>
                <w:rFonts w:ascii="宋体" w:hAnsi="宋体" w:cs="宋体" w:eastAsia="宋体" w:hint="default"/>
                <w:sz w:val="18"/>
                <w:szCs w:val="18"/>
              </w:rPr>
              <w:t> </w:t>
            </w:r>
          </w:p>
        </w:tc>
        <w:tc>
          <w:tcPr>
            <w:tcW w:w="1418" w:type="dxa"/>
            <w:tcBorders>
              <w:top w:val="single" w:sz="4" w:space="0" w:color="41B7EE"/>
              <w:left w:val="single" w:sz="4" w:space="0" w:color="41B7EE"/>
              <w:bottom w:val="single" w:sz="8" w:space="0" w:color="41B7EE"/>
              <w:right w:val="single" w:sz="4" w:space="0" w:color="41B7EE"/>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生产豆制品</w:t>
            </w:r>
            <w:r>
              <w:rPr>
                <w:rFonts w:ascii="宋体" w:hAnsi="宋体" w:cs="宋体" w:eastAsia="宋体" w:hint="default"/>
                <w:spacing w:val="-80"/>
                <w:sz w:val="18"/>
                <w:szCs w:val="18"/>
              </w:rPr>
              <w:t>，</w:t>
            </w:r>
            <w:r>
              <w:rPr>
                <w:rFonts w:ascii="宋体" w:hAnsi="宋体" w:cs="宋体" w:eastAsia="宋体" w:hint="default"/>
                <w:sz w:val="18"/>
                <w:szCs w:val="18"/>
              </w:rPr>
              <w:t>调味</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品等</w:t>
            </w:r>
            <w:r>
              <w:rPr>
                <w:rFonts w:ascii="宋体" w:hAnsi="宋体" w:cs="宋体" w:eastAsia="宋体" w:hint="default"/>
                <w:sz w:val="18"/>
                <w:szCs w:val="18"/>
              </w:rPr>
              <w:t> </w:t>
            </w:r>
          </w:p>
        </w:tc>
        <w:tc>
          <w:tcPr>
            <w:tcW w:w="607"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128"/>
              <w:ind w:right="20"/>
              <w:jc w:val="right"/>
              <w:rPr>
                <w:rFonts w:ascii="Arial" w:hAnsi="Arial" w:cs="Arial" w:eastAsia="Arial" w:hint="default"/>
                <w:sz w:val="18"/>
                <w:szCs w:val="18"/>
              </w:rPr>
            </w:pPr>
            <w:r>
              <w:rPr>
                <w:rFonts w:ascii="Arial"/>
                <w:w w:val="95"/>
                <w:sz w:val="18"/>
              </w:rPr>
              <w:t>4,473</w:t>
            </w:r>
            <w:r>
              <w:rPr>
                <w:rFonts w:ascii="Arial"/>
                <w:sz w:val="18"/>
              </w:rPr>
            </w:r>
          </w:p>
        </w:tc>
        <w:tc>
          <w:tcPr>
            <w:tcW w:w="663"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128"/>
              <w:ind w:right="20"/>
              <w:jc w:val="right"/>
              <w:rPr>
                <w:rFonts w:ascii="Arial" w:hAnsi="Arial" w:cs="Arial" w:eastAsia="Arial" w:hint="default"/>
                <w:sz w:val="18"/>
                <w:szCs w:val="18"/>
              </w:rPr>
            </w:pPr>
            <w:r>
              <w:rPr>
                <w:rFonts w:ascii="Arial"/>
                <w:w w:val="95"/>
                <w:sz w:val="18"/>
              </w:rPr>
              <w:t>22.36</w:t>
            </w:r>
            <w:r>
              <w:rPr>
                <w:rFonts w:ascii="Arial"/>
                <w:sz w:val="18"/>
              </w:rPr>
            </w:r>
          </w:p>
        </w:tc>
        <w:tc>
          <w:tcPr>
            <w:tcW w:w="857"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128"/>
              <w:ind w:right="21"/>
              <w:jc w:val="right"/>
              <w:rPr>
                <w:rFonts w:ascii="Arial" w:hAnsi="Arial" w:cs="Arial" w:eastAsia="Arial" w:hint="default"/>
                <w:sz w:val="18"/>
                <w:szCs w:val="18"/>
              </w:rPr>
            </w:pPr>
            <w:r>
              <w:rPr>
                <w:rFonts w:ascii="Arial"/>
                <w:spacing w:val="-1"/>
                <w:sz w:val="18"/>
              </w:rPr>
              <w:t>8,088.83</w:t>
            </w:r>
          </w:p>
        </w:tc>
        <w:tc>
          <w:tcPr>
            <w:tcW w:w="888"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128"/>
              <w:ind w:right="23"/>
              <w:jc w:val="right"/>
              <w:rPr>
                <w:rFonts w:ascii="Arial" w:hAnsi="Arial" w:cs="Arial" w:eastAsia="Arial" w:hint="default"/>
                <w:sz w:val="18"/>
                <w:szCs w:val="18"/>
              </w:rPr>
            </w:pPr>
            <w:r>
              <w:rPr>
                <w:rFonts w:ascii="Arial"/>
                <w:spacing w:val="-1"/>
                <w:sz w:val="18"/>
              </w:rPr>
              <w:t>3,799.87</w:t>
            </w:r>
          </w:p>
        </w:tc>
        <w:tc>
          <w:tcPr>
            <w:tcW w:w="857"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128"/>
              <w:ind w:right="23"/>
              <w:jc w:val="right"/>
              <w:rPr>
                <w:rFonts w:ascii="Arial" w:hAnsi="Arial" w:cs="Arial" w:eastAsia="Arial" w:hint="default"/>
                <w:sz w:val="18"/>
                <w:szCs w:val="18"/>
              </w:rPr>
            </w:pPr>
            <w:r>
              <w:rPr>
                <w:rFonts w:ascii="Arial"/>
                <w:spacing w:val="-1"/>
                <w:sz w:val="18"/>
              </w:rPr>
              <w:t>2,884.63</w:t>
            </w:r>
          </w:p>
        </w:tc>
        <w:tc>
          <w:tcPr>
            <w:tcW w:w="850"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128"/>
              <w:ind w:right="25"/>
              <w:jc w:val="right"/>
              <w:rPr>
                <w:rFonts w:ascii="Arial" w:hAnsi="Arial" w:cs="Arial" w:eastAsia="Arial" w:hint="default"/>
                <w:sz w:val="18"/>
                <w:szCs w:val="18"/>
              </w:rPr>
            </w:pPr>
            <w:r>
              <w:rPr>
                <w:rFonts w:ascii="Arial"/>
                <w:spacing w:val="-1"/>
                <w:sz w:val="18"/>
              </w:rPr>
              <w:t>-340.78</w:t>
            </w:r>
          </w:p>
        </w:tc>
      </w:tr>
    </w:tbl>
    <w:p>
      <w:pPr>
        <w:spacing w:line="240" w:lineRule="auto" w:before="11"/>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37pt;height:1pt;mso-position-horizontal-relative:char;mso-position-vertical-relative:line" coordorigin="0,0" coordsize="8740,20">
            <v:group style="position:absolute;left:10;top:10;width:2576;height:2" coordorigin="10,10" coordsize="2576,2">
              <v:shape style="position:absolute;left:10;top:10;width:2576;height:2" coordorigin="10,10" coordsize="2576,0" path="m10,10l2585,10e" filled="false" stroked="true" strokeweight=".95999pt" strokecolor="#41b7ee">
                <v:path arrowok="t"/>
              </v:shape>
            </v:group>
            <v:group style="position:absolute;left:2585;top:10;width:58;height:2" coordorigin="2585,10" coordsize="58,2">
              <v:shape style="position:absolute;left:2585;top:10;width:58;height:2" coordorigin="2585,10" coordsize="58,0" path="m2585,10l2643,10e" filled="false" stroked="true" strokeweight=".95999pt" strokecolor="#41b7ee">
                <v:path arrowok="t"/>
              </v:shape>
            </v:group>
            <v:group style="position:absolute;left:2643;top:10;width:1361;height:2" coordorigin="2643,10" coordsize="1361,2">
              <v:shape style="position:absolute;left:2643;top:10;width:1361;height:2" coordorigin="2643,10" coordsize="1361,0" path="m2643,10l4004,10e" filled="false" stroked="true" strokeweight=".95999pt" strokecolor="#41b7ee">
                <v:path arrowok="t"/>
              </v:shape>
            </v:group>
            <v:group style="position:absolute;left:4004;top:10;width:58;height:2" coordorigin="4004,10" coordsize="58,2">
              <v:shape style="position:absolute;left:4004;top:10;width:58;height:2" coordorigin="4004,10" coordsize="58,0" path="m4004,10l4061,10e" filled="false" stroked="true" strokeweight=".95999pt" strokecolor="#41b7ee">
                <v:path arrowok="t"/>
              </v:shape>
            </v:group>
            <v:group style="position:absolute;left:4061;top:10;width:550;height:2" coordorigin="4061,10" coordsize="550,2">
              <v:shape style="position:absolute;left:4061;top:10;width:550;height:2" coordorigin="4061,10" coordsize="550,0" path="m4061,10l4611,10e" filled="false" stroked="true" strokeweight=".95999pt" strokecolor="#41b7ee">
                <v:path arrowok="t"/>
              </v:shape>
            </v:group>
            <v:group style="position:absolute;left:4611;top:10;width:58;height:2" coordorigin="4611,10" coordsize="58,2">
              <v:shape style="position:absolute;left:4611;top:10;width:58;height:2" coordorigin="4611,10" coordsize="58,0" path="m4611,10l4669,10e" filled="false" stroked="true" strokeweight=".95999pt" strokecolor="#41b7ee">
                <v:path arrowok="t"/>
              </v:shape>
            </v:group>
            <v:group style="position:absolute;left:4669;top:10;width:606;height:2" coordorigin="4669,10" coordsize="606,2">
              <v:shape style="position:absolute;left:4669;top:10;width:606;height:2" coordorigin="4669,10" coordsize="606,0" path="m4669,10l5274,10e" filled="false" stroked="true" strokeweight=".95999pt" strokecolor="#41b7ee">
                <v:path arrowok="t"/>
              </v:shape>
            </v:group>
            <v:group style="position:absolute;left:5274;top:10;width:58;height:2" coordorigin="5274,10" coordsize="58,2">
              <v:shape style="position:absolute;left:5274;top:10;width:58;height:2" coordorigin="5274,10" coordsize="58,0" path="m5274,10l5331,10e" filled="false" stroked="true" strokeweight=".95999pt" strokecolor="#41b7ee">
                <v:path arrowok="t"/>
              </v:shape>
            </v:group>
            <v:group style="position:absolute;left:5331;top:10;width:800;height:2" coordorigin="5331,10" coordsize="800,2">
              <v:shape style="position:absolute;left:5331;top:10;width:800;height:2" coordorigin="5331,10" coordsize="800,0" path="m5331,10l6131,10e" filled="false" stroked="true" strokeweight=".95999pt" strokecolor="#41b7ee">
                <v:path arrowok="t"/>
              </v:shape>
            </v:group>
            <v:group style="position:absolute;left:6131;top:10;width:58;height:2" coordorigin="6131,10" coordsize="58,2">
              <v:shape style="position:absolute;left:6131;top:10;width:58;height:2" coordorigin="6131,10" coordsize="58,0" path="m6131,10l6188,10e" filled="false" stroked="true" strokeweight=".95999pt" strokecolor="#41b7ee">
                <v:path arrowok="t"/>
              </v:shape>
            </v:group>
            <v:group style="position:absolute;left:6188;top:10;width:831;height:2" coordorigin="6188,10" coordsize="831,2">
              <v:shape style="position:absolute;left:6188;top:10;width:831;height:2" coordorigin="6188,10" coordsize="831,0" path="m6188,10l7019,10e" filled="false" stroked="true" strokeweight=".95999pt" strokecolor="#41b7ee">
                <v:path arrowok="t"/>
              </v:shape>
            </v:group>
            <v:group style="position:absolute;left:7019;top:10;width:58;height:2" coordorigin="7019,10" coordsize="58,2">
              <v:shape style="position:absolute;left:7019;top:10;width:58;height:2" coordorigin="7019,10" coordsize="58,0" path="m7019,10l7076,10e" filled="false" stroked="true" strokeweight=".95999pt" strokecolor="#41b7ee">
                <v:path arrowok="t"/>
              </v:shape>
            </v:group>
            <v:group style="position:absolute;left:7076;top:10;width:800;height:2" coordorigin="7076,10" coordsize="800,2">
              <v:shape style="position:absolute;left:7076;top:10;width:800;height:2" coordorigin="7076,10" coordsize="800,0" path="m7076,10l7876,10e" filled="false" stroked="true" strokeweight=".95999pt" strokecolor="#41b7ee">
                <v:path arrowok="t"/>
              </v:shape>
            </v:group>
            <v:group style="position:absolute;left:7876;top:10;width:58;height:2" coordorigin="7876,10" coordsize="58,2">
              <v:shape style="position:absolute;left:7876;top:10;width:58;height:2" coordorigin="7876,10" coordsize="58,0" path="m7876,10l7934,10e" filled="false" stroked="true" strokeweight=".95999pt" strokecolor="#41b7ee">
                <v:path arrowok="t"/>
              </v:shape>
            </v:group>
            <v:group style="position:absolute;left:7934;top:10;width:797;height:2" coordorigin="7934,10" coordsize="797,2">
              <v:shape style="position:absolute;left:7934;top:10;width:797;height:2" coordorigin="7934,10" coordsize="797,0" path="m7934,10l8730,10e" filled="false" stroked="true" strokeweight=".95999pt" strokecolor="#41b7ee">
                <v:path arrowok="t"/>
              </v:shape>
            </v:group>
          </v:group>
        </w:pict>
      </w:r>
      <w:r>
        <w:rPr>
          <w:rFonts w:ascii="宋体" w:hAnsi="宋体" w:cs="宋体" w:eastAsia="宋体" w:hint="default"/>
          <w:sz w:val="2"/>
          <w:szCs w:val="2"/>
        </w:rPr>
      </w:r>
    </w:p>
    <w:p>
      <w:pPr>
        <w:pStyle w:val="Heading2"/>
        <w:tabs>
          <w:tab w:pos="997" w:val="left" w:leader="none"/>
        </w:tabs>
        <w:spacing w:line="240" w:lineRule="auto" w:before="25"/>
        <w:ind w:left="158" w:right="5169"/>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tabs>
          <w:tab w:pos="997" w:val="left" w:leader="none"/>
        </w:tabs>
        <w:spacing w:line="290" w:lineRule="auto" w:before="58"/>
        <w:ind w:left="158" w:right="5169"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三、公司关于公司未来发展的讨论与分析</w:t>
      </w:r>
      <w:r>
        <w:rPr>
          <w:rFonts w:ascii="宋体" w:hAnsi="宋体" w:cs="宋体" w:eastAsia="宋体" w:hint="default"/>
          <w:b/>
          <w:bCs/>
          <w:spacing w:val="-88"/>
          <w:sz w:val="21"/>
          <w:szCs w:val="21"/>
        </w:rPr>
        <w:t> </w:t>
      </w:r>
      <w:r>
        <w:rPr>
          <w:rFonts w:ascii="宋体" w:hAnsi="宋体" w:cs="宋体" w:eastAsia="宋体" w:hint="default"/>
          <w:b/>
          <w:bCs/>
          <w:spacing w:val="-88"/>
          <w:sz w:val="21"/>
          <w:szCs w:val="21"/>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z w:val="21"/>
          <w:szCs w:val="21"/>
        </w:rPr>
        <w:t>行业格局和趋势</w:t>
      </w:r>
      <w:r>
        <w:rPr>
          <w:rFonts w:ascii="宋体" w:hAnsi="宋体" w:cs="宋体" w:eastAsia="宋体" w:hint="default"/>
          <w:sz w:val="21"/>
          <w:szCs w:val="21"/>
        </w:rPr>
      </w:r>
    </w:p>
    <w:p>
      <w:pPr>
        <w:pStyle w:val="BodyText"/>
        <w:spacing w:line="278" w:lineRule="auto" w:before="12"/>
        <w:ind w:left="57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推进农业供给侧结构性改革，提高农业综合效益和竞争力，是当前和今后一个时期我国农业</w:t>
      </w:r>
    </w:p>
    <w:p>
      <w:pPr>
        <w:pStyle w:val="BodyText"/>
        <w:spacing w:line="278" w:lineRule="auto" w:before="10"/>
        <w:ind w:left="158" w:right="137"/>
        <w:jc w:val="both"/>
        <w:rPr>
          <w:rFonts w:ascii="宋体" w:hAnsi="宋体" w:cs="宋体" w:eastAsia="宋体" w:hint="default"/>
        </w:rPr>
      </w:pPr>
      <w:r>
        <w:rPr>
          <w:spacing w:val="-2"/>
        </w:rPr>
        <w:t>政策改革和完善的主要方向。农业供给侧改革是解决农产品供给的结构和质量问题，对股份公司</w:t>
      </w:r>
      <w:r>
        <w:rPr>
          <w:spacing w:val="-25"/>
        </w:rPr>
        <w:t> </w:t>
      </w:r>
      <w:r>
        <w:rPr>
          <w:spacing w:val="-25"/>
        </w:rPr>
      </w:r>
      <w:r>
        <w:rPr>
          <w:spacing w:val="-2"/>
        </w:rPr>
        <w:t>而言，实施种植业供给侧改革的出发点是积极适应国家粮食收储政策改革的“新常态”，着眼点</w:t>
      </w:r>
      <w:r>
        <w:rPr>
          <w:spacing w:val="-25"/>
        </w:rPr>
        <w:t> </w:t>
      </w:r>
      <w:r>
        <w:rPr>
          <w:spacing w:val="-25"/>
        </w:rPr>
      </w:r>
      <w:r>
        <w:rPr>
          <w:spacing w:val="-2"/>
        </w:rPr>
        <w:t>是紧盯市场需求变化，着手点是按照市场需求调优种植业结构，落脚点是促进企业和农户增加收</w:t>
      </w:r>
      <w:r>
        <w:rPr>
          <w:spacing w:val="-25"/>
        </w:rPr>
        <w:t> </w:t>
      </w:r>
      <w:r>
        <w:rPr>
          <w:spacing w:val="-25"/>
        </w:rPr>
      </w:r>
      <w:r>
        <w:rPr/>
        <w:t>入与效益。</w:t>
      </w:r>
      <w:r>
        <w:rPr>
          <w:rFonts w:ascii="宋体" w:hAnsi="宋体" w:cs="宋体" w:eastAsia="宋体" w:hint="default"/>
        </w:rPr>
        <w:t> </w:t>
      </w:r>
    </w:p>
    <w:p>
      <w:pPr>
        <w:pStyle w:val="Heading2"/>
        <w:tabs>
          <w:tab w:pos="997" w:val="left" w:leader="none"/>
        </w:tabs>
        <w:spacing w:line="240" w:lineRule="auto" w:before="28"/>
        <w:ind w:left="158" w:right="5169"/>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公司发展战略</w:t>
      </w:r>
      <w:r>
        <w:rPr>
          <w:b w:val="0"/>
          <w:bCs w:val="0"/>
        </w:rPr>
      </w:r>
    </w:p>
    <w:p>
      <w:pPr>
        <w:pStyle w:val="BodyText"/>
        <w:spacing w:line="276" w:lineRule="auto" w:before="56"/>
        <w:ind w:left="57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坚持稳中求进工作总基调</w:t>
      </w:r>
      <w:r>
        <w:rPr>
          <w:rFonts w:ascii="宋体" w:hAnsi="宋体" w:cs="宋体" w:eastAsia="宋体" w:hint="default"/>
          <w:spacing w:val="-2"/>
        </w:rPr>
        <w:t>,</w:t>
      </w:r>
      <w:r>
        <w:rPr>
          <w:spacing w:val="-2"/>
        </w:rPr>
        <w:t>主动适应经济发展新常态</w:t>
      </w:r>
      <w:r>
        <w:rPr>
          <w:rFonts w:ascii="宋体" w:hAnsi="宋体" w:cs="宋体" w:eastAsia="宋体" w:hint="default"/>
          <w:spacing w:val="-2"/>
        </w:rPr>
        <w:t>,</w:t>
      </w:r>
      <w:r>
        <w:rPr>
          <w:spacing w:val="-2"/>
        </w:rPr>
        <w:t>按照“增效增产、拼内力，转型升级、</w:t>
      </w:r>
    </w:p>
    <w:p>
      <w:pPr>
        <w:pStyle w:val="BodyText"/>
        <w:spacing w:line="278" w:lineRule="auto" w:before="15"/>
        <w:ind w:left="158" w:right="0"/>
        <w:jc w:val="left"/>
        <w:rPr>
          <w:rFonts w:ascii="宋体" w:hAnsi="宋体" w:cs="宋体" w:eastAsia="宋体" w:hint="default"/>
        </w:rPr>
      </w:pPr>
      <w:r>
        <w:rPr>
          <w:spacing w:val="-2"/>
        </w:rPr>
        <w:t>补短板，强化管理、防风险，外树形象、优环境”的工作思路，全力推动企业实现高质量、高效</w:t>
      </w:r>
      <w:r>
        <w:rPr>
          <w:spacing w:val="-26"/>
        </w:rPr>
        <w:t> </w:t>
      </w:r>
      <w:r>
        <w:rPr>
          <w:spacing w:val="-26"/>
        </w:rPr>
      </w:r>
      <w:r>
        <w:rPr/>
        <w:t>益发展。</w:t>
      </w:r>
      <w:r>
        <w:rPr>
          <w:rFonts w:ascii="宋体" w:hAnsi="宋体" w:cs="宋体" w:eastAsia="宋体" w:hint="default"/>
        </w:rPr>
        <w:t> </w:t>
      </w:r>
    </w:p>
    <w:p>
      <w:pPr>
        <w:pStyle w:val="Heading2"/>
        <w:tabs>
          <w:tab w:pos="997" w:val="left" w:leader="none"/>
        </w:tabs>
        <w:spacing w:line="240" w:lineRule="auto" w:before="25"/>
        <w:ind w:left="158" w:right="5169"/>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经营计划</w:t>
      </w:r>
      <w:r>
        <w:rPr>
          <w:b w:val="0"/>
          <w:bCs w:val="0"/>
        </w:rPr>
      </w:r>
    </w:p>
    <w:p>
      <w:pPr>
        <w:pStyle w:val="BodyText"/>
        <w:spacing w:line="240" w:lineRule="auto" w:before="58"/>
        <w:ind w:left="158" w:right="516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42"/>
        <w:ind w:left="578" w:right="0"/>
        <w:jc w:val="left"/>
      </w:pPr>
      <w:r>
        <w:rPr>
          <w:rFonts w:ascii="Arial" w:hAnsi="Arial" w:cs="Arial" w:eastAsia="Arial" w:hint="default"/>
        </w:rPr>
        <w:t>2020</w:t>
      </w:r>
      <w:r>
        <w:rPr>
          <w:rFonts w:ascii="Arial" w:hAnsi="Arial" w:cs="Arial" w:eastAsia="Arial" w:hint="default"/>
          <w:spacing w:val="-3"/>
        </w:rPr>
        <w:t> </w:t>
      </w:r>
      <w:r>
        <w:rPr>
          <w:spacing w:val="-4"/>
        </w:rPr>
        <w:t>年经营目标：</w:t>
      </w:r>
      <w:r>
        <w:rPr>
          <w:rFonts w:ascii="Arial" w:hAnsi="Arial" w:cs="Arial" w:eastAsia="Arial" w:hint="default"/>
          <w:spacing w:val="-4"/>
        </w:rPr>
        <w:t>2020</w:t>
      </w:r>
      <w:r>
        <w:rPr>
          <w:rFonts w:ascii="Arial" w:hAnsi="Arial" w:cs="Arial" w:eastAsia="Arial" w:hint="default"/>
          <w:spacing w:val="-3"/>
        </w:rPr>
        <w:t> </w:t>
      </w:r>
      <w:r>
        <w:rPr/>
        <w:t>年公司预计全年实现营业收入</w:t>
      </w:r>
      <w:r>
        <w:rPr>
          <w:spacing w:val="-48"/>
        </w:rPr>
        <w:t> </w:t>
      </w:r>
      <w:r>
        <w:rPr>
          <w:rFonts w:ascii="Arial" w:hAnsi="Arial" w:cs="Arial" w:eastAsia="Arial" w:hint="default"/>
        </w:rPr>
        <w:t>32</w:t>
      </w:r>
      <w:r>
        <w:rPr>
          <w:rFonts w:ascii="Arial" w:hAnsi="Arial" w:cs="Arial" w:eastAsia="Arial" w:hint="default"/>
          <w:spacing w:val="-1"/>
        </w:rPr>
        <w:t> </w:t>
      </w:r>
      <w:r>
        <w:rPr>
          <w:spacing w:val="-5"/>
        </w:rPr>
        <w:t>亿元，实现利润总额</w:t>
      </w:r>
      <w:r>
        <w:rPr>
          <w:spacing w:val="-47"/>
        </w:rPr>
        <w:t> </w:t>
      </w:r>
      <w:r>
        <w:rPr>
          <w:rFonts w:ascii="Arial" w:hAnsi="Arial" w:cs="Arial" w:eastAsia="Arial" w:hint="default"/>
        </w:rPr>
        <w:t>8.5</w:t>
      </w:r>
      <w:r>
        <w:rPr>
          <w:rFonts w:ascii="Arial" w:hAnsi="Arial" w:cs="Arial" w:eastAsia="Arial" w:hint="default"/>
          <w:spacing w:val="-3"/>
        </w:rPr>
        <w:t> </w:t>
      </w:r>
      <w:r>
        <w:rPr>
          <w:spacing w:val="-8"/>
        </w:rPr>
        <w:t>亿元，粮</w:t>
      </w:r>
    </w:p>
    <w:p>
      <w:pPr>
        <w:pStyle w:val="BodyText"/>
        <w:spacing w:line="240" w:lineRule="auto" w:before="32"/>
        <w:ind w:left="158" w:right="0"/>
        <w:jc w:val="left"/>
      </w:pPr>
      <w:r>
        <w:rPr/>
        <w:t>豆总产 </w:t>
      </w:r>
      <w:r>
        <w:rPr>
          <w:rFonts w:ascii="Arial" w:hAnsi="Arial" w:cs="Arial" w:eastAsia="Arial" w:hint="default"/>
        </w:rPr>
        <w:t>115</w:t>
      </w:r>
      <w:r>
        <w:rPr>
          <w:rFonts w:ascii="Arial" w:hAnsi="Arial" w:cs="Arial" w:eastAsia="Arial" w:hint="default"/>
          <w:spacing w:val="-2"/>
        </w:rPr>
        <w:t> </w:t>
      </w:r>
      <w:r>
        <w:rPr>
          <w:spacing w:val="-4"/>
        </w:rPr>
        <w:t>亿斤</w:t>
      </w:r>
      <w:r>
        <w:rPr>
          <w:rFonts w:ascii="Arial" w:hAnsi="Arial" w:cs="Arial" w:eastAsia="Arial" w:hint="default"/>
          <w:spacing w:val="-4"/>
        </w:rPr>
        <w:t>,</w:t>
      </w:r>
      <w:r>
        <w:rPr>
          <w:spacing w:val="-4"/>
        </w:rPr>
        <w:t>努力实现公司的质量变革、效率变革和动力变革。以上经营目标，不代表公司对</w:t>
      </w:r>
    </w:p>
    <w:p>
      <w:pPr>
        <w:tabs>
          <w:tab w:pos="997" w:val="left" w:leader="none"/>
        </w:tabs>
        <w:spacing w:line="276" w:lineRule="auto" w:before="29"/>
        <w:ind w:left="158" w:right="1090" w:firstLine="0"/>
        <w:jc w:val="left"/>
        <w:rPr>
          <w:rFonts w:ascii="宋体" w:hAnsi="宋体" w:cs="宋体" w:eastAsia="宋体" w:hint="default"/>
          <w:sz w:val="21"/>
          <w:szCs w:val="21"/>
        </w:rPr>
      </w:pPr>
      <w:r>
        <w:rPr>
          <w:rFonts w:ascii="Arial" w:hAnsi="Arial" w:cs="Arial" w:eastAsia="Arial" w:hint="default"/>
          <w:sz w:val="21"/>
          <w:szCs w:val="21"/>
        </w:rPr>
        <w:t>2020</w:t>
      </w:r>
      <w:r>
        <w:rPr>
          <w:rFonts w:ascii="Arial" w:hAnsi="Arial" w:cs="Arial" w:eastAsia="Arial" w:hint="default"/>
          <w:spacing w:val="41"/>
          <w:sz w:val="21"/>
          <w:szCs w:val="21"/>
        </w:rPr>
        <w:t> </w:t>
      </w:r>
      <w:r>
        <w:rPr>
          <w:rFonts w:ascii="宋体" w:hAnsi="宋体" w:cs="宋体" w:eastAsia="宋体" w:hint="default"/>
          <w:spacing w:val="-2"/>
          <w:sz w:val="21"/>
          <w:szCs w:val="21"/>
        </w:rPr>
        <w:t>年的盈利预测，并不构成公司对投资者的业绩承诺，敬请投资者注意投资风险。</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四</w:t>
      </w:r>
      <w:r>
        <w:rPr>
          <w:rFonts w:ascii="宋体" w:hAnsi="宋体" w:cs="宋体" w:eastAsia="宋体" w:hint="default"/>
          <w:b/>
          <w:bCs/>
          <w:spacing w:val="-1"/>
          <w:sz w:val="21"/>
          <w:szCs w:val="21"/>
        </w:rPr>
        <w:t>)</w:t>
        <w:tab/>
      </w:r>
      <w:r>
        <w:rPr>
          <w:rFonts w:ascii="宋体" w:hAnsi="宋体" w:cs="宋体" w:eastAsia="宋体" w:hint="default"/>
          <w:b/>
          <w:bCs/>
          <w:sz w:val="21"/>
          <w:szCs w:val="21"/>
        </w:rPr>
        <w:t>可能面对的风险</w:t>
      </w:r>
      <w:r>
        <w:rPr>
          <w:rFonts w:ascii="宋体" w:hAnsi="宋体" w:cs="宋体" w:eastAsia="宋体" w:hint="default"/>
          <w:sz w:val="21"/>
          <w:szCs w:val="21"/>
        </w:rPr>
      </w:r>
    </w:p>
    <w:p>
      <w:pPr>
        <w:pStyle w:val="BodyText"/>
        <w:spacing w:line="276" w:lineRule="auto" w:before="28"/>
        <w:ind w:left="57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公司历史形成应收账款、存货的风险。公司在历史经营过程中，应收账款和存货较多，正在</w:t>
      </w:r>
    </w:p>
    <w:p>
      <w:pPr>
        <w:pStyle w:val="BodyText"/>
        <w:spacing w:line="278" w:lineRule="auto" w:before="15"/>
        <w:ind w:left="578" w:right="0" w:hanging="420"/>
        <w:jc w:val="left"/>
      </w:pPr>
      <w:r>
        <w:rPr/>
        <w:t>全力清欠与清库。</w:t>
      </w:r>
      <w:r>
        <w:rPr>
          <w:w w:val="100"/>
        </w:rPr>
        <w:t> </w:t>
      </w:r>
      <w:r>
        <w:rPr>
          <w:spacing w:val="-2"/>
        </w:rPr>
        <w:t>应对措施：一是继续加大清欠力度，推进涉法涉诉案件的进程，尽量减少损失，全力排查可</w:t>
      </w:r>
    </w:p>
    <w:p>
      <w:pPr>
        <w:pStyle w:val="BodyText"/>
        <w:spacing w:line="280" w:lineRule="auto" w:before="10"/>
        <w:ind w:left="158" w:right="137"/>
        <w:jc w:val="both"/>
      </w:pPr>
      <w:r>
        <w:rPr>
          <w:spacing w:val="-2"/>
        </w:rPr>
        <w:t>执行资产；二是继续加快存货清理力度。流动资产类加快变现，固定资产类实现价值保全。加快</w:t>
      </w:r>
      <w:r>
        <w:rPr>
          <w:spacing w:val="-26"/>
        </w:rPr>
        <w:t> </w:t>
      </w:r>
      <w:r>
        <w:rPr>
          <w:spacing w:val="-26"/>
        </w:rPr>
      </w:r>
      <w:r>
        <w:rPr>
          <w:spacing w:val="-2"/>
        </w:rPr>
        <w:t>清理历史遗留问题资产，对积压的库存进行分析、处理，加快存货变现能力，提升公司整体竞争</w:t>
      </w:r>
      <w:r>
        <w:rPr>
          <w:spacing w:val="-25"/>
        </w:rPr>
        <w:t> </w:t>
      </w:r>
      <w:r>
        <w:rPr>
          <w:spacing w:val="-25"/>
        </w:rPr>
      </w:r>
      <w:r>
        <w:rPr/>
        <w:t>力。</w:t>
      </w:r>
    </w:p>
    <w:p>
      <w:pPr>
        <w:pStyle w:val="BodyText"/>
        <w:spacing w:line="280" w:lineRule="auto" w:before="8"/>
        <w:ind w:left="158" w:right="0" w:firstLine="419"/>
        <w:jc w:val="left"/>
      </w:pPr>
      <w:r>
        <w:rPr>
          <w:spacing w:val="-2"/>
        </w:rPr>
        <w:t>自然灾害可能导致的风险。农业土地发包经营与自然条件息息相关，容易受到自然灾害的影</w:t>
      </w:r>
      <w:r>
        <w:rPr>
          <w:w w:val="100"/>
        </w:rPr>
        <w:t> </w:t>
      </w:r>
      <w:r>
        <w:rPr/>
        <w:t>响。本公司曾经遭受过旱灾、水灾、霜冻、冰雹、虫灾及风灾等自然灾害，像</w:t>
      </w:r>
      <w:r>
        <w:rPr>
          <w:spacing w:val="-58"/>
        </w:rPr>
        <w:t> </w:t>
      </w:r>
      <w:r>
        <w:rPr>
          <w:rFonts w:ascii="Arial" w:hAnsi="Arial" w:cs="Arial" w:eastAsia="Arial" w:hint="default"/>
        </w:rPr>
        <w:t>2019</w:t>
      </w:r>
      <w:r>
        <w:rPr>
          <w:rFonts w:ascii="Arial" w:hAnsi="Arial" w:cs="Arial" w:eastAsia="Arial" w:hint="default"/>
          <w:spacing w:val="-12"/>
        </w:rPr>
        <w:t> </w:t>
      </w:r>
      <w:r>
        <w:rPr/>
        <w:t>年这样严重</w:t>
      </w:r>
    </w:p>
    <w:p>
      <w:pPr>
        <w:spacing w:after="0" w:line="280" w:lineRule="auto"/>
        <w:jc w:val="left"/>
        <w:sectPr>
          <w:footerReference w:type="default" r:id="rId13"/>
          <w:pgSz w:w="11910" w:h="16840"/>
          <w:pgMar w:footer="1195" w:header="825" w:top="1360" w:bottom="1380" w:left="1640" w:right="1140"/>
          <w:pgNumType w:start="21"/>
        </w:sectPr>
      </w:pPr>
    </w:p>
    <w:p>
      <w:pPr>
        <w:spacing w:line="240" w:lineRule="auto" w:before="12"/>
        <w:rPr>
          <w:rFonts w:ascii="宋体" w:hAnsi="宋体" w:cs="宋体" w:eastAsia="宋体" w:hint="default"/>
          <w:sz w:val="9"/>
          <w:szCs w:val="9"/>
        </w:rPr>
      </w:pPr>
    </w:p>
    <w:p>
      <w:pPr>
        <w:pStyle w:val="BodyText"/>
        <w:spacing w:line="273" w:lineRule="auto" w:before="36"/>
        <w:ind w:left="178" w:right="208"/>
        <w:jc w:val="both"/>
      </w:pPr>
      <w:r>
        <w:rPr>
          <w:spacing w:val="-4"/>
        </w:rPr>
        <w:t>的水灾情况，给公司生产基础设施带来了较大的损失，给公司利润也造成了一定的影响。若 </w:t>
      </w:r>
      <w:r>
        <w:rPr>
          <w:rFonts w:ascii="Arial" w:hAnsi="Arial" w:cs="Arial" w:eastAsia="Arial" w:hint="default"/>
        </w:rPr>
        <w:t>2020</w:t>
      </w:r>
      <w:r>
        <w:rPr>
          <w:rFonts w:ascii="Arial" w:hAnsi="Arial" w:cs="Arial" w:eastAsia="Arial" w:hint="default"/>
          <w:spacing w:val="-43"/>
        </w:rPr>
        <w:t> </w:t>
      </w:r>
      <w:r>
        <w:rPr>
          <w:rFonts w:ascii="Arial" w:hAnsi="Arial" w:cs="Arial" w:eastAsia="Arial" w:hint="default"/>
          <w:spacing w:val="-43"/>
        </w:rPr>
      </w:r>
      <w:r>
        <w:rPr>
          <w:spacing w:val="-2"/>
        </w:rPr>
        <w:t>年公司遭受上述自然灾害，则可能导致家庭农场粮食减产，也可能导致生产设施、运输设备和农</w:t>
      </w:r>
      <w:r>
        <w:rPr>
          <w:spacing w:val="-26"/>
        </w:rPr>
        <w:t> </w:t>
      </w:r>
      <w:r>
        <w:rPr>
          <w:spacing w:val="-26"/>
        </w:rPr>
      </w:r>
      <w:r>
        <w:rPr/>
        <w:t>产品的损失，也将影响到公司的利润。</w:t>
      </w:r>
    </w:p>
    <w:p>
      <w:pPr>
        <w:pStyle w:val="BodyText"/>
        <w:spacing w:line="280" w:lineRule="auto" w:before="15"/>
        <w:ind w:left="178" w:right="217" w:firstLine="419"/>
        <w:jc w:val="both"/>
      </w:pPr>
      <w:r>
        <w:rPr>
          <w:spacing w:val="-2"/>
        </w:rPr>
        <w:t>针对自然灾害可能导致的风险，本公司采取加强水利设施建设，预防旱灾和水灾；加强病虫</w:t>
      </w:r>
      <w:r>
        <w:rPr>
          <w:w w:val="100"/>
        </w:rPr>
        <w:t> </w:t>
      </w:r>
      <w:r>
        <w:rPr>
          <w:spacing w:val="-2"/>
        </w:rPr>
        <w:t>害的调查和研究，提高对病虫害的防治能力；家庭农场参加灾害保险，提高抵抗风险及灾后恢复</w:t>
      </w:r>
      <w:r>
        <w:rPr>
          <w:spacing w:val="-25"/>
        </w:rPr>
        <w:t> </w:t>
      </w:r>
      <w:r>
        <w:rPr>
          <w:spacing w:val="-25"/>
        </w:rPr>
      </w:r>
      <w:r>
        <w:rPr/>
        <w:t>生产的能力。</w:t>
      </w:r>
    </w:p>
    <w:p>
      <w:pPr>
        <w:pStyle w:val="Heading2"/>
        <w:spacing w:line="240" w:lineRule="auto" w:before="23"/>
        <w:ind w:left="178"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99"/>
        </w:rPr>
        <w:t> </w:t>
      </w:r>
      <w:r>
        <w:rPr/>
        <w:t>其他</w:t>
      </w:r>
      <w:r>
        <w:rPr>
          <w:b w:val="0"/>
          <w:bCs w:val="0"/>
        </w:rPr>
      </w:r>
    </w:p>
    <w:p>
      <w:pPr>
        <w:pStyle w:val="Heading2"/>
        <w:spacing w:line="290" w:lineRule="auto" w:before="58"/>
        <w:ind w:left="178" w:right="102"/>
        <w:jc w:val="left"/>
        <w:rPr>
          <w:b w:val="0"/>
          <w:bCs w:val="0"/>
        </w:rPr>
      </w:pPr>
      <w:r>
        <w:rPr>
          <w:rFonts w:ascii="宋体" w:hAnsi="宋体" w:cs="宋体" w:eastAsia="宋体" w:hint="default"/>
          <w:b w:val="0"/>
          <w:bCs w:val="0"/>
        </w:rPr>
        <w:t>□适用 </w:t>
      </w:r>
      <w:r>
        <w:rPr>
          <w:rFonts w:ascii="宋体" w:hAnsi="宋体" w:cs="宋体" w:eastAsia="宋体" w:hint="default"/>
          <w:b w:val="0"/>
          <w:bCs w:val="0"/>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spacing w:val="-1"/>
        </w:rPr>
        <w:t>四、公司因不适用准则规定或国家秘密、商业秘密等特殊原因，未按准则披露的情况和原因说明</w:t>
      </w:r>
      <w:r>
        <w:rPr>
          <w:b w:val="0"/>
          <w:bCs w:val="0"/>
          <w:spacing w:val="-1"/>
        </w:rPr>
      </w:r>
    </w:p>
    <w:p>
      <w:pPr>
        <w:pStyle w:val="BodyText"/>
        <w:spacing w:line="273" w:lineRule="exact" w:before="14"/>
        <w:ind w:left="17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78" w:right="0"/>
        <w:jc w:val="both"/>
        <w:rPr>
          <w:rFonts w:ascii="宋体" w:hAnsi="宋体" w:cs="宋体" w:eastAsia="宋体" w:hint="default"/>
        </w:rPr>
      </w:pPr>
      <w:r>
        <w:rPr>
          <w:rFonts w:ascii="宋体"/>
          <w:w w:val="100"/>
        </w:rPr>
        <w:t> </w:t>
      </w:r>
    </w:p>
    <w:p>
      <w:pPr>
        <w:pStyle w:val="BodyText"/>
        <w:spacing w:line="275" w:lineRule="exact"/>
        <w:ind w:left="178" w:right="0"/>
        <w:jc w:val="both"/>
        <w:rPr>
          <w:rFonts w:ascii="宋体" w:hAnsi="宋体" w:cs="宋体" w:eastAsia="宋体" w:hint="default"/>
        </w:rPr>
      </w:pPr>
      <w:r>
        <w:rPr>
          <w:rFonts w:ascii="宋体"/>
          <w:w w:val="100"/>
        </w:rPr>
        <w:t> </w:t>
      </w:r>
    </w:p>
    <w:p>
      <w:pPr>
        <w:pStyle w:val="Heading1"/>
        <w:tabs>
          <w:tab w:pos="1259" w:val="left" w:leader="none"/>
        </w:tabs>
        <w:spacing w:line="240" w:lineRule="auto" w:before="42"/>
        <w:ind w:left="0" w:right="35"/>
        <w:jc w:val="center"/>
        <w:rPr>
          <w:b w:val="0"/>
          <w:bCs w:val="0"/>
        </w:rPr>
      </w:pPr>
      <w:bookmarkStart w:name="_bookmark4" w:id="5"/>
      <w:bookmarkEnd w:id="5"/>
      <w:r>
        <w:rPr>
          <w:b w:val="0"/>
          <w:bCs w:val="0"/>
        </w:rPr>
      </w:r>
      <w:r>
        <w:rPr>
          <w:w w:val="95"/>
        </w:rPr>
        <w:t>第五节</w:t>
      </w:r>
      <w:r>
        <w:rPr>
          <w:rFonts w:ascii="宋体" w:hAnsi="宋体" w:cs="宋体" w:eastAsia="宋体" w:hint="default"/>
          <w:w w:val="95"/>
        </w:rPr>
        <w:tab/>
      </w:r>
      <w:r>
        <w:rPr/>
        <w:t>重要事项</w:t>
      </w:r>
      <w:r>
        <w:rPr>
          <w:b w:val="0"/>
          <w:bCs w:val="0"/>
        </w:rPr>
      </w:r>
    </w:p>
    <w:p>
      <w:pPr>
        <w:spacing w:line="240" w:lineRule="auto" w:before="4"/>
        <w:rPr>
          <w:rFonts w:ascii="黑体" w:hAnsi="黑体" w:cs="黑体" w:eastAsia="黑体" w:hint="default"/>
          <w:b/>
          <w:bCs/>
          <w:sz w:val="19"/>
          <w:szCs w:val="19"/>
        </w:rPr>
      </w:pPr>
    </w:p>
    <w:p>
      <w:pPr>
        <w:pStyle w:val="Heading2"/>
        <w:spacing w:line="240" w:lineRule="auto" w:before="0"/>
        <w:ind w:left="178" w:right="102"/>
        <w:jc w:val="left"/>
        <w:rPr>
          <w:b w:val="0"/>
          <w:bCs w:val="0"/>
        </w:rPr>
      </w:pPr>
      <w:r>
        <w:rPr/>
        <w:t>一、普通股利润分配或资本公积金转增预案</w:t>
      </w:r>
      <w:r>
        <w:rPr>
          <w:b w:val="0"/>
          <w:bCs w:val="0"/>
        </w:rPr>
      </w:r>
    </w:p>
    <w:p>
      <w:pPr>
        <w:pStyle w:val="Heading2"/>
        <w:spacing w:line="240" w:lineRule="auto" w:before="58"/>
        <w:ind w:left="178" w:right="102"/>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spacing w:line="240" w:lineRule="auto" w:before="29"/>
        <w:ind w:left="178" w:right="10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44"/>
        <w:ind w:left="598" w:right="102"/>
        <w:jc w:val="left"/>
      </w:pPr>
      <w:r>
        <w:rPr/>
        <w:t>公司严格按照《上市公司监管指引第</w:t>
      </w:r>
      <w:r>
        <w:rPr>
          <w:spacing w:val="-54"/>
        </w:rPr>
        <w:t> </w:t>
      </w:r>
      <w:r>
        <w:rPr>
          <w:rFonts w:ascii="Arial" w:hAnsi="Arial" w:cs="Arial" w:eastAsia="Arial" w:hint="default"/>
        </w:rPr>
        <w:t>3</w:t>
      </w:r>
      <w:r>
        <w:rPr>
          <w:rFonts w:ascii="Arial" w:hAnsi="Arial" w:cs="Arial" w:eastAsia="Arial" w:hint="default"/>
          <w:spacing w:val="-10"/>
        </w:rPr>
        <w:t> </w:t>
      </w:r>
      <w:r>
        <w:rPr/>
        <w:t>号</w:t>
      </w:r>
      <w:r>
        <w:rPr>
          <w:rFonts w:ascii="Arial" w:hAnsi="Arial" w:cs="Arial" w:eastAsia="Arial" w:hint="default"/>
        </w:rPr>
        <w:t>——</w:t>
      </w:r>
      <w:r>
        <w:rPr/>
        <w:t>上市公司现金分红》《上海证券交易所上市公</w:t>
      </w:r>
    </w:p>
    <w:p>
      <w:pPr>
        <w:pStyle w:val="BodyText"/>
        <w:spacing w:line="240" w:lineRule="auto" w:before="29"/>
        <w:ind w:left="178" w:right="102"/>
        <w:jc w:val="left"/>
        <w:rPr>
          <w:rFonts w:ascii="Arial" w:hAnsi="Arial" w:cs="Arial" w:eastAsia="Arial" w:hint="default"/>
        </w:rPr>
      </w:pPr>
      <w:r>
        <w:rPr>
          <w:spacing w:val="-5"/>
        </w:rPr>
        <w:t>司现金分红指引》等相关规定以及《公司章程》、股东回报规划执行现金分红政策。于 </w:t>
      </w:r>
      <w:r>
        <w:rPr>
          <w:rFonts w:ascii="Arial" w:hAnsi="Arial" w:cs="Arial" w:eastAsia="Arial" w:hint="default"/>
        </w:rPr>
        <w:t>2019 </w:t>
      </w:r>
      <w:r>
        <w:rPr/>
        <w:t>年</w:t>
      </w:r>
      <w:r>
        <w:rPr>
          <w:spacing w:val="-25"/>
        </w:rPr>
        <w:t> </w:t>
      </w:r>
      <w:r>
        <w:rPr>
          <w:rFonts w:ascii="Arial" w:hAnsi="Arial" w:cs="Arial" w:eastAsia="Arial" w:hint="default"/>
        </w:rPr>
        <w:t>4</w:t>
      </w:r>
    </w:p>
    <w:p>
      <w:pPr>
        <w:pStyle w:val="BodyText"/>
        <w:spacing w:line="240" w:lineRule="auto" w:before="29"/>
        <w:ind w:left="178" w:right="102"/>
        <w:jc w:val="left"/>
      </w:pPr>
      <w:r>
        <w:rPr/>
        <w:t>月</w:t>
      </w:r>
      <w:r>
        <w:rPr>
          <w:spacing w:val="-53"/>
        </w:rPr>
        <w:t> </w:t>
      </w:r>
      <w:r>
        <w:rPr>
          <w:rFonts w:ascii="Arial" w:hAnsi="Arial" w:cs="Arial" w:eastAsia="Arial" w:hint="default"/>
        </w:rPr>
        <w:t>2</w:t>
      </w:r>
      <w:r>
        <w:rPr>
          <w:rFonts w:ascii="Arial" w:hAnsi="Arial" w:cs="Arial" w:eastAsia="Arial" w:hint="default"/>
          <w:spacing w:val="-8"/>
        </w:rPr>
        <w:t> </w:t>
      </w:r>
      <w:r>
        <w:rPr/>
        <w:t>日、</w:t>
      </w:r>
      <w:r>
        <w:rPr>
          <w:rFonts w:ascii="Arial" w:hAnsi="Arial" w:cs="Arial" w:eastAsia="Arial" w:hint="default"/>
        </w:rPr>
        <w:t>2019</w:t>
      </w:r>
      <w:r>
        <w:rPr>
          <w:rFonts w:ascii="Arial" w:hAnsi="Arial" w:cs="Arial" w:eastAsia="Arial" w:hint="default"/>
          <w:spacing w:val="-6"/>
        </w:rPr>
        <w:t> </w:t>
      </w:r>
      <w:r>
        <w:rPr/>
        <w:t>年</w:t>
      </w:r>
      <w:r>
        <w:rPr>
          <w:spacing w:val="-55"/>
        </w:rPr>
        <w:t> </w:t>
      </w:r>
      <w:r>
        <w:rPr>
          <w:rFonts w:ascii="Arial" w:hAnsi="Arial" w:cs="Arial" w:eastAsia="Arial" w:hint="default"/>
        </w:rPr>
        <w:t>4</w:t>
      </w:r>
      <w:r>
        <w:rPr>
          <w:rFonts w:ascii="Arial" w:hAnsi="Arial" w:cs="Arial" w:eastAsia="Arial" w:hint="default"/>
          <w:spacing w:val="-6"/>
        </w:rPr>
        <w:t> </w:t>
      </w:r>
      <w:r>
        <w:rPr/>
        <w:t>月</w:t>
      </w:r>
      <w:r>
        <w:rPr>
          <w:spacing w:val="-55"/>
        </w:rPr>
        <w:t> </w:t>
      </w:r>
      <w:r>
        <w:rPr>
          <w:rFonts w:ascii="Arial" w:hAnsi="Arial" w:cs="Arial" w:eastAsia="Arial" w:hint="default"/>
        </w:rPr>
        <w:t>26</w:t>
      </w:r>
      <w:r>
        <w:rPr>
          <w:rFonts w:ascii="Arial" w:hAnsi="Arial" w:cs="Arial" w:eastAsia="Arial" w:hint="default"/>
          <w:spacing w:val="-8"/>
        </w:rPr>
        <w:t> </w:t>
      </w:r>
      <w:r>
        <w:rPr/>
        <w:t>日分别召开了第六届董事会第六十五次会议和</w:t>
      </w:r>
      <w:r>
        <w:rPr>
          <w:spacing w:val="-53"/>
        </w:rPr>
        <w:t> </w:t>
      </w:r>
      <w:r>
        <w:rPr>
          <w:rFonts w:ascii="Arial" w:hAnsi="Arial" w:cs="Arial" w:eastAsia="Arial" w:hint="default"/>
        </w:rPr>
        <w:t>2018</w:t>
      </w:r>
      <w:r>
        <w:rPr>
          <w:rFonts w:ascii="Arial" w:hAnsi="Arial" w:cs="Arial" w:eastAsia="Arial" w:hint="default"/>
          <w:spacing w:val="-6"/>
        </w:rPr>
        <w:t> </w:t>
      </w:r>
      <w:r>
        <w:rPr/>
        <w:t>年年度股东大会，</w:t>
      </w:r>
    </w:p>
    <w:p>
      <w:pPr>
        <w:pStyle w:val="BodyText"/>
        <w:spacing w:line="240" w:lineRule="auto" w:before="32"/>
        <w:ind w:left="178" w:right="102"/>
        <w:jc w:val="left"/>
        <w:rPr>
          <w:rFonts w:ascii="Arial" w:hAnsi="Arial" w:cs="Arial" w:eastAsia="Arial" w:hint="default"/>
        </w:rPr>
      </w:pPr>
      <w:r>
        <w:rPr/>
        <w:t>审议通过了 </w:t>
      </w:r>
      <w:r>
        <w:rPr>
          <w:rFonts w:ascii="Arial" w:hAnsi="Arial" w:cs="Arial" w:eastAsia="Arial" w:hint="default"/>
        </w:rPr>
        <w:t>2018 </w:t>
      </w:r>
      <w:r>
        <w:rPr>
          <w:spacing w:val="-3"/>
        </w:rPr>
        <w:t>年年度利润分配方案，该报告期内现金红利已经发放完毕，详见公司</w:t>
      </w:r>
      <w:r>
        <w:rPr>
          <w:spacing w:val="-62"/>
        </w:rPr>
        <w:t> </w:t>
      </w:r>
      <w:r>
        <w:rPr>
          <w:rFonts w:ascii="Arial" w:hAnsi="Arial" w:cs="Arial" w:eastAsia="Arial" w:hint="default"/>
        </w:rPr>
        <w:t>2019-032</w:t>
      </w:r>
    </w:p>
    <w:p>
      <w:pPr>
        <w:pStyle w:val="BodyText"/>
        <w:spacing w:line="240" w:lineRule="auto" w:before="29"/>
        <w:ind w:left="178" w:right="102"/>
        <w:jc w:val="left"/>
        <w:rPr>
          <w:rFonts w:ascii="宋体" w:hAnsi="宋体" w:cs="宋体" w:eastAsia="宋体" w:hint="default"/>
        </w:rPr>
      </w:pPr>
      <w:r>
        <w:rPr/>
        <w:t>号公告。</w:t>
      </w:r>
      <w:r>
        <w:rPr>
          <w:rFonts w:ascii="宋体" w:hAnsi="宋体" w:cs="宋体" w:eastAsia="宋体" w:hint="default"/>
        </w:rPr>
        <w:t> </w:t>
      </w:r>
    </w:p>
    <w:p>
      <w:pPr>
        <w:pStyle w:val="Heading2"/>
        <w:spacing w:line="240" w:lineRule="auto" w:before="59"/>
        <w:ind w:left="178" w:right="102"/>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spacing w:line="240" w:lineRule="auto" w:before="32"/>
        <w:ind w:left="0" w:right="10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42.8pt;height:1pt;mso-position-horizontal-relative:char;mso-position-vertical-relative:line" coordorigin="0,0" coordsize="8856,20">
            <v:group style="position:absolute;left:10;top:10;width:989;height:2" coordorigin="10,10" coordsize="989,2">
              <v:shape style="position:absolute;left:10;top:10;width:989;height:2" coordorigin="10,10" coordsize="989,0" path="m10,10l998,10e" filled="false" stroked="true" strokeweight=".95999pt" strokecolor="#41b7ee">
                <v:path arrowok="t"/>
              </v:shape>
            </v:group>
            <v:group style="position:absolute;left:998;top:10;width:58;height:2" coordorigin="998,10" coordsize="58,2">
              <v:shape style="position:absolute;left:998;top:10;width:58;height:2" coordorigin="998,10" coordsize="58,0" path="m998,10l1056,10e" filled="false" stroked="true" strokeweight=".95999pt" strokecolor="#41b7ee">
                <v:path arrowok="t"/>
              </v:shape>
            </v:group>
            <v:group style="position:absolute;left:1056;top:10;width:970;height:2" coordorigin="1056,10" coordsize="970,2">
              <v:shape style="position:absolute;left:1056;top:10;width:970;height:2" coordorigin="1056,10" coordsize="970,0" path="m1056,10l2026,10e" filled="false" stroked="true" strokeweight=".95999pt" strokecolor="#41b7ee">
                <v:path arrowok="t"/>
              </v:shape>
            </v:group>
            <v:group style="position:absolute;left:2026;top:10;width:58;height:2" coordorigin="2026,10" coordsize="58,2">
              <v:shape style="position:absolute;left:2026;top:10;width:58;height:2" coordorigin="2026,10" coordsize="58,0" path="m2026,10l2083,10e" filled="false" stroked="true" strokeweight=".95999pt" strokecolor="#41b7ee">
                <v:path arrowok="t"/>
              </v:shape>
            </v:group>
            <v:group style="position:absolute;left:2083;top:10;width:983;height:2" coordorigin="2083,10" coordsize="983,2">
              <v:shape style="position:absolute;left:2083;top:10;width:983;height:2" coordorigin="2083,10" coordsize="983,0" path="m2083,10l3065,10e" filled="false" stroked="true" strokeweight=".95999pt" strokecolor="#41b7ee">
                <v:path arrowok="t"/>
              </v:shape>
            </v:group>
            <v:group style="position:absolute;left:3065;top:10;width:58;height:2" coordorigin="3065,10" coordsize="58,2">
              <v:shape style="position:absolute;left:3065;top:10;width:58;height:2" coordorigin="3065,10" coordsize="58,0" path="m3065,10l3123,10e" filled="false" stroked="true" strokeweight=".95999pt" strokecolor="#41b7ee">
                <v:path arrowok="t"/>
              </v:shape>
            </v:group>
            <v:group style="position:absolute;left:3123;top:10;width:1047;height:2" coordorigin="3123,10" coordsize="1047,2">
              <v:shape style="position:absolute;left:3123;top:10;width:1047;height:2" coordorigin="3123,10" coordsize="1047,0" path="m3123,10l4169,10e" filled="false" stroked="true" strokeweight=".95999pt" strokecolor="#41b7ee">
                <v:path arrowok="t"/>
              </v:shape>
            </v:group>
            <v:group style="position:absolute;left:4169;top:10;width:58;height:2" coordorigin="4169,10" coordsize="58,2">
              <v:shape style="position:absolute;left:4169;top:10;width:58;height:2" coordorigin="4169,10" coordsize="58,0" path="m4169,10l4227,10e" filled="false" stroked="true" strokeweight=".95999pt" strokecolor="#41b7ee">
                <v:path arrowok="t"/>
              </v:shape>
            </v:group>
            <v:group style="position:absolute;left:4227;top:10;width:1619;height:2" coordorigin="4227,10" coordsize="1619,2">
              <v:shape style="position:absolute;left:4227;top:10;width:1619;height:2" coordorigin="4227,10" coordsize="1619,0" path="m4227,10l5845,10e" filled="false" stroked="true" strokeweight=".95999pt" strokecolor="#41b7ee">
                <v:path arrowok="t"/>
              </v:shape>
            </v:group>
            <v:group style="position:absolute;left:5845;top:10;width:58;height:2" coordorigin="5845,10" coordsize="58,2">
              <v:shape style="position:absolute;left:5845;top:10;width:58;height:2" coordorigin="5845,10" coordsize="58,0" path="m5845,10l5903,10e" filled="false" stroked="true" strokeweight=".95999pt" strokecolor="#41b7ee">
                <v:path arrowok="t"/>
              </v:shape>
            </v:group>
            <v:group style="position:absolute;left:5903;top:10;width:1621;height:2" coordorigin="5903,10" coordsize="1621,2">
              <v:shape style="position:absolute;left:5903;top:10;width:1621;height:2" coordorigin="5903,10" coordsize="1621,0" path="m5903,10l7523,10e" filled="false" stroked="true" strokeweight=".95999pt" strokecolor="#41b7ee">
                <v:path arrowok="t"/>
              </v:shape>
            </v:group>
            <v:group style="position:absolute;left:7523;top:10;width:58;height:2" coordorigin="7523,10" coordsize="58,2">
              <v:shape style="position:absolute;left:7523;top:10;width:58;height:2" coordorigin="7523,10" coordsize="58,0" path="m7523,10l7581,10e" filled="false" stroked="true" strokeweight=".95999pt" strokecolor="#41b7ee">
                <v:path arrowok="t"/>
              </v:shape>
            </v:group>
            <v:group style="position:absolute;left:7581;top:10;width:1265;height:2" coordorigin="7581,10" coordsize="1265,2">
              <v:shape style="position:absolute;left:7581;top:10;width:1265;height:2" coordorigin="7581,10" coordsize="1265,0" path="m7581,10l8846,10e" filled="false" stroked="true" strokeweight=".95999pt" strokecolor="#41b7ee">
                <v:path arrowok="t"/>
              </v:shape>
            </v:group>
          </v:group>
        </w:pict>
      </w:r>
      <w:r>
        <w:rPr>
          <w:rFonts w:ascii="宋体" w:hAnsi="宋体" w:cs="宋体" w:eastAsia="宋体" w:hint="default"/>
          <w:sz w:val="2"/>
          <w:szCs w:val="2"/>
        </w:rPr>
      </w:r>
    </w:p>
    <w:tbl>
      <w:tblPr>
        <w:tblW w:w="0" w:type="auto"/>
        <w:jc w:val="left"/>
        <w:tblInd w:w="110" w:type="dxa"/>
        <w:tblLayout w:type="fixed"/>
        <w:tblCellMar>
          <w:top w:w="0" w:type="dxa"/>
          <w:left w:w="0" w:type="dxa"/>
          <w:bottom w:w="0" w:type="dxa"/>
          <w:right w:w="0" w:type="dxa"/>
        </w:tblCellMar>
        <w:tblLook w:val="01E0"/>
      </w:tblPr>
      <w:tblGrid>
        <w:gridCol w:w="994"/>
        <w:gridCol w:w="1027"/>
        <w:gridCol w:w="1040"/>
        <w:gridCol w:w="1104"/>
        <w:gridCol w:w="1676"/>
        <w:gridCol w:w="1678"/>
        <w:gridCol w:w="1318"/>
      </w:tblGrid>
      <w:tr>
        <w:trPr>
          <w:trHeight w:val="950" w:hRule="exact"/>
        </w:trPr>
        <w:tc>
          <w:tcPr>
            <w:tcW w:w="994"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162"/>
              <w:ind w:left="285" w:right="175"/>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w w:val="100"/>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1027" w:type="dxa"/>
            <w:tcBorders>
              <w:top w:val="single" w:sz="8" w:space="0" w:color="41B7EE"/>
              <w:left w:val="single" w:sz="4" w:space="0" w:color="41B7EE"/>
              <w:bottom w:val="single" w:sz="4" w:space="0" w:color="41B7EE"/>
              <w:right w:val="single" w:sz="4" w:space="0" w:color="41B7EE"/>
            </w:tcBorders>
          </w:tcPr>
          <w:p>
            <w:pPr>
              <w:pStyle w:val="TableParagraph"/>
              <w:spacing w:line="272" w:lineRule="exact" w:before="56"/>
              <w:ind w:left="88" w:right="84" w:firstLine="4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送红股数</w:t>
            </w:r>
          </w:p>
          <w:p>
            <w:pPr>
              <w:pStyle w:val="TableParagraph"/>
              <w:spacing w:line="249" w:lineRule="exact"/>
              <w:ind w:left="191"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40" w:type="dxa"/>
            <w:tcBorders>
              <w:top w:val="single" w:sz="8" w:space="0" w:color="41B7EE"/>
              <w:left w:val="single" w:sz="4" w:space="0" w:color="41B7EE"/>
              <w:bottom w:val="single" w:sz="4" w:space="0" w:color="41B7EE"/>
              <w:right w:val="single" w:sz="4" w:space="0" w:color="41B7EE"/>
            </w:tcBorders>
          </w:tcPr>
          <w:p>
            <w:pPr>
              <w:pStyle w:val="TableParagraph"/>
              <w:spacing w:line="272" w:lineRule="exact" w:before="56"/>
              <w:ind w:left="57" w:right="48" w:hanging="8"/>
              <w:jc w:val="left"/>
              <w:rPr>
                <w:rFonts w:ascii="Arial" w:hAnsi="Arial" w:cs="Arial" w:eastAsia="Arial" w:hint="default"/>
                <w:sz w:val="21"/>
                <w:szCs w:val="21"/>
              </w:rPr>
            </w:pPr>
            <w:r>
              <w:rPr>
                <w:rFonts w:ascii="宋体" w:hAnsi="宋体" w:cs="宋体" w:eastAsia="宋体" w:hint="default"/>
                <w:sz w:val="21"/>
                <w:szCs w:val="21"/>
              </w:rPr>
              <w:t>每</w:t>
            </w:r>
            <w:r>
              <w:rPr>
                <w:rFonts w:ascii="宋体" w:hAnsi="宋体" w:cs="宋体" w:eastAsia="宋体" w:hint="default"/>
                <w:spacing w:val="-72"/>
                <w:sz w:val="21"/>
                <w:szCs w:val="21"/>
              </w:rPr>
              <w:t> </w:t>
            </w:r>
            <w:r>
              <w:rPr>
                <w:rFonts w:ascii="Arial" w:hAnsi="Arial" w:cs="Arial" w:eastAsia="Arial" w:hint="default"/>
                <w:sz w:val="21"/>
                <w:szCs w:val="21"/>
              </w:rPr>
              <w:t>10</w:t>
            </w:r>
            <w:r>
              <w:rPr>
                <w:rFonts w:ascii="Arial" w:hAnsi="Arial" w:cs="Arial" w:eastAsia="Arial" w:hint="default"/>
                <w:spacing w:val="-29"/>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息数（元</w:t>
            </w:r>
            <w:r>
              <w:rPr>
                <w:rFonts w:ascii="Arial" w:hAnsi="Arial" w:cs="Arial" w:eastAsia="Arial" w:hint="default"/>
                <w:sz w:val="21"/>
                <w:szCs w:val="21"/>
              </w:rPr>
              <w:t>)</w:t>
            </w:r>
          </w:p>
          <w:p>
            <w:pPr>
              <w:pStyle w:val="TableParagraph"/>
              <w:spacing w:line="249" w:lineRule="exact"/>
              <w:ind w:left="93"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04"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74" w:lineRule="exact"/>
              <w:ind w:left="50" w:right="-10" w:firstLine="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股转</w:t>
            </w:r>
            <w:r>
              <w:rPr>
                <w:rFonts w:ascii="宋体" w:hAnsi="宋体" w:cs="宋体" w:eastAsia="宋体" w:hint="default"/>
                <w:w w:val="100"/>
                <w:sz w:val="21"/>
                <w:szCs w:val="21"/>
              </w:rPr>
              <w:t> </w:t>
            </w:r>
            <w:r>
              <w:rPr>
                <w:rFonts w:ascii="宋体" w:hAnsi="宋体" w:cs="宋体" w:eastAsia="宋体" w:hint="default"/>
                <w:sz w:val="21"/>
                <w:szCs w:val="21"/>
              </w:rPr>
              <w:t>增数（股）</w:t>
            </w:r>
          </w:p>
        </w:tc>
        <w:tc>
          <w:tcPr>
            <w:tcW w:w="1676" w:type="dxa"/>
            <w:tcBorders>
              <w:top w:val="single" w:sz="8" w:space="0" w:color="41B7EE"/>
              <w:left w:val="single" w:sz="4" w:space="0" w:color="41B7EE"/>
              <w:bottom w:val="single" w:sz="4" w:space="0" w:color="41B7EE"/>
              <w:right w:val="single" w:sz="4" w:space="0" w:color="41B7EE"/>
            </w:tcBorders>
          </w:tcPr>
          <w:p>
            <w:pPr>
              <w:pStyle w:val="TableParagraph"/>
              <w:spacing w:line="274" w:lineRule="exact" w:before="162"/>
              <w:ind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78" w:type="dxa"/>
            <w:tcBorders>
              <w:top w:val="single" w:sz="8" w:space="0" w:color="41B7EE"/>
              <w:left w:val="single" w:sz="4" w:space="0" w:color="41B7EE"/>
              <w:bottom w:val="single" w:sz="4" w:space="0" w:color="41B7EE"/>
              <w:right w:val="single" w:sz="4" w:space="0" w:color="41B7EE"/>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分红年度合并报表</w:t>
            </w:r>
          </w:p>
          <w:p>
            <w:pPr>
              <w:pStyle w:val="TableParagraph"/>
              <w:spacing w:line="232" w:lineRule="exact" w:before="24"/>
              <w:ind w:left="112" w:right="113"/>
              <w:jc w:val="center"/>
              <w:rPr>
                <w:rFonts w:ascii="宋体" w:hAnsi="宋体" w:cs="宋体" w:eastAsia="宋体" w:hint="default"/>
                <w:sz w:val="18"/>
                <w:szCs w:val="18"/>
              </w:rPr>
            </w:pPr>
            <w:r>
              <w:rPr>
                <w:rFonts w:ascii="宋体" w:hAnsi="宋体" w:cs="宋体" w:eastAsia="宋体" w:hint="default"/>
                <w:sz w:val="18"/>
                <w:szCs w:val="18"/>
              </w:rPr>
              <w:t>中归属于上市公司 普通股股东的净利 润</w:t>
            </w:r>
          </w:p>
        </w:tc>
        <w:tc>
          <w:tcPr>
            <w:tcW w:w="1318" w:type="dxa"/>
            <w:tcBorders>
              <w:top w:val="single" w:sz="8" w:space="0" w:color="41B7EE"/>
              <w:left w:val="single" w:sz="4" w:space="0" w:color="41B7EE"/>
              <w:bottom w:val="single" w:sz="4" w:space="0" w:color="41B7EE"/>
              <w:right w:val="nil" w:sz="6" w:space="0" w:color="auto"/>
            </w:tcBorders>
          </w:tcPr>
          <w:p>
            <w:pPr>
              <w:pStyle w:val="TableParagraph"/>
              <w:spacing w:line="208" w:lineRule="exact"/>
              <w:ind w:left="64" w:right="0"/>
              <w:jc w:val="both"/>
              <w:rPr>
                <w:rFonts w:ascii="宋体" w:hAnsi="宋体" w:cs="宋体" w:eastAsia="宋体" w:hint="default"/>
                <w:sz w:val="18"/>
                <w:szCs w:val="18"/>
              </w:rPr>
            </w:pPr>
            <w:r>
              <w:rPr>
                <w:rFonts w:ascii="宋体" w:hAnsi="宋体" w:cs="宋体" w:eastAsia="宋体" w:hint="default"/>
                <w:spacing w:val="-12"/>
                <w:sz w:val="18"/>
                <w:szCs w:val="18"/>
              </w:rPr>
              <w:t>占合并报表中归</w:t>
            </w:r>
            <w:r>
              <w:rPr>
                <w:rFonts w:ascii="宋体" w:hAnsi="宋体" w:cs="宋体" w:eastAsia="宋体" w:hint="default"/>
                <w:sz w:val="18"/>
                <w:szCs w:val="18"/>
              </w:rPr>
            </w:r>
          </w:p>
          <w:p>
            <w:pPr>
              <w:pStyle w:val="TableParagraph"/>
              <w:spacing w:line="232" w:lineRule="exact" w:before="24"/>
              <w:ind w:left="64" w:right="71"/>
              <w:jc w:val="both"/>
              <w:rPr>
                <w:rFonts w:ascii="Arial" w:hAnsi="Arial" w:cs="Arial" w:eastAsia="Arial" w:hint="default"/>
                <w:sz w:val="18"/>
                <w:szCs w:val="18"/>
              </w:rPr>
            </w:pPr>
            <w:r>
              <w:rPr>
                <w:rFonts w:ascii="宋体" w:hAnsi="宋体" w:cs="宋体" w:eastAsia="宋体" w:hint="default"/>
                <w:spacing w:val="-12"/>
                <w:sz w:val="18"/>
                <w:szCs w:val="18"/>
              </w:rPr>
              <w:t>属于上市公司普 通股股东的净利 </w:t>
            </w:r>
            <w:r>
              <w:rPr>
                <w:rFonts w:ascii="宋体" w:hAnsi="宋体" w:cs="宋体" w:eastAsia="宋体" w:hint="default"/>
                <w:spacing w:val="-11"/>
                <w:sz w:val="18"/>
                <w:szCs w:val="18"/>
              </w:rPr>
              <w:t>润的比率（</w:t>
            </w:r>
            <w:r>
              <w:rPr>
                <w:rFonts w:ascii="Arial" w:hAnsi="Arial" w:cs="Arial" w:eastAsia="Arial" w:hint="default"/>
                <w:spacing w:val="-11"/>
                <w:sz w:val="18"/>
                <w:szCs w:val="18"/>
              </w:rPr>
              <w:t>%)</w:t>
            </w:r>
            <w:r>
              <w:rPr>
                <w:rFonts w:ascii="Arial" w:hAnsi="Arial" w:cs="Arial" w:eastAsia="Arial" w:hint="default"/>
                <w:sz w:val="18"/>
                <w:szCs w:val="18"/>
              </w:rPr>
            </w:r>
          </w:p>
        </w:tc>
      </w:tr>
      <w:tr>
        <w:trPr>
          <w:trHeight w:val="358" w:hRule="exact"/>
        </w:trPr>
        <w:tc>
          <w:tcPr>
            <w:tcW w:w="99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7"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02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50"/>
              <w:jc w:val="right"/>
              <w:rPr>
                <w:rFonts w:ascii="Arial" w:hAnsi="Arial" w:cs="Arial" w:eastAsia="Arial" w:hint="default"/>
                <w:sz w:val="21"/>
                <w:szCs w:val="21"/>
              </w:rPr>
            </w:pPr>
            <w:r>
              <w:rPr>
                <w:rFonts w:ascii="Arial"/>
                <w:w w:val="100"/>
                <w:sz w:val="21"/>
              </w:rPr>
              <w:t>0</w:t>
            </w:r>
          </w:p>
        </w:tc>
        <w:tc>
          <w:tcPr>
            <w:tcW w:w="104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3.80</w:t>
            </w:r>
          </w:p>
        </w:tc>
        <w:tc>
          <w:tcPr>
            <w:tcW w:w="11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50"/>
              <w:jc w:val="right"/>
              <w:rPr>
                <w:rFonts w:ascii="Arial" w:hAnsi="Arial" w:cs="Arial" w:eastAsia="Arial" w:hint="default"/>
                <w:sz w:val="21"/>
                <w:szCs w:val="21"/>
              </w:rPr>
            </w:pPr>
            <w:r>
              <w:rPr>
                <w:rFonts w:ascii="Arial"/>
                <w:w w:val="100"/>
                <w:sz w:val="21"/>
              </w:rPr>
              <w:t>0</w:t>
            </w:r>
          </w:p>
        </w:tc>
        <w:tc>
          <w:tcPr>
            <w:tcW w:w="167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675,518,365.42</w:t>
            </w:r>
          </w:p>
        </w:tc>
        <w:tc>
          <w:tcPr>
            <w:tcW w:w="167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9"/>
              <w:jc w:val="right"/>
              <w:rPr>
                <w:rFonts w:ascii="Arial" w:hAnsi="Arial" w:cs="Arial" w:eastAsia="Arial" w:hint="default"/>
                <w:sz w:val="21"/>
                <w:szCs w:val="21"/>
              </w:rPr>
            </w:pPr>
            <w:r>
              <w:rPr>
                <w:rFonts w:ascii="Arial"/>
                <w:spacing w:val="-1"/>
                <w:sz w:val="21"/>
              </w:rPr>
              <w:t>848,615,373.80</w:t>
            </w:r>
          </w:p>
        </w:tc>
        <w:tc>
          <w:tcPr>
            <w:tcW w:w="131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53"/>
              <w:jc w:val="right"/>
              <w:rPr>
                <w:rFonts w:ascii="Arial" w:hAnsi="Arial" w:cs="Arial" w:eastAsia="Arial" w:hint="default"/>
                <w:sz w:val="21"/>
                <w:szCs w:val="21"/>
              </w:rPr>
            </w:pPr>
            <w:r>
              <w:rPr>
                <w:rFonts w:ascii="Arial"/>
                <w:spacing w:val="-1"/>
                <w:sz w:val="21"/>
              </w:rPr>
              <w:t>79.60</w:t>
            </w:r>
          </w:p>
        </w:tc>
      </w:tr>
      <w:tr>
        <w:trPr>
          <w:trHeight w:val="358" w:hRule="exact"/>
        </w:trPr>
        <w:tc>
          <w:tcPr>
            <w:tcW w:w="99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7"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02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50"/>
              <w:jc w:val="right"/>
              <w:rPr>
                <w:rFonts w:ascii="Arial" w:hAnsi="Arial" w:cs="Arial" w:eastAsia="Arial" w:hint="default"/>
                <w:sz w:val="21"/>
                <w:szCs w:val="21"/>
              </w:rPr>
            </w:pPr>
            <w:r>
              <w:rPr>
                <w:rFonts w:ascii="Arial"/>
                <w:w w:val="100"/>
                <w:sz w:val="21"/>
              </w:rPr>
              <w:t>0</w:t>
            </w:r>
          </w:p>
        </w:tc>
        <w:tc>
          <w:tcPr>
            <w:tcW w:w="104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4.00</w:t>
            </w:r>
          </w:p>
        </w:tc>
        <w:tc>
          <w:tcPr>
            <w:tcW w:w="11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50"/>
              <w:jc w:val="right"/>
              <w:rPr>
                <w:rFonts w:ascii="Arial" w:hAnsi="Arial" w:cs="Arial" w:eastAsia="Arial" w:hint="default"/>
                <w:sz w:val="21"/>
                <w:szCs w:val="21"/>
              </w:rPr>
            </w:pPr>
            <w:r>
              <w:rPr>
                <w:rFonts w:ascii="Arial"/>
                <w:w w:val="100"/>
                <w:sz w:val="21"/>
              </w:rPr>
              <w:t>0</w:t>
            </w:r>
          </w:p>
        </w:tc>
        <w:tc>
          <w:tcPr>
            <w:tcW w:w="167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711,071,963.60</w:t>
            </w:r>
          </w:p>
        </w:tc>
        <w:tc>
          <w:tcPr>
            <w:tcW w:w="167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9"/>
              <w:jc w:val="right"/>
              <w:rPr>
                <w:rFonts w:ascii="Arial" w:hAnsi="Arial" w:cs="Arial" w:eastAsia="Arial" w:hint="default"/>
                <w:sz w:val="21"/>
                <w:szCs w:val="21"/>
              </w:rPr>
            </w:pPr>
            <w:r>
              <w:rPr>
                <w:rFonts w:ascii="Arial"/>
                <w:spacing w:val="-1"/>
                <w:sz w:val="21"/>
              </w:rPr>
              <w:t>976,475,573.91</w:t>
            </w:r>
          </w:p>
        </w:tc>
        <w:tc>
          <w:tcPr>
            <w:tcW w:w="131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53"/>
              <w:jc w:val="right"/>
              <w:rPr>
                <w:rFonts w:ascii="Arial" w:hAnsi="Arial" w:cs="Arial" w:eastAsia="Arial" w:hint="default"/>
                <w:sz w:val="21"/>
                <w:szCs w:val="21"/>
              </w:rPr>
            </w:pPr>
            <w:r>
              <w:rPr>
                <w:rFonts w:ascii="Arial"/>
                <w:spacing w:val="-1"/>
                <w:sz w:val="21"/>
              </w:rPr>
              <w:t>72.82</w:t>
            </w:r>
          </w:p>
        </w:tc>
      </w:tr>
      <w:tr>
        <w:trPr>
          <w:trHeight w:val="365" w:hRule="exact"/>
        </w:trPr>
        <w:tc>
          <w:tcPr>
            <w:tcW w:w="994"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4"/>
              <w:ind w:left="57"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027"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50"/>
              <w:jc w:val="right"/>
              <w:rPr>
                <w:rFonts w:ascii="Arial" w:hAnsi="Arial" w:cs="Arial" w:eastAsia="Arial" w:hint="default"/>
                <w:sz w:val="21"/>
                <w:szCs w:val="21"/>
              </w:rPr>
            </w:pPr>
            <w:r>
              <w:rPr>
                <w:rFonts w:ascii="Arial"/>
                <w:w w:val="100"/>
                <w:sz w:val="21"/>
              </w:rPr>
              <w:t>0</w:t>
            </w:r>
          </w:p>
        </w:tc>
        <w:tc>
          <w:tcPr>
            <w:tcW w:w="1040"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2.70</w:t>
            </w:r>
          </w:p>
        </w:tc>
        <w:tc>
          <w:tcPr>
            <w:tcW w:w="1104"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50"/>
              <w:jc w:val="right"/>
              <w:rPr>
                <w:rFonts w:ascii="Arial" w:hAnsi="Arial" w:cs="Arial" w:eastAsia="Arial" w:hint="default"/>
                <w:sz w:val="21"/>
                <w:szCs w:val="21"/>
              </w:rPr>
            </w:pPr>
            <w:r>
              <w:rPr>
                <w:rFonts w:ascii="Arial"/>
                <w:w w:val="100"/>
                <w:sz w:val="21"/>
              </w:rPr>
              <w:t>0</w:t>
            </w:r>
          </w:p>
        </w:tc>
        <w:tc>
          <w:tcPr>
            <w:tcW w:w="1676"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479,973,575.43</w:t>
            </w:r>
          </w:p>
        </w:tc>
        <w:tc>
          <w:tcPr>
            <w:tcW w:w="1678"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49"/>
              <w:jc w:val="right"/>
              <w:rPr>
                <w:rFonts w:ascii="Arial" w:hAnsi="Arial" w:cs="Arial" w:eastAsia="Arial" w:hint="default"/>
                <w:sz w:val="21"/>
                <w:szCs w:val="21"/>
              </w:rPr>
            </w:pPr>
            <w:r>
              <w:rPr>
                <w:rFonts w:ascii="Arial"/>
                <w:spacing w:val="-1"/>
                <w:sz w:val="21"/>
              </w:rPr>
              <w:t>779,985,334.87</w:t>
            </w:r>
          </w:p>
        </w:tc>
        <w:tc>
          <w:tcPr>
            <w:tcW w:w="1318"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8"/>
              <w:ind w:right="53"/>
              <w:jc w:val="right"/>
              <w:rPr>
                <w:rFonts w:ascii="Arial" w:hAnsi="Arial" w:cs="Arial" w:eastAsia="Arial" w:hint="default"/>
                <w:sz w:val="21"/>
                <w:szCs w:val="21"/>
              </w:rPr>
            </w:pPr>
            <w:r>
              <w:rPr>
                <w:rFonts w:ascii="Arial"/>
                <w:spacing w:val="-1"/>
                <w:sz w:val="21"/>
              </w:rPr>
              <w:t>61.54</w:t>
            </w:r>
          </w:p>
        </w:tc>
      </w:tr>
    </w:tbl>
    <w:p>
      <w:pPr>
        <w:spacing w:line="240" w:lineRule="auto" w:before="11"/>
        <w:rPr>
          <w:rFonts w:ascii="宋体" w:hAnsi="宋体" w:cs="宋体" w:eastAsia="宋体" w:hint="default"/>
          <w:sz w:val="2"/>
          <w:szCs w:val="2"/>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42.8pt;height:1pt;mso-position-horizontal-relative:char;mso-position-vertical-relative:line" coordorigin="0,0" coordsize="8856,20">
            <v:group style="position:absolute;left:10;top:10;width:989;height:2" coordorigin="10,10" coordsize="989,2">
              <v:shape style="position:absolute;left:10;top:10;width:989;height:2" coordorigin="10,10" coordsize="989,0" path="m10,10l998,10e" filled="false" stroked="true" strokeweight=".96002pt" strokecolor="#41b7ee">
                <v:path arrowok="t"/>
              </v:shape>
            </v:group>
            <v:group style="position:absolute;left:998;top:10;width:58;height:2" coordorigin="998,10" coordsize="58,2">
              <v:shape style="position:absolute;left:998;top:10;width:58;height:2" coordorigin="998,10" coordsize="58,0" path="m998,10l1056,10e" filled="false" stroked="true" strokeweight=".96002pt" strokecolor="#41b7ee">
                <v:path arrowok="t"/>
              </v:shape>
            </v:group>
            <v:group style="position:absolute;left:1056;top:10;width:970;height:2" coordorigin="1056,10" coordsize="970,2">
              <v:shape style="position:absolute;left:1056;top:10;width:970;height:2" coordorigin="1056,10" coordsize="970,0" path="m1056,10l2026,10e" filled="false" stroked="true" strokeweight=".96002pt" strokecolor="#41b7ee">
                <v:path arrowok="t"/>
              </v:shape>
            </v:group>
            <v:group style="position:absolute;left:2026;top:10;width:58;height:2" coordorigin="2026,10" coordsize="58,2">
              <v:shape style="position:absolute;left:2026;top:10;width:58;height:2" coordorigin="2026,10" coordsize="58,0" path="m2026,10l2083,10e" filled="false" stroked="true" strokeweight=".96002pt" strokecolor="#41b7ee">
                <v:path arrowok="t"/>
              </v:shape>
            </v:group>
            <v:group style="position:absolute;left:2083;top:10;width:983;height:2" coordorigin="2083,10" coordsize="983,2">
              <v:shape style="position:absolute;left:2083;top:10;width:983;height:2" coordorigin="2083,10" coordsize="983,0" path="m2083,10l3065,10e" filled="false" stroked="true" strokeweight=".96002pt" strokecolor="#41b7ee">
                <v:path arrowok="t"/>
              </v:shape>
            </v:group>
            <v:group style="position:absolute;left:3065;top:10;width:58;height:2" coordorigin="3065,10" coordsize="58,2">
              <v:shape style="position:absolute;left:3065;top:10;width:58;height:2" coordorigin="3065,10" coordsize="58,0" path="m3065,10l3123,10e" filled="false" stroked="true" strokeweight=".96002pt" strokecolor="#41b7ee">
                <v:path arrowok="t"/>
              </v:shape>
            </v:group>
            <v:group style="position:absolute;left:3123;top:10;width:1047;height:2" coordorigin="3123,10" coordsize="1047,2">
              <v:shape style="position:absolute;left:3123;top:10;width:1047;height:2" coordorigin="3123,10" coordsize="1047,0" path="m3123,10l4169,10e" filled="false" stroked="true" strokeweight=".96002pt" strokecolor="#41b7ee">
                <v:path arrowok="t"/>
              </v:shape>
            </v:group>
            <v:group style="position:absolute;left:4169;top:10;width:58;height:2" coordorigin="4169,10" coordsize="58,2">
              <v:shape style="position:absolute;left:4169;top:10;width:58;height:2" coordorigin="4169,10" coordsize="58,0" path="m4169,10l4227,10e" filled="false" stroked="true" strokeweight=".96002pt" strokecolor="#41b7ee">
                <v:path arrowok="t"/>
              </v:shape>
            </v:group>
            <v:group style="position:absolute;left:4227;top:10;width:1619;height:2" coordorigin="4227,10" coordsize="1619,2">
              <v:shape style="position:absolute;left:4227;top:10;width:1619;height:2" coordorigin="4227,10" coordsize="1619,0" path="m4227,10l5845,10e" filled="false" stroked="true" strokeweight=".96002pt" strokecolor="#41b7ee">
                <v:path arrowok="t"/>
              </v:shape>
            </v:group>
            <v:group style="position:absolute;left:5845;top:10;width:58;height:2" coordorigin="5845,10" coordsize="58,2">
              <v:shape style="position:absolute;left:5845;top:10;width:58;height:2" coordorigin="5845,10" coordsize="58,0" path="m5845,10l5903,10e" filled="false" stroked="true" strokeweight=".96002pt" strokecolor="#41b7ee">
                <v:path arrowok="t"/>
              </v:shape>
            </v:group>
            <v:group style="position:absolute;left:5903;top:10;width:1621;height:2" coordorigin="5903,10" coordsize="1621,2">
              <v:shape style="position:absolute;left:5903;top:10;width:1621;height:2" coordorigin="5903,10" coordsize="1621,0" path="m5903,10l7523,10e" filled="false" stroked="true" strokeweight=".96002pt" strokecolor="#41b7ee">
                <v:path arrowok="t"/>
              </v:shape>
            </v:group>
            <v:group style="position:absolute;left:7523;top:10;width:58;height:2" coordorigin="7523,10" coordsize="58,2">
              <v:shape style="position:absolute;left:7523;top:10;width:58;height:2" coordorigin="7523,10" coordsize="58,0" path="m7523,10l7581,10e" filled="false" stroked="true" strokeweight=".96002pt" strokecolor="#41b7ee">
                <v:path arrowok="t"/>
              </v:shape>
            </v:group>
            <v:group style="position:absolute;left:7581;top:10;width:1265;height:2" coordorigin="7581,10" coordsize="1265,2">
              <v:shape style="position:absolute;left:7581;top:10;width:1265;height:2" coordorigin="7581,10" coordsize="1265,0" path="m7581,10l8846,10e" filled="false" stroked="true" strokeweight=".96002pt" strokecolor="#41b7ee">
                <v:path arrowok="t"/>
              </v:shape>
            </v:group>
          </v:group>
        </w:pict>
      </w:r>
      <w:r>
        <w:rPr>
          <w:rFonts w:ascii="宋体" w:hAnsi="宋体" w:cs="宋体" w:eastAsia="宋体" w:hint="default"/>
          <w:sz w:val="2"/>
          <w:szCs w:val="2"/>
        </w:rPr>
      </w:r>
    </w:p>
    <w:p>
      <w:pPr>
        <w:pStyle w:val="BodyText"/>
        <w:spacing w:line="240" w:lineRule="exact"/>
        <w:ind w:left="178" w:right="0"/>
        <w:jc w:val="left"/>
        <w:rPr>
          <w:rFonts w:ascii="宋体" w:hAnsi="宋体" w:cs="宋体" w:eastAsia="宋体" w:hint="default"/>
        </w:rPr>
      </w:pPr>
      <w:r>
        <w:rPr>
          <w:rFonts w:ascii="宋体"/>
          <w:w w:val="100"/>
        </w:rPr>
        <w:t> </w:t>
      </w:r>
    </w:p>
    <w:p>
      <w:pPr>
        <w:pStyle w:val="Heading2"/>
        <w:spacing w:line="240" w:lineRule="auto"/>
        <w:ind w:left="178" w:right="102"/>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以现金方式回购股份计入现金分红的情况</w:t>
      </w:r>
      <w:r>
        <w:rPr>
          <w:b w:val="0"/>
          <w:bCs w:val="0"/>
        </w:rPr>
      </w:r>
    </w:p>
    <w:p>
      <w:pPr>
        <w:pStyle w:val="BodyText"/>
        <w:spacing w:line="240" w:lineRule="auto" w:before="32"/>
        <w:ind w:left="178" w:right="10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72" w:lineRule="exact" w:before="84"/>
        <w:ind w:left="598" w:right="19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73" w:lineRule="exact" w:before="34"/>
        <w:ind w:left="178" w:right="10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7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25" w:footer="1195" w:top="1360" w:bottom="1380" w:left="1620" w:right="1060"/>
        </w:sectPr>
      </w:pPr>
    </w:p>
    <w:p>
      <w:pPr>
        <w:spacing w:line="240" w:lineRule="auto" w:before="0"/>
        <w:rPr>
          <w:rFonts w:ascii="宋体" w:hAnsi="宋体" w:cs="宋体" w:eastAsia="宋体" w:hint="default"/>
          <w:sz w:val="6"/>
          <w:szCs w:val="6"/>
        </w:rPr>
      </w:pPr>
    </w:p>
    <w:p>
      <w:pPr>
        <w:spacing w:line="545" w:lineRule="exact"/>
        <w:ind w:left="204"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696.35pt;height:27.3pt;mso-position-horizontal-relative:char;mso-position-vertical-relative:line" coordorigin="0,0" coordsize="13927,546">
            <v:group style="position:absolute;left:7;top:539;width:13913;height:2" coordorigin="7,539" coordsize="13913,2">
              <v:shape style="position:absolute;left:7;top:539;width:13913;height:2" coordorigin="7,539" coordsize="13913,0" path="m7,539l13920,539e" filled="false" stroked="true" strokeweight=".72pt" strokecolor="#000000">
                <v:path arrowok="t"/>
              </v:shape>
              <v:shape style="position:absolute;left:98;top:0;width:4665;height:480" type="#_x0000_t75" stroked="false">
                <v:imagedata r:id="rId16" o:title=""/>
              </v:shape>
              <v:shape style="position:absolute;left:0;top:0;width:13927;height:546" type="#_x0000_t202" filled="false" stroked="false">
                <v:textbox inset="0,0,0,0">
                  <w:txbxContent>
                    <w:p>
                      <w:pPr>
                        <w:spacing w:line="453" w:lineRule="exact" w:before="0"/>
                        <w:ind w:left="0" w:right="31" w:firstLine="0"/>
                        <w:jc w:val="right"/>
                        <w:rPr>
                          <w:rFonts w:ascii="微软雅黑" w:hAnsi="微软雅黑" w:cs="微软雅黑" w:eastAsia="微软雅黑" w:hint="default"/>
                          <w:sz w:val="28"/>
                          <w:szCs w:val="28"/>
                        </w:rPr>
                      </w:pPr>
                      <w:r>
                        <w:rPr>
                          <w:rFonts w:ascii="微软雅黑" w:hAnsi="微软雅黑" w:cs="微软雅黑" w:eastAsia="微软雅黑" w:hint="default"/>
                          <w:b/>
                          <w:bCs/>
                          <w:sz w:val="28"/>
                          <w:szCs w:val="28"/>
                        </w:rPr>
                        <w:t>2019</w:t>
                      </w:r>
                      <w:r>
                        <w:rPr>
                          <w:rFonts w:ascii="微软雅黑" w:hAnsi="微软雅黑" w:cs="微软雅黑" w:eastAsia="微软雅黑" w:hint="default"/>
                          <w:b/>
                          <w:bCs/>
                          <w:spacing w:val="-17"/>
                          <w:sz w:val="28"/>
                          <w:szCs w:val="28"/>
                        </w:rPr>
                        <w:t> </w:t>
                      </w:r>
                      <w:r>
                        <w:rPr>
                          <w:rFonts w:ascii="微软雅黑" w:hAnsi="微软雅黑" w:cs="微软雅黑" w:eastAsia="微软雅黑" w:hint="default"/>
                          <w:b/>
                          <w:bCs/>
                          <w:sz w:val="28"/>
                          <w:szCs w:val="28"/>
                        </w:rPr>
                        <w:t>年年度报告</w:t>
                      </w:r>
                      <w:r>
                        <w:rPr>
                          <w:rFonts w:ascii="微软雅黑" w:hAnsi="微软雅黑" w:cs="微软雅黑" w:eastAsia="微软雅黑" w:hint="default"/>
                          <w:sz w:val="28"/>
                          <w:szCs w:val="28"/>
                        </w:rPr>
                      </w:r>
                    </w:p>
                  </w:txbxContent>
                </v:textbox>
                <w10:wrap type="none"/>
              </v:shape>
            </v:group>
          </v:group>
        </w:pict>
      </w:r>
      <w:r>
        <w:rPr>
          <w:rFonts w:ascii="宋体" w:hAnsi="宋体" w:cs="宋体" w:eastAsia="宋体" w:hint="default"/>
          <w:position w:val="-10"/>
          <w:sz w:val="20"/>
          <w:szCs w:val="20"/>
        </w:rPr>
      </w:r>
    </w:p>
    <w:p>
      <w:pPr>
        <w:spacing w:line="240" w:lineRule="auto" w:before="4"/>
        <w:rPr>
          <w:rFonts w:ascii="宋体" w:hAnsi="宋体" w:cs="宋体" w:eastAsia="宋体" w:hint="default"/>
          <w:sz w:val="27"/>
          <w:szCs w:val="27"/>
        </w:rPr>
      </w:pPr>
    </w:p>
    <w:p>
      <w:pPr>
        <w:pStyle w:val="Heading2"/>
        <w:spacing w:line="240" w:lineRule="auto" w:before="36"/>
        <w:ind w:left="240" w:right="0"/>
        <w:jc w:val="left"/>
        <w:rPr>
          <w:b w:val="0"/>
          <w:bCs w:val="0"/>
        </w:rPr>
      </w:pPr>
      <w:r>
        <w:rPr/>
        <w:t>二、承诺事项履行情况</w:t>
      </w:r>
      <w:r>
        <w:rPr>
          <w:b w:val="0"/>
          <w:bCs w:val="0"/>
        </w:rPr>
      </w:r>
    </w:p>
    <w:p>
      <w:pPr>
        <w:pStyle w:val="Heading2"/>
        <w:tabs>
          <w:tab w:pos="806" w:val="left" w:leader="none"/>
        </w:tabs>
        <w:spacing w:line="240" w:lineRule="auto"/>
        <w:ind w:left="240"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公司实际控制人、股东、关联方、收购人以及公司等承诺相关方在报告期内或持续到报告期内的承诺事项</w:t>
      </w:r>
      <w:r>
        <w:rPr>
          <w:b w:val="0"/>
          <w:bCs w:val="0"/>
        </w:rPr>
      </w:r>
    </w:p>
    <w:p>
      <w:pPr>
        <w:pStyle w:val="BodyText"/>
        <w:spacing w:line="240" w:lineRule="auto" w:before="32"/>
        <w:ind w:left="2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680.75pt;height:1pt;mso-position-horizontal-relative:char;mso-position-vertical-relative:line" coordorigin="0,0" coordsize="13615,20">
            <v:group style="position:absolute;left:10;top:10;width:1117;height:2" coordorigin="10,10" coordsize="1117,2">
              <v:shape style="position:absolute;left:10;top:10;width:1117;height:2" coordorigin="10,10" coordsize="1117,0" path="m10,10l1126,10e" filled="false" stroked="true" strokeweight=".96001pt" strokecolor="#41b7ee">
                <v:path arrowok="t"/>
              </v:shape>
            </v:group>
            <v:group style="position:absolute;left:1126;top:10;width:58;height:2" coordorigin="1126,10" coordsize="58,2">
              <v:shape style="position:absolute;left:1126;top:10;width:58;height:2" coordorigin="1126,10" coordsize="58,0" path="m1126,10l1184,10e" filled="false" stroked="true" strokeweight=".96001pt" strokecolor="#41b7ee">
                <v:path arrowok="t"/>
              </v:shape>
            </v:group>
            <v:group style="position:absolute;left:1184;top:10;width:792;height:2" coordorigin="1184,10" coordsize="792,2">
              <v:shape style="position:absolute;left:1184;top:10;width:792;height:2" coordorigin="1184,10" coordsize="792,0" path="m1184,10l1976,10e" filled="false" stroked="true" strokeweight=".96001pt" strokecolor="#41b7ee">
                <v:path arrowok="t"/>
              </v:shape>
            </v:group>
            <v:group style="position:absolute;left:1976;top:10;width:58;height:2" coordorigin="1976,10" coordsize="58,2">
              <v:shape style="position:absolute;left:1976;top:10;width:58;height:2" coordorigin="1976,10" coordsize="58,0" path="m1976,10l2033,10e" filled="false" stroked="true" strokeweight=".96001pt" strokecolor="#41b7ee">
                <v:path arrowok="t"/>
              </v:shape>
            </v:group>
            <v:group style="position:absolute;left:2033;top:10;width:934;height:2" coordorigin="2033,10" coordsize="934,2">
              <v:shape style="position:absolute;left:2033;top:10;width:934;height:2" coordorigin="2033,10" coordsize="934,0" path="m2033,10l2967,10e" filled="false" stroked="true" strokeweight=".96001pt" strokecolor="#41b7ee">
                <v:path arrowok="t"/>
              </v:shape>
            </v:group>
            <v:group style="position:absolute;left:2967;top:10;width:58;height:2" coordorigin="2967,10" coordsize="58,2">
              <v:shape style="position:absolute;left:2967;top:10;width:58;height:2" coordorigin="2967,10" coordsize="58,0" path="m2967,10l3024,10e" filled="false" stroked="true" strokeweight=".96001pt" strokecolor="#41b7ee">
                <v:path arrowok="t"/>
              </v:shape>
            </v:group>
            <v:group style="position:absolute;left:3024;top:10;width:5046;height:2" coordorigin="3024,10" coordsize="5046,2">
              <v:shape style="position:absolute;left:3024;top:10;width:5046;height:2" coordorigin="3024,10" coordsize="5046,0" path="m3024,10l8070,10e" filled="false" stroked="true" strokeweight=".96001pt" strokecolor="#41b7ee">
                <v:path arrowok="t"/>
              </v:shape>
            </v:group>
            <v:group style="position:absolute;left:8070;top:10;width:58;height:2" coordorigin="8070,10" coordsize="58,2">
              <v:shape style="position:absolute;left:8070;top:10;width:58;height:2" coordorigin="8070,10" coordsize="58,0" path="m8070,10l8128,10e" filled="false" stroked="true" strokeweight=".96001pt" strokecolor="#41b7ee">
                <v:path arrowok="t"/>
              </v:shape>
            </v:group>
            <v:group style="position:absolute;left:8128;top:10;width:1644;height:2" coordorigin="8128,10" coordsize="1644,2">
              <v:shape style="position:absolute;left:8128;top:10;width:1644;height:2" coordorigin="8128,10" coordsize="1644,0" path="m8128,10l9772,10e" filled="false" stroked="true" strokeweight=".96001pt" strokecolor="#41b7ee">
                <v:path arrowok="t"/>
              </v:shape>
            </v:group>
            <v:group style="position:absolute;left:9772;top:10;width:58;height:2" coordorigin="9772,10" coordsize="58,2">
              <v:shape style="position:absolute;left:9772;top:10;width:58;height:2" coordorigin="9772,10" coordsize="58,0" path="m9772,10l9829,10e" filled="false" stroked="true" strokeweight=".96001pt" strokecolor="#41b7ee">
                <v:path arrowok="t"/>
              </v:shape>
            </v:group>
            <v:group style="position:absolute;left:9829;top:10;width:795;height:2" coordorigin="9829,10" coordsize="795,2">
              <v:shape style="position:absolute;left:9829;top:10;width:795;height:2" coordorigin="9829,10" coordsize="795,0" path="m9829,10l10624,10e" filled="false" stroked="true" strokeweight=".96001pt" strokecolor="#41b7ee">
                <v:path arrowok="t"/>
              </v:shape>
            </v:group>
            <v:group style="position:absolute;left:10624;top:10;width:58;height:2" coordorigin="10624,10" coordsize="58,2">
              <v:shape style="position:absolute;left:10624;top:10;width:58;height:2" coordorigin="10624,10" coordsize="58,0" path="m10624,10l10681,10e" filled="false" stroked="true" strokeweight=".96001pt" strokecolor="#41b7ee">
                <v:path arrowok="t"/>
              </v:shape>
            </v:group>
            <v:group style="position:absolute;left:10681;top:10;width:793;height:2" coordorigin="10681,10" coordsize="793,2">
              <v:shape style="position:absolute;left:10681;top:10;width:793;height:2" coordorigin="10681,10" coordsize="793,0" path="m10681,10l11474,10e" filled="false" stroked="true" strokeweight=".96001pt" strokecolor="#41b7ee">
                <v:path arrowok="t"/>
              </v:shape>
            </v:group>
            <v:group style="position:absolute;left:11474;top:10;width:58;height:2" coordorigin="11474,10" coordsize="58,2">
              <v:shape style="position:absolute;left:11474;top:10;width:58;height:2" coordorigin="11474,10" coordsize="58,0" path="m11474,10l11532,10e" filled="false" stroked="true" strokeweight=".96001pt" strokecolor="#41b7ee">
                <v:path arrowok="t"/>
              </v:shape>
            </v:group>
            <v:group style="position:absolute;left:11532;top:10;width:1078;height:2" coordorigin="11532,10" coordsize="1078,2">
              <v:shape style="position:absolute;left:11532;top:10;width:1078;height:2" coordorigin="11532,10" coordsize="1078,0" path="m11532,10l12609,10e" filled="false" stroked="true" strokeweight=".96001pt" strokecolor="#41b7ee">
                <v:path arrowok="t"/>
              </v:shape>
            </v:group>
            <v:group style="position:absolute;left:12609;top:10;width:58;height:2" coordorigin="12609,10" coordsize="58,2">
              <v:shape style="position:absolute;left:12609;top:10;width:58;height:2" coordorigin="12609,10" coordsize="58,0" path="m12609,10l12667,10e" filled="false" stroked="true" strokeweight=".96001pt" strokecolor="#41b7ee">
                <v:path arrowok="t"/>
              </v:shape>
            </v:group>
            <v:group style="position:absolute;left:12667;top:10;width:939;height:2" coordorigin="12667,10" coordsize="939,2">
              <v:shape style="position:absolute;left:12667;top:10;width:939;height:2" coordorigin="12667,10" coordsize="939,0" path="m12667,10l13605,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03" w:type="dxa"/>
        <w:tblLayout w:type="fixed"/>
        <w:tblCellMar>
          <w:top w:w="0" w:type="dxa"/>
          <w:left w:w="0" w:type="dxa"/>
          <w:bottom w:w="0" w:type="dxa"/>
          <w:right w:w="0" w:type="dxa"/>
        </w:tblCellMar>
        <w:tblLook w:val="01E0"/>
      </w:tblPr>
      <w:tblGrid>
        <w:gridCol w:w="1121"/>
        <w:gridCol w:w="850"/>
        <w:gridCol w:w="991"/>
        <w:gridCol w:w="5103"/>
        <w:gridCol w:w="1702"/>
        <w:gridCol w:w="852"/>
        <w:gridCol w:w="850"/>
        <w:gridCol w:w="1135"/>
        <w:gridCol w:w="991"/>
      </w:tblGrid>
      <w:tr>
        <w:trPr>
          <w:trHeight w:val="950" w:hRule="exact"/>
        </w:trPr>
        <w:tc>
          <w:tcPr>
            <w:tcW w:w="1121"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承诺背景</w:t>
            </w:r>
            <w:r>
              <w:rPr>
                <w:rFonts w:ascii="宋体" w:hAnsi="宋体" w:cs="宋体" w:eastAsia="宋体" w:hint="default"/>
                <w:sz w:val="18"/>
                <w:szCs w:val="18"/>
              </w:rPr>
              <w:t> </w:t>
            </w:r>
          </w:p>
        </w:tc>
        <w:tc>
          <w:tcPr>
            <w:tcW w:w="850"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7" w:right="150"/>
              <w:jc w:val="left"/>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z w:val="18"/>
                <w:szCs w:val="18"/>
              </w:rPr>
              <w:t> </w:t>
            </w:r>
            <w:r>
              <w:rPr>
                <w:rFonts w:ascii="宋体" w:hAnsi="宋体" w:cs="宋体" w:eastAsia="宋体" w:hint="default"/>
                <w:sz w:val="18"/>
                <w:szCs w:val="18"/>
              </w:rPr>
              <w:t>类型</w:t>
            </w:r>
            <w:r>
              <w:rPr>
                <w:rFonts w:ascii="宋体" w:hAnsi="宋体" w:cs="宋体" w:eastAsia="宋体" w:hint="default"/>
                <w:sz w:val="18"/>
                <w:szCs w:val="18"/>
              </w:rPr>
              <w:t> </w:t>
            </w:r>
          </w:p>
        </w:tc>
        <w:tc>
          <w:tcPr>
            <w:tcW w:w="991"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承诺方</w:t>
            </w:r>
            <w:r>
              <w:rPr>
                <w:rFonts w:ascii="宋体" w:hAnsi="宋体" w:cs="宋体" w:eastAsia="宋体" w:hint="default"/>
                <w:sz w:val="18"/>
                <w:szCs w:val="18"/>
              </w:rPr>
              <w:t> </w:t>
            </w:r>
          </w:p>
        </w:tc>
        <w:tc>
          <w:tcPr>
            <w:tcW w:w="5103"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66" w:right="2274"/>
              <w:jc w:val="center"/>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z w:val="18"/>
                <w:szCs w:val="18"/>
              </w:rPr>
              <w:t> </w:t>
            </w:r>
            <w:r>
              <w:rPr>
                <w:rFonts w:ascii="宋体" w:hAnsi="宋体" w:cs="宋体" w:eastAsia="宋体" w:hint="default"/>
                <w:sz w:val="18"/>
                <w:szCs w:val="18"/>
              </w:rPr>
              <w:t>内容</w:t>
            </w:r>
            <w:r>
              <w:rPr>
                <w:rFonts w:ascii="宋体" w:hAnsi="宋体" w:cs="宋体" w:eastAsia="宋体" w:hint="default"/>
                <w:sz w:val="18"/>
                <w:szCs w:val="18"/>
              </w:rPr>
              <w:t> </w:t>
            </w:r>
          </w:p>
        </w:tc>
        <w:tc>
          <w:tcPr>
            <w:tcW w:w="1702"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承诺时间及期限</w:t>
            </w:r>
            <w:r>
              <w:rPr>
                <w:rFonts w:ascii="宋体" w:hAnsi="宋体" w:cs="宋体" w:eastAsia="宋体" w:hint="default"/>
                <w:sz w:val="18"/>
                <w:szCs w:val="18"/>
              </w:rPr>
              <w:t> </w:t>
            </w:r>
          </w:p>
        </w:tc>
        <w:tc>
          <w:tcPr>
            <w:tcW w:w="852" w:type="dxa"/>
            <w:tcBorders>
              <w:top w:val="single" w:sz="8" w:space="0" w:color="41B7EE"/>
              <w:left w:val="single" w:sz="4" w:space="0" w:color="41B7EE"/>
              <w:bottom w:val="single" w:sz="4" w:space="0" w:color="41B7EE"/>
              <w:right w:val="single" w:sz="4" w:space="0" w:color="41B7EE"/>
            </w:tcBorders>
          </w:tcPr>
          <w:p>
            <w:pPr>
              <w:pStyle w:val="TableParagraph"/>
              <w:spacing w:line="232" w:lineRule="exact" w:before="114"/>
              <w:ind w:left="151" w:right="149"/>
              <w:jc w:val="center"/>
              <w:rPr>
                <w:rFonts w:ascii="宋体" w:hAnsi="宋体" w:cs="宋体" w:eastAsia="宋体" w:hint="default"/>
                <w:sz w:val="18"/>
                <w:szCs w:val="18"/>
              </w:rPr>
            </w:pPr>
            <w:r>
              <w:rPr>
                <w:rFonts w:ascii="宋体" w:hAnsi="宋体" w:cs="宋体" w:eastAsia="宋体" w:hint="default"/>
                <w:sz w:val="18"/>
                <w:szCs w:val="18"/>
              </w:rPr>
              <w:t>是否有 履行期 限</w:t>
            </w:r>
            <w:r>
              <w:rPr>
                <w:rFonts w:ascii="宋体" w:hAnsi="宋体" w:cs="宋体" w:eastAsia="宋体" w:hint="default"/>
                <w:sz w:val="18"/>
                <w:szCs w:val="18"/>
              </w:rPr>
              <w:t> </w:t>
            </w:r>
          </w:p>
        </w:tc>
        <w:tc>
          <w:tcPr>
            <w:tcW w:w="850" w:type="dxa"/>
            <w:tcBorders>
              <w:top w:val="single" w:sz="8" w:space="0" w:color="41B7EE"/>
              <w:left w:val="single" w:sz="4" w:space="0" w:color="41B7EE"/>
              <w:bottom w:val="single" w:sz="4" w:space="0" w:color="41B7EE"/>
              <w:right w:val="single" w:sz="4" w:space="0" w:color="41B7EE"/>
            </w:tcBorders>
          </w:tcPr>
          <w:p>
            <w:pPr>
              <w:pStyle w:val="TableParagraph"/>
              <w:spacing w:line="232" w:lineRule="exact" w:before="114"/>
              <w:ind w:left="151" w:right="147"/>
              <w:jc w:val="both"/>
              <w:rPr>
                <w:rFonts w:ascii="宋体" w:hAnsi="宋体" w:cs="宋体" w:eastAsia="宋体" w:hint="default"/>
                <w:sz w:val="18"/>
                <w:szCs w:val="18"/>
              </w:rPr>
            </w:pPr>
            <w:r>
              <w:rPr>
                <w:rFonts w:ascii="宋体" w:hAnsi="宋体" w:cs="宋体" w:eastAsia="宋体" w:hint="default"/>
                <w:sz w:val="18"/>
                <w:szCs w:val="18"/>
              </w:rPr>
              <w:t>是否及 时严格 履行</w:t>
            </w:r>
            <w:r>
              <w:rPr>
                <w:rFonts w:ascii="宋体" w:hAnsi="宋体" w:cs="宋体" w:eastAsia="宋体" w:hint="default"/>
                <w:sz w:val="18"/>
                <w:szCs w:val="18"/>
              </w:rPr>
              <w:t> </w:t>
            </w:r>
          </w:p>
        </w:tc>
        <w:tc>
          <w:tcPr>
            <w:tcW w:w="1135" w:type="dxa"/>
            <w:tcBorders>
              <w:top w:val="single" w:sz="8" w:space="0" w:color="41B7EE"/>
              <w:left w:val="single" w:sz="4" w:space="0" w:color="41B7EE"/>
              <w:bottom w:val="single" w:sz="4" w:space="0" w:color="41B7EE"/>
              <w:right w:val="single" w:sz="4" w:space="0" w:color="41B7EE"/>
            </w:tcBorders>
          </w:tcPr>
          <w:p>
            <w:pPr>
              <w:pStyle w:val="TableParagraph"/>
              <w:spacing w:line="206" w:lineRule="exact"/>
              <w:ind w:left="110" w:right="0"/>
              <w:jc w:val="both"/>
              <w:rPr>
                <w:rFonts w:ascii="宋体" w:hAnsi="宋体" w:cs="宋体" w:eastAsia="宋体" w:hint="default"/>
                <w:sz w:val="18"/>
                <w:szCs w:val="18"/>
              </w:rPr>
            </w:pPr>
            <w:r>
              <w:rPr>
                <w:rFonts w:ascii="宋体" w:hAnsi="宋体" w:cs="宋体" w:eastAsia="宋体" w:hint="default"/>
                <w:sz w:val="18"/>
                <w:szCs w:val="18"/>
              </w:rPr>
              <w:t>如未能及时</w:t>
            </w:r>
          </w:p>
          <w:p>
            <w:pPr>
              <w:pStyle w:val="TableParagraph"/>
              <w:spacing w:line="237" w:lineRule="auto"/>
              <w:ind w:left="110" w:right="23"/>
              <w:jc w:val="both"/>
              <w:rPr>
                <w:rFonts w:ascii="宋体" w:hAnsi="宋体" w:cs="宋体" w:eastAsia="宋体" w:hint="default"/>
                <w:sz w:val="18"/>
                <w:szCs w:val="18"/>
              </w:rPr>
            </w:pPr>
            <w:r>
              <w:rPr>
                <w:rFonts w:ascii="宋体" w:hAnsi="宋体" w:cs="宋体" w:eastAsia="宋体" w:hint="default"/>
                <w:sz w:val="18"/>
                <w:szCs w:val="18"/>
              </w:rPr>
              <w:t>履行应说明 未完成履行 的具体原因</w:t>
            </w:r>
            <w:r>
              <w:rPr>
                <w:rFonts w:ascii="宋体" w:hAnsi="宋体" w:cs="宋体" w:eastAsia="宋体" w:hint="default"/>
                <w:sz w:val="18"/>
                <w:szCs w:val="18"/>
              </w:rPr>
              <w:t> </w:t>
            </w:r>
          </w:p>
        </w:tc>
        <w:tc>
          <w:tcPr>
            <w:tcW w:w="991" w:type="dxa"/>
            <w:tcBorders>
              <w:top w:val="single" w:sz="8" w:space="0" w:color="41B7EE"/>
              <w:left w:val="single" w:sz="4" w:space="0" w:color="41B7EE"/>
              <w:bottom w:val="single" w:sz="4" w:space="0" w:color="41B7EE"/>
              <w:right w:val="nil" w:sz="6" w:space="0" w:color="auto"/>
            </w:tcBorders>
          </w:tcPr>
          <w:p>
            <w:pPr>
              <w:pStyle w:val="TableParagraph"/>
              <w:spacing w:line="206" w:lineRule="exact"/>
              <w:ind w:left="129" w:right="0"/>
              <w:jc w:val="both"/>
              <w:rPr>
                <w:rFonts w:ascii="宋体" w:hAnsi="宋体" w:cs="宋体" w:eastAsia="宋体" w:hint="default"/>
                <w:sz w:val="18"/>
                <w:szCs w:val="18"/>
              </w:rPr>
            </w:pPr>
            <w:r>
              <w:rPr>
                <w:rFonts w:ascii="宋体" w:hAnsi="宋体" w:cs="宋体" w:eastAsia="宋体" w:hint="default"/>
                <w:sz w:val="18"/>
                <w:szCs w:val="18"/>
              </w:rPr>
              <w:t>如未能及</w:t>
            </w:r>
          </w:p>
          <w:p>
            <w:pPr>
              <w:pStyle w:val="TableParagraph"/>
              <w:spacing w:line="237" w:lineRule="auto"/>
              <w:ind w:left="129" w:right="133"/>
              <w:jc w:val="both"/>
              <w:rPr>
                <w:rFonts w:ascii="宋体" w:hAnsi="宋体" w:cs="宋体" w:eastAsia="宋体" w:hint="default"/>
                <w:sz w:val="18"/>
                <w:szCs w:val="18"/>
              </w:rPr>
            </w:pPr>
            <w:r>
              <w:rPr>
                <w:rFonts w:ascii="宋体" w:hAnsi="宋体" w:cs="宋体" w:eastAsia="宋体" w:hint="default"/>
                <w:sz w:val="18"/>
                <w:szCs w:val="18"/>
              </w:rPr>
              <w:t>时履行应 说明下一 步计划</w:t>
            </w:r>
            <w:r>
              <w:rPr>
                <w:rFonts w:ascii="宋体" w:hAnsi="宋体" w:cs="宋体" w:eastAsia="宋体" w:hint="default"/>
                <w:sz w:val="18"/>
                <w:szCs w:val="18"/>
              </w:rPr>
              <w:t> </w:t>
            </w:r>
          </w:p>
        </w:tc>
      </w:tr>
      <w:tr>
        <w:trPr>
          <w:trHeight w:val="2578" w:hRule="exact"/>
        </w:trPr>
        <w:tc>
          <w:tcPr>
            <w:tcW w:w="1121" w:type="dxa"/>
            <w:tcBorders>
              <w:top w:val="single" w:sz="4" w:space="0" w:color="41B7EE"/>
              <w:left w:val="nil" w:sz="6" w:space="0" w:color="auto"/>
              <w:bottom w:val="single" w:sz="4" w:space="0" w:color="41B7EE"/>
              <w:right w:val="single" w:sz="4" w:space="0" w:color="41B7EE"/>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37" w:lineRule="auto"/>
              <w:ind w:left="108" w:right="106"/>
              <w:jc w:val="both"/>
              <w:rPr>
                <w:rFonts w:ascii="宋体" w:hAnsi="宋体" w:cs="宋体" w:eastAsia="宋体" w:hint="default"/>
                <w:sz w:val="18"/>
                <w:szCs w:val="18"/>
              </w:rPr>
            </w:pPr>
            <w:r>
              <w:rPr>
                <w:rFonts w:ascii="宋体" w:hAnsi="宋体" w:cs="宋体" w:eastAsia="宋体" w:hint="default"/>
                <w:sz w:val="18"/>
                <w:szCs w:val="18"/>
              </w:rPr>
              <w:t>与首次公开 发行相关的 承诺</w:t>
            </w:r>
            <w:r>
              <w:rPr>
                <w:rFonts w:ascii="宋体" w:hAnsi="宋体" w:cs="宋体" w:eastAsia="宋体" w:hint="default"/>
                <w:sz w:val="18"/>
                <w:szCs w:val="18"/>
              </w:rPr>
              <w:t> </w:t>
            </w:r>
          </w:p>
        </w:tc>
        <w:tc>
          <w:tcPr>
            <w:tcW w:w="85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103" w:right="104"/>
              <w:jc w:val="left"/>
              <w:rPr>
                <w:rFonts w:ascii="宋体" w:hAnsi="宋体" w:cs="宋体" w:eastAsia="宋体" w:hint="default"/>
                <w:sz w:val="18"/>
                <w:szCs w:val="18"/>
              </w:rPr>
            </w:pPr>
            <w:r>
              <w:rPr>
                <w:rFonts w:ascii="宋体" w:hAnsi="宋体" w:cs="宋体" w:eastAsia="宋体" w:hint="default"/>
                <w:sz w:val="18"/>
                <w:szCs w:val="18"/>
              </w:rPr>
              <w:t>解决同 业竞争</w:t>
            </w:r>
            <w:r>
              <w:rPr>
                <w:rFonts w:ascii="宋体" w:hAnsi="宋体" w:cs="宋体" w:eastAsia="宋体" w:hint="default"/>
                <w:color w:val="FFC000"/>
                <w:sz w:val="18"/>
                <w:szCs w:val="18"/>
              </w:rPr>
              <w:t> </w:t>
            </w:r>
            <w:r>
              <w:rPr>
                <w:rFonts w:ascii="宋体" w:hAnsi="宋体" w:cs="宋体" w:eastAsia="宋体" w:hint="default"/>
                <w:sz w:val="18"/>
                <w:szCs w:val="18"/>
              </w:rPr>
            </w:r>
          </w:p>
        </w:tc>
        <w:tc>
          <w:tcPr>
            <w:tcW w:w="9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37" w:lineRule="auto"/>
              <w:ind w:left="103" w:right="156"/>
              <w:jc w:val="both"/>
              <w:rPr>
                <w:rFonts w:ascii="宋体" w:hAnsi="宋体" w:cs="宋体" w:eastAsia="宋体" w:hint="default"/>
                <w:sz w:val="18"/>
                <w:szCs w:val="18"/>
              </w:rPr>
            </w:pPr>
            <w:r>
              <w:rPr>
                <w:rFonts w:ascii="宋体" w:hAnsi="宋体" w:cs="宋体" w:eastAsia="宋体" w:hint="default"/>
                <w:sz w:val="18"/>
                <w:szCs w:val="18"/>
              </w:rPr>
              <w:t>黑龙江北 大荒农垦 集团总公 司</w:t>
            </w:r>
            <w:r>
              <w:rPr>
                <w:rFonts w:ascii="宋体" w:hAnsi="宋体" w:cs="宋体" w:eastAsia="宋体" w:hint="default"/>
                <w:sz w:val="18"/>
                <w:szCs w:val="18"/>
              </w:rPr>
              <w:t> </w:t>
            </w:r>
          </w:p>
        </w:tc>
        <w:tc>
          <w:tcPr>
            <w:tcW w:w="5103" w:type="dxa"/>
            <w:tcBorders>
              <w:top w:val="single" w:sz="4" w:space="0" w:color="41B7EE"/>
              <w:left w:val="single" w:sz="4" w:space="0" w:color="41B7EE"/>
              <w:bottom w:val="single" w:sz="4" w:space="0" w:color="41B7EE"/>
              <w:right w:val="single" w:sz="4" w:space="0" w:color="41B7EE"/>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主要内容是：“集团公司因其下属的部分农场也从事稻谷的深</w:t>
            </w:r>
          </w:p>
          <w:p>
            <w:pPr>
              <w:pStyle w:val="TableParagraph"/>
              <w:spacing w:line="237" w:lineRule="auto" w:before="2"/>
              <w:ind w:left="103" w:right="129"/>
              <w:jc w:val="both"/>
              <w:rPr>
                <w:rFonts w:ascii="宋体" w:hAnsi="宋体" w:cs="宋体" w:eastAsia="宋体" w:hint="default"/>
                <w:sz w:val="18"/>
                <w:szCs w:val="18"/>
              </w:rPr>
            </w:pPr>
            <w:r>
              <w:rPr>
                <w:rFonts w:ascii="宋体" w:hAnsi="宋体" w:cs="宋体" w:eastAsia="宋体" w:hint="default"/>
                <w:sz w:val="18"/>
                <w:szCs w:val="18"/>
              </w:rPr>
              <w:t>加工及其经营活动，就此同业竞争关系，集团公司特向股份公 司及其众多的股东保证和承诺，集团公司将会在以后适当的时 候进行相应的重组安排，以消除业已存在的同业竞争关系，同 意股份公司在上市后的将集团公司从事稻谷深加工相关的资产 和业务，在股份公司提出收购要约时，以公平合理的价格售与 股份公司，以消除该同业竞争关系，并在其经营业务中将不利 用其对股份公司中的控股地位转移利润或从事其他行为来损害 股份公司及其众多小股东的利益。”；“集团公司今后将不以 任何方式直接或间接地进行或参与进行与股份公司相竞争的任 何其他业务活动。”</w:t>
            </w:r>
            <w:r>
              <w:rPr>
                <w:rFonts w:ascii="宋体" w:hAnsi="宋体" w:cs="宋体" w:eastAsia="宋体" w:hint="default"/>
                <w:sz w:val="18"/>
                <w:szCs w:val="18"/>
              </w:rPr>
              <w:t> </w:t>
            </w:r>
          </w:p>
        </w:tc>
        <w:tc>
          <w:tcPr>
            <w:tcW w:w="170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103" w:right="98"/>
              <w:jc w:val="left"/>
              <w:rPr>
                <w:rFonts w:ascii="宋体" w:hAnsi="宋体" w:cs="宋体" w:eastAsia="宋体" w:hint="default"/>
                <w:sz w:val="18"/>
                <w:szCs w:val="18"/>
              </w:rPr>
            </w:pPr>
            <w:r>
              <w:rPr>
                <w:rFonts w:ascii="宋体" w:hAnsi="宋体" w:cs="宋体" w:eastAsia="宋体" w:hint="default"/>
                <w:sz w:val="18"/>
                <w:szCs w:val="18"/>
              </w:rPr>
              <w:t>2001</w:t>
            </w:r>
            <w:r>
              <w:rPr>
                <w:rFonts w:ascii="宋体" w:hAnsi="宋体" w:cs="宋体" w:eastAsia="宋体" w:hint="default"/>
                <w:spacing w:val="-43"/>
                <w:sz w:val="18"/>
                <w:szCs w:val="18"/>
              </w:rPr>
              <w:t> </w:t>
            </w:r>
            <w:r>
              <w:rPr>
                <w:rFonts w:ascii="宋体" w:hAnsi="宋体" w:cs="宋体" w:eastAsia="宋体" w:hint="default"/>
                <w:sz w:val="18"/>
                <w:szCs w:val="18"/>
              </w:rPr>
              <w:t>年作出，持续 有效。</w:t>
            </w:r>
            <w:r>
              <w:rPr>
                <w:rFonts w:ascii="宋体" w:hAnsi="宋体" w:cs="宋体" w:eastAsia="宋体" w:hint="default"/>
                <w:sz w:val="18"/>
                <w:szCs w:val="18"/>
              </w:rPr>
              <w:t> </w:t>
            </w:r>
          </w:p>
        </w:tc>
        <w:tc>
          <w:tcPr>
            <w:tcW w:w="85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39"/>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color w:val="FFC000"/>
                <w:sz w:val="18"/>
                <w:szCs w:val="18"/>
              </w:rPr>
              <w:t> </w:t>
            </w:r>
            <w:r>
              <w:rPr>
                <w:rFonts w:ascii="宋体" w:hAnsi="宋体" w:cs="宋体" w:eastAsia="宋体" w:hint="default"/>
                <w:sz w:val="18"/>
                <w:szCs w:val="18"/>
              </w:rPr>
            </w:r>
          </w:p>
        </w:tc>
        <w:tc>
          <w:tcPr>
            <w:tcW w:w="85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color w:val="FFC000"/>
                <w:sz w:val="18"/>
                <w:szCs w:val="18"/>
              </w:rPr>
              <w:t> </w:t>
            </w:r>
            <w:r>
              <w:rPr>
                <w:rFonts w:ascii="宋体" w:hAnsi="宋体" w:cs="宋体" w:eastAsia="宋体" w:hint="default"/>
                <w:sz w:val="18"/>
                <w:szCs w:val="18"/>
              </w:rPr>
            </w:r>
          </w:p>
        </w:tc>
        <w:tc>
          <w:tcPr>
            <w:tcW w:w="113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991" w:type="dxa"/>
            <w:tcBorders>
              <w:top w:val="single" w:sz="4" w:space="0" w:color="41B7EE"/>
              <w:left w:val="single" w:sz="4" w:space="0" w:color="41B7EE"/>
              <w:bottom w:val="single" w:sz="4" w:space="0" w:color="41B7EE"/>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r>
      <w:tr>
        <w:trPr>
          <w:trHeight w:val="946" w:hRule="exact"/>
        </w:trPr>
        <w:tc>
          <w:tcPr>
            <w:tcW w:w="112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108" w:right="106"/>
              <w:jc w:val="left"/>
              <w:rPr>
                <w:rFonts w:ascii="宋体" w:hAnsi="宋体" w:cs="宋体" w:eastAsia="宋体" w:hint="default"/>
                <w:sz w:val="18"/>
                <w:szCs w:val="18"/>
              </w:rPr>
            </w:pPr>
            <w:r>
              <w:rPr>
                <w:rFonts w:ascii="宋体" w:hAnsi="宋体" w:cs="宋体" w:eastAsia="宋体" w:hint="default"/>
                <w:sz w:val="18"/>
                <w:szCs w:val="18"/>
              </w:rPr>
              <w:t>与再融资相 关的承诺</w:t>
            </w:r>
            <w:r>
              <w:rPr>
                <w:rFonts w:ascii="宋体" w:hAnsi="宋体" w:cs="宋体" w:eastAsia="宋体" w:hint="default"/>
                <w:sz w:val="18"/>
                <w:szCs w:val="18"/>
              </w:rPr>
              <w:t> </w:t>
            </w:r>
          </w:p>
        </w:tc>
        <w:tc>
          <w:tcPr>
            <w:tcW w:w="85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103" w:right="104"/>
              <w:jc w:val="left"/>
              <w:rPr>
                <w:rFonts w:ascii="宋体" w:hAnsi="宋体" w:cs="宋体" w:eastAsia="宋体" w:hint="default"/>
                <w:sz w:val="18"/>
                <w:szCs w:val="18"/>
              </w:rPr>
            </w:pPr>
            <w:r>
              <w:rPr>
                <w:rFonts w:ascii="宋体" w:hAnsi="宋体" w:cs="宋体" w:eastAsia="宋体" w:hint="default"/>
                <w:sz w:val="18"/>
                <w:szCs w:val="18"/>
              </w:rPr>
              <w:t>解决同 业竞争</w:t>
            </w:r>
            <w:r>
              <w:rPr>
                <w:rFonts w:ascii="宋体" w:hAnsi="宋体" w:cs="宋体" w:eastAsia="宋体" w:hint="default"/>
                <w:sz w:val="18"/>
                <w:szCs w:val="18"/>
              </w:rPr>
              <w:t> </w:t>
            </w:r>
          </w:p>
        </w:tc>
        <w:tc>
          <w:tcPr>
            <w:tcW w:w="991" w:type="dxa"/>
            <w:tcBorders>
              <w:top w:val="single" w:sz="4" w:space="0" w:color="41B7EE"/>
              <w:left w:val="single" w:sz="4" w:space="0" w:color="41B7EE"/>
              <w:bottom w:val="single" w:sz="4" w:space="0" w:color="41B7EE"/>
              <w:right w:val="single" w:sz="4" w:space="0" w:color="41B7EE"/>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黑龙江北</w:t>
            </w:r>
          </w:p>
          <w:p>
            <w:pPr>
              <w:pStyle w:val="TableParagraph"/>
              <w:spacing w:line="232" w:lineRule="exact" w:before="24"/>
              <w:ind w:left="103" w:right="156"/>
              <w:jc w:val="both"/>
              <w:rPr>
                <w:rFonts w:ascii="宋体" w:hAnsi="宋体" w:cs="宋体" w:eastAsia="宋体" w:hint="default"/>
                <w:sz w:val="18"/>
                <w:szCs w:val="18"/>
              </w:rPr>
            </w:pPr>
            <w:r>
              <w:rPr>
                <w:rFonts w:ascii="宋体" w:hAnsi="宋体" w:cs="宋体" w:eastAsia="宋体" w:hint="default"/>
                <w:sz w:val="18"/>
                <w:szCs w:val="18"/>
              </w:rPr>
              <w:t>大荒农垦 集团总公 司</w:t>
            </w:r>
            <w:r>
              <w:rPr>
                <w:rFonts w:ascii="宋体" w:hAnsi="宋体" w:cs="宋体" w:eastAsia="宋体" w:hint="default"/>
                <w:sz w:val="18"/>
                <w:szCs w:val="18"/>
              </w:rPr>
              <w:t> </w:t>
            </w:r>
          </w:p>
        </w:tc>
        <w:tc>
          <w:tcPr>
            <w:tcW w:w="5103" w:type="dxa"/>
            <w:tcBorders>
              <w:top w:val="single" w:sz="4" w:space="0" w:color="41B7EE"/>
              <w:left w:val="single" w:sz="4" w:space="0" w:color="41B7EE"/>
              <w:bottom w:val="single" w:sz="4" w:space="0" w:color="41B7EE"/>
              <w:right w:val="single" w:sz="4" w:space="0" w:color="41B7EE"/>
            </w:tcBorders>
          </w:tcPr>
          <w:p>
            <w:pPr>
              <w:pStyle w:val="TableParagraph"/>
              <w:spacing w:line="237" w:lineRule="auto" w:before="90"/>
              <w:ind w:left="103" w:right="129"/>
              <w:jc w:val="both"/>
              <w:rPr>
                <w:rFonts w:ascii="宋体" w:hAnsi="宋体" w:cs="宋体" w:eastAsia="宋体" w:hint="default"/>
                <w:sz w:val="18"/>
                <w:szCs w:val="18"/>
              </w:rPr>
            </w:pPr>
            <w:r>
              <w:rPr>
                <w:rFonts w:ascii="宋体" w:hAnsi="宋体" w:cs="宋体" w:eastAsia="宋体" w:hint="default"/>
                <w:sz w:val="18"/>
                <w:szCs w:val="18"/>
              </w:rPr>
              <w:t>主要内容是：“除已有的农业业务外，今后将不以任何方式直 接或间接地进行或参与进行与股份公司及其控股子公司相竞争 的任何业务。”</w:t>
            </w:r>
            <w:r>
              <w:rPr>
                <w:rFonts w:ascii="宋体" w:hAnsi="宋体" w:cs="宋体" w:eastAsia="宋体" w:hint="default"/>
                <w:sz w:val="18"/>
                <w:szCs w:val="18"/>
              </w:rPr>
              <w:t> </w:t>
            </w:r>
          </w:p>
        </w:tc>
        <w:tc>
          <w:tcPr>
            <w:tcW w:w="170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103" w:right="98"/>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3"/>
                <w:sz w:val="18"/>
                <w:szCs w:val="18"/>
              </w:rPr>
              <w:t> </w:t>
            </w:r>
            <w:r>
              <w:rPr>
                <w:rFonts w:ascii="宋体" w:hAnsi="宋体" w:cs="宋体" w:eastAsia="宋体" w:hint="default"/>
                <w:sz w:val="18"/>
                <w:szCs w:val="18"/>
              </w:rPr>
              <w:t>年作出，持续 有效</w:t>
            </w:r>
            <w:r>
              <w:rPr>
                <w:rFonts w:ascii="宋体" w:hAnsi="宋体" w:cs="宋体" w:eastAsia="宋体" w:hint="default"/>
                <w:sz w:val="18"/>
                <w:szCs w:val="18"/>
              </w:rPr>
              <w:t> </w:t>
            </w:r>
          </w:p>
        </w:tc>
        <w:tc>
          <w:tcPr>
            <w:tcW w:w="85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39"/>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5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113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99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r>
    </w:tbl>
    <w:p>
      <w:pPr>
        <w:pStyle w:val="BodyText"/>
        <w:spacing w:line="259" w:lineRule="exact"/>
        <w:ind w:left="240" w:right="0"/>
        <w:jc w:val="left"/>
        <w:rPr>
          <w:rFonts w:ascii="宋体" w:hAnsi="宋体" w:cs="宋体" w:eastAsia="宋体" w:hint="default"/>
        </w:rPr>
      </w:pPr>
      <w:r>
        <w:rPr>
          <w:rFonts w:ascii="宋体"/>
          <w:w w:val="100"/>
        </w:rPr>
        <w:t> </w:t>
      </w:r>
    </w:p>
    <w:p>
      <w:pPr>
        <w:pStyle w:val="Heading2"/>
        <w:tabs>
          <w:tab w:pos="806" w:val="left" w:leader="none"/>
        </w:tabs>
        <w:spacing w:line="266" w:lineRule="auto"/>
        <w:ind w:left="240" w:right="5840"/>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rFonts w:ascii="宋体" w:hAnsi="宋体" w:cs="宋体" w:eastAsia="宋体" w:hint="default"/>
          <w:w w:val="99"/>
        </w:rPr>
        <w:t> </w:t>
      </w:r>
      <w:r>
        <w:rPr>
          <w:rFonts w:ascii="宋体" w:hAnsi="宋体" w:cs="宋体" w:eastAsia="宋体" w:hint="default"/>
          <w:b w:val="0"/>
          <w:bCs w:val="0"/>
        </w:rPr>
      </w:r>
    </w:p>
    <w:p>
      <w:pPr>
        <w:pStyle w:val="BodyText"/>
        <w:spacing w:line="248" w:lineRule="exact"/>
        <w:ind w:left="240" w:right="0"/>
        <w:jc w:val="left"/>
        <w:rPr>
          <w:rFonts w:ascii="宋体" w:hAnsi="宋体" w:cs="宋体" w:eastAsia="宋体" w:hint="default"/>
        </w:rPr>
      </w:pPr>
      <w:r>
        <w:rPr/>
        <w:t>□已达到 </w:t>
      </w:r>
      <w:r>
        <w:rPr>
          <w:rFonts w:ascii="宋体" w:hAnsi="宋体" w:cs="宋体" w:eastAsia="宋体" w:hint="default"/>
        </w:rPr>
      </w:r>
      <w:r>
        <w:rPr/>
        <w:t>□未达到</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806" w:val="left" w:leader="none"/>
        </w:tabs>
        <w:spacing w:line="240" w:lineRule="auto" w:before="58"/>
        <w:ind w:left="240"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业绩承诺的完成情况及其对商誉减值测试的影响</w:t>
      </w:r>
      <w:r>
        <w:rPr>
          <w:b w:val="0"/>
          <w:bCs w:val="0"/>
        </w:rPr>
      </w:r>
    </w:p>
    <w:p>
      <w:pPr>
        <w:spacing w:line="290" w:lineRule="auto" w:before="30"/>
        <w:ind w:left="240" w:right="824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三、报告期内资金被占用情况及清欠进展情况</w:t>
      </w:r>
      <w:r>
        <w:rPr>
          <w:rFonts w:ascii="宋体" w:hAnsi="宋体" w:cs="宋体" w:eastAsia="宋体" w:hint="default"/>
          <w:spacing w:val="-1"/>
          <w:sz w:val="21"/>
          <w:szCs w:val="21"/>
        </w:rPr>
      </w:r>
    </w:p>
    <w:p>
      <w:pPr>
        <w:spacing w:line="290" w:lineRule="auto" w:before="12"/>
        <w:ind w:left="240" w:right="824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40" w:lineRule="auto" w:before="12"/>
        <w:ind w:left="2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before="41"/>
        <w:ind w:left="6714" w:right="6601" w:firstLine="0"/>
        <w:jc w:val="center"/>
        <w:rPr>
          <w:rFonts w:ascii="Calibri" w:hAnsi="Calibri" w:cs="Calibri" w:eastAsia="Calibri" w:hint="default"/>
          <w:sz w:val="18"/>
          <w:szCs w:val="18"/>
        </w:rPr>
      </w:pPr>
      <w:r>
        <w:rPr>
          <w:rFonts w:ascii="Calibri"/>
          <w:b/>
          <w:sz w:val="18"/>
        </w:rPr>
        <w:t>23 </w:t>
      </w:r>
      <w:r>
        <w:rPr>
          <w:rFonts w:ascii="Calibri"/>
          <w:sz w:val="18"/>
        </w:rPr>
        <w:t>/</w:t>
      </w:r>
      <w:r>
        <w:rPr>
          <w:rFonts w:ascii="Calibri"/>
          <w:spacing w:val="-4"/>
          <w:sz w:val="18"/>
        </w:rPr>
        <w:t> </w:t>
      </w:r>
      <w:r>
        <w:rPr>
          <w:rFonts w:ascii="Calibri"/>
          <w:b/>
          <w:sz w:val="18"/>
        </w:rPr>
        <w:t>173</w:t>
      </w:r>
      <w:r>
        <w:rPr>
          <w:rFonts w:ascii="Calibri"/>
          <w:sz w:val="18"/>
        </w:rPr>
      </w:r>
    </w:p>
    <w:p>
      <w:pPr>
        <w:spacing w:after="0"/>
        <w:jc w:val="center"/>
        <w:rPr>
          <w:rFonts w:ascii="Calibri" w:hAnsi="Calibri" w:cs="Calibri" w:eastAsia="Calibri" w:hint="default"/>
          <w:sz w:val="18"/>
          <w:szCs w:val="18"/>
        </w:rPr>
        <w:sectPr>
          <w:headerReference w:type="default" r:id="rId14"/>
          <w:footerReference w:type="default" r:id="rId15"/>
          <w:pgSz w:w="16840" w:h="11910" w:orient="landscape"/>
          <w:pgMar w:header="0" w:footer="0" w:top="740" w:bottom="280" w:left="1200" w:right="1400"/>
        </w:sectPr>
      </w:pPr>
    </w:p>
    <w:p>
      <w:pPr>
        <w:spacing w:line="240" w:lineRule="auto" w:before="9"/>
        <w:rPr>
          <w:rFonts w:ascii="Calibri" w:hAnsi="Calibri" w:cs="Calibri" w:eastAsia="Calibri" w:hint="default"/>
          <w:b/>
          <w:bCs/>
          <w:sz w:val="11"/>
          <w:szCs w:val="11"/>
        </w:rPr>
      </w:pPr>
    </w:p>
    <w:p>
      <w:pPr>
        <w:pStyle w:val="Heading2"/>
        <w:spacing w:line="240" w:lineRule="auto" w:before="36"/>
        <w:ind w:left="158" w:right="0"/>
        <w:jc w:val="left"/>
        <w:rPr>
          <w:b w:val="0"/>
          <w:bCs w:val="0"/>
        </w:rPr>
      </w:pPr>
      <w:r>
        <w:rPr/>
        <w:t>五、公司对会计政策、会计估计变更或重大会计差错更正原因和影响的分析说明</w:t>
      </w:r>
      <w:r>
        <w:rPr>
          <w:b w:val="0"/>
          <w:bCs w:val="0"/>
        </w:rPr>
      </w:r>
    </w:p>
    <w:p>
      <w:pPr>
        <w:pStyle w:val="Heading2"/>
        <w:spacing w:line="240" w:lineRule="auto" w:before="58"/>
        <w:ind w:left="158" w:right="0"/>
        <w:jc w:val="left"/>
        <w:rPr>
          <w:b w:val="0"/>
          <w:bCs w:val="0"/>
        </w:rPr>
      </w:pPr>
      <w:r>
        <w:rPr/>
        <w:t>（一）公司对会计政策、会计估计变更原因及影响的分析说明</w:t>
      </w:r>
      <w:r>
        <w:rPr>
          <w:b w:val="0"/>
          <w:bCs w:val="0"/>
        </w:rPr>
      </w:r>
    </w:p>
    <w:p>
      <w:pPr>
        <w:pStyle w:val="BodyText"/>
        <w:spacing w:line="240" w:lineRule="auto" w:before="56"/>
        <w:ind w:left="1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44"/>
        <w:ind w:left="578" w:right="0"/>
        <w:jc w:val="left"/>
        <w:rPr>
          <w:b w:val="0"/>
          <w:bCs w:val="0"/>
        </w:rPr>
      </w:pPr>
      <w:r>
        <w:rPr>
          <w:rFonts w:ascii="Arial" w:hAnsi="Arial" w:cs="Arial" w:eastAsia="Arial" w:hint="default"/>
        </w:rPr>
        <w:t>1.</w:t>
      </w:r>
      <w:r>
        <w:rPr/>
        <w:t>执行新金融工具准则导致的会计政策变更</w:t>
      </w:r>
      <w:r>
        <w:rPr>
          <w:b w:val="0"/>
          <w:bCs w:val="0"/>
        </w:rPr>
      </w:r>
    </w:p>
    <w:p>
      <w:pPr>
        <w:pStyle w:val="BodyText"/>
        <w:spacing w:line="240" w:lineRule="auto" w:before="29"/>
        <w:ind w:left="578" w:right="0"/>
        <w:jc w:val="left"/>
      </w:pPr>
      <w:r>
        <w:rPr/>
        <w:t>财政部于</w:t>
      </w:r>
      <w:r>
        <w:rPr>
          <w:spacing w:val="-53"/>
        </w:rPr>
        <w:t> </w:t>
      </w:r>
      <w:r>
        <w:rPr>
          <w:rFonts w:ascii="Arial" w:hAnsi="Arial" w:cs="Arial" w:eastAsia="Arial" w:hint="default"/>
        </w:rPr>
        <w:t>2017</w:t>
      </w:r>
      <w:r>
        <w:rPr>
          <w:rFonts w:ascii="Arial" w:hAnsi="Arial" w:cs="Arial" w:eastAsia="Arial" w:hint="default"/>
          <w:spacing w:val="-6"/>
        </w:rPr>
        <w:t> </w:t>
      </w:r>
      <w:r>
        <w:rPr/>
        <w:t>年</w:t>
      </w:r>
      <w:r>
        <w:rPr>
          <w:spacing w:val="-54"/>
        </w:rPr>
        <w:t> </w:t>
      </w:r>
      <w:r>
        <w:rPr>
          <w:rFonts w:ascii="Arial" w:hAnsi="Arial" w:cs="Arial" w:eastAsia="Arial" w:hint="default"/>
        </w:rPr>
        <w:t>3</w:t>
      </w:r>
      <w:r>
        <w:rPr>
          <w:rFonts w:ascii="Arial" w:hAnsi="Arial" w:cs="Arial" w:eastAsia="Arial" w:hint="default"/>
          <w:spacing w:val="-6"/>
        </w:rPr>
        <w:t> </w:t>
      </w:r>
      <w:r>
        <w:rPr/>
        <w:t>月</w:t>
      </w:r>
      <w:r>
        <w:rPr>
          <w:spacing w:val="-55"/>
        </w:rPr>
        <w:t> </w:t>
      </w:r>
      <w:r>
        <w:rPr>
          <w:rFonts w:ascii="Arial" w:hAnsi="Arial" w:cs="Arial" w:eastAsia="Arial" w:hint="default"/>
        </w:rPr>
        <w:t>31</w:t>
      </w:r>
      <w:r>
        <w:rPr>
          <w:rFonts w:ascii="Arial" w:hAnsi="Arial" w:cs="Arial" w:eastAsia="Arial" w:hint="default"/>
          <w:spacing w:val="-8"/>
        </w:rPr>
        <w:t> </w:t>
      </w:r>
      <w:r>
        <w:rPr/>
        <w:t>日分别发布了《企业会计准则第</w:t>
      </w:r>
      <w:r>
        <w:rPr>
          <w:spacing w:val="-53"/>
        </w:rPr>
        <w:t> </w:t>
      </w:r>
      <w:r>
        <w:rPr>
          <w:rFonts w:ascii="Arial" w:hAnsi="Arial" w:cs="Arial" w:eastAsia="Arial" w:hint="default"/>
        </w:rPr>
        <w:t>22</w:t>
      </w:r>
      <w:r>
        <w:rPr>
          <w:rFonts w:ascii="Arial" w:hAnsi="Arial" w:cs="Arial" w:eastAsia="Arial" w:hint="default"/>
          <w:spacing w:val="-8"/>
        </w:rPr>
        <w:t> </w:t>
      </w:r>
      <w:r>
        <w:rPr/>
        <w:t>号</w:t>
      </w:r>
      <w:r>
        <w:rPr>
          <w:rFonts w:ascii="Arial" w:hAnsi="Arial" w:cs="Arial" w:eastAsia="Arial" w:hint="default"/>
        </w:rPr>
        <w:t>——</w:t>
      </w:r>
      <w:r>
        <w:rPr/>
        <w:t>金融工具确认和计量</w:t>
      </w:r>
    </w:p>
    <w:p>
      <w:pPr>
        <w:pStyle w:val="BodyText"/>
        <w:spacing w:line="264" w:lineRule="auto" w:before="32"/>
        <w:ind w:left="158" w:right="204"/>
        <w:jc w:val="left"/>
        <w:rPr>
          <w:rFonts w:ascii="宋体" w:hAnsi="宋体" w:cs="宋体" w:eastAsia="宋体" w:hint="default"/>
        </w:rPr>
      </w:pPr>
      <w:r>
        <w:rPr/>
        <w:t>（</w:t>
      </w:r>
      <w:r>
        <w:rPr>
          <w:rFonts w:ascii="Arial" w:hAnsi="Arial" w:cs="Arial" w:eastAsia="Arial" w:hint="default"/>
        </w:rPr>
        <w:t>2017</w:t>
      </w:r>
      <w:r>
        <w:rPr>
          <w:rFonts w:ascii="Arial" w:hAnsi="Arial" w:cs="Arial" w:eastAsia="Arial" w:hint="default"/>
          <w:spacing w:val="-8"/>
        </w:rPr>
        <w:t> </w:t>
      </w:r>
      <w:r>
        <w:rPr/>
        <w:t>年修订）》（财会〔</w:t>
      </w:r>
      <w:r>
        <w:rPr>
          <w:rFonts w:ascii="Arial" w:hAnsi="Arial" w:cs="Arial" w:eastAsia="Arial" w:hint="default"/>
        </w:rPr>
        <w:t>2017</w:t>
      </w:r>
      <w:r>
        <w:rPr/>
        <w:t>〕</w:t>
      </w:r>
      <w:r>
        <w:rPr>
          <w:rFonts w:ascii="Arial" w:hAnsi="Arial" w:cs="Arial" w:eastAsia="Arial" w:hint="default"/>
        </w:rPr>
        <w:t>7</w:t>
      </w:r>
      <w:r>
        <w:rPr>
          <w:rFonts w:ascii="Arial" w:hAnsi="Arial" w:cs="Arial" w:eastAsia="Arial" w:hint="default"/>
          <w:spacing w:val="-8"/>
        </w:rPr>
        <w:t> </w:t>
      </w:r>
      <w:r>
        <w:rPr/>
        <w:t>号）、《企业会计准则第</w:t>
      </w:r>
      <w:r>
        <w:rPr>
          <w:spacing w:val="-55"/>
        </w:rPr>
        <w:t> </w:t>
      </w:r>
      <w:r>
        <w:rPr>
          <w:rFonts w:ascii="Arial" w:hAnsi="Arial" w:cs="Arial" w:eastAsia="Arial" w:hint="default"/>
        </w:rPr>
        <w:t>23</w:t>
      </w:r>
      <w:r>
        <w:rPr>
          <w:rFonts w:ascii="Arial" w:hAnsi="Arial" w:cs="Arial" w:eastAsia="Arial" w:hint="default"/>
          <w:spacing w:val="-10"/>
        </w:rPr>
        <w:t> </w:t>
      </w:r>
      <w:r>
        <w:rPr/>
        <w:t>号</w:t>
      </w:r>
      <w:r>
        <w:rPr>
          <w:rFonts w:ascii="Arial" w:hAnsi="Arial" w:cs="Arial" w:eastAsia="Arial" w:hint="default"/>
        </w:rPr>
        <w:t>——</w:t>
      </w:r>
      <w:r>
        <w:rPr/>
        <w:t>金融资产转移（</w:t>
      </w:r>
      <w:r>
        <w:rPr>
          <w:rFonts w:ascii="Arial" w:hAnsi="Arial" w:cs="Arial" w:eastAsia="Arial" w:hint="default"/>
        </w:rPr>
        <w:t>2017</w:t>
      </w:r>
      <w:r>
        <w:rPr>
          <w:rFonts w:ascii="Arial" w:hAnsi="Arial" w:cs="Arial" w:eastAsia="Arial" w:hint="default"/>
          <w:w w:val="100"/>
        </w:rPr>
        <w:t> </w:t>
      </w:r>
      <w:r>
        <w:rPr>
          <w:spacing w:val="-8"/>
        </w:rPr>
        <w:t>年修订）》（财会〔</w:t>
      </w:r>
      <w:r>
        <w:rPr>
          <w:rFonts w:ascii="Arial" w:hAnsi="Arial" w:cs="Arial" w:eastAsia="Arial" w:hint="default"/>
          <w:spacing w:val="-8"/>
        </w:rPr>
        <w:t>2017</w:t>
      </w:r>
      <w:r>
        <w:rPr>
          <w:spacing w:val="-8"/>
        </w:rPr>
        <w:t>〕</w:t>
      </w:r>
      <w:r>
        <w:rPr>
          <w:rFonts w:ascii="Arial" w:hAnsi="Arial" w:cs="Arial" w:eastAsia="Arial" w:hint="default"/>
          <w:spacing w:val="-8"/>
        </w:rPr>
        <w:t>8 </w:t>
      </w:r>
      <w:r>
        <w:rPr>
          <w:spacing w:val="-7"/>
        </w:rPr>
        <w:t>号）、《企业会计准则第 </w:t>
      </w:r>
      <w:r>
        <w:rPr>
          <w:rFonts w:ascii="Arial" w:hAnsi="Arial" w:cs="Arial" w:eastAsia="Arial" w:hint="default"/>
        </w:rPr>
        <w:t>24 </w:t>
      </w:r>
      <w:r>
        <w:rPr>
          <w:spacing w:val="-3"/>
        </w:rPr>
        <w:t>号</w:t>
      </w:r>
      <w:r>
        <w:rPr>
          <w:rFonts w:ascii="Arial" w:hAnsi="Arial" w:cs="Arial" w:eastAsia="Arial" w:hint="default"/>
          <w:spacing w:val="-3"/>
        </w:rPr>
        <w:t>——</w:t>
      </w:r>
      <w:r>
        <w:rPr>
          <w:spacing w:val="-3"/>
        </w:rPr>
        <w:t>套期会计（</w:t>
      </w:r>
      <w:r>
        <w:rPr>
          <w:rFonts w:ascii="Arial" w:hAnsi="Arial" w:cs="Arial" w:eastAsia="Arial" w:hint="default"/>
          <w:spacing w:val="-3"/>
        </w:rPr>
        <w:t>2017 </w:t>
      </w:r>
      <w:r>
        <w:rPr>
          <w:spacing w:val="-10"/>
        </w:rPr>
        <w:t>年修订）》（财</w:t>
      </w:r>
      <w:r>
        <w:rPr>
          <w:spacing w:val="-91"/>
        </w:rPr>
        <w:t> </w:t>
      </w:r>
      <w:r>
        <w:rPr>
          <w:spacing w:val="-91"/>
        </w:rPr>
      </w:r>
      <w:r>
        <w:rPr>
          <w:spacing w:val="-7"/>
        </w:rPr>
        <w:t>会〔</w:t>
      </w:r>
      <w:r>
        <w:rPr>
          <w:rFonts w:ascii="Arial" w:hAnsi="Arial" w:cs="Arial" w:eastAsia="Arial" w:hint="default"/>
          <w:spacing w:val="-7"/>
        </w:rPr>
        <w:t>2017</w:t>
      </w:r>
      <w:r>
        <w:rPr>
          <w:spacing w:val="-7"/>
        </w:rPr>
        <w:t>〕</w:t>
      </w:r>
      <w:r>
        <w:rPr>
          <w:rFonts w:ascii="Arial" w:hAnsi="Arial" w:cs="Arial" w:eastAsia="Arial" w:hint="default"/>
          <w:spacing w:val="-7"/>
        </w:rPr>
        <w:t>9</w:t>
      </w:r>
      <w:r>
        <w:rPr>
          <w:rFonts w:ascii="Arial" w:hAnsi="Arial" w:cs="Arial" w:eastAsia="Arial" w:hint="default"/>
          <w:spacing w:val="-3"/>
        </w:rPr>
        <w:t> </w:t>
      </w:r>
      <w:r>
        <w:rPr>
          <w:spacing w:val="-13"/>
        </w:rPr>
        <w:t>号），于</w:t>
      </w:r>
      <w:r>
        <w:rPr>
          <w:spacing w:val="-48"/>
        </w:rPr>
        <w:t> </w:t>
      </w:r>
      <w:r>
        <w:rPr>
          <w:rFonts w:ascii="Arial" w:hAnsi="Arial" w:cs="Arial" w:eastAsia="Arial" w:hint="default"/>
        </w:rPr>
        <w:t>2017 </w:t>
      </w:r>
      <w:r>
        <w:rPr/>
        <w:t>年</w:t>
      </w:r>
      <w:r>
        <w:rPr>
          <w:spacing w:val="-50"/>
        </w:rPr>
        <w:t> </w:t>
      </w:r>
      <w:r>
        <w:rPr>
          <w:rFonts w:ascii="Arial" w:hAnsi="Arial" w:cs="Arial" w:eastAsia="Arial" w:hint="default"/>
        </w:rPr>
        <w:t>5</w:t>
      </w:r>
      <w:r>
        <w:rPr>
          <w:rFonts w:ascii="Arial" w:hAnsi="Arial" w:cs="Arial" w:eastAsia="Arial" w:hint="default"/>
          <w:spacing w:val="-1"/>
        </w:rPr>
        <w:t> </w:t>
      </w:r>
      <w:r>
        <w:rPr/>
        <w:t>月</w:t>
      </w:r>
      <w:r>
        <w:rPr>
          <w:spacing w:val="-50"/>
        </w:rPr>
        <w:t> </w:t>
      </w:r>
      <w:r>
        <w:rPr>
          <w:rFonts w:ascii="Arial" w:hAnsi="Arial" w:cs="Arial" w:eastAsia="Arial" w:hint="default"/>
        </w:rPr>
        <w:t>2</w:t>
      </w:r>
      <w:r>
        <w:rPr>
          <w:rFonts w:ascii="Arial" w:hAnsi="Arial" w:cs="Arial" w:eastAsia="Arial" w:hint="default"/>
          <w:spacing w:val="-1"/>
        </w:rPr>
        <w:t> </w:t>
      </w:r>
      <w:r>
        <w:rPr>
          <w:spacing w:val="-4"/>
        </w:rPr>
        <w:t>日发布了《企业会计准则第</w:t>
      </w:r>
      <w:r>
        <w:rPr>
          <w:spacing w:val="-48"/>
        </w:rPr>
        <w:t> </w:t>
      </w:r>
      <w:r>
        <w:rPr>
          <w:rFonts w:ascii="Arial" w:hAnsi="Arial" w:cs="Arial" w:eastAsia="Arial" w:hint="default"/>
        </w:rPr>
        <w:t>37</w:t>
      </w:r>
      <w:r>
        <w:rPr>
          <w:rFonts w:ascii="Arial" w:hAnsi="Arial" w:cs="Arial" w:eastAsia="Arial" w:hint="default"/>
          <w:spacing w:val="-1"/>
        </w:rPr>
        <w:t> </w:t>
      </w:r>
      <w:r>
        <w:rPr>
          <w:spacing w:val="-3"/>
        </w:rPr>
        <w:t>号</w:t>
      </w:r>
      <w:r>
        <w:rPr>
          <w:rFonts w:ascii="Arial" w:hAnsi="Arial" w:cs="Arial" w:eastAsia="Arial" w:hint="default"/>
          <w:spacing w:val="-3"/>
        </w:rPr>
        <w:t>——</w:t>
      </w:r>
      <w:r>
        <w:rPr>
          <w:spacing w:val="-3"/>
        </w:rPr>
        <w:t>金融工具列报（</w:t>
      </w:r>
      <w:r>
        <w:rPr>
          <w:rFonts w:ascii="Arial" w:hAnsi="Arial" w:cs="Arial" w:eastAsia="Arial" w:hint="default"/>
          <w:spacing w:val="-3"/>
        </w:rPr>
        <w:t>2017</w:t>
      </w:r>
      <w:r>
        <w:rPr>
          <w:rFonts w:ascii="Arial" w:hAnsi="Arial" w:cs="Arial" w:eastAsia="Arial" w:hint="default"/>
          <w:spacing w:val="-56"/>
        </w:rPr>
        <w:t> </w:t>
      </w:r>
      <w:r>
        <w:rPr>
          <w:rFonts w:ascii="Arial" w:hAnsi="Arial" w:cs="Arial" w:eastAsia="Arial" w:hint="default"/>
          <w:spacing w:val="-56"/>
        </w:rPr>
      </w:r>
      <w:r>
        <w:rPr/>
        <w:t>年修订）》（财会〔</w:t>
      </w:r>
      <w:r>
        <w:rPr>
          <w:rFonts w:ascii="Arial" w:hAnsi="Arial" w:cs="Arial" w:eastAsia="Arial" w:hint="default"/>
        </w:rPr>
        <w:t>2017</w:t>
      </w:r>
      <w:r>
        <w:rPr/>
        <w:t>〕</w:t>
      </w:r>
      <w:r>
        <w:rPr>
          <w:rFonts w:ascii="Arial" w:hAnsi="Arial" w:cs="Arial" w:eastAsia="Arial" w:hint="default"/>
        </w:rPr>
        <w:t>14</w:t>
      </w:r>
      <w:r>
        <w:rPr>
          <w:rFonts w:ascii="Arial" w:hAnsi="Arial" w:cs="Arial" w:eastAsia="Arial" w:hint="default"/>
          <w:spacing w:val="-10"/>
        </w:rPr>
        <w:t> </w:t>
      </w:r>
      <w:r>
        <w:rPr/>
        <w:t>号）（上述准则统称“新金融工具准则”），要求境内上市企业</w:t>
      </w:r>
      <w:r>
        <w:rPr>
          <w:w w:val="100"/>
        </w:rPr>
        <w:t> </w:t>
      </w:r>
      <w:r>
        <w:rPr/>
        <w:t>自</w:t>
      </w:r>
      <w:r>
        <w:rPr>
          <w:spacing w:val="-53"/>
        </w:rPr>
        <w:t> </w:t>
      </w:r>
      <w:r>
        <w:rPr>
          <w:rFonts w:ascii="Arial" w:hAnsi="Arial" w:cs="Arial" w:eastAsia="Arial" w:hint="default"/>
        </w:rPr>
        <w:t>2019</w:t>
      </w:r>
      <w:r>
        <w:rPr>
          <w:rFonts w:ascii="Arial" w:hAnsi="Arial" w:cs="Arial" w:eastAsia="Arial" w:hint="default"/>
          <w:spacing w:val="-8"/>
        </w:rPr>
        <w:t> </w:t>
      </w:r>
      <w:r>
        <w:rPr/>
        <w:t>年</w:t>
      </w:r>
      <w:r>
        <w:rPr>
          <w:spacing w:val="-53"/>
        </w:rPr>
        <w:t> </w:t>
      </w:r>
      <w:r>
        <w:rPr>
          <w:rFonts w:ascii="Arial" w:hAnsi="Arial" w:cs="Arial" w:eastAsia="Arial" w:hint="default"/>
        </w:rPr>
        <w:t>1</w:t>
      </w:r>
      <w:r>
        <w:rPr>
          <w:rFonts w:ascii="Arial" w:hAnsi="Arial" w:cs="Arial" w:eastAsia="Arial" w:hint="default"/>
          <w:spacing w:val="-8"/>
        </w:rPr>
        <w:t> </w:t>
      </w:r>
      <w:r>
        <w:rPr/>
        <w:t>月</w:t>
      </w:r>
      <w:r>
        <w:rPr>
          <w:spacing w:val="-53"/>
        </w:rPr>
        <w:t> </w:t>
      </w:r>
      <w:r>
        <w:rPr>
          <w:rFonts w:ascii="Arial" w:hAnsi="Arial" w:cs="Arial" w:eastAsia="Arial" w:hint="default"/>
        </w:rPr>
        <w:t>1</w:t>
      </w:r>
      <w:r>
        <w:rPr>
          <w:rFonts w:ascii="Arial" w:hAnsi="Arial" w:cs="Arial" w:eastAsia="Arial" w:hint="default"/>
          <w:spacing w:val="-8"/>
        </w:rPr>
        <w:t> </w:t>
      </w:r>
      <w:r>
        <w:rPr/>
        <w:t>日起执行新金融工具准则。</w:t>
      </w:r>
      <w:r>
        <w:rPr>
          <w:rFonts w:ascii="宋体" w:hAnsi="宋体" w:cs="宋体" w:eastAsia="宋体" w:hint="default"/>
        </w:rPr>
        <w:t> </w:t>
      </w:r>
    </w:p>
    <w:p>
      <w:pPr>
        <w:pStyle w:val="BodyText"/>
        <w:spacing w:line="266" w:lineRule="auto" w:before="6"/>
        <w:ind w:left="158" w:right="0" w:firstLine="419"/>
        <w:jc w:val="left"/>
      </w:pPr>
      <w:r>
        <w:rPr/>
        <w:t>经本公司董事会第六十四次会议于</w:t>
      </w:r>
      <w:r>
        <w:rPr>
          <w:spacing w:val="-52"/>
        </w:rPr>
        <w:t> </w:t>
      </w:r>
      <w:r>
        <w:rPr>
          <w:rFonts w:ascii="Arial" w:hAnsi="Arial" w:cs="Arial" w:eastAsia="Arial" w:hint="default"/>
        </w:rPr>
        <w:t>2019</w:t>
      </w:r>
      <w:r>
        <w:rPr>
          <w:rFonts w:ascii="Arial" w:hAnsi="Arial" w:cs="Arial" w:eastAsia="Arial" w:hint="default"/>
          <w:spacing w:val="-5"/>
        </w:rPr>
        <w:t> </w:t>
      </w:r>
      <w:r>
        <w:rPr/>
        <w:t>年</w:t>
      </w:r>
      <w:r>
        <w:rPr>
          <w:spacing w:val="-54"/>
        </w:rPr>
        <w:t> </w:t>
      </w:r>
      <w:r>
        <w:rPr>
          <w:rFonts w:ascii="Arial" w:hAnsi="Arial" w:cs="Arial" w:eastAsia="Arial" w:hint="default"/>
        </w:rPr>
        <w:t>3</w:t>
      </w:r>
      <w:r>
        <w:rPr>
          <w:rFonts w:ascii="Arial" w:hAnsi="Arial" w:cs="Arial" w:eastAsia="Arial" w:hint="default"/>
          <w:spacing w:val="-5"/>
        </w:rPr>
        <w:t> </w:t>
      </w:r>
      <w:r>
        <w:rPr/>
        <w:t>月</w:t>
      </w:r>
      <w:r>
        <w:rPr>
          <w:spacing w:val="-54"/>
        </w:rPr>
        <w:t> </w:t>
      </w:r>
      <w:r>
        <w:rPr>
          <w:rFonts w:ascii="Arial" w:hAnsi="Arial" w:cs="Arial" w:eastAsia="Arial" w:hint="default"/>
        </w:rPr>
        <w:t>10</w:t>
      </w:r>
      <w:r>
        <w:rPr>
          <w:rFonts w:ascii="Arial" w:hAnsi="Arial" w:cs="Arial" w:eastAsia="Arial" w:hint="default"/>
          <w:spacing w:val="-7"/>
        </w:rPr>
        <w:t> </w:t>
      </w:r>
      <w:r>
        <w:rPr>
          <w:spacing w:val="-5"/>
        </w:rPr>
        <w:t>日决议通过，本公司于</w:t>
      </w:r>
      <w:r>
        <w:rPr>
          <w:spacing w:val="-52"/>
        </w:rPr>
        <w:t> </w:t>
      </w:r>
      <w:r>
        <w:rPr>
          <w:rFonts w:ascii="Arial" w:hAnsi="Arial" w:cs="Arial" w:eastAsia="Arial" w:hint="default"/>
        </w:rPr>
        <w:t>2019</w:t>
      </w:r>
      <w:r>
        <w:rPr>
          <w:rFonts w:ascii="Arial" w:hAnsi="Arial" w:cs="Arial" w:eastAsia="Arial" w:hint="default"/>
          <w:spacing w:val="-4"/>
        </w:rPr>
        <w:t> </w:t>
      </w:r>
      <w:r>
        <w:rPr/>
        <w:t>年</w:t>
      </w:r>
      <w:r>
        <w:rPr>
          <w:spacing w:val="-54"/>
        </w:rPr>
        <w:t> </w:t>
      </w:r>
      <w:r>
        <w:rPr>
          <w:rFonts w:ascii="Arial" w:hAnsi="Arial" w:cs="Arial" w:eastAsia="Arial" w:hint="default"/>
        </w:rPr>
        <w:t>1</w:t>
      </w:r>
      <w:r>
        <w:rPr>
          <w:rFonts w:ascii="Arial" w:hAnsi="Arial" w:cs="Arial" w:eastAsia="Arial" w:hint="default"/>
          <w:spacing w:val="-5"/>
        </w:rPr>
        <w:t> </w:t>
      </w:r>
      <w:r>
        <w:rPr/>
        <w:t>月</w:t>
      </w:r>
      <w:r>
        <w:rPr>
          <w:spacing w:val="-54"/>
        </w:rPr>
        <w:t> </w:t>
      </w:r>
      <w:r>
        <w:rPr>
          <w:rFonts w:ascii="Arial" w:hAnsi="Arial" w:cs="Arial" w:eastAsia="Arial" w:hint="default"/>
        </w:rPr>
        <w:t>1</w:t>
      </w:r>
      <w:r>
        <w:rPr>
          <w:rFonts w:ascii="Arial" w:hAnsi="Arial" w:cs="Arial" w:eastAsia="Arial" w:hint="default"/>
          <w:spacing w:val="-7"/>
        </w:rPr>
        <w:t> </w:t>
      </w:r>
      <w:r>
        <w:rPr/>
        <w:t>日</w:t>
      </w:r>
      <w:r>
        <w:rPr>
          <w:w w:val="100"/>
        </w:rPr>
        <w:t> </w:t>
      </w:r>
      <w:r>
        <w:rPr/>
        <w:t>起开始执行前述新金融工具准则。</w:t>
      </w:r>
    </w:p>
    <w:p>
      <w:pPr>
        <w:pStyle w:val="BodyText"/>
        <w:spacing w:line="278" w:lineRule="auto" w:before="21"/>
        <w:ind w:left="158" w:right="0" w:firstLine="419"/>
        <w:jc w:val="left"/>
        <w:rPr>
          <w:rFonts w:ascii="宋体" w:hAnsi="宋体" w:cs="宋体" w:eastAsia="宋体" w:hint="default"/>
        </w:rPr>
      </w:pPr>
      <w:r>
        <w:rPr/>
        <w:t>在新金融工具准则下所有已确认金融资产，其后续均按摊余成本或公允价值计量。在新金融</w:t>
      </w:r>
      <w:r>
        <w:rPr>
          <w:w w:val="100"/>
        </w:rPr>
        <w:t> </w:t>
      </w:r>
      <w:r>
        <w:rPr/>
        <w:t>工具准则施行日，以本公司该日既有事实和情况为基础评估管理金融资产的业务模式、以金融资</w:t>
      </w:r>
      <w:r>
        <w:rPr>
          <w:w w:val="100"/>
        </w:rPr>
        <w:t> </w:t>
      </w:r>
      <w:r>
        <w:rPr>
          <w:spacing w:val="-4"/>
          <w:w w:val="100"/>
        </w:rPr>
        <w:t>产初始确认时的事实和情况为基础评估该金融资产上的合同现金流量特征，将金融资产分为三类：</w:t>
      </w:r>
      <w:r>
        <w:rPr>
          <w:spacing w:val="-86"/>
          <w:w w:val="100"/>
        </w:rPr>
        <w:t> </w:t>
      </w:r>
      <w:r>
        <w:rPr>
          <w:spacing w:val="-86"/>
          <w:w w:val="100"/>
        </w:rPr>
      </w:r>
      <w:r>
        <w:rPr/>
        <w:t>按摊余成本计量、按公允价值计量且其变动计入其他综合收益及按公允价值计量且其变动计入当</w:t>
      </w:r>
      <w:r>
        <w:rPr>
          <w:w w:val="100"/>
        </w:rPr>
        <w:t> </w:t>
      </w:r>
      <w:r>
        <w:rPr/>
        <w:t>期损益。其中，对于按公允价值计量且其变动计入其他综合收益的权益工具投资，当该金融资产</w:t>
      </w:r>
      <w:r>
        <w:rPr>
          <w:w w:val="100"/>
        </w:rPr>
        <w:t> </w:t>
      </w:r>
      <w:r>
        <w:rPr/>
        <w:t>终止确认时，之前计入其他综合收益的累计利得或损失将从其他综合收益转入留存收益，不计入</w:t>
      </w:r>
      <w:r>
        <w:rPr>
          <w:w w:val="100"/>
        </w:rPr>
        <w:t> </w:t>
      </w:r>
      <w:r>
        <w:rPr/>
        <w:t>当期损益。</w:t>
      </w:r>
      <w:r>
        <w:rPr>
          <w:rFonts w:ascii="宋体" w:hAnsi="宋体" w:cs="宋体" w:eastAsia="宋体" w:hint="default"/>
        </w:rPr>
        <w:t> </w:t>
      </w:r>
    </w:p>
    <w:p>
      <w:pPr>
        <w:pStyle w:val="BodyText"/>
        <w:spacing w:line="280" w:lineRule="auto" w:before="10"/>
        <w:ind w:left="158" w:right="217" w:firstLine="419"/>
        <w:jc w:val="both"/>
        <w:rPr>
          <w:rFonts w:ascii="宋体" w:hAnsi="宋体" w:cs="宋体" w:eastAsia="宋体" w:hint="default"/>
        </w:rPr>
      </w:pPr>
      <w:r>
        <w:rPr>
          <w:spacing w:val="-2"/>
        </w:rPr>
        <w:t>在新金融工具准则下，本公司以预期信用损失为基础，对以摊余成本计量的金融资产、以公</w:t>
      </w:r>
      <w:r>
        <w:rPr>
          <w:w w:val="100"/>
        </w:rPr>
        <w:t> </w:t>
      </w:r>
      <w:r>
        <w:rPr>
          <w:spacing w:val="-2"/>
        </w:rPr>
        <w:t>允价值计量且其变动计入其他综合收益的债务工具投资、租赁应收款、合同资产及财务担保合同</w:t>
      </w:r>
      <w:r>
        <w:rPr>
          <w:spacing w:val="-25"/>
        </w:rPr>
        <w:t> </w:t>
      </w:r>
      <w:r>
        <w:rPr>
          <w:spacing w:val="-25"/>
        </w:rPr>
      </w:r>
      <w:r>
        <w:rPr/>
        <w:t>计提减值准备并确认信用减值损失。</w:t>
      </w:r>
      <w:r>
        <w:rPr>
          <w:rFonts w:ascii="宋体" w:hAnsi="宋体" w:cs="宋体" w:eastAsia="宋体" w:hint="default"/>
        </w:rPr>
        <w:t> </w:t>
      </w:r>
    </w:p>
    <w:p>
      <w:pPr>
        <w:pStyle w:val="BodyText"/>
        <w:spacing w:line="273" w:lineRule="auto" w:before="9"/>
        <w:ind w:left="158" w:right="207" w:firstLine="419"/>
        <w:jc w:val="both"/>
        <w:rPr>
          <w:rFonts w:ascii="宋体" w:hAnsi="宋体" w:cs="宋体" w:eastAsia="宋体" w:hint="default"/>
        </w:rPr>
      </w:pPr>
      <w:r>
        <w:rPr>
          <w:spacing w:val="-2"/>
        </w:rPr>
        <w:t>本公司追溯应用新金融工具准则，但对于分类和计量（含减值）涉及前期比较财务报表数据</w:t>
      </w:r>
      <w:r>
        <w:rPr>
          <w:w w:val="100"/>
        </w:rPr>
        <w:t> </w:t>
      </w:r>
      <w:r>
        <w:rPr>
          <w:spacing w:val="-6"/>
        </w:rPr>
        <w:t>与新金融工具准则不一致的，本公司选择不进行重述。因此，对于首次执行该准则的累积影响数，</w:t>
      </w:r>
      <w:r>
        <w:rPr>
          <w:spacing w:val="-54"/>
        </w:rPr>
        <w:t> </w:t>
      </w:r>
      <w:r>
        <w:rPr>
          <w:spacing w:val="-54"/>
        </w:rPr>
      </w:r>
      <w:r>
        <w:rPr/>
        <w:t>本公司调整</w:t>
      </w:r>
      <w:r>
        <w:rPr>
          <w:spacing w:val="-34"/>
        </w:rPr>
        <w:t> </w:t>
      </w:r>
      <w:r>
        <w:rPr>
          <w:rFonts w:ascii="Arial" w:hAnsi="Arial" w:cs="Arial" w:eastAsia="Arial" w:hint="default"/>
        </w:rPr>
        <w:t>2019</w:t>
      </w:r>
      <w:r>
        <w:rPr>
          <w:rFonts w:ascii="Arial" w:hAnsi="Arial" w:cs="Arial" w:eastAsia="Arial" w:hint="default"/>
          <w:spacing w:val="11"/>
        </w:rPr>
        <w:t> </w:t>
      </w:r>
      <w:r>
        <w:rPr>
          <w:spacing w:val="-3"/>
        </w:rPr>
        <w:t>年年初留存收益或其他综合收益以及财务报表其他相关项目金额，</w:t>
      </w:r>
      <w:r>
        <w:rPr>
          <w:rFonts w:ascii="Arial" w:hAnsi="Arial" w:cs="Arial" w:eastAsia="Arial" w:hint="default"/>
          <w:spacing w:val="-3"/>
        </w:rPr>
        <w:t>2018</w:t>
      </w:r>
      <w:r>
        <w:rPr>
          <w:rFonts w:ascii="Arial" w:hAnsi="Arial" w:cs="Arial" w:eastAsia="Arial" w:hint="default"/>
          <w:spacing w:val="11"/>
        </w:rPr>
        <w:t> </w:t>
      </w:r>
      <w:r>
        <w:rPr/>
        <w:t>年度的</w:t>
      </w:r>
      <w:r>
        <w:rPr>
          <w:spacing w:val="-97"/>
        </w:rPr>
        <w:t> </w:t>
      </w:r>
      <w:r>
        <w:rPr>
          <w:spacing w:val="-97"/>
        </w:rPr>
      </w:r>
      <w:r>
        <w:rPr/>
        <w:t>财务报表未予重述。</w:t>
      </w:r>
      <w:r>
        <w:rPr>
          <w:rFonts w:ascii="宋体" w:hAnsi="宋体" w:cs="宋体" w:eastAsia="宋体" w:hint="default"/>
        </w:rPr>
        <w:t> </w:t>
      </w:r>
    </w:p>
    <w:p>
      <w:pPr>
        <w:pStyle w:val="BodyText"/>
        <w:spacing w:line="240" w:lineRule="auto" w:before="17"/>
        <w:ind w:left="578" w:right="0"/>
        <w:jc w:val="left"/>
      </w:pPr>
      <w:r>
        <w:rPr/>
        <w:t>执行新金融工具准则对本公司的主要变化和影响如下：</w:t>
      </w:r>
    </w:p>
    <w:p>
      <w:pPr>
        <w:pStyle w:val="BodyText"/>
        <w:spacing w:line="240" w:lineRule="auto" w:before="44"/>
        <w:ind w:left="578" w:right="0"/>
        <w:jc w:val="left"/>
      </w:pPr>
      <w:r>
        <w:rPr/>
        <w:t>（</w:t>
      </w:r>
      <w:r>
        <w:rPr>
          <w:rFonts w:ascii="Arial" w:hAnsi="Arial" w:cs="Arial" w:eastAsia="Arial" w:hint="default"/>
        </w:rPr>
        <w:t>1</w:t>
      </w:r>
      <w:r>
        <w:rPr/>
        <w:t>）首次执行日前后金融资产分类和计量对比表</w:t>
      </w:r>
    </w:p>
    <w:p>
      <w:pPr>
        <w:pStyle w:val="BodyText"/>
        <w:spacing w:line="240" w:lineRule="auto" w:before="29"/>
        <w:ind w:left="578" w:right="0"/>
        <w:jc w:val="left"/>
        <w:rPr>
          <w:rFonts w:ascii="宋体" w:hAnsi="宋体" w:cs="宋体" w:eastAsia="宋体" w:hint="default"/>
        </w:rPr>
      </w:pPr>
      <w:r>
        <w:rPr/>
        <w:t>①对合并财务报表的影响                                     </w:t>
      </w:r>
      <w:r>
        <w:rPr>
          <w:rFonts w:ascii="宋体" w:hAnsi="宋体" w:cs="宋体" w:eastAsia="宋体" w:hint="default"/>
        </w:rPr>
      </w:r>
      <w:r>
        <w:rPr>
          <w:spacing w:val="-13"/>
        </w:rPr>
        <w:t>单位：元 </w:t>
      </w:r>
      <w:r>
        <w:rPr>
          <w:spacing w:val="19"/>
        </w:rPr>
        <w:t> </w:t>
      </w:r>
      <w:r>
        <w:rPr>
          <w:rFonts w:ascii="宋体" w:hAnsi="宋体" w:cs="宋体" w:eastAsia="宋体" w:hint="default"/>
          <w:spacing w:val="19"/>
        </w:rPr>
      </w:r>
      <w:r>
        <w:rPr>
          <w:spacing w:val="-10"/>
        </w:rPr>
        <w:t>币别：人民币</w:t>
      </w:r>
      <w:r>
        <w:rPr>
          <w:rFonts w:ascii="宋体" w:hAnsi="宋体" w:cs="宋体" w:eastAsia="宋体" w:hint="default"/>
        </w:rPr>
        <w:t> </w:t>
      </w:r>
    </w:p>
    <w:p>
      <w:pPr>
        <w:spacing w:line="240" w:lineRule="auto" w:before="9"/>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3913;height:2" coordorigin="10,10" coordsize="3913,2">
              <v:shape style="position:absolute;left:10;top:10;width:3913;height:2" coordorigin="10,10" coordsize="3913,0" path="m10,10l3922,10e" filled="false" stroked="true" strokeweight=".96002pt" strokecolor="#41b7ee">
                <v:path arrowok="t"/>
              </v:shape>
            </v:group>
            <v:group style="position:absolute;left:3922;top:10;width:58;height:2" coordorigin="3922,10" coordsize="58,2">
              <v:shape style="position:absolute;left:3922;top:10;width:58;height:2" coordorigin="3922,10" coordsize="58,0" path="m3922,10l3980,10e" filled="false" stroked="true" strokeweight=".96002pt" strokecolor="#41b7ee">
                <v:path arrowok="t"/>
              </v:shape>
            </v:group>
            <v:group style="position:absolute;left:3980;top:10;width:4921;height:2" coordorigin="3980,10" coordsize="4921,2">
              <v:shape style="position:absolute;left:3980;top:10;width:4921;height:2" coordorigin="3980,10" coordsize="4921,0" path="m3980,10l8901,10e" filled="false" stroked="true" strokeweight=".96002pt" strokecolor="#41b7ee">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1116"/>
        <w:gridCol w:w="1405"/>
        <w:gridCol w:w="1397"/>
        <w:gridCol w:w="1400"/>
        <w:gridCol w:w="2177"/>
        <w:gridCol w:w="1397"/>
      </w:tblGrid>
      <w:tr>
        <w:trPr>
          <w:trHeight w:val="362" w:hRule="exact"/>
        </w:trPr>
        <w:tc>
          <w:tcPr>
            <w:tcW w:w="3917" w:type="dxa"/>
            <w:gridSpan w:val="3"/>
            <w:tcBorders>
              <w:top w:val="single" w:sz="8" w:space="0" w:color="41B7EE"/>
              <w:left w:val="nil" w:sz="6" w:space="0" w:color="auto"/>
              <w:bottom w:val="single" w:sz="4" w:space="0" w:color="41B7EE"/>
              <w:right w:val="single" w:sz="4" w:space="0" w:color="41B7EE"/>
            </w:tcBorders>
          </w:tcPr>
          <w:p>
            <w:pPr>
              <w:pStyle w:val="TableParagraph"/>
              <w:spacing w:line="240" w:lineRule="auto" w:before="4"/>
              <w:ind w:left="602"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12</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31</w:t>
            </w:r>
            <w:r>
              <w:rPr>
                <w:rFonts w:ascii="Arial" w:hAnsi="Arial" w:cs="Arial" w:eastAsia="Arial" w:hint="default"/>
                <w:spacing w:val="-41"/>
                <w:sz w:val="21"/>
                <w:szCs w:val="21"/>
              </w:rPr>
              <w:t> </w:t>
            </w:r>
            <w:r>
              <w:rPr>
                <w:rFonts w:ascii="宋体" w:hAnsi="宋体" w:cs="宋体" w:eastAsia="宋体" w:hint="default"/>
                <w:sz w:val="21"/>
                <w:szCs w:val="21"/>
              </w:rPr>
              <w:t>日（变更前）</w:t>
            </w:r>
          </w:p>
        </w:tc>
        <w:tc>
          <w:tcPr>
            <w:tcW w:w="4974" w:type="dxa"/>
            <w:gridSpan w:val="3"/>
            <w:tcBorders>
              <w:top w:val="single" w:sz="8" w:space="0" w:color="41B7EE"/>
              <w:left w:val="single" w:sz="4" w:space="0" w:color="41B7EE"/>
              <w:bottom w:val="single" w:sz="4" w:space="0" w:color="41B7EE"/>
              <w:right w:val="nil" w:sz="6" w:space="0" w:color="auto"/>
            </w:tcBorders>
          </w:tcPr>
          <w:p>
            <w:pPr>
              <w:pStyle w:val="TableParagraph"/>
              <w:spacing w:line="240" w:lineRule="auto" w:before="4"/>
              <w:ind w:left="1222"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Arial" w:hAnsi="Arial" w:cs="Arial" w:eastAsia="Arial" w:hint="default"/>
                <w:sz w:val="21"/>
                <w:szCs w:val="21"/>
              </w:rPr>
              <w:t>1</w:t>
            </w:r>
            <w:r>
              <w:rPr>
                <w:rFonts w:ascii="Arial" w:hAnsi="Arial" w:cs="Arial" w:eastAsia="Arial" w:hint="default"/>
                <w:spacing w:val="-34"/>
                <w:sz w:val="21"/>
                <w:szCs w:val="21"/>
              </w:rPr>
              <w:t> </w:t>
            </w:r>
            <w:r>
              <w:rPr>
                <w:rFonts w:ascii="宋体" w:hAnsi="宋体" w:cs="宋体" w:eastAsia="宋体" w:hint="default"/>
                <w:sz w:val="21"/>
                <w:szCs w:val="21"/>
              </w:rPr>
              <w:t>月</w:t>
            </w:r>
            <w:r>
              <w:rPr>
                <w:rFonts w:ascii="宋体" w:hAnsi="宋体" w:cs="宋体" w:eastAsia="宋体" w:hint="default"/>
                <w:spacing w:val="-79"/>
                <w:sz w:val="21"/>
                <w:szCs w:val="21"/>
              </w:rPr>
              <w:t> </w:t>
            </w:r>
            <w:r>
              <w:rPr>
                <w:rFonts w:ascii="Arial" w:hAnsi="Arial" w:cs="Arial" w:eastAsia="Arial" w:hint="default"/>
                <w:sz w:val="21"/>
                <w:szCs w:val="21"/>
              </w:rPr>
              <w:t>1</w:t>
            </w:r>
            <w:r>
              <w:rPr>
                <w:rFonts w:ascii="Arial" w:hAnsi="Arial" w:cs="Arial" w:eastAsia="Arial" w:hint="default"/>
                <w:spacing w:val="-34"/>
                <w:sz w:val="21"/>
                <w:szCs w:val="21"/>
              </w:rPr>
              <w:t> </w:t>
            </w:r>
            <w:r>
              <w:rPr>
                <w:rFonts w:ascii="宋体" w:hAnsi="宋体" w:cs="宋体" w:eastAsia="宋体" w:hint="default"/>
                <w:sz w:val="21"/>
                <w:szCs w:val="21"/>
              </w:rPr>
              <w:t>日（变更后）</w:t>
            </w:r>
          </w:p>
        </w:tc>
      </w:tr>
      <w:tr>
        <w:trPr>
          <w:trHeight w:val="358" w:hRule="exact"/>
        </w:trPr>
        <w:tc>
          <w:tcPr>
            <w:tcW w:w="111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4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0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73"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39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7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0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7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662"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39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27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58" w:hRule="exact"/>
        </w:trPr>
        <w:tc>
          <w:tcPr>
            <w:tcW w:w="1116" w:type="dxa"/>
            <w:vMerge w:val="restart"/>
            <w:tcBorders>
              <w:top w:val="single" w:sz="4" w:space="0" w:color="41B7EE"/>
              <w:left w:val="nil" w:sz="6" w:space="0" w:color="auto"/>
              <w:right w:val="single" w:sz="4" w:space="0" w:color="41B7EE"/>
            </w:tcBorders>
          </w:tcPr>
          <w:p>
            <w:pPr>
              <w:pStyle w:val="TableParagraph"/>
              <w:spacing w:line="240" w:lineRule="auto" w:before="143"/>
              <w:ind w:left="28" w:right="26"/>
              <w:jc w:val="left"/>
              <w:rPr>
                <w:rFonts w:ascii="宋体" w:hAnsi="宋体" w:cs="宋体" w:eastAsia="宋体" w:hint="default"/>
                <w:sz w:val="21"/>
                <w:szCs w:val="21"/>
              </w:rPr>
            </w:pPr>
            <w:r>
              <w:rPr>
                <w:rFonts w:ascii="宋体" w:hAnsi="宋体" w:cs="宋体" w:eastAsia="宋体" w:hint="default"/>
                <w:sz w:val="21"/>
                <w:szCs w:val="21"/>
              </w:rPr>
              <w:t>其他流动资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产</w:t>
            </w:r>
          </w:p>
        </w:tc>
        <w:tc>
          <w:tcPr>
            <w:tcW w:w="140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39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2"/>
                <w:w w:val="80"/>
                <w:sz w:val="21"/>
              </w:rPr>
              <w:t>33,617,513.83</w:t>
            </w:r>
            <w:r>
              <w:rPr>
                <w:rFonts w:ascii="Arial"/>
                <w:sz w:val="21"/>
              </w:rPr>
            </w:r>
          </w:p>
        </w:tc>
        <w:tc>
          <w:tcPr>
            <w:tcW w:w="140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right="82"/>
              <w:jc w:val="center"/>
              <w:rPr>
                <w:rFonts w:ascii="宋体" w:hAnsi="宋体" w:cs="宋体" w:eastAsia="宋体" w:hint="default"/>
                <w:sz w:val="21"/>
                <w:szCs w:val="21"/>
              </w:rPr>
            </w:pPr>
            <w:r>
              <w:rPr>
                <w:rFonts w:ascii="宋体" w:hAnsi="宋体" w:cs="宋体" w:eastAsia="宋体" w:hint="default"/>
                <w:sz w:val="21"/>
                <w:szCs w:val="21"/>
              </w:rPr>
              <w:t>其他流动资产</w:t>
            </w:r>
          </w:p>
        </w:tc>
        <w:tc>
          <w:tcPr>
            <w:tcW w:w="217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39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2"/>
                <w:w w:val="80"/>
                <w:sz w:val="21"/>
              </w:rPr>
              <w:t>33,617,513.83</w:t>
            </w:r>
            <w:r>
              <w:rPr>
                <w:rFonts w:ascii="Arial"/>
                <w:sz w:val="21"/>
              </w:rPr>
            </w:r>
          </w:p>
        </w:tc>
      </w:tr>
      <w:tr>
        <w:trPr>
          <w:trHeight w:val="555" w:hRule="exact"/>
        </w:trPr>
        <w:tc>
          <w:tcPr>
            <w:tcW w:w="1116" w:type="dxa"/>
            <w:vMerge/>
            <w:tcBorders>
              <w:left w:val="nil" w:sz="6" w:space="0" w:color="auto"/>
              <w:bottom w:val="single" w:sz="4" w:space="0" w:color="41B7EE"/>
              <w:right w:val="single" w:sz="4" w:space="0" w:color="41B7EE"/>
            </w:tcBorders>
          </w:tcPr>
          <w:p>
            <w:pPr/>
          </w:p>
        </w:tc>
        <w:tc>
          <w:tcPr>
            <w:tcW w:w="140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3"/>
              <w:ind w:left="21"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39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7"/>
              <w:ind w:right="20"/>
              <w:jc w:val="right"/>
              <w:rPr>
                <w:rFonts w:ascii="Arial" w:hAnsi="Arial" w:cs="Arial" w:eastAsia="Arial" w:hint="default"/>
                <w:sz w:val="21"/>
                <w:szCs w:val="21"/>
              </w:rPr>
            </w:pPr>
            <w:r>
              <w:rPr>
                <w:rFonts w:ascii="Arial"/>
                <w:spacing w:val="-2"/>
                <w:w w:val="80"/>
                <w:sz w:val="21"/>
              </w:rPr>
              <w:t>2,135,693,612.21</w:t>
            </w:r>
            <w:r>
              <w:rPr>
                <w:rFonts w:ascii="Arial"/>
                <w:sz w:val="21"/>
              </w:rPr>
            </w:r>
          </w:p>
        </w:tc>
        <w:tc>
          <w:tcPr>
            <w:tcW w:w="1400" w:type="dxa"/>
            <w:tcBorders>
              <w:top w:val="single" w:sz="4" w:space="0" w:color="41B7EE"/>
              <w:left w:val="single" w:sz="4" w:space="0" w:color="41B7EE"/>
              <w:bottom w:val="single" w:sz="4" w:space="0" w:color="41B7EE"/>
              <w:right w:val="single" w:sz="4" w:space="0" w:color="41B7EE"/>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交易性金融资</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2177" w:type="dxa"/>
            <w:tcBorders>
              <w:top w:val="single" w:sz="4" w:space="0" w:color="41B7EE"/>
              <w:left w:val="single" w:sz="4" w:space="0" w:color="41B7EE"/>
              <w:bottom w:val="single" w:sz="4" w:space="0" w:color="41B7EE"/>
              <w:right w:val="single" w:sz="4" w:space="0" w:color="41B7EE"/>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动计入当期损益</w:t>
            </w:r>
          </w:p>
        </w:tc>
        <w:tc>
          <w:tcPr>
            <w:tcW w:w="139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7"/>
              <w:ind w:right="25"/>
              <w:jc w:val="right"/>
              <w:rPr>
                <w:rFonts w:ascii="Arial" w:hAnsi="Arial" w:cs="Arial" w:eastAsia="Arial" w:hint="default"/>
                <w:sz w:val="21"/>
                <w:szCs w:val="21"/>
              </w:rPr>
            </w:pPr>
            <w:r>
              <w:rPr>
                <w:rFonts w:ascii="Arial"/>
                <w:spacing w:val="-2"/>
                <w:w w:val="80"/>
                <w:sz w:val="21"/>
              </w:rPr>
              <w:t>2,135,693,612.21</w:t>
            </w:r>
            <w:r>
              <w:rPr>
                <w:rFonts w:ascii="Arial"/>
                <w:sz w:val="21"/>
              </w:rPr>
            </w:r>
          </w:p>
        </w:tc>
      </w:tr>
      <w:tr>
        <w:trPr>
          <w:trHeight w:val="554" w:hRule="exact"/>
        </w:trPr>
        <w:tc>
          <w:tcPr>
            <w:tcW w:w="111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02"/>
              <w:ind w:left="28"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40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39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20"/>
              <w:jc w:val="right"/>
              <w:rPr>
                <w:rFonts w:ascii="Arial" w:hAnsi="Arial" w:cs="Arial" w:eastAsia="Arial" w:hint="default"/>
                <w:sz w:val="21"/>
                <w:szCs w:val="21"/>
              </w:rPr>
            </w:pPr>
            <w:r>
              <w:rPr>
                <w:rFonts w:ascii="Arial"/>
                <w:spacing w:val="-2"/>
                <w:w w:val="80"/>
                <w:sz w:val="21"/>
              </w:rPr>
              <w:t>9,858,946.90</w:t>
            </w:r>
            <w:r>
              <w:rPr>
                <w:rFonts w:ascii="Arial"/>
                <w:sz w:val="21"/>
              </w:rPr>
            </w:r>
          </w:p>
        </w:tc>
        <w:tc>
          <w:tcPr>
            <w:tcW w:w="1400" w:type="dxa"/>
            <w:tcBorders>
              <w:top w:val="single" w:sz="4" w:space="0" w:color="41B7EE"/>
              <w:left w:val="single" w:sz="4" w:space="0" w:color="41B7EE"/>
              <w:bottom w:val="single" w:sz="4" w:space="0" w:color="41B7EE"/>
              <w:right w:val="single" w:sz="4" w:space="0" w:color="41B7EE"/>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交易性金融资</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2177" w:type="dxa"/>
            <w:tcBorders>
              <w:top w:val="single" w:sz="4" w:space="0" w:color="41B7EE"/>
              <w:left w:val="single" w:sz="4" w:space="0" w:color="41B7EE"/>
              <w:bottom w:val="single" w:sz="4" w:space="0" w:color="41B7EE"/>
              <w:right w:val="single" w:sz="4" w:space="0" w:color="41B7EE"/>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动计入当期损益</w:t>
            </w:r>
          </w:p>
        </w:tc>
        <w:tc>
          <w:tcPr>
            <w:tcW w:w="139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6"/>
              <w:ind w:right="24"/>
              <w:jc w:val="right"/>
              <w:rPr>
                <w:rFonts w:ascii="Arial" w:hAnsi="Arial" w:cs="Arial" w:eastAsia="Arial" w:hint="default"/>
                <w:sz w:val="21"/>
                <w:szCs w:val="21"/>
              </w:rPr>
            </w:pPr>
            <w:r>
              <w:rPr>
                <w:rFonts w:ascii="Arial"/>
                <w:spacing w:val="-2"/>
                <w:w w:val="80"/>
                <w:sz w:val="21"/>
              </w:rPr>
              <w:t>9,858,946.90</w:t>
            </w:r>
            <w:r>
              <w:rPr>
                <w:rFonts w:ascii="Arial"/>
                <w:sz w:val="21"/>
              </w:rPr>
            </w:r>
          </w:p>
        </w:tc>
      </w:tr>
      <w:tr>
        <w:trPr>
          <w:trHeight w:val="554" w:hRule="exact"/>
        </w:trPr>
        <w:tc>
          <w:tcPr>
            <w:tcW w:w="1116" w:type="dxa"/>
            <w:vMerge w:val="restart"/>
            <w:tcBorders>
              <w:top w:val="single" w:sz="4" w:space="0" w:color="41B7EE"/>
              <w:left w:val="nil" w:sz="6" w:space="0" w:color="auto"/>
              <w:right w:val="single" w:sz="4" w:space="0" w:color="41B7EE"/>
            </w:tcBorders>
          </w:tcPr>
          <w:p>
            <w:pPr>
              <w:pStyle w:val="TableParagraph"/>
              <w:spacing w:line="240" w:lineRule="auto" w:before="143"/>
              <w:ind w:left="28" w:right="26"/>
              <w:jc w:val="left"/>
              <w:rPr>
                <w:rFonts w:ascii="宋体" w:hAnsi="宋体" w:cs="宋体" w:eastAsia="宋体" w:hint="default"/>
                <w:sz w:val="21"/>
                <w:szCs w:val="21"/>
              </w:rPr>
            </w:pPr>
            <w:r>
              <w:rPr>
                <w:rFonts w:ascii="宋体" w:hAnsi="宋体" w:cs="宋体" w:eastAsia="宋体" w:hint="default"/>
                <w:sz w:val="21"/>
                <w:szCs w:val="21"/>
              </w:rPr>
              <w:t>可供出售金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融资产</w:t>
            </w:r>
          </w:p>
        </w:tc>
        <w:tc>
          <w:tcPr>
            <w:tcW w:w="1405" w:type="dxa"/>
            <w:vMerge w:val="restart"/>
            <w:tcBorders>
              <w:top w:val="single" w:sz="4" w:space="0" w:color="41B7EE"/>
              <w:left w:val="single" w:sz="4" w:space="0" w:color="41B7EE"/>
              <w:right w:val="single" w:sz="4" w:space="0" w:color="41B7EE"/>
            </w:tcBorders>
          </w:tcPr>
          <w:p>
            <w:pPr>
              <w:pStyle w:val="TableParagraph"/>
              <w:spacing w:line="274" w:lineRule="exact" w:before="143"/>
              <w:ind w:left="21" w:right="0"/>
              <w:jc w:val="left"/>
              <w:rPr>
                <w:rFonts w:ascii="宋体" w:hAnsi="宋体" w:cs="宋体" w:eastAsia="宋体" w:hint="default"/>
                <w:sz w:val="21"/>
                <w:szCs w:val="21"/>
              </w:rPr>
            </w:pPr>
            <w:r>
              <w:rPr>
                <w:rFonts w:ascii="宋体" w:hAnsi="宋体" w:cs="宋体" w:eastAsia="宋体" w:hint="default"/>
                <w:sz w:val="21"/>
                <w:szCs w:val="21"/>
              </w:rPr>
              <w:t>以成本计量</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（权益工具）</w:t>
            </w:r>
          </w:p>
        </w:tc>
        <w:tc>
          <w:tcPr>
            <w:tcW w:w="1397" w:type="dxa"/>
            <w:vMerge w:val="restart"/>
            <w:tcBorders>
              <w:top w:val="single" w:sz="4" w:space="0" w:color="41B7EE"/>
              <w:left w:val="single" w:sz="4" w:space="0" w:color="41B7EE"/>
              <w:right w:val="single" w:sz="4" w:space="0" w:color="41B7EE"/>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61" w:right="0"/>
              <w:jc w:val="left"/>
              <w:rPr>
                <w:rFonts w:ascii="Arial" w:hAnsi="Arial" w:cs="Arial" w:eastAsia="Arial" w:hint="default"/>
                <w:sz w:val="21"/>
                <w:szCs w:val="21"/>
              </w:rPr>
            </w:pPr>
            <w:r>
              <w:rPr>
                <w:rFonts w:ascii="Arial"/>
                <w:w w:val="80"/>
                <w:sz w:val="21"/>
              </w:rPr>
              <w:t>21,000,000.00</w:t>
            </w:r>
            <w:r>
              <w:rPr>
                <w:rFonts w:ascii="Arial"/>
                <w:sz w:val="21"/>
              </w:rPr>
            </w:r>
          </w:p>
        </w:tc>
        <w:tc>
          <w:tcPr>
            <w:tcW w:w="1400" w:type="dxa"/>
            <w:tcBorders>
              <w:top w:val="single" w:sz="4" w:space="0" w:color="41B7EE"/>
              <w:left w:val="single" w:sz="4" w:space="0" w:color="41B7EE"/>
              <w:bottom w:val="single" w:sz="4" w:space="0" w:color="41B7EE"/>
              <w:right w:val="single" w:sz="4" w:space="0" w:color="41B7EE"/>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其他权益工具</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2177" w:type="dxa"/>
            <w:tcBorders>
              <w:top w:val="single" w:sz="4" w:space="0" w:color="41B7EE"/>
              <w:left w:val="single" w:sz="4" w:space="0" w:color="41B7EE"/>
              <w:bottom w:val="single" w:sz="4" w:space="0" w:color="41B7EE"/>
              <w:right w:val="single" w:sz="4" w:space="0" w:color="41B7EE"/>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动计入其他综合收益</w:t>
            </w:r>
          </w:p>
        </w:tc>
        <w:tc>
          <w:tcPr>
            <w:tcW w:w="139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6"/>
              <w:ind w:right="24"/>
              <w:jc w:val="right"/>
              <w:rPr>
                <w:rFonts w:ascii="Arial" w:hAnsi="Arial" w:cs="Arial" w:eastAsia="Arial" w:hint="default"/>
                <w:sz w:val="21"/>
                <w:szCs w:val="21"/>
              </w:rPr>
            </w:pPr>
            <w:r>
              <w:rPr>
                <w:rFonts w:ascii="Arial"/>
                <w:spacing w:val="-2"/>
                <w:w w:val="80"/>
                <w:sz w:val="21"/>
              </w:rPr>
              <w:t>20,258,496.06</w:t>
            </w:r>
            <w:r>
              <w:rPr>
                <w:rFonts w:ascii="Arial"/>
                <w:sz w:val="21"/>
              </w:rPr>
            </w:r>
          </w:p>
        </w:tc>
      </w:tr>
      <w:tr>
        <w:trPr>
          <w:trHeight w:val="384" w:hRule="exact"/>
        </w:trPr>
        <w:tc>
          <w:tcPr>
            <w:tcW w:w="1116" w:type="dxa"/>
            <w:vMerge/>
            <w:tcBorders>
              <w:left w:val="nil" w:sz="6" w:space="0" w:color="auto"/>
              <w:bottom w:val="single" w:sz="23" w:space="0" w:color="41B7EE"/>
              <w:right w:val="single" w:sz="4" w:space="0" w:color="41B7EE"/>
            </w:tcBorders>
          </w:tcPr>
          <w:p>
            <w:pPr/>
          </w:p>
        </w:tc>
        <w:tc>
          <w:tcPr>
            <w:tcW w:w="1405" w:type="dxa"/>
            <w:vMerge/>
            <w:tcBorders>
              <w:left w:val="single" w:sz="4" w:space="0" w:color="41B7EE"/>
              <w:bottom w:val="single" w:sz="23" w:space="0" w:color="41B7EE"/>
              <w:right w:val="single" w:sz="4" w:space="0" w:color="41B7EE"/>
            </w:tcBorders>
          </w:tcPr>
          <w:p>
            <w:pPr/>
          </w:p>
        </w:tc>
        <w:tc>
          <w:tcPr>
            <w:tcW w:w="1397" w:type="dxa"/>
            <w:vMerge/>
            <w:tcBorders>
              <w:left w:val="single" w:sz="4" w:space="0" w:color="41B7EE"/>
              <w:bottom w:val="single" w:sz="23" w:space="0" w:color="41B7EE"/>
              <w:right w:val="single" w:sz="4" w:space="0" w:color="41B7EE"/>
            </w:tcBorders>
          </w:tcPr>
          <w:p>
            <w:pPr/>
          </w:p>
        </w:tc>
        <w:tc>
          <w:tcPr>
            <w:tcW w:w="1400"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
              <w:ind w:right="82"/>
              <w:jc w:val="center"/>
              <w:rPr>
                <w:rFonts w:ascii="宋体" w:hAnsi="宋体" w:cs="宋体" w:eastAsia="宋体" w:hint="default"/>
                <w:sz w:val="21"/>
                <w:szCs w:val="21"/>
              </w:rPr>
            </w:pPr>
            <w:r>
              <w:rPr>
                <w:rFonts w:ascii="宋体" w:hAnsi="宋体" w:cs="宋体" w:eastAsia="宋体" w:hint="default"/>
                <w:sz w:val="21"/>
                <w:szCs w:val="21"/>
              </w:rPr>
              <w:t>其他综合收益</w:t>
            </w:r>
          </w:p>
        </w:tc>
        <w:tc>
          <w:tcPr>
            <w:tcW w:w="2177" w:type="dxa"/>
            <w:tcBorders>
              <w:top w:val="single" w:sz="4" w:space="0" w:color="41B7EE"/>
              <w:left w:val="single" w:sz="4" w:space="0" w:color="41B7EE"/>
              <w:bottom w:val="single" w:sz="23" w:space="0" w:color="41B7EE"/>
              <w:right w:val="single" w:sz="4" w:space="0" w:color="41B7EE"/>
            </w:tcBorders>
          </w:tcPr>
          <w:p>
            <w:pPr>
              <w:pStyle w:val="TableParagraph"/>
              <w:spacing w:line="274" w:lineRule="exact"/>
              <w:ind w:left="23" w:right="0"/>
              <w:jc w:val="left"/>
              <w:rPr>
                <w:rFonts w:ascii="宋体" w:hAnsi="宋体" w:cs="宋体" w:eastAsia="宋体" w:hint="default"/>
                <w:sz w:val="21"/>
                <w:szCs w:val="21"/>
              </w:rPr>
            </w:pPr>
            <w:r>
              <w:rPr>
                <w:rFonts w:ascii="宋体"/>
                <w:w w:val="100"/>
                <w:sz w:val="21"/>
              </w:rPr>
              <w:t> </w:t>
            </w:r>
          </w:p>
        </w:tc>
        <w:tc>
          <w:tcPr>
            <w:tcW w:w="1397"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2"/>
                <w:w w:val="80"/>
                <w:sz w:val="21"/>
              </w:rPr>
              <w:t>-741,503.94</w:t>
            </w:r>
            <w:r>
              <w:rPr>
                <w:rFonts w:ascii="Arial"/>
                <w:sz w:val="21"/>
              </w:rPr>
            </w:r>
          </w:p>
        </w:tc>
      </w:tr>
    </w:tbl>
    <w:p>
      <w:pPr>
        <w:pStyle w:val="BodyText"/>
        <w:tabs>
          <w:tab w:pos="6770" w:val="left" w:leader="none"/>
        </w:tabs>
        <w:spacing w:line="259" w:lineRule="exact"/>
        <w:ind w:left="578" w:right="0"/>
        <w:jc w:val="left"/>
      </w:pPr>
      <w:r>
        <w:rPr>
          <w:spacing w:val="-2"/>
        </w:rPr>
        <w:t>②对公司财务报表的影响</w:t>
        <w:tab/>
      </w:r>
      <w:r>
        <w:rPr>
          <w:spacing w:val="-12"/>
        </w:rPr>
        <w:t>单位：元</w:t>
      </w:r>
      <w:r>
        <w:rPr>
          <w:spacing w:val="-2"/>
        </w:rPr>
        <w:t> </w:t>
      </w:r>
      <w:r>
        <w:rPr>
          <w:spacing w:val="14"/>
        </w:rPr>
        <w:t> </w:t>
      </w:r>
      <w:r>
        <w:rPr>
          <w:rFonts w:ascii="宋体" w:hAnsi="宋体" w:cs="宋体" w:eastAsia="宋体" w:hint="default"/>
          <w:spacing w:val="14"/>
        </w:rPr>
      </w:r>
      <w:r>
        <w:rPr>
          <w:spacing w:val="-9"/>
        </w:rPr>
        <w:t>币别：人民币</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116"/>
        <w:gridCol w:w="1402"/>
        <w:gridCol w:w="1397"/>
        <w:gridCol w:w="1402"/>
        <w:gridCol w:w="2177"/>
        <w:gridCol w:w="1397"/>
      </w:tblGrid>
      <w:tr>
        <w:trPr>
          <w:trHeight w:val="384" w:hRule="exact"/>
        </w:trPr>
        <w:tc>
          <w:tcPr>
            <w:tcW w:w="3915" w:type="dxa"/>
            <w:gridSpan w:val="3"/>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left="602"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12</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31</w:t>
            </w:r>
            <w:r>
              <w:rPr>
                <w:rFonts w:ascii="Arial" w:hAnsi="Arial" w:cs="Arial" w:eastAsia="Arial" w:hint="default"/>
                <w:spacing w:val="-41"/>
                <w:sz w:val="21"/>
                <w:szCs w:val="21"/>
              </w:rPr>
              <w:t> </w:t>
            </w:r>
            <w:r>
              <w:rPr>
                <w:rFonts w:ascii="宋体" w:hAnsi="宋体" w:cs="宋体" w:eastAsia="宋体" w:hint="default"/>
                <w:sz w:val="21"/>
                <w:szCs w:val="21"/>
              </w:rPr>
              <w:t>日（变更前）</w:t>
            </w:r>
          </w:p>
        </w:tc>
        <w:tc>
          <w:tcPr>
            <w:tcW w:w="4976" w:type="dxa"/>
            <w:gridSpan w:val="3"/>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1222"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Arial" w:hAnsi="Arial" w:cs="Arial" w:eastAsia="Arial" w:hint="default"/>
                <w:sz w:val="21"/>
                <w:szCs w:val="21"/>
              </w:rPr>
              <w:t>1</w:t>
            </w:r>
            <w:r>
              <w:rPr>
                <w:rFonts w:ascii="Arial" w:hAnsi="Arial" w:cs="Arial" w:eastAsia="Arial" w:hint="default"/>
                <w:spacing w:val="-34"/>
                <w:sz w:val="21"/>
                <w:szCs w:val="21"/>
              </w:rPr>
              <w:t> </w:t>
            </w:r>
            <w:r>
              <w:rPr>
                <w:rFonts w:ascii="宋体" w:hAnsi="宋体" w:cs="宋体" w:eastAsia="宋体" w:hint="default"/>
                <w:sz w:val="21"/>
                <w:szCs w:val="21"/>
              </w:rPr>
              <w:t>月</w:t>
            </w:r>
            <w:r>
              <w:rPr>
                <w:rFonts w:ascii="宋体" w:hAnsi="宋体" w:cs="宋体" w:eastAsia="宋体" w:hint="default"/>
                <w:spacing w:val="-79"/>
                <w:sz w:val="21"/>
                <w:szCs w:val="21"/>
              </w:rPr>
              <w:t> </w:t>
            </w:r>
            <w:r>
              <w:rPr>
                <w:rFonts w:ascii="Arial" w:hAnsi="Arial" w:cs="Arial" w:eastAsia="Arial" w:hint="default"/>
                <w:sz w:val="21"/>
                <w:szCs w:val="21"/>
              </w:rPr>
              <w:t>1</w:t>
            </w:r>
            <w:r>
              <w:rPr>
                <w:rFonts w:ascii="Arial" w:hAnsi="Arial" w:cs="Arial" w:eastAsia="Arial" w:hint="default"/>
                <w:spacing w:val="-34"/>
                <w:sz w:val="21"/>
                <w:szCs w:val="21"/>
              </w:rPr>
              <w:t> </w:t>
            </w:r>
            <w:r>
              <w:rPr>
                <w:rFonts w:ascii="宋体" w:hAnsi="宋体" w:cs="宋体" w:eastAsia="宋体" w:hint="default"/>
                <w:sz w:val="21"/>
                <w:szCs w:val="21"/>
              </w:rPr>
              <w:t>日（变更后）</w:t>
            </w:r>
          </w:p>
        </w:tc>
      </w:tr>
      <w:tr>
        <w:trPr>
          <w:trHeight w:val="365" w:hRule="exact"/>
        </w:trPr>
        <w:tc>
          <w:tcPr>
            <w:tcW w:w="1116"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2"/>
              <w:ind w:left="34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02"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2"/>
              <w:ind w:left="273"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397"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2"/>
              <w:ind w:left="27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02"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77"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2"/>
              <w:ind w:left="662"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397"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2"/>
              <w:ind w:left="271" w:right="0"/>
              <w:jc w:val="left"/>
              <w:rPr>
                <w:rFonts w:ascii="宋体" w:hAnsi="宋体" w:cs="宋体" w:eastAsia="宋体" w:hint="default"/>
                <w:sz w:val="21"/>
                <w:szCs w:val="21"/>
              </w:rPr>
            </w:pPr>
            <w:r>
              <w:rPr>
                <w:rFonts w:ascii="宋体" w:hAnsi="宋体" w:cs="宋体" w:eastAsia="宋体" w:hint="default"/>
                <w:sz w:val="21"/>
                <w:szCs w:val="21"/>
              </w:rPr>
              <w:t>账面价值</w:t>
            </w:r>
          </w:p>
        </w:tc>
      </w:tr>
    </w:tbl>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1112;height:2" coordorigin="10,10" coordsize="1112,2">
              <v:shape style="position:absolute;left:10;top:10;width:1112;height:2" coordorigin="10,10" coordsize="1112,0" path="m10,10l1121,10e" filled="false" stroked="true" strokeweight=".96002pt" strokecolor="#41b7ee">
                <v:path arrowok="t"/>
              </v:shape>
            </v:group>
            <v:group style="position:absolute;left:1121;top:10;width:58;height:2" coordorigin="1121,10" coordsize="58,2">
              <v:shape style="position:absolute;left:1121;top:10;width:58;height:2" coordorigin="1121,10" coordsize="58,0" path="m1121,10l1178,10e" filled="false" stroked="true" strokeweight=".96002pt" strokecolor="#41b7ee">
                <v:path arrowok="t"/>
              </v:shape>
            </v:group>
            <v:group style="position:absolute;left:1178;top:10;width:1345;height:2" coordorigin="1178,10" coordsize="1345,2">
              <v:shape style="position:absolute;left:1178;top:10;width:1345;height:2" coordorigin="1178,10" coordsize="1345,0" path="m1178,10l2523,10e" filled="false" stroked="true" strokeweight=".96002pt" strokecolor="#41b7ee">
                <v:path arrowok="t"/>
              </v:shape>
            </v:group>
            <v:group style="position:absolute;left:2523;top:10;width:58;height:2" coordorigin="2523,10" coordsize="58,2">
              <v:shape style="position:absolute;left:2523;top:10;width:58;height:2" coordorigin="2523,10" coordsize="58,0" path="m2523,10l2581,10e" filled="false" stroked="true" strokeweight=".96002pt" strokecolor="#41b7ee">
                <v:path arrowok="t"/>
              </v:shape>
            </v:group>
            <v:group style="position:absolute;left:2581;top:10;width:1340;height:2" coordorigin="2581,10" coordsize="1340,2">
              <v:shape style="position:absolute;left:2581;top:10;width:1340;height:2" coordorigin="2581,10" coordsize="1340,0" path="m2581,10l3920,10e" filled="false" stroked="true" strokeweight=".96002pt" strokecolor="#41b7ee">
                <v:path arrowok="t"/>
              </v:shape>
            </v:group>
            <v:group style="position:absolute;left:3920;top:10;width:58;height:2" coordorigin="3920,10" coordsize="58,2">
              <v:shape style="position:absolute;left:3920;top:10;width:58;height:2" coordorigin="3920,10" coordsize="58,0" path="m3920,10l3977,10e" filled="false" stroked="true" strokeweight=".96002pt" strokecolor="#41b7ee">
                <v:path arrowok="t"/>
              </v:shape>
            </v:group>
            <v:group style="position:absolute;left:3977;top:10;width:1345;height:2" coordorigin="3977,10" coordsize="1345,2">
              <v:shape style="position:absolute;left:3977;top:10;width:1345;height:2" coordorigin="3977,10" coordsize="1345,0" path="m3977,10l5322,10e" filled="false" stroked="true" strokeweight=".96002pt" strokecolor="#41b7ee">
                <v:path arrowok="t"/>
              </v:shape>
            </v:group>
            <v:group style="position:absolute;left:5322;top:10;width:58;height:2" coordorigin="5322,10" coordsize="58,2">
              <v:shape style="position:absolute;left:5322;top:10;width:58;height:2" coordorigin="5322,10" coordsize="58,0" path="m5322,10l5379,10e" filled="false" stroked="true" strokeweight=".96002pt" strokecolor="#41b7ee">
                <v:path arrowok="t"/>
              </v:shape>
            </v:group>
            <v:group style="position:absolute;left:5379;top:10;width:2120;height:2" coordorigin="5379,10" coordsize="2120,2">
              <v:shape style="position:absolute;left:5379;top:10;width:2120;height:2" coordorigin="5379,10" coordsize="2120,0" path="m5379,10l7499,10e" filled="false" stroked="true" strokeweight=".96002pt" strokecolor="#41b7ee">
                <v:path arrowok="t"/>
              </v:shape>
            </v:group>
            <v:group style="position:absolute;left:7499;top:10;width:58;height:2" coordorigin="7499,10" coordsize="58,2">
              <v:shape style="position:absolute;left:7499;top:10;width:58;height:2" coordorigin="7499,10" coordsize="58,0" path="m7499,10l7557,10e" filled="false" stroked="true" strokeweight=".96002pt" strokecolor="#41b7ee">
                <v:path arrowok="t"/>
              </v:shape>
            </v:group>
            <v:group style="position:absolute;left:7557;top:10;width:1344;height:2" coordorigin="7557,10" coordsize="1344,2">
              <v:shape style="position:absolute;left:7557;top:10;width:1344;height:2" coordorigin="7557,10" coordsize="1344,0" path="m7557,10l8901,10e" filled="false" stroked="true" strokeweight=".96002pt" strokecolor="#41b7ee">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17"/>
          <w:pgSz w:w="11910" w:h="16840"/>
          <w:pgMar w:footer="1195" w:header="0" w:top="1360" w:bottom="1380" w:left="1640" w:right="1060"/>
          <w:pgNumType w:start="24"/>
        </w:sectPr>
      </w:pPr>
    </w:p>
    <w:p>
      <w:pPr>
        <w:spacing w:line="240" w:lineRule="auto" w:before="10"/>
        <w:rPr>
          <w:rFonts w:ascii="宋体" w:hAnsi="宋体" w:cs="宋体" w:eastAsia="宋体" w:hint="default"/>
          <w:sz w:val="11"/>
          <w:szCs w:val="11"/>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1112;height:2" coordorigin="10,10" coordsize="1112,2">
              <v:shape style="position:absolute;left:10;top:10;width:1112;height:2" coordorigin="10,10" coordsize="1112,0" path="m10,10l1121,10e" filled="false" stroked="true" strokeweight=".96001pt" strokecolor="#41b7ee">
                <v:path arrowok="t"/>
              </v:shape>
            </v:group>
            <v:group style="position:absolute;left:1121;top:10;width:58;height:2" coordorigin="1121,10" coordsize="58,2">
              <v:shape style="position:absolute;left:1121;top:10;width:58;height:2" coordorigin="1121,10" coordsize="58,0" path="m1121,10l1178,10e" filled="false" stroked="true" strokeweight=".96001pt" strokecolor="#41b7ee">
                <v:path arrowok="t"/>
              </v:shape>
            </v:group>
            <v:group style="position:absolute;left:1178;top:10;width:1345;height:2" coordorigin="1178,10" coordsize="1345,2">
              <v:shape style="position:absolute;left:1178;top:10;width:1345;height:2" coordorigin="1178,10" coordsize="1345,0" path="m1178,10l2523,10e" filled="false" stroked="true" strokeweight=".96001pt" strokecolor="#41b7ee">
                <v:path arrowok="t"/>
              </v:shape>
            </v:group>
            <v:group style="position:absolute;left:2523;top:10;width:58;height:2" coordorigin="2523,10" coordsize="58,2">
              <v:shape style="position:absolute;left:2523;top:10;width:58;height:2" coordorigin="2523,10" coordsize="58,0" path="m2523,10l2581,10e" filled="false" stroked="true" strokeweight=".96001pt" strokecolor="#41b7ee">
                <v:path arrowok="t"/>
              </v:shape>
            </v:group>
            <v:group style="position:absolute;left:2581;top:10;width:1340;height:2" coordorigin="2581,10" coordsize="1340,2">
              <v:shape style="position:absolute;left:2581;top:10;width:1340;height:2" coordorigin="2581,10" coordsize="1340,0" path="m2581,10l3920,10e" filled="false" stroked="true" strokeweight=".96001pt" strokecolor="#41b7ee">
                <v:path arrowok="t"/>
              </v:shape>
            </v:group>
            <v:group style="position:absolute;left:3920;top:10;width:58;height:2" coordorigin="3920,10" coordsize="58,2">
              <v:shape style="position:absolute;left:3920;top:10;width:58;height:2" coordorigin="3920,10" coordsize="58,0" path="m3920,10l3977,10e" filled="false" stroked="true" strokeweight=".96001pt" strokecolor="#41b7ee">
                <v:path arrowok="t"/>
              </v:shape>
            </v:group>
            <v:group style="position:absolute;left:3977;top:10;width:1345;height:2" coordorigin="3977,10" coordsize="1345,2">
              <v:shape style="position:absolute;left:3977;top:10;width:1345;height:2" coordorigin="3977,10" coordsize="1345,0" path="m3977,10l5322,10e" filled="false" stroked="true" strokeweight=".96001pt" strokecolor="#41b7ee">
                <v:path arrowok="t"/>
              </v:shape>
            </v:group>
            <v:group style="position:absolute;left:5322;top:10;width:58;height:2" coordorigin="5322,10" coordsize="58,2">
              <v:shape style="position:absolute;left:5322;top:10;width:58;height:2" coordorigin="5322,10" coordsize="58,0" path="m5322,10l5379,10e" filled="false" stroked="true" strokeweight=".96001pt" strokecolor="#41b7ee">
                <v:path arrowok="t"/>
              </v:shape>
            </v:group>
            <v:group style="position:absolute;left:5379;top:10;width:2120;height:2" coordorigin="5379,10" coordsize="2120,2">
              <v:shape style="position:absolute;left:5379;top:10;width:2120;height:2" coordorigin="5379,10" coordsize="2120,0" path="m5379,10l7499,10e" filled="false" stroked="true" strokeweight=".96001pt" strokecolor="#41b7ee">
                <v:path arrowok="t"/>
              </v:shape>
            </v:group>
            <v:group style="position:absolute;left:7499;top:10;width:58;height:2" coordorigin="7499,10" coordsize="58,2">
              <v:shape style="position:absolute;left:7499;top:10;width:58;height:2" coordorigin="7499,10" coordsize="58,0" path="m7499,10l7557,10e" filled="false" stroked="true" strokeweight=".96001pt" strokecolor="#41b7ee">
                <v:path arrowok="t"/>
              </v:shape>
            </v:group>
            <v:group style="position:absolute;left:7557;top:10;width:1344;height:2" coordorigin="7557,10" coordsize="1344,2">
              <v:shape style="position:absolute;left:7557;top:10;width:1344;height:2" coordorigin="7557,10" coordsize="1344,0" path="m7557,10l8901,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1116"/>
        <w:gridCol w:w="1402"/>
        <w:gridCol w:w="1397"/>
        <w:gridCol w:w="1402"/>
        <w:gridCol w:w="2177"/>
        <w:gridCol w:w="1397"/>
      </w:tblGrid>
      <w:tr>
        <w:trPr>
          <w:trHeight w:val="365" w:hRule="exact"/>
        </w:trPr>
        <w:tc>
          <w:tcPr>
            <w:tcW w:w="1116" w:type="dxa"/>
            <w:vMerge w:val="restart"/>
            <w:tcBorders>
              <w:top w:val="single" w:sz="8" w:space="0" w:color="41B7EE"/>
              <w:left w:val="nil" w:sz="6" w:space="0" w:color="auto"/>
              <w:right w:val="single" w:sz="4" w:space="0" w:color="41B7EE"/>
            </w:tcBorders>
          </w:tcPr>
          <w:p>
            <w:pPr>
              <w:pStyle w:val="TableParagraph"/>
              <w:spacing w:line="272" w:lineRule="exact" w:before="176"/>
              <w:ind w:left="28" w:right="26"/>
              <w:jc w:val="left"/>
              <w:rPr>
                <w:rFonts w:ascii="宋体" w:hAnsi="宋体" w:cs="宋体" w:eastAsia="宋体" w:hint="default"/>
                <w:sz w:val="21"/>
                <w:szCs w:val="21"/>
              </w:rPr>
            </w:pPr>
            <w:r>
              <w:rPr>
                <w:rFonts w:ascii="宋体" w:hAnsi="宋体" w:cs="宋体" w:eastAsia="宋体" w:hint="default"/>
                <w:sz w:val="21"/>
                <w:szCs w:val="21"/>
              </w:rPr>
              <w:t>其他流动资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产</w:t>
            </w:r>
          </w:p>
        </w:tc>
        <w:tc>
          <w:tcPr>
            <w:tcW w:w="1402"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7"/>
              <w:ind w:left="21"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397"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53"/>
              <w:ind w:right="20"/>
              <w:jc w:val="right"/>
              <w:rPr>
                <w:rFonts w:ascii="Arial" w:hAnsi="Arial" w:cs="Arial" w:eastAsia="Arial" w:hint="default"/>
                <w:sz w:val="21"/>
                <w:szCs w:val="21"/>
              </w:rPr>
            </w:pPr>
            <w:r>
              <w:rPr>
                <w:rFonts w:ascii="Arial"/>
                <w:spacing w:val="-2"/>
                <w:w w:val="80"/>
                <w:sz w:val="21"/>
              </w:rPr>
              <w:t>26,919,016.78</w:t>
            </w:r>
            <w:r>
              <w:rPr>
                <w:rFonts w:ascii="Arial"/>
                <w:sz w:val="21"/>
              </w:rPr>
            </w:r>
          </w:p>
        </w:tc>
        <w:tc>
          <w:tcPr>
            <w:tcW w:w="1402"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7"/>
              <w:ind w:left="2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177"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7"/>
              <w:ind w:left="21"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397"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53"/>
              <w:ind w:right="24"/>
              <w:jc w:val="right"/>
              <w:rPr>
                <w:rFonts w:ascii="Arial" w:hAnsi="Arial" w:cs="Arial" w:eastAsia="Arial" w:hint="default"/>
                <w:sz w:val="21"/>
                <w:szCs w:val="21"/>
              </w:rPr>
            </w:pPr>
            <w:r>
              <w:rPr>
                <w:rFonts w:ascii="Arial"/>
                <w:spacing w:val="-2"/>
                <w:w w:val="80"/>
                <w:sz w:val="21"/>
              </w:rPr>
              <w:t>26,919,016.78</w:t>
            </w:r>
            <w:r>
              <w:rPr>
                <w:rFonts w:ascii="Arial"/>
                <w:sz w:val="21"/>
              </w:rPr>
            </w:r>
          </w:p>
        </w:tc>
      </w:tr>
      <w:tr>
        <w:trPr>
          <w:trHeight w:val="554" w:hRule="exact"/>
        </w:trPr>
        <w:tc>
          <w:tcPr>
            <w:tcW w:w="1116" w:type="dxa"/>
            <w:vMerge/>
            <w:tcBorders>
              <w:left w:val="nil" w:sz="6" w:space="0" w:color="auto"/>
              <w:bottom w:val="single" w:sz="4" w:space="0" w:color="41B7EE"/>
              <w:right w:val="single" w:sz="4" w:space="0" w:color="41B7EE"/>
            </w:tcBorders>
          </w:tcPr>
          <w:p>
            <w:pPr/>
          </w:p>
        </w:tc>
        <w:tc>
          <w:tcPr>
            <w:tcW w:w="140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39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20"/>
              <w:jc w:val="right"/>
              <w:rPr>
                <w:rFonts w:ascii="Arial" w:hAnsi="Arial" w:cs="Arial" w:eastAsia="Arial" w:hint="default"/>
                <w:sz w:val="21"/>
                <w:szCs w:val="21"/>
              </w:rPr>
            </w:pPr>
            <w:r>
              <w:rPr>
                <w:rFonts w:ascii="Arial"/>
                <w:spacing w:val="-2"/>
                <w:w w:val="80"/>
                <w:sz w:val="21"/>
              </w:rPr>
              <w:t>2,135,693,612.21</w:t>
            </w:r>
            <w:r>
              <w:rPr>
                <w:rFonts w:ascii="Arial"/>
                <w:sz w:val="21"/>
              </w:rPr>
            </w:r>
          </w:p>
        </w:tc>
        <w:tc>
          <w:tcPr>
            <w:tcW w:w="1402" w:type="dxa"/>
            <w:tcBorders>
              <w:top w:val="single" w:sz="4" w:space="0" w:color="41B7EE"/>
              <w:left w:val="single" w:sz="4" w:space="0" w:color="41B7EE"/>
              <w:bottom w:val="single" w:sz="4" w:space="0" w:color="41B7EE"/>
              <w:right w:val="single" w:sz="4" w:space="0" w:color="41B7EE"/>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交易性金融资</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2177" w:type="dxa"/>
            <w:tcBorders>
              <w:top w:val="single" w:sz="4" w:space="0" w:color="41B7EE"/>
              <w:left w:val="single" w:sz="4" w:space="0" w:color="41B7EE"/>
              <w:bottom w:val="single" w:sz="4" w:space="0" w:color="41B7EE"/>
              <w:right w:val="single" w:sz="4" w:space="0" w:color="41B7EE"/>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动计入当期损益</w:t>
            </w:r>
          </w:p>
        </w:tc>
        <w:tc>
          <w:tcPr>
            <w:tcW w:w="139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6"/>
              <w:ind w:right="25"/>
              <w:jc w:val="right"/>
              <w:rPr>
                <w:rFonts w:ascii="Arial" w:hAnsi="Arial" w:cs="Arial" w:eastAsia="Arial" w:hint="default"/>
                <w:sz w:val="21"/>
                <w:szCs w:val="21"/>
              </w:rPr>
            </w:pPr>
            <w:r>
              <w:rPr>
                <w:rFonts w:ascii="Arial"/>
                <w:spacing w:val="-2"/>
                <w:w w:val="80"/>
                <w:sz w:val="21"/>
              </w:rPr>
              <w:t>2,135,693,612.21</w:t>
            </w:r>
            <w:r>
              <w:rPr>
                <w:rFonts w:ascii="Arial"/>
                <w:sz w:val="21"/>
              </w:rPr>
            </w:r>
          </w:p>
        </w:tc>
      </w:tr>
      <w:tr>
        <w:trPr>
          <w:trHeight w:val="554" w:hRule="exact"/>
        </w:trPr>
        <w:tc>
          <w:tcPr>
            <w:tcW w:w="111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02"/>
              <w:ind w:left="28"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40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39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20"/>
              <w:jc w:val="right"/>
              <w:rPr>
                <w:rFonts w:ascii="Arial" w:hAnsi="Arial" w:cs="Arial" w:eastAsia="Arial" w:hint="default"/>
                <w:sz w:val="21"/>
                <w:szCs w:val="21"/>
              </w:rPr>
            </w:pPr>
            <w:r>
              <w:rPr>
                <w:rFonts w:ascii="Arial"/>
                <w:spacing w:val="-2"/>
                <w:w w:val="80"/>
                <w:sz w:val="21"/>
              </w:rPr>
              <w:t>9,858,946.90</w:t>
            </w:r>
            <w:r>
              <w:rPr>
                <w:rFonts w:ascii="Arial"/>
                <w:sz w:val="21"/>
              </w:rPr>
            </w:r>
          </w:p>
        </w:tc>
        <w:tc>
          <w:tcPr>
            <w:tcW w:w="1402" w:type="dxa"/>
            <w:tcBorders>
              <w:top w:val="single" w:sz="4" w:space="0" w:color="41B7EE"/>
              <w:left w:val="single" w:sz="4" w:space="0" w:color="41B7EE"/>
              <w:bottom w:val="single" w:sz="4" w:space="0" w:color="41B7EE"/>
              <w:right w:val="single" w:sz="4" w:space="0" w:color="41B7EE"/>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交易性金融资</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2177" w:type="dxa"/>
            <w:tcBorders>
              <w:top w:val="single" w:sz="4" w:space="0" w:color="41B7EE"/>
              <w:left w:val="single" w:sz="4" w:space="0" w:color="41B7EE"/>
              <w:bottom w:val="single" w:sz="4" w:space="0" w:color="41B7EE"/>
              <w:right w:val="single" w:sz="4" w:space="0" w:color="41B7EE"/>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动计入当期损益</w:t>
            </w:r>
          </w:p>
        </w:tc>
        <w:tc>
          <w:tcPr>
            <w:tcW w:w="139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8"/>
              <w:ind w:right="24"/>
              <w:jc w:val="right"/>
              <w:rPr>
                <w:rFonts w:ascii="Arial" w:hAnsi="Arial" w:cs="Arial" w:eastAsia="Arial" w:hint="default"/>
                <w:sz w:val="21"/>
                <w:szCs w:val="21"/>
              </w:rPr>
            </w:pPr>
            <w:r>
              <w:rPr>
                <w:rFonts w:ascii="Arial"/>
                <w:spacing w:val="-2"/>
                <w:w w:val="80"/>
                <w:sz w:val="21"/>
              </w:rPr>
              <w:t>9,858,946.90</w:t>
            </w:r>
            <w:r>
              <w:rPr>
                <w:rFonts w:ascii="Arial"/>
                <w:sz w:val="21"/>
              </w:rPr>
            </w:r>
          </w:p>
        </w:tc>
      </w:tr>
      <w:tr>
        <w:trPr>
          <w:trHeight w:val="554" w:hRule="exact"/>
        </w:trPr>
        <w:tc>
          <w:tcPr>
            <w:tcW w:w="1116" w:type="dxa"/>
            <w:vMerge w:val="restart"/>
            <w:tcBorders>
              <w:top w:val="single" w:sz="4" w:space="0" w:color="41B7EE"/>
              <w:left w:val="nil" w:sz="6" w:space="0" w:color="auto"/>
              <w:right w:val="single" w:sz="4" w:space="0" w:color="41B7EE"/>
            </w:tcBorders>
          </w:tcPr>
          <w:p>
            <w:pPr>
              <w:pStyle w:val="TableParagraph"/>
              <w:spacing w:line="272" w:lineRule="exact" w:before="173"/>
              <w:ind w:left="28" w:right="26"/>
              <w:jc w:val="left"/>
              <w:rPr>
                <w:rFonts w:ascii="宋体" w:hAnsi="宋体" w:cs="宋体" w:eastAsia="宋体" w:hint="default"/>
                <w:sz w:val="21"/>
                <w:szCs w:val="21"/>
              </w:rPr>
            </w:pPr>
            <w:r>
              <w:rPr>
                <w:rFonts w:ascii="宋体" w:hAnsi="宋体" w:cs="宋体" w:eastAsia="宋体" w:hint="default"/>
                <w:sz w:val="21"/>
                <w:szCs w:val="21"/>
              </w:rPr>
              <w:t>可供出售金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融资产</w:t>
            </w:r>
          </w:p>
        </w:tc>
        <w:tc>
          <w:tcPr>
            <w:tcW w:w="1402" w:type="dxa"/>
            <w:vMerge w:val="restart"/>
            <w:tcBorders>
              <w:top w:val="single" w:sz="4" w:space="0" w:color="41B7EE"/>
              <w:left w:val="single" w:sz="4" w:space="0" w:color="41B7EE"/>
              <w:right w:val="single" w:sz="4" w:space="0" w:color="41B7EE"/>
            </w:tcBorders>
          </w:tcPr>
          <w:p>
            <w:pPr>
              <w:pStyle w:val="TableParagraph"/>
              <w:spacing w:line="273" w:lineRule="exact" w:before="146"/>
              <w:ind w:left="21" w:right="0"/>
              <w:jc w:val="left"/>
              <w:rPr>
                <w:rFonts w:ascii="宋体" w:hAnsi="宋体" w:cs="宋体" w:eastAsia="宋体" w:hint="default"/>
                <w:sz w:val="21"/>
                <w:szCs w:val="21"/>
              </w:rPr>
            </w:pPr>
            <w:r>
              <w:rPr>
                <w:rFonts w:ascii="宋体" w:hAnsi="宋体" w:cs="宋体" w:eastAsia="宋体" w:hint="default"/>
                <w:sz w:val="21"/>
                <w:szCs w:val="21"/>
              </w:rPr>
              <w:t>以成本计量</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（权益工具）</w:t>
            </w:r>
          </w:p>
        </w:tc>
        <w:tc>
          <w:tcPr>
            <w:tcW w:w="1397" w:type="dxa"/>
            <w:vMerge w:val="restart"/>
            <w:tcBorders>
              <w:top w:val="single" w:sz="4" w:space="0" w:color="41B7EE"/>
              <w:left w:val="single" w:sz="4" w:space="0" w:color="41B7EE"/>
              <w:right w:val="single" w:sz="4" w:space="0" w:color="41B7EE"/>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61" w:right="0"/>
              <w:jc w:val="left"/>
              <w:rPr>
                <w:rFonts w:ascii="Arial" w:hAnsi="Arial" w:cs="Arial" w:eastAsia="Arial" w:hint="default"/>
                <w:sz w:val="21"/>
                <w:szCs w:val="21"/>
              </w:rPr>
            </w:pPr>
            <w:r>
              <w:rPr>
                <w:rFonts w:ascii="Arial"/>
                <w:w w:val="80"/>
                <w:sz w:val="21"/>
              </w:rPr>
              <w:t>21,000,000.00</w:t>
            </w:r>
            <w:r>
              <w:rPr>
                <w:rFonts w:ascii="Arial"/>
                <w:sz w:val="21"/>
              </w:rPr>
            </w:r>
          </w:p>
        </w:tc>
        <w:tc>
          <w:tcPr>
            <w:tcW w:w="1402" w:type="dxa"/>
            <w:tcBorders>
              <w:top w:val="single" w:sz="4" w:space="0" w:color="41B7EE"/>
              <w:left w:val="single" w:sz="4" w:space="0" w:color="41B7EE"/>
              <w:bottom w:val="single" w:sz="4" w:space="0" w:color="41B7EE"/>
              <w:right w:val="single" w:sz="4" w:space="0" w:color="41B7EE"/>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其他权益工具</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2177" w:type="dxa"/>
            <w:tcBorders>
              <w:top w:val="single" w:sz="4" w:space="0" w:color="41B7EE"/>
              <w:left w:val="single" w:sz="4" w:space="0" w:color="41B7EE"/>
              <w:bottom w:val="single" w:sz="4" w:space="0" w:color="41B7EE"/>
              <w:right w:val="single" w:sz="4" w:space="0" w:color="41B7EE"/>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动计入其他综合收益</w:t>
            </w:r>
          </w:p>
        </w:tc>
        <w:tc>
          <w:tcPr>
            <w:tcW w:w="139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8"/>
              <w:ind w:right="24"/>
              <w:jc w:val="right"/>
              <w:rPr>
                <w:rFonts w:ascii="Arial" w:hAnsi="Arial" w:cs="Arial" w:eastAsia="Arial" w:hint="default"/>
                <w:sz w:val="21"/>
                <w:szCs w:val="21"/>
              </w:rPr>
            </w:pPr>
            <w:r>
              <w:rPr>
                <w:rFonts w:ascii="Arial"/>
                <w:spacing w:val="-2"/>
                <w:w w:val="80"/>
                <w:sz w:val="21"/>
              </w:rPr>
              <w:t>20,258,493.06</w:t>
            </w:r>
            <w:r>
              <w:rPr>
                <w:rFonts w:ascii="Arial"/>
                <w:sz w:val="21"/>
              </w:rPr>
            </w:r>
          </w:p>
        </w:tc>
      </w:tr>
      <w:tr>
        <w:trPr>
          <w:trHeight w:val="384" w:hRule="exact"/>
        </w:trPr>
        <w:tc>
          <w:tcPr>
            <w:tcW w:w="1116" w:type="dxa"/>
            <w:vMerge/>
            <w:tcBorders>
              <w:left w:val="nil" w:sz="6" w:space="0" w:color="auto"/>
              <w:bottom w:val="single" w:sz="23" w:space="0" w:color="41B7EE"/>
              <w:right w:val="single" w:sz="4" w:space="0" w:color="41B7EE"/>
            </w:tcBorders>
          </w:tcPr>
          <w:p>
            <w:pPr/>
          </w:p>
        </w:tc>
        <w:tc>
          <w:tcPr>
            <w:tcW w:w="1402" w:type="dxa"/>
            <w:vMerge/>
            <w:tcBorders>
              <w:left w:val="single" w:sz="4" w:space="0" w:color="41B7EE"/>
              <w:bottom w:val="single" w:sz="23" w:space="0" w:color="41B7EE"/>
              <w:right w:val="single" w:sz="4" w:space="0" w:color="41B7EE"/>
            </w:tcBorders>
          </w:tcPr>
          <w:p>
            <w:pPr/>
          </w:p>
        </w:tc>
        <w:tc>
          <w:tcPr>
            <w:tcW w:w="1397" w:type="dxa"/>
            <w:vMerge/>
            <w:tcBorders>
              <w:left w:val="single" w:sz="4" w:space="0" w:color="41B7EE"/>
              <w:bottom w:val="single" w:sz="23" w:space="0" w:color="41B7EE"/>
              <w:right w:val="single" w:sz="4" w:space="0" w:color="41B7EE"/>
            </w:tcBorders>
          </w:tcPr>
          <w:p>
            <w:pPr/>
          </w:p>
        </w:tc>
        <w:tc>
          <w:tcPr>
            <w:tcW w:w="1402"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177"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2"/>
              <w:ind w:left="21" w:right="0"/>
              <w:jc w:val="left"/>
              <w:rPr>
                <w:rFonts w:ascii="宋体" w:hAnsi="宋体" w:cs="宋体" w:eastAsia="宋体" w:hint="default"/>
                <w:sz w:val="21"/>
                <w:szCs w:val="21"/>
              </w:rPr>
            </w:pPr>
            <w:r>
              <w:rPr>
                <w:rFonts w:ascii="宋体"/>
                <w:w w:val="100"/>
                <w:sz w:val="21"/>
              </w:rPr>
              <w:t> </w:t>
            </w:r>
          </w:p>
        </w:tc>
        <w:tc>
          <w:tcPr>
            <w:tcW w:w="1397"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50"/>
              <w:ind w:right="24"/>
              <w:jc w:val="right"/>
              <w:rPr>
                <w:rFonts w:ascii="Arial" w:hAnsi="Arial" w:cs="Arial" w:eastAsia="Arial" w:hint="default"/>
                <w:sz w:val="21"/>
                <w:szCs w:val="21"/>
              </w:rPr>
            </w:pPr>
            <w:r>
              <w:rPr>
                <w:rFonts w:ascii="Arial"/>
                <w:spacing w:val="-2"/>
                <w:w w:val="80"/>
                <w:sz w:val="21"/>
              </w:rPr>
              <w:t>-741,506.94</w:t>
            </w:r>
            <w:r>
              <w:rPr>
                <w:rFonts w:ascii="Arial"/>
                <w:sz w:val="21"/>
              </w:rPr>
            </w:r>
          </w:p>
        </w:tc>
      </w:tr>
    </w:tbl>
    <w:p>
      <w:pPr>
        <w:pStyle w:val="BodyText"/>
        <w:spacing w:line="264" w:lineRule="auto" w:before="30"/>
        <w:ind w:left="158" w:right="0" w:firstLine="419"/>
        <w:jc w:val="left"/>
      </w:pPr>
      <w:r>
        <w:rPr>
          <w:spacing w:val="-4"/>
        </w:rPr>
        <w:t>（</w:t>
      </w:r>
      <w:r>
        <w:rPr>
          <w:rFonts w:ascii="Arial" w:hAnsi="Arial" w:cs="Arial" w:eastAsia="Arial" w:hint="default"/>
          <w:spacing w:val="-4"/>
        </w:rPr>
        <w:t>2</w:t>
      </w:r>
      <w:r>
        <w:rPr>
          <w:spacing w:val="-4"/>
        </w:rPr>
        <w:t>）首次执行日，原金融资产账面价值调整为按照新金融工具准则的规定进行分类和计量的</w:t>
      </w:r>
      <w:r>
        <w:rPr>
          <w:w w:val="100"/>
        </w:rPr>
        <w:t> </w:t>
      </w:r>
      <w:r>
        <w:rPr/>
        <w:t>新金融资产账面价值的调节表</w:t>
      </w:r>
    </w:p>
    <w:p>
      <w:pPr>
        <w:pStyle w:val="BodyText"/>
        <w:spacing w:line="240" w:lineRule="auto" w:before="25"/>
        <w:ind w:left="578" w:right="0"/>
        <w:jc w:val="left"/>
        <w:rPr>
          <w:rFonts w:ascii="宋体" w:hAnsi="宋体" w:cs="宋体" w:eastAsia="宋体" w:hint="default"/>
        </w:rPr>
      </w:pPr>
      <w:r>
        <w:rPr/>
        <w:t>①对合并报表的影响                                         </w:t>
      </w:r>
      <w:r>
        <w:rPr>
          <w:rFonts w:ascii="宋体" w:hAnsi="宋体" w:cs="宋体" w:eastAsia="宋体" w:hint="default"/>
        </w:rPr>
      </w:r>
      <w:r>
        <w:rPr>
          <w:spacing w:val="-13"/>
        </w:rPr>
        <w:t>单位：元 </w:t>
      </w:r>
      <w:r>
        <w:rPr>
          <w:spacing w:val="19"/>
        </w:rPr>
        <w:t> </w:t>
      </w:r>
      <w:r>
        <w:rPr>
          <w:rFonts w:ascii="宋体" w:hAnsi="宋体" w:cs="宋体" w:eastAsia="宋体" w:hint="default"/>
          <w:spacing w:val="19"/>
        </w:rPr>
      </w:r>
      <w:r>
        <w:rPr>
          <w:spacing w:val="-10"/>
        </w:rPr>
        <w:t>币别：人民币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541"/>
        <w:gridCol w:w="1397"/>
        <w:gridCol w:w="1399"/>
        <w:gridCol w:w="1157"/>
        <w:gridCol w:w="1397"/>
      </w:tblGrid>
      <w:tr>
        <w:trPr>
          <w:trHeight w:val="581" w:hRule="exact"/>
        </w:trPr>
        <w:tc>
          <w:tcPr>
            <w:tcW w:w="3541"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105"/>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97" w:type="dxa"/>
            <w:tcBorders>
              <w:top w:val="single" w:sz="23" w:space="0" w:color="41B7EE"/>
              <w:left w:val="single" w:sz="4" w:space="0" w:color="41B7EE"/>
              <w:bottom w:val="single" w:sz="4" w:space="0" w:color="41B7EE"/>
              <w:right w:val="single" w:sz="4" w:space="0" w:color="41B7EE"/>
            </w:tcBorders>
          </w:tcPr>
          <w:p>
            <w:pPr>
              <w:pStyle w:val="TableParagraph"/>
              <w:spacing w:line="250" w:lineRule="exact"/>
              <w:ind w:left="67" w:right="0"/>
              <w:jc w:val="left"/>
              <w:rPr>
                <w:rFonts w:ascii="Arial" w:hAnsi="Arial" w:cs="Arial" w:eastAsia="Arial" w:hint="default"/>
                <w:sz w:val="21"/>
                <w:szCs w:val="21"/>
              </w:rPr>
            </w:pPr>
            <w:r>
              <w:rPr>
                <w:rFonts w:ascii="Arial" w:hAnsi="Arial" w:cs="Arial" w:eastAsia="Arial" w:hint="default"/>
                <w:spacing w:val="-10"/>
                <w:w w:val="95"/>
                <w:sz w:val="21"/>
                <w:szCs w:val="21"/>
              </w:rPr>
              <w:t>2018</w:t>
            </w:r>
            <w:r>
              <w:rPr>
                <w:rFonts w:ascii="Arial" w:hAnsi="Arial" w:cs="Arial" w:eastAsia="Arial" w:hint="default"/>
                <w:spacing w:val="-41"/>
                <w:w w:val="95"/>
                <w:sz w:val="21"/>
                <w:szCs w:val="21"/>
              </w:rPr>
              <w:t> </w:t>
            </w:r>
            <w:r>
              <w:rPr>
                <w:rFonts w:ascii="宋体" w:hAnsi="宋体" w:cs="宋体" w:eastAsia="宋体" w:hint="default"/>
                <w:w w:val="95"/>
                <w:sz w:val="21"/>
                <w:szCs w:val="21"/>
              </w:rPr>
              <w:t>年</w:t>
            </w:r>
            <w:r>
              <w:rPr>
                <w:rFonts w:ascii="宋体" w:hAnsi="宋体" w:cs="宋体" w:eastAsia="宋体" w:hint="default"/>
                <w:spacing w:val="-89"/>
                <w:w w:val="95"/>
                <w:sz w:val="21"/>
                <w:szCs w:val="21"/>
              </w:rPr>
              <w:t> </w:t>
            </w:r>
            <w:r>
              <w:rPr>
                <w:rFonts w:ascii="Arial" w:hAnsi="Arial" w:cs="Arial" w:eastAsia="Arial" w:hint="default"/>
                <w:spacing w:val="-7"/>
                <w:w w:val="95"/>
                <w:sz w:val="21"/>
                <w:szCs w:val="21"/>
              </w:rPr>
              <w:t>12</w:t>
            </w:r>
            <w:r>
              <w:rPr>
                <w:rFonts w:ascii="Arial" w:hAnsi="Arial" w:cs="Arial" w:eastAsia="Arial" w:hint="default"/>
                <w:spacing w:val="-41"/>
                <w:w w:val="95"/>
                <w:sz w:val="21"/>
                <w:szCs w:val="21"/>
              </w:rPr>
              <w:t> </w:t>
            </w:r>
            <w:r>
              <w:rPr>
                <w:rFonts w:ascii="宋体" w:hAnsi="宋体" w:cs="宋体" w:eastAsia="宋体" w:hint="default"/>
                <w:w w:val="95"/>
                <w:sz w:val="21"/>
                <w:szCs w:val="21"/>
              </w:rPr>
              <w:t>月</w:t>
            </w:r>
            <w:r>
              <w:rPr>
                <w:rFonts w:ascii="宋体" w:hAnsi="宋体" w:cs="宋体" w:eastAsia="宋体" w:hint="default"/>
                <w:spacing w:val="-88"/>
                <w:w w:val="95"/>
                <w:sz w:val="21"/>
                <w:szCs w:val="21"/>
              </w:rPr>
              <w:t> </w:t>
            </w:r>
            <w:r>
              <w:rPr>
                <w:rFonts w:ascii="Arial" w:hAnsi="Arial" w:cs="Arial" w:eastAsia="Arial" w:hint="default"/>
                <w:spacing w:val="-16"/>
                <w:w w:val="95"/>
                <w:sz w:val="21"/>
                <w:szCs w:val="21"/>
              </w:rPr>
              <w:t>31</w:t>
            </w:r>
            <w:r>
              <w:rPr>
                <w:rFonts w:ascii="Arial" w:hAnsi="Arial" w:cs="Arial" w:eastAsia="Arial" w:hint="default"/>
                <w:sz w:val="21"/>
                <w:szCs w:val="21"/>
              </w:rPr>
            </w:r>
          </w:p>
          <w:p>
            <w:pPr>
              <w:pStyle w:val="TableParagraph"/>
              <w:spacing w:line="267" w:lineRule="exact"/>
              <w:ind w:left="124" w:right="0"/>
              <w:jc w:val="left"/>
              <w:rPr>
                <w:rFonts w:ascii="宋体" w:hAnsi="宋体" w:cs="宋体" w:eastAsia="宋体" w:hint="default"/>
                <w:sz w:val="21"/>
                <w:szCs w:val="21"/>
              </w:rPr>
            </w:pPr>
            <w:r>
              <w:rPr>
                <w:rFonts w:ascii="宋体" w:hAnsi="宋体" w:cs="宋体" w:eastAsia="宋体" w:hint="default"/>
                <w:spacing w:val="-18"/>
                <w:sz w:val="21"/>
                <w:szCs w:val="21"/>
              </w:rPr>
              <w:t>日（变更前）</w:t>
            </w:r>
          </w:p>
        </w:tc>
        <w:tc>
          <w:tcPr>
            <w:tcW w:w="1399"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105"/>
              <w:ind w:left="407" w:right="0"/>
              <w:jc w:val="left"/>
              <w:rPr>
                <w:rFonts w:ascii="宋体" w:hAnsi="宋体" w:cs="宋体" w:eastAsia="宋体" w:hint="default"/>
                <w:sz w:val="21"/>
                <w:szCs w:val="21"/>
              </w:rPr>
            </w:pPr>
            <w:r>
              <w:rPr>
                <w:rFonts w:ascii="宋体" w:hAnsi="宋体" w:cs="宋体" w:eastAsia="宋体" w:hint="default"/>
                <w:spacing w:val="-14"/>
                <w:sz w:val="21"/>
                <w:szCs w:val="21"/>
              </w:rPr>
              <w:t>重分类</w:t>
            </w:r>
          </w:p>
        </w:tc>
        <w:tc>
          <w:tcPr>
            <w:tcW w:w="1157"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105"/>
              <w:ind w:left="191" w:right="0"/>
              <w:jc w:val="left"/>
              <w:rPr>
                <w:rFonts w:ascii="宋体" w:hAnsi="宋体" w:cs="宋体" w:eastAsia="宋体" w:hint="default"/>
                <w:sz w:val="21"/>
                <w:szCs w:val="21"/>
              </w:rPr>
            </w:pPr>
            <w:r>
              <w:rPr>
                <w:rFonts w:ascii="宋体" w:hAnsi="宋体" w:cs="宋体" w:eastAsia="宋体" w:hint="default"/>
                <w:spacing w:val="-16"/>
                <w:sz w:val="21"/>
                <w:szCs w:val="21"/>
              </w:rPr>
              <w:t>重新计量</w:t>
            </w:r>
          </w:p>
        </w:tc>
        <w:tc>
          <w:tcPr>
            <w:tcW w:w="1397" w:type="dxa"/>
            <w:tcBorders>
              <w:top w:val="single" w:sz="23" w:space="0" w:color="41B7EE"/>
              <w:left w:val="single" w:sz="4" w:space="0" w:color="41B7EE"/>
              <w:bottom w:val="single" w:sz="4" w:space="0" w:color="41B7EE"/>
              <w:right w:val="nil" w:sz="6" w:space="0" w:color="auto"/>
            </w:tcBorders>
          </w:tcPr>
          <w:p>
            <w:pPr>
              <w:pStyle w:val="TableParagraph"/>
              <w:spacing w:line="250" w:lineRule="exact"/>
              <w:ind w:left="14" w:right="0"/>
              <w:jc w:val="center"/>
              <w:rPr>
                <w:rFonts w:ascii="宋体" w:hAnsi="宋体" w:cs="宋体" w:eastAsia="宋体" w:hint="default"/>
                <w:sz w:val="21"/>
                <w:szCs w:val="21"/>
              </w:rPr>
            </w:pPr>
            <w:r>
              <w:rPr>
                <w:rFonts w:ascii="Arial" w:hAnsi="Arial" w:cs="Arial" w:eastAsia="Arial" w:hint="default"/>
                <w:spacing w:val="-10"/>
                <w:w w:val="95"/>
                <w:sz w:val="21"/>
                <w:szCs w:val="21"/>
              </w:rPr>
              <w:t>2019</w:t>
            </w:r>
            <w:r>
              <w:rPr>
                <w:rFonts w:ascii="Arial" w:hAnsi="Arial" w:cs="Arial" w:eastAsia="Arial" w:hint="default"/>
                <w:spacing w:val="-30"/>
                <w:w w:val="95"/>
                <w:sz w:val="21"/>
                <w:szCs w:val="21"/>
              </w:rPr>
              <w:t> </w:t>
            </w:r>
            <w:r>
              <w:rPr>
                <w:rFonts w:ascii="宋体" w:hAnsi="宋体" w:cs="宋体" w:eastAsia="宋体" w:hint="default"/>
                <w:w w:val="95"/>
                <w:sz w:val="21"/>
                <w:szCs w:val="21"/>
              </w:rPr>
              <w:t>年</w:t>
            </w:r>
            <w:r>
              <w:rPr>
                <w:rFonts w:ascii="宋体" w:hAnsi="宋体" w:cs="宋体" w:eastAsia="宋体" w:hint="default"/>
                <w:spacing w:val="-81"/>
                <w:w w:val="95"/>
                <w:sz w:val="21"/>
                <w:szCs w:val="21"/>
              </w:rPr>
              <w:t> </w:t>
            </w:r>
            <w:r>
              <w:rPr>
                <w:rFonts w:ascii="Arial" w:hAnsi="Arial" w:cs="Arial" w:eastAsia="Arial" w:hint="default"/>
                <w:w w:val="95"/>
                <w:sz w:val="21"/>
                <w:szCs w:val="21"/>
              </w:rPr>
              <w:t>1</w:t>
            </w:r>
            <w:r>
              <w:rPr>
                <w:rFonts w:ascii="Arial" w:hAnsi="Arial" w:cs="Arial" w:eastAsia="Arial" w:hint="default"/>
                <w:spacing w:val="-30"/>
                <w:w w:val="95"/>
                <w:sz w:val="21"/>
                <w:szCs w:val="21"/>
              </w:rPr>
              <w:t> </w:t>
            </w:r>
            <w:r>
              <w:rPr>
                <w:rFonts w:ascii="宋体" w:hAnsi="宋体" w:cs="宋体" w:eastAsia="宋体" w:hint="default"/>
                <w:w w:val="95"/>
                <w:sz w:val="21"/>
                <w:szCs w:val="21"/>
              </w:rPr>
              <w:t>月</w:t>
            </w:r>
            <w:r>
              <w:rPr>
                <w:rFonts w:ascii="宋体" w:hAnsi="宋体" w:cs="宋体" w:eastAsia="宋体" w:hint="default"/>
                <w:spacing w:val="-80"/>
                <w:w w:val="95"/>
                <w:sz w:val="21"/>
                <w:szCs w:val="21"/>
              </w:rPr>
              <w:t> </w:t>
            </w:r>
            <w:r>
              <w:rPr>
                <w:rFonts w:ascii="Arial" w:hAnsi="Arial" w:cs="Arial" w:eastAsia="Arial" w:hint="default"/>
                <w:w w:val="95"/>
                <w:sz w:val="21"/>
                <w:szCs w:val="21"/>
              </w:rPr>
              <w:t>1</w:t>
            </w:r>
            <w:r>
              <w:rPr>
                <w:rFonts w:ascii="Arial" w:hAnsi="Arial" w:cs="Arial" w:eastAsia="Arial" w:hint="default"/>
                <w:spacing w:val="-30"/>
                <w:w w:val="95"/>
                <w:sz w:val="21"/>
                <w:szCs w:val="21"/>
              </w:rPr>
              <w:t> </w:t>
            </w:r>
            <w:r>
              <w:rPr>
                <w:rFonts w:ascii="宋体" w:hAnsi="宋体" w:cs="宋体" w:eastAsia="宋体" w:hint="default"/>
                <w:w w:val="95"/>
                <w:sz w:val="21"/>
                <w:szCs w:val="21"/>
              </w:rPr>
              <w:t>日</w:t>
            </w:r>
          </w:p>
          <w:p>
            <w:pPr>
              <w:pStyle w:val="TableParagraph"/>
              <w:spacing w:line="267" w:lineRule="exact"/>
              <w:ind w:left="12" w:right="0"/>
              <w:jc w:val="center"/>
              <w:rPr>
                <w:rFonts w:ascii="宋体" w:hAnsi="宋体" w:cs="宋体" w:eastAsia="宋体" w:hint="default"/>
                <w:sz w:val="21"/>
                <w:szCs w:val="21"/>
              </w:rPr>
            </w:pPr>
            <w:r>
              <w:rPr>
                <w:rFonts w:ascii="宋体" w:hAnsi="宋体" w:cs="宋体" w:eastAsia="宋体" w:hint="default"/>
                <w:spacing w:val="-18"/>
                <w:sz w:val="21"/>
                <w:szCs w:val="21"/>
              </w:rPr>
              <w:t>（变更后）</w:t>
            </w:r>
          </w:p>
        </w:tc>
      </w:tr>
      <w:tr>
        <w:trPr>
          <w:trHeight w:val="554"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b/>
                <w:bCs/>
                <w:w w:val="100"/>
                <w:sz w:val="21"/>
                <w:szCs w:val="21"/>
              </w:rPr>
              <w:t>一</w:t>
            </w:r>
            <w:r>
              <w:rPr>
                <w:rFonts w:ascii="宋体" w:hAnsi="宋体" w:cs="宋体" w:eastAsia="宋体" w:hint="default"/>
                <w:b/>
                <w:bCs/>
                <w:spacing w:val="-101"/>
                <w:w w:val="100"/>
                <w:sz w:val="21"/>
                <w:szCs w:val="21"/>
              </w:rPr>
              <w:t>、</w:t>
            </w:r>
            <w:r>
              <w:rPr>
                <w:rFonts w:ascii="宋体" w:hAnsi="宋体" w:cs="宋体" w:eastAsia="宋体" w:hint="default"/>
                <w:b/>
                <w:bCs/>
                <w:w w:val="100"/>
                <w:sz w:val="21"/>
                <w:szCs w:val="21"/>
              </w:rPr>
              <w:t>以公允价值计量且其</w:t>
            </w:r>
            <w:r>
              <w:rPr>
                <w:rFonts w:ascii="宋体" w:hAnsi="宋体" w:cs="宋体" w:eastAsia="宋体" w:hint="default"/>
                <w:b/>
                <w:bCs/>
                <w:spacing w:val="-3"/>
                <w:w w:val="100"/>
                <w:sz w:val="21"/>
                <w:szCs w:val="21"/>
              </w:rPr>
              <w:t>变</w:t>
            </w:r>
            <w:r>
              <w:rPr>
                <w:rFonts w:ascii="宋体" w:hAnsi="宋体" w:cs="宋体" w:eastAsia="宋体" w:hint="default"/>
                <w:b/>
                <w:bCs/>
                <w:w w:val="100"/>
                <w:sz w:val="21"/>
                <w:szCs w:val="21"/>
              </w:rPr>
              <w:t>动计入当期</w:t>
            </w:r>
            <w:r>
              <w:rPr>
                <w:rFonts w:ascii="宋体" w:hAnsi="宋体" w:cs="宋体" w:eastAsia="宋体" w:hint="default"/>
                <w:w w:val="100"/>
                <w:sz w:val="21"/>
                <w:szCs w:val="21"/>
              </w:rPr>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b/>
                <w:bCs/>
                <w:sz w:val="21"/>
                <w:szCs w:val="21"/>
              </w:rPr>
              <w:t>损益的金融资产</w:t>
            </w:r>
            <w:r>
              <w:rPr>
                <w:rFonts w:ascii="宋体" w:hAnsi="宋体" w:cs="宋体" w:eastAsia="宋体" w:hint="default"/>
                <w:sz w:val="21"/>
                <w:szCs w:val="21"/>
              </w:rPr>
            </w:r>
          </w:p>
        </w:tc>
        <w:tc>
          <w:tcPr>
            <w:tcW w:w="1397" w:type="dxa"/>
            <w:tcBorders>
              <w:top w:val="single" w:sz="4" w:space="0" w:color="41B7EE"/>
              <w:left w:val="single" w:sz="4" w:space="0" w:color="41B7EE"/>
              <w:bottom w:val="single" w:sz="4" w:space="0" w:color="41B7EE"/>
              <w:right w:val="single" w:sz="4" w:space="0" w:color="41B7EE"/>
            </w:tcBorders>
          </w:tcPr>
          <w:p>
            <w:pPr/>
          </w:p>
        </w:tc>
        <w:tc>
          <w:tcPr>
            <w:tcW w:w="1399"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t>（原准则）</w:t>
            </w:r>
          </w:p>
        </w:tc>
        <w:tc>
          <w:tcPr>
            <w:tcW w:w="139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8"/>
              <w:jc w:val="right"/>
              <w:rPr>
                <w:rFonts w:ascii="Arial" w:hAnsi="Arial" w:cs="Arial" w:eastAsia="Arial" w:hint="default"/>
                <w:sz w:val="21"/>
                <w:szCs w:val="21"/>
              </w:rPr>
            </w:pPr>
            <w:r>
              <w:rPr>
                <w:rFonts w:ascii="Arial"/>
                <w:spacing w:val="-2"/>
                <w:w w:val="80"/>
                <w:sz w:val="21"/>
              </w:rPr>
              <w:t>9,858,946.90</w:t>
            </w:r>
            <w:r>
              <w:rPr>
                <w:rFonts w:ascii="Arial"/>
                <w:sz w:val="21"/>
              </w:rPr>
            </w:r>
          </w:p>
        </w:tc>
        <w:tc>
          <w:tcPr>
            <w:tcW w:w="1399"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right="128"/>
              <w:jc w:val="right"/>
              <w:rPr>
                <w:rFonts w:ascii="宋体" w:hAnsi="宋体" w:cs="宋体" w:eastAsia="宋体" w:hint="default"/>
                <w:sz w:val="21"/>
                <w:szCs w:val="21"/>
              </w:rPr>
            </w:pPr>
            <w:r>
              <w:rPr>
                <w:rFonts w:ascii="宋体"/>
                <w:w w:val="100"/>
                <w:sz w:val="21"/>
              </w:rPr>
              <w:t> </w:t>
            </w:r>
          </w:p>
        </w:tc>
        <w:tc>
          <w:tcPr>
            <w:tcW w:w="139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right="132"/>
              <w:jc w:val="right"/>
              <w:rPr>
                <w:rFonts w:ascii="宋体" w:hAnsi="宋体" w:cs="宋体" w:eastAsia="宋体" w:hint="default"/>
                <w:sz w:val="21"/>
                <w:szCs w:val="21"/>
              </w:rPr>
            </w:pPr>
            <w:r>
              <w:rPr>
                <w:rFonts w:ascii="宋体"/>
                <w:w w:val="100"/>
                <w:sz w:val="21"/>
              </w:rPr>
              <w:t> </w:t>
            </w: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39" w:right="0"/>
              <w:jc w:val="left"/>
              <w:rPr>
                <w:rFonts w:ascii="宋体" w:hAnsi="宋体" w:cs="宋体" w:eastAsia="宋体" w:hint="default"/>
                <w:sz w:val="21"/>
                <w:szCs w:val="21"/>
              </w:rPr>
            </w:pPr>
            <w:r>
              <w:rPr>
                <w:rFonts w:ascii="宋体" w:hAnsi="宋体" w:cs="宋体" w:eastAsia="宋体" w:hint="default"/>
                <w:sz w:val="21"/>
                <w:szCs w:val="21"/>
              </w:rPr>
              <w:t>减：转出至交易性金融资产</w:t>
            </w:r>
          </w:p>
        </w:tc>
        <w:tc>
          <w:tcPr>
            <w:tcW w:w="1397" w:type="dxa"/>
            <w:tcBorders>
              <w:top w:val="single" w:sz="4" w:space="0" w:color="41B7EE"/>
              <w:left w:val="single" w:sz="4" w:space="0" w:color="41B7EE"/>
              <w:bottom w:val="single" w:sz="4" w:space="0" w:color="41B7EE"/>
              <w:right w:val="single" w:sz="4" w:space="0" w:color="41B7EE"/>
            </w:tcBorders>
          </w:tcPr>
          <w:p>
            <w:pPr/>
          </w:p>
        </w:tc>
        <w:tc>
          <w:tcPr>
            <w:tcW w:w="139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2"/>
                <w:w w:val="80"/>
                <w:sz w:val="21"/>
              </w:rPr>
              <w:t>9,858,946.90</w:t>
            </w:r>
            <w:r>
              <w:rPr>
                <w:rFonts w:ascii="Arial"/>
                <w:sz w:val="21"/>
              </w:rPr>
            </w:r>
          </w:p>
        </w:tc>
        <w:tc>
          <w:tcPr>
            <w:tcW w:w="115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right="128"/>
              <w:jc w:val="right"/>
              <w:rPr>
                <w:rFonts w:ascii="宋体" w:hAnsi="宋体" w:cs="宋体" w:eastAsia="宋体" w:hint="default"/>
                <w:sz w:val="21"/>
                <w:szCs w:val="21"/>
              </w:rPr>
            </w:pPr>
            <w:r>
              <w:rPr>
                <w:rFonts w:ascii="宋体"/>
                <w:w w:val="100"/>
                <w:sz w:val="21"/>
              </w:rPr>
              <w:t> </w:t>
            </w:r>
          </w:p>
        </w:tc>
        <w:tc>
          <w:tcPr>
            <w:tcW w:w="139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right="132"/>
              <w:jc w:val="right"/>
              <w:rPr>
                <w:rFonts w:ascii="宋体" w:hAnsi="宋体" w:cs="宋体" w:eastAsia="宋体" w:hint="default"/>
                <w:sz w:val="21"/>
                <w:szCs w:val="21"/>
              </w:rPr>
            </w:pPr>
            <w:r>
              <w:rPr>
                <w:rFonts w:ascii="宋体"/>
                <w:w w:val="100"/>
                <w:sz w:val="21"/>
              </w:rPr>
              <w:t> </w:t>
            </w:r>
          </w:p>
        </w:tc>
      </w:tr>
      <w:tr>
        <w:trPr>
          <w:trHeight w:val="355"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p>
        </w:tc>
        <w:tc>
          <w:tcPr>
            <w:tcW w:w="1397" w:type="dxa"/>
            <w:tcBorders>
              <w:top w:val="single" w:sz="4" w:space="0" w:color="41B7EE"/>
              <w:left w:val="single" w:sz="4" w:space="0" w:color="41B7EE"/>
              <w:bottom w:val="single" w:sz="4" w:space="0" w:color="41B7EE"/>
              <w:right w:val="single" w:sz="4" w:space="0" w:color="41B7EE"/>
            </w:tcBorders>
          </w:tcPr>
          <w:p>
            <w:pPr/>
          </w:p>
        </w:tc>
        <w:tc>
          <w:tcPr>
            <w:tcW w:w="1399"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right="128"/>
              <w:jc w:val="right"/>
              <w:rPr>
                <w:rFonts w:ascii="宋体" w:hAnsi="宋体" w:cs="宋体" w:eastAsia="宋体" w:hint="default"/>
                <w:sz w:val="21"/>
                <w:szCs w:val="21"/>
              </w:rPr>
            </w:pPr>
            <w:r>
              <w:rPr>
                <w:rFonts w:ascii="宋体"/>
                <w:w w:val="100"/>
                <w:sz w:val="21"/>
              </w:rPr>
              <w:t> </w:t>
            </w: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Arial" w:hAnsi="Arial" w:cs="Arial" w:eastAsia="Arial" w:hint="default"/>
                <w:b/>
                <w:bCs/>
                <w:sz w:val="21"/>
                <w:szCs w:val="21"/>
              </w:rPr>
              <w:t>2.</w:t>
            </w:r>
            <w:r>
              <w:rPr>
                <w:rFonts w:ascii="宋体" w:hAnsi="宋体" w:cs="宋体" w:eastAsia="宋体" w:hint="default"/>
                <w:b/>
                <w:bCs/>
                <w:sz w:val="21"/>
                <w:szCs w:val="21"/>
              </w:rPr>
              <w:t>其他流动资产</w:t>
            </w:r>
            <w:r>
              <w:rPr>
                <w:rFonts w:ascii="宋体" w:hAnsi="宋体" w:cs="宋体" w:eastAsia="宋体" w:hint="default"/>
                <w:sz w:val="21"/>
                <w:szCs w:val="21"/>
              </w:rPr>
            </w:r>
          </w:p>
        </w:tc>
        <w:tc>
          <w:tcPr>
            <w:tcW w:w="139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18"/>
              <w:jc w:val="right"/>
              <w:rPr>
                <w:rFonts w:ascii="Arial" w:hAnsi="Arial" w:cs="Arial" w:eastAsia="Arial" w:hint="default"/>
                <w:sz w:val="21"/>
                <w:szCs w:val="21"/>
              </w:rPr>
            </w:pPr>
            <w:r>
              <w:rPr>
                <w:rFonts w:ascii="Arial"/>
                <w:spacing w:val="-2"/>
                <w:w w:val="80"/>
                <w:sz w:val="21"/>
              </w:rPr>
              <w:t>2,169,311,126.04</w:t>
            </w:r>
            <w:r>
              <w:rPr>
                <w:rFonts w:ascii="Arial"/>
                <w:sz w:val="21"/>
              </w:rPr>
            </w:r>
          </w:p>
        </w:tc>
        <w:tc>
          <w:tcPr>
            <w:tcW w:w="1399"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39" w:right="0"/>
              <w:jc w:val="left"/>
              <w:rPr>
                <w:rFonts w:ascii="宋体" w:hAnsi="宋体" w:cs="宋体" w:eastAsia="宋体" w:hint="default"/>
                <w:sz w:val="21"/>
                <w:szCs w:val="21"/>
              </w:rPr>
            </w:pPr>
            <w:r>
              <w:rPr>
                <w:rFonts w:ascii="宋体" w:hAnsi="宋体" w:cs="宋体" w:eastAsia="宋体" w:hint="default"/>
                <w:sz w:val="21"/>
                <w:szCs w:val="21"/>
              </w:rPr>
              <w:t>减：转出至交易性金融资产</w:t>
            </w:r>
          </w:p>
        </w:tc>
        <w:tc>
          <w:tcPr>
            <w:tcW w:w="1397" w:type="dxa"/>
            <w:tcBorders>
              <w:top w:val="single" w:sz="4" w:space="0" w:color="41B7EE"/>
              <w:left w:val="single" w:sz="4" w:space="0" w:color="41B7EE"/>
              <w:bottom w:val="single" w:sz="4" w:space="0" w:color="41B7EE"/>
              <w:right w:val="single" w:sz="4" w:space="0" w:color="41B7EE"/>
            </w:tcBorders>
          </w:tcPr>
          <w:p>
            <w:pPr/>
          </w:p>
        </w:tc>
        <w:tc>
          <w:tcPr>
            <w:tcW w:w="139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2"/>
                <w:w w:val="80"/>
                <w:sz w:val="21"/>
              </w:rPr>
              <w:t>2,135,693,612.21</w:t>
            </w:r>
            <w:r>
              <w:rPr>
                <w:rFonts w:ascii="Arial"/>
                <w:sz w:val="21"/>
              </w:rPr>
            </w: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p>
        </w:tc>
        <w:tc>
          <w:tcPr>
            <w:tcW w:w="1397" w:type="dxa"/>
            <w:tcBorders>
              <w:top w:val="single" w:sz="4" w:space="0" w:color="41B7EE"/>
              <w:left w:val="single" w:sz="4" w:space="0" w:color="41B7EE"/>
              <w:bottom w:val="single" w:sz="4" w:space="0" w:color="41B7EE"/>
              <w:right w:val="single" w:sz="4" w:space="0" w:color="41B7EE"/>
            </w:tcBorders>
          </w:tcPr>
          <w:p>
            <w:pPr/>
          </w:p>
        </w:tc>
        <w:tc>
          <w:tcPr>
            <w:tcW w:w="1399"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2"/>
                <w:w w:val="80"/>
                <w:sz w:val="21"/>
              </w:rPr>
              <w:t>33,617,513.83</w:t>
            </w:r>
            <w:r>
              <w:rPr>
                <w:rFonts w:ascii="Arial"/>
                <w:sz w:val="21"/>
              </w:rPr>
            </w:r>
          </w:p>
        </w:tc>
      </w:tr>
      <w:tr>
        <w:trPr>
          <w:trHeight w:val="355"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Arial" w:hAnsi="Arial" w:cs="Arial" w:eastAsia="Arial" w:hint="default"/>
                <w:b/>
                <w:bCs/>
                <w:sz w:val="21"/>
                <w:szCs w:val="21"/>
              </w:rPr>
              <w:t>3.</w:t>
            </w:r>
            <w:r>
              <w:rPr>
                <w:rFonts w:ascii="宋体" w:hAnsi="宋体" w:cs="宋体" w:eastAsia="宋体" w:hint="default"/>
                <w:b/>
                <w:bCs/>
                <w:sz w:val="21"/>
                <w:szCs w:val="21"/>
              </w:rPr>
              <w:t>交易性金融资产</w:t>
            </w:r>
            <w:r>
              <w:rPr>
                <w:rFonts w:ascii="宋体" w:hAnsi="宋体" w:cs="宋体" w:eastAsia="宋体" w:hint="default"/>
                <w:sz w:val="21"/>
                <w:szCs w:val="21"/>
              </w:rPr>
            </w:r>
          </w:p>
        </w:tc>
        <w:tc>
          <w:tcPr>
            <w:tcW w:w="1397" w:type="dxa"/>
            <w:tcBorders>
              <w:top w:val="single" w:sz="4" w:space="0" w:color="41B7EE"/>
              <w:left w:val="single" w:sz="4" w:space="0" w:color="41B7EE"/>
              <w:bottom w:val="single" w:sz="4" w:space="0" w:color="41B7EE"/>
              <w:right w:val="single" w:sz="4" w:space="0" w:color="41B7EE"/>
            </w:tcBorders>
          </w:tcPr>
          <w:p>
            <w:pPr/>
          </w:p>
        </w:tc>
        <w:tc>
          <w:tcPr>
            <w:tcW w:w="1399"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39" w:right="0"/>
              <w:jc w:val="left"/>
              <w:rPr>
                <w:rFonts w:ascii="宋体" w:hAnsi="宋体" w:cs="宋体" w:eastAsia="宋体" w:hint="default"/>
                <w:sz w:val="21"/>
                <w:szCs w:val="21"/>
              </w:rPr>
            </w:pPr>
            <w:r>
              <w:rPr>
                <w:rFonts w:ascii="宋体" w:hAnsi="宋体" w:cs="宋体" w:eastAsia="宋体" w:hint="default"/>
                <w:sz w:val="21"/>
                <w:szCs w:val="21"/>
              </w:rPr>
              <w:t>加：其他流动资产（原准则）转入</w:t>
            </w:r>
          </w:p>
        </w:tc>
        <w:tc>
          <w:tcPr>
            <w:tcW w:w="1397" w:type="dxa"/>
            <w:tcBorders>
              <w:top w:val="single" w:sz="4" w:space="0" w:color="41B7EE"/>
              <w:left w:val="single" w:sz="4" w:space="0" w:color="41B7EE"/>
              <w:bottom w:val="single" w:sz="4" w:space="0" w:color="41B7EE"/>
              <w:right w:val="single" w:sz="4" w:space="0" w:color="41B7EE"/>
            </w:tcBorders>
          </w:tcPr>
          <w:p>
            <w:pPr/>
          </w:p>
        </w:tc>
        <w:tc>
          <w:tcPr>
            <w:tcW w:w="139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20"/>
              <w:jc w:val="right"/>
              <w:rPr>
                <w:rFonts w:ascii="Arial" w:hAnsi="Arial" w:cs="Arial" w:eastAsia="Arial" w:hint="default"/>
                <w:sz w:val="21"/>
                <w:szCs w:val="21"/>
              </w:rPr>
            </w:pPr>
            <w:r>
              <w:rPr>
                <w:rFonts w:ascii="Arial"/>
                <w:spacing w:val="-2"/>
                <w:w w:val="80"/>
                <w:sz w:val="21"/>
              </w:rPr>
              <w:t>2,135,693,612.21</w:t>
            </w:r>
            <w:r>
              <w:rPr>
                <w:rFonts w:ascii="Arial"/>
                <w:sz w:val="21"/>
              </w:rPr>
            </w: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39" w:right="0"/>
              <w:jc w:val="left"/>
              <w:rPr>
                <w:rFonts w:ascii="宋体" w:hAnsi="宋体" w:cs="宋体" w:eastAsia="宋体" w:hint="default"/>
                <w:sz w:val="21"/>
                <w:szCs w:val="21"/>
              </w:rPr>
            </w:pPr>
            <w:r>
              <w:rPr>
                <w:rFonts w:ascii="宋体" w:hAnsi="宋体" w:cs="宋体" w:eastAsia="宋体" w:hint="default"/>
                <w:sz w:val="21"/>
                <w:szCs w:val="21"/>
              </w:rPr>
              <w:t>加：应收利息（原准则）转入</w:t>
            </w:r>
          </w:p>
        </w:tc>
        <w:tc>
          <w:tcPr>
            <w:tcW w:w="139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right="125"/>
              <w:jc w:val="right"/>
              <w:rPr>
                <w:rFonts w:ascii="宋体" w:hAnsi="宋体" w:cs="宋体" w:eastAsia="宋体" w:hint="default"/>
                <w:sz w:val="21"/>
                <w:szCs w:val="21"/>
              </w:rPr>
            </w:pPr>
            <w:r>
              <w:rPr>
                <w:rFonts w:ascii="宋体"/>
                <w:w w:val="100"/>
                <w:sz w:val="21"/>
              </w:rPr>
              <w:t> </w:t>
            </w:r>
          </w:p>
        </w:tc>
        <w:tc>
          <w:tcPr>
            <w:tcW w:w="139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2"/>
                <w:w w:val="80"/>
                <w:sz w:val="21"/>
              </w:rPr>
              <w:t>9,858,946.90</w:t>
            </w:r>
            <w:r>
              <w:rPr>
                <w:rFonts w:ascii="Arial"/>
                <w:sz w:val="21"/>
              </w:rPr>
            </w: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p>
        </w:tc>
        <w:tc>
          <w:tcPr>
            <w:tcW w:w="1397" w:type="dxa"/>
            <w:tcBorders>
              <w:top w:val="single" w:sz="4" w:space="0" w:color="41B7EE"/>
              <w:left w:val="single" w:sz="4" w:space="0" w:color="41B7EE"/>
              <w:bottom w:val="single" w:sz="4" w:space="0" w:color="41B7EE"/>
              <w:right w:val="single" w:sz="4" w:space="0" w:color="41B7EE"/>
            </w:tcBorders>
          </w:tcPr>
          <w:p>
            <w:pPr/>
          </w:p>
        </w:tc>
        <w:tc>
          <w:tcPr>
            <w:tcW w:w="1399"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5"/>
              <w:jc w:val="right"/>
              <w:rPr>
                <w:rFonts w:ascii="Arial" w:hAnsi="Arial" w:cs="Arial" w:eastAsia="Arial" w:hint="default"/>
                <w:sz w:val="21"/>
                <w:szCs w:val="21"/>
              </w:rPr>
            </w:pPr>
            <w:r>
              <w:rPr>
                <w:rFonts w:ascii="Arial"/>
                <w:spacing w:val="-2"/>
                <w:w w:val="80"/>
                <w:sz w:val="21"/>
              </w:rPr>
              <w:t>2,145,552,559.11</w:t>
            </w:r>
            <w:r>
              <w:rPr>
                <w:rFonts w:ascii="Arial"/>
                <w:sz w:val="21"/>
              </w:rPr>
            </w:r>
          </w:p>
        </w:tc>
      </w:tr>
      <w:tr>
        <w:trPr>
          <w:trHeight w:val="554"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b/>
                <w:bCs/>
                <w:w w:val="100"/>
                <w:sz w:val="21"/>
                <w:szCs w:val="21"/>
              </w:rPr>
              <w:t>二</w:t>
            </w:r>
            <w:r>
              <w:rPr>
                <w:rFonts w:ascii="宋体" w:hAnsi="宋体" w:cs="宋体" w:eastAsia="宋体" w:hint="default"/>
                <w:b/>
                <w:bCs/>
                <w:spacing w:val="-101"/>
                <w:w w:val="100"/>
                <w:sz w:val="21"/>
                <w:szCs w:val="21"/>
              </w:rPr>
              <w:t>、</w:t>
            </w:r>
            <w:r>
              <w:rPr>
                <w:rFonts w:ascii="宋体" w:hAnsi="宋体" w:cs="宋体" w:eastAsia="宋体" w:hint="default"/>
                <w:b/>
                <w:bCs/>
                <w:w w:val="100"/>
                <w:sz w:val="21"/>
                <w:szCs w:val="21"/>
              </w:rPr>
              <w:t>以公允价值计量且其</w:t>
            </w:r>
            <w:r>
              <w:rPr>
                <w:rFonts w:ascii="宋体" w:hAnsi="宋体" w:cs="宋体" w:eastAsia="宋体" w:hint="default"/>
                <w:b/>
                <w:bCs/>
                <w:spacing w:val="-3"/>
                <w:w w:val="100"/>
                <w:sz w:val="21"/>
                <w:szCs w:val="21"/>
              </w:rPr>
              <w:t>变</w:t>
            </w:r>
            <w:r>
              <w:rPr>
                <w:rFonts w:ascii="宋体" w:hAnsi="宋体" w:cs="宋体" w:eastAsia="宋体" w:hint="default"/>
                <w:b/>
                <w:bCs/>
                <w:w w:val="100"/>
                <w:sz w:val="21"/>
                <w:szCs w:val="21"/>
              </w:rPr>
              <w:t>动计入其他</w:t>
            </w:r>
            <w:r>
              <w:rPr>
                <w:rFonts w:ascii="宋体" w:hAnsi="宋体" w:cs="宋体" w:eastAsia="宋体" w:hint="default"/>
                <w:w w:val="100"/>
                <w:sz w:val="21"/>
                <w:szCs w:val="21"/>
              </w:rPr>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b/>
                <w:bCs/>
                <w:sz w:val="21"/>
                <w:szCs w:val="21"/>
              </w:rPr>
              <w:t>综合收益的金融资产</w:t>
            </w:r>
            <w:r>
              <w:rPr>
                <w:rFonts w:ascii="宋体" w:hAnsi="宋体" w:cs="宋体" w:eastAsia="宋体" w:hint="default"/>
                <w:sz w:val="21"/>
                <w:szCs w:val="21"/>
              </w:rPr>
            </w:r>
          </w:p>
        </w:tc>
        <w:tc>
          <w:tcPr>
            <w:tcW w:w="1397" w:type="dxa"/>
            <w:tcBorders>
              <w:top w:val="single" w:sz="4" w:space="0" w:color="41B7EE"/>
              <w:left w:val="single" w:sz="4" w:space="0" w:color="41B7EE"/>
              <w:bottom w:val="single" w:sz="4" w:space="0" w:color="41B7EE"/>
              <w:right w:val="single" w:sz="4" w:space="0" w:color="41B7EE"/>
            </w:tcBorders>
          </w:tcPr>
          <w:p>
            <w:pPr/>
          </w:p>
        </w:tc>
        <w:tc>
          <w:tcPr>
            <w:tcW w:w="1399"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Arial" w:hAnsi="Arial" w:cs="Arial" w:eastAsia="Arial" w:hint="default"/>
                <w:b/>
                <w:bCs/>
                <w:sz w:val="21"/>
                <w:szCs w:val="21"/>
              </w:rPr>
              <w:t>1.</w:t>
            </w:r>
            <w:r>
              <w:rPr>
                <w:rFonts w:ascii="宋体" w:hAnsi="宋体" w:cs="宋体" w:eastAsia="宋体" w:hint="default"/>
                <w:b/>
                <w:bCs/>
                <w:sz w:val="21"/>
                <w:szCs w:val="21"/>
              </w:rPr>
              <w:t>可供出售金融资产</w:t>
            </w:r>
            <w:r>
              <w:rPr>
                <w:rFonts w:ascii="宋体" w:hAnsi="宋体" w:cs="宋体" w:eastAsia="宋体" w:hint="default"/>
                <w:sz w:val="21"/>
                <w:szCs w:val="21"/>
              </w:rPr>
              <w:t>（原准则）</w:t>
            </w:r>
          </w:p>
        </w:tc>
        <w:tc>
          <w:tcPr>
            <w:tcW w:w="139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8"/>
              <w:jc w:val="right"/>
              <w:rPr>
                <w:rFonts w:ascii="Arial" w:hAnsi="Arial" w:cs="Arial" w:eastAsia="Arial" w:hint="default"/>
                <w:sz w:val="21"/>
                <w:szCs w:val="21"/>
              </w:rPr>
            </w:pPr>
            <w:r>
              <w:rPr>
                <w:rFonts w:ascii="Arial"/>
                <w:spacing w:val="-2"/>
                <w:w w:val="80"/>
                <w:sz w:val="21"/>
              </w:rPr>
              <w:t>21,000,000.00</w:t>
            </w:r>
            <w:r>
              <w:rPr>
                <w:rFonts w:ascii="Arial"/>
                <w:sz w:val="21"/>
              </w:rPr>
            </w:r>
          </w:p>
        </w:tc>
        <w:tc>
          <w:tcPr>
            <w:tcW w:w="1399"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5"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39" w:right="0"/>
              <w:jc w:val="left"/>
              <w:rPr>
                <w:rFonts w:ascii="宋体" w:hAnsi="宋体" w:cs="宋体" w:eastAsia="宋体" w:hint="default"/>
                <w:sz w:val="21"/>
                <w:szCs w:val="21"/>
              </w:rPr>
            </w:pPr>
            <w:r>
              <w:rPr>
                <w:rFonts w:ascii="宋体" w:hAnsi="宋体" w:cs="宋体" w:eastAsia="宋体" w:hint="default"/>
                <w:sz w:val="21"/>
                <w:szCs w:val="21"/>
              </w:rPr>
              <w:t>减：转出至其他权益工具投资</w:t>
            </w:r>
          </w:p>
        </w:tc>
        <w:tc>
          <w:tcPr>
            <w:tcW w:w="1397" w:type="dxa"/>
            <w:tcBorders>
              <w:top w:val="single" w:sz="4" w:space="0" w:color="41B7EE"/>
              <w:left w:val="single" w:sz="4" w:space="0" w:color="41B7EE"/>
              <w:bottom w:val="single" w:sz="4" w:space="0" w:color="41B7EE"/>
              <w:right w:val="single" w:sz="4" w:space="0" w:color="41B7EE"/>
            </w:tcBorders>
          </w:tcPr>
          <w:p>
            <w:pPr/>
          </w:p>
        </w:tc>
        <w:tc>
          <w:tcPr>
            <w:tcW w:w="139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2"/>
                <w:w w:val="80"/>
                <w:sz w:val="21"/>
              </w:rPr>
              <w:t>21,000,000.00</w:t>
            </w:r>
            <w:r>
              <w:rPr>
                <w:rFonts w:ascii="Arial"/>
                <w:sz w:val="21"/>
              </w:rPr>
            </w: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p>
        </w:tc>
        <w:tc>
          <w:tcPr>
            <w:tcW w:w="1397" w:type="dxa"/>
            <w:tcBorders>
              <w:top w:val="single" w:sz="4" w:space="0" w:color="41B7EE"/>
              <w:left w:val="single" w:sz="4" w:space="0" w:color="41B7EE"/>
              <w:bottom w:val="single" w:sz="4" w:space="0" w:color="41B7EE"/>
              <w:right w:val="single" w:sz="4" w:space="0" w:color="41B7EE"/>
            </w:tcBorders>
          </w:tcPr>
          <w:p>
            <w:pPr/>
          </w:p>
        </w:tc>
        <w:tc>
          <w:tcPr>
            <w:tcW w:w="1399"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Arial" w:hAnsi="Arial" w:cs="Arial" w:eastAsia="Arial" w:hint="default"/>
                <w:b/>
                <w:bCs/>
                <w:sz w:val="21"/>
                <w:szCs w:val="21"/>
              </w:rPr>
              <w:t>2.</w:t>
            </w:r>
            <w:r>
              <w:rPr>
                <w:rFonts w:ascii="宋体" w:hAnsi="宋体" w:cs="宋体" w:eastAsia="宋体" w:hint="default"/>
                <w:b/>
                <w:bCs/>
                <w:sz w:val="21"/>
                <w:szCs w:val="21"/>
              </w:rPr>
              <w:t>其他权益工具投资</w:t>
            </w:r>
            <w:r>
              <w:rPr>
                <w:rFonts w:ascii="宋体" w:hAnsi="宋体" w:cs="宋体" w:eastAsia="宋体" w:hint="default"/>
                <w:sz w:val="21"/>
                <w:szCs w:val="21"/>
              </w:rPr>
            </w:r>
          </w:p>
        </w:tc>
        <w:tc>
          <w:tcPr>
            <w:tcW w:w="1397" w:type="dxa"/>
            <w:tcBorders>
              <w:top w:val="single" w:sz="4" w:space="0" w:color="41B7EE"/>
              <w:left w:val="single" w:sz="4" w:space="0" w:color="41B7EE"/>
              <w:bottom w:val="single" w:sz="4" w:space="0" w:color="41B7EE"/>
              <w:right w:val="single" w:sz="4" w:space="0" w:color="41B7EE"/>
            </w:tcBorders>
          </w:tcPr>
          <w:p>
            <w:pPr/>
          </w:p>
        </w:tc>
        <w:tc>
          <w:tcPr>
            <w:tcW w:w="1399"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25" w:right="0"/>
              <w:jc w:val="left"/>
              <w:rPr>
                <w:rFonts w:ascii="宋体" w:hAnsi="宋体" w:cs="宋体" w:eastAsia="宋体" w:hint="default"/>
                <w:sz w:val="21"/>
                <w:szCs w:val="21"/>
              </w:rPr>
            </w:pPr>
            <w:r>
              <w:rPr>
                <w:rFonts w:ascii="宋体" w:hAnsi="宋体" w:cs="宋体" w:eastAsia="宋体" w:hint="default"/>
                <w:spacing w:val="-18"/>
                <w:sz w:val="21"/>
                <w:szCs w:val="21"/>
              </w:rPr>
              <w:t>加：可供出售金融资产（原准则）转入</w:t>
            </w:r>
          </w:p>
        </w:tc>
        <w:tc>
          <w:tcPr>
            <w:tcW w:w="1397" w:type="dxa"/>
            <w:tcBorders>
              <w:top w:val="single" w:sz="4" w:space="0" w:color="41B7EE"/>
              <w:left w:val="single" w:sz="4" w:space="0" w:color="41B7EE"/>
              <w:bottom w:val="single" w:sz="4" w:space="0" w:color="41B7EE"/>
              <w:right w:val="single" w:sz="4" w:space="0" w:color="41B7EE"/>
            </w:tcBorders>
          </w:tcPr>
          <w:p>
            <w:pPr/>
          </w:p>
        </w:tc>
        <w:tc>
          <w:tcPr>
            <w:tcW w:w="139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2"/>
                <w:w w:val="80"/>
                <w:sz w:val="21"/>
              </w:rPr>
              <w:t>21,000,000.00</w:t>
            </w:r>
            <w:r>
              <w:rPr>
                <w:rFonts w:ascii="Arial"/>
                <w:sz w:val="21"/>
              </w:rPr>
            </w: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6"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重新计量：按公允价值重新计量</w:t>
            </w:r>
          </w:p>
        </w:tc>
        <w:tc>
          <w:tcPr>
            <w:tcW w:w="1397" w:type="dxa"/>
            <w:tcBorders>
              <w:top w:val="single" w:sz="4" w:space="0" w:color="41B7EE"/>
              <w:left w:val="single" w:sz="4" w:space="0" w:color="41B7EE"/>
              <w:bottom w:val="single" w:sz="4" w:space="0" w:color="41B7EE"/>
              <w:right w:val="single" w:sz="4" w:space="0" w:color="41B7EE"/>
            </w:tcBorders>
          </w:tcPr>
          <w:p>
            <w:pPr/>
          </w:p>
        </w:tc>
        <w:tc>
          <w:tcPr>
            <w:tcW w:w="1399"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2"/>
                <w:w w:val="80"/>
                <w:sz w:val="21"/>
              </w:rPr>
              <w:t>20,258,496.06</w:t>
            </w:r>
            <w:r>
              <w:rPr>
                <w:rFonts w:ascii="Arial"/>
                <w:sz w:val="21"/>
              </w:rPr>
            </w: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84" w:hRule="exact"/>
        </w:trPr>
        <w:tc>
          <w:tcPr>
            <w:tcW w:w="3541"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p>
        </w:tc>
        <w:tc>
          <w:tcPr>
            <w:tcW w:w="1397" w:type="dxa"/>
            <w:tcBorders>
              <w:top w:val="single" w:sz="4" w:space="0" w:color="41B7EE"/>
              <w:left w:val="single" w:sz="4" w:space="0" w:color="41B7EE"/>
              <w:bottom w:val="single" w:sz="23" w:space="0" w:color="41B7EE"/>
              <w:right w:val="single" w:sz="4" w:space="0" w:color="41B7EE"/>
            </w:tcBorders>
          </w:tcPr>
          <w:p>
            <w:pPr/>
          </w:p>
        </w:tc>
        <w:tc>
          <w:tcPr>
            <w:tcW w:w="1399" w:type="dxa"/>
            <w:tcBorders>
              <w:top w:val="single" w:sz="4" w:space="0" w:color="41B7EE"/>
              <w:left w:val="single" w:sz="4" w:space="0" w:color="41B7EE"/>
              <w:bottom w:val="single" w:sz="23" w:space="0" w:color="41B7EE"/>
              <w:right w:val="single" w:sz="4" w:space="0" w:color="41B7EE"/>
            </w:tcBorders>
          </w:tcPr>
          <w:p>
            <w:pPr/>
          </w:p>
        </w:tc>
        <w:tc>
          <w:tcPr>
            <w:tcW w:w="1157" w:type="dxa"/>
            <w:tcBorders>
              <w:top w:val="single" w:sz="4" w:space="0" w:color="41B7EE"/>
              <w:left w:val="single" w:sz="4" w:space="0" w:color="41B7EE"/>
              <w:bottom w:val="single" w:sz="23" w:space="0" w:color="41B7EE"/>
              <w:right w:val="single" w:sz="4" w:space="0" w:color="41B7EE"/>
            </w:tcBorders>
          </w:tcPr>
          <w:p>
            <w:pPr/>
          </w:p>
        </w:tc>
        <w:tc>
          <w:tcPr>
            <w:tcW w:w="1397"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50"/>
              <w:ind w:right="24"/>
              <w:jc w:val="right"/>
              <w:rPr>
                <w:rFonts w:ascii="Arial" w:hAnsi="Arial" w:cs="Arial" w:eastAsia="Arial" w:hint="default"/>
                <w:sz w:val="21"/>
                <w:szCs w:val="21"/>
              </w:rPr>
            </w:pPr>
            <w:r>
              <w:rPr>
                <w:rFonts w:ascii="Arial"/>
                <w:spacing w:val="-2"/>
                <w:w w:val="80"/>
                <w:sz w:val="21"/>
              </w:rPr>
              <w:t>20,258,496.06</w:t>
            </w:r>
            <w:r>
              <w:rPr>
                <w:rFonts w:ascii="Arial"/>
                <w:sz w:val="21"/>
              </w:rPr>
            </w:r>
          </w:p>
        </w:tc>
      </w:tr>
    </w:tbl>
    <w:p>
      <w:pPr>
        <w:pStyle w:val="BodyText"/>
        <w:tabs>
          <w:tab w:pos="6770" w:val="left" w:leader="none"/>
        </w:tabs>
        <w:spacing w:line="241" w:lineRule="exact"/>
        <w:ind w:left="578" w:right="0"/>
        <w:jc w:val="left"/>
      </w:pPr>
      <w:r>
        <w:rPr>
          <w:spacing w:val="-2"/>
        </w:rPr>
        <w:t>②对公司财务报表的影响</w:t>
        <w:tab/>
      </w:r>
      <w:r>
        <w:rPr>
          <w:spacing w:val="-12"/>
        </w:rPr>
        <w:t>单位：元</w:t>
      </w:r>
      <w:r>
        <w:rPr>
          <w:spacing w:val="-2"/>
        </w:rPr>
        <w:t> </w:t>
      </w:r>
      <w:r>
        <w:rPr>
          <w:spacing w:val="14"/>
        </w:rPr>
        <w:t> </w:t>
      </w:r>
      <w:r>
        <w:rPr>
          <w:rFonts w:ascii="宋体" w:hAnsi="宋体" w:cs="宋体" w:eastAsia="宋体" w:hint="default"/>
          <w:spacing w:val="14"/>
        </w:rPr>
      </w:r>
      <w:r>
        <w:rPr>
          <w:spacing w:val="-9"/>
        </w:rPr>
        <w:t>币别：人民币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541"/>
        <w:gridCol w:w="1397"/>
        <w:gridCol w:w="1399"/>
        <w:gridCol w:w="1157"/>
        <w:gridCol w:w="1397"/>
      </w:tblGrid>
      <w:tr>
        <w:trPr>
          <w:trHeight w:val="578" w:hRule="exact"/>
        </w:trPr>
        <w:tc>
          <w:tcPr>
            <w:tcW w:w="3541"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102"/>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97" w:type="dxa"/>
            <w:tcBorders>
              <w:top w:val="single" w:sz="23" w:space="0" w:color="41B7EE"/>
              <w:left w:val="single" w:sz="4" w:space="0" w:color="41B7EE"/>
              <w:bottom w:val="single" w:sz="4" w:space="0" w:color="41B7EE"/>
              <w:right w:val="single" w:sz="4" w:space="0" w:color="41B7EE"/>
            </w:tcBorders>
          </w:tcPr>
          <w:p>
            <w:pPr>
              <w:pStyle w:val="TableParagraph"/>
              <w:spacing w:line="249" w:lineRule="exact"/>
              <w:ind w:left="67" w:right="0"/>
              <w:jc w:val="left"/>
              <w:rPr>
                <w:rFonts w:ascii="Arial" w:hAnsi="Arial" w:cs="Arial" w:eastAsia="Arial" w:hint="default"/>
                <w:sz w:val="21"/>
                <w:szCs w:val="21"/>
              </w:rPr>
            </w:pPr>
            <w:r>
              <w:rPr>
                <w:rFonts w:ascii="Arial" w:hAnsi="Arial" w:cs="Arial" w:eastAsia="Arial" w:hint="default"/>
                <w:spacing w:val="-10"/>
                <w:w w:val="95"/>
                <w:sz w:val="21"/>
                <w:szCs w:val="21"/>
              </w:rPr>
              <w:t>2018</w:t>
            </w:r>
            <w:r>
              <w:rPr>
                <w:rFonts w:ascii="Arial" w:hAnsi="Arial" w:cs="Arial" w:eastAsia="Arial" w:hint="default"/>
                <w:spacing w:val="-41"/>
                <w:w w:val="95"/>
                <w:sz w:val="21"/>
                <w:szCs w:val="21"/>
              </w:rPr>
              <w:t> </w:t>
            </w:r>
            <w:r>
              <w:rPr>
                <w:rFonts w:ascii="宋体" w:hAnsi="宋体" w:cs="宋体" w:eastAsia="宋体" w:hint="default"/>
                <w:w w:val="95"/>
                <w:sz w:val="21"/>
                <w:szCs w:val="21"/>
              </w:rPr>
              <w:t>年</w:t>
            </w:r>
            <w:r>
              <w:rPr>
                <w:rFonts w:ascii="宋体" w:hAnsi="宋体" w:cs="宋体" w:eastAsia="宋体" w:hint="default"/>
                <w:spacing w:val="-89"/>
                <w:w w:val="95"/>
                <w:sz w:val="21"/>
                <w:szCs w:val="21"/>
              </w:rPr>
              <w:t> </w:t>
            </w:r>
            <w:r>
              <w:rPr>
                <w:rFonts w:ascii="Arial" w:hAnsi="Arial" w:cs="Arial" w:eastAsia="Arial" w:hint="default"/>
                <w:spacing w:val="-7"/>
                <w:w w:val="95"/>
                <w:sz w:val="21"/>
                <w:szCs w:val="21"/>
              </w:rPr>
              <w:t>12</w:t>
            </w:r>
            <w:r>
              <w:rPr>
                <w:rFonts w:ascii="Arial" w:hAnsi="Arial" w:cs="Arial" w:eastAsia="Arial" w:hint="default"/>
                <w:spacing w:val="-41"/>
                <w:w w:val="95"/>
                <w:sz w:val="21"/>
                <w:szCs w:val="21"/>
              </w:rPr>
              <w:t> </w:t>
            </w:r>
            <w:r>
              <w:rPr>
                <w:rFonts w:ascii="宋体" w:hAnsi="宋体" w:cs="宋体" w:eastAsia="宋体" w:hint="default"/>
                <w:w w:val="95"/>
                <w:sz w:val="21"/>
                <w:szCs w:val="21"/>
              </w:rPr>
              <w:t>月</w:t>
            </w:r>
            <w:r>
              <w:rPr>
                <w:rFonts w:ascii="宋体" w:hAnsi="宋体" w:cs="宋体" w:eastAsia="宋体" w:hint="default"/>
                <w:spacing w:val="-88"/>
                <w:w w:val="95"/>
                <w:sz w:val="21"/>
                <w:szCs w:val="21"/>
              </w:rPr>
              <w:t> </w:t>
            </w:r>
            <w:r>
              <w:rPr>
                <w:rFonts w:ascii="Arial" w:hAnsi="Arial" w:cs="Arial" w:eastAsia="Arial" w:hint="default"/>
                <w:spacing w:val="-16"/>
                <w:w w:val="95"/>
                <w:sz w:val="21"/>
                <w:szCs w:val="21"/>
              </w:rPr>
              <w:t>31</w:t>
            </w:r>
            <w:r>
              <w:rPr>
                <w:rFonts w:ascii="Arial" w:hAnsi="Arial" w:cs="Arial" w:eastAsia="Arial" w:hint="default"/>
                <w:sz w:val="21"/>
                <w:szCs w:val="21"/>
              </w:rPr>
            </w:r>
          </w:p>
          <w:p>
            <w:pPr>
              <w:pStyle w:val="TableParagraph"/>
              <w:spacing w:line="266" w:lineRule="exact"/>
              <w:ind w:left="124" w:right="0"/>
              <w:jc w:val="left"/>
              <w:rPr>
                <w:rFonts w:ascii="宋体" w:hAnsi="宋体" w:cs="宋体" w:eastAsia="宋体" w:hint="default"/>
                <w:sz w:val="21"/>
                <w:szCs w:val="21"/>
              </w:rPr>
            </w:pPr>
            <w:r>
              <w:rPr>
                <w:rFonts w:ascii="宋体" w:hAnsi="宋体" w:cs="宋体" w:eastAsia="宋体" w:hint="default"/>
                <w:spacing w:val="-18"/>
                <w:sz w:val="21"/>
                <w:szCs w:val="21"/>
              </w:rPr>
              <w:t>日（变更前）</w:t>
            </w:r>
          </w:p>
        </w:tc>
        <w:tc>
          <w:tcPr>
            <w:tcW w:w="1399"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102"/>
              <w:ind w:left="407" w:right="0"/>
              <w:jc w:val="left"/>
              <w:rPr>
                <w:rFonts w:ascii="宋体" w:hAnsi="宋体" w:cs="宋体" w:eastAsia="宋体" w:hint="default"/>
                <w:sz w:val="21"/>
                <w:szCs w:val="21"/>
              </w:rPr>
            </w:pPr>
            <w:r>
              <w:rPr>
                <w:rFonts w:ascii="宋体" w:hAnsi="宋体" w:cs="宋体" w:eastAsia="宋体" w:hint="default"/>
                <w:spacing w:val="-14"/>
                <w:sz w:val="21"/>
                <w:szCs w:val="21"/>
              </w:rPr>
              <w:t>重分类</w:t>
            </w:r>
          </w:p>
        </w:tc>
        <w:tc>
          <w:tcPr>
            <w:tcW w:w="1157"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102"/>
              <w:ind w:left="191" w:right="0"/>
              <w:jc w:val="left"/>
              <w:rPr>
                <w:rFonts w:ascii="宋体" w:hAnsi="宋体" w:cs="宋体" w:eastAsia="宋体" w:hint="default"/>
                <w:sz w:val="21"/>
                <w:szCs w:val="21"/>
              </w:rPr>
            </w:pPr>
            <w:r>
              <w:rPr>
                <w:rFonts w:ascii="宋体" w:hAnsi="宋体" w:cs="宋体" w:eastAsia="宋体" w:hint="default"/>
                <w:spacing w:val="-16"/>
                <w:sz w:val="21"/>
                <w:szCs w:val="21"/>
              </w:rPr>
              <w:t>重新计量</w:t>
            </w:r>
          </w:p>
        </w:tc>
        <w:tc>
          <w:tcPr>
            <w:tcW w:w="1397" w:type="dxa"/>
            <w:tcBorders>
              <w:top w:val="single" w:sz="23" w:space="0" w:color="41B7EE"/>
              <w:left w:val="single" w:sz="4" w:space="0" w:color="41B7EE"/>
              <w:bottom w:val="single" w:sz="4" w:space="0" w:color="41B7EE"/>
              <w:right w:val="nil" w:sz="6" w:space="0" w:color="auto"/>
            </w:tcBorders>
          </w:tcPr>
          <w:p>
            <w:pPr>
              <w:pStyle w:val="TableParagraph"/>
              <w:spacing w:line="249" w:lineRule="exact"/>
              <w:ind w:left="14" w:right="0"/>
              <w:jc w:val="center"/>
              <w:rPr>
                <w:rFonts w:ascii="宋体" w:hAnsi="宋体" w:cs="宋体" w:eastAsia="宋体" w:hint="default"/>
                <w:sz w:val="21"/>
                <w:szCs w:val="21"/>
              </w:rPr>
            </w:pPr>
            <w:r>
              <w:rPr>
                <w:rFonts w:ascii="Arial" w:hAnsi="Arial" w:cs="Arial" w:eastAsia="Arial" w:hint="default"/>
                <w:spacing w:val="-10"/>
                <w:w w:val="95"/>
                <w:sz w:val="21"/>
                <w:szCs w:val="21"/>
              </w:rPr>
              <w:t>2019</w:t>
            </w:r>
            <w:r>
              <w:rPr>
                <w:rFonts w:ascii="Arial" w:hAnsi="Arial" w:cs="Arial" w:eastAsia="Arial" w:hint="default"/>
                <w:spacing w:val="-30"/>
                <w:w w:val="95"/>
                <w:sz w:val="21"/>
                <w:szCs w:val="21"/>
              </w:rPr>
              <w:t> </w:t>
            </w:r>
            <w:r>
              <w:rPr>
                <w:rFonts w:ascii="宋体" w:hAnsi="宋体" w:cs="宋体" w:eastAsia="宋体" w:hint="default"/>
                <w:w w:val="95"/>
                <w:sz w:val="21"/>
                <w:szCs w:val="21"/>
              </w:rPr>
              <w:t>年</w:t>
            </w:r>
            <w:r>
              <w:rPr>
                <w:rFonts w:ascii="宋体" w:hAnsi="宋体" w:cs="宋体" w:eastAsia="宋体" w:hint="default"/>
                <w:spacing w:val="-81"/>
                <w:w w:val="95"/>
                <w:sz w:val="21"/>
                <w:szCs w:val="21"/>
              </w:rPr>
              <w:t> </w:t>
            </w:r>
            <w:r>
              <w:rPr>
                <w:rFonts w:ascii="Arial" w:hAnsi="Arial" w:cs="Arial" w:eastAsia="Arial" w:hint="default"/>
                <w:w w:val="95"/>
                <w:sz w:val="21"/>
                <w:szCs w:val="21"/>
              </w:rPr>
              <w:t>1</w:t>
            </w:r>
            <w:r>
              <w:rPr>
                <w:rFonts w:ascii="Arial" w:hAnsi="Arial" w:cs="Arial" w:eastAsia="Arial" w:hint="default"/>
                <w:spacing w:val="-30"/>
                <w:w w:val="95"/>
                <w:sz w:val="21"/>
                <w:szCs w:val="21"/>
              </w:rPr>
              <w:t> </w:t>
            </w:r>
            <w:r>
              <w:rPr>
                <w:rFonts w:ascii="宋体" w:hAnsi="宋体" w:cs="宋体" w:eastAsia="宋体" w:hint="default"/>
                <w:w w:val="95"/>
                <w:sz w:val="21"/>
                <w:szCs w:val="21"/>
              </w:rPr>
              <w:t>月</w:t>
            </w:r>
            <w:r>
              <w:rPr>
                <w:rFonts w:ascii="宋体" w:hAnsi="宋体" w:cs="宋体" w:eastAsia="宋体" w:hint="default"/>
                <w:spacing w:val="-80"/>
                <w:w w:val="95"/>
                <w:sz w:val="21"/>
                <w:szCs w:val="21"/>
              </w:rPr>
              <w:t> </w:t>
            </w:r>
            <w:r>
              <w:rPr>
                <w:rFonts w:ascii="Arial" w:hAnsi="Arial" w:cs="Arial" w:eastAsia="Arial" w:hint="default"/>
                <w:w w:val="95"/>
                <w:sz w:val="21"/>
                <w:szCs w:val="21"/>
              </w:rPr>
              <w:t>1</w:t>
            </w:r>
            <w:r>
              <w:rPr>
                <w:rFonts w:ascii="Arial" w:hAnsi="Arial" w:cs="Arial" w:eastAsia="Arial" w:hint="default"/>
                <w:spacing w:val="-30"/>
                <w:w w:val="95"/>
                <w:sz w:val="21"/>
                <w:szCs w:val="21"/>
              </w:rPr>
              <w:t> </w:t>
            </w:r>
            <w:r>
              <w:rPr>
                <w:rFonts w:ascii="宋体" w:hAnsi="宋体" w:cs="宋体" w:eastAsia="宋体" w:hint="default"/>
                <w:w w:val="95"/>
                <w:sz w:val="21"/>
                <w:szCs w:val="21"/>
              </w:rPr>
              <w:t>日</w:t>
            </w:r>
          </w:p>
          <w:p>
            <w:pPr>
              <w:pStyle w:val="TableParagraph"/>
              <w:spacing w:line="266" w:lineRule="exact"/>
              <w:ind w:left="12" w:right="0"/>
              <w:jc w:val="center"/>
              <w:rPr>
                <w:rFonts w:ascii="宋体" w:hAnsi="宋体" w:cs="宋体" w:eastAsia="宋体" w:hint="default"/>
                <w:sz w:val="21"/>
                <w:szCs w:val="21"/>
              </w:rPr>
            </w:pPr>
            <w:r>
              <w:rPr>
                <w:rFonts w:ascii="宋体" w:hAnsi="宋体" w:cs="宋体" w:eastAsia="宋体" w:hint="default"/>
                <w:spacing w:val="-18"/>
                <w:sz w:val="21"/>
                <w:szCs w:val="21"/>
              </w:rPr>
              <w:t>（变更后）</w:t>
            </w:r>
          </w:p>
        </w:tc>
      </w:tr>
      <w:tr>
        <w:trPr>
          <w:trHeight w:val="557"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b/>
                <w:bCs/>
                <w:w w:val="100"/>
                <w:sz w:val="21"/>
                <w:szCs w:val="21"/>
              </w:rPr>
              <w:t>一</w:t>
            </w:r>
            <w:r>
              <w:rPr>
                <w:rFonts w:ascii="宋体" w:hAnsi="宋体" w:cs="宋体" w:eastAsia="宋体" w:hint="default"/>
                <w:b/>
                <w:bCs/>
                <w:spacing w:val="-101"/>
                <w:w w:val="100"/>
                <w:sz w:val="21"/>
                <w:szCs w:val="21"/>
              </w:rPr>
              <w:t>、</w:t>
            </w:r>
            <w:r>
              <w:rPr>
                <w:rFonts w:ascii="宋体" w:hAnsi="宋体" w:cs="宋体" w:eastAsia="宋体" w:hint="default"/>
                <w:b/>
                <w:bCs/>
                <w:w w:val="100"/>
                <w:sz w:val="21"/>
                <w:szCs w:val="21"/>
              </w:rPr>
              <w:t>以公允价值计量且其</w:t>
            </w:r>
            <w:r>
              <w:rPr>
                <w:rFonts w:ascii="宋体" w:hAnsi="宋体" w:cs="宋体" w:eastAsia="宋体" w:hint="default"/>
                <w:b/>
                <w:bCs/>
                <w:spacing w:val="-3"/>
                <w:w w:val="100"/>
                <w:sz w:val="21"/>
                <w:szCs w:val="21"/>
              </w:rPr>
              <w:t>变</w:t>
            </w:r>
            <w:r>
              <w:rPr>
                <w:rFonts w:ascii="宋体" w:hAnsi="宋体" w:cs="宋体" w:eastAsia="宋体" w:hint="default"/>
                <w:b/>
                <w:bCs/>
                <w:w w:val="100"/>
                <w:sz w:val="21"/>
                <w:szCs w:val="21"/>
              </w:rPr>
              <w:t>动计入当期</w:t>
            </w:r>
            <w:r>
              <w:rPr>
                <w:rFonts w:ascii="宋体" w:hAnsi="宋体" w:cs="宋体" w:eastAsia="宋体" w:hint="default"/>
                <w:w w:val="100"/>
                <w:sz w:val="21"/>
                <w:szCs w:val="21"/>
              </w:rPr>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b/>
                <w:bCs/>
                <w:sz w:val="21"/>
                <w:szCs w:val="21"/>
              </w:rPr>
              <w:t>损益的金融资产</w:t>
            </w:r>
            <w:r>
              <w:rPr>
                <w:rFonts w:ascii="宋体" w:hAnsi="宋体" w:cs="宋体" w:eastAsia="宋体" w:hint="default"/>
                <w:sz w:val="21"/>
                <w:szCs w:val="21"/>
              </w:rPr>
            </w:r>
          </w:p>
        </w:tc>
        <w:tc>
          <w:tcPr>
            <w:tcW w:w="1397" w:type="dxa"/>
            <w:tcBorders>
              <w:top w:val="single" w:sz="4" w:space="0" w:color="41B7EE"/>
              <w:left w:val="single" w:sz="4" w:space="0" w:color="41B7EE"/>
              <w:bottom w:val="single" w:sz="4" w:space="0" w:color="41B7EE"/>
              <w:right w:val="single" w:sz="4" w:space="0" w:color="41B7EE"/>
            </w:tcBorders>
          </w:tcPr>
          <w:p>
            <w:pPr/>
          </w:p>
        </w:tc>
        <w:tc>
          <w:tcPr>
            <w:tcW w:w="1399"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5"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t>（原准则）</w:t>
            </w:r>
          </w:p>
        </w:tc>
        <w:tc>
          <w:tcPr>
            <w:tcW w:w="139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left="360" w:right="0"/>
              <w:jc w:val="left"/>
              <w:rPr>
                <w:rFonts w:ascii="Arial" w:hAnsi="Arial" w:cs="Arial" w:eastAsia="Arial" w:hint="default"/>
                <w:sz w:val="21"/>
                <w:szCs w:val="21"/>
              </w:rPr>
            </w:pPr>
            <w:r>
              <w:rPr>
                <w:rFonts w:ascii="Arial"/>
                <w:spacing w:val="-2"/>
                <w:w w:val="85"/>
                <w:sz w:val="21"/>
              </w:rPr>
              <w:t>9,858,946.90</w:t>
            </w:r>
            <w:r>
              <w:rPr>
                <w:rFonts w:ascii="Arial"/>
                <w:sz w:val="21"/>
              </w:rPr>
            </w:r>
          </w:p>
        </w:tc>
        <w:tc>
          <w:tcPr>
            <w:tcW w:w="1399"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减：转出至交易性金融资产</w:t>
            </w:r>
          </w:p>
        </w:tc>
        <w:tc>
          <w:tcPr>
            <w:tcW w:w="1397" w:type="dxa"/>
            <w:tcBorders>
              <w:top w:val="single" w:sz="4" w:space="0" w:color="41B7EE"/>
              <w:left w:val="single" w:sz="4" w:space="0" w:color="41B7EE"/>
              <w:bottom w:val="single" w:sz="4" w:space="0" w:color="41B7EE"/>
              <w:right w:val="single" w:sz="4" w:space="0" w:color="41B7EE"/>
            </w:tcBorders>
          </w:tcPr>
          <w:p>
            <w:pPr/>
          </w:p>
        </w:tc>
        <w:tc>
          <w:tcPr>
            <w:tcW w:w="139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left="359" w:right="0"/>
              <w:jc w:val="left"/>
              <w:rPr>
                <w:rFonts w:ascii="Arial" w:hAnsi="Arial" w:cs="Arial" w:eastAsia="Arial" w:hint="default"/>
                <w:sz w:val="21"/>
                <w:szCs w:val="21"/>
              </w:rPr>
            </w:pPr>
            <w:r>
              <w:rPr>
                <w:rFonts w:ascii="Arial"/>
                <w:spacing w:val="-2"/>
                <w:w w:val="85"/>
                <w:sz w:val="21"/>
              </w:rPr>
              <w:t>9,858,946.90</w:t>
            </w:r>
            <w:r>
              <w:rPr>
                <w:rFonts w:ascii="Arial"/>
                <w:sz w:val="21"/>
              </w:rPr>
            </w: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65" w:hRule="exact"/>
        </w:trPr>
        <w:tc>
          <w:tcPr>
            <w:tcW w:w="3541"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p>
        </w:tc>
        <w:tc>
          <w:tcPr>
            <w:tcW w:w="1397" w:type="dxa"/>
            <w:tcBorders>
              <w:top w:val="single" w:sz="4" w:space="0" w:color="41B7EE"/>
              <w:left w:val="single" w:sz="4" w:space="0" w:color="41B7EE"/>
              <w:bottom w:val="single" w:sz="8" w:space="0" w:color="41B7EE"/>
              <w:right w:val="single" w:sz="4" w:space="0" w:color="41B7EE"/>
            </w:tcBorders>
          </w:tcPr>
          <w:p>
            <w:pPr/>
          </w:p>
        </w:tc>
        <w:tc>
          <w:tcPr>
            <w:tcW w:w="1399" w:type="dxa"/>
            <w:tcBorders>
              <w:top w:val="single" w:sz="4" w:space="0" w:color="41B7EE"/>
              <w:left w:val="single" w:sz="4" w:space="0" w:color="41B7EE"/>
              <w:bottom w:val="single" w:sz="8" w:space="0" w:color="41B7EE"/>
              <w:right w:val="single" w:sz="4" w:space="0" w:color="41B7EE"/>
            </w:tcBorders>
          </w:tcPr>
          <w:p>
            <w:pPr/>
          </w:p>
        </w:tc>
        <w:tc>
          <w:tcPr>
            <w:tcW w:w="1157" w:type="dxa"/>
            <w:tcBorders>
              <w:top w:val="single" w:sz="4" w:space="0" w:color="41B7EE"/>
              <w:left w:val="single" w:sz="4" w:space="0" w:color="41B7EE"/>
              <w:bottom w:val="single" w:sz="8" w:space="0" w:color="41B7EE"/>
              <w:right w:val="single" w:sz="4" w:space="0" w:color="41B7EE"/>
            </w:tcBorders>
          </w:tcPr>
          <w:p>
            <w:pPr/>
          </w:p>
        </w:tc>
        <w:tc>
          <w:tcPr>
            <w:tcW w:w="1397" w:type="dxa"/>
            <w:tcBorders>
              <w:top w:val="single" w:sz="4" w:space="0" w:color="41B7EE"/>
              <w:left w:val="single" w:sz="4" w:space="0" w:color="41B7EE"/>
              <w:bottom w:val="single" w:sz="8" w:space="0" w:color="41B7EE"/>
              <w:right w:val="nil" w:sz="6" w:space="0" w:color="auto"/>
            </w:tcBorders>
          </w:tcPr>
          <w:p>
            <w:pPr/>
          </w:p>
        </w:tc>
      </w:tr>
    </w:tbl>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3536;height:2" coordorigin="10,10" coordsize="3536,2">
              <v:shape style="position:absolute;left:10;top:10;width:3536;height:2" coordorigin="10,10" coordsize="3536,0" path="m10,10l3545,10e" filled="false" stroked="true" strokeweight=".96002pt" strokecolor="#41b7ee">
                <v:path arrowok="t"/>
              </v:shape>
            </v:group>
            <v:group style="position:absolute;left:3545;top:10;width:58;height:2" coordorigin="3545,10" coordsize="58,2">
              <v:shape style="position:absolute;left:3545;top:10;width:58;height:2" coordorigin="3545,10" coordsize="58,0" path="m3545,10l3603,10e" filled="false" stroked="true" strokeweight=".96002pt" strokecolor="#41b7ee">
                <v:path arrowok="t"/>
              </v:shape>
            </v:group>
            <v:group style="position:absolute;left:3603;top:10;width:1340;height:2" coordorigin="3603,10" coordsize="1340,2">
              <v:shape style="position:absolute;left:3603;top:10;width:1340;height:2" coordorigin="3603,10" coordsize="1340,0" path="m3603,10l4943,10e" filled="false" stroked="true" strokeweight=".96002pt" strokecolor="#41b7ee">
                <v:path arrowok="t"/>
              </v:shape>
            </v:group>
            <v:group style="position:absolute;left:4943;top:10;width:58;height:2" coordorigin="4943,10" coordsize="58,2">
              <v:shape style="position:absolute;left:4943;top:10;width:58;height:2" coordorigin="4943,10" coordsize="58,0" path="m4943,10l5000,10e" filled="false" stroked="true" strokeweight=".96002pt" strokecolor="#41b7ee">
                <v:path arrowok="t"/>
              </v:shape>
            </v:group>
            <v:group style="position:absolute;left:5000;top:10;width:1342;height:2" coordorigin="5000,10" coordsize="1342,2">
              <v:shape style="position:absolute;left:5000;top:10;width:1342;height:2" coordorigin="5000,10" coordsize="1342,0" path="m5000,10l6342,10e" filled="false" stroked="true" strokeweight=".96002pt" strokecolor="#41b7ee">
                <v:path arrowok="t"/>
              </v:shape>
            </v:group>
            <v:group style="position:absolute;left:6342;top:10;width:58;height:2" coordorigin="6342,10" coordsize="58,2">
              <v:shape style="position:absolute;left:6342;top:10;width:58;height:2" coordorigin="6342,10" coordsize="58,0" path="m6342,10l6399,10e" filled="false" stroked="true" strokeweight=".96002pt" strokecolor="#41b7ee">
                <v:path arrowok="t"/>
              </v:shape>
            </v:group>
            <v:group style="position:absolute;left:6399;top:10;width:1100;height:2" coordorigin="6399,10" coordsize="1100,2">
              <v:shape style="position:absolute;left:6399;top:10;width:1100;height:2" coordorigin="6399,10" coordsize="1100,0" path="m6399,10l7499,10e" filled="false" stroked="true" strokeweight=".96002pt" strokecolor="#41b7ee">
                <v:path arrowok="t"/>
              </v:shape>
            </v:group>
            <v:group style="position:absolute;left:7499;top:10;width:58;height:2" coordorigin="7499,10" coordsize="58,2">
              <v:shape style="position:absolute;left:7499;top:10;width:58;height:2" coordorigin="7499,10" coordsize="58,0" path="m7499,10l7557,10e" filled="false" stroked="true" strokeweight=".96002pt" strokecolor="#41b7ee">
                <v:path arrowok="t"/>
              </v:shape>
            </v:group>
            <v:group style="position:absolute;left:7557;top:10;width:1344;height:2" coordorigin="7557,10" coordsize="1344,2">
              <v:shape style="position:absolute;left:7557;top:10;width:1344;height:2" coordorigin="7557,10" coordsize="1344,0" path="m7557,10l8901,10e" filled="false" stroked="true" strokeweight=".96002pt" strokecolor="#41b7ee">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5" w:top="1360" w:bottom="1380" w:left="1640" w:right="1060"/>
        </w:sectPr>
      </w:pPr>
    </w:p>
    <w:p>
      <w:pPr>
        <w:spacing w:line="240" w:lineRule="auto" w:before="10"/>
        <w:rPr>
          <w:rFonts w:ascii="宋体" w:hAnsi="宋体" w:cs="宋体" w:eastAsia="宋体" w:hint="default"/>
          <w:sz w:val="11"/>
          <w:szCs w:val="11"/>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3536;height:2" coordorigin="10,10" coordsize="3536,2">
              <v:shape style="position:absolute;left:10;top:10;width:3536;height:2" coordorigin="10,10" coordsize="3536,0" path="m10,10l3545,10e" filled="false" stroked="true" strokeweight=".96001pt" strokecolor="#41b7ee">
                <v:path arrowok="t"/>
              </v:shape>
            </v:group>
            <v:group style="position:absolute;left:3545;top:10;width:58;height:2" coordorigin="3545,10" coordsize="58,2">
              <v:shape style="position:absolute;left:3545;top:10;width:58;height:2" coordorigin="3545,10" coordsize="58,0" path="m3545,10l3603,10e" filled="false" stroked="true" strokeweight=".96001pt" strokecolor="#41b7ee">
                <v:path arrowok="t"/>
              </v:shape>
            </v:group>
            <v:group style="position:absolute;left:3603;top:10;width:1340;height:2" coordorigin="3603,10" coordsize="1340,2">
              <v:shape style="position:absolute;left:3603;top:10;width:1340;height:2" coordorigin="3603,10" coordsize="1340,0" path="m3603,10l4943,10e" filled="false" stroked="true" strokeweight=".96001pt" strokecolor="#41b7ee">
                <v:path arrowok="t"/>
              </v:shape>
            </v:group>
            <v:group style="position:absolute;left:4943;top:10;width:58;height:2" coordorigin="4943,10" coordsize="58,2">
              <v:shape style="position:absolute;left:4943;top:10;width:58;height:2" coordorigin="4943,10" coordsize="58,0" path="m4943,10l5000,10e" filled="false" stroked="true" strokeweight=".96001pt" strokecolor="#41b7ee">
                <v:path arrowok="t"/>
              </v:shape>
            </v:group>
            <v:group style="position:absolute;left:5000;top:10;width:1342;height:2" coordorigin="5000,10" coordsize="1342,2">
              <v:shape style="position:absolute;left:5000;top:10;width:1342;height:2" coordorigin="5000,10" coordsize="1342,0" path="m5000,10l6342,10e" filled="false" stroked="true" strokeweight=".96001pt" strokecolor="#41b7ee">
                <v:path arrowok="t"/>
              </v:shape>
            </v:group>
            <v:group style="position:absolute;left:6342;top:10;width:58;height:2" coordorigin="6342,10" coordsize="58,2">
              <v:shape style="position:absolute;left:6342;top:10;width:58;height:2" coordorigin="6342,10" coordsize="58,0" path="m6342,10l6399,10e" filled="false" stroked="true" strokeweight=".96001pt" strokecolor="#41b7ee">
                <v:path arrowok="t"/>
              </v:shape>
            </v:group>
            <v:group style="position:absolute;left:6399;top:10;width:1100;height:2" coordorigin="6399,10" coordsize="1100,2">
              <v:shape style="position:absolute;left:6399;top:10;width:1100;height:2" coordorigin="6399,10" coordsize="1100,0" path="m6399,10l7499,10e" filled="false" stroked="true" strokeweight=".96001pt" strokecolor="#41b7ee">
                <v:path arrowok="t"/>
              </v:shape>
            </v:group>
            <v:group style="position:absolute;left:7499;top:10;width:58;height:2" coordorigin="7499,10" coordsize="58,2">
              <v:shape style="position:absolute;left:7499;top:10;width:58;height:2" coordorigin="7499,10" coordsize="58,0" path="m7499,10l7557,10e" filled="false" stroked="true" strokeweight=".96001pt" strokecolor="#41b7ee">
                <v:path arrowok="t"/>
              </v:shape>
            </v:group>
            <v:group style="position:absolute;left:7557;top:10;width:1344;height:2" coordorigin="7557,10" coordsize="1344,2">
              <v:shape style="position:absolute;left:7557;top:10;width:1344;height:2" coordorigin="7557,10" coordsize="1344,0" path="m7557,10l8901,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3541"/>
        <w:gridCol w:w="1397"/>
        <w:gridCol w:w="1399"/>
        <w:gridCol w:w="1157"/>
        <w:gridCol w:w="1397"/>
      </w:tblGrid>
      <w:tr>
        <w:trPr>
          <w:trHeight w:val="562" w:hRule="exact"/>
        </w:trPr>
        <w:tc>
          <w:tcPr>
            <w:tcW w:w="3541"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105"/>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97" w:type="dxa"/>
            <w:tcBorders>
              <w:top w:val="single" w:sz="8" w:space="0" w:color="41B7EE"/>
              <w:left w:val="single" w:sz="4" w:space="0" w:color="41B7EE"/>
              <w:bottom w:val="single" w:sz="4" w:space="0" w:color="41B7EE"/>
              <w:right w:val="single" w:sz="4" w:space="0" w:color="41B7EE"/>
            </w:tcBorders>
          </w:tcPr>
          <w:p>
            <w:pPr>
              <w:pStyle w:val="TableParagraph"/>
              <w:spacing w:line="250" w:lineRule="exact"/>
              <w:ind w:left="67" w:right="0"/>
              <w:jc w:val="left"/>
              <w:rPr>
                <w:rFonts w:ascii="Arial" w:hAnsi="Arial" w:cs="Arial" w:eastAsia="Arial" w:hint="default"/>
                <w:sz w:val="21"/>
                <w:szCs w:val="21"/>
              </w:rPr>
            </w:pPr>
            <w:r>
              <w:rPr>
                <w:rFonts w:ascii="Arial" w:hAnsi="Arial" w:cs="Arial" w:eastAsia="Arial" w:hint="default"/>
                <w:spacing w:val="-10"/>
                <w:w w:val="95"/>
                <w:sz w:val="21"/>
                <w:szCs w:val="21"/>
              </w:rPr>
              <w:t>2018</w:t>
            </w:r>
            <w:r>
              <w:rPr>
                <w:rFonts w:ascii="Arial" w:hAnsi="Arial" w:cs="Arial" w:eastAsia="Arial" w:hint="default"/>
                <w:spacing w:val="-41"/>
                <w:w w:val="95"/>
                <w:sz w:val="21"/>
                <w:szCs w:val="21"/>
              </w:rPr>
              <w:t> </w:t>
            </w:r>
            <w:r>
              <w:rPr>
                <w:rFonts w:ascii="宋体" w:hAnsi="宋体" w:cs="宋体" w:eastAsia="宋体" w:hint="default"/>
                <w:w w:val="95"/>
                <w:sz w:val="21"/>
                <w:szCs w:val="21"/>
              </w:rPr>
              <w:t>年</w:t>
            </w:r>
            <w:r>
              <w:rPr>
                <w:rFonts w:ascii="宋体" w:hAnsi="宋体" w:cs="宋体" w:eastAsia="宋体" w:hint="default"/>
                <w:spacing w:val="-89"/>
                <w:w w:val="95"/>
                <w:sz w:val="21"/>
                <w:szCs w:val="21"/>
              </w:rPr>
              <w:t> </w:t>
            </w:r>
            <w:r>
              <w:rPr>
                <w:rFonts w:ascii="Arial" w:hAnsi="Arial" w:cs="Arial" w:eastAsia="Arial" w:hint="default"/>
                <w:spacing w:val="-7"/>
                <w:w w:val="95"/>
                <w:sz w:val="21"/>
                <w:szCs w:val="21"/>
              </w:rPr>
              <w:t>12</w:t>
            </w:r>
            <w:r>
              <w:rPr>
                <w:rFonts w:ascii="Arial" w:hAnsi="Arial" w:cs="Arial" w:eastAsia="Arial" w:hint="default"/>
                <w:spacing w:val="-41"/>
                <w:w w:val="95"/>
                <w:sz w:val="21"/>
                <w:szCs w:val="21"/>
              </w:rPr>
              <w:t> </w:t>
            </w:r>
            <w:r>
              <w:rPr>
                <w:rFonts w:ascii="宋体" w:hAnsi="宋体" w:cs="宋体" w:eastAsia="宋体" w:hint="default"/>
                <w:w w:val="95"/>
                <w:sz w:val="21"/>
                <w:szCs w:val="21"/>
              </w:rPr>
              <w:t>月</w:t>
            </w:r>
            <w:r>
              <w:rPr>
                <w:rFonts w:ascii="宋体" w:hAnsi="宋体" w:cs="宋体" w:eastAsia="宋体" w:hint="default"/>
                <w:spacing w:val="-88"/>
                <w:w w:val="95"/>
                <w:sz w:val="21"/>
                <w:szCs w:val="21"/>
              </w:rPr>
              <w:t> </w:t>
            </w:r>
            <w:r>
              <w:rPr>
                <w:rFonts w:ascii="Arial" w:hAnsi="Arial" w:cs="Arial" w:eastAsia="Arial" w:hint="default"/>
                <w:spacing w:val="-16"/>
                <w:w w:val="95"/>
                <w:sz w:val="21"/>
                <w:szCs w:val="21"/>
              </w:rPr>
              <w:t>31</w:t>
            </w:r>
            <w:r>
              <w:rPr>
                <w:rFonts w:ascii="Arial" w:hAnsi="Arial" w:cs="Arial" w:eastAsia="Arial" w:hint="default"/>
                <w:sz w:val="21"/>
                <w:szCs w:val="21"/>
              </w:rPr>
            </w:r>
          </w:p>
          <w:p>
            <w:pPr>
              <w:pStyle w:val="TableParagraph"/>
              <w:spacing w:line="267" w:lineRule="exact"/>
              <w:ind w:left="124" w:right="0"/>
              <w:jc w:val="left"/>
              <w:rPr>
                <w:rFonts w:ascii="宋体" w:hAnsi="宋体" w:cs="宋体" w:eastAsia="宋体" w:hint="default"/>
                <w:sz w:val="21"/>
                <w:szCs w:val="21"/>
              </w:rPr>
            </w:pPr>
            <w:r>
              <w:rPr>
                <w:rFonts w:ascii="宋体" w:hAnsi="宋体" w:cs="宋体" w:eastAsia="宋体" w:hint="default"/>
                <w:spacing w:val="-18"/>
                <w:sz w:val="21"/>
                <w:szCs w:val="21"/>
              </w:rPr>
              <w:t>日（变更前）</w:t>
            </w:r>
          </w:p>
        </w:tc>
        <w:tc>
          <w:tcPr>
            <w:tcW w:w="1399"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105"/>
              <w:ind w:left="407" w:right="0"/>
              <w:jc w:val="left"/>
              <w:rPr>
                <w:rFonts w:ascii="宋体" w:hAnsi="宋体" w:cs="宋体" w:eastAsia="宋体" w:hint="default"/>
                <w:sz w:val="21"/>
                <w:szCs w:val="21"/>
              </w:rPr>
            </w:pPr>
            <w:r>
              <w:rPr>
                <w:rFonts w:ascii="宋体" w:hAnsi="宋体" w:cs="宋体" w:eastAsia="宋体" w:hint="default"/>
                <w:spacing w:val="-14"/>
                <w:sz w:val="21"/>
                <w:szCs w:val="21"/>
              </w:rPr>
              <w:t>重分类</w:t>
            </w:r>
          </w:p>
        </w:tc>
        <w:tc>
          <w:tcPr>
            <w:tcW w:w="1157"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105"/>
              <w:ind w:left="18" w:right="0"/>
              <w:jc w:val="center"/>
              <w:rPr>
                <w:rFonts w:ascii="宋体" w:hAnsi="宋体" w:cs="宋体" w:eastAsia="宋体" w:hint="default"/>
                <w:sz w:val="21"/>
                <w:szCs w:val="21"/>
              </w:rPr>
            </w:pPr>
            <w:r>
              <w:rPr>
                <w:rFonts w:ascii="宋体" w:hAnsi="宋体" w:cs="宋体" w:eastAsia="宋体" w:hint="default"/>
                <w:spacing w:val="-16"/>
                <w:sz w:val="21"/>
                <w:szCs w:val="21"/>
              </w:rPr>
              <w:t>重新计量</w:t>
            </w:r>
          </w:p>
        </w:tc>
        <w:tc>
          <w:tcPr>
            <w:tcW w:w="1397" w:type="dxa"/>
            <w:tcBorders>
              <w:top w:val="single" w:sz="8" w:space="0" w:color="41B7EE"/>
              <w:left w:val="single" w:sz="4" w:space="0" w:color="41B7EE"/>
              <w:bottom w:val="single" w:sz="4" w:space="0" w:color="41B7EE"/>
              <w:right w:val="nil" w:sz="6" w:space="0" w:color="auto"/>
            </w:tcBorders>
          </w:tcPr>
          <w:p>
            <w:pPr>
              <w:pStyle w:val="TableParagraph"/>
              <w:spacing w:line="250" w:lineRule="exact"/>
              <w:ind w:left="14" w:right="0"/>
              <w:jc w:val="center"/>
              <w:rPr>
                <w:rFonts w:ascii="宋体" w:hAnsi="宋体" w:cs="宋体" w:eastAsia="宋体" w:hint="default"/>
                <w:sz w:val="21"/>
                <w:szCs w:val="21"/>
              </w:rPr>
            </w:pPr>
            <w:r>
              <w:rPr>
                <w:rFonts w:ascii="Arial" w:hAnsi="Arial" w:cs="Arial" w:eastAsia="Arial" w:hint="default"/>
                <w:spacing w:val="-10"/>
                <w:w w:val="95"/>
                <w:sz w:val="21"/>
                <w:szCs w:val="21"/>
              </w:rPr>
              <w:t>2019</w:t>
            </w:r>
            <w:r>
              <w:rPr>
                <w:rFonts w:ascii="Arial" w:hAnsi="Arial" w:cs="Arial" w:eastAsia="Arial" w:hint="default"/>
                <w:spacing w:val="-30"/>
                <w:w w:val="95"/>
                <w:sz w:val="21"/>
                <w:szCs w:val="21"/>
              </w:rPr>
              <w:t> </w:t>
            </w:r>
            <w:r>
              <w:rPr>
                <w:rFonts w:ascii="宋体" w:hAnsi="宋体" w:cs="宋体" w:eastAsia="宋体" w:hint="default"/>
                <w:w w:val="95"/>
                <w:sz w:val="21"/>
                <w:szCs w:val="21"/>
              </w:rPr>
              <w:t>年</w:t>
            </w:r>
            <w:r>
              <w:rPr>
                <w:rFonts w:ascii="宋体" w:hAnsi="宋体" w:cs="宋体" w:eastAsia="宋体" w:hint="default"/>
                <w:spacing w:val="-81"/>
                <w:w w:val="95"/>
                <w:sz w:val="21"/>
                <w:szCs w:val="21"/>
              </w:rPr>
              <w:t> </w:t>
            </w:r>
            <w:r>
              <w:rPr>
                <w:rFonts w:ascii="Arial" w:hAnsi="Arial" w:cs="Arial" w:eastAsia="Arial" w:hint="default"/>
                <w:w w:val="95"/>
                <w:sz w:val="21"/>
                <w:szCs w:val="21"/>
              </w:rPr>
              <w:t>1</w:t>
            </w:r>
            <w:r>
              <w:rPr>
                <w:rFonts w:ascii="Arial" w:hAnsi="Arial" w:cs="Arial" w:eastAsia="Arial" w:hint="default"/>
                <w:spacing w:val="-30"/>
                <w:w w:val="95"/>
                <w:sz w:val="21"/>
                <w:szCs w:val="21"/>
              </w:rPr>
              <w:t> </w:t>
            </w:r>
            <w:r>
              <w:rPr>
                <w:rFonts w:ascii="宋体" w:hAnsi="宋体" w:cs="宋体" w:eastAsia="宋体" w:hint="default"/>
                <w:w w:val="95"/>
                <w:sz w:val="21"/>
                <w:szCs w:val="21"/>
              </w:rPr>
              <w:t>月</w:t>
            </w:r>
            <w:r>
              <w:rPr>
                <w:rFonts w:ascii="宋体" w:hAnsi="宋体" w:cs="宋体" w:eastAsia="宋体" w:hint="default"/>
                <w:spacing w:val="-80"/>
                <w:w w:val="95"/>
                <w:sz w:val="21"/>
                <w:szCs w:val="21"/>
              </w:rPr>
              <w:t> </w:t>
            </w:r>
            <w:r>
              <w:rPr>
                <w:rFonts w:ascii="Arial" w:hAnsi="Arial" w:cs="Arial" w:eastAsia="Arial" w:hint="default"/>
                <w:w w:val="95"/>
                <w:sz w:val="21"/>
                <w:szCs w:val="21"/>
              </w:rPr>
              <w:t>1</w:t>
            </w:r>
            <w:r>
              <w:rPr>
                <w:rFonts w:ascii="Arial" w:hAnsi="Arial" w:cs="Arial" w:eastAsia="Arial" w:hint="default"/>
                <w:spacing w:val="-30"/>
                <w:w w:val="95"/>
                <w:sz w:val="21"/>
                <w:szCs w:val="21"/>
              </w:rPr>
              <w:t> </w:t>
            </w:r>
            <w:r>
              <w:rPr>
                <w:rFonts w:ascii="宋体" w:hAnsi="宋体" w:cs="宋体" w:eastAsia="宋体" w:hint="default"/>
                <w:w w:val="95"/>
                <w:sz w:val="21"/>
                <w:szCs w:val="21"/>
              </w:rPr>
              <w:t>日</w:t>
            </w:r>
          </w:p>
          <w:p>
            <w:pPr>
              <w:pStyle w:val="TableParagraph"/>
              <w:spacing w:line="267" w:lineRule="exact"/>
              <w:ind w:left="12" w:right="0"/>
              <w:jc w:val="center"/>
              <w:rPr>
                <w:rFonts w:ascii="宋体" w:hAnsi="宋体" w:cs="宋体" w:eastAsia="宋体" w:hint="default"/>
                <w:sz w:val="21"/>
                <w:szCs w:val="21"/>
              </w:rPr>
            </w:pPr>
            <w:r>
              <w:rPr>
                <w:rFonts w:ascii="宋体" w:hAnsi="宋体" w:cs="宋体" w:eastAsia="宋体" w:hint="default"/>
                <w:spacing w:val="-18"/>
                <w:sz w:val="21"/>
                <w:szCs w:val="21"/>
              </w:rPr>
              <w:t>（变更后）</w:t>
            </w: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Arial" w:hAnsi="Arial" w:cs="Arial" w:eastAsia="Arial" w:hint="default"/>
                <w:b/>
                <w:bCs/>
                <w:sz w:val="21"/>
                <w:szCs w:val="21"/>
              </w:rPr>
              <w:t>2.</w:t>
            </w:r>
            <w:r>
              <w:rPr>
                <w:rFonts w:ascii="宋体" w:hAnsi="宋体" w:cs="宋体" w:eastAsia="宋体" w:hint="default"/>
                <w:b/>
                <w:bCs/>
                <w:sz w:val="21"/>
                <w:szCs w:val="21"/>
              </w:rPr>
              <w:t>其他流动资产</w:t>
            </w:r>
            <w:r>
              <w:rPr>
                <w:rFonts w:ascii="宋体" w:hAnsi="宋体" w:cs="宋体" w:eastAsia="宋体" w:hint="default"/>
                <w:sz w:val="21"/>
                <w:szCs w:val="21"/>
              </w:rPr>
            </w:r>
          </w:p>
        </w:tc>
        <w:tc>
          <w:tcPr>
            <w:tcW w:w="139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18"/>
              <w:jc w:val="right"/>
              <w:rPr>
                <w:rFonts w:ascii="Arial" w:hAnsi="Arial" w:cs="Arial" w:eastAsia="Arial" w:hint="default"/>
                <w:sz w:val="21"/>
                <w:szCs w:val="21"/>
              </w:rPr>
            </w:pPr>
            <w:r>
              <w:rPr>
                <w:rFonts w:ascii="Arial"/>
                <w:spacing w:val="-2"/>
                <w:w w:val="80"/>
                <w:sz w:val="21"/>
              </w:rPr>
              <w:t>2,162,612,628.99</w:t>
            </w:r>
            <w:r>
              <w:rPr>
                <w:rFonts w:ascii="Arial"/>
                <w:sz w:val="21"/>
              </w:rPr>
            </w:r>
          </w:p>
        </w:tc>
        <w:tc>
          <w:tcPr>
            <w:tcW w:w="1399"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39" w:right="0"/>
              <w:jc w:val="left"/>
              <w:rPr>
                <w:rFonts w:ascii="宋体" w:hAnsi="宋体" w:cs="宋体" w:eastAsia="宋体" w:hint="default"/>
                <w:sz w:val="21"/>
                <w:szCs w:val="21"/>
              </w:rPr>
            </w:pPr>
            <w:r>
              <w:rPr>
                <w:rFonts w:ascii="宋体" w:hAnsi="宋体" w:cs="宋体" w:eastAsia="宋体" w:hint="default"/>
                <w:sz w:val="21"/>
                <w:szCs w:val="21"/>
              </w:rPr>
              <w:t>减：转出至交易性金融资产</w:t>
            </w:r>
          </w:p>
        </w:tc>
        <w:tc>
          <w:tcPr>
            <w:tcW w:w="1397" w:type="dxa"/>
            <w:tcBorders>
              <w:top w:val="single" w:sz="4" w:space="0" w:color="41B7EE"/>
              <w:left w:val="single" w:sz="4" w:space="0" w:color="41B7EE"/>
              <w:bottom w:val="single" w:sz="4" w:space="0" w:color="41B7EE"/>
              <w:right w:val="single" w:sz="4" w:space="0" w:color="41B7EE"/>
            </w:tcBorders>
          </w:tcPr>
          <w:p>
            <w:pPr/>
          </w:p>
        </w:tc>
        <w:tc>
          <w:tcPr>
            <w:tcW w:w="139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2"/>
                <w:w w:val="80"/>
                <w:sz w:val="21"/>
              </w:rPr>
              <w:t>2,135,693,612.21</w:t>
            </w:r>
            <w:r>
              <w:rPr>
                <w:rFonts w:ascii="Arial"/>
                <w:sz w:val="21"/>
              </w:rPr>
            </w: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p>
        </w:tc>
        <w:tc>
          <w:tcPr>
            <w:tcW w:w="1397" w:type="dxa"/>
            <w:tcBorders>
              <w:top w:val="single" w:sz="4" w:space="0" w:color="41B7EE"/>
              <w:left w:val="single" w:sz="4" w:space="0" w:color="41B7EE"/>
              <w:bottom w:val="single" w:sz="4" w:space="0" w:color="41B7EE"/>
              <w:right w:val="single" w:sz="4" w:space="0" w:color="41B7EE"/>
            </w:tcBorders>
          </w:tcPr>
          <w:p>
            <w:pPr/>
          </w:p>
        </w:tc>
        <w:tc>
          <w:tcPr>
            <w:tcW w:w="1399"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2"/>
                <w:w w:val="80"/>
                <w:sz w:val="21"/>
              </w:rPr>
              <w:t>26,919,016.78</w:t>
            </w:r>
            <w:r>
              <w:rPr>
                <w:rFonts w:ascii="Arial"/>
                <w:sz w:val="21"/>
              </w:rPr>
            </w:r>
          </w:p>
        </w:tc>
      </w:tr>
      <w:tr>
        <w:trPr>
          <w:trHeight w:val="355"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Arial" w:hAnsi="Arial" w:cs="Arial" w:eastAsia="Arial" w:hint="default"/>
                <w:b/>
                <w:bCs/>
                <w:sz w:val="21"/>
                <w:szCs w:val="21"/>
              </w:rPr>
              <w:t>3.</w:t>
            </w:r>
            <w:r>
              <w:rPr>
                <w:rFonts w:ascii="宋体" w:hAnsi="宋体" w:cs="宋体" w:eastAsia="宋体" w:hint="default"/>
                <w:b/>
                <w:bCs/>
                <w:sz w:val="21"/>
                <w:szCs w:val="21"/>
              </w:rPr>
              <w:t>交易性金融资产</w:t>
            </w:r>
            <w:r>
              <w:rPr>
                <w:rFonts w:ascii="宋体" w:hAnsi="宋体" w:cs="宋体" w:eastAsia="宋体" w:hint="default"/>
                <w:sz w:val="21"/>
                <w:szCs w:val="21"/>
              </w:rPr>
            </w:r>
          </w:p>
        </w:tc>
        <w:tc>
          <w:tcPr>
            <w:tcW w:w="1397" w:type="dxa"/>
            <w:tcBorders>
              <w:top w:val="single" w:sz="4" w:space="0" w:color="41B7EE"/>
              <w:left w:val="single" w:sz="4" w:space="0" w:color="41B7EE"/>
              <w:bottom w:val="single" w:sz="4" w:space="0" w:color="41B7EE"/>
              <w:right w:val="single" w:sz="4" w:space="0" w:color="41B7EE"/>
            </w:tcBorders>
          </w:tcPr>
          <w:p>
            <w:pPr/>
          </w:p>
        </w:tc>
        <w:tc>
          <w:tcPr>
            <w:tcW w:w="1399"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39" w:right="0"/>
              <w:jc w:val="left"/>
              <w:rPr>
                <w:rFonts w:ascii="宋体" w:hAnsi="宋体" w:cs="宋体" w:eastAsia="宋体" w:hint="default"/>
                <w:sz w:val="21"/>
                <w:szCs w:val="21"/>
              </w:rPr>
            </w:pPr>
            <w:r>
              <w:rPr>
                <w:rFonts w:ascii="宋体" w:hAnsi="宋体" w:cs="宋体" w:eastAsia="宋体" w:hint="default"/>
                <w:sz w:val="21"/>
                <w:szCs w:val="21"/>
              </w:rPr>
              <w:t>加：其他流动资产（原准则）转入</w:t>
            </w:r>
          </w:p>
        </w:tc>
        <w:tc>
          <w:tcPr>
            <w:tcW w:w="1397" w:type="dxa"/>
            <w:tcBorders>
              <w:top w:val="single" w:sz="4" w:space="0" w:color="41B7EE"/>
              <w:left w:val="single" w:sz="4" w:space="0" w:color="41B7EE"/>
              <w:bottom w:val="single" w:sz="4" w:space="0" w:color="41B7EE"/>
              <w:right w:val="single" w:sz="4" w:space="0" w:color="41B7EE"/>
            </w:tcBorders>
          </w:tcPr>
          <w:p>
            <w:pPr/>
          </w:p>
        </w:tc>
        <w:tc>
          <w:tcPr>
            <w:tcW w:w="139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20"/>
              <w:jc w:val="right"/>
              <w:rPr>
                <w:rFonts w:ascii="Arial" w:hAnsi="Arial" w:cs="Arial" w:eastAsia="Arial" w:hint="default"/>
                <w:sz w:val="21"/>
                <w:szCs w:val="21"/>
              </w:rPr>
            </w:pPr>
            <w:r>
              <w:rPr>
                <w:rFonts w:ascii="Arial"/>
                <w:spacing w:val="-2"/>
                <w:w w:val="80"/>
                <w:sz w:val="21"/>
              </w:rPr>
              <w:t>2,135,693,612.21</w:t>
            </w:r>
            <w:r>
              <w:rPr>
                <w:rFonts w:ascii="Arial"/>
                <w:sz w:val="21"/>
              </w:rPr>
            </w: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39" w:right="0"/>
              <w:jc w:val="left"/>
              <w:rPr>
                <w:rFonts w:ascii="宋体" w:hAnsi="宋体" w:cs="宋体" w:eastAsia="宋体" w:hint="default"/>
                <w:sz w:val="21"/>
                <w:szCs w:val="21"/>
              </w:rPr>
            </w:pPr>
            <w:r>
              <w:rPr>
                <w:rFonts w:ascii="宋体" w:hAnsi="宋体" w:cs="宋体" w:eastAsia="宋体" w:hint="default"/>
                <w:sz w:val="21"/>
                <w:szCs w:val="21"/>
              </w:rPr>
              <w:t>加：应收利息（原准则）转入</w:t>
            </w:r>
          </w:p>
        </w:tc>
        <w:tc>
          <w:tcPr>
            <w:tcW w:w="139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right="125"/>
              <w:jc w:val="right"/>
              <w:rPr>
                <w:rFonts w:ascii="宋体" w:hAnsi="宋体" w:cs="宋体" w:eastAsia="宋体" w:hint="default"/>
                <w:sz w:val="21"/>
                <w:szCs w:val="21"/>
              </w:rPr>
            </w:pPr>
            <w:r>
              <w:rPr>
                <w:rFonts w:ascii="宋体"/>
                <w:w w:val="100"/>
                <w:sz w:val="21"/>
              </w:rPr>
              <w:t> </w:t>
            </w:r>
          </w:p>
        </w:tc>
        <w:tc>
          <w:tcPr>
            <w:tcW w:w="139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2"/>
                <w:w w:val="80"/>
                <w:sz w:val="21"/>
              </w:rPr>
              <w:t>9,858,946.90</w:t>
            </w:r>
            <w:r>
              <w:rPr>
                <w:rFonts w:ascii="Arial"/>
                <w:sz w:val="21"/>
              </w:rPr>
            </w: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p>
        </w:tc>
        <w:tc>
          <w:tcPr>
            <w:tcW w:w="1397" w:type="dxa"/>
            <w:tcBorders>
              <w:top w:val="single" w:sz="4" w:space="0" w:color="41B7EE"/>
              <w:left w:val="single" w:sz="4" w:space="0" w:color="41B7EE"/>
              <w:bottom w:val="single" w:sz="4" w:space="0" w:color="41B7EE"/>
              <w:right w:val="single" w:sz="4" w:space="0" w:color="41B7EE"/>
            </w:tcBorders>
          </w:tcPr>
          <w:p>
            <w:pPr/>
          </w:p>
        </w:tc>
        <w:tc>
          <w:tcPr>
            <w:tcW w:w="1399"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5"/>
              <w:jc w:val="right"/>
              <w:rPr>
                <w:rFonts w:ascii="Arial" w:hAnsi="Arial" w:cs="Arial" w:eastAsia="Arial" w:hint="default"/>
                <w:sz w:val="21"/>
                <w:szCs w:val="21"/>
              </w:rPr>
            </w:pPr>
            <w:r>
              <w:rPr>
                <w:rFonts w:ascii="Arial"/>
                <w:spacing w:val="-2"/>
                <w:w w:val="80"/>
                <w:sz w:val="21"/>
              </w:rPr>
              <w:t>2,145,552,559.11</w:t>
            </w:r>
            <w:r>
              <w:rPr>
                <w:rFonts w:ascii="Arial"/>
                <w:sz w:val="21"/>
              </w:rPr>
            </w:r>
          </w:p>
        </w:tc>
      </w:tr>
      <w:tr>
        <w:trPr>
          <w:trHeight w:val="554"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b/>
                <w:bCs/>
                <w:w w:val="100"/>
                <w:sz w:val="21"/>
                <w:szCs w:val="21"/>
              </w:rPr>
              <w:t>（二</w:t>
            </w:r>
            <w:r>
              <w:rPr>
                <w:rFonts w:ascii="宋体" w:hAnsi="宋体" w:cs="宋体" w:eastAsia="宋体" w:hint="default"/>
                <w:b/>
                <w:bCs/>
                <w:spacing w:val="-101"/>
                <w:w w:val="100"/>
                <w:sz w:val="21"/>
                <w:szCs w:val="21"/>
              </w:rPr>
              <w:t>）</w:t>
            </w:r>
            <w:r>
              <w:rPr>
                <w:rFonts w:ascii="宋体" w:hAnsi="宋体" w:cs="宋体" w:eastAsia="宋体" w:hint="default"/>
                <w:b/>
                <w:bCs/>
                <w:w w:val="100"/>
                <w:sz w:val="21"/>
                <w:szCs w:val="21"/>
              </w:rPr>
              <w:t>以公允价值计量且</w:t>
            </w:r>
            <w:r>
              <w:rPr>
                <w:rFonts w:ascii="宋体" w:hAnsi="宋体" w:cs="宋体" w:eastAsia="宋体" w:hint="default"/>
                <w:b/>
                <w:bCs/>
                <w:spacing w:val="-3"/>
                <w:w w:val="100"/>
                <w:sz w:val="21"/>
                <w:szCs w:val="21"/>
              </w:rPr>
              <w:t>其</w:t>
            </w:r>
            <w:r>
              <w:rPr>
                <w:rFonts w:ascii="宋体" w:hAnsi="宋体" w:cs="宋体" w:eastAsia="宋体" w:hint="default"/>
                <w:b/>
                <w:bCs/>
                <w:w w:val="100"/>
                <w:sz w:val="21"/>
                <w:szCs w:val="21"/>
              </w:rPr>
              <w:t>变动计入其</w:t>
            </w:r>
            <w:r>
              <w:rPr>
                <w:rFonts w:ascii="宋体" w:hAnsi="宋体" w:cs="宋体" w:eastAsia="宋体" w:hint="default"/>
                <w:w w:val="100"/>
                <w:sz w:val="21"/>
                <w:szCs w:val="21"/>
              </w:rPr>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b/>
                <w:bCs/>
                <w:sz w:val="21"/>
                <w:szCs w:val="21"/>
              </w:rPr>
              <w:t>他综合收益的金融资产</w:t>
            </w:r>
            <w:r>
              <w:rPr>
                <w:rFonts w:ascii="宋体" w:hAnsi="宋体" w:cs="宋体" w:eastAsia="宋体" w:hint="default"/>
                <w:sz w:val="21"/>
                <w:szCs w:val="21"/>
              </w:rPr>
            </w:r>
          </w:p>
        </w:tc>
        <w:tc>
          <w:tcPr>
            <w:tcW w:w="1397" w:type="dxa"/>
            <w:tcBorders>
              <w:top w:val="single" w:sz="4" w:space="0" w:color="41B7EE"/>
              <w:left w:val="single" w:sz="4" w:space="0" w:color="41B7EE"/>
              <w:bottom w:val="single" w:sz="4" w:space="0" w:color="41B7EE"/>
              <w:right w:val="single" w:sz="4" w:space="0" w:color="41B7EE"/>
            </w:tcBorders>
          </w:tcPr>
          <w:p>
            <w:pPr/>
          </w:p>
        </w:tc>
        <w:tc>
          <w:tcPr>
            <w:tcW w:w="1399"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6"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Arial" w:hAnsi="Arial" w:cs="Arial" w:eastAsia="Arial" w:hint="default"/>
                <w:b/>
                <w:bCs/>
                <w:sz w:val="21"/>
                <w:szCs w:val="21"/>
              </w:rPr>
              <w:t>1.</w:t>
            </w:r>
            <w:r>
              <w:rPr>
                <w:rFonts w:ascii="宋体" w:hAnsi="宋体" w:cs="宋体" w:eastAsia="宋体" w:hint="default"/>
                <w:b/>
                <w:bCs/>
                <w:sz w:val="21"/>
                <w:szCs w:val="21"/>
              </w:rPr>
              <w:t>可供出售金融资产</w:t>
            </w:r>
            <w:r>
              <w:rPr>
                <w:rFonts w:ascii="宋体" w:hAnsi="宋体" w:cs="宋体" w:eastAsia="宋体" w:hint="default"/>
                <w:sz w:val="21"/>
                <w:szCs w:val="21"/>
              </w:rPr>
              <w:t>（原准则）</w:t>
            </w:r>
          </w:p>
        </w:tc>
        <w:tc>
          <w:tcPr>
            <w:tcW w:w="139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8"/>
              <w:jc w:val="right"/>
              <w:rPr>
                <w:rFonts w:ascii="Arial" w:hAnsi="Arial" w:cs="Arial" w:eastAsia="Arial" w:hint="default"/>
                <w:sz w:val="21"/>
                <w:szCs w:val="21"/>
              </w:rPr>
            </w:pPr>
            <w:r>
              <w:rPr>
                <w:rFonts w:ascii="Arial"/>
                <w:spacing w:val="-2"/>
                <w:w w:val="80"/>
                <w:sz w:val="21"/>
              </w:rPr>
              <w:t>21,000,000.00</w:t>
            </w:r>
            <w:r>
              <w:rPr>
                <w:rFonts w:ascii="Arial"/>
                <w:sz w:val="21"/>
              </w:rPr>
            </w:r>
          </w:p>
        </w:tc>
        <w:tc>
          <w:tcPr>
            <w:tcW w:w="1399"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39" w:right="0"/>
              <w:jc w:val="left"/>
              <w:rPr>
                <w:rFonts w:ascii="宋体" w:hAnsi="宋体" w:cs="宋体" w:eastAsia="宋体" w:hint="default"/>
                <w:sz w:val="21"/>
                <w:szCs w:val="21"/>
              </w:rPr>
            </w:pPr>
            <w:r>
              <w:rPr>
                <w:rFonts w:ascii="宋体" w:hAnsi="宋体" w:cs="宋体" w:eastAsia="宋体" w:hint="default"/>
                <w:sz w:val="21"/>
                <w:szCs w:val="21"/>
              </w:rPr>
              <w:t>减：转出至其他权益工具投资</w:t>
            </w:r>
          </w:p>
        </w:tc>
        <w:tc>
          <w:tcPr>
            <w:tcW w:w="1397" w:type="dxa"/>
            <w:tcBorders>
              <w:top w:val="single" w:sz="4" w:space="0" w:color="41B7EE"/>
              <w:left w:val="single" w:sz="4" w:space="0" w:color="41B7EE"/>
              <w:bottom w:val="single" w:sz="4" w:space="0" w:color="41B7EE"/>
              <w:right w:val="single" w:sz="4" w:space="0" w:color="41B7EE"/>
            </w:tcBorders>
          </w:tcPr>
          <w:p>
            <w:pPr/>
          </w:p>
        </w:tc>
        <w:tc>
          <w:tcPr>
            <w:tcW w:w="139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20"/>
              <w:jc w:val="right"/>
              <w:rPr>
                <w:rFonts w:ascii="Arial" w:hAnsi="Arial" w:cs="Arial" w:eastAsia="Arial" w:hint="default"/>
                <w:sz w:val="21"/>
                <w:szCs w:val="21"/>
              </w:rPr>
            </w:pPr>
            <w:r>
              <w:rPr>
                <w:rFonts w:ascii="Arial"/>
                <w:spacing w:val="-2"/>
                <w:w w:val="80"/>
                <w:sz w:val="21"/>
              </w:rPr>
              <w:t>21,000,000.00</w:t>
            </w:r>
            <w:r>
              <w:rPr>
                <w:rFonts w:ascii="Arial"/>
                <w:sz w:val="21"/>
              </w:rPr>
            </w: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p>
        </w:tc>
        <w:tc>
          <w:tcPr>
            <w:tcW w:w="1397" w:type="dxa"/>
            <w:tcBorders>
              <w:top w:val="single" w:sz="4" w:space="0" w:color="41B7EE"/>
              <w:left w:val="single" w:sz="4" w:space="0" w:color="41B7EE"/>
              <w:bottom w:val="single" w:sz="4" w:space="0" w:color="41B7EE"/>
              <w:right w:val="single" w:sz="4" w:space="0" w:color="41B7EE"/>
            </w:tcBorders>
          </w:tcPr>
          <w:p>
            <w:pPr/>
          </w:p>
        </w:tc>
        <w:tc>
          <w:tcPr>
            <w:tcW w:w="1399"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Arial" w:hAnsi="Arial" w:cs="Arial" w:eastAsia="Arial" w:hint="default"/>
                <w:b/>
                <w:bCs/>
                <w:sz w:val="21"/>
                <w:szCs w:val="21"/>
              </w:rPr>
              <w:t>2.</w:t>
            </w:r>
            <w:r>
              <w:rPr>
                <w:rFonts w:ascii="宋体" w:hAnsi="宋体" w:cs="宋体" w:eastAsia="宋体" w:hint="default"/>
                <w:b/>
                <w:bCs/>
                <w:sz w:val="21"/>
                <w:szCs w:val="21"/>
              </w:rPr>
              <w:t>其他权益工具投资</w:t>
            </w:r>
            <w:r>
              <w:rPr>
                <w:rFonts w:ascii="宋体" w:hAnsi="宋体" w:cs="宋体" w:eastAsia="宋体" w:hint="default"/>
                <w:sz w:val="21"/>
                <w:szCs w:val="21"/>
              </w:rPr>
            </w:r>
          </w:p>
        </w:tc>
        <w:tc>
          <w:tcPr>
            <w:tcW w:w="1397" w:type="dxa"/>
            <w:tcBorders>
              <w:top w:val="single" w:sz="4" w:space="0" w:color="41B7EE"/>
              <w:left w:val="single" w:sz="4" w:space="0" w:color="41B7EE"/>
              <w:bottom w:val="single" w:sz="4" w:space="0" w:color="41B7EE"/>
              <w:right w:val="single" w:sz="4" w:space="0" w:color="41B7EE"/>
            </w:tcBorders>
          </w:tcPr>
          <w:p>
            <w:pPr/>
          </w:p>
        </w:tc>
        <w:tc>
          <w:tcPr>
            <w:tcW w:w="1399"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5"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25" w:right="0"/>
              <w:jc w:val="left"/>
              <w:rPr>
                <w:rFonts w:ascii="宋体" w:hAnsi="宋体" w:cs="宋体" w:eastAsia="宋体" w:hint="default"/>
                <w:sz w:val="21"/>
                <w:szCs w:val="21"/>
              </w:rPr>
            </w:pPr>
            <w:r>
              <w:rPr>
                <w:rFonts w:ascii="宋体" w:hAnsi="宋体" w:cs="宋体" w:eastAsia="宋体" w:hint="default"/>
                <w:spacing w:val="-18"/>
                <w:sz w:val="21"/>
                <w:szCs w:val="21"/>
              </w:rPr>
              <w:t>加：可供出售金融资产（原准则）转入</w:t>
            </w:r>
          </w:p>
        </w:tc>
        <w:tc>
          <w:tcPr>
            <w:tcW w:w="1397" w:type="dxa"/>
            <w:tcBorders>
              <w:top w:val="single" w:sz="4" w:space="0" w:color="41B7EE"/>
              <w:left w:val="single" w:sz="4" w:space="0" w:color="41B7EE"/>
              <w:bottom w:val="single" w:sz="4" w:space="0" w:color="41B7EE"/>
              <w:right w:val="single" w:sz="4" w:space="0" w:color="41B7EE"/>
            </w:tcBorders>
          </w:tcPr>
          <w:p>
            <w:pPr/>
          </w:p>
        </w:tc>
        <w:tc>
          <w:tcPr>
            <w:tcW w:w="139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2"/>
                <w:w w:val="80"/>
                <w:sz w:val="21"/>
              </w:rPr>
              <w:t>21,000,000.00</w:t>
            </w:r>
            <w:r>
              <w:rPr>
                <w:rFonts w:ascii="Arial"/>
                <w:sz w:val="21"/>
              </w:rPr>
            </w: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重新计量：按公允价值重新计量</w:t>
            </w:r>
          </w:p>
        </w:tc>
        <w:tc>
          <w:tcPr>
            <w:tcW w:w="1397" w:type="dxa"/>
            <w:tcBorders>
              <w:top w:val="single" w:sz="4" w:space="0" w:color="41B7EE"/>
              <w:left w:val="single" w:sz="4" w:space="0" w:color="41B7EE"/>
              <w:bottom w:val="single" w:sz="4" w:space="0" w:color="41B7EE"/>
              <w:right w:val="single" w:sz="4" w:space="0" w:color="41B7EE"/>
            </w:tcBorders>
          </w:tcPr>
          <w:p>
            <w:pPr/>
          </w:p>
        </w:tc>
        <w:tc>
          <w:tcPr>
            <w:tcW w:w="1399"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1"/>
              <w:jc w:val="center"/>
              <w:rPr>
                <w:rFonts w:ascii="Arial" w:hAnsi="Arial" w:cs="Arial" w:eastAsia="Arial" w:hint="default"/>
                <w:sz w:val="21"/>
                <w:szCs w:val="21"/>
              </w:rPr>
            </w:pPr>
            <w:r>
              <w:rPr>
                <w:rFonts w:ascii="Arial"/>
                <w:w w:val="80"/>
                <w:sz w:val="21"/>
              </w:rPr>
              <w:t>20,258,493.06</w:t>
            </w:r>
            <w:r>
              <w:rPr>
                <w:rFonts w:ascii="Arial"/>
                <w:sz w:val="21"/>
              </w:rPr>
            </w: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84" w:hRule="exact"/>
        </w:trPr>
        <w:tc>
          <w:tcPr>
            <w:tcW w:w="3541"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p>
        </w:tc>
        <w:tc>
          <w:tcPr>
            <w:tcW w:w="1397" w:type="dxa"/>
            <w:tcBorders>
              <w:top w:val="single" w:sz="4" w:space="0" w:color="41B7EE"/>
              <w:left w:val="single" w:sz="4" w:space="0" w:color="41B7EE"/>
              <w:bottom w:val="single" w:sz="23" w:space="0" w:color="41B7EE"/>
              <w:right w:val="single" w:sz="4" w:space="0" w:color="41B7EE"/>
            </w:tcBorders>
          </w:tcPr>
          <w:p>
            <w:pPr/>
          </w:p>
        </w:tc>
        <w:tc>
          <w:tcPr>
            <w:tcW w:w="1399" w:type="dxa"/>
            <w:tcBorders>
              <w:top w:val="single" w:sz="4" w:space="0" w:color="41B7EE"/>
              <w:left w:val="single" w:sz="4" w:space="0" w:color="41B7EE"/>
              <w:bottom w:val="single" w:sz="23" w:space="0" w:color="41B7EE"/>
              <w:right w:val="single" w:sz="4" w:space="0" w:color="41B7EE"/>
            </w:tcBorders>
          </w:tcPr>
          <w:p>
            <w:pPr/>
          </w:p>
        </w:tc>
        <w:tc>
          <w:tcPr>
            <w:tcW w:w="1157" w:type="dxa"/>
            <w:tcBorders>
              <w:top w:val="single" w:sz="4" w:space="0" w:color="41B7EE"/>
              <w:left w:val="single" w:sz="4" w:space="0" w:color="41B7EE"/>
              <w:bottom w:val="single" w:sz="23" w:space="0" w:color="41B7EE"/>
              <w:right w:val="single" w:sz="4" w:space="0" w:color="41B7EE"/>
            </w:tcBorders>
          </w:tcPr>
          <w:p>
            <w:pPr/>
          </w:p>
        </w:tc>
        <w:tc>
          <w:tcPr>
            <w:tcW w:w="1397"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50"/>
              <w:ind w:right="24"/>
              <w:jc w:val="right"/>
              <w:rPr>
                <w:rFonts w:ascii="Arial" w:hAnsi="Arial" w:cs="Arial" w:eastAsia="Arial" w:hint="default"/>
                <w:sz w:val="21"/>
                <w:szCs w:val="21"/>
              </w:rPr>
            </w:pPr>
            <w:r>
              <w:rPr>
                <w:rFonts w:ascii="Arial"/>
                <w:spacing w:val="-2"/>
                <w:w w:val="80"/>
                <w:sz w:val="21"/>
              </w:rPr>
              <w:t>20,258,493.06</w:t>
            </w:r>
            <w:r>
              <w:rPr>
                <w:rFonts w:ascii="Arial"/>
                <w:sz w:val="21"/>
              </w:rPr>
            </w:r>
          </w:p>
        </w:tc>
      </w:tr>
    </w:tbl>
    <w:p>
      <w:pPr>
        <w:pStyle w:val="Heading2"/>
        <w:spacing w:line="240" w:lineRule="auto" w:before="30"/>
        <w:ind w:left="580" w:right="98"/>
        <w:jc w:val="left"/>
        <w:rPr>
          <w:b w:val="0"/>
          <w:bCs w:val="0"/>
        </w:rPr>
      </w:pPr>
      <w:r>
        <w:rPr>
          <w:rFonts w:ascii="Arial" w:hAnsi="Arial" w:cs="Arial" w:eastAsia="Arial" w:hint="default"/>
        </w:rPr>
        <w:t>2.</w:t>
      </w:r>
      <w:r>
        <w:rPr/>
        <w:t>执行《财政部关于修订印发</w:t>
      </w:r>
      <w:r>
        <w:rPr>
          <w:spacing w:val="-54"/>
        </w:rPr>
        <w:t> </w:t>
      </w:r>
      <w:r>
        <w:rPr>
          <w:rFonts w:ascii="Arial" w:hAnsi="Arial" w:cs="Arial" w:eastAsia="Arial" w:hint="default"/>
        </w:rPr>
        <w:t>2019</w:t>
      </w:r>
      <w:r>
        <w:rPr>
          <w:rFonts w:ascii="Arial" w:hAnsi="Arial" w:cs="Arial" w:eastAsia="Arial" w:hint="default"/>
          <w:spacing w:val="-9"/>
        </w:rPr>
        <w:t> </w:t>
      </w:r>
      <w:r>
        <w:rPr/>
        <w:t>年度一般企业财务报表格式的通知》</w:t>
      </w:r>
      <w:r>
        <w:rPr>
          <w:b w:val="0"/>
          <w:bCs w:val="0"/>
        </w:rPr>
      </w:r>
    </w:p>
    <w:p>
      <w:pPr>
        <w:pStyle w:val="BodyText"/>
        <w:spacing w:line="240" w:lineRule="auto" w:before="29"/>
        <w:ind w:left="578" w:right="98"/>
        <w:jc w:val="left"/>
      </w:pPr>
      <w:r>
        <w:rPr>
          <w:w w:val="100"/>
        </w:rPr>
        <w:t>财政</w:t>
      </w:r>
      <w:r>
        <w:rPr>
          <w:spacing w:val="-3"/>
          <w:w w:val="100"/>
        </w:rPr>
        <w:t>部</w:t>
      </w:r>
      <w:r>
        <w:rPr>
          <w:w w:val="100"/>
        </w:rPr>
        <w:t>于</w:t>
      </w:r>
      <w:r>
        <w:rPr>
          <w:spacing w:val="-70"/>
        </w:rPr>
        <w:t> </w:t>
      </w:r>
      <w:r>
        <w:rPr>
          <w:rFonts w:ascii="Arial" w:hAnsi="Arial" w:cs="Arial" w:eastAsia="Arial" w:hint="default"/>
          <w:w w:val="100"/>
        </w:rPr>
        <w:t>20</w:t>
      </w:r>
      <w:r>
        <w:rPr>
          <w:rFonts w:ascii="Arial" w:hAnsi="Arial" w:cs="Arial" w:eastAsia="Arial" w:hint="default"/>
          <w:spacing w:val="-2"/>
          <w:w w:val="100"/>
        </w:rPr>
        <w:t>1</w:t>
      </w:r>
      <w:r>
        <w:rPr>
          <w:rFonts w:ascii="Arial" w:hAnsi="Arial" w:cs="Arial" w:eastAsia="Arial" w:hint="default"/>
          <w:w w:val="100"/>
        </w:rPr>
        <w:t>9</w:t>
      </w:r>
      <w:r>
        <w:rPr>
          <w:rFonts w:ascii="Arial" w:hAnsi="Arial" w:cs="Arial" w:eastAsia="Arial" w:hint="default"/>
          <w:spacing w:val="-20"/>
        </w:rPr>
        <w:t> </w:t>
      </w:r>
      <w:r>
        <w:rPr>
          <w:w w:val="100"/>
        </w:rPr>
        <w:t>年</w:t>
      </w:r>
      <w:r>
        <w:rPr>
          <w:spacing w:val="-69"/>
        </w:rPr>
        <w:t> </w:t>
      </w:r>
      <w:r>
        <w:rPr>
          <w:rFonts w:ascii="Arial" w:hAnsi="Arial" w:cs="Arial" w:eastAsia="Arial" w:hint="default"/>
          <w:w w:val="100"/>
        </w:rPr>
        <w:t>4</w:t>
      </w:r>
      <w:r>
        <w:rPr>
          <w:rFonts w:ascii="Arial" w:hAnsi="Arial" w:cs="Arial" w:eastAsia="Arial" w:hint="default"/>
          <w:spacing w:val="-22"/>
        </w:rPr>
        <w:t> </w:t>
      </w:r>
      <w:r>
        <w:rPr>
          <w:w w:val="100"/>
        </w:rPr>
        <w:t>月</w:t>
      </w:r>
      <w:r>
        <w:rPr>
          <w:spacing w:val="-67"/>
        </w:rPr>
        <w:t> </w:t>
      </w:r>
      <w:r>
        <w:rPr>
          <w:rFonts w:ascii="Arial" w:hAnsi="Arial" w:cs="Arial" w:eastAsia="Arial" w:hint="default"/>
          <w:spacing w:val="-3"/>
          <w:w w:val="100"/>
        </w:rPr>
        <w:t>3</w:t>
      </w:r>
      <w:r>
        <w:rPr>
          <w:rFonts w:ascii="Arial" w:hAnsi="Arial" w:cs="Arial" w:eastAsia="Arial" w:hint="default"/>
          <w:w w:val="100"/>
        </w:rPr>
        <w:t>0</w:t>
      </w:r>
      <w:r>
        <w:rPr>
          <w:rFonts w:ascii="Arial" w:hAnsi="Arial" w:cs="Arial" w:eastAsia="Arial" w:hint="default"/>
          <w:spacing w:val="-23"/>
        </w:rPr>
        <w:t> </w:t>
      </w:r>
      <w:r>
        <w:rPr>
          <w:w w:val="100"/>
        </w:rPr>
        <w:t>日发</w:t>
      </w:r>
      <w:r>
        <w:rPr>
          <w:spacing w:val="-3"/>
          <w:w w:val="100"/>
        </w:rPr>
        <w:t>布</w:t>
      </w:r>
      <w:r>
        <w:rPr>
          <w:spacing w:val="-106"/>
          <w:w w:val="100"/>
        </w:rPr>
        <w:t>了</w:t>
      </w:r>
      <w:r>
        <w:rPr>
          <w:spacing w:val="-3"/>
          <w:w w:val="100"/>
        </w:rPr>
        <w:t>《</w:t>
      </w:r>
      <w:r>
        <w:rPr>
          <w:w w:val="100"/>
        </w:rPr>
        <w:t>关</w:t>
      </w:r>
      <w:r>
        <w:rPr>
          <w:spacing w:val="-3"/>
          <w:w w:val="100"/>
        </w:rPr>
        <w:t>于</w:t>
      </w:r>
      <w:r>
        <w:rPr>
          <w:w w:val="100"/>
        </w:rPr>
        <w:t>修</w:t>
      </w:r>
      <w:r>
        <w:rPr>
          <w:spacing w:val="-3"/>
          <w:w w:val="100"/>
        </w:rPr>
        <w:t>订</w:t>
      </w:r>
      <w:r>
        <w:rPr>
          <w:w w:val="100"/>
        </w:rPr>
        <w:t>印发</w:t>
      </w:r>
      <w:r>
        <w:rPr>
          <w:spacing w:val="-69"/>
        </w:rPr>
        <w:t> </w:t>
      </w:r>
      <w:r>
        <w:rPr>
          <w:rFonts w:ascii="Arial" w:hAnsi="Arial" w:cs="Arial" w:eastAsia="Arial" w:hint="default"/>
          <w:spacing w:val="-3"/>
          <w:w w:val="100"/>
        </w:rPr>
        <w:t>2</w:t>
      </w:r>
      <w:r>
        <w:rPr>
          <w:rFonts w:ascii="Arial" w:hAnsi="Arial" w:cs="Arial" w:eastAsia="Arial" w:hint="default"/>
          <w:w w:val="100"/>
        </w:rPr>
        <w:t>019</w:t>
      </w:r>
      <w:r>
        <w:rPr>
          <w:rFonts w:ascii="Arial" w:hAnsi="Arial" w:cs="Arial" w:eastAsia="Arial" w:hint="default"/>
          <w:spacing w:val="-22"/>
        </w:rPr>
        <w:t> </w:t>
      </w:r>
      <w:r>
        <w:rPr>
          <w:w w:val="100"/>
        </w:rPr>
        <w:t>年</w:t>
      </w:r>
      <w:r>
        <w:rPr>
          <w:spacing w:val="-3"/>
          <w:w w:val="100"/>
        </w:rPr>
        <w:t>度</w:t>
      </w:r>
      <w:r>
        <w:rPr>
          <w:w w:val="100"/>
        </w:rPr>
        <w:t>一</w:t>
      </w:r>
      <w:r>
        <w:rPr>
          <w:spacing w:val="-3"/>
          <w:w w:val="100"/>
        </w:rPr>
        <w:t>般</w:t>
      </w:r>
      <w:r>
        <w:rPr>
          <w:w w:val="100"/>
        </w:rPr>
        <w:t>企</w:t>
      </w:r>
      <w:r>
        <w:rPr>
          <w:spacing w:val="-3"/>
          <w:w w:val="100"/>
        </w:rPr>
        <w:t>业</w:t>
      </w:r>
      <w:r>
        <w:rPr>
          <w:w w:val="100"/>
        </w:rPr>
        <w:t>财</w:t>
      </w:r>
      <w:r>
        <w:rPr>
          <w:spacing w:val="-3"/>
          <w:w w:val="100"/>
        </w:rPr>
        <w:t>务报</w:t>
      </w:r>
      <w:r>
        <w:rPr>
          <w:w w:val="100"/>
        </w:rPr>
        <w:t>表格</w:t>
      </w:r>
      <w:r>
        <w:rPr>
          <w:spacing w:val="-3"/>
          <w:w w:val="100"/>
        </w:rPr>
        <w:t>式</w:t>
      </w:r>
      <w:r>
        <w:rPr>
          <w:w w:val="100"/>
        </w:rPr>
        <w:t>的</w:t>
      </w:r>
      <w:r>
        <w:rPr>
          <w:spacing w:val="-3"/>
          <w:w w:val="100"/>
        </w:rPr>
        <w:t>通</w:t>
      </w:r>
      <w:r>
        <w:rPr>
          <w:w w:val="100"/>
        </w:rPr>
        <w:t>知》</w:t>
      </w:r>
    </w:p>
    <w:p>
      <w:pPr>
        <w:pStyle w:val="BodyText"/>
        <w:spacing w:line="264" w:lineRule="auto" w:before="32"/>
        <w:ind w:left="578" w:right="98" w:hanging="420"/>
        <w:jc w:val="left"/>
      </w:pPr>
      <w:r>
        <w:rPr/>
        <w:t>（财会〔</w:t>
      </w:r>
      <w:r>
        <w:rPr>
          <w:rFonts w:ascii="Arial" w:hAnsi="Arial" w:cs="Arial" w:eastAsia="Arial" w:hint="default"/>
        </w:rPr>
        <w:t>2019</w:t>
      </w:r>
      <w:r>
        <w:rPr/>
        <w:t>〕</w:t>
      </w:r>
      <w:r>
        <w:rPr>
          <w:rFonts w:ascii="Arial" w:hAnsi="Arial" w:cs="Arial" w:eastAsia="Arial" w:hint="default"/>
        </w:rPr>
        <w:t>6</w:t>
      </w:r>
      <w:r>
        <w:rPr>
          <w:rFonts w:ascii="Arial" w:hAnsi="Arial" w:cs="Arial" w:eastAsia="Arial" w:hint="default"/>
          <w:spacing w:val="-9"/>
        </w:rPr>
        <w:t> </w:t>
      </w:r>
      <w:r>
        <w:rPr/>
        <w:t>号），对一般企业财务报表格式进行了修订。</w:t>
      </w:r>
      <w:r>
        <w:rPr>
          <w:w w:val="100"/>
        </w:rPr>
        <w:t> </w:t>
      </w:r>
      <w:r>
        <w:rPr/>
        <w:t>经本公司董事会第六十八次会议于</w:t>
      </w:r>
      <w:r>
        <w:rPr>
          <w:spacing w:val="-52"/>
        </w:rPr>
        <w:t> </w:t>
      </w:r>
      <w:r>
        <w:rPr>
          <w:rFonts w:ascii="Arial" w:hAnsi="Arial" w:cs="Arial" w:eastAsia="Arial" w:hint="default"/>
        </w:rPr>
        <w:t>2019</w:t>
      </w:r>
      <w:r>
        <w:rPr>
          <w:rFonts w:ascii="Arial" w:hAnsi="Arial" w:cs="Arial" w:eastAsia="Arial" w:hint="default"/>
          <w:spacing w:val="-5"/>
        </w:rPr>
        <w:t> </w:t>
      </w:r>
      <w:r>
        <w:rPr/>
        <w:t>年</w:t>
      </w:r>
      <w:r>
        <w:rPr>
          <w:spacing w:val="-54"/>
        </w:rPr>
        <w:t> </w:t>
      </w:r>
      <w:r>
        <w:rPr>
          <w:rFonts w:ascii="Arial" w:hAnsi="Arial" w:cs="Arial" w:eastAsia="Arial" w:hint="default"/>
        </w:rPr>
        <w:t>8</w:t>
      </w:r>
      <w:r>
        <w:rPr>
          <w:rFonts w:ascii="Arial" w:hAnsi="Arial" w:cs="Arial" w:eastAsia="Arial" w:hint="default"/>
          <w:spacing w:val="-5"/>
        </w:rPr>
        <w:t> </w:t>
      </w:r>
      <w:r>
        <w:rPr/>
        <w:t>月</w:t>
      </w:r>
      <w:r>
        <w:rPr>
          <w:spacing w:val="-54"/>
        </w:rPr>
        <w:t> </w:t>
      </w:r>
      <w:r>
        <w:rPr>
          <w:rFonts w:ascii="Arial" w:hAnsi="Arial" w:cs="Arial" w:eastAsia="Arial" w:hint="default"/>
        </w:rPr>
        <w:t>24</w:t>
      </w:r>
      <w:r>
        <w:rPr>
          <w:rFonts w:ascii="Arial" w:hAnsi="Arial" w:cs="Arial" w:eastAsia="Arial" w:hint="default"/>
          <w:spacing w:val="-7"/>
        </w:rPr>
        <w:t> </w:t>
      </w:r>
      <w:r>
        <w:rPr>
          <w:spacing w:val="-5"/>
        </w:rPr>
        <w:t>日决议通过，本公司于</w:t>
      </w:r>
      <w:r>
        <w:rPr>
          <w:spacing w:val="-52"/>
        </w:rPr>
        <w:t> </w:t>
      </w:r>
      <w:r>
        <w:rPr>
          <w:rFonts w:ascii="Arial" w:hAnsi="Arial" w:cs="Arial" w:eastAsia="Arial" w:hint="default"/>
        </w:rPr>
        <w:t>2019</w:t>
      </w:r>
      <w:r>
        <w:rPr>
          <w:rFonts w:ascii="Arial" w:hAnsi="Arial" w:cs="Arial" w:eastAsia="Arial" w:hint="default"/>
          <w:spacing w:val="-4"/>
        </w:rPr>
        <w:t> </w:t>
      </w:r>
      <w:r>
        <w:rPr/>
        <w:t>年</w:t>
      </w:r>
      <w:r>
        <w:rPr>
          <w:spacing w:val="-54"/>
        </w:rPr>
        <w:t> </w:t>
      </w:r>
      <w:r>
        <w:rPr>
          <w:rFonts w:ascii="Arial" w:hAnsi="Arial" w:cs="Arial" w:eastAsia="Arial" w:hint="default"/>
        </w:rPr>
        <w:t>1</w:t>
      </w:r>
      <w:r>
        <w:rPr>
          <w:rFonts w:ascii="Arial" w:hAnsi="Arial" w:cs="Arial" w:eastAsia="Arial" w:hint="default"/>
          <w:spacing w:val="-5"/>
        </w:rPr>
        <w:t> </w:t>
      </w:r>
      <w:r>
        <w:rPr/>
        <w:t>月</w:t>
      </w:r>
      <w:r>
        <w:rPr>
          <w:spacing w:val="-54"/>
        </w:rPr>
        <w:t> </w:t>
      </w:r>
      <w:r>
        <w:rPr>
          <w:rFonts w:ascii="Arial" w:hAnsi="Arial" w:cs="Arial" w:eastAsia="Arial" w:hint="default"/>
        </w:rPr>
        <w:t>1</w:t>
      </w:r>
      <w:r>
        <w:rPr>
          <w:rFonts w:ascii="Arial" w:hAnsi="Arial" w:cs="Arial" w:eastAsia="Arial" w:hint="default"/>
          <w:spacing w:val="-7"/>
        </w:rPr>
        <w:t> </w:t>
      </w:r>
      <w:r>
        <w:rPr/>
        <w:t>日</w:t>
      </w:r>
    </w:p>
    <w:p>
      <w:pPr>
        <w:pStyle w:val="BodyText"/>
        <w:spacing w:line="240" w:lineRule="auto" w:before="6"/>
        <w:ind w:left="158" w:right="98"/>
        <w:jc w:val="left"/>
      </w:pPr>
      <w:r>
        <w:rPr/>
        <w:t>起开始执行上述规定。主要影响如下：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BodyText"/>
        <w:spacing w:line="240" w:lineRule="auto" w:before="36"/>
        <w:ind w:left="0" w:right="101"/>
        <w:jc w:val="right"/>
      </w:pPr>
      <w:r>
        <w:rPr/>
        <w:pict>
          <v:shape style="position:absolute;margin-left:87.023987pt;margin-top:-55.53635pt;width:448.9pt;height:162.9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35"/>
                    <w:gridCol w:w="3249"/>
                    <w:gridCol w:w="2907"/>
                  </w:tblGrid>
                  <w:tr>
                    <w:trPr>
                      <w:trHeight w:val="382" w:hRule="exact"/>
                    </w:trPr>
                    <w:tc>
                      <w:tcPr>
                        <w:tcW w:w="2735" w:type="dxa"/>
                        <w:vMerge w:val="restart"/>
                        <w:tcBorders>
                          <w:top w:val="single" w:sz="23" w:space="0" w:color="41B7EE"/>
                          <w:left w:val="nil" w:sz="6" w:space="0" w:color="auto"/>
                          <w:right w:val="single" w:sz="4" w:space="0" w:color="41B7EE"/>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6156" w:type="dxa"/>
                        <w:gridSpan w:val="2"/>
                        <w:tcBorders>
                          <w:top w:val="single" w:sz="23" w:space="0" w:color="41B7EE"/>
                          <w:left w:val="single" w:sz="4" w:space="0" w:color="41B7EE"/>
                          <w:bottom w:val="single" w:sz="4" w:space="0" w:color="41B7EE"/>
                          <w:right w:val="nil" w:sz="6" w:space="0" w:color="auto"/>
                        </w:tcBorders>
                      </w:tcPr>
                      <w:p>
                        <w:pPr>
                          <w:pStyle w:val="TableParagraph"/>
                          <w:spacing w:line="240" w:lineRule="auto" w:before="4"/>
                          <w:ind w:left="2015" w:right="0"/>
                          <w:jc w:val="left"/>
                          <w:rPr>
                            <w:rFonts w:ascii="宋体" w:hAnsi="宋体" w:cs="宋体" w:eastAsia="宋体" w:hint="default"/>
                            <w:sz w:val="21"/>
                            <w:szCs w:val="21"/>
                          </w:rPr>
                        </w:pPr>
                        <w:r>
                          <w:rPr>
                            <w:rFonts w:ascii="宋体" w:hAnsi="宋体" w:cs="宋体" w:eastAsia="宋体" w:hint="default"/>
                            <w:sz w:val="21"/>
                            <w:szCs w:val="21"/>
                          </w:rPr>
                          <w:t>受影响的报表项目名称</w:t>
                        </w:r>
                      </w:p>
                    </w:tc>
                  </w:tr>
                  <w:tr>
                    <w:trPr>
                      <w:trHeight w:val="358" w:hRule="exact"/>
                    </w:trPr>
                    <w:tc>
                      <w:tcPr>
                        <w:tcW w:w="2735" w:type="dxa"/>
                        <w:vMerge/>
                        <w:tcBorders>
                          <w:left w:val="nil" w:sz="6" w:space="0" w:color="auto"/>
                          <w:bottom w:val="single" w:sz="4" w:space="0" w:color="41B7EE"/>
                          <w:right w:val="single" w:sz="4" w:space="0" w:color="41B7EE"/>
                        </w:tcBorders>
                      </w:tcPr>
                      <w:p>
                        <w:pPr/>
                      </w:p>
                    </w:tc>
                    <w:tc>
                      <w:tcPr>
                        <w:tcW w:w="324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right="11"/>
                          <w:jc w:val="center"/>
                          <w:rPr>
                            <w:rFonts w:ascii="宋体" w:hAnsi="宋体" w:cs="宋体" w:eastAsia="宋体" w:hint="default"/>
                            <w:sz w:val="21"/>
                            <w:szCs w:val="21"/>
                          </w:rPr>
                        </w:pPr>
                        <w:r>
                          <w:rPr>
                            <w:rFonts w:ascii="宋体" w:hAnsi="宋体" w:cs="宋体" w:eastAsia="宋体" w:hint="default"/>
                            <w:sz w:val="21"/>
                            <w:szCs w:val="21"/>
                          </w:rPr>
                          <w:t>合并报表</w:t>
                        </w:r>
                      </w:p>
                    </w:tc>
                    <w:tc>
                      <w:tcPr>
                        <w:tcW w:w="290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921" w:right="0"/>
                          <w:jc w:val="left"/>
                          <w:rPr>
                            <w:rFonts w:ascii="宋体" w:hAnsi="宋体" w:cs="宋体" w:eastAsia="宋体" w:hint="default"/>
                            <w:sz w:val="21"/>
                            <w:szCs w:val="21"/>
                          </w:rPr>
                        </w:pPr>
                        <w:r>
                          <w:rPr>
                            <w:rFonts w:ascii="宋体" w:hAnsi="宋体" w:cs="宋体" w:eastAsia="宋体" w:hint="default"/>
                            <w:sz w:val="21"/>
                            <w:szCs w:val="21"/>
                          </w:rPr>
                          <w:t>母公司报表</w:t>
                        </w:r>
                      </w:p>
                    </w:tc>
                  </w:tr>
                  <w:tr>
                    <w:trPr>
                      <w:trHeight w:val="1373" w:hRule="exact"/>
                    </w:trPr>
                    <w:tc>
                      <w:tcPr>
                        <w:tcW w:w="2735" w:type="dxa"/>
                        <w:tcBorders>
                          <w:top w:val="single" w:sz="4" w:space="0" w:color="41B7EE"/>
                          <w:left w:val="nil" w:sz="6" w:space="0" w:color="auto"/>
                          <w:bottom w:val="single" w:sz="4" w:space="0" w:color="41B7EE"/>
                          <w:right w:val="single" w:sz="10" w:space="0" w:color="FFFFFF"/>
                        </w:tcBorders>
                      </w:tcPr>
                      <w:p>
                        <w:pPr>
                          <w:pStyle w:val="TableParagraph"/>
                          <w:spacing w:line="237" w:lineRule="auto" w:before="105"/>
                          <w:ind w:left="28" w:right="-40"/>
                          <w:jc w:val="left"/>
                          <w:rPr>
                            <w:rFonts w:ascii="宋体" w:hAnsi="宋体" w:cs="宋体" w:eastAsia="宋体" w:hint="default"/>
                            <w:sz w:val="21"/>
                            <w:szCs w:val="21"/>
                          </w:rPr>
                        </w:pPr>
                        <w:r>
                          <w:rPr>
                            <w:rFonts w:ascii="宋体" w:hAnsi="宋体" w:cs="宋体" w:eastAsia="宋体" w:hint="default"/>
                            <w:spacing w:val="-7"/>
                            <w:sz w:val="21"/>
                            <w:szCs w:val="21"/>
                          </w:rPr>
                          <w:t>资产负债表中“应收票据及应</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收账款”拆分为“应收票据”</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7"/>
                            <w:sz w:val="21"/>
                            <w:szCs w:val="21"/>
                          </w:rPr>
                          <w:t>和“应收账款”列示，比较数</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据相应调整。</w:t>
                        </w:r>
                      </w:p>
                    </w:tc>
                    <w:tc>
                      <w:tcPr>
                        <w:tcW w:w="3249" w:type="dxa"/>
                        <w:tcBorders>
                          <w:top w:val="single" w:sz="4" w:space="0" w:color="41B7EE"/>
                          <w:left w:val="single" w:sz="10" w:space="0" w:color="FFFFFF"/>
                          <w:bottom w:val="single" w:sz="4" w:space="0" w:color="41B7EE"/>
                          <w:right w:val="single" w:sz="4" w:space="0" w:color="41B7EE"/>
                        </w:tcBorders>
                      </w:tcPr>
                      <w:p>
                        <w:pPr>
                          <w:pStyle w:val="TableParagraph"/>
                          <w:spacing w:line="240" w:lineRule="exact"/>
                          <w:ind w:left="3" w:right="0"/>
                          <w:jc w:val="left"/>
                          <w:rPr>
                            <w:rFonts w:ascii="宋体" w:hAnsi="宋体" w:cs="宋体" w:eastAsia="宋体" w:hint="default"/>
                            <w:sz w:val="21"/>
                            <w:szCs w:val="21"/>
                          </w:rPr>
                        </w:pPr>
                        <w:r>
                          <w:rPr>
                            <w:rFonts w:ascii="宋体" w:hAnsi="宋体" w:cs="宋体" w:eastAsia="宋体" w:hint="default"/>
                            <w:spacing w:val="-11"/>
                            <w:sz w:val="21"/>
                            <w:szCs w:val="21"/>
                          </w:rPr>
                          <w:t>“应收票据及应收账款”拆分为“应</w:t>
                        </w:r>
                      </w:p>
                      <w:p>
                        <w:pPr>
                          <w:pStyle w:val="TableParagraph"/>
                          <w:spacing w:line="232" w:lineRule="auto" w:before="6"/>
                          <w:ind w:left="3" w:right="52"/>
                          <w:jc w:val="left"/>
                          <w:rPr>
                            <w:rFonts w:ascii="宋体" w:hAnsi="宋体" w:cs="宋体" w:eastAsia="宋体" w:hint="default"/>
                            <w:sz w:val="21"/>
                            <w:szCs w:val="21"/>
                          </w:rPr>
                        </w:pPr>
                        <w:r>
                          <w:rPr>
                            <w:rFonts w:ascii="宋体" w:hAnsi="宋体" w:cs="宋体" w:eastAsia="宋体" w:hint="default"/>
                            <w:sz w:val="21"/>
                            <w:szCs w:val="21"/>
                          </w:rPr>
                          <w:t>收票据”和“应收账款”，“应收</w:t>
                        </w:r>
                        <w:r>
                          <w:rPr>
                            <w:rFonts w:ascii="宋体" w:hAnsi="宋体" w:cs="宋体" w:eastAsia="宋体" w:hint="default"/>
                            <w:w w:val="100"/>
                            <w:sz w:val="21"/>
                            <w:szCs w:val="21"/>
                          </w:rPr>
                          <w:t> </w:t>
                        </w:r>
                        <w:r>
                          <w:rPr>
                            <w:rFonts w:ascii="宋体" w:hAnsi="宋体" w:cs="宋体" w:eastAsia="宋体" w:hint="default"/>
                            <w:sz w:val="21"/>
                            <w:szCs w:val="21"/>
                          </w:rPr>
                          <w:t>票据”上年年末余额</w:t>
                        </w:r>
                        <w:r>
                          <w:rPr>
                            <w:rFonts w:ascii="宋体" w:hAnsi="宋体" w:cs="宋体" w:eastAsia="宋体" w:hint="default"/>
                            <w:spacing w:val="-53"/>
                            <w:sz w:val="21"/>
                            <w:szCs w:val="21"/>
                          </w:rPr>
                          <w:t> </w:t>
                        </w:r>
                        <w:r>
                          <w:rPr>
                            <w:rFonts w:ascii="Arial" w:hAnsi="Arial" w:cs="Arial" w:eastAsia="Arial" w:hint="default"/>
                            <w:sz w:val="21"/>
                            <w:szCs w:val="21"/>
                          </w:rPr>
                          <w:t>2,438,073.71</w:t>
                        </w:r>
                        <w:r>
                          <w:rPr>
                            <w:rFonts w:ascii="Arial" w:hAnsi="Arial" w:cs="Arial" w:eastAsia="Arial" w:hint="default"/>
                            <w:w w:val="100"/>
                            <w:sz w:val="21"/>
                            <w:szCs w:val="21"/>
                          </w:rPr>
                          <w:t> </w:t>
                        </w:r>
                        <w:r>
                          <w:rPr>
                            <w:rFonts w:ascii="宋体" w:hAnsi="宋体" w:cs="宋体" w:eastAsia="宋体" w:hint="default"/>
                            <w:sz w:val="21"/>
                            <w:szCs w:val="21"/>
                          </w:rPr>
                          <w:t>元，“应收账款”上年年末余额</w:t>
                        </w:r>
                        <w:r>
                          <w:rPr>
                            <w:rFonts w:ascii="宋体" w:hAnsi="宋体" w:cs="宋体" w:eastAsia="宋体" w:hint="default"/>
                            <w:w w:val="100"/>
                            <w:sz w:val="21"/>
                            <w:szCs w:val="21"/>
                          </w:rPr>
                          <w:t> </w:t>
                        </w:r>
                        <w:r>
                          <w:rPr>
                            <w:rFonts w:ascii="Arial" w:hAnsi="Arial" w:cs="Arial" w:eastAsia="Arial" w:hint="default"/>
                            <w:sz w:val="21"/>
                            <w:szCs w:val="21"/>
                          </w:rPr>
                          <w:t>18,890,201.75</w:t>
                        </w:r>
                        <w:r>
                          <w:rPr>
                            <w:rFonts w:ascii="Arial" w:hAnsi="Arial" w:cs="Arial" w:eastAsia="Arial" w:hint="default"/>
                            <w:spacing w:val="-8"/>
                            <w:sz w:val="21"/>
                            <w:szCs w:val="21"/>
                          </w:rPr>
                          <w:t> </w:t>
                        </w:r>
                        <w:r>
                          <w:rPr>
                            <w:rFonts w:ascii="宋体" w:hAnsi="宋体" w:cs="宋体" w:eastAsia="宋体" w:hint="default"/>
                            <w:sz w:val="21"/>
                            <w:szCs w:val="21"/>
                          </w:rPr>
                          <w:t>元。</w:t>
                        </w:r>
                      </w:p>
                    </w:tc>
                    <w:tc>
                      <w:tcPr>
                        <w:tcW w:w="2907" w:type="dxa"/>
                        <w:tcBorders>
                          <w:top w:val="single" w:sz="4" w:space="0" w:color="41B7EE"/>
                          <w:left w:val="single" w:sz="4" w:space="0" w:color="41B7EE"/>
                          <w:bottom w:val="single" w:sz="4" w:space="0" w:color="41B7EE"/>
                          <w:right w:val="nil" w:sz="6" w:space="0" w:color="auto"/>
                        </w:tcBorders>
                      </w:tcPr>
                      <w:p>
                        <w:pPr>
                          <w:pStyle w:val="TableParagraph"/>
                          <w:spacing w:line="237" w:lineRule="auto" w:before="105"/>
                          <w:ind w:left="21" w:right="24"/>
                          <w:jc w:val="left"/>
                          <w:rPr>
                            <w:rFonts w:ascii="宋体" w:hAnsi="宋体" w:cs="宋体" w:eastAsia="宋体" w:hint="default"/>
                            <w:sz w:val="21"/>
                            <w:szCs w:val="21"/>
                          </w:rPr>
                        </w:pPr>
                        <w:r>
                          <w:rPr>
                            <w:rFonts w:ascii="宋体" w:hAnsi="宋体" w:cs="宋体" w:eastAsia="宋体" w:hint="default"/>
                            <w:spacing w:val="-8"/>
                            <w:w w:val="100"/>
                            <w:sz w:val="21"/>
                            <w:szCs w:val="21"/>
                          </w:rPr>
                          <w:t>“应收票据及应收账款”拆分为</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“应收票据”和“应收账款”</w:t>
                        </w:r>
                        <w:r>
                          <w:rPr>
                            <w:rFonts w:ascii="宋体" w:hAnsi="宋体" w:cs="宋体" w:eastAsia="宋体" w:hint="default"/>
                            <w:w w:val="100"/>
                            <w:sz w:val="21"/>
                            <w:szCs w:val="21"/>
                          </w:rPr>
                          <w:t> </w:t>
                        </w:r>
                        <w:r>
                          <w:rPr>
                            <w:rFonts w:ascii="宋体" w:hAnsi="宋体" w:cs="宋体" w:eastAsia="宋体" w:hint="default"/>
                            <w:sz w:val="21"/>
                            <w:szCs w:val="21"/>
                          </w:rPr>
                          <w:t>“应收账款”上年年末余额</w:t>
                        </w:r>
                        <w:r>
                          <w:rPr>
                            <w:rFonts w:ascii="宋体" w:hAnsi="宋体" w:cs="宋体" w:eastAsia="宋体" w:hint="default"/>
                            <w:w w:val="100"/>
                            <w:sz w:val="21"/>
                            <w:szCs w:val="21"/>
                          </w:rPr>
                          <w:t> </w:t>
                        </w:r>
                        <w:r>
                          <w:rPr>
                            <w:rFonts w:ascii="Arial" w:hAnsi="Arial" w:cs="Arial" w:eastAsia="Arial" w:hint="default"/>
                            <w:sz w:val="21"/>
                            <w:szCs w:val="21"/>
                          </w:rPr>
                          <w:t>194,108.00</w:t>
                        </w:r>
                        <w:r>
                          <w:rPr>
                            <w:rFonts w:ascii="Arial" w:hAnsi="Arial" w:cs="Arial" w:eastAsia="Arial" w:hint="default"/>
                            <w:spacing w:val="-4"/>
                            <w:sz w:val="21"/>
                            <w:szCs w:val="21"/>
                          </w:rPr>
                          <w:t> </w:t>
                        </w:r>
                        <w:r>
                          <w:rPr>
                            <w:rFonts w:ascii="宋体" w:hAnsi="宋体" w:cs="宋体" w:eastAsia="宋体" w:hint="default"/>
                            <w:sz w:val="21"/>
                            <w:szCs w:val="21"/>
                          </w:rPr>
                          <w:t>元。</w:t>
                        </w:r>
                      </w:p>
                    </w:tc>
                  </w:tr>
                  <w:tr>
                    <w:trPr>
                      <w:trHeight w:val="1107" w:hRule="exact"/>
                    </w:trPr>
                    <w:tc>
                      <w:tcPr>
                        <w:tcW w:w="2735" w:type="dxa"/>
                        <w:tcBorders>
                          <w:top w:val="single" w:sz="4" w:space="0" w:color="41B7EE"/>
                          <w:left w:val="nil" w:sz="6" w:space="0" w:color="auto"/>
                          <w:bottom w:val="single" w:sz="8" w:space="0" w:color="41B7EE"/>
                          <w:right w:val="single" w:sz="10" w:space="0" w:color="FFFFFF"/>
                        </w:tcBorders>
                      </w:tcPr>
                      <w:p>
                        <w:pPr>
                          <w:pStyle w:val="TableParagraph"/>
                          <w:spacing w:line="237" w:lineRule="auto" w:before="102"/>
                          <w:ind w:left="28" w:right="25"/>
                          <w:jc w:val="left"/>
                          <w:rPr>
                            <w:rFonts w:ascii="宋体" w:hAnsi="宋体" w:cs="宋体" w:eastAsia="宋体" w:hint="default"/>
                            <w:sz w:val="21"/>
                            <w:szCs w:val="21"/>
                          </w:rPr>
                        </w:pPr>
                        <w:r>
                          <w:rPr>
                            <w:rFonts w:ascii="宋体" w:hAnsi="宋体" w:cs="宋体" w:eastAsia="宋体" w:hint="default"/>
                            <w:spacing w:val="-7"/>
                            <w:sz w:val="21"/>
                            <w:szCs w:val="21"/>
                          </w:rPr>
                          <w:t>“应付票据及应付账款”拆分</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5"/>
                            <w:sz w:val="21"/>
                            <w:szCs w:val="21"/>
                          </w:rPr>
                          <w:t>为“应付票据”和“应付账款</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列示，比较数据相应调整。</w:t>
                        </w:r>
                      </w:p>
                    </w:tc>
                    <w:tc>
                      <w:tcPr>
                        <w:tcW w:w="3249" w:type="dxa"/>
                        <w:tcBorders>
                          <w:top w:val="single" w:sz="4" w:space="0" w:color="41B7EE"/>
                          <w:left w:val="single" w:sz="10" w:space="0" w:color="FFFFFF"/>
                          <w:bottom w:val="single" w:sz="8" w:space="0" w:color="41B7EE"/>
                          <w:right w:val="single" w:sz="4" w:space="0" w:color="41B7EE"/>
                        </w:tcBorders>
                      </w:tcPr>
                      <w:p>
                        <w:pPr>
                          <w:pStyle w:val="TableParagraph"/>
                          <w:spacing w:line="239" w:lineRule="exact"/>
                          <w:ind w:left="3" w:right="0"/>
                          <w:jc w:val="left"/>
                          <w:rPr>
                            <w:rFonts w:ascii="宋体" w:hAnsi="宋体" w:cs="宋体" w:eastAsia="宋体" w:hint="default"/>
                            <w:sz w:val="21"/>
                            <w:szCs w:val="21"/>
                          </w:rPr>
                        </w:pPr>
                        <w:r>
                          <w:rPr>
                            <w:rFonts w:ascii="宋体" w:hAnsi="宋体" w:cs="宋体" w:eastAsia="宋体" w:hint="default"/>
                            <w:spacing w:val="-11"/>
                            <w:sz w:val="21"/>
                            <w:szCs w:val="21"/>
                          </w:rPr>
                          <w:t>“应付票据及应付账款”拆分为“应</w:t>
                        </w:r>
                      </w:p>
                      <w:p>
                        <w:pPr>
                          <w:pStyle w:val="TableParagraph"/>
                          <w:spacing w:line="120" w:lineRule="auto" w:before="121"/>
                          <w:ind w:left="-155" w:right="72" w:firstLine="158"/>
                          <w:jc w:val="left"/>
                          <w:rPr>
                            <w:rFonts w:ascii="宋体" w:hAnsi="宋体" w:cs="宋体" w:eastAsia="宋体" w:hint="default"/>
                            <w:sz w:val="21"/>
                            <w:szCs w:val="21"/>
                          </w:rPr>
                        </w:pPr>
                        <w:r>
                          <w:rPr>
                            <w:rFonts w:ascii="宋体" w:hAnsi="宋体" w:cs="宋体" w:eastAsia="宋体" w:hint="default"/>
                            <w:spacing w:val="-2"/>
                            <w:sz w:val="21"/>
                            <w:szCs w:val="21"/>
                          </w:rPr>
                          <w:t>付票据”和“应付账款”，“应付</w:t>
                        </w:r>
                        <w:r>
                          <w:rPr>
                            <w:rFonts w:ascii="宋体" w:hAnsi="宋体" w:cs="宋体" w:eastAsia="宋体" w:hint="default"/>
                            <w:w w:val="100"/>
                            <w:sz w:val="21"/>
                            <w:szCs w:val="21"/>
                          </w:rPr>
                          <w:t> </w:t>
                        </w:r>
                        <w:r>
                          <w:rPr>
                            <w:rFonts w:ascii="宋体" w:hAnsi="宋体" w:cs="宋体" w:eastAsia="宋体" w:hint="default"/>
                            <w:sz w:val="21"/>
                            <w:szCs w:val="21"/>
                          </w:rPr>
                          <w:t>”</w:t>
                        </w:r>
                      </w:p>
                      <w:p>
                        <w:pPr>
                          <w:pStyle w:val="TableParagraph"/>
                          <w:spacing w:line="150" w:lineRule="exact"/>
                          <w:ind w:left="3" w:right="0"/>
                          <w:jc w:val="left"/>
                          <w:rPr>
                            <w:rFonts w:ascii="宋体" w:hAnsi="宋体" w:cs="宋体" w:eastAsia="宋体" w:hint="default"/>
                            <w:sz w:val="21"/>
                            <w:szCs w:val="21"/>
                          </w:rPr>
                        </w:pPr>
                        <w:r>
                          <w:rPr>
                            <w:rFonts w:ascii="宋体" w:hAnsi="宋体" w:cs="宋体" w:eastAsia="宋体" w:hint="default"/>
                            <w:sz w:val="21"/>
                            <w:szCs w:val="21"/>
                          </w:rPr>
                          <w:t>账款”上年年末余额</w:t>
                        </w:r>
                      </w:p>
                      <w:p>
                        <w:pPr>
                          <w:pStyle w:val="TableParagraph"/>
                          <w:spacing w:line="288" w:lineRule="exact"/>
                          <w:ind w:left="3" w:right="0"/>
                          <w:jc w:val="left"/>
                          <w:rPr>
                            <w:rFonts w:ascii="宋体" w:hAnsi="宋体" w:cs="宋体" w:eastAsia="宋体" w:hint="default"/>
                            <w:sz w:val="21"/>
                            <w:szCs w:val="21"/>
                          </w:rPr>
                        </w:pPr>
                        <w:r>
                          <w:rPr>
                            <w:rFonts w:ascii="Arial" w:hAnsi="Arial" w:cs="Arial" w:eastAsia="Arial" w:hint="default"/>
                            <w:sz w:val="21"/>
                            <w:szCs w:val="21"/>
                          </w:rPr>
                          <w:t>139,133,308.98</w:t>
                        </w:r>
                        <w:r>
                          <w:rPr>
                            <w:rFonts w:ascii="Arial" w:hAnsi="Arial" w:cs="Arial" w:eastAsia="Arial" w:hint="default"/>
                            <w:spacing w:val="-7"/>
                            <w:sz w:val="21"/>
                            <w:szCs w:val="21"/>
                          </w:rPr>
                          <w:t> </w:t>
                        </w:r>
                        <w:r>
                          <w:rPr>
                            <w:rFonts w:ascii="宋体" w:hAnsi="宋体" w:cs="宋体" w:eastAsia="宋体" w:hint="default"/>
                            <w:sz w:val="21"/>
                            <w:szCs w:val="21"/>
                          </w:rPr>
                          <w:t>元。</w:t>
                        </w:r>
                      </w:p>
                    </w:tc>
                    <w:tc>
                      <w:tcPr>
                        <w:tcW w:w="2907" w:type="dxa"/>
                        <w:tcBorders>
                          <w:top w:val="single" w:sz="4" w:space="0" w:color="41B7EE"/>
                          <w:left w:val="single" w:sz="4" w:space="0" w:color="41B7EE"/>
                          <w:bottom w:val="single" w:sz="8" w:space="0" w:color="41B7EE"/>
                          <w:right w:val="nil" w:sz="6" w:space="0" w:color="auto"/>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“应</w:t>
                        </w:r>
                        <w:r>
                          <w:rPr>
                            <w:rFonts w:ascii="宋体" w:hAnsi="宋体" w:cs="宋体" w:eastAsia="宋体" w:hint="default"/>
                            <w:spacing w:val="-3"/>
                            <w:w w:val="100"/>
                            <w:sz w:val="21"/>
                            <w:szCs w:val="21"/>
                          </w:rPr>
                          <w:t>付</w:t>
                        </w:r>
                        <w:r>
                          <w:rPr>
                            <w:rFonts w:ascii="宋体" w:hAnsi="宋体" w:cs="宋体" w:eastAsia="宋体" w:hint="default"/>
                            <w:w w:val="100"/>
                            <w:sz w:val="21"/>
                            <w:szCs w:val="21"/>
                          </w:rPr>
                          <w:t>票</w:t>
                        </w:r>
                        <w:r>
                          <w:rPr>
                            <w:rFonts w:ascii="宋体" w:hAnsi="宋体" w:cs="宋体" w:eastAsia="宋体" w:hint="default"/>
                            <w:spacing w:val="-3"/>
                            <w:w w:val="100"/>
                            <w:sz w:val="21"/>
                            <w:szCs w:val="21"/>
                          </w:rPr>
                          <w:t>据</w:t>
                        </w:r>
                        <w:r>
                          <w:rPr>
                            <w:rFonts w:ascii="宋体" w:hAnsi="宋体" w:cs="宋体" w:eastAsia="宋体" w:hint="default"/>
                            <w:w w:val="100"/>
                            <w:sz w:val="21"/>
                            <w:szCs w:val="21"/>
                          </w:rPr>
                          <w:t>及</w:t>
                        </w:r>
                        <w:r>
                          <w:rPr>
                            <w:rFonts w:ascii="宋体" w:hAnsi="宋体" w:cs="宋体" w:eastAsia="宋体" w:hint="default"/>
                            <w:spacing w:val="-3"/>
                            <w:w w:val="100"/>
                            <w:sz w:val="21"/>
                            <w:szCs w:val="21"/>
                          </w:rPr>
                          <w:t>应</w:t>
                        </w:r>
                        <w:r>
                          <w:rPr>
                            <w:rFonts w:ascii="宋体" w:hAnsi="宋体" w:cs="宋体" w:eastAsia="宋体" w:hint="default"/>
                            <w:w w:val="100"/>
                            <w:sz w:val="21"/>
                            <w:szCs w:val="21"/>
                          </w:rPr>
                          <w:t>付</w:t>
                        </w:r>
                        <w:r>
                          <w:rPr>
                            <w:rFonts w:ascii="宋体" w:hAnsi="宋体" w:cs="宋体" w:eastAsia="宋体" w:hint="default"/>
                            <w:spacing w:val="-3"/>
                            <w:w w:val="100"/>
                            <w:sz w:val="21"/>
                            <w:szCs w:val="21"/>
                          </w:rPr>
                          <w:t>账款</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拆</w:t>
                        </w:r>
                        <w:r>
                          <w:rPr>
                            <w:rFonts w:ascii="宋体" w:hAnsi="宋体" w:cs="宋体" w:eastAsia="宋体" w:hint="default"/>
                            <w:w w:val="100"/>
                            <w:sz w:val="21"/>
                            <w:szCs w:val="21"/>
                          </w:rPr>
                          <w:t>分为</w:t>
                        </w:r>
                      </w:p>
                      <w:p>
                        <w:pPr>
                          <w:pStyle w:val="TableParagraph"/>
                          <w:spacing w:line="237" w:lineRule="auto"/>
                          <w:ind w:left="21" w:right="144"/>
                          <w:jc w:val="left"/>
                          <w:rPr>
                            <w:rFonts w:ascii="宋体" w:hAnsi="宋体" w:cs="宋体" w:eastAsia="宋体" w:hint="default"/>
                            <w:sz w:val="21"/>
                            <w:szCs w:val="21"/>
                          </w:rPr>
                        </w:pPr>
                        <w:r>
                          <w:rPr>
                            <w:rFonts w:ascii="宋体" w:hAnsi="宋体" w:cs="宋体" w:eastAsia="宋体" w:hint="default"/>
                            <w:spacing w:val="-2"/>
                            <w:sz w:val="21"/>
                            <w:szCs w:val="21"/>
                          </w:rPr>
                          <w:t>“应付票据”和“应付账款”</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“应付账款”上年年末余额</w:t>
                        </w:r>
                        <w:r>
                          <w:rPr>
                            <w:rFonts w:ascii="宋体" w:hAnsi="宋体" w:cs="宋体" w:eastAsia="宋体" w:hint="default"/>
                            <w:w w:val="100"/>
                            <w:sz w:val="21"/>
                            <w:szCs w:val="21"/>
                          </w:rPr>
                          <w:t> </w:t>
                        </w:r>
                        <w:r>
                          <w:rPr>
                            <w:rFonts w:ascii="Arial" w:hAnsi="Arial" w:cs="Arial" w:eastAsia="Arial" w:hint="default"/>
                            <w:sz w:val="21"/>
                            <w:szCs w:val="21"/>
                          </w:rPr>
                          <w:t>53,040,710.54</w:t>
                        </w:r>
                        <w:r>
                          <w:rPr>
                            <w:rFonts w:ascii="Arial" w:hAnsi="Arial" w:cs="Arial" w:eastAsia="Arial" w:hint="default"/>
                            <w:spacing w:val="-7"/>
                            <w:sz w:val="21"/>
                            <w:szCs w:val="21"/>
                          </w:rPr>
                          <w:t> </w:t>
                        </w:r>
                        <w:r>
                          <w:rPr>
                            <w:rFonts w:ascii="宋体" w:hAnsi="宋体" w:cs="宋体" w:eastAsia="宋体" w:hint="default"/>
                            <w:sz w:val="21"/>
                            <w:szCs w:val="21"/>
                          </w:rPr>
                          <w:t>元。</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6"/>
        <w:ind w:left="0" w:right="101"/>
        <w:jc w:val="right"/>
      </w:pPr>
      <w:r>
        <w:rPr/>
        <w:pict>
          <v:group style="position:absolute;margin-left:226.009995pt;margin-top:10.503665pt;width:160.25pt;height:27.3pt;mso-position-horizontal-relative:page;mso-position-vertical-relative:paragraph;z-index:1984" coordorigin="4520,210" coordsize="3205,546">
            <v:group style="position:absolute;left:4520;top:210;width:3205;height:274" coordorigin="4520,210" coordsize="3205,274">
              <v:shape style="position:absolute;left:4520;top:210;width:3205;height:274" coordorigin="4520,210" coordsize="3205,274" path="m4520,484l7725,484,7725,210,4520,210,4520,484xe" filled="true" fillcolor="#ffffff" stroked="false">
                <v:path arrowok="t"/>
                <v:fill type="solid"/>
              </v:shape>
            </v:group>
            <v:group style="position:absolute;left:4520;top:484;width:3205;height:272" coordorigin="4520,484" coordsize="3205,272">
              <v:shape style="position:absolute;left:4520;top:484;width:3205;height:272" coordorigin="4520,484" coordsize="3205,272" path="m4520,755l7725,755,7725,484,4520,484,4520,755xe" filled="true" fillcolor="#ffffff" stroked="false">
                <v:path arrowok="t"/>
                <v:fill type="solid"/>
              </v:shape>
            </v:group>
            <w10:wrap type="none"/>
          </v:group>
        </w:pict>
      </w:r>
      <w:r>
        <w:rPr>
          <w:w w:val="100"/>
        </w:rPr>
        <w:t>，</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2720;height:2" coordorigin="10,10" coordsize="2720,2">
              <v:shape style="position:absolute;left:10;top:10;width:2720;height:2" coordorigin="10,10" coordsize="2720,0" path="m10,10l2729,10e" filled="false" stroked="true" strokeweight=".95996pt" strokecolor="#41b7ee">
                <v:path arrowok="t"/>
              </v:shape>
            </v:group>
            <v:group style="position:absolute;left:2729;top:10;width:58;height:2" coordorigin="2729,10" coordsize="58,2">
              <v:shape style="position:absolute;left:2729;top:10;width:58;height:2" coordorigin="2729,10" coordsize="58,0" path="m2729,10l2787,10e" filled="false" stroked="true" strokeweight=".95996pt" strokecolor="#41b7ee">
                <v:path arrowok="t"/>
              </v:shape>
            </v:group>
            <v:group style="position:absolute;left:2787;top:10;width:3202;height:2" coordorigin="2787,10" coordsize="3202,2">
              <v:shape style="position:absolute;left:2787;top:10;width:3202;height:2" coordorigin="2787,10" coordsize="3202,0" path="m2787,10l5989,10e" filled="false" stroked="true" strokeweight=".95996pt" strokecolor="#41b7ee">
                <v:path arrowok="t"/>
              </v:shape>
            </v:group>
            <v:group style="position:absolute;left:5989;top:10;width:58;height:2" coordorigin="5989,10" coordsize="58,2">
              <v:shape style="position:absolute;left:5989;top:10;width:58;height:2" coordorigin="5989,10" coordsize="58,0" path="m5989,10l6047,10e" filled="false" stroked="true" strokeweight=".95996pt" strokecolor="#41b7ee">
                <v:path arrowok="t"/>
              </v:shape>
            </v:group>
            <v:group style="position:absolute;left:6047;top:10;width:2854;height:2" coordorigin="6047,10" coordsize="2854,2">
              <v:shape style="position:absolute;left:6047;top:10;width:2854;height:2" coordorigin="6047,10" coordsize="2854,0" path="m6047,10l8901,10e" filled="false" stroked="true" strokeweight=".95996pt" strokecolor="#41b7ee">
                <v:path arrowok="t"/>
              </v:shape>
            </v:group>
          </v:group>
        </w:pict>
      </w:r>
      <w:r>
        <w:rPr>
          <w:rFonts w:ascii="宋体" w:hAnsi="宋体" w:cs="宋体" w:eastAsia="宋体" w:hint="default"/>
          <w:sz w:val="2"/>
          <w:szCs w:val="2"/>
        </w:rPr>
      </w:r>
    </w:p>
    <w:p>
      <w:pPr>
        <w:pStyle w:val="Heading2"/>
        <w:spacing w:line="240" w:lineRule="auto" w:before="10"/>
        <w:ind w:left="580" w:right="98"/>
        <w:jc w:val="left"/>
        <w:rPr>
          <w:b w:val="0"/>
          <w:bCs w:val="0"/>
        </w:rPr>
      </w:pPr>
      <w:r>
        <w:rPr>
          <w:rFonts w:ascii="Arial" w:hAnsi="Arial" w:cs="Arial" w:eastAsia="Arial" w:hint="default"/>
        </w:rPr>
        <w:t>3.</w:t>
      </w:r>
      <w:r>
        <w:rPr/>
        <w:t>执行《企业会计准则第</w:t>
      </w:r>
      <w:r>
        <w:rPr>
          <w:spacing w:val="-55"/>
        </w:rPr>
        <w:t> </w:t>
      </w:r>
      <w:r>
        <w:rPr>
          <w:rFonts w:ascii="Arial" w:hAnsi="Arial" w:cs="Arial" w:eastAsia="Arial" w:hint="default"/>
        </w:rPr>
        <w:t>7</w:t>
      </w:r>
      <w:r>
        <w:rPr>
          <w:rFonts w:ascii="Arial" w:hAnsi="Arial" w:cs="Arial" w:eastAsia="Arial" w:hint="default"/>
          <w:spacing w:val="-8"/>
        </w:rPr>
        <w:t> </w:t>
      </w:r>
      <w:r>
        <w:rPr/>
        <w:t>号</w:t>
      </w:r>
      <w:r>
        <w:rPr>
          <w:rFonts w:ascii="Arial" w:hAnsi="Arial" w:cs="Arial" w:eastAsia="Arial" w:hint="default"/>
          <w:b w:val="0"/>
          <w:bCs w:val="0"/>
        </w:rPr>
        <w:t>——</w:t>
      </w:r>
      <w:r>
        <w:rPr/>
        <w:t>非货币性资产交换》（</w:t>
      </w:r>
      <w:r>
        <w:rPr>
          <w:rFonts w:ascii="Arial" w:hAnsi="Arial" w:cs="Arial" w:eastAsia="Arial" w:hint="default"/>
        </w:rPr>
        <w:t>2019</w:t>
      </w:r>
      <w:r>
        <w:rPr>
          <w:rFonts w:ascii="Arial" w:hAnsi="Arial" w:cs="Arial" w:eastAsia="Arial" w:hint="default"/>
          <w:spacing w:val="-8"/>
        </w:rPr>
        <w:t> </w:t>
      </w:r>
      <w:r>
        <w:rPr/>
        <w:t>修订）</w:t>
      </w:r>
      <w:r>
        <w:rPr>
          <w:b w:val="0"/>
          <w:bCs w:val="0"/>
        </w:rPr>
      </w:r>
    </w:p>
    <w:p>
      <w:pPr>
        <w:pStyle w:val="BodyText"/>
        <w:spacing w:line="240" w:lineRule="auto" w:before="29"/>
        <w:ind w:left="578" w:right="98"/>
        <w:jc w:val="left"/>
      </w:pPr>
      <w:r>
        <w:rPr/>
        <w:t>财政部于</w:t>
      </w:r>
      <w:r>
        <w:rPr>
          <w:spacing w:val="-48"/>
        </w:rPr>
        <w:t> </w:t>
      </w:r>
      <w:r>
        <w:rPr>
          <w:rFonts w:ascii="Arial" w:hAnsi="Arial" w:cs="Arial" w:eastAsia="Arial" w:hint="default"/>
        </w:rPr>
        <w:t>2019</w:t>
      </w:r>
      <w:r>
        <w:rPr>
          <w:rFonts w:ascii="Arial" w:hAnsi="Arial" w:cs="Arial" w:eastAsia="Arial" w:hint="default"/>
          <w:spacing w:val="-1"/>
        </w:rPr>
        <w:t> </w:t>
      </w:r>
      <w:r>
        <w:rPr/>
        <w:t>年</w:t>
      </w:r>
      <w:r>
        <w:rPr>
          <w:spacing w:val="-49"/>
        </w:rPr>
        <w:t> </w:t>
      </w:r>
      <w:r>
        <w:rPr>
          <w:rFonts w:ascii="Arial" w:hAnsi="Arial" w:cs="Arial" w:eastAsia="Arial" w:hint="default"/>
        </w:rPr>
        <w:t>5</w:t>
      </w:r>
      <w:r>
        <w:rPr>
          <w:rFonts w:ascii="Arial" w:hAnsi="Arial" w:cs="Arial" w:eastAsia="Arial" w:hint="default"/>
          <w:spacing w:val="-1"/>
        </w:rPr>
        <w:t> </w:t>
      </w:r>
      <w:r>
        <w:rPr/>
        <w:t>月</w:t>
      </w:r>
      <w:r>
        <w:rPr>
          <w:spacing w:val="-50"/>
        </w:rPr>
        <w:t> </w:t>
      </w:r>
      <w:r>
        <w:rPr>
          <w:rFonts w:ascii="Arial" w:hAnsi="Arial" w:cs="Arial" w:eastAsia="Arial" w:hint="default"/>
        </w:rPr>
        <w:t>9</w:t>
      </w:r>
      <w:r>
        <w:rPr>
          <w:rFonts w:ascii="Arial" w:hAnsi="Arial" w:cs="Arial" w:eastAsia="Arial" w:hint="default"/>
          <w:spacing w:val="-3"/>
        </w:rPr>
        <w:t> </w:t>
      </w:r>
      <w:r>
        <w:rPr>
          <w:spacing w:val="-4"/>
        </w:rPr>
        <w:t>日发布了《企业会计准则第</w:t>
      </w:r>
      <w:r>
        <w:rPr>
          <w:spacing w:val="-48"/>
        </w:rPr>
        <w:t> </w:t>
      </w:r>
      <w:r>
        <w:rPr>
          <w:rFonts w:ascii="Arial" w:hAnsi="Arial" w:cs="Arial" w:eastAsia="Arial" w:hint="default"/>
        </w:rPr>
        <w:t>7</w:t>
      </w:r>
      <w:r>
        <w:rPr>
          <w:rFonts w:ascii="Arial" w:hAnsi="Arial" w:cs="Arial" w:eastAsia="Arial" w:hint="default"/>
          <w:spacing w:val="-3"/>
        </w:rPr>
        <w:t> </w:t>
      </w:r>
      <w:r>
        <w:rPr>
          <w:spacing w:val="-4"/>
        </w:rPr>
        <w:t>号</w:t>
      </w:r>
      <w:r>
        <w:rPr>
          <w:rFonts w:ascii="Arial" w:hAnsi="Arial" w:cs="Arial" w:eastAsia="Arial" w:hint="default"/>
          <w:spacing w:val="-4"/>
        </w:rPr>
        <w:t>——</w:t>
      </w:r>
      <w:r>
        <w:rPr>
          <w:spacing w:val="-4"/>
        </w:rPr>
        <w:t>非货币性资产交换》（</w:t>
      </w:r>
      <w:r>
        <w:rPr>
          <w:rFonts w:ascii="Arial" w:hAnsi="Arial" w:cs="Arial" w:eastAsia="Arial" w:hint="default"/>
          <w:spacing w:val="-4"/>
        </w:rPr>
        <w:t>2019</w:t>
      </w:r>
      <w:r>
        <w:rPr>
          <w:rFonts w:ascii="Arial" w:hAnsi="Arial" w:cs="Arial" w:eastAsia="Arial" w:hint="default"/>
          <w:spacing w:val="-3"/>
        </w:rPr>
        <w:t> </w:t>
      </w:r>
      <w:r>
        <w:rPr/>
        <w:t>修</w:t>
      </w:r>
    </w:p>
    <w:p>
      <w:pPr>
        <w:pStyle w:val="BodyText"/>
        <w:spacing w:line="240" w:lineRule="auto" w:before="29"/>
        <w:ind w:left="158" w:right="0"/>
        <w:jc w:val="both"/>
      </w:pPr>
      <w:r>
        <w:rPr>
          <w:spacing w:val="-4"/>
        </w:rPr>
        <w:t>订）（财会〔</w:t>
      </w:r>
      <w:r>
        <w:rPr>
          <w:rFonts w:ascii="Arial" w:hAnsi="Arial" w:cs="Arial" w:eastAsia="Arial" w:hint="default"/>
          <w:spacing w:val="-4"/>
        </w:rPr>
        <w:t>2019</w:t>
      </w:r>
      <w:r>
        <w:rPr>
          <w:spacing w:val="-4"/>
        </w:rPr>
        <w:t>〕</w:t>
      </w:r>
      <w:r>
        <w:rPr>
          <w:rFonts w:ascii="Arial" w:hAnsi="Arial" w:cs="Arial" w:eastAsia="Arial" w:hint="default"/>
          <w:spacing w:val="-4"/>
        </w:rPr>
        <w:t>8 </w:t>
      </w:r>
      <w:r>
        <w:rPr>
          <w:spacing w:val="-3"/>
        </w:rPr>
        <w:t>号），修订后的准则自</w:t>
      </w:r>
      <w:r>
        <w:rPr>
          <w:spacing w:val="-49"/>
        </w:rPr>
        <w:t> </w:t>
      </w:r>
      <w:r>
        <w:rPr>
          <w:rFonts w:ascii="Arial" w:hAnsi="Arial" w:cs="Arial" w:eastAsia="Arial" w:hint="default"/>
        </w:rPr>
        <w:t>2019</w:t>
      </w:r>
      <w:r>
        <w:rPr>
          <w:rFonts w:ascii="Arial" w:hAnsi="Arial" w:cs="Arial" w:eastAsia="Arial" w:hint="default"/>
          <w:spacing w:val="-4"/>
        </w:rPr>
        <w:t> </w:t>
      </w:r>
      <w:r>
        <w:rPr/>
        <w:t>年</w:t>
      </w:r>
      <w:r>
        <w:rPr>
          <w:spacing w:val="-49"/>
        </w:rPr>
        <w:t> </w:t>
      </w:r>
      <w:r>
        <w:rPr>
          <w:rFonts w:ascii="Arial" w:hAnsi="Arial" w:cs="Arial" w:eastAsia="Arial" w:hint="default"/>
        </w:rPr>
        <w:t>6</w:t>
      </w:r>
      <w:r>
        <w:rPr>
          <w:rFonts w:ascii="Arial" w:hAnsi="Arial" w:cs="Arial" w:eastAsia="Arial" w:hint="default"/>
          <w:spacing w:val="-4"/>
        </w:rPr>
        <w:t> </w:t>
      </w:r>
      <w:r>
        <w:rPr/>
        <w:t>月</w:t>
      </w:r>
      <w:r>
        <w:rPr>
          <w:spacing w:val="-49"/>
        </w:rPr>
        <w:t> </w:t>
      </w:r>
      <w:r>
        <w:rPr>
          <w:rFonts w:ascii="Arial" w:hAnsi="Arial" w:cs="Arial" w:eastAsia="Arial" w:hint="default"/>
        </w:rPr>
        <w:t>10</w:t>
      </w:r>
      <w:r>
        <w:rPr>
          <w:rFonts w:ascii="Arial" w:hAnsi="Arial" w:cs="Arial" w:eastAsia="Arial" w:hint="default"/>
          <w:spacing w:val="-4"/>
        </w:rPr>
        <w:t> </w:t>
      </w:r>
      <w:r>
        <w:rPr>
          <w:spacing w:val="-3"/>
        </w:rPr>
        <w:t>日起施行，对</w:t>
      </w:r>
      <w:r>
        <w:rPr>
          <w:spacing w:val="-49"/>
        </w:rPr>
        <w:t> </w:t>
      </w:r>
      <w:r>
        <w:rPr>
          <w:rFonts w:ascii="Arial" w:hAnsi="Arial" w:cs="Arial" w:eastAsia="Arial" w:hint="default"/>
        </w:rPr>
        <w:t>2019</w:t>
      </w:r>
      <w:r>
        <w:rPr>
          <w:rFonts w:ascii="Arial" w:hAnsi="Arial" w:cs="Arial" w:eastAsia="Arial" w:hint="default"/>
          <w:spacing w:val="-3"/>
        </w:rPr>
        <w:t> </w:t>
      </w:r>
      <w:r>
        <w:rPr/>
        <w:t>年</w:t>
      </w:r>
      <w:r>
        <w:rPr>
          <w:spacing w:val="-49"/>
        </w:rPr>
        <w:t> </w:t>
      </w:r>
      <w:r>
        <w:rPr>
          <w:rFonts w:ascii="Arial" w:hAnsi="Arial" w:cs="Arial" w:eastAsia="Arial" w:hint="default"/>
        </w:rPr>
        <w:t>1</w:t>
      </w:r>
      <w:r>
        <w:rPr>
          <w:rFonts w:ascii="Arial" w:hAnsi="Arial" w:cs="Arial" w:eastAsia="Arial" w:hint="default"/>
          <w:spacing w:val="-4"/>
        </w:rPr>
        <w:t> </w:t>
      </w:r>
      <w:r>
        <w:rPr/>
        <w:t>月</w:t>
      </w:r>
      <w:r>
        <w:rPr>
          <w:spacing w:val="-49"/>
        </w:rPr>
        <w:t> </w:t>
      </w:r>
      <w:r>
        <w:rPr>
          <w:rFonts w:ascii="Arial" w:hAnsi="Arial" w:cs="Arial" w:eastAsia="Arial" w:hint="default"/>
        </w:rPr>
        <w:t>1</w:t>
      </w:r>
      <w:r>
        <w:rPr>
          <w:rFonts w:ascii="Arial" w:hAnsi="Arial" w:cs="Arial" w:eastAsia="Arial" w:hint="default"/>
          <w:spacing w:val="-4"/>
        </w:rPr>
        <w:t> </w:t>
      </w:r>
      <w:r>
        <w:rPr/>
        <w:t>日至</w:t>
      </w:r>
    </w:p>
    <w:p>
      <w:pPr>
        <w:pStyle w:val="BodyText"/>
        <w:spacing w:line="271" w:lineRule="auto" w:before="32"/>
        <w:ind w:left="158" w:right="197"/>
        <w:jc w:val="both"/>
      </w:pPr>
      <w:r>
        <w:rPr/>
        <w:t>本准则施行日之间发生的非货币性资产交换，应根据本准则进行调整。对</w:t>
      </w:r>
      <w:r>
        <w:rPr>
          <w:spacing w:val="-54"/>
        </w:rPr>
        <w:t> </w:t>
      </w:r>
      <w:r>
        <w:rPr>
          <w:rFonts w:ascii="Arial" w:hAnsi="Arial" w:cs="Arial" w:eastAsia="Arial" w:hint="default"/>
        </w:rPr>
        <w:t>2019</w:t>
      </w:r>
      <w:r>
        <w:rPr>
          <w:rFonts w:ascii="Arial" w:hAnsi="Arial" w:cs="Arial" w:eastAsia="Arial" w:hint="default"/>
          <w:spacing w:val="-6"/>
        </w:rPr>
        <w:t> </w:t>
      </w:r>
      <w:r>
        <w:rPr/>
        <w:t>年</w:t>
      </w:r>
      <w:r>
        <w:rPr>
          <w:spacing w:val="-56"/>
        </w:rPr>
        <w:t> </w:t>
      </w:r>
      <w:r>
        <w:rPr>
          <w:rFonts w:ascii="Arial" w:hAnsi="Arial" w:cs="Arial" w:eastAsia="Arial" w:hint="default"/>
        </w:rPr>
        <w:t>1</w:t>
      </w:r>
      <w:r>
        <w:rPr>
          <w:rFonts w:ascii="Arial" w:hAnsi="Arial" w:cs="Arial" w:eastAsia="Arial" w:hint="default"/>
          <w:spacing w:val="-7"/>
        </w:rPr>
        <w:t> </w:t>
      </w:r>
      <w:r>
        <w:rPr/>
        <w:t>月</w:t>
      </w:r>
      <w:r>
        <w:rPr>
          <w:spacing w:val="-56"/>
        </w:rPr>
        <w:t> </w:t>
      </w:r>
      <w:r>
        <w:rPr>
          <w:rFonts w:ascii="Arial" w:hAnsi="Arial" w:cs="Arial" w:eastAsia="Arial" w:hint="default"/>
        </w:rPr>
        <w:t>1</w:t>
      </w:r>
      <w:r>
        <w:rPr>
          <w:rFonts w:ascii="Arial" w:hAnsi="Arial" w:cs="Arial" w:eastAsia="Arial" w:hint="default"/>
          <w:spacing w:val="-7"/>
        </w:rPr>
        <w:t> </w:t>
      </w:r>
      <w:r>
        <w:rPr/>
        <w:t>日之前</w:t>
      </w:r>
      <w:r>
        <w:rPr>
          <w:w w:val="100"/>
        </w:rPr>
        <w:t> </w:t>
      </w:r>
      <w:r>
        <w:rPr>
          <w:spacing w:val="-2"/>
        </w:rPr>
        <w:t>发生的非货币性资产交换，不需要按照本准则的规定进行追溯调整。本公司执行上述准则在本报</w:t>
      </w:r>
      <w:r>
        <w:rPr>
          <w:spacing w:val="-25"/>
        </w:rPr>
        <w:t> </w:t>
      </w:r>
      <w:r>
        <w:rPr>
          <w:spacing w:val="-25"/>
        </w:rPr>
      </w:r>
      <w:r>
        <w:rPr/>
        <w:t>告期内无重大影响。</w:t>
      </w:r>
    </w:p>
    <w:p>
      <w:pPr>
        <w:pStyle w:val="Heading2"/>
        <w:spacing w:line="240" w:lineRule="auto" w:before="19"/>
        <w:ind w:left="580" w:right="98"/>
        <w:jc w:val="left"/>
        <w:rPr>
          <w:b w:val="0"/>
          <w:bCs w:val="0"/>
        </w:rPr>
      </w:pPr>
      <w:r>
        <w:rPr>
          <w:rFonts w:ascii="Arial" w:hAnsi="Arial" w:cs="Arial" w:eastAsia="Arial" w:hint="default"/>
        </w:rPr>
        <w:t>4.</w:t>
      </w:r>
      <w:r>
        <w:rPr/>
        <w:t>执行《企业会计准则第</w:t>
      </w:r>
      <w:r>
        <w:rPr>
          <w:spacing w:val="-53"/>
        </w:rPr>
        <w:t> </w:t>
      </w:r>
      <w:r>
        <w:rPr>
          <w:rFonts w:ascii="Arial" w:hAnsi="Arial" w:cs="Arial" w:eastAsia="Arial" w:hint="default"/>
        </w:rPr>
        <w:t>12</w:t>
      </w:r>
      <w:r>
        <w:rPr>
          <w:rFonts w:ascii="Arial" w:hAnsi="Arial" w:cs="Arial" w:eastAsia="Arial" w:hint="default"/>
          <w:spacing w:val="-8"/>
        </w:rPr>
        <w:t> </w:t>
      </w:r>
      <w:r>
        <w:rPr/>
        <w:t>号</w:t>
      </w:r>
      <w:r>
        <w:rPr>
          <w:rFonts w:ascii="Arial" w:hAnsi="Arial" w:cs="Arial" w:eastAsia="Arial" w:hint="default"/>
          <w:b w:val="0"/>
          <w:bCs w:val="0"/>
        </w:rPr>
        <w:t>——</w:t>
      </w:r>
      <w:r>
        <w:rPr/>
        <w:t>债务重组》（</w:t>
      </w:r>
      <w:r>
        <w:rPr>
          <w:rFonts w:ascii="Arial" w:hAnsi="Arial" w:cs="Arial" w:eastAsia="Arial" w:hint="default"/>
        </w:rPr>
        <w:t>2019</w:t>
      </w:r>
      <w:r>
        <w:rPr>
          <w:rFonts w:ascii="Arial" w:hAnsi="Arial" w:cs="Arial" w:eastAsia="Arial" w:hint="default"/>
          <w:spacing w:val="-8"/>
        </w:rPr>
        <w:t> </w:t>
      </w:r>
      <w:r>
        <w:rPr/>
        <w:t>修订）</w:t>
      </w:r>
      <w:r>
        <w:rPr>
          <w:b w:val="0"/>
          <w:bCs w:val="0"/>
        </w:rPr>
      </w:r>
    </w:p>
    <w:p>
      <w:pPr>
        <w:spacing w:after="0" w:line="240" w:lineRule="auto"/>
        <w:jc w:val="left"/>
        <w:sectPr>
          <w:pgSz w:w="11910" w:h="16840"/>
          <w:pgMar w:header="0" w:footer="1195" w:top="1360" w:bottom="1380" w:left="1640" w:right="1080"/>
        </w:sectPr>
      </w:pPr>
    </w:p>
    <w:p>
      <w:pPr>
        <w:spacing w:line="240" w:lineRule="auto" w:before="12"/>
        <w:rPr>
          <w:rFonts w:ascii="宋体" w:hAnsi="宋体" w:cs="宋体" w:eastAsia="宋体" w:hint="default"/>
          <w:b/>
          <w:bCs/>
          <w:sz w:val="9"/>
          <w:szCs w:val="9"/>
        </w:rPr>
      </w:pPr>
    </w:p>
    <w:p>
      <w:pPr>
        <w:pStyle w:val="BodyText"/>
        <w:spacing w:line="240" w:lineRule="auto" w:before="36"/>
        <w:ind w:left="658" w:right="0"/>
        <w:jc w:val="left"/>
      </w:pPr>
      <w:r>
        <w:rPr>
          <w:w w:val="100"/>
        </w:rPr>
        <w:t>财政</w:t>
      </w:r>
      <w:r>
        <w:rPr>
          <w:spacing w:val="-3"/>
          <w:w w:val="100"/>
        </w:rPr>
        <w:t>部</w:t>
      </w:r>
      <w:r>
        <w:rPr>
          <w:w w:val="100"/>
        </w:rPr>
        <w:t>于</w:t>
      </w:r>
      <w:r>
        <w:rPr>
          <w:spacing w:val="-53"/>
        </w:rPr>
        <w:t> </w:t>
      </w:r>
      <w:r>
        <w:rPr>
          <w:rFonts w:ascii="Arial" w:hAnsi="Arial" w:cs="Arial" w:eastAsia="Arial" w:hint="default"/>
          <w:spacing w:val="-3"/>
          <w:w w:val="100"/>
        </w:rPr>
        <w:t>2</w:t>
      </w:r>
      <w:r>
        <w:rPr>
          <w:rFonts w:ascii="Arial" w:hAnsi="Arial" w:cs="Arial" w:eastAsia="Arial" w:hint="default"/>
          <w:w w:val="100"/>
        </w:rPr>
        <w:t>0</w:t>
      </w:r>
      <w:r>
        <w:rPr>
          <w:rFonts w:ascii="Arial" w:hAnsi="Arial" w:cs="Arial" w:eastAsia="Arial" w:hint="default"/>
          <w:spacing w:val="-3"/>
          <w:w w:val="100"/>
        </w:rPr>
        <w:t>1</w:t>
      </w:r>
      <w:r>
        <w:rPr>
          <w:rFonts w:ascii="Arial" w:hAnsi="Arial" w:cs="Arial" w:eastAsia="Arial" w:hint="default"/>
          <w:w w:val="100"/>
        </w:rPr>
        <w:t>9</w:t>
      </w:r>
      <w:r>
        <w:rPr>
          <w:rFonts w:ascii="Arial" w:hAnsi="Arial" w:cs="Arial" w:eastAsia="Arial" w:hint="default"/>
          <w:spacing w:val="-6"/>
        </w:rPr>
        <w:t> </w:t>
      </w:r>
      <w:r>
        <w:rPr>
          <w:w w:val="100"/>
        </w:rPr>
        <w:t>年</w:t>
      </w:r>
      <w:r>
        <w:rPr>
          <w:spacing w:val="-54"/>
        </w:rPr>
        <w:t> </w:t>
      </w:r>
      <w:r>
        <w:rPr>
          <w:rFonts w:ascii="Arial" w:hAnsi="Arial" w:cs="Arial" w:eastAsia="Arial" w:hint="default"/>
          <w:w w:val="100"/>
        </w:rPr>
        <w:t>5</w:t>
      </w:r>
      <w:r>
        <w:rPr>
          <w:rFonts w:ascii="Arial" w:hAnsi="Arial" w:cs="Arial" w:eastAsia="Arial" w:hint="default"/>
          <w:spacing w:val="-6"/>
        </w:rPr>
        <w:t> </w:t>
      </w:r>
      <w:r>
        <w:rPr>
          <w:w w:val="100"/>
        </w:rPr>
        <w:t>月</w:t>
      </w:r>
      <w:r>
        <w:rPr>
          <w:spacing w:val="-55"/>
        </w:rPr>
        <w:t> </w:t>
      </w:r>
      <w:r>
        <w:rPr>
          <w:rFonts w:ascii="Arial" w:hAnsi="Arial" w:cs="Arial" w:eastAsia="Arial" w:hint="default"/>
          <w:w w:val="100"/>
        </w:rPr>
        <w:t>16</w:t>
      </w:r>
      <w:r>
        <w:rPr>
          <w:rFonts w:ascii="Arial" w:hAnsi="Arial" w:cs="Arial" w:eastAsia="Arial" w:hint="default"/>
          <w:spacing w:val="-8"/>
        </w:rPr>
        <w:t> </w:t>
      </w:r>
      <w:r>
        <w:rPr>
          <w:w w:val="100"/>
        </w:rPr>
        <w:t>日发</w:t>
      </w:r>
      <w:r>
        <w:rPr>
          <w:spacing w:val="-3"/>
          <w:w w:val="100"/>
        </w:rPr>
        <w:t>布</w:t>
      </w:r>
      <w:r>
        <w:rPr>
          <w:spacing w:val="-60"/>
          <w:w w:val="100"/>
        </w:rPr>
        <w:t>了</w:t>
      </w:r>
      <w:r>
        <w:rPr>
          <w:spacing w:val="-3"/>
          <w:w w:val="100"/>
        </w:rPr>
        <w:t>《</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53"/>
        </w:rPr>
        <w:t> </w:t>
      </w:r>
      <w:r>
        <w:rPr>
          <w:rFonts w:ascii="Arial" w:hAnsi="Arial" w:cs="Arial" w:eastAsia="Arial" w:hint="default"/>
          <w:w w:val="100"/>
        </w:rPr>
        <w:t>12</w:t>
      </w:r>
      <w:r>
        <w:rPr>
          <w:rFonts w:ascii="Arial" w:hAnsi="Arial" w:cs="Arial" w:eastAsia="Arial" w:hint="default"/>
          <w:spacing w:val="-8"/>
        </w:rPr>
        <w:t> </w:t>
      </w:r>
      <w:r>
        <w:rPr>
          <w:w w:val="100"/>
        </w:rPr>
        <w:t>号</w:t>
      </w:r>
      <w:r>
        <w:rPr>
          <w:rFonts w:ascii="Arial" w:hAnsi="Arial" w:cs="Arial" w:eastAsia="Arial" w:hint="default"/>
          <w:spacing w:val="-3"/>
          <w:w w:val="100"/>
        </w:rPr>
        <w:t>—</w:t>
      </w:r>
      <w:r>
        <w:rPr>
          <w:rFonts w:ascii="Arial" w:hAnsi="Arial" w:cs="Arial" w:eastAsia="Arial" w:hint="default"/>
          <w:w w:val="100"/>
        </w:rPr>
        <w:t>—</w:t>
      </w:r>
      <w:r>
        <w:rPr>
          <w:spacing w:val="-3"/>
          <w:w w:val="100"/>
        </w:rPr>
        <w:t>债</w:t>
      </w:r>
      <w:r>
        <w:rPr>
          <w:w w:val="100"/>
        </w:rPr>
        <w:t>务</w:t>
      </w:r>
      <w:r>
        <w:rPr>
          <w:spacing w:val="-3"/>
          <w:w w:val="100"/>
        </w:rPr>
        <w:t>重</w:t>
      </w:r>
      <w:r>
        <w:rPr>
          <w:w w:val="100"/>
        </w:rPr>
        <w:t>组</w:t>
      </w:r>
      <w:r>
        <w:rPr>
          <w:spacing w:val="-120"/>
          <w:w w:val="100"/>
        </w:rPr>
        <w:t>》</w:t>
      </w:r>
      <w:r>
        <w:rPr>
          <w:spacing w:val="-2"/>
          <w:w w:val="100"/>
        </w:rPr>
        <w:t>（</w:t>
      </w:r>
      <w:r>
        <w:rPr>
          <w:rFonts w:ascii="Arial" w:hAnsi="Arial" w:cs="Arial" w:eastAsia="Arial" w:hint="default"/>
          <w:spacing w:val="-3"/>
          <w:w w:val="100"/>
        </w:rPr>
        <w:t>2</w:t>
      </w:r>
      <w:r>
        <w:rPr>
          <w:rFonts w:ascii="Arial" w:hAnsi="Arial" w:cs="Arial" w:eastAsia="Arial" w:hint="default"/>
          <w:w w:val="100"/>
        </w:rPr>
        <w:t>019</w:t>
      </w:r>
      <w:r>
        <w:rPr>
          <w:rFonts w:ascii="Arial" w:hAnsi="Arial" w:cs="Arial" w:eastAsia="Arial" w:hint="default"/>
          <w:spacing w:val="-8"/>
        </w:rPr>
        <w:t> </w:t>
      </w:r>
      <w:r>
        <w:rPr>
          <w:w w:val="100"/>
        </w:rPr>
        <w:t>修订</w:t>
      </w:r>
      <w:r>
        <w:rPr>
          <w:spacing w:val="-123"/>
          <w:w w:val="100"/>
        </w:rPr>
        <w:t>）</w:t>
      </w:r>
      <w:r>
        <w:rPr>
          <w:w w:val="100"/>
        </w:rPr>
        <w:t>（财</w:t>
      </w:r>
    </w:p>
    <w:p>
      <w:pPr>
        <w:pStyle w:val="BodyText"/>
        <w:spacing w:line="240" w:lineRule="auto" w:before="32"/>
        <w:ind w:left="238" w:right="0"/>
        <w:jc w:val="left"/>
      </w:pPr>
      <w:r>
        <w:rPr>
          <w:spacing w:val="-3"/>
        </w:rPr>
        <w:t>会〔</w:t>
      </w:r>
      <w:r>
        <w:rPr>
          <w:rFonts w:ascii="Arial" w:hAnsi="Arial" w:cs="Arial" w:eastAsia="Arial" w:hint="default"/>
          <w:spacing w:val="-3"/>
        </w:rPr>
        <w:t>2019</w:t>
      </w:r>
      <w:r>
        <w:rPr>
          <w:spacing w:val="-3"/>
        </w:rPr>
        <w:t>〕</w:t>
      </w:r>
      <w:r>
        <w:rPr>
          <w:rFonts w:ascii="Arial" w:hAnsi="Arial" w:cs="Arial" w:eastAsia="Arial" w:hint="default"/>
          <w:spacing w:val="-3"/>
        </w:rPr>
        <w:t>9</w:t>
      </w:r>
      <w:r>
        <w:rPr>
          <w:rFonts w:ascii="Arial" w:hAnsi="Arial" w:cs="Arial" w:eastAsia="Arial" w:hint="default"/>
          <w:spacing w:val="-5"/>
        </w:rPr>
        <w:t> </w:t>
      </w:r>
      <w:r>
        <w:rPr>
          <w:spacing w:val="-4"/>
        </w:rPr>
        <w:t>号），修订后的准则自</w:t>
      </w:r>
      <w:r>
        <w:rPr>
          <w:spacing w:val="-50"/>
        </w:rPr>
        <w:t> </w:t>
      </w:r>
      <w:r>
        <w:rPr>
          <w:rFonts w:ascii="Arial" w:hAnsi="Arial" w:cs="Arial" w:eastAsia="Arial" w:hint="default"/>
        </w:rPr>
        <w:t>2019</w:t>
      </w:r>
      <w:r>
        <w:rPr>
          <w:rFonts w:ascii="Arial" w:hAnsi="Arial" w:cs="Arial" w:eastAsia="Arial" w:hint="default"/>
          <w:spacing w:val="-5"/>
        </w:rPr>
        <w:t> </w:t>
      </w:r>
      <w:r>
        <w:rPr/>
        <w:t>年</w:t>
      </w:r>
      <w:r>
        <w:rPr>
          <w:spacing w:val="-50"/>
        </w:rPr>
        <w:t> </w:t>
      </w:r>
      <w:r>
        <w:rPr>
          <w:rFonts w:ascii="Arial" w:hAnsi="Arial" w:cs="Arial" w:eastAsia="Arial" w:hint="default"/>
        </w:rPr>
        <w:t>6</w:t>
      </w:r>
      <w:r>
        <w:rPr>
          <w:rFonts w:ascii="Arial" w:hAnsi="Arial" w:cs="Arial" w:eastAsia="Arial" w:hint="default"/>
          <w:spacing w:val="-5"/>
        </w:rPr>
        <w:t> </w:t>
      </w:r>
      <w:r>
        <w:rPr/>
        <w:t>月</w:t>
      </w:r>
      <w:r>
        <w:rPr>
          <w:spacing w:val="-50"/>
        </w:rPr>
        <w:t> </w:t>
      </w:r>
      <w:r>
        <w:rPr>
          <w:rFonts w:ascii="Arial" w:hAnsi="Arial" w:cs="Arial" w:eastAsia="Arial" w:hint="default"/>
        </w:rPr>
        <w:t>17</w:t>
      </w:r>
      <w:r>
        <w:rPr>
          <w:rFonts w:ascii="Arial" w:hAnsi="Arial" w:cs="Arial" w:eastAsia="Arial" w:hint="default"/>
          <w:spacing w:val="-2"/>
        </w:rPr>
        <w:t> </w:t>
      </w:r>
      <w:r>
        <w:rPr>
          <w:spacing w:val="-3"/>
        </w:rPr>
        <w:t>日起施行，对</w:t>
      </w:r>
      <w:r>
        <w:rPr>
          <w:spacing w:val="-50"/>
        </w:rPr>
        <w:t> </w:t>
      </w:r>
      <w:r>
        <w:rPr>
          <w:rFonts w:ascii="Arial" w:hAnsi="Arial" w:cs="Arial" w:eastAsia="Arial" w:hint="default"/>
        </w:rPr>
        <w:t>2019</w:t>
      </w:r>
      <w:r>
        <w:rPr>
          <w:rFonts w:ascii="Arial" w:hAnsi="Arial" w:cs="Arial" w:eastAsia="Arial" w:hint="default"/>
          <w:spacing w:val="-5"/>
        </w:rPr>
        <w:t> </w:t>
      </w:r>
      <w:r>
        <w:rPr/>
        <w:t>年</w:t>
      </w:r>
      <w:r>
        <w:rPr>
          <w:spacing w:val="-52"/>
        </w:rPr>
        <w:t> </w:t>
      </w:r>
      <w:r>
        <w:rPr>
          <w:rFonts w:ascii="Arial" w:hAnsi="Arial" w:cs="Arial" w:eastAsia="Arial" w:hint="default"/>
        </w:rPr>
        <w:t>1</w:t>
      </w:r>
      <w:r>
        <w:rPr>
          <w:rFonts w:ascii="Arial" w:hAnsi="Arial" w:cs="Arial" w:eastAsia="Arial" w:hint="default"/>
          <w:spacing w:val="-5"/>
        </w:rPr>
        <w:t> </w:t>
      </w:r>
      <w:r>
        <w:rPr/>
        <w:t>月</w:t>
      </w:r>
      <w:r>
        <w:rPr>
          <w:spacing w:val="-49"/>
        </w:rPr>
        <w:t> </w:t>
      </w:r>
      <w:r>
        <w:rPr>
          <w:rFonts w:ascii="Arial" w:hAnsi="Arial" w:cs="Arial" w:eastAsia="Arial" w:hint="default"/>
        </w:rPr>
        <w:t>1</w:t>
      </w:r>
      <w:r>
        <w:rPr>
          <w:rFonts w:ascii="Arial" w:hAnsi="Arial" w:cs="Arial" w:eastAsia="Arial" w:hint="default"/>
          <w:spacing w:val="-5"/>
        </w:rPr>
        <w:t> </w:t>
      </w:r>
      <w:r>
        <w:rPr/>
        <w:t>日至本准则施</w:t>
      </w:r>
    </w:p>
    <w:p>
      <w:pPr>
        <w:pStyle w:val="BodyText"/>
        <w:spacing w:line="264" w:lineRule="auto" w:before="29"/>
        <w:ind w:left="238" w:right="0"/>
        <w:jc w:val="left"/>
        <w:rPr>
          <w:rFonts w:ascii="宋体" w:hAnsi="宋体" w:cs="宋体" w:eastAsia="宋体" w:hint="default"/>
        </w:rPr>
      </w:pPr>
      <w:r>
        <w:rPr/>
        <w:t>行日之间发生的债务重组，应根据本准则进行调整。对</w:t>
      </w:r>
      <w:r>
        <w:rPr>
          <w:spacing w:val="-54"/>
        </w:rPr>
        <w:t> </w:t>
      </w:r>
      <w:r>
        <w:rPr>
          <w:rFonts w:ascii="Arial" w:hAnsi="Arial" w:cs="Arial" w:eastAsia="Arial" w:hint="default"/>
        </w:rPr>
        <w:t>2019</w:t>
      </w:r>
      <w:r>
        <w:rPr>
          <w:rFonts w:ascii="Arial" w:hAnsi="Arial" w:cs="Arial" w:eastAsia="Arial" w:hint="default"/>
          <w:spacing w:val="-7"/>
        </w:rPr>
        <w:t> </w:t>
      </w:r>
      <w:r>
        <w:rPr/>
        <w:t>年</w:t>
      </w:r>
      <w:r>
        <w:rPr>
          <w:spacing w:val="-56"/>
        </w:rPr>
        <w:t> </w:t>
      </w:r>
      <w:r>
        <w:rPr>
          <w:rFonts w:ascii="Arial" w:hAnsi="Arial" w:cs="Arial" w:eastAsia="Arial" w:hint="default"/>
        </w:rPr>
        <w:t>1</w:t>
      </w:r>
      <w:r>
        <w:rPr>
          <w:rFonts w:ascii="Arial" w:hAnsi="Arial" w:cs="Arial" w:eastAsia="Arial" w:hint="default"/>
          <w:spacing w:val="-7"/>
        </w:rPr>
        <w:t> </w:t>
      </w:r>
      <w:r>
        <w:rPr/>
        <w:t>月</w:t>
      </w:r>
      <w:r>
        <w:rPr>
          <w:spacing w:val="-56"/>
        </w:rPr>
        <w:t> </w:t>
      </w:r>
      <w:r>
        <w:rPr>
          <w:rFonts w:ascii="Arial" w:hAnsi="Arial" w:cs="Arial" w:eastAsia="Arial" w:hint="default"/>
        </w:rPr>
        <w:t>1</w:t>
      </w:r>
      <w:r>
        <w:rPr>
          <w:rFonts w:ascii="Arial" w:hAnsi="Arial" w:cs="Arial" w:eastAsia="Arial" w:hint="default"/>
          <w:spacing w:val="-7"/>
        </w:rPr>
        <w:t> </w:t>
      </w:r>
      <w:r>
        <w:rPr/>
        <w:t>日之前发生的债务重组，</w:t>
      </w:r>
      <w:r>
        <w:rPr>
          <w:w w:val="100"/>
        </w:rPr>
        <w:t> </w:t>
      </w:r>
      <w:r>
        <w:rPr/>
        <w:t>不需要按照本准则的规定进行追溯调整。本公司执行上述准则在本报告期内无重大影响。</w:t>
      </w:r>
      <w:r>
        <w:rPr>
          <w:rFonts w:ascii="宋体" w:hAnsi="宋体" w:cs="宋体" w:eastAsia="宋体" w:hint="default"/>
        </w:rPr>
        <w:t> </w:t>
      </w:r>
    </w:p>
    <w:p>
      <w:pPr>
        <w:pStyle w:val="Heading2"/>
        <w:spacing w:line="240" w:lineRule="auto" w:before="40"/>
        <w:ind w:left="238" w:right="0"/>
        <w:jc w:val="left"/>
        <w:rPr>
          <w:b w:val="0"/>
          <w:bCs w:val="0"/>
        </w:rPr>
      </w:pPr>
      <w:r>
        <w:rPr/>
        <w:t>（二）公司对重大会计差错更正原因及影响的分析说明</w:t>
      </w:r>
      <w:r>
        <w:rPr>
          <w:b w:val="0"/>
          <w:bCs w:val="0"/>
        </w:rPr>
      </w:r>
    </w:p>
    <w:p>
      <w:pPr>
        <w:pStyle w:val="BodyText"/>
        <w:spacing w:line="240" w:lineRule="auto" w:before="56"/>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left="238" w:right="0"/>
        <w:jc w:val="left"/>
        <w:rPr>
          <w:b w:val="0"/>
          <w:bCs w:val="0"/>
        </w:rPr>
      </w:pPr>
      <w:r>
        <w:rPr/>
        <w:t>（三）与前任会计师事务所进行的沟通情况</w:t>
      </w:r>
      <w:r>
        <w:rPr>
          <w:b w:val="0"/>
          <w:bCs w:val="0"/>
        </w:rPr>
      </w:r>
    </w:p>
    <w:p>
      <w:pPr>
        <w:pStyle w:val="BodyText"/>
        <w:spacing w:line="240" w:lineRule="auto" w:before="56"/>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left="238" w:right="0"/>
        <w:jc w:val="left"/>
        <w:rPr>
          <w:b w:val="0"/>
          <w:bCs w:val="0"/>
        </w:rPr>
      </w:pPr>
      <w:r>
        <w:rPr/>
        <w:t>（四）其他说明</w:t>
      </w:r>
      <w:r>
        <w:rPr>
          <w:b w:val="0"/>
          <w:bCs w:val="0"/>
        </w:rPr>
      </w:r>
    </w:p>
    <w:p>
      <w:pPr>
        <w:spacing w:line="290" w:lineRule="auto" w:before="56"/>
        <w:ind w:left="238" w:right="594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六、聘任、解聘会计师事务所情况</w:t>
      </w:r>
      <w:r>
        <w:rPr>
          <w:rFonts w:ascii="宋体" w:hAnsi="宋体" w:cs="宋体" w:eastAsia="宋体" w:hint="default"/>
          <w:spacing w:val="-1"/>
          <w:sz w:val="21"/>
          <w:szCs w:val="21"/>
        </w:rPr>
      </w:r>
    </w:p>
    <w:p>
      <w:pPr>
        <w:pStyle w:val="BodyText"/>
        <w:spacing w:line="240" w:lineRule="auto" w:before="13"/>
        <w:ind w:left="0" w:right="16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520;height:2" coordorigin="10,10" coordsize="4520,2">
              <v:shape style="position:absolute;left:10;top:10;width:4520;height:2" coordorigin="10,10" coordsize="4520,0" path="m10,10l4529,10e" filled="false" stroked="true" strokeweight=".96002pt" strokecolor="#41b7ee">
                <v:path arrowok="t"/>
              </v:shape>
            </v:group>
            <v:group style="position:absolute;left:4529;top:10;width:58;height:2" coordorigin="4529,10" coordsize="58,2">
              <v:shape style="position:absolute;left:4529;top:10;width:58;height:2" coordorigin="4529,10" coordsize="58,0" path="m4529,10l4587,10e" filled="false" stroked="true" strokeweight=".96002pt" strokecolor="#41b7ee">
                <v:path arrowok="t"/>
              </v:shape>
            </v:group>
            <v:group style="position:absolute;left:4587;top:10;width:4473;height:2" coordorigin="4587,10" coordsize="4473,2">
              <v:shape style="position:absolute;left:4587;top:10;width:4473;height:2" coordorigin="4587,10" coordsize="4473,0" path="m4587,10l9059,10e" filled="false" stroked="true" strokeweight=".96002pt" strokecolor="#41b7ee">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4525"/>
        <w:gridCol w:w="4525"/>
      </w:tblGrid>
      <w:tr>
        <w:trPr>
          <w:trHeight w:val="362" w:hRule="exact"/>
        </w:trPr>
        <w:tc>
          <w:tcPr>
            <w:tcW w:w="4525"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w w:val="100"/>
                <w:sz w:val="21"/>
              </w:rPr>
              <w:t> </w:t>
            </w:r>
          </w:p>
        </w:tc>
        <w:tc>
          <w:tcPr>
            <w:tcW w:w="4525"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4"/>
              <w:ind w:left="100" w:right="0"/>
              <w:jc w:val="center"/>
              <w:rPr>
                <w:rFonts w:ascii="宋体" w:hAnsi="宋体" w:cs="宋体" w:eastAsia="宋体" w:hint="default"/>
                <w:sz w:val="21"/>
                <w:szCs w:val="21"/>
              </w:rPr>
            </w:pPr>
            <w:r>
              <w:rPr>
                <w:rFonts w:ascii="宋体" w:hAnsi="宋体" w:cs="宋体" w:eastAsia="宋体" w:hint="default"/>
                <w:sz w:val="21"/>
                <w:szCs w:val="21"/>
              </w:rPr>
              <w:t>现聘任</w:t>
            </w:r>
            <w:r>
              <w:rPr>
                <w:rFonts w:ascii="宋体" w:hAnsi="宋体" w:cs="宋体" w:eastAsia="宋体" w:hint="default"/>
                <w:sz w:val="21"/>
                <w:szCs w:val="21"/>
              </w:rPr>
              <w:t> </w:t>
            </w:r>
          </w:p>
        </w:tc>
      </w:tr>
      <w:tr>
        <w:trPr>
          <w:trHeight w:val="358" w:hRule="exact"/>
        </w:trPr>
        <w:tc>
          <w:tcPr>
            <w:tcW w:w="452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r>
              <w:rPr>
                <w:rFonts w:ascii="宋体" w:hAnsi="宋体" w:cs="宋体" w:eastAsia="宋体" w:hint="default"/>
                <w:sz w:val="21"/>
                <w:szCs w:val="21"/>
              </w:rPr>
              <w:t> </w:t>
            </w:r>
          </w:p>
        </w:tc>
        <w:tc>
          <w:tcPr>
            <w:tcW w:w="452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瑞华会计师事务所（特殊普通合伙）</w:t>
            </w:r>
            <w:r>
              <w:rPr>
                <w:rFonts w:ascii="宋体" w:hAnsi="宋体" w:cs="宋体" w:eastAsia="宋体" w:hint="default"/>
                <w:sz w:val="21"/>
                <w:szCs w:val="21"/>
              </w:rPr>
              <w:t> </w:t>
            </w:r>
          </w:p>
        </w:tc>
      </w:tr>
      <w:tr>
        <w:trPr>
          <w:trHeight w:val="358" w:hRule="exact"/>
        </w:trPr>
        <w:tc>
          <w:tcPr>
            <w:tcW w:w="452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r>
              <w:rPr>
                <w:rFonts w:ascii="宋体" w:hAnsi="宋体" w:cs="宋体" w:eastAsia="宋体" w:hint="default"/>
                <w:sz w:val="21"/>
                <w:szCs w:val="21"/>
              </w:rPr>
              <w:t> </w:t>
            </w:r>
          </w:p>
        </w:tc>
        <w:tc>
          <w:tcPr>
            <w:tcW w:w="452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1,970,000.00</w:t>
            </w:r>
          </w:p>
        </w:tc>
      </w:tr>
      <w:tr>
        <w:trPr>
          <w:trHeight w:val="382" w:hRule="exact"/>
        </w:trPr>
        <w:tc>
          <w:tcPr>
            <w:tcW w:w="4525"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r>
              <w:rPr>
                <w:rFonts w:ascii="宋体" w:hAnsi="宋体" w:cs="宋体" w:eastAsia="宋体" w:hint="default"/>
                <w:sz w:val="21"/>
                <w:szCs w:val="21"/>
              </w:rPr>
              <w:t> </w:t>
            </w:r>
          </w:p>
        </w:tc>
        <w:tc>
          <w:tcPr>
            <w:tcW w:w="4525"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106"/>
              <w:jc w:val="right"/>
              <w:rPr>
                <w:rFonts w:ascii="Arial" w:hAnsi="Arial" w:cs="Arial" w:eastAsia="Arial" w:hint="default"/>
                <w:sz w:val="21"/>
                <w:szCs w:val="21"/>
              </w:rPr>
            </w:pPr>
            <w:r>
              <w:rPr>
                <w:rFonts w:ascii="Arial"/>
                <w:w w:val="100"/>
                <w:sz w:val="21"/>
              </w:rPr>
              <w:t>7</w:t>
            </w:r>
          </w:p>
        </w:tc>
      </w:tr>
    </w:tbl>
    <w:p>
      <w:pPr>
        <w:spacing w:line="240" w:lineRule="auto" w:before="4"/>
        <w:rPr>
          <w:rFonts w:ascii="宋体" w:hAnsi="宋体" w:cs="宋体" w:eastAsia="宋体"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3017"/>
        <w:gridCol w:w="3754"/>
        <w:gridCol w:w="2278"/>
      </w:tblGrid>
      <w:tr>
        <w:trPr>
          <w:trHeight w:val="382" w:hRule="exact"/>
        </w:trPr>
        <w:tc>
          <w:tcPr>
            <w:tcW w:w="3017"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w w:val="100"/>
                <w:sz w:val="21"/>
              </w:rPr>
              <w:t> </w:t>
            </w:r>
          </w:p>
        </w:tc>
        <w:tc>
          <w:tcPr>
            <w:tcW w:w="3754"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4"/>
              <w:ind w:left="103"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2278"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4"/>
              <w:ind w:left="101" w:right="0"/>
              <w:jc w:val="center"/>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z w:val="21"/>
                <w:szCs w:val="21"/>
              </w:rPr>
              <w:t> </w:t>
            </w:r>
          </w:p>
        </w:tc>
      </w:tr>
      <w:tr>
        <w:trPr>
          <w:trHeight w:val="358" w:hRule="exact"/>
        </w:trPr>
        <w:tc>
          <w:tcPr>
            <w:tcW w:w="301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r>
              <w:rPr>
                <w:rFonts w:ascii="宋体" w:hAnsi="宋体" w:cs="宋体" w:eastAsia="宋体" w:hint="default"/>
                <w:sz w:val="21"/>
                <w:szCs w:val="21"/>
              </w:rPr>
              <w:t> </w:t>
            </w:r>
          </w:p>
        </w:tc>
        <w:tc>
          <w:tcPr>
            <w:tcW w:w="375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瑞华会计师事务所（特殊普通合伙）</w:t>
            </w:r>
            <w:r>
              <w:rPr>
                <w:rFonts w:ascii="宋体" w:hAnsi="宋体" w:cs="宋体" w:eastAsia="宋体" w:hint="default"/>
                <w:sz w:val="21"/>
                <w:szCs w:val="21"/>
              </w:rPr>
              <w:t> </w:t>
            </w:r>
          </w:p>
        </w:tc>
        <w:tc>
          <w:tcPr>
            <w:tcW w:w="227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right="103"/>
              <w:jc w:val="right"/>
              <w:rPr>
                <w:rFonts w:ascii="Arial" w:hAnsi="Arial" w:cs="Arial" w:eastAsia="Arial" w:hint="default"/>
                <w:sz w:val="21"/>
                <w:szCs w:val="21"/>
              </w:rPr>
            </w:pPr>
            <w:r>
              <w:rPr>
                <w:rFonts w:ascii="Arial"/>
                <w:spacing w:val="-1"/>
                <w:sz w:val="21"/>
              </w:rPr>
              <w:t>1,000,000.00</w:t>
            </w:r>
          </w:p>
        </w:tc>
      </w:tr>
      <w:tr>
        <w:trPr>
          <w:trHeight w:val="358" w:hRule="exact"/>
        </w:trPr>
        <w:tc>
          <w:tcPr>
            <w:tcW w:w="301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财务顾问</w:t>
            </w:r>
            <w:r>
              <w:rPr>
                <w:rFonts w:ascii="宋体" w:hAnsi="宋体" w:cs="宋体" w:eastAsia="宋体" w:hint="default"/>
                <w:sz w:val="21"/>
                <w:szCs w:val="21"/>
              </w:rPr>
              <w:t> </w:t>
            </w:r>
          </w:p>
        </w:tc>
        <w:tc>
          <w:tcPr>
            <w:tcW w:w="375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100" w:right="0"/>
              <w:jc w:val="left"/>
              <w:rPr>
                <w:rFonts w:ascii="宋体" w:hAnsi="宋体" w:cs="宋体" w:eastAsia="宋体" w:hint="default"/>
                <w:sz w:val="21"/>
                <w:szCs w:val="21"/>
              </w:rPr>
            </w:pPr>
            <w:r>
              <w:rPr>
                <w:rFonts w:ascii="宋体"/>
                <w:w w:val="100"/>
                <w:sz w:val="21"/>
              </w:rPr>
              <w:t> </w:t>
            </w:r>
          </w:p>
        </w:tc>
        <w:tc>
          <w:tcPr>
            <w:tcW w:w="227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right="0"/>
              <w:jc w:val="right"/>
              <w:rPr>
                <w:rFonts w:ascii="宋体" w:hAnsi="宋体" w:cs="宋体" w:eastAsia="宋体" w:hint="default"/>
                <w:sz w:val="21"/>
                <w:szCs w:val="21"/>
              </w:rPr>
            </w:pPr>
            <w:r>
              <w:rPr>
                <w:rFonts w:ascii="宋体"/>
                <w:w w:val="100"/>
                <w:sz w:val="21"/>
              </w:rPr>
              <w:t> </w:t>
            </w:r>
          </w:p>
        </w:tc>
      </w:tr>
      <w:tr>
        <w:trPr>
          <w:trHeight w:val="365" w:hRule="exact"/>
        </w:trPr>
        <w:tc>
          <w:tcPr>
            <w:tcW w:w="3017"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保荐人</w:t>
            </w:r>
            <w:r>
              <w:rPr>
                <w:rFonts w:ascii="宋体" w:hAnsi="宋体" w:cs="宋体" w:eastAsia="宋体" w:hint="default"/>
                <w:sz w:val="21"/>
                <w:szCs w:val="21"/>
              </w:rPr>
              <w:t> </w:t>
            </w:r>
          </w:p>
        </w:tc>
        <w:tc>
          <w:tcPr>
            <w:tcW w:w="3754"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
              <w:ind w:left="100" w:right="0"/>
              <w:jc w:val="left"/>
              <w:rPr>
                <w:rFonts w:ascii="宋体" w:hAnsi="宋体" w:cs="宋体" w:eastAsia="宋体" w:hint="default"/>
                <w:sz w:val="21"/>
                <w:szCs w:val="21"/>
              </w:rPr>
            </w:pPr>
            <w:r>
              <w:rPr>
                <w:rFonts w:ascii="宋体"/>
                <w:w w:val="100"/>
                <w:sz w:val="21"/>
              </w:rPr>
              <w:t> </w:t>
            </w:r>
          </w:p>
        </w:tc>
        <w:tc>
          <w:tcPr>
            <w:tcW w:w="2278"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
              <w:ind w:right="0"/>
              <w:jc w:val="right"/>
              <w:rPr>
                <w:rFonts w:ascii="宋体" w:hAnsi="宋体" w:cs="宋体" w:eastAsia="宋体" w:hint="default"/>
                <w:sz w:val="21"/>
                <w:szCs w:val="21"/>
              </w:rPr>
            </w:pPr>
            <w:r>
              <w:rPr>
                <w:rFonts w:ascii="宋体"/>
                <w:w w:val="100"/>
                <w:sz w:val="21"/>
              </w:rPr>
              <w:t> </w:t>
            </w:r>
          </w:p>
        </w:tc>
      </w:tr>
    </w:tbl>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013;height:2" coordorigin="10,10" coordsize="3013,2">
              <v:shape style="position:absolute;left:10;top:10;width:3013;height:2" coordorigin="10,10" coordsize="3013,0" path="m10,10l3022,10e" filled="false" stroked="true" strokeweight=".95999pt" strokecolor="#41b7ee">
                <v:path arrowok="t"/>
              </v:shape>
            </v:group>
            <v:group style="position:absolute;left:3022;top:10;width:58;height:2" coordorigin="3022,10" coordsize="58,2">
              <v:shape style="position:absolute;left:3022;top:10;width:58;height:2" coordorigin="3022,10" coordsize="58,0" path="m3022,10l3080,10e" filled="false" stroked="true" strokeweight=".95999pt" strokecolor="#41b7ee">
                <v:path arrowok="t"/>
              </v:shape>
            </v:group>
            <v:group style="position:absolute;left:3080;top:10;width:3697;height:2" coordorigin="3080,10" coordsize="3697,2">
              <v:shape style="position:absolute;left:3080;top:10;width:3697;height:2" coordorigin="3080,10" coordsize="3697,0" path="m3080,10l6776,10e" filled="false" stroked="true" strokeweight=".95999pt" strokecolor="#41b7ee">
                <v:path arrowok="t"/>
              </v:shape>
            </v:group>
            <v:group style="position:absolute;left:6776;top:10;width:58;height:2" coordorigin="6776,10" coordsize="58,2">
              <v:shape style="position:absolute;left:6776;top:10;width:58;height:2" coordorigin="6776,10" coordsize="58,0" path="m6776,10l6834,10e" filled="false" stroked="true" strokeweight=".95999pt" strokecolor="#41b7ee">
                <v:path arrowok="t"/>
              </v:shape>
            </v:group>
            <v:group style="position:absolute;left:6834;top:10;width:2226;height:2" coordorigin="6834,10" coordsize="2226,2">
              <v:shape style="position:absolute;left:6834;top:10;width:2226;height:2" coordorigin="6834,10" coordsize="2226,0" path="m6834,10l9059,10e" filled="false" stroked="true" strokeweight=".95999pt" strokecolor="#41b7ee">
                <v:path arrowok="t"/>
              </v:shape>
            </v:group>
          </v:group>
        </w:pict>
      </w:r>
      <w:r>
        <w:rPr>
          <w:rFonts w:ascii="宋体" w:hAnsi="宋体" w:cs="宋体" w:eastAsia="宋体" w:hint="default"/>
          <w:sz w:val="2"/>
          <w:szCs w:val="2"/>
        </w:rPr>
      </w:r>
    </w:p>
    <w:p>
      <w:pPr>
        <w:pStyle w:val="BodyText"/>
        <w:spacing w:line="272" w:lineRule="exact" w:before="12"/>
        <w:ind w:left="238" w:right="0"/>
        <w:jc w:val="left"/>
        <w:rPr>
          <w:rFonts w:ascii="宋体" w:hAnsi="宋体" w:cs="宋体" w:eastAsia="宋体" w:hint="default"/>
        </w:rPr>
      </w:pPr>
      <w:r>
        <w:rPr>
          <w:rFonts w:ascii="宋体" w:hAnsi="宋体" w:cs="宋体" w:eastAsia="宋体" w:hint="default"/>
          <w:w w:val="100"/>
        </w:rPr>
        <w:t>  </w:t>
      </w:r>
      <w:r>
        <w:rPr>
          <w:w w:val="100"/>
        </w:rPr>
        <w:t>聘任</w:t>
      </w:r>
      <w:r>
        <w:rPr>
          <w:spacing w:val="-3"/>
          <w:w w:val="100"/>
        </w:rPr>
        <w:t>、</w:t>
      </w:r>
      <w:r>
        <w:rPr>
          <w:w w:val="100"/>
        </w:rPr>
        <w:t>解</w:t>
      </w:r>
      <w:r>
        <w:rPr>
          <w:spacing w:val="-3"/>
          <w:w w:val="100"/>
        </w:rPr>
        <w:t>聘</w:t>
      </w:r>
      <w:r>
        <w:rPr>
          <w:w w:val="100"/>
        </w:rPr>
        <w:t>会</w:t>
      </w:r>
      <w:r>
        <w:rPr>
          <w:spacing w:val="-3"/>
          <w:w w:val="100"/>
        </w:rPr>
        <w:t>计</w:t>
      </w:r>
      <w:r>
        <w:rPr>
          <w:w w:val="100"/>
        </w:rPr>
        <w:t>师</w:t>
      </w:r>
      <w:r>
        <w:rPr>
          <w:spacing w:val="-3"/>
          <w:w w:val="100"/>
        </w:rPr>
        <w:t>事</w:t>
      </w:r>
      <w:r>
        <w:rPr>
          <w:w w:val="100"/>
        </w:rPr>
        <w:t>务</w:t>
      </w:r>
      <w:r>
        <w:rPr>
          <w:spacing w:val="-3"/>
          <w:w w:val="100"/>
        </w:rPr>
        <w:t>所</w:t>
      </w:r>
      <w:r>
        <w:rPr>
          <w:w w:val="100"/>
        </w:rPr>
        <w:t>的情</w:t>
      </w:r>
      <w:r>
        <w:rPr>
          <w:spacing w:val="-3"/>
          <w:w w:val="100"/>
        </w:rPr>
        <w:t>况</w:t>
      </w:r>
      <w:r>
        <w:rPr>
          <w:w w:val="100"/>
        </w:rPr>
        <w:t>说</w:t>
      </w:r>
      <w:r>
        <w:rPr>
          <w:spacing w:val="-3"/>
          <w:w w:val="100"/>
        </w:rPr>
        <w:t>明</w:t>
      </w:r>
      <w:r>
        <w:rPr>
          <w:rFonts w:ascii="宋体" w:hAnsi="宋体" w:cs="宋体" w:eastAsia="宋体" w:hint="default"/>
          <w:w w:val="100"/>
        </w:rPr>
        <w:t> </w:t>
      </w:r>
    </w:p>
    <w:p>
      <w:pPr>
        <w:pStyle w:val="BodyText"/>
        <w:spacing w:line="249"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42"/>
        <w:ind w:left="658" w:right="0"/>
        <w:jc w:val="left"/>
        <w:rPr>
          <w:rFonts w:ascii="宋体" w:hAnsi="宋体" w:cs="宋体" w:eastAsia="宋体" w:hint="default"/>
        </w:rPr>
      </w:pPr>
      <w:r>
        <w:rPr>
          <w:w w:val="100"/>
        </w:rPr>
        <w:t>经</w:t>
      </w:r>
      <w:r>
        <w:rPr>
          <w:spacing w:val="-3"/>
          <w:w w:val="100"/>
        </w:rPr>
        <w:t>公</w:t>
      </w:r>
      <w:r>
        <w:rPr>
          <w:w w:val="100"/>
        </w:rPr>
        <w:t>司</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4</w:t>
      </w:r>
      <w:r>
        <w:rPr>
          <w:rFonts w:ascii="宋体" w:hAnsi="宋体" w:cs="宋体" w:eastAsia="宋体" w:hint="default"/>
          <w:spacing w:val="-53"/>
        </w:rPr>
        <w:t> </w:t>
      </w:r>
      <w:r>
        <w:rPr>
          <w:w w:val="100"/>
        </w:rPr>
        <w:t>月</w:t>
      </w:r>
      <w:r>
        <w:rPr>
          <w:spacing w:val="-54"/>
        </w:rPr>
        <w:t> </w:t>
      </w:r>
      <w:r>
        <w:rPr>
          <w:rFonts w:ascii="宋体" w:hAnsi="宋体" w:cs="宋体" w:eastAsia="宋体" w:hint="default"/>
          <w:w w:val="100"/>
        </w:rPr>
        <w:t>2</w:t>
      </w:r>
      <w:r>
        <w:rPr>
          <w:rFonts w:ascii="宋体" w:hAnsi="宋体" w:cs="宋体" w:eastAsia="宋体" w:hint="default"/>
          <w:spacing w:val="-53"/>
        </w:rPr>
        <w:t> </w:t>
      </w:r>
      <w:r>
        <w:rPr>
          <w:spacing w:val="-3"/>
          <w:w w:val="100"/>
        </w:rPr>
        <w:t>日召</w:t>
      </w:r>
      <w:r>
        <w:rPr>
          <w:w w:val="100"/>
        </w:rPr>
        <w:t>开的</w:t>
      </w:r>
      <w:r>
        <w:rPr>
          <w:spacing w:val="-3"/>
          <w:w w:val="100"/>
        </w:rPr>
        <w:t>第</w:t>
      </w:r>
      <w:r>
        <w:rPr>
          <w:w w:val="100"/>
        </w:rPr>
        <w:t>六</w:t>
      </w:r>
      <w:r>
        <w:rPr>
          <w:spacing w:val="-3"/>
          <w:w w:val="100"/>
        </w:rPr>
        <w:t>届</w:t>
      </w:r>
      <w:r>
        <w:rPr>
          <w:w w:val="100"/>
        </w:rPr>
        <w:t>董</w:t>
      </w:r>
      <w:r>
        <w:rPr>
          <w:spacing w:val="-3"/>
          <w:w w:val="100"/>
        </w:rPr>
        <w:t>事</w:t>
      </w:r>
      <w:r>
        <w:rPr>
          <w:w w:val="100"/>
        </w:rPr>
        <w:t>会</w:t>
      </w:r>
      <w:r>
        <w:rPr>
          <w:spacing w:val="-3"/>
          <w:w w:val="100"/>
        </w:rPr>
        <w:t>第</w:t>
      </w:r>
      <w:r>
        <w:rPr>
          <w:w w:val="100"/>
        </w:rPr>
        <w:t>六</w:t>
      </w:r>
      <w:r>
        <w:rPr>
          <w:spacing w:val="-3"/>
          <w:w w:val="100"/>
        </w:rPr>
        <w:t>十</w:t>
      </w:r>
      <w:r>
        <w:rPr>
          <w:w w:val="100"/>
        </w:rPr>
        <w:t>五次</w:t>
      </w:r>
      <w:r>
        <w:rPr>
          <w:spacing w:val="-3"/>
          <w:w w:val="100"/>
        </w:rPr>
        <w:t>会议</w:t>
      </w:r>
      <w:r>
        <w:rPr>
          <w:spacing w:val="-92"/>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19</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4</w:t>
      </w:r>
      <w:r>
        <w:rPr>
          <w:rFonts w:ascii="宋体" w:hAnsi="宋体" w:cs="宋体" w:eastAsia="宋体" w:hint="default"/>
          <w:spacing w:val="-55"/>
        </w:rPr>
        <w:t> </w:t>
      </w:r>
      <w:r>
        <w:rPr>
          <w:w w:val="100"/>
        </w:rPr>
        <w:t>月</w:t>
      </w:r>
      <w:r>
        <w:rPr>
          <w:spacing w:val="-52"/>
        </w:rPr>
        <w:t> </w:t>
      </w:r>
      <w:r>
        <w:rPr>
          <w:rFonts w:ascii="宋体" w:hAnsi="宋体" w:cs="宋体" w:eastAsia="宋体" w:hint="default"/>
          <w:w w:val="100"/>
        </w:rPr>
        <w:t>26</w:t>
      </w:r>
      <w:r>
        <w:rPr>
          <w:rFonts w:ascii="宋体" w:hAnsi="宋体" w:cs="宋体" w:eastAsia="宋体" w:hint="default"/>
          <w:spacing w:val="-55"/>
        </w:rPr>
        <w:t> </w:t>
      </w:r>
      <w:r>
        <w:rPr>
          <w:w w:val="100"/>
        </w:rPr>
        <w:t>日召</w:t>
      </w:r>
      <w:r>
        <w:rPr>
          <w:spacing w:val="-3"/>
          <w:w w:val="100"/>
        </w:rPr>
        <w:t>开</w:t>
      </w:r>
      <w:r>
        <w:rPr>
          <w:w w:val="100"/>
        </w:rPr>
        <w:t>的</w:t>
      </w:r>
      <w:r>
        <w:rPr>
          <w:spacing w:val="-53"/>
        </w:rPr>
        <w:t> </w:t>
      </w:r>
      <w:r>
        <w:rPr>
          <w:rFonts w:ascii="宋体" w:hAnsi="宋体" w:cs="宋体" w:eastAsia="宋体" w:hint="default"/>
          <w:spacing w:val="-3"/>
          <w:w w:val="100"/>
        </w:rPr>
        <w:t>2</w:t>
      </w:r>
      <w:r>
        <w:rPr>
          <w:rFonts w:ascii="宋体" w:hAnsi="宋体" w:cs="宋体" w:eastAsia="宋体" w:hint="default"/>
          <w:w w:val="100"/>
        </w:rPr>
        <w:t>018</w:t>
      </w:r>
    </w:p>
    <w:p>
      <w:pPr>
        <w:pStyle w:val="BodyText"/>
        <w:spacing w:line="280" w:lineRule="auto" w:before="44"/>
        <w:ind w:left="238" w:right="0"/>
        <w:jc w:val="left"/>
        <w:rPr>
          <w:rFonts w:ascii="宋体" w:hAnsi="宋体" w:cs="宋体" w:eastAsia="宋体" w:hint="default"/>
        </w:rPr>
      </w:pPr>
      <w:r>
        <w:rPr>
          <w:spacing w:val="-4"/>
        </w:rPr>
        <w:t>年年度股东大会审议通过，继续聘请瑞华会计师事务所（特殊普通合伙）为公司</w:t>
      </w:r>
      <w:r>
        <w:rPr>
          <w:spacing w:val="-35"/>
        </w:rPr>
        <w:t> </w:t>
      </w:r>
      <w:r>
        <w:rPr>
          <w:rFonts w:ascii="宋体" w:hAnsi="宋体" w:cs="宋体" w:eastAsia="宋体" w:hint="default"/>
        </w:rPr>
        <w:t>2019</w:t>
      </w:r>
      <w:r>
        <w:rPr>
          <w:rFonts w:ascii="宋体" w:hAnsi="宋体" w:cs="宋体" w:eastAsia="宋体" w:hint="default"/>
          <w:spacing w:val="-39"/>
        </w:rPr>
        <w:t> </w:t>
      </w:r>
      <w:r>
        <w:rPr/>
        <w:t>年度财务报</w:t>
      </w:r>
      <w:r>
        <w:rPr>
          <w:spacing w:val="-99"/>
        </w:rPr>
        <w:t> </w:t>
      </w:r>
      <w:r>
        <w:rPr>
          <w:spacing w:val="-99"/>
        </w:rPr>
      </w:r>
      <w:r>
        <w:rPr/>
        <w:t>表和内部控制审计机构。</w:t>
      </w:r>
      <w:r>
        <w:rPr>
          <w:rFonts w:ascii="宋体" w:hAnsi="宋体" w:cs="宋体" w:eastAsia="宋体" w:hint="default"/>
        </w:rPr>
        <w:t> </w:t>
      </w:r>
    </w:p>
    <w:p>
      <w:pPr>
        <w:pStyle w:val="BodyText"/>
        <w:spacing w:line="237" w:lineRule="exact"/>
        <w:ind w:left="238" w:right="0"/>
        <w:jc w:val="left"/>
        <w:rPr>
          <w:rFonts w:ascii="宋体" w:hAnsi="宋体" w:cs="宋体" w:eastAsia="宋体" w:hint="default"/>
        </w:rPr>
      </w:pPr>
      <w:r>
        <w:rPr/>
        <w:t>审计期间改聘会计师事务所的情况说明</w:t>
      </w:r>
      <w:r>
        <w:rPr>
          <w:rFonts w:ascii="宋体" w:hAnsi="宋体" w:cs="宋体" w:eastAsia="宋体" w:hint="default"/>
        </w:rPr>
        <w:t> </w:t>
      </w:r>
    </w:p>
    <w:p>
      <w:pPr>
        <w:spacing w:line="290" w:lineRule="auto" w:before="0"/>
        <w:ind w:left="238" w:right="634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七、面临暂停上市风险的情况</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导致暂停上市的原因</w:t>
      </w:r>
      <w:r>
        <w:rPr>
          <w:rFonts w:ascii="宋体" w:hAnsi="宋体" w:cs="宋体" w:eastAsia="宋体" w:hint="default"/>
          <w:sz w:val="21"/>
          <w:szCs w:val="21"/>
        </w:rPr>
      </w:r>
    </w:p>
    <w:p>
      <w:pPr>
        <w:spacing w:line="292" w:lineRule="auto" w:before="12"/>
        <w:ind w:left="238" w:right="655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公司拟采取的应对措施</w:t>
      </w:r>
      <w:r>
        <w:rPr>
          <w:rFonts w:ascii="宋体" w:hAnsi="宋体" w:cs="宋体" w:eastAsia="宋体" w:hint="default"/>
          <w:sz w:val="21"/>
          <w:szCs w:val="21"/>
        </w:rPr>
      </w:r>
    </w:p>
    <w:p>
      <w:pPr>
        <w:spacing w:line="290" w:lineRule="auto" w:before="10"/>
        <w:ind w:left="238" w:right="615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八、面临终止上市的情况和原因</w:t>
      </w:r>
      <w:r>
        <w:rPr>
          <w:rFonts w:ascii="宋体" w:hAnsi="宋体" w:cs="宋体" w:eastAsia="宋体" w:hint="default"/>
          <w:spacing w:val="-1"/>
          <w:sz w:val="21"/>
          <w:szCs w:val="21"/>
        </w:rPr>
      </w:r>
    </w:p>
    <w:p>
      <w:pPr>
        <w:spacing w:line="290" w:lineRule="auto" w:before="14"/>
        <w:ind w:left="238" w:right="698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九、破产重整相关事项</w:t>
      </w:r>
      <w:r>
        <w:rPr>
          <w:rFonts w:ascii="宋体" w:hAnsi="宋体" w:cs="宋体" w:eastAsia="宋体" w:hint="default"/>
          <w:sz w:val="21"/>
          <w:szCs w:val="21"/>
        </w:rPr>
      </w:r>
    </w:p>
    <w:p>
      <w:pPr>
        <w:pStyle w:val="BodyText"/>
        <w:spacing w:line="273" w:lineRule="exact" w:before="14"/>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0" w:footer="1195" w:top="1360" w:bottom="1380" w:left="1560" w:right="1000"/>
        </w:sectPr>
      </w:pPr>
    </w:p>
    <w:p>
      <w:pPr>
        <w:spacing w:line="240" w:lineRule="auto" w:before="4"/>
        <w:rPr>
          <w:rFonts w:ascii="宋体" w:hAnsi="宋体" w:cs="宋体" w:eastAsia="宋体" w:hint="default"/>
          <w:sz w:val="27"/>
          <w:szCs w:val="27"/>
        </w:rPr>
      </w:pPr>
    </w:p>
    <w:p>
      <w:pPr>
        <w:pStyle w:val="Heading2"/>
        <w:spacing w:line="240" w:lineRule="auto" w:before="36"/>
        <w:ind w:left="240" w:right="0"/>
        <w:jc w:val="left"/>
        <w:rPr>
          <w:b w:val="0"/>
          <w:bCs w:val="0"/>
        </w:rPr>
      </w:pPr>
      <w:r>
        <w:rPr/>
        <w:t>十、重大诉讼、仲裁事项</w:t>
      </w:r>
      <w:r>
        <w:rPr>
          <w:b w:val="0"/>
          <w:bCs w:val="0"/>
        </w:rPr>
      </w:r>
    </w:p>
    <w:p>
      <w:pPr>
        <w:pStyle w:val="BodyText"/>
        <w:spacing w:line="240" w:lineRule="auto" w:before="56"/>
        <w:ind w:left="240" w:right="0"/>
        <w:jc w:val="left"/>
        <w:rPr>
          <w:rFonts w:ascii="宋体" w:hAnsi="宋体" w:cs="宋体" w:eastAsia="宋体" w:hint="default"/>
        </w:rPr>
      </w:pPr>
      <w:r>
        <w:rPr/>
        <w:t>√本年度公司有重大诉讼、仲裁事项</w:t>
      </w:r>
      <w:r>
        <w:rPr>
          <w:spacing w:val="-6"/>
        </w:rPr>
        <w:t> </w:t>
      </w:r>
      <w:r>
        <w:rPr>
          <w:rFonts w:ascii="宋体" w:hAnsi="宋体" w:cs="宋体" w:eastAsia="宋体" w:hint="default"/>
          <w:spacing w:val="-6"/>
        </w:rPr>
      </w:r>
      <w:r>
        <w:rPr/>
        <w:t>□本年度公司无重大诉讼、仲裁事项</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left="240"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诉讼、仲裁事项已在临时公告披露且无后续进展的</w:t>
      </w:r>
      <w:r>
        <w:rPr>
          <w:b w:val="0"/>
          <w:bCs w:val="0"/>
        </w:rPr>
      </w:r>
    </w:p>
    <w:p>
      <w:pPr>
        <w:pStyle w:val="BodyText"/>
        <w:spacing w:line="240" w:lineRule="auto" w:before="29"/>
        <w:ind w:left="2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699.6pt;height:1pt;mso-position-horizontal-relative:char;mso-position-vertical-relative:line" coordorigin="0,0" coordsize="13992,20">
            <v:group style="position:absolute;left:10;top:10;width:12864;height:2" coordorigin="10,10" coordsize="12864,2">
              <v:shape style="position:absolute;left:10;top:10;width:12864;height:2" coordorigin="10,10" coordsize="12864,0" path="m10,10l12873,10e" filled="false" stroked="true" strokeweight=".95999pt" strokecolor="#41b7ee">
                <v:path arrowok="t"/>
              </v:shape>
            </v:group>
            <v:group style="position:absolute;left:12873;top:10;width:58;height:2" coordorigin="12873,10" coordsize="58,2">
              <v:shape style="position:absolute;left:12873;top:10;width:58;height:2" coordorigin="12873,10" coordsize="58,0" path="m12873,10l12931,10e" filled="false" stroked="true" strokeweight=".95999pt" strokecolor="#41b7ee">
                <v:path arrowok="t"/>
              </v:shape>
            </v:group>
            <v:group style="position:absolute;left:12931;top:10;width:1052;height:2" coordorigin="12931,10" coordsize="1052,2">
              <v:shape style="position:absolute;left:12931;top:10;width:1052;height:2" coordorigin="12931,10" coordsize="1052,0" path="m12931,10l13982,10e" filled="false" stroked="true" strokeweight=".95999pt" strokecolor="#41b7ee">
                <v:path arrowok="t"/>
              </v:shape>
            </v:group>
          </v:group>
        </w:pict>
      </w:r>
      <w:r>
        <w:rPr>
          <w:rFonts w:ascii="宋体" w:hAnsi="宋体" w:cs="宋体" w:eastAsia="宋体" w:hint="default"/>
          <w:sz w:val="2"/>
          <w:szCs w:val="2"/>
        </w:rPr>
      </w:r>
    </w:p>
    <w:tbl>
      <w:tblPr>
        <w:tblW w:w="0" w:type="auto"/>
        <w:jc w:val="left"/>
        <w:tblInd w:w="103" w:type="dxa"/>
        <w:tblLayout w:type="fixed"/>
        <w:tblCellMar>
          <w:top w:w="0" w:type="dxa"/>
          <w:left w:w="0" w:type="dxa"/>
          <w:bottom w:w="0" w:type="dxa"/>
          <w:right w:w="0" w:type="dxa"/>
        </w:tblCellMar>
        <w:tblLook w:val="01E0"/>
      </w:tblPr>
      <w:tblGrid>
        <w:gridCol w:w="12868"/>
        <w:gridCol w:w="1104"/>
      </w:tblGrid>
      <w:tr>
        <w:trPr>
          <w:trHeight w:val="391" w:hRule="exact"/>
        </w:trPr>
        <w:tc>
          <w:tcPr>
            <w:tcW w:w="12868"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18"/>
              <w:ind w:left="110" w:right="0"/>
              <w:jc w:val="center"/>
              <w:rPr>
                <w:rFonts w:ascii="宋体" w:hAnsi="宋体" w:cs="宋体" w:eastAsia="宋体" w:hint="default"/>
                <w:sz w:val="21"/>
                <w:szCs w:val="21"/>
              </w:rPr>
            </w:pPr>
            <w:r>
              <w:rPr>
                <w:rFonts w:ascii="宋体" w:hAnsi="宋体" w:cs="宋体" w:eastAsia="宋体" w:hint="default"/>
                <w:sz w:val="21"/>
                <w:szCs w:val="21"/>
              </w:rPr>
              <w:t>事项概述及类型</w:t>
            </w:r>
            <w:r>
              <w:rPr>
                <w:rFonts w:ascii="宋体" w:hAnsi="宋体" w:cs="宋体" w:eastAsia="宋体" w:hint="default"/>
                <w:sz w:val="21"/>
                <w:szCs w:val="21"/>
              </w:rPr>
              <w:t> </w:t>
            </w:r>
          </w:p>
        </w:tc>
        <w:tc>
          <w:tcPr>
            <w:tcW w:w="1104"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18"/>
              <w:ind w:left="127" w:right="0"/>
              <w:jc w:val="left"/>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4940" w:hRule="exact"/>
        </w:trPr>
        <w:tc>
          <w:tcPr>
            <w:tcW w:w="12868" w:type="dxa"/>
            <w:tcBorders>
              <w:top w:val="single" w:sz="4" w:space="0" w:color="41B7EE"/>
              <w:left w:val="nil" w:sz="6" w:space="0" w:color="auto"/>
              <w:bottom w:val="single" w:sz="23" w:space="0" w:color="41B7EE"/>
              <w:right w:val="single" w:sz="4" w:space="0" w:color="41B7EE"/>
            </w:tcBorders>
          </w:tcPr>
          <w:p>
            <w:pPr>
              <w:pStyle w:val="TableParagraph"/>
              <w:spacing w:line="212" w:lineRule="exact"/>
              <w:ind w:left="108" w:right="0"/>
              <w:jc w:val="both"/>
              <w:rPr>
                <w:rFonts w:ascii="宋体" w:hAnsi="宋体" w:cs="宋体" w:eastAsia="宋体" w:hint="default"/>
                <w:sz w:val="18"/>
                <w:szCs w:val="18"/>
              </w:rPr>
            </w:pPr>
            <w:r>
              <w:rPr>
                <w:rFonts w:ascii="宋体" w:hAnsi="宋体" w:cs="宋体" w:eastAsia="宋体" w:hint="default"/>
                <w:spacing w:val="1"/>
                <w:w w:val="100"/>
                <w:sz w:val="15"/>
                <w:szCs w:val="15"/>
              </w:rPr>
              <w:t> </w:t>
            </w:r>
            <w:r>
              <w:rPr>
                <w:rFonts w:ascii="宋体" w:hAnsi="宋体" w:cs="宋体" w:eastAsia="宋体" w:hint="default"/>
                <w:spacing w:val="-2"/>
                <w:w w:val="100"/>
                <w:sz w:val="15"/>
                <w:szCs w:val="15"/>
              </w:rPr>
              <w:t>  </w:t>
            </w:r>
            <w:r>
              <w:rPr>
                <w:rFonts w:ascii="宋体" w:hAnsi="宋体" w:cs="宋体" w:eastAsia="宋体" w:hint="default"/>
                <w:spacing w:val="1"/>
                <w:w w:val="100"/>
                <w:sz w:val="15"/>
                <w:szCs w:val="15"/>
              </w:rPr>
              <w:t> </w:t>
            </w:r>
            <w:r>
              <w:rPr>
                <w:rFonts w:ascii="Arial" w:hAnsi="Arial" w:cs="Arial" w:eastAsia="Arial" w:hint="default"/>
                <w:sz w:val="18"/>
                <w:szCs w:val="18"/>
              </w:rPr>
              <w:t>2019</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7</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11</w:t>
            </w:r>
            <w:r>
              <w:rPr>
                <w:rFonts w:ascii="Arial" w:hAnsi="Arial" w:cs="Arial" w:eastAsia="Arial" w:hint="default"/>
                <w:spacing w:val="-5"/>
                <w:sz w:val="18"/>
                <w:szCs w:val="18"/>
              </w:rPr>
              <w:t> </w:t>
            </w:r>
            <w:r>
              <w:rPr>
                <w:rFonts w:ascii="宋体" w:hAnsi="宋体" w:cs="宋体" w:eastAsia="宋体" w:hint="default"/>
                <w:sz w:val="18"/>
                <w:szCs w:val="18"/>
              </w:rPr>
              <w:t>日，鑫都公司收到呼伦贝尔中院《执行裁定书》（</w:t>
            </w:r>
            <w:r>
              <w:rPr>
                <w:rFonts w:ascii="Arial" w:hAnsi="Arial" w:cs="Arial" w:eastAsia="Arial" w:hint="default"/>
                <w:sz w:val="18"/>
                <w:szCs w:val="18"/>
              </w:rPr>
              <w:t>2019</w:t>
            </w:r>
            <w:r>
              <w:rPr>
                <w:rFonts w:ascii="宋体" w:hAnsi="宋体" w:cs="宋体" w:eastAsia="宋体" w:hint="default"/>
                <w:sz w:val="18"/>
                <w:szCs w:val="18"/>
              </w:rPr>
              <w:t>）内</w:t>
            </w:r>
            <w:r>
              <w:rPr>
                <w:rFonts w:ascii="宋体" w:hAnsi="宋体" w:cs="宋体" w:eastAsia="宋体" w:hint="default"/>
                <w:spacing w:val="-48"/>
                <w:sz w:val="18"/>
                <w:szCs w:val="18"/>
              </w:rPr>
              <w:t> </w:t>
            </w:r>
            <w:r>
              <w:rPr>
                <w:rFonts w:ascii="Arial" w:hAnsi="Arial" w:cs="Arial" w:eastAsia="Arial" w:hint="default"/>
                <w:sz w:val="18"/>
                <w:szCs w:val="18"/>
              </w:rPr>
              <w:t>07</w:t>
            </w:r>
            <w:r>
              <w:rPr>
                <w:rFonts w:ascii="Arial" w:hAnsi="Arial" w:cs="Arial" w:eastAsia="Arial" w:hint="default"/>
                <w:spacing w:val="-5"/>
                <w:sz w:val="18"/>
                <w:szCs w:val="18"/>
              </w:rPr>
              <w:t> </w:t>
            </w:r>
            <w:r>
              <w:rPr>
                <w:rFonts w:ascii="宋体" w:hAnsi="宋体" w:cs="宋体" w:eastAsia="宋体" w:hint="default"/>
                <w:sz w:val="18"/>
                <w:szCs w:val="18"/>
              </w:rPr>
              <w:t>执</w:t>
            </w:r>
            <w:r>
              <w:rPr>
                <w:rFonts w:ascii="宋体" w:hAnsi="宋体" w:cs="宋体" w:eastAsia="宋体" w:hint="default"/>
                <w:spacing w:val="-48"/>
                <w:sz w:val="18"/>
                <w:szCs w:val="18"/>
              </w:rPr>
              <w:t> </w:t>
            </w:r>
            <w:r>
              <w:rPr>
                <w:rFonts w:ascii="Arial" w:hAnsi="Arial" w:cs="Arial" w:eastAsia="Arial" w:hint="default"/>
                <w:sz w:val="18"/>
                <w:szCs w:val="18"/>
              </w:rPr>
              <w:t>94</w:t>
            </w:r>
            <w:r>
              <w:rPr>
                <w:rFonts w:ascii="Arial" w:hAnsi="Arial" w:cs="Arial" w:eastAsia="Arial" w:hint="default"/>
                <w:spacing w:val="-8"/>
                <w:sz w:val="18"/>
                <w:szCs w:val="18"/>
              </w:rPr>
              <w:t> </w:t>
            </w:r>
            <w:r>
              <w:rPr>
                <w:rFonts w:ascii="宋体" w:hAnsi="宋体" w:cs="宋体" w:eastAsia="宋体" w:hint="default"/>
                <w:sz w:val="18"/>
                <w:szCs w:val="18"/>
              </w:rPr>
              <w:t>号，法院根据锦宸集团（</w:t>
            </w: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6</w:t>
            </w:r>
            <w:r>
              <w:rPr>
                <w:rFonts w:ascii="Arial" w:hAnsi="Arial" w:cs="Arial" w:eastAsia="Arial" w:hint="default"/>
                <w:spacing w:val="-5"/>
                <w:sz w:val="18"/>
                <w:szCs w:val="18"/>
              </w:rPr>
              <w:t> </w:t>
            </w:r>
            <w:r>
              <w:rPr>
                <w:rFonts w:ascii="宋体" w:hAnsi="宋体" w:cs="宋体" w:eastAsia="宋体" w:hint="default"/>
                <w:sz w:val="18"/>
                <w:szCs w:val="18"/>
              </w:rPr>
              <w:t>月，锦宸集团诉天顺公司和鑫都公</w:t>
            </w:r>
          </w:p>
          <w:p>
            <w:pPr>
              <w:pStyle w:val="TableParagraph"/>
              <w:spacing w:line="232" w:lineRule="exact" w:before="18"/>
              <w:ind w:left="108" w:right="101"/>
              <w:jc w:val="both"/>
              <w:rPr>
                <w:rFonts w:ascii="宋体" w:hAnsi="宋体" w:cs="宋体" w:eastAsia="宋体" w:hint="default"/>
                <w:sz w:val="18"/>
                <w:szCs w:val="18"/>
              </w:rPr>
            </w:pPr>
            <w:r>
              <w:rPr>
                <w:rFonts w:ascii="宋体" w:hAnsi="宋体" w:cs="宋体" w:eastAsia="宋体" w:hint="default"/>
                <w:spacing w:val="-1"/>
                <w:sz w:val="18"/>
                <w:szCs w:val="18"/>
              </w:rPr>
              <w:t>司建设工程施工合同纠纷案。公司诉讼事项公告编号：</w:t>
            </w:r>
            <w:r>
              <w:rPr>
                <w:rFonts w:ascii="Arial" w:hAnsi="Arial" w:cs="Arial" w:eastAsia="Arial" w:hint="default"/>
                <w:spacing w:val="-1"/>
                <w:sz w:val="18"/>
                <w:szCs w:val="18"/>
              </w:rPr>
              <w:t>2017</w:t>
            </w:r>
            <w:r>
              <w:rPr>
                <w:rFonts w:ascii="Arial" w:hAnsi="Arial" w:cs="Arial" w:eastAsia="Arial" w:hint="default"/>
                <w:spacing w:val="-1"/>
                <w:sz w:val="18"/>
                <w:szCs w:val="18"/>
              </w:rPr>
              <w:t>—</w:t>
            </w:r>
            <w:r>
              <w:rPr>
                <w:rFonts w:ascii="Arial" w:hAnsi="Arial" w:cs="Arial" w:eastAsia="Arial" w:hint="default"/>
                <w:spacing w:val="-1"/>
                <w:sz w:val="18"/>
                <w:szCs w:val="18"/>
              </w:rPr>
              <w:t>027</w:t>
            </w:r>
            <w:r>
              <w:rPr>
                <w:rFonts w:ascii="宋体" w:hAnsi="宋体" w:cs="宋体" w:eastAsia="宋体" w:hint="default"/>
                <w:spacing w:val="-1"/>
                <w:sz w:val="18"/>
                <w:szCs w:val="18"/>
              </w:rPr>
              <w:t>，后续进展公告编号：</w:t>
            </w:r>
            <w:r>
              <w:rPr>
                <w:rFonts w:ascii="Arial" w:hAnsi="Arial" w:cs="Arial" w:eastAsia="Arial" w:hint="default"/>
                <w:spacing w:val="-1"/>
                <w:sz w:val="18"/>
                <w:szCs w:val="18"/>
              </w:rPr>
              <w:t>2018</w:t>
            </w:r>
            <w:r>
              <w:rPr>
                <w:rFonts w:ascii="Arial" w:hAnsi="Arial" w:cs="Arial" w:eastAsia="Arial" w:hint="default"/>
                <w:spacing w:val="-1"/>
                <w:sz w:val="18"/>
                <w:szCs w:val="18"/>
              </w:rPr>
              <w:t>—</w:t>
            </w:r>
            <w:r>
              <w:rPr>
                <w:rFonts w:ascii="Arial" w:hAnsi="Arial" w:cs="Arial" w:eastAsia="Arial" w:hint="default"/>
                <w:spacing w:val="-1"/>
                <w:sz w:val="18"/>
                <w:szCs w:val="18"/>
              </w:rPr>
              <w:t>026</w:t>
            </w:r>
            <w:r>
              <w:rPr>
                <w:rFonts w:ascii="宋体" w:hAnsi="宋体" w:cs="宋体" w:eastAsia="宋体" w:hint="default"/>
                <w:spacing w:val="-1"/>
                <w:sz w:val="18"/>
                <w:szCs w:val="18"/>
              </w:rPr>
              <w:t>、</w:t>
            </w:r>
            <w:r>
              <w:rPr>
                <w:rFonts w:ascii="Arial" w:hAnsi="Arial" w:cs="Arial" w:eastAsia="Arial" w:hint="default"/>
                <w:spacing w:val="-1"/>
                <w:sz w:val="18"/>
                <w:szCs w:val="18"/>
              </w:rPr>
              <w:t>2018</w:t>
            </w:r>
            <w:r>
              <w:rPr>
                <w:rFonts w:ascii="Arial" w:hAnsi="Arial" w:cs="Arial" w:eastAsia="Arial" w:hint="default"/>
                <w:spacing w:val="-1"/>
                <w:sz w:val="18"/>
                <w:szCs w:val="18"/>
              </w:rPr>
              <w:t>—</w:t>
            </w:r>
            <w:r>
              <w:rPr>
                <w:rFonts w:ascii="Arial" w:hAnsi="Arial" w:cs="Arial" w:eastAsia="Arial" w:hint="default"/>
                <w:spacing w:val="-1"/>
                <w:sz w:val="18"/>
                <w:szCs w:val="18"/>
              </w:rPr>
              <w:t>030</w:t>
            </w:r>
            <w:r>
              <w:rPr>
                <w:rFonts w:ascii="宋体" w:hAnsi="宋体" w:cs="宋体" w:eastAsia="宋体" w:hint="default"/>
                <w:spacing w:val="-1"/>
                <w:sz w:val="18"/>
                <w:szCs w:val="18"/>
              </w:rPr>
              <w:t>、</w:t>
            </w:r>
            <w:r>
              <w:rPr>
                <w:rFonts w:ascii="Arial" w:hAnsi="Arial" w:cs="Arial" w:eastAsia="Arial" w:hint="default"/>
                <w:spacing w:val="-1"/>
                <w:sz w:val="18"/>
                <w:szCs w:val="18"/>
              </w:rPr>
              <w:t>2019</w:t>
            </w:r>
            <w:r>
              <w:rPr>
                <w:rFonts w:ascii="Arial" w:hAnsi="Arial" w:cs="Arial" w:eastAsia="Arial" w:hint="default"/>
                <w:spacing w:val="-1"/>
                <w:sz w:val="18"/>
                <w:szCs w:val="18"/>
              </w:rPr>
              <w:t>—</w:t>
            </w:r>
            <w:r>
              <w:rPr>
                <w:rFonts w:ascii="Arial" w:hAnsi="Arial" w:cs="Arial" w:eastAsia="Arial" w:hint="default"/>
                <w:spacing w:val="-1"/>
                <w:sz w:val="18"/>
                <w:szCs w:val="18"/>
              </w:rPr>
              <w:t>010</w:t>
            </w:r>
            <w:r>
              <w:rPr>
                <w:rFonts w:ascii="宋体" w:hAnsi="宋体" w:cs="宋体" w:eastAsia="宋体" w:hint="default"/>
                <w:spacing w:val="-1"/>
                <w:sz w:val="18"/>
                <w:szCs w:val="18"/>
              </w:rPr>
              <w:t>、</w:t>
            </w:r>
            <w:r>
              <w:rPr>
                <w:rFonts w:ascii="Arial" w:hAnsi="Arial" w:cs="Arial" w:eastAsia="Arial" w:hint="default"/>
                <w:spacing w:val="-1"/>
                <w:sz w:val="18"/>
                <w:szCs w:val="18"/>
              </w:rPr>
              <w:t>2019</w:t>
            </w:r>
            <w:r>
              <w:rPr>
                <w:rFonts w:ascii="Arial" w:hAnsi="Arial" w:cs="Arial" w:eastAsia="Arial" w:hint="default"/>
                <w:spacing w:val="-1"/>
                <w:sz w:val="18"/>
                <w:szCs w:val="18"/>
              </w:rPr>
              <w:t>—</w:t>
            </w:r>
            <w:r>
              <w:rPr>
                <w:rFonts w:ascii="Arial" w:hAnsi="Arial" w:cs="Arial" w:eastAsia="Arial" w:hint="default"/>
                <w:spacing w:val="-1"/>
                <w:sz w:val="18"/>
                <w:szCs w:val="18"/>
              </w:rPr>
              <w:t>035</w:t>
            </w:r>
            <w:r>
              <w:rPr>
                <w:rFonts w:ascii="宋体" w:hAnsi="宋体" w:cs="宋体" w:eastAsia="宋体" w:hint="default"/>
                <w:spacing w:val="-1"/>
                <w:sz w:val="18"/>
                <w:szCs w:val="18"/>
              </w:rPr>
              <w:t>）强制执行申请，裁</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定：查封鑫都公司开发的天顺新城三期</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6"/>
                <w:sz w:val="18"/>
                <w:szCs w:val="18"/>
              </w:rPr>
              <w:t> </w:t>
            </w:r>
            <w:r>
              <w:rPr>
                <w:rFonts w:ascii="宋体" w:hAnsi="宋体" w:cs="宋体" w:eastAsia="宋体" w:hint="default"/>
                <w:sz w:val="18"/>
                <w:szCs w:val="18"/>
              </w:rPr>
              <w:t>号楼、</w:t>
            </w:r>
            <w:r>
              <w:rPr>
                <w:rFonts w:ascii="Arial" w:hAnsi="Arial" w:cs="Arial" w:eastAsia="Arial" w:hint="default"/>
                <w:sz w:val="18"/>
                <w:szCs w:val="18"/>
              </w:rPr>
              <w:t>10</w:t>
            </w:r>
            <w:r>
              <w:rPr>
                <w:rFonts w:ascii="Arial" w:hAnsi="Arial" w:cs="Arial" w:eastAsia="Arial" w:hint="default"/>
                <w:spacing w:val="-6"/>
                <w:sz w:val="18"/>
                <w:szCs w:val="18"/>
              </w:rPr>
              <w:t> </w:t>
            </w:r>
            <w:r>
              <w:rPr>
                <w:rFonts w:ascii="宋体" w:hAnsi="宋体" w:cs="宋体" w:eastAsia="宋体" w:hint="default"/>
                <w:sz w:val="18"/>
                <w:szCs w:val="18"/>
              </w:rPr>
              <w:t>号楼整体；查封期间由鑫都公司负责管理。</w:t>
            </w:r>
          </w:p>
          <w:p>
            <w:pPr>
              <w:pStyle w:val="TableParagraph"/>
              <w:spacing w:line="218" w:lineRule="exact"/>
              <w:ind w:left="108" w:right="0" w:firstLine="362"/>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Arial" w:hAnsi="Arial" w:cs="Arial" w:eastAsia="Arial" w:hint="default"/>
                <w:sz w:val="18"/>
                <w:szCs w:val="18"/>
              </w:rPr>
              <w:t>7</w:t>
            </w:r>
            <w:r>
              <w:rPr>
                <w:rFonts w:ascii="Arial" w:hAnsi="Arial" w:cs="Arial" w:eastAsia="Arial"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Arial" w:hAnsi="Arial" w:cs="Arial" w:eastAsia="Arial" w:hint="default"/>
                <w:sz w:val="18"/>
                <w:szCs w:val="18"/>
              </w:rPr>
              <w:t>15</w:t>
            </w:r>
            <w:r>
              <w:rPr>
                <w:rFonts w:ascii="Arial" w:hAnsi="Arial" w:cs="Arial" w:eastAsia="Arial" w:hint="default"/>
                <w:spacing w:val="-14"/>
                <w:sz w:val="18"/>
                <w:szCs w:val="18"/>
              </w:rPr>
              <w:t> </w:t>
            </w:r>
            <w:r>
              <w:rPr>
                <w:rFonts w:ascii="宋体" w:hAnsi="宋体" w:cs="宋体" w:eastAsia="宋体" w:hint="default"/>
                <w:sz w:val="18"/>
                <w:szCs w:val="18"/>
              </w:rPr>
              <w:t>日，鑫都公司向呼伦贝尔中院提交了书面情况说明，告知法院</w:t>
            </w:r>
            <w:r>
              <w:rPr>
                <w:rFonts w:ascii="Arial" w:hAnsi="Arial" w:cs="Arial" w:eastAsia="Arial" w:hint="default"/>
                <w:sz w:val="18"/>
                <w:szCs w:val="18"/>
              </w:rPr>
              <w:t>“</w:t>
            </w:r>
            <w:r>
              <w:rPr>
                <w:rFonts w:ascii="宋体" w:hAnsi="宋体" w:cs="宋体" w:eastAsia="宋体" w:hint="default"/>
                <w:sz w:val="18"/>
                <w:szCs w:val="18"/>
              </w:rPr>
              <w:t>天顺新城三期在建工程虽然登记在鑫都公司名下，但鑫都公司开发的天顺新城</w:t>
            </w:r>
          </w:p>
          <w:p>
            <w:pPr>
              <w:pStyle w:val="TableParagraph"/>
              <w:spacing w:line="232" w:lineRule="exact" w:before="18"/>
              <w:ind w:left="108" w:right="9"/>
              <w:jc w:val="left"/>
              <w:rPr>
                <w:rFonts w:ascii="宋体" w:hAnsi="宋体" w:cs="宋体" w:eastAsia="宋体" w:hint="default"/>
                <w:sz w:val="18"/>
                <w:szCs w:val="18"/>
              </w:rPr>
            </w:pPr>
            <w:r>
              <w:rPr>
                <w:rFonts w:ascii="宋体" w:hAnsi="宋体" w:cs="宋体" w:eastAsia="宋体" w:hint="default"/>
                <w:sz w:val="18"/>
                <w:szCs w:val="18"/>
              </w:rPr>
              <w:t>三期在建工程早已被黑龙江省高级人民法院强制执行，全部抵债给了北大荒股份公司，法院已裁定其所有权已归属北大荒股份公司</w:t>
            </w:r>
            <w:r>
              <w:rPr>
                <w:rFonts w:ascii="Arial" w:hAnsi="Arial" w:cs="Arial" w:eastAsia="Arial" w:hint="default"/>
                <w:sz w:val="18"/>
                <w:szCs w:val="18"/>
              </w:rPr>
              <w:t>”</w:t>
            </w:r>
            <w:r>
              <w:rPr>
                <w:rFonts w:ascii="宋体" w:hAnsi="宋体" w:cs="宋体" w:eastAsia="宋体" w:hint="default"/>
                <w:sz w:val="18"/>
                <w:szCs w:val="18"/>
              </w:rPr>
              <w:t>，并提交了黑龙江省高级人民 法院出具的（</w:t>
            </w:r>
            <w:r>
              <w:rPr>
                <w:rFonts w:ascii="Arial" w:hAnsi="Arial" w:cs="Arial" w:eastAsia="Arial" w:hint="default"/>
                <w:sz w:val="18"/>
                <w:szCs w:val="18"/>
              </w:rPr>
              <w:t>2016</w:t>
            </w:r>
            <w:r>
              <w:rPr>
                <w:rFonts w:ascii="宋体" w:hAnsi="宋体" w:cs="宋体" w:eastAsia="宋体" w:hint="default"/>
                <w:sz w:val="18"/>
                <w:szCs w:val="18"/>
              </w:rPr>
              <w:t>）黑执</w:t>
            </w:r>
            <w:r>
              <w:rPr>
                <w:rFonts w:ascii="宋体" w:hAnsi="宋体" w:cs="宋体" w:eastAsia="宋体" w:hint="default"/>
                <w:spacing w:val="-62"/>
                <w:sz w:val="18"/>
                <w:szCs w:val="18"/>
              </w:rPr>
              <w:t> </w:t>
            </w:r>
            <w:r>
              <w:rPr>
                <w:rFonts w:ascii="Arial" w:hAnsi="Arial" w:cs="Arial" w:eastAsia="Arial" w:hint="default"/>
                <w:sz w:val="18"/>
                <w:szCs w:val="18"/>
              </w:rPr>
              <w:t>30-7</w:t>
            </w:r>
            <w:r>
              <w:rPr>
                <w:rFonts w:ascii="Arial" w:hAnsi="Arial" w:cs="Arial" w:eastAsia="Arial" w:hint="default"/>
                <w:spacing w:val="-24"/>
                <w:sz w:val="18"/>
                <w:szCs w:val="18"/>
              </w:rPr>
              <w:t> </w:t>
            </w:r>
            <w:r>
              <w:rPr>
                <w:rFonts w:ascii="宋体" w:hAnsi="宋体" w:cs="宋体" w:eastAsia="宋体" w:hint="default"/>
                <w:sz w:val="18"/>
                <w:szCs w:val="18"/>
              </w:rPr>
              <w:t>号《执行裁定书》（</w:t>
            </w:r>
            <w:r>
              <w:rPr>
                <w:rFonts w:ascii="Arial" w:hAnsi="Arial" w:cs="Arial" w:eastAsia="Arial" w:hint="default"/>
                <w:sz w:val="18"/>
                <w:szCs w:val="18"/>
              </w:rPr>
              <w:t>2016</w:t>
            </w:r>
            <w:r>
              <w:rPr>
                <w:rFonts w:ascii="Arial" w:hAnsi="Arial" w:cs="Arial" w:eastAsia="Arial"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Arial" w:hAnsi="Arial" w:cs="Arial" w:eastAsia="Arial" w:hint="default"/>
                <w:sz w:val="18"/>
                <w:szCs w:val="18"/>
              </w:rPr>
              <w:t>2</w:t>
            </w:r>
            <w:r>
              <w:rPr>
                <w:rFonts w:ascii="Arial" w:hAnsi="Arial" w:cs="Arial" w:eastAsia="Arial" w:hint="default"/>
                <w:spacing w:val="-24"/>
                <w:sz w:val="18"/>
                <w:szCs w:val="18"/>
              </w:rPr>
              <w:t> </w:t>
            </w:r>
            <w:r>
              <w:rPr>
                <w:rFonts w:ascii="宋体" w:hAnsi="宋体" w:cs="宋体" w:eastAsia="宋体" w:hint="default"/>
                <w:sz w:val="18"/>
                <w:szCs w:val="18"/>
              </w:rPr>
              <w:t>月，公司诉鑫都公司借贷款合同纠纷案，公司诉讼事项公告编号：</w:t>
            </w:r>
            <w:r>
              <w:rPr>
                <w:rFonts w:ascii="Arial" w:hAnsi="Arial" w:cs="Arial" w:eastAsia="Arial" w:hint="default"/>
                <w:sz w:val="18"/>
                <w:szCs w:val="18"/>
              </w:rPr>
              <w:t>2016</w:t>
            </w:r>
            <w:r>
              <w:rPr>
                <w:rFonts w:ascii="Arial" w:hAnsi="Arial" w:cs="Arial" w:eastAsia="Arial" w:hint="default"/>
                <w:sz w:val="18"/>
                <w:szCs w:val="18"/>
              </w:rPr>
              <w:t>—</w:t>
            </w:r>
            <w:r>
              <w:rPr>
                <w:rFonts w:ascii="Arial" w:hAnsi="Arial" w:cs="Arial" w:eastAsia="Arial" w:hint="default"/>
                <w:sz w:val="18"/>
                <w:szCs w:val="18"/>
              </w:rPr>
              <w:t>022</w:t>
            </w:r>
            <w:r>
              <w:rPr>
                <w:rFonts w:ascii="宋体" w:hAnsi="宋体" w:cs="宋体" w:eastAsia="宋体" w:hint="default"/>
                <w:sz w:val="18"/>
                <w:szCs w:val="18"/>
              </w:rPr>
              <w:t>，后续进展公告编号：</w:t>
            </w:r>
          </w:p>
          <w:p>
            <w:pPr>
              <w:pStyle w:val="TableParagraph"/>
              <w:spacing w:line="217" w:lineRule="exact"/>
              <w:ind w:left="108" w:right="0"/>
              <w:jc w:val="both"/>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z w:val="18"/>
                <w:szCs w:val="18"/>
              </w:rPr>
              <w:t>—</w:t>
            </w:r>
            <w:r>
              <w:rPr>
                <w:rFonts w:ascii="Arial" w:hAnsi="Arial" w:cs="Arial" w:eastAsia="Arial" w:hint="default"/>
                <w:sz w:val="18"/>
                <w:szCs w:val="18"/>
              </w:rPr>
              <w:t>002</w:t>
            </w:r>
            <w:r>
              <w:rPr>
                <w:rFonts w:ascii="宋体" w:hAnsi="宋体" w:cs="宋体" w:eastAsia="宋体" w:hint="default"/>
                <w:sz w:val="18"/>
                <w:szCs w:val="18"/>
              </w:rPr>
              <w:t>、</w:t>
            </w:r>
            <w:r>
              <w:rPr>
                <w:rFonts w:ascii="Arial" w:hAnsi="Arial" w:cs="Arial" w:eastAsia="Arial" w:hint="default"/>
                <w:sz w:val="18"/>
                <w:szCs w:val="18"/>
              </w:rPr>
              <w:t>2018</w:t>
            </w:r>
            <w:r>
              <w:rPr>
                <w:rFonts w:ascii="Arial" w:hAnsi="Arial" w:cs="Arial" w:eastAsia="Arial" w:hint="default"/>
                <w:sz w:val="18"/>
                <w:szCs w:val="18"/>
              </w:rPr>
              <w:t>—</w:t>
            </w:r>
            <w:r>
              <w:rPr>
                <w:rFonts w:ascii="Arial" w:hAnsi="Arial" w:cs="Arial" w:eastAsia="Arial" w:hint="default"/>
                <w:sz w:val="18"/>
                <w:szCs w:val="18"/>
              </w:rPr>
              <w:t>047</w:t>
            </w:r>
            <w:r>
              <w:rPr>
                <w:rFonts w:ascii="宋体" w:hAnsi="宋体" w:cs="宋体" w:eastAsia="宋体" w:hint="default"/>
                <w:sz w:val="18"/>
                <w:szCs w:val="18"/>
              </w:rPr>
              <w:t>、</w:t>
            </w:r>
            <w:r>
              <w:rPr>
                <w:rFonts w:ascii="Arial" w:hAnsi="Arial" w:cs="Arial" w:eastAsia="Arial" w:hint="default"/>
                <w:sz w:val="18"/>
                <w:szCs w:val="18"/>
              </w:rPr>
              <w:t>2018</w:t>
            </w:r>
            <w:r>
              <w:rPr>
                <w:rFonts w:ascii="Arial" w:hAnsi="Arial" w:cs="Arial" w:eastAsia="Arial" w:hint="default"/>
                <w:sz w:val="18"/>
                <w:szCs w:val="18"/>
              </w:rPr>
              <w:t>—</w:t>
            </w:r>
            <w:r>
              <w:rPr>
                <w:rFonts w:ascii="Arial" w:hAnsi="Arial" w:cs="Arial" w:eastAsia="Arial" w:hint="default"/>
                <w:sz w:val="18"/>
                <w:szCs w:val="18"/>
              </w:rPr>
              <w:t>053</w:t>
            </w:r>
            <w:r>
              <w:rPr>
                <w:rFonts w:ascii="宋体" w:hAnsi="宋体" w:cs="宋体" w:eastAsia="宋体" w:hint="default"/>
                <w:sz w:val="18"/>
                <w:szCs w:val="18"/>
              </w:rPr>
              <w:t>、</w:t>
            </w:r>
            <w:r>
              <w:rPr>
                <w:rFonts w:ascii="Arial" w:hAnsi="Arial" w:cs="Arial" w:eastAsia="Arial" w:hint="default"/>
                <w:sz w:val="18"/>
                <w:szCs w:val="18"/>
              </w:rPr>
              <w:t>2018</w:t>
            </w:r>
            <w:r>
              <w:rPr>
                <w:rFonts w:ascii="Arial" w:hAnsi="Arial" w:cs="Arial" w:eastAsia="Arial" w:hint="default"/>
                <w:sz w:val="18"/>
                <w:szCs w:val="18"/>
              </w:rPr>
              <w:t>—</w:t>
            </w:r>
            <w:r>
              <w:rPr>
                <w:rFonts w:ascii="Arial" w:hAnsi="Arial" w:cs="Arial" w:eastAsia="Arial" w:hint="default"/>
                <w:sz w:val="18"/>
                <w:szCs w:val="18"/>
              </w:rPr>
              <w:t>055</w:t>
            </w:r>
            <w:r>
              <w:rPr>
                <w:rFonts w:ascii="宋体" w:hAnsi="宋体" w:cs="宋体" w:eastAsia="宋体" w:hint="default"/>
                <w:sz w:val="18"/>
                <w:szCs w:val="18"/>
              </w:rPr>
              <w:t>。本案已于</w:t>
            </w:r>
            <w:r>
              <w:rPr>
                <w:rFonts w:ascii="宋体" w:hAnsi="宋体" w:cs="宋体" w:eastAsia="宋体" w:hint="default"/>
                <w:spacing w:val="-51"/>
                <w:sz w:val="18"/>
                <w:szCs w:val="18"/>
              </w:rPr>
              <w:t> </w:t>
            </w:r>
            <w:r>
              <w:rPr>
                <w:rFonts w:ascii="Arial" w:hAnsi="Arial" w:cs="Arial" w:eastAsia="Arial" w:hint="default"/>
                <w:sz w:val="18"/>
                <w:szCs w:val="18"/>
              </w:rPr>
              <w:t>2018</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10</w:t>
            </w:r>
            <w:r>
              <w:rPr>
                <w:rFonts w:ascii="Arial" w:hAnsi="Arial" w:cs="Arial" w:eastAsia="Arial" w:hint="default"/>
                <w:spacing w:val="-10"/>
                <w:sz w:val="18"/>
                <w:szCs w:val="18"/>
              </w:rPr>
              <w:t> </w:t>
            </w:r>
            <w:r>
              <w:rPr>
                <w:rFonts w:ascii="宋体" w:hAnsi="宋体" w:cs="宋体" w:eastAsia="宋体" w:hint="default"/>
                <w:sz w:val="18"/>
                <w:szCs w:val="18"/>
              </w:rPr>
              <w:t>月全部执行完毕，本案已结案）。</w:t>
            </w:r>
          </w:p>
          <w:p>
            <w:pPr>
              <w:pStyle w:val="TableParagraph"/>
              <w:spacing w:line="234" w:lineRule="exact"/>
              <w:ind w:left="470"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8</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日，公司对呼伦贝尔中院给鑫都公司出具的《执行裁定书》（</w:t>
            </w:r>
            <w:r>
              <w:rPr>
                <w:rFonts w:ascii="Arial" w:hAnsi="Arial" w:cs="Arial" w:eastAsia="Arial" w:hint="default"/>
                <w:sz w:val="18"/>
                <w:szCs w:val="18"/>
              </w:rPr>
              <w:t>2019</w:t>
            </w:r>
            <w:r>
              <w:rPr>
                <w:rFonts w:ascii="宋体" w:hAnsi="宋体" w:cs="宋体" w:eastAsia="宋体" w:hint="default"/>
                <w:sz w:val="18"/>
                <w:szCs w:val="18"/>
              </w:rPr>
              <w:t>）内</w:t>
            </w:r>
            <w:r>
              <w:rPr>
                <w:rFonts w:ascii="宋体" w:hAnsi="宋体" w:cs="宋体" w:eastAsia="宋体" w:hint="default"/>
                <w:spacing w:val="-49"/>
                <w:sz w:val="18"/>
                <w:szCs w:val="18"/>
              </w:rPr>
              <w:t> </w:t>
            </w:r>
            <w:r>
              <w:rPr>
                <w:rFonts w:ascii="Arial" w:hAnsi="Arial" w:cs="Arial" w:eastAsia="Arial" w:hint="default"/>
                <w:sz w:val="18"/>
                <w:szCs w:val="18"/>
              </w:rPr>
              <w:t>07</w:t>
            </w:r>
            <w:r>
              <w:rPr>
                <w:rFonts w:ascii="Arial" w:hAnsi="Arial" w:cs="Arial" w:eastAsia="Arial" w:hint="default"/>
                <w:spacing w:val="-6"/>
                <w:sz w:val="18"/>
                <w:szCs w:val="18"/>
              </w:rPr>
              <w:t> </w:t>
            </w:r>
            <w:r>
              <w:rPr>
                <w:rFonts w:ascii="宋体" w:hAnsi="宋体" w:cs="宋体" w:eastAsia="宋体" w:hint="default"/>
                <w:sz w:val="18"/>
                <w:szCs w:val="18"/>
              </w:rPr>
              <w:t>执</w:t>
            </w:r>
            <w:r>
              <w:rPr>
                <w:rFonts w:ascii="宋体" w:hAnsi="宋体" w:cs="宋体" w:eastAsia="宋体" w:hint="default"/>
                <w:spacing w:val="-47"/>
                <w:sz w:val="18"/>
                <w:szCs w:val="18"/>
              </w:rPr>
              <w:t> </w:t>
            </w:r>
            <w:r>
              <w:rPr>
                <w:rFonts w:ascii="Arial" w:hAnsi="Arial" w:cs="Arial" w:eastAsia="Arial" w:hint="default"/>
                <w:sz w:val="18"/>
                <w:szCs w:val="18"/>
              </w:rPr>
              <w:t>94</w:t>
            </w:r>
            <w:r>
              <w:rPr>
                <w:rFonts w:ascii="Arial" w:hAnsi="Arial" w:cs="Arial" w:eastAsia="Arial" w:hint="default"/>
                <w:spacing w:val="-6"/>
                <w:sz w:val="18"/>
                <w:szCs w:val="18"/>
              </w:rPr>
              <w:t> </w:t>
            </w:r>
            <w:r>
              <w:rPr>
                <w:rFonts w:ascii="宋体" w:hAnsi="宋体" w:cs="宋体" w:eastAsia="宋体" w:hint="default"/>
                <w:sz w:val="18"/>
                <w:szCs w:val="18"/>
              </w:rPr>
              <w:t>号，以案外人的主体身份，向呼伦贝尔中院提交了《执行异</w:t>
            </w:r>
          </w:p>
          <w:p>
            <w:pPr>
              <w:pStyle w:val="TableParagraph"/>
              <w:spacing w:line="234" w:lineRule="exact"/>
              <w:ind w:left="108" w:right="0"/>
              <w:jc w:val="both"/>
              <w:rPr>
                <w:rFonts w:ascii="宋体" w:hAnsi="宋体" w:cs="宋体" w:eastAsia="宋体" w:hint="default"/>
                <w:sz w:val="18"/>
                <w:szCs w:val="18"/>
              </w:rPr>
            </w:pPr>
            <w:r>
              <w:rPr>
                <w:rFonts w:ascii="宋体" w:hAnsi="宋体" w:cs="宋体" w:eastAsia="宋体" w:hint="default"/>
                <w:sz w:val="18"/>
                <w:szCs w:val="18"/>
              </w:rPr>
              <w:t>议申请书》及黑龙江省高级人民法院出具的《执行裁定书》（</w:t>
            </w:r>
            <w:r>
              <w:rPr>
                <w:rFonts w:ascii="Arial" w:hAnsi="Arial" w:cs="Arial" w:eastAsia="Arial" w:hint="default"/>
                <w:sz w:val="18"/>
                <w:szCs w:val="18"/>
              </w:rPr>
              <w:t>2016</w:t>
            </w:r>
            <w:r>
              <w:rPr>
                <w:rFonts w:ascii="宋体" w:hAnsi="宋体" w:cs="宋体" w:eastAsia="宋体" w:hint="default"/>
                <w:sz w:val="18"/>
                <w:szCs w:val="18"/>
              </w:rPr>
              <w:t>）黑执</w:t>
            </w:r>
            <w:r>
              <w:rPr>
                <w:rFonts w:ascii="宋体" w:hAnsi="宋体" w:cs="宋体" w:eastAsia="宋体" w:hint="default"/>
                <w:spacing w:val="-49"/>
                <w:sz w:val="18"/>
                <w:szCs w:val="18"/>
              </w:rPr>
              <w:t> </w:t>
            </w:r>
            <w:r>
              <w:rPr>
                <w:rFonts w:ascii="Arial" w:hAnsi="Arial" w:cs="Arial" w:eastAsia="Arial" w:hint="default"/>
                <w:sz w:val="18"/>
                <w:szCs w:val="18"/>
              </w:rPr>
              <w:t>30-7</w:t>
            </w:r>
            <w:r>
              <w:rPr>
                <w:rFonts w:ascii="Arial" w:hAnsi="Arial" w:cs="Arial" w:eastAsia="Arial" w:hint="default"/>
                <w:spacing w:val="-6"/>
                <w:sz w:val="18"/>
                <w:szCs w:val="18"/>
              </w:rPr>
              <w:t> </w:t>
            </w:r>
            <w:r>
              <w:rPr>
                <w:rFonts w:ascii="宋体" w:hAnsi="宋体" w:cs="宋体" w:eastAsia="宋体" w:hint="default"/>
                <w:sz w:val="18"/>
                <w:szCs w:val="18"/>
              </w:rPr>
              <w:t>号，阐明事实理由和法律依据，查封天顺新城三期建设工程</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6"/>
                <w:sz w:val="18"/>
                <w:szCs w:val="18"/>
              </w:rPr>
              <w:t> </w:t>
            </w:r>
            <w:r>
              <w:rPr>
                <w:rFonts w:ascii="宋体" w:hAnsi="宋体" w:cs="宋体" w:eastAsia="宋体" w:hint="default"/>
                <w:sz w:val="18"/>
                <w:szCs w:val="18"/>
              </w:rPr>
              <w:t>号楼整体、</w:t>
            </w:r>
            <w:r>
              <w:rPr>
                <w:rFonts w:ascii="Arial" w:hAnsi="Arial" w:cs="Arial" w:eastAsia="Arial" w:hint="default"/>
                <w:sz w:val="18"/>
                <w:szCs w:val="18"/>
              </w:rPr>
              <w:t>10</w:t>
            </w:r>
            <w:r>
              <w:rPr>
                <w:rFonts w:ascii="Arial" w:hAnsi="Arial" w:cs="Arial" w:eastAsia="Arial" w:hint="default"/>
                <w:spacing w:val="-6"/>
                <w:sz w:val="18"/>
                <w:szCs w:val="18"/>
              </w:rPr>
              <w:t> </w:t>
            </w:r>
            <w:r>
              <w:rPr>
                <w:rFonts w:ascii="宋体" w:hAnsi="宋体" w:cs="宋体" w:eastAsia="宋体" w:hint="default"/>
                <w:sz w:val="18"/>
                <w:szCs w:val="18"/>
              </w:rPr>
              <w:t>号楼</w:t>
            </w:r>
          </w:p>
          <w:p>
            <w:pPr>
              <w:pStyle w:val="TableParagraph"/>
              <w:spacing w:line="233" w:lineRule="exact"/>
              <w:ind w:left="108" w:right="0"/>
              <w:jc w:val="both"/>
              <w:rPr>
                <w:rFonts w:ascii="宋体" w:hAnsi="宋体" w:cs="宋体" w:eastAsia="宋体" w:hint="default"/>
                <w:sz w:val="18"/>
                <w:szCs w:val="18"/>
              </w:rPr>
            </w:pPr>
            <w:r>
              <w:rPr>
                <w:rFonts w:ascii="宋体" w:hAnsi="宋体" w:cs="宋体" w:eastAsia="宋体" w:hint="default"/>
                <w:sz w:val="18"/>
                <w:szCs w:val="18"/>
              </w:rPr>
              <w:t>整体的行为侵害了公司的合法权益，请求法院：解除对公司享有所有权的天顺新城三期</w:t>
            </w:r>
            <w:r>
              <w:rPr>
                <w:rFonts w:ascii="宋体" w:hAnsi="宋体" w:cs="宋体" w:eastAsia="宋体" w:hint="default"/>
                <w:spacing w:val="-45"/>
                <w:sz w:val="18"/>
                <w:szCs w:val="18"/>
              </w:rPr>
              <w:t> </w:t>
            </w:r>
            <w:r>
              <w:rPr>
                <w:rFonts w:ascii="Arial" w:hAnsi="Arial" w:cs="Arial" w:eastAsia="Arial" w:hint="default"/>
                <w:sz w:val="18"/>
                <w:szCs w:val="18"/>
              </w:rPr>
              <w:t>9</w:t>
            </w:r>
            <w:r>
              <w:rPr>
                <w:rFonts w:ascii="Arial" w:hAnsi="Arial" w:cs="Arial" w:eastAsia="Arial" w:hint="default"/>
                <w:spacing w:val="-8"/>
                <w:sz w:val="18"/>
                <w:szCs w:val="18"/>
              </w:rPr>
              <w:t> </w:t>
            </w:r>
            <w:r>
              <w:rPr>
                <w:rFonts w:ascii="宋体" w:hAnsi="宋体" w:cs="宋体" w:eastAsia="宋体" w:hint="default"/>
                <w:sz w:val="18"/>
                <w:szCs w:val="18"/>
              </w:rPr>
              <w:t>号楼和</w:t>
            </w:r>
            <w:r>
              <w:rPr>
                <w:rFonts w:ascii="宋体" w:hAnsi="宋体" w:cs="宋体" w:eastAsia="宋体" w:hint="default"/>
                <w:spacing w:val="-45"/>
                <w:sz w:val="18"/>
                <w:szCs w:val="18"/>
              </w:rPr>
              <w:t> </w:t>
            </w:r>
            <w:r>
              <w:rPr>
                <w:rFonts w:ascii="Arial" w:hAnsi="Arial" w:cs="Arial" w:eastAsia="Arial" w:hint="default"/>
                <w:sz w:val="18"/>
                <w:szCs w:val="18"/>
              </w:rPr>
              <w:t>10</w:t>
            </w:r>
            <w:r>
              <w:rPr>
                <w:rFonts w:ascii="Arial" w:hAnsi="Arial" w:cs="Arial" w:eastAsia="Arial" w:hint="default"/>
                <w:spacing w:val="-5"/>
                <w:sz w:val="18"/>
                <w:szCs w:val="18"/>
              </w:rPr>
              <w:t> </w:t>
            </w:r>
            <w:r>
              <w:rPr>
                <w:rFonts w:ascii="宋体" w:hAnsi="宋体" w:cs="宋体" w:eastAsia="宋体" w:hint="default"/>
                <w:sz w:val="18"/>
                <w:szCs w:val="18"/>
              </w:rPr>
              <w:t>号楼的查封，终结本项执行程序。</w:t>
            </w:r>
          </w:p>
          <w:p>
            <w:pPr>
              <w:pStyle w:val="TableParagraph"/>
              <w:spacing w:line="233" w:lineRule="exact"/>
              <w:ind w:left="470"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Arial" w:hAnsi="Arial" w:cs="Arial" w:eastAsia="Arial" w:hint="default"/>
                <w:sz w:val="18"/>
                <w:szCs w:val="18"/>
              </w:rPr>
              <w:t>8</w:t>
            </w:r>
            <w:r>
              <w:rPr>
                <w:rFonts w:ascii="Arial" w:hAnsi="Arial" w:cs="Arial" w:eastAsia="Arial"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w:hAnsi="Arial" w:cs="Arial" w:eastAsia="Arial" w:hint="default"/>
                <w:sz w:val="18"/>
                <w:szCs w:val="18"/>
              </w:rPr>
              <w:t>22</w:t>
            </w:r>
            <w:r>
              <w:rPr>
                <w:rFonts w:ascii="Arial" w:hAnsi="Arial" w:cs="Arial" w:eastAsia="Arial" w:hint="default"/>
                <w:spacing w:val="-13"/>
                <w:sz w:val="18"/>
                <w:szCs w:val="18"/>
              </w:rPr>
              <w:t> </w:t>
            </w:r>
            <w:r>
              <w:rPr>
                <w:rFonts w:ascii="宋体" w:hAnsi="宋体" w:cs="宋体" w:eastAsia="宋体" w:hint="default"/>
                <w:sz w:val="18"/>
                <w:szCs w:val="18"/>
              </w:rPr>
              <w:t>日，公司收到呼伦贝尔中院出具的《执行裁定书》（</w:t>
            </w:r>
            <w:r>
              <w:rPr>
                <w:rFonts w:ascii="Arial" w:hAnsi="Arial" w:cs="Arial" w:eastAsia="Arial" w:hint="default"/>
                <w:sz w:val="18"/>
                <w:szCs w:val="18"/>
              </w:rPr>
              <w:t>2019</w:t>
            </w:r>
            <w:r>
              <w:rPr>
                <w:rFonts w:ascii="宋体" w:hAnsi="宋体" w:cs="宋体" w:eastAsia="宋体" w:hint="default"/>
                <w:sz w:val="18"/>
                <w:szCs w:val="18"/>
              </w:rPr>
              <w:t>）内</w:t>
            </w:r>
            <w:r>
              <w:rPr>
                <w:rFonts w:ascii="宋体" w:hAnsi="宋体" w:cs="宋体" w:eastAsia="宋体" w:hint="default"/>
                <w:spacing w:val="-54"/>
                <w:sz w:val="18"/>
                <w:szCs w:val="18"/>
              </w:rPr>
              <w:t> </w:t>
            </w:r>
            <w:r>
              <w:rPr>
                <w:rFonts w:ascii="Arial" w:hAnsi="Arial" w:cs="Arial" w:eastAsia="Arial" w:hint="default"/>
                <w:sz w:val="18"/>
                <w:szCs w:val="18"/>
              </w:rPr>
              <w:t>07</w:t>
            </w:r>
            <w:r>
              <w:rPr>
                <w:rFonts w:ascii="Arial" w:hAnsi="Arial" w:cs="Arial" w:eastAsia="Arial" w:hint="default"/>
                <w:spacing w:val="-13"/>
                <w:sz w:val="18"/>
                <w:szCs w:val="18"/>
              </w:rPr>
              <w:t> </w:t>
            </w:r>
            <w:r>
              <w:rPr>
                <w:rFonts w:ascii="宋体" w:hAnsi="宋体" w:cs="宋体" w:eastAsia="宋体" w:hint="default"/>
                <w:sz w:val="18"/>
                <w:szCs w:val="18"/>
              </w:rPr>
              <w:t>执异</w:t>
            </w:r>
            <w:r>
              <w:rPr>
                <w:rFonts w:ascii="宋体" w:hAnsi="宋体" w:cs="宋体" w:eastAsia="宋体" w:hint="default"/>
                <w:spacing w:val="-54"/>
                <w:sz w:val="18"/>
                <w:szCs w:val="18"/>
              </w:rPr>
              <w:t> </w:t>
            </w:r>
            <w:r>
              <w:rPr>
                <w:rFonts w:ascii="Arial" w:hAnsi="Arial" w:cs="Arial" w:eastAsia="Arial" w:hint="default"/>
                <w:sz w:val="18"/>
                <w:szCs w:val="18"/>
              </w:rPr>
              <w:t>48</w:t>
            </w:r>
            <w:r>
              <w:rPr>
                <w:rFonts w:ascii="Arial" w:hAnsi="Arial" w:cs="Arial" w:eastAsia="Arial" w:hint="default"/>
                <w:spacing w:val="-13"/>
                <w:sz w:val="18"/>
                <w:szCs w:val="18"/>
              </w:rPr>
              <w:t> </w:t>
            </w:r>
            <w:r>
              <w:rPr>
                <w:rFonts w:ascii="宋体" w:hAnsi="宋体" w:cs="宋体" w:eastAsia="宋体" w:hint="default"/>
                <w:sz w:val="18"/>
                <w:szCs w:val="18"/>
              </w:rPr>
              <w:t>号，呼伦贝尔中院认为其根据申请执行人的申请和最高人民法院的</w:t>
            </w:r>
          </w:p>
          <w:p>
            <w:pPr>
              <w:pStyle w:val="TableParagraph"/>
              <w:spacing w:line="232" w:lineRule="auto"/>
              <w:ind w:left="108" w:right="151"/>
              <w:jc w:val="both"/>
              <w:rPr>
                <w:rFonts w:ascii="宋体" w:hAnsi="宋体" w:cs="宋体" w:eastAsia="宋体" w:hint="default"/>
                <w:sz w:val="18"/>
                <w:szCs w:val="18"/>
              </w:rPr>
            </w:pPr>
            <w:r>
              <w:rPr>
                <w:rFonts w:ascii="宋体" w:hAnsi="宋体" w:cs="宋体" w:eastAsia="宋体" w:hint="default"/>
                <w:sz w:val="18"/>
                <w:szCs w:val="18"/>
              </w:rPr>
              <w:t>生效判决，对登记在鑫都公司名下的天顺新城三期</w:t>
            </w:r>
            <w:r>
              <w:rPr>
                <w:rFonts w:ascii="宋体" w:hAnsi="宋体" w:cs="宋体" w:eastAsia="宋体" w:hint="default"/>
                <w:spacing w:val="-45"/>
                <w:sz w:val="18"/>
                <w:szCs w:val="18"/>
              </w:rPr>
              <w:t> </w:t>
            </w:r>
            <w:r>
              <w:rPr>
                <w:rFonts w:ascii="Arial" w:hAnsi="Arial" w:cs="Arial" w:eastAsia="Arial" w:hint="default"/>
                <w:sz w:val="18"/>
                <w:szCs w:val="18"/>
              </w:rPr>
              <w:t>9</w:t>
            </w:r>
            <w:r>
              <w:rPr>
                <w:rFonts w:ascii="Arial" w:hAnsi="Arial" w:cs="Arial" w:eastAsia="Arial" w:hint="default"/>
                <w:spacing w:val="-5"/>
                <w:sz w:val="18"/>
                <w:szCs w:val="18"/>
              </w:rPr>
              <w:t> </w:t>
            </w:r>
            <w:r>
              <w:rPr>
                <w:rFonts w:ascii="宋体" w:hAnsi="宋体" w:cs="宋体" w:eastAsia="宋体" w:hint="default"/>
                <w:sz w:val="18"/>
                <w:szCs w:val="18"/>
              </w:rPr>
              <w:t>号楼和</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5"/>
                <w:sz w:val="18"/>
                <w:szCs w:val="18"/>
              </w:rPr>
              <w:t> </w:t>
            </w:r>
            <w:r>
              <w:rPr>
                <w:rFonts w:ascii="宋体" w:hAnsi="宋体" w:cs="宋体" w:eastAsia="宋体" w:hint="default"/>
                <w:sz w:val="18"/>
                <w:szCs w:val="18"/>
              </w:rPr>
              <w:t>号楼整体予以查封的行为并无不当。同时，呼伦贝尔中院还认为最高人民法院的判决中确定</w:t>
            </w:r>
            <w:r>
              <w:rPr>
                <w:rFonts w:ascii="Arial" w:hAnsi="Arial" w:cs="Arial" w:eastAsia="Arial" w:hint="default"/>
                <w:sz w:val="18"/>
                <w:szCs w:val="18"/>
              </w:rPr>
              <w:t>“</w:t>
            </w:r>
            <w:r>
              <w:rPr>
                <w:rFonts w:ascii="宋体" w:hAnsi="宋体" w:cs="宋体" w:eastAsia="宋体" w:hint="default"/>
                <w:sz w:val="18"/>
                <w:szCs w:val="18"/>
              </w:rPr>
              <w:t>锦宸 集团对天顺新城二、三期建设工程拍卖、变卖所得价款在欠付工程款范围内享有优先受偿权，公司现有的民事权益不足以排除本院强制执行，不支持案外人公司 的请求。法院裁定：驳回公司的异议请求。</w:t>
            </w:r>
          </w:p>
          <w:p>
            <w:pPr>
              <w:pStyle w:val="TableParagraph"/>
              <w:spacing w:line="239" w:lineRule="exact"/>
              <w:ind w:left="470" w:right="0"/>
              <w:jc w:val="left"/>
              <w:rPr>
                <w:rFonts w:ascii="宋体" w:hAnsi="宋体" w:cs="宋体" w:eastAsia="宋体" w:hint="default"/>
                <w:sz w:val="18"/>
                <w:szCs w:val="18"/>
              </w:rPr>
            </w:pPr>
            <w:r>
              <w:rPr>
                <w:rFonts w:ascii="宋体" w:hAnsi="宋体" w:cs="宋体" w:eastAsia="宋体" w:hint="default"/>
                <w:sz w:val="18"/>
                <w:szCs w:val="18"/>
              </w:rPr>
              <w:t>公司不服呼伦贝尔中院作出的（</w:t>
            </w:r>
            <w:r>
              <w:rPr>
                <w:rFonts w:ascii="Arial" w:hAnsi="Arial" w:cs="Arial" w:eastAsia="Arial" w:hint="default"/>
                <w:sz w:val="18"/>
                <w:szCs w:val="18"/>
              </w:rPr>
              <w:t>2019</w:t>
            </w:r>
            <w:r>
              <w:rPr>
                <w:rFonts w:ascii="宋体" w:hAnsi="宋体" w:cs="宋体" w:eastAsia="宋体" w:hint="default"/>
                <w:sz w:val="18"/>
                <w:szCs w:val="18"/>
              </w:rPr>
              <w:t>）内</w:t>
            </w:r>
            <w:r>
              <w:rPr>
                <w:rFonts w:ascii="宋体" w:hAnsi="宋体" w:cs="宋体" w:eastAsia="宋体" w:hint="default"/>
                <w:spacing w:val="-49"/>
                <w:sz w:val="18"/>
                <w:szCs w:val="18"/>
              </w:rPr>
              <w:t> </w:t>
            </w:r>
            <w:r>
              <w:rPr>
                <w:rFonts w:ascii="Arial" w:hAnsi="Arial" w:cs="Arial" w:eastAsia="Arial" w:hint="default"/>
                <w:sz w:val="18"/>
                <w:szCs w:val="18"/>
              </w:rPr>
              <w:t>07</w:t>
            </w:r>
            <w:r>
              <w:rPr>
                <w:rFonts w:ascii="Arial" w:hAnsi="Arial" w:cs="Arial" w:eastAsia="Arial" w:hint="default"/>
                <w:spacing w:val="-6"/>
                <w:sz w:val="18"/>
                <w:szCs w:val="18"/>
              </w:rPr>
              <w:t> </w:t>
            </w:r>
            <w:r>
              <w:rPr>
                <w:rFonts w:ascii="宋体" w:hAnsi="宋体" w:cs="宋体" w:eastAsia="宋体" w:hint="default"/>
                <w:sz w:val="18"/>
                <w:szCs w:val="18"/>
              </w:rPr>
              <w:t>执异</w:t>
            </w:r>
            <w:r>
              <w:rPr>
                <w:rFonts w:ascii="宋体" w:hAnsi="宋体" w:cs="宋体" w:eastAsia="宋体" w:hint="default"/>
                <w:spacing w:val="-49"/>
                <w:sz w:val="18"/>
                <w:szCs w:val="18"/>
              </w:rPr>
              <w:t> </w:t>
            </w:r>
            <w:r>
              <w:rPr>
                <w:rFonts w:ascii="Arial" w:hAnsi="Arial" w:cs="Arial" w:eastAsia="Arial" w:hint="default"/>
                <w:sz w:val="18"/>
                <w:szCs w:val="18"/>
              </w:rPr>
              <w:t>48</w:t>
            </w:r>
            <w:r>
              <w:rPr>
                <w:rFonts w:ascii="Arial" w:hAnsi="Arial" w:cs="Arial" w:eastAsia="Arial" w:hint="default"/>
                <w:spacing w:val="-6"/>
                <w:sz w:val="18"/>
                <w:szCs w:val="18"/>
              </w:rPr>
              <w:t> </w:t>
            </w:r>
            <w:r>
              <w:rPr>
                <w:rFonts w:ascii="宋体" w:hAnsi="宋体" w:cs="宋体" w:eastAsia="宋体" w:hint="default"/>
                <w:sz w:val="18"/>
                <w:szCs w:val="18"/>
              </w:rPr>
              <w:t>号《执行裁定书》。公司认为：依据黑龙江省高级人民法院</w:t>
            </w:r>
            <w:r>
              <w:rPr>
                <w:rFonts w:ascii="宋体" w:hAnsi="宋体" w:cs="宋体" w:eastAsia="宋体" w:hint="default"/>
                <w:spacing w:val="-47"/>
                <w:sz w:val="18"/>
                <w:szCs w:val="18"/>
              </w:rPr>
              <w:t> </w:t>
            </w:r>
            <w:r>
              <w:rPr>
                <w:rFonts w:ascii="Arial" w:hAnsi="Arial" w:cs="Arial" w:eastAsia="Arial" w:hint="default"/>
                <w:sz w:val="18"/>
                <w:szCs w:val="18"/>
              </w:rPr>
              <w:t>2018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10</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17</w:t>
            </w:r>
            <w:r>
              <w:rPr>
                <w:rFonts w:ascii="Arial" w:hAnsi="Arial" w:cs="Arial" w:eastAsia="Arial" w:hint="default"/>
                <w:spacing w:val="-6"/>
                <w:sz w:val="18"/>
                <w:szCs w:val="18"/>
              </w:rPr>
              <w:t> </w:t>
            </w:r>
            <w:r>
              <w:rPr>
                <w:rFonts w:ascii="宋体" w:hAnsi="宋体" w:cs="宋体" w:eastAsia="宋体" w:hint="default"/>
                <w:sz w:val="18"/>
                <w:szCs w:val="18"/>
              </w:rPr>
              <w:t>日作出的《执行裁定书》</w:t>
            </w:r>
          </w:p>
          <w:p>
            <w:pPr>
              <w:pStyle w:val="TableParagraph"/>
              <w:spacing w:line="234" w:lineRule="exact"/>
              <w:ind w:left="108" w:right="0"/>
              <w:jc w:val="both"/>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2016</w:t>
            </w:r>
            <w:r>
              <w:rPr>
                <w:rFonts w:ascii="宋体" w:hAnsi="宋体" w:cs="宋体" w:eastAsia="宋体" w:hint="default"/>
                <w:sz w:val="18"/>
                <w:szCs w:val="18"/>
              </w:rPr>
              <w:t>）黑执</w:t>
            </w:r>
            <w:r>
              <w:rPr>
                <w:rFonts w:ascii="宋体" w:hAnsi="宋体" w:cs="宋体" w:eastAsia="宋体" w:hint="default"/>
                <w:spacing w:val="-49"/>
                <w:sz w:val="18"/>
                <w:szCs w:val="18"/>
              </w:rPr>
              <w:t> </w:t>
            </w:r>
            <w:r>
              <w:rPr>
                <w:rFonts w:ascii="Arial" w:hAnsi="Arial" w:cs="Arial" w:eastAsia="Arial" w:hint="default"/>
                <w:sz w:val="18"/>
                <w:szCs w:val="18"/>
              </w:rPr>
              <w:t>30-7</w:t>
            </w:r>
            <w:r>
              <w:rPr>
                <w:rFonts w:ascii="Arial" w:hAnsi="Arial" w:cs="Arial" w:eastAsia="Arial" w:hint="default"/>
                <w:spacing w:val="-6"/>
                <w:sz w:val="18"/>
                <w:szCs w:val="18"/>
              </w:rPr>
              <w:t> </w:t>
            </w:r>
            <w:r>
              <w:rPr>
                <w:rFonts w:ascii="宋体" w:hAnsi="宋体" w:cs="宋体" w:eastAsia="宋体" w:hint="default"/>
                <w:sz w:val="18"/>
                <w:szCs w:val="18"/>
              </w:rPr>
              <w:t>号，公司已对位于海拉尔火车站前广场南侧天顺新城三期建设工程</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9"/>
                <w:sz w:val="18"/>
                <w:szCs w:val="18"/>
              </w:rPr>
              <w:t> </w:t>
            </w:r>
            <w:r>
              <w:rPr>
                <w:rFonts w:ascii="宋体" w:hAnsi="宋体" w:cs="宋体" w:eastAsia="宋体" w:hint="default"/>
                <w:sz w:val="18"/>
                <w:szCs w:val="18"/>
              </w:rPr>
              <w:t>号楼整体、</w:t>
            </w:r>
            <w:r>
              <w:rPr>
                <w:rFonts w:ascii="Arial" w:hAnsi="Arial" w:cs="Arial" w:eastAsia="Arial" w:hint="default"/>
                <w:sz w:val="18"/>
                <w:szCs w:val="18"/>
              </w:rPr>
              <w:t>10</w:t>
            </w:r>
            <w:r>
              <w:rPr>
                <w:rFonts w:ascii="Arial" w:hAnsi="Arial" w:cs="Arial" w:eastAsia="Arial" w:hint="default"/>
                <w:spacing w:val="-6"/>
                <w:sz w:val="18"/>
                <w:szCs w:val="18"/>
              </w:rPr>
              <w:t> </w:t>
            </w:r>
            <w:r>
              <w:rPr>
                <w:rFonts w:ascii="宋体" w:hAnsi="宋体" w:cs="宋体" w:eastAsia="宋体" w:hint="default"/>
                <w:sz w:val="18"/>
                <w:szCs w:val="18"/>
              </w:rPr>
              <w:t>号楼整体（下称</w:t>
            </w:r>
            <w:r>
              <w:rPr>
                <w:rFonts w:ascii="Arial" w:hAnsi="Arial" w:cs="Arial" w:eastAsia="Arial" w:hint="default"/>
                <w:sz w:val="18"/>
                <w:szCs w:val="18"/>
              </w:rPr>
              <w:t>“</w:t>
            </w:r>
            <w:r>
              <w:rPr>
                <w:rFonts w:ascii="宋体" w:hAnsi="宋体" w:cs="宋体" w:eastAsia="宋体" w:hint="default"/>
                <w:sz w:val="18"/>
                <w:szCs w:val="18"/>
              </w:rPr>
              <w:t>天顺三期</w:t>
            </w:r>
            <w:r>
              <w:rPr>
                <w:rFonts w:ascii="宋体" w:hAnsi="宋体" w:cs="宋体" w:eastAsia="宋体" w:hint="default"/>
                <w:spacing w:val="-47"/>
                <w:sz w:val="18"/>
                <w:szCs w:val="18"/>
              </w:rPr>
              <w:t> </w:t>
            </w:r>
            <w:r>
              <w:rPr>
                <w:rFonts w:ascii="Arial" w:hAnsi="Arial" w:cs="Arial" w:eastAsia="Arial" w:hint="default"/>
                <w:sz w:val="18"/>
                <w:szCs w:val="18"/>
              </w:rPr>
              <w:t>9</w:t>
            </w:r>
            <w:r>
              <w:rPr>
                <w:rFonts w:ascii="Arial" w:hAnsi="Arial" w:cs="Arial" w:eastAsia="Arial" w:hint="default"/>
                <w:spacing w:val="-6"/>
                <w:sz w:val="18"/>
                <w:szCs w:val="18"/>
              </w:rPr>
              <w:t> </w:t>
            </w:r>
            <w:r>
              <w:rPr>
                <w:rFonts w:ascii="宋体" w:hAnsi="宋体" w:cs="宋体" w:eastAsia="宋体" w:hint="default"/>
                <w:sz w:val="18"/>
                <w:szCs w:val="18"/>
              </w:rPr>
              <w:t>号楼、</w:t>
            </w:r>
            <w:r>
              <w:rPr>
                <w:rFonts w:ascii="Arial" w:hAnsi="Arial" w:cs="Arial" w:eastAsia="Arial" w:hint="default"/>
                <w:sz w:val="18"/>
                <w:szCs w:val="18"/>
              </w:rPr>
              <w:t>10</w:t>
            </w:r>
            <w:r>
              <w:rPr>
                <w:rFonts w:ascii="Arial" w:hAnsi="Arial" w:cs="Arial" w:eastAsia="Arial" w:hint="default"/>
                <w:spacing w:val="-6"/>
                <w:sz w:val="18"/>
                <w:szCs w:val="18"/>
              </w:rPr>
              <w:t> </w:t>
            </w:r>
            <w:r>
              <w:rPr>
                <w:rFonts w:ascii="宋体" w:hAnsi="宋体" w:cs="宋体" w:eastAsia="宋体" w:hint="default"/>
                <w:sz w:val="18"/>
                <w:szCs w:val="18"/>
              </w:rPr>
              <w:t>号楼</w:t>
            </w:r>
            <w:r>
              <w:rPr>
                <w:rFonts w:ascii="Arial" w:hAnsi="Arial" w:cs="Arial" w:eastAsia="Arial" w:hint="default"/>
                <w:sz w:val="18"/>
                <w:szCs w:val="18"/>
              </w:rPr>
              <w:t>”</w:t>
            </w:r>
            <w:r>
              <w:rPr>
                <w:rFonts w:ascii="宋体" w:hAnsi="宋体" w:cs="宋体" w:eastAsia="宋体" w:hint="default"/>
                <w:sz w:val="18"/>
                <w:szCs w:val="18"/>
              </w:rPr>
              <w:t>）享有的所有</w:t>
            </w:r>
          </w:p>
          <w:p>
            <w:pPr>
              <w:pStyle w:val="TableParagraph"/>
              <w:spacing w:line="234" w:lineRule="exact"/>
              <w:ind w:left="108" w:right="0"/>
              <w:jc w:val="both"/>
              <w:rPr>
                <w:rFonts w:ascii="宋体" w:hAnsi="宋体" w:cs="宋体" w:eastAsia="宋体" w:hint="default"/>
                <w:sz w:val="18"/>
                <w:szCs w:val="18"/>
              </w:rPr>
            </w:pPr>
            <w:r>
              <w:rPr>
                <w:rFonts w:ascii="宋体" w:hAnsi="宋体" w:cs="宋体" w:eastAsia="宋体" w:hint="default"/>
                <w:sz w:val="18"/>
                <w:szCs w:val="18"/>
              </w:rPr>
              <w:t>权足以排除贵院强制执行，法院作出的（</w:t>
            </w:r>
            <w:r>
              <w:rPr>
                <w:rFonts w:ascii="Arial" w:hAnsi="Arial" w:cs="Arial" w:eastAsia="Arial" w:hint="default"/>
                <w:sz w:val="18"/>
                <w:szCs w:val="18"/>
              </w:rPr>
              <w:t>2019</w:t>
            </w:r>
            <w:r>
              <w:rPr>
                <w:rFonts w:ascii="宋体" w:hAnsi="宋体" w:cs="宋体" w:eastAsia="宋体" w:hint="default"/>
                <w:sz w:val="18"/>
                <w:szCs w:val="18"/>
              </w:rPr>
              <w:t>）内</w:t>
            </w:r>
            <w:r>
              <w:rPr>
                <w:rFonts w:ascii="宋体" w:hAnsi="宋体" w:cs="宋体" w:eastAsia="宋体" w:hint="default"/>
                <w:spacing w:val="-54"/>
                <w:sz w:val="18"/>
                <w:szCs w:val="18"/>
              </w:rPr>
              <w:t> </w:t>
            </w:r>
            <w:r>
              <w:rPr>
                <w:rFonts w:ascii="Arial" w:hAnsi="Arial" w:cs="Arial" w:eastAsia="Arial" w:hint="default"/>
                <w:sz w:val="18"/>
                <w:szCs w:val="18"/>
              </w:rPr>
              <w:t>07</w:t>
            </w:r>
            <w:r>
              <w:rPr>
                <w:rFonts w:ascii="Arial" w:hAnsi="Arial" w:cs="Arial" w:eastAsia="Arial" w:hint="default"/>
                <w:spacing w:val="-14"/>
                <w:sz w:val="18"/>
                <w:szCs w:val="18"/>
              </w:rPr>
              <w:t> </w:t>
            </w:r>
            <w:r>
              <w:rPr>
                <w:rFonts w:ascii="宋体" w:hAnsi="宋体" w:cs="宋体" w:eastAsia="宋体" w:hint="default"/>
                <w:sz w:val="18"/>
                <w:szCs w:val="18"/>
              </w:rPr>
              <w:t>执异</w:t>
            </w:r>
            <w:r>
              <w:rPr>
                <w:rFonts w:ascii="宋体" w:hAnsi="宋体" w:cs="宋体" w:eastAsia="宋体" w:hint="default"/>
                <w:spacing w:val="-57"/>
                <w:sz w:val="18"/>
                <w:szCs w:val="18"/>
              </w:rPr>
              <w:t> </w:t>
            </w:r>
            <w:r>
              <w:rPr>
                <w:rFonts w:ascii="Arial" w:hAnsi="Arial" w:cs="Arial" w:eastAsia="Arial" w:hint="default"/>
                <w:sz w:val="18"/>
                <w:szCs w:val="18"/>
              </w:rPr>
              <w:t>48</w:t>
            </w:r>
            <w:r>
              <w:rPr>
                <w:rFonts w:ascii="Arial" w:hAnsi="Arial" w:cs="Arial" w:eastAsia="Arial" w:hint="default"/>
                <w:spacing w:val="-14"/>
                <w:sz w:val="18"/>
                <w:szCs w:val="18"/>
              </w:rPr>
              <w:t> </w:t>
            </w:r>
            <w:r>
              <w:rPr>
                <w:rFonts w:ascii="宋体" w:hAnsi="宋体" w:cs="宋体" w:eastAsia="宋体" w:hint="default"/>
                <w:sz w:val="18"/>
                <w:szCs w:val="18"/>
              </w:rPr>
              <w:t>号《执行裁定书》存在严重错误，侵害了公司的合法权益，依据《中华人民共和国民事诉讼法》第</w:t>
            </w:r>
          </w:p>
          <w:p>
            <w:pPr>
              <w:pStyle w:val="TableParagraph"/>
              <w:spacing w:line="233" w:lineRule="exact"/>
              <w:ind w:left="108" w:right="0"/>
              <w:jc w:val="both"/>
              <w:rPr>
                <w:rFonts w:ascii="Arial" w:hAnsi="Arial" w:cs="Arial" w:eastAsia="Arial" w:hint="default"/>
                <w:sz w:val="18"/>
                <w:szCs w:val="18"/>
              </w:rPr>
            </w:pPr>
            <w:r>
              <w:rPr>
                <w:rFonts w:ascii="宋体" w:hAnsi="宋体" w:cs="宋体" w:eastAsia="宋体" w:hint="default"/>
                <w:spacing w:val="-1"/>
                <w:sz w:val="18"/>
                <w:szCs w:val="18"/>
              </w:rPr>
              <w:t>二百二十七条规定，向呼伦贝尔中院提起诉讼（案外人执行异议之诉）。公司请求事项：一是请求呼伦贝尔中院依法撤销其作出的《执行裁定书》（</w:t>
            </w:r>
            <w:r>
              <w:rPr>
                <w:rFonts w:ascii="Arial" w:hAnsi="Arial" w:cs="Arial" w:eastAsia="Arial" w:hint="default"/>
                <w:spacing w:val="-1"/>
                <w:sz w:val="18"/>
                <w:szCs w:val="18"/>
              </w:rPr>
              <w:t>2019</w:t>
            </w:r>
            <w:r>
              <w:rPr>
                <w:rFonts w:ascii="宋体" w:hAnsi="宋体" w:cs="宋体" w:eastAsia="宋体" w:hint="default"/>
                <w:spacing w:val="-1"/>
                <w:sz w:val="18"/>
                <w:szCs w:val="18"/>
              </w:rPr>
              <w:t>）内</w:t>
            </w:r>
            <w:r>
              <w:rPr>
                <w:rFonts w:ascii="宋体" w:hAnsi="宋体" w:cs="宋体" w:eastAsia="宋体" w:hint="default"/>
                <w:spacing w:val="-38"/>
                <w:sz w:val="18"/>
                <w:szCs w:val="18"/>
              </w:rPr>
              <w:t> </w:t>
            </w:r>
            <w:r>
              <w:rPr>
                <w:rFonts w:ascii="Arial" w:hAnsi="Arial" w:cs="Arial" w:eastAsia="Arial" w:hint="default"/>
                <w:sz w:val="18"/>
                <w:szCs w:val="18"/>
              </w:rPr>
              <w:t>07</w:t>
            </w:r>
          </w:p>
          <w:p>
            <w:pPr>
              <w:pStyle w:val="TableParagraph"/>
              <w:spacing w:line="225" w:lineRule="auto" w:before="5"/>
              <w:ind w:left="108" w:right="101"/>
              <w:jc w:val="both"/>
              <w:rPr>
                <w:rFonts w:ascii="宋体" w:hAnsi="宋体" w:cs="宋体" w:eastAsia="宋体" w:hint="default"/>
                <w:sz w:val="15"/>
                <w:szCs w:val="15"/>
              </w:rPr>
            </w:pPr>
            <w:r>
              <w:rPr>
                <w:rFonts w:ascii="宋体" w:hAnsi="宋体" w:cs="宋体" w:eastAsia="宋体" w:hint="default"/>
                <w:sz w:val="18"/>
                <w:szCs w:val="18"/>
              </w:rPr>
              <w:t>执</w:t>
            </w:r>
            <w:r>
              <w:rPr>
                <w:rFonts w:ascii="宋体" w:hAnsi="宋体" w:cs="宋体" w:eastAsia="宋体" w:hint="default"/>
                <w:spacing w:val="-47"/>
                <w:sz w:val="18"/>
                <w:szCs w:val="18"/>
              </w:rPr>
              <w:t> </w:t>
            </w:r>
            <w:r>
              <w:rPr>
                <w:rFonts w:ascii="Arial" w:hAnsi="Arial" w:cs="Arial" w:eastAsia="Arial" w:hint="default"/>
                <w:sz w:val="18"/>
                <w:szCs w:val="18"/>
              </w:rPr>
              <w:t>94</w:t>
            </w:r>
            <w:r>
              <w:rPr>
                <w:rFonts w:ascii="Arial" w:hAnsi="Arial" w:cs="Arial" w:eastAsia="Arial" w:hint="default"/>
                <w:spacing w:val="-6"/>
                <w:sz w:val="18"/>
                <w:szCs w:val="18"/>
              </w:rPr>
              <w:t> </w:t>
            </w:r>
            <w:r>
              <w:rPr>
                <w:rFonts w:ascii="宋体" w:hAnsi="宋体" w:cs="宋体" w:eastAsia="宋体" w:hint="default"/>
                <w:sz w:val="18"/>
                <w:szCs w:val="18"/>
              </w:rPr>
              <w:t>号及《执行裁定书》（</w:t>
            </w:r>
            <w:r>
              <w:rPr>
                <w:rFonts w:ascii="Arial" w:hAnsi="Arial" w:cs="Arial" w:eastAsia="Arial" w:hint="default"/>
                <w:sz w:val="18"/>
                <w:szCs w:val="18"/>
              </w:rPr>
              <w:t>2019</w:t>
            </w:r>
            <w:r>
              <w:rPr>
                <w:rFonts w:ascii="宋体" w:hAnsi="宋体" w:cs="宋体" w:eastAsia="宋体" w:hint="default"/>
                <w:sz w:val="18"/>
                <w:szCs w:val="18"/>
              </w:rPr>
              <w:t>）内</w:t>
            </w:r>
            <w:r>
              <w:rPr>
                <w:rFonts w:ascii="宋体" w:hAnsi="宋体" w:cs="宋体" w:eastAsia="宋体" w:hint="default"/>
                <w:spacing w:val="-47"/>
                <w:sz w:val="18"/>
                <w:szCs w:val="18"/>
              </w:rPr>
              <w:t> </w:t>
            </w:r>
            <w:r>
              <w:rPr>
                <w:rFonts w:ascii="Arial" w:hAnsi="Arial" w:cs="Arial" w:eastAsia="Arial" w:hint="default"/>
                <w:sz w:val="18"/>
                <w:szCs w:val="18"/>
              </w:rPr>
              <w:t>07</w:t>
            </w:r>
            <w:r>
              <w:rPr>
                <w:rFonts w:ascii="Arial" w:hAnsi="Arial" w:cs="Arial" w:eastAsia="Arial" w:hint="default"/>
                <w:spacing w:val="-6"/>
                <w:sz w:val="18"/>
                <w:szCs w:val="18"/>
              </w:rPr>
              <w:t> </w:t>
            </w:r>
            <w:r>
              <w:rPr>
                <w:rFonts w:ascii="宋体" w:hAnsi="宋体" w:cs="宋体" w:eastAsia="宋体" w:hint="default"/>
                <w:sz w:val="18"/>
                <w:szCs w:val="18"/>
              </w:rPr>
              <w:t>执异</w:t>
            </w:r>
            <w:r>
              <w:rPr>
                <w:rFonts w:ascii="宋体" w:hAnsi="宋体" w:cs="宋体" w:eastAsia="宋体" w:hint="default"/>
                <w:spacing w:val="-47"/>
                <w:sz w:val="18"/>
                <w:szCs w:val="18"/>
              </w:rPr>
              <w:t> </w:t>
            </w:r>
            <w:r>
              <w:rPr>
                <w:rFonts w:ascii="Arial" w:hAnsi="Arial" w:cs="Arial" w:eastAsia="Arial" w:hint="default"/>
                <w:sz w:val="18"/>
                <w:szCs w:val="18"/>
              </w:rPr>
              <w:t>48</w:t>
            </w:r>
            <w:r>
              <w:rPr>
                <w:rFonts w:ascii="Arial" w:hAnsi="Arial" w:cs="Arial" w:eastAsia="Arial" w:hint="default"/>
                <w:spacing w:val="-6"/>
                <w:sz w:val="18"/>
                <w:szCs w:val="18"/>
              </w:rPr>
              <w:t> </w:t>
            </w:r>
            <w:r>
              <w:rPr>
                <w:rFonts w:ascii="宋体" w:hAnsi="宋体" w:cs="宋体" w:eastAsia="宋体" w:hint="default"/>
                <w:sz w:val="18"/>
                <w:szCs w:val="18"/>
              </w:rPr>
              <w:t>号，解除对公司已依法享有所有权的位于呼伦贝尔市海拉尔火车站前广场南侧天顺新城小区三期建设工程</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6"/>
                <w:sz w:val="18"/>
                <w:szCs w:val="18"/>
              </w:rPr>
              <w:t> </w:t>
            </w:r>
            <w:r>
              <w:rPr>
                <w:rFonts w:ascii="宋体" w:hAnsi="宋体" w:cs="宋体" w:eastAsia="宋体" w:hint="default"/>
                <w:sz w:val="18"/>
                <w:szCs w:val="18"/>
              </w:rPr>
              <w:t>号 楼整体、</w:t>
            </w:r>
            <w:r>
              <w:rPr>
                <w:rFonts w:ascii="Arial" w:hAnsi="Arial" w:cs="Arial" w:eastAsia="Arial" w:hint="default"/>
                <w:sz w:val="18"/>
                <w:szCs w:val="18"/>
              </w:rPr>
              <w:t>10</w:t>
            </w:r>
            <w:r>
              <w:rPr>
                <w:rFonts w:ascii="Arial" w:hAnsi="Arial" w:cs="Arial" w:eastAsia="Arial" w:hint="default"/>
                <w:spacing w:val="-13"/>
                <w:sz w:val="18"/>
                <w:szCs w:val="18"/>
              </w:rPr>
              <w:t> </w:t>
            </w:r>
            <w:r>
              <w:rPr>
                <w:rFonts w:ascii="宋体" w:hAnsi="宋体" w:cs="宋体" w:eastAsia="宋体" w:hint="default"/>
                <w:sz w:val="18"/>
                <w:szCs w:val="18"/>
              </w:rPr>
              <w:t>号楼整体的查封；二是本案全部诉讼费、律师费等费用均由被告承担。</w:t>
            </w:r>
            <w:r>
              <w:rPr>
                <w:rFonts w:ascii="Arial" w:hAnsi="Arial" w:cs="Arial" w:eastAsia="Arial" w:hint="default"/>
                <w:sz w:val="18"/>
                <w:szCs w:val="18"/>
              </w:rPr>
              <w:t>2019</w:t>
            </w:r>
            <w:r>
              <w:rPr>
                <w:rFonts w:ascii="Arial" w:hAnsi="Arial" w:cs="Arial" w:eastAsia="Arial"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9</w:t>
            </w:r>
            <w:r>
              <w:rPr>
                <w:rFonts w:ascii="Arial" w:hAnsi="Arial" w:cs="Arial" w:eastAsia="Arial"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12</w:t>
            </w:r>
            <w:r>
              <w:rPr>
                <w:rFonts w:ascii="Arial" w:hAnsi="Arial" w:cs="Arial" w:eastAsia="Arial" w:hint="default"/>
                <w:spacing w:val="-13"/>
                <w:sz w:val="18"/>
                <w:szCs w:val="18"/>
              </w:rPr>
              <w:t> </w:t>
            </w:r>
            <w:r>
              <w:rPr>
                <w:rFonts w:ascii="宋体" w:hAnsi="宋体" w:cs="宋体" w:eastAsia="宋体" w:hint="default"/>
                <w:sz w:val="18"/>
                <w:szCs w:val="18"/>
              </w:rPr>
              <w:t>日，公司收到了内蒙古自治区呼伦贝尔市中级人民法院（以下 简称：呼伦贝尔中院）送达的《交纳诉讼费用通知书》。</w:t>
            </w:r>
            <w:r>
              <w:rPr>
                <w:rFonts w:ascii="Arial" w:hAnsi="Arial" w:cs="Arial" w:eastAsia="Arial" w:hint="default"/>
                <w:sz w:val="18"/>
                <w:szCs w:val="18"/>
              </w:rPr>
              <w:t>2019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11</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Arial" w:hAnsi="Arial" w:cs="Arial" w:eastAsia="Arial" w:hint="default"/>
                <w:sz w:val="18"/>
                <w:szCs w:val="18"/>
              </w:rPr>
              <w:t>4</w:t>
            </w:r>
            <w:r>
              <w:rPr>
                <w:rFonts w:ascii="Arial" w:hAnsi="Arial" w:cs="Arial" w:eastAsia="Arial" w:hint="default"/>
                <w:spacing w:val="-6"/>
                <w:sz w:val="18"/>
                <w:szCs w:val="18"/>
              </w:rPr>
              <w:t> </w:t>
            </w:r>
            <w:r>
              <w:rPr>
                <w:rFonts w:ascii="宋体" w:hAnsi="宋体" w:cs="宋体" w:eastAsia="宋体" w:hint="default"/>
                <w:sz w:val="18"/>
                <w:szCs w:val="18"/>
              </w:rPr>
              <w:t>日开庭双方交换证据，现等待判决。</w:t>
            </w:r>
            <w:r>
              <w:rPr>
                <w:rFonts w:ascii="宋体" w:hAnsi="宋体" w:cs="宋体" w:eastAsia="宋体" w:hint="default"/>
                <w:w w:val="100"/>
                <w:sz w:val="15"/>
                <w:szCs w:val="15"/>
              </w:rPr>
              <w:t> </w:t>
            </w:r>
          </w:p>
        </w:tc>
        <w:tc>
          <w:tcPr>
            <w:tcW w:w="1104" w:type="dxa"/>
            <w:tcBorders>
              <w:top w:val="single" w:sz="4" w:space="0" w:color="41B7EE"/>
              <w:left w:val="single" w:sz="4" w:space="0" w:color="41B7EE"/>
              <w:bottom w:val="single" w:sz="23" w:space="0" w:color="41B7EE"/>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详见公司</w:t>
            </w:r>
          </w:p>
          <w:p>
            <w:pPr>
              <w:pStyle w:val="TableParagraph"/>
              <w:spacing w:line="227" w:lineRule="exact" w:before="25"/>
              <w:ind w:left="103" w:right="0"/>
              <w:jc w:val="left"/>
              <w:rPr>
                <w:rFonts w:ascii="Arial" w:hAnsi="Arial" w:cs="Arial" w:eastAsia="Arial" w:hint="default"/>
                <w:sz w:val="21"/>
                <w:szCs w:val="21"/>
              </w:rPr>
            </w:pPr>
            <w:r>
              <w:rPr>
                <w:rFonts w:ascii="Arial"/>
                <w:sz w:val="21"/>
              </w:rPr>
              <w:t>2019-053</w:t>
            </w:r>
          </w:p>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号公告。</w:t>
            </w:r>
            <w:r>
              <w:rPr>
                <w:rFonts w:ascii="宋体" w:hAnsi="宋体" w:cs="宋体" w:eastAsia="宋体" w:hint="default"/>
                <w:sz w:val="21"/>
                <w:szCs w:val="21"/>
              </w:rPr>
              <w:t> </w:t>
            </w:r>
          </w:p>
        </w:tc>
      </w:tr>
    </w:tbl>
    <w:p>
      <w:pPr>
        <w:spacing w:after="0" w:line="261" w:lineRule="exact"/>
        <w:jc w:val="left"/>
        <w:rPr>
          <w:rFonts w:ascii="宋体" w:hAnsi="宋体" w:cs="宋体" w:eastAsia="宋体" w:hint="default"/>
          <w:sz w:val="21"/>
          <w:szCs w:val="21"/>
        </w:rPr>
        <w:sectPr>
          <w:headerReference w:type="default" r:id="rId18"/>
          <w:footerReference w:type="default" r:id="rId19"/>
          <w:pgSz w:w="16840" w:h="11910" w:orient="landscape"/>
          <w:pgMar w:header="825" w:footer="1271" w:top="1360" w:bottom="1460" w:left="1200" w:right="1300"/>
          <w:pgNumType w:start="28"/>
        </w:sectPr>
      </w:pPr>
    </w:p>
    <w:p>
      <w:pPr>
        <w:pStyle w:val="Heading2"/>
        <w:spacing w:line="240" w:lineRule="auto" w:before="44"/>
        <w:ind w:left="240" w:right="-1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9"/>
        </w:rPr>
        <w:t> </w:t>
      </w:r>
      <w:r>
        <w:rPr/>
        <w:t>临时公告未披露或有后续进展的诉讼、仲裁情况</w:t>
      </w:r>
      <w:r>
        <w:rPr>
          <w:b w:val="0"/>
          <w:bCs w:val="0"/>
        </w:rPr>
      </w:r>
    </w:p>
    <w:p>
      <w:pPr>
        <w:pStyle w:val="BodyText"/>
        <w:spacing w:line="559" w:lineRule="auto" w:before="32"/>
        <w:ind w:left="240" w:right="2348"/>
        <w:jc w:val="left"/>
        <w:rPr>
          <w:rFonts w:ascii="宋体" w:hAnsi="宋体" w:cs="宋体" w:eastAsia="宋体" w:hint="default"/>
        </w:rPr>
      </w:pPr>
      <w:r>
        <w:rPr/>
        <w:pict>
          <v:group style="position:absolute;margin-left:70.079987pt;margin-top:30.423647pt;width:697.55pt;height:2.9pt;mso-position-horizontal-relative:page;mso-position-vertical-relative:paragraph;z-index:-944368" coordorigin="1402,608" coordsize="13951,58">
            <v:group style="position:absolute;left:1411;top:618;width:13932;height:2" coordorigin="1411,618" coordsize="13932,2">
              <v:shape style="position:absolute;left:1411;top:618;width:13932;height:2" coordorigin="1411,618" coordsize="13932,0" path="m1411,618l15343,618e" filled="false" stroked="true" strokeweight=".96002pt" strokecolor="#41b7ee">
                <v:path arrowok="t"/>
              </v:shape>
            </v:group>
            <v:group style="position:absolute;left:1411;top:656;width:13932;height:2" coordorigin="1411,656" coordsize="13932,2">
              <v:shape style="position:absolute;left:1411;top:656;width:13932;height:2" coordorigin="1411,656" coordsize="13932,0" path="m1411,656l15343,656e" filled="false" stroked="true" strokeweight=".95999pt" strokecolor="#41b7ee">
                <v:path arrowok="t"/>
              </v:shape>
            </v:group>
            <w10:wrap type="none"/>
          </v:group>
        </w:pict>
      </w:r>
      <w:r>
        <w:rPr/>
        <w:pict>
          <v:shape style="position:absolute;margin-left:70.559998pt;margin-top:50.823658pt;width:696.6pt;height:28.8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12"/>
                    <w:gridCol w:w="646"/>
                    <w:gridCol w:w="794"/>
                    <w:gridCol w:w="600"/>
                    <w:gridCol w:w="2273"/>
                    <w:gridCol w:w="1358"/>
                    <w:gridCol w:w="838"/>
                    <w:gridCol w:w="2422"/>
                    <w:gridCol w:w="2859"/>
                    <w:gridCol w:w="1529"/>
                  </w:tblGrid>
                  <w:tr>
                    <w:trPr>
                      <w:trHeight w:val="562" w:hRule="exact"/>
                    </w:trPr>
                    <w:tc>
                      <w:tcPr>
                        <w:tcW w:w="612" w:type="dxa"/>
                        <w:tcBorders>
                          <w:top w:val="single" w:sz="4" w:space="0" w:color="41B7EE"/>
                          <w:left w:val="nil" w:sz="6" w:space="0" w:color="auto"/>
                          <w:bottom w:val="single" w:sz="8" w:space="0" w:color="41B7EE"/>
                          <w:right w:val="single" w:sz="4" w:space="0" w:color="41B7EE"/>
                        </w:tcBorders>
                      </w:tcPr>
                      <w:p>
                        <w:pPr>
                          <w:pStyle w:val="TableParagraph"/>
                          <w:spacing w:line="240" w:lineRule="exact"/>
                          <w:ind w:left="95" w:right="0"/>
                          <w:jc w:val="left"/>
                          <w:rPr>
                            <w:rFonts w:ascii="宋体" w:hAnsi="宋体" w:cs="宋体" w:eastAsia="宋体" w:hint="default"/>
                            <w:sz w:val="21"/>
                            <w:szCs w:val="21"/>
                          </w:rPr>
                        </w:pPr>
                        <w:r>
                          <w:rPr>
                            <w:rFonts w:ascii="宋体" w:hAnsi="宋体" w:cs="宋体" w:eastAsia="宋体" w:hint="default"/>
                            <w:sz w:val="21"/>
                            <w:szCs w:val="21"/>
                          </w:rPr>
                          <w:t>起诉</w:t>
                        </w:r>
                      </w:p>
                      <w:p>
                        <w:pPr>
                          <w:pStyle w:val="TableParagraph"/>
                          <w:spacing w:line="274" w:lineRule="exact"/>
                          <w:ind w:left="95" w:right="0"/>
                          <w:jc w:val="left"/>
                          <w:rPr>
                            <w:rFonts w:ascii="宋体" w:hAnsi="宋体" w:cs="宋体" w:eastAsia="宋体" w:hint="default"/>
                            <w:sz w:val="21"/>
                            <w:szCs w:val="21"/>
                          </w:rPr>
                        </w:pPr>
                        <w:r>
                          <w:rPr>
                            <w:rFonts w:ascii="宋体" w:hAnsi="宋体" w:cs="宋体" w:eastAsia="宋体" w:hint="default"/>
                            <w:sz w:val="21"/>
                            <w:szCs w:val="21"/>
                          </w:rPr>
                          <w:t>（申</w:t>
                        </w:r>
                      </w:p>
                    </w:tc>
                    <w:tc>
                      <w:tcPr>
                        <w:tcW w:w="646" w:type="dxa"/>
                        <w:tcBorders>
                          <w:top w:val="single" w:sz="4" w:space="0" w:color="41B7EE"/>
                          <w:left w:val="single" w:sz="4" w:space="0" w:color="41B7EE"/>
                          <w:bottom w:val="single" w:sz="8" w:space="0" w:color="41B7EE"/>
                          <w:right w:val="single" w:sz="4" w:space="0" w:color="41B7EE"/>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应诉</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（被</w:t>
                        </w:r>
                      </w:p>
                    </w:tc>
                    <w:tc>
                      <w:tcPr>
                        <w:tcW w:w="794" w:type="dxa"/>
                        <w:tcBorders>
                          <w:top w:val="single" w:sz="4" w:space="0" w:color="41B7EE"/>
                          <w:left w:val="single" w:sz="4" w:space="0" w:color="41B7EE"/>
                          <w:bottom w:val="single" w:sz="8" w:space="0" w:color="41B7EE"/>
                          <w:right w:val="single" w:sz="4" w:space="0" w:color="41B7EE"/>
                        </w:tcBorders>
                      </w:tcPr>
                      <w:p>
                        <w:pPr>
                          <w:pStyle w:val="TableParagraph"/>
                          <w:spacing w:line="240" w:lineRule="exact"/>
                          <w:ind w:left="76" w:right="0"/>
                          <w:jc w:val="left"/>
                          <w:rPr>
                            <w:rFonts w:ascii="宋体" w:hAnsi="宋体" w:cs="宋体" w:eastAsia="宋体" w:hint="default"/>
                            <w:sz w:val="21"/>
                            <w:szCs w:val="21"/>
                          </w:rPr>
                        </w:pPr>
                        <w:r>
                          <w:rPr>
                            <w:rFonts w:ascii="宋体" w:hAnsi="宋体" w:cs="宋体" w:eastAsia="宋体" w:hint="default"/>
                            <w:sz w:val="21"/>
                            <w:szCs w:val="21"/>
                          </w:rPr>
                          <w:t>承担连</w:t>
                        </w:r>
                      </w:p>
                      <w:p>
                        <w:pPr>
                          <w:pStyle w:val="TableParagraph"/>
                          <w:spacing w:line="274" w:lineRule="exact"/>
                          <w:ind w:left="76" w:right="0"/>
                          <w:jc w:val="left"/>
                          <w:rPr>
                            <w:rFonts w:ascii="宋体" w:hAnsi="宋体" w:cs="宋体" w:eastAsia="宋体" w:hint="default"/>
                            <w:sz w:val="21"/>
                            <w:szCs w:val="21"/>
                          </w:rPr>
                        </w:pPr>
                        <w:r>
                          <w:rPr>
                            <w:rFonts w:ascii="宋体" w:hAnsi="宋体" w:cs="宋体" w:eastAsia="宋体" w:hint="default"/>
                            <w:sz w:val="21"/>
                            <w:szCs w:val="21"/>
                          </w:rPr>
                          <w:t>带责任</w:t>
                        </w:r>
                      </w:p>
                    </w:tc>
                    <w:tc>
                      <w:tcPr>
                        <w:tcW w:w="600" w:type="dxa"/>
                        <w:tcBorders>
                          <w:top w:val="single" w:sz="4" w:space="0" w:color="41B7EE"/>
                          <w:left w:val="single" w:sz="4" w:space="0" w:color="41B7EE"/>
                          <w:bottom w:val="single" w:sz="8" w:space="0" w:color="41B7EE"/>
                          <w:right w:val="single" w:sz="4" w:space="0" w:color="41B7EE"/>
                        </w:tcBorders>
                      </w:tcPr>
                      <w:p>
                        <w:pPr>
                          <w:pStyle w:val="TableParagraph"/>
                          <w:spacing w:line="240" w:lineRule="exact"/>
                          <w:ind w:left="86" w:right="0"/>
                          <w:jc w:val="left"/>
                          <w:rPr>
                            <w:rFonts w:ascii="宋体" w:hAnsi="宋体" w:cs="宋体" w:eastAsia="宋体" w:hint="default"/>
                            <w:sz w:val="21"/>
                            <w:szCs w:val="21"/>
                          </w:rPr>
                        </w:pPr>
                        <w:r>
                          <w:rPr>
                            <w:rFonts w:ascii="宋体" w:hAnsi="宋体" w:cs="宋体" w:eastAsia="宋体" w:hint="default"/>
                            <w:sz w:val="21"/>
                            <w:szCs w:val="21"/>
                          </w:rPr>
                          <w:t>诉讼</w:t>
                        </w:r>
                      </w:p>
                      <w:p>
                        <w:pPr>
                          <w:pStyle w:val="TableParagraph"/>
                          <w:spacing w:line="274" w:lineRule="exact"/>
                          <w:ind w:left="86" w:right="0"/>
                          <w:jc w:val="left"/>
                          <w:rPr>
                            <w:rFonts w:ascii="宋体" w:hAnsi="宋体" w:cs="宋体" w:eastAsia="宋体" w:hint="default"/>
                            <w:sz w:val="21"/>
                            <w:szCs w:val="21"/>
                          </w:rPr>
                        </w:pPr>
                        <w:r>
                          <w:rPr>
                            <w:rFonts w:ascii="宋体" w:hAnsi="宋体" w:cs="宋体" w:eastAsia="宋体" w:hint="default"/>
                            <w:sz w:val="21"/>
                            <w:szCs w:val="21"/>
                          </w:rPr>
                          <w:t>仲裁</w:t>
                        </w:r>
                      </w:p>
                    </w:tc>
                    <w:tc>
                      <w:tcPr>
                        <w:tcW w:w="2273"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102"/>
                          <w:ind w:left="134" w:right="0"/>
                          <w:jc w:val="left"/>
                          <w:rPr>
                            <w:rFonts w:ascii="宋体" w:hAnsi="宋体" w:cs="宋体" w:eastAsia="宋体" w:hint="default"/>
                            <w:sz w:val="21"/>
                            <w:szCs w:val="21"/>
                          </w:rPr>
                        </w:pPr>
                        <w:r>
                          <w:rPr>
                            <w:rFonts w:ascii="宋体" w:hAnsi="宋体" w:cs="宋体" w:eastAsia="宋体" w:hint="default"/>
                            <w:sz w:val="21"/>
                            <w:szCs w:val="21"/>
                          </w:rPr>
                          <w:t>诉讼（仲裁</w:t>
                        </w:r>
                        <w:r>
                          <w:rPr>
                            <w:rFonts w:ascii="宋体" w:hAnsi="宋体" w:cs="宋体" w:eastAsia="宋体" w:hint="default"/>
                            <w:sz w:val="21"/>
                            <w:szCs w:val="21"/>
                          </w:rPr>
                          <w:t>)</w:t>
                        </w:r>
                        <w:r>
                          <w:rPr>
                            <w:rFonts w:ascii="宋体" w:hAnsi="宋体" w:cs="宋体" w:eastAsia="宋体" w:hint="default"/>
                            <w:sz w:val="21"/>
                            <w:szCs w:val="21"/>
                          </w:rPr>
                          <w:t>基本情况</w:t>
                        </w:r>
                        <w:r>
                          <w:rPr>
                            <w:rFonts w:ascii="宋体" w:hAnsi="宋体" w:cs="宋体" w:eastAsia="宋体" w:hint="default"/>
                            <w:sz w:val="21"/>
                            <w:szCs w:val="21"/>
                          </w:rPr>
                          <w:t> </w:t>
                        </w:r>
                      </w:p>
                    </w:tc>
                    <w:tc>
                      <w:tcPr>
                        <w:tcW w:w="1358" w:type="dxa"/>
                        <w:tcBorders>
                          <w:top w:val="single" w:sz="4" w:space="0" w:color="41B7EE"/>
                          <w:left w:val="single" w:sz="4" w:space="0" w:color="41B7EE"/>
                          <w:bottom w:val="single" w:sz="8" w:space="0" w:color="41B7EE"/>
                          <w:right w:val="single" w:sz="4" w:space="0" w:color="41B7EE"/>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诉讼（仲裁</w:t>
                        </w:r>
                        <w:r>
                          <w:rPr>
                            <w:rFonts w:ascii="宋体" w:hAnsi="宋体" w:cs="宋体" w:eastAsia="宋体" w:hint="default"/>
                            <w:sz w:val="21"/>
                            <w:szCs w:val="21"/>
                          </w:rPr>
                          <w:t>)</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涉及金额</w:t>
                        </w:r>
                        <w:r>
                          <w:rPr>
                            <w:rFonts w:ascii="宋体" w:hAnsi="宋体" w:cs="宋体" w:eastAsia="宋体" w:hint="default"/>
                            <w:sz w:val="21"/>
                            <w:szCs w:val="21"/>
                          </w:rPr>
                          <w:t> </w:t>
                        </w:r>
                      </w:p>
                    </w:tc>
                    <w:tc>
                      <w:tcPr>
                        <w:tcW w:w="838" w:type="dxa"/>
                        <w:tcBorders>
                          <w:top w:val="single" w:sz="4" w:space="0" w:color="41B7EE"/>
                          <w:left w:val="single" w:sz="4" w:space="0" w:color="41B7EE"/>
                          <w:bottom w:val="single" w:sz="8" w:space="0" w:color="41B7EE"/>
                          <w:right w:val="single" w:sz="4" w:space="0" w:color="41B7EE"/>
                        </w:tcBorders>
                      </w:tcPr>
                      <w:p>
                        <w:pPr>
                          <w:pStyle w:val="TableParagraph"/>
                          <w:spacing w:line="240" w:lineRule="exact"/>
                          <w:ind w:left="45" w:right="0" w:hanging="22"/>
                          <w:jc w:val="left"/>
                          <w:rPr>
                            <w:rFonts w:ascii="宋体" w:hAnsi="宋体" w:cs="宋体" w:eastAsia="宋体" w:hint="default"/>
                            <w:sz w:val="21"/>
                            <w:szCs w:val="21"/>
                          </w:rPr>
                        </w:pPr>
                        <w:r>
                          <w:rPr>
                            <w:rFonts w:ascii="宋体" w:hAnsi="宋体" w:cs="宋体" w:eastAsia="宋体" w:hint="default"/>
                            <w:spacing w:val="-16"/>
                            <w:sz w:val="21"/>
                            <w:szCs w:val="21"/>
                          </w:rPr>
                          <w:t>诉讼（仲</w:t>
                        </w:r>
                      </w:p>
                      <w:p>
                        <w:pPr>
                          <w:pStyle w:val="TableParagraph"/>
                          <w:spacing w:line="274" w:lineRule="exact"/>
                          <w:ind w:left="45" w:right="0"/>
                          <w:jc w:val="left"/>
                          <w:rPr>
                            <w:rFonts w:ascii="宋体" w:hAnsi="宋体" w:cs="宋体" w:eastAsia="宋体" w:hint="default"/>
                            <w:sz w:val="21"/>
                            <w:szCs w:val="21"/>
                          </w:rPr>
                        </w:pPr>
                        <w:r>
                          <w:rPr>
                            <w:rFonts w:ascii="宋体" w:hAnsi="宋体" w:cs="宋体" w:eastAsia="宋体" w:hint="default"/>
                            <w:sz w:val="21"/>
                            <w:szCs w:val="21"/>
                          </w:rPr>
                          <w:t>裁</w:t>
                        </w:r>
                        <w:r>
                          <w:rPr>
                            <w:rFonts w:ascii="宋体" w:hAnsi="宋体" w:cs="宋体" w:eastAsia="宋体" w:hint="default"/>
                            <w:sz w:val="21"/>
                            <w:szCs w:val="21"/>
                          </w:rPr>
                          <w:t>)</w:t>
                        </w:r>
                        <w:r>
                          <w:rPr>
                            <w:rFonts w:ascii="宋体" w:hAnsi="宋体" w:cs="宋体" w:eastAsia="宋体" w:hint="default"/>
                            <w:sz w:val="21"/>
                            <w:szCs w:val="21"/>
                          </w:rPr>
                          <w:t>是否</w:t>
                        </w:r>
                      </w:p>
                    </w:tc>
                    <w:tc>
                      <w:tcPr>
                        <w:tcW w:w="2422"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sz w:val="21"/>
                            <w:szCs w:val="21"/>
                          </w:rPr>
                          <w:t>诉讼（仲裁</w:t>
                        </w:r>
                        <w:r>
                          <w:rPr>
                            <w:rFonts w:ascii="宋体" w:hAnsi="宋体" w:cs="宋体" w:eastAsia="宋体" w:hint="default"/>
                            <w:sz w:val="21"/>
                            <w:szCs w:val="21"/>
                          </w:rPr>
                          <w:t>)</w:t>
                        </w:r>
                        <w:r>
                          <w:rPr>
                            <w:rFonts w:ascii="宋体" w:hAnsi="宋体" w:cs="宋体" w:eastAsia="宋体" w:hint="default"/>
                            <w:sz w:val="21"/>
                            <w:szCs w:val="21"/>
                          </w:rPr>
                          <w:t>进展情况</w:t>
                        </w:r>
                        <w:r>
                          <w:rPr>
                            <w:rFonts w:ascii="宋体" w:hAnsi="宋体" w:cs="宋体" w:eastAsia="宋体" w:hint="default"/>
                            <w:sz w:val="21"/>
                            <w:szCs w:val="21"/>
                          </w:rPr>
                          <w:t> </w:t>
                        </w:r>
                      </w:p>
                    </w:tc>
                    <w:tc>
                      <w:tcPr>
                        <w:tcW w:w="2859"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102"/>
                          <w:ind w:left="110" w:right="0"/>
                          <w:jc w:val="left"/>
                          <w:rPr>
                            <w:rFonts w:ascii="宋体" w:hAnsi="宋体" w:cs="宋体" w:eastAsia="宋体" w:hint="default"/>
                            <w:sz w:val="21"/>
                            <w:szCs w:val="21"/>
                          </w:rPr>
                        </w:pPr>
                        <w:r>
                          <w:rPr>
                            <w:rFonts w:ascii="宋体" w:hAnsi="宋体" w:cs="宋体" w:eastAsia="宋体" w:hint="default"/>
                            <w:sz w:val="21"/>
                            <w:szCs w:val="21"/>
                          </w:rPr>
                          <w:t>诉讼（仲裁</w:t>
                        </w:r>
                        <w:r>
                          <w:rPr>
                            <w:rFonts w:ascii="宋体" w:hAnsi="宋体" w:cs="宋体" w:eastAsia="宋体" w:hint="default"/>
                            <w:sz w:val="21"/>
                            <w:szCs w:val="21"/>
                          </w:rPr>
                          <w:t>)</w:t>
                        </w:r>
                        <w:r>
                          <w:rPr>
                            <w:rFonts w:ascii="宋体" w:hAnsi="宋体" w:cs="宋体" w:eastAsia="宋体" w:hint="default"/>
                            <w:sz w:val="21"/>
                            <w:szCs w:val="21"/>
                          </w:rPr>
                          <w:t>审理结果及影响</w:t>
                        </w:r>
                        <w:r>
                          <w:rPr>
                            <w:rFonts w:ascii="宋体" w:hAnsi="宋体" w:cs="宋体" w:eastAsia="宋体" w:hint="default"/>
                            <w:sz w:val="21"/>
                            <w:szCs w:val="21"/>
                          </w:rPr>
                          <w:t> </w:t>
                        </w:r>
                      </w:p>
                    </w:tc>
                    <w:tc>
                      <w:tcPr>
                        <w:tcW w:w="1529" w:type="dxa"/>
                        <w:tcBorders>
                          <w:top w:val="single" w:sz="4" w:space="0" w:color="41B7EE"/>
                          <w:left w:val="single" w:sz="4" w:space="0" w:color="41B7EE"/>
                          <w:bottom w:val="single" w:sz="8" w:space="0" w:color="41B7EE"/>
                          <w:right w:val="nil" w:sz="6" w:space="0" w:color="auto"/>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w w:val="100"/>
                            <w:sz w:val="21"/>
                            <w:szCs w:val="21"/>
                          </w:rPr>
                          <w:t>诉</w:t>
                        </w:r>
                        <w:r>
                          <w:rPr>
                            <w:rFonts w:ascii="宋体" w:hAnsi="宋体" w:cs="宋体" w:eastAsia="宋体" w:hint="default"/>
                            <w:spacing w:val="-104"/>
                            <w:w w:val="100"/>
                            <w:sz w:val="21"/>
                            <w:szCs w:val="21"/>
                          </w:rPr>
                          <w:t>讼</w:t>
                        </w:r>
                        <w:r>
                          <w:rPr>
                            <w:rFonts w:ascii="宋体" w:hAnsi="宋体" w:cs="宋体" w:eastAsia="宋体" w:hint="default"/>
                            <w:w w:val="100"/>
                            <w:sz w:val="21"/>
                            <w:szCs w:val="21"/>
                          </w:rPr>
                          <w:t>（</w:t>
                        </w:r>
                        <w:r>
                          <w:rPr>
                            <w:rFonts w:ascii="宋体" w:hAnsi="宋体" w:cs="宋体" w:eastAsia="宋体" w:hint="default"/>
                            <w:spacing w:val="-3"/>
                            <w:w w:val="100"/>
                            <w:sz w:val="21"/>
                            <w:szCs w:val="21"/>
                          </w:rPr>
                          <w:t>仲</w:t>
                        </w:r>
                        <w:r>
                          <w:rPr>
                            <w:rFonts w:ascii="宋体" w:hAnsi="宋体" w:cs="宋体" w:eastAsia="宋体" w:hint="default"/>
                            <w:w w:val="100"/>
                            <w:sz w:val="21"/>
                            <w:szCs w:val="21"/>
                          </w:rPr>
                          <w:t>裁</w:t>
                        </w:r>
                        <w:r>
                          <w:rPr>
                            <w:rFonts w:ascii="宋体" w:hAnsi="宋体" w:cs="宋体" w:eastAsia="宋体" w:hint="default"/>
                            <w:w w:val="100"/>
                            <w:sz w:val="21"/>
                            <w:szCs w:val="21"/>
                          </w:rPr>
                          <w:t>)</w:t>
                        </w:r>
                        <w:r>
                          <w:rPr>
                            <w:rFonts w:ascii="宋体" w:hAnsi="宋体" w:cs="宋体" w:eastAsia="宋体" w:hint="default"/>
                            <w:spacing w:val="-3"/>
                            <w:w w:val="100"/>
                            <w:sz w:val="21"/>
                            <w:szCs w:val="21"/>
                          </w:rPr>
                          <w:t>判决</w:t>
                        </w:r>
                        <w:r>
                          <w:rPr>
                            <w:rFonts w:ascii="宋体" w:hAnsi="宋体" w:cs="宋体" w:eastAsia="宋体" w:hint="default"/>
                            <w:w w:val="100"/>
                            <w:sz w:val="21"/>
                            <w:szCs w:val="21"/>
                          </w:rPr>
                        </w:r>
                      </w:p>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执行情况</w:t>
                        </w:r>
                        <w:r>
                          <w:rPr>
                            <w:rFonts w:ascii="宋体" w:hAnsi="宋体" w:cs="宋体" w:eastAsia="宋体" w:hint="default"/>
                            <w:sz w:val="21"/>
                            <w:szCs w:val="21"/>
                          </w:rPr>
                          <w:t> </w:t>
                        </w:r>
                      </w:p>
                    </w:tc>
                  </w:tr>
                </w:tbl>
                <w:p>
                  <w:pPr/>
                </w:p>
              </w:txbxContent>
            </v:textbox>
            <w10:wrap type="none"/>
          </v:shape>
        </w:pict>
      </w: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报告期内</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9"/>
        <w:rPr>
          <w:rFonts w:ascii="宋体" w:hAnsi="宋体" w:cs="宋体" w:eastAsia="宋体" w:hint="default"/>
          <w:sz w:val="29"/>
          <w:szCs w:val="29"/>
        </w:rPr>
      </w:pPr>
    </w:p>
    <w:p>
      <w:pPr>
        <w:pStyle w:val="BodyText"/>
        <w:spacing w:line="240" w:lineRule="auto"/>
        <w:ind w:left="240"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360" w:bottom="1380" w:left="1200" w:right="1300"/>
          <w:cols w:num="2" w:equalWidth="0">
            <w:col w:w="5089" w:space="6685"/>
            <w:col w:w="2566"/>
          </w:cols>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25" w:footer="1271" w:top="1360" w:bottom="1460" w:left="1300" w:right="1380"/>
        </w:sectPr>
      </w:pPr>
    </w:p>
    <w:p>
      <w:pPr>
        <w:spacing w:line="240" w:lineRule="auto" w:before="8"/>
        <w:rPr>
          <w:rFonts w:ascii="宋体" w:hAnsi="宋体" w:cs="宋体" w:eastAsia="宋体" w:hint="default"/>
          <w:sz w:val="14"/>
          <w:szCs w:val="14"/>
        </w:rPr>
      </w:pPr>
    </w:p>
    <w:p>
      <w:pPr>
        <w:pStyle w:val="BodyText"/>
        <w:spacing w:line="273" w:lineRule="exact"/>
        <w:ind w:left="0" w:right="0"/>
        <w:jc w:val="right"/>
        <w:rPr>
          <w:rFonts w:ascii="宋体" w:hAnsi="宋体" w:cs="宋体" w:eastAsia="宋体" w:hint="default"/>
        </w:rPr>
      </w:pPr>
      <w:r>
        <w:rPr/>
        <w:t>请</w:t>
      </w:r>
      <w:r>
        <w:rPr>
          <w:rFonts w:ascii="宋体" w:hAnsi="宋体" w:cs="宋体" w:eastAsia="宋体" w:hint="default"/>
        </w:rPr>
        <w:t>)</w:t>
      </w:r>
      <w:r>
        <w:rPr/>
        <w:t>方</w:t>
      </w:r>
      <w:r>
        <w:rPr>
          <w:spacing w:val="-1"/>
        </w:rPr>
        <w:t> </w:t>
      </w:r>
      <w:r>
        <w:rPr/>
        <w:t>申请</w:t>
      </w:r>
      <w:r>
        <w:rPr>
          <w:rFonts w:ascii="宋体" w:hAnsi="宋体" w:cs="宋体" w:eastAsia="宋体" w:hint="default"/>
        </w:rPr>
        <w:t>)</w:t>
      </w:r>
    </w:p>
    <w:p>
      <w:pPr>
        <w:pStyle w:val="BodyText"/>
        <w:spacing w:line="273" w:lineRule="exact"/>
        <w:ind w:left="0" w:right="50"/>
        <w:jc w:val="right"/>
        <w:rPr>
          <w:rFonts w:ascii="宋体" w:hAnsi="宋体" w:cs="宋体" w:eastAsia="宋体" w:hint="default"/>
        </w:rPr>
      </w:pPr>
      <w:r>
        <w:rPr/>
        <w:t>方</w:t>
      </w:r>
      <w:r>
        <w:rPr>
          <w:rFonts w:ascii="宋体" w:hAnsi="宋体" w:cs="宋体" w:eastAsia="宋体" w:hint="default"/>
        </w:rPr>
        <w:t> </w:t>
      </w:r>
    </w:p>
    <w:p>
      <w:pPr>
        <w:spacing w:line="240" w:lineRule="auto" w:before="8"/>
        <w:rPr>
          <w:rFonts w:ascii="宋体" w:hAnsi="宋体" w:cs="宋体" w:eastAsia="宋体" w:hint="default"/>
          <w:sz w:val="14"/>
          <w:szCs w:val="14"/>
        </w:rPr>
      </w:pPr>
      <w:r>
        <w:rPr/>
        <w:br w:type="column"/>
      </w:r>
      <w:r>
        <w:rPr>
          <w:rFonts w:ascii="宋体"/>
          <w:sz w:val="14"/>
        </w:rPr>
      </w:r>
    </w:p>
    <w:p>
      <w:pPr>
        <w:pStyle w:val="BodyText"/>
        <w:tabs>
          <w:tab w:pos="747" w:val="left" w:leader="none"/>
          <w:tab w:pos="4990" w:val="left" w:leader="none"/>
        </w:tabs>
        <w:spacing w:line="273" w:lineRule="exact"/>
        <w:ind w:left="154" w:right="0"/>
        <w:jc w:val="left"/>
      </w:pPr>
      <w:r>
        <w:rPr/>
        <w:t>方</w:t>
      </w:r>
      <w:r>
        <w:rPr>
          <w:rFonts w:ascii="宋体" w:hAnsi="宋体" w:cs="宋体" w:eastAsia="宋体" w:hint="default"/>
        </w:rPr>
        <w:tab/>
      </w:r>
      <w:r>
        <w:rPr>
          <w:spacing w:val="-2"/>
        </w:rPr>
        <w:t>类型</w:t>
      </w:r>
      <w:r>
        <w:rPr>
          <w:rFonts w:ascii="宋体" w:hAnsi="宋体" w:cs="宋体" w:eastAsia="宋体" w:hint="default"/>
          <w:spacing w:val="-2"/>
        </w:rPr>
        <w:tab/>
      </w:r>
      <w:r>
        <w:rPr/>
        <w:t>形成预</w:t>
      </w:r>
    </w:p>
    <w:p>
      <w:pPr>
        <w:pStyle w:val="BodyText"/>
        <w:spacing w:line="240" w:lineRule="auto"/>
        <w:ind w:left="4991" w:right="0"/>
        <w:jc w:val="left"/>
        <w:rPr>
          <w:rFonts w:ascii="宋体" w:hAnsi="宋体" w:cs="宋体" w:eastAsia="宋体" w:hint="default"/>
        </w:rPr>
      </w:pPr>
      <w:r>
        <w:rPr/>
        <w:t>计负债</w:t>
      </w:r>
      <w:r>
        <w:rPr>
          <w:spacing w:val="-102"/>
        </w:rPr>
        <w:t> </w:t>
      </w:r>
      <w:r>
        <w:rPr/>
        <w:t>及金额</w:t>
      </w:r>
      <w:r>
        <w:rPr>
          <w:rFonts w:ascii="宋体" w:hAnsi="宋体" w:cs="宋体" w:eastAsia="宋体" w:hint="default"/>
        </w:rPr>
        <w:t> </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195" w:lineRule="exact" w:before="111"/>
        <w:ind w:left="2408" w:right="0" w:firstLine="0"/>
        <w:jc w:val="left"/>
        <w:rPr>
          <w:rFonts w:ascii="宋体" w:hAnsi="宋体" w:cs="宋体" w:eastAsia="宋体" w:hint="default"/>
          <w:sz w:val="15"/>
          <w:szCs w:val="15"/>
        </w:rPr>
      </w:pPr>
      <w:r>
        <w:rPr>
          <w:rFonts w:ascii="宋体" w:hAnsi="宋体" w:cs="宋体" w:eastAsia="宋体" w:hint="default"/>
          <w:sz w:val="15"/>
          <w:szCs w:val="15"/>
        </w:rPr>
        <w:t>一审判决：第一项被告返还公司货款</w:t>
      </w:r>
    </w:p>
    <w:p>
      <w:pPr>
        <w:spacing w:line="200" w:lineRule="exact" w:before="0"/>
        <w:ind w:left="2408" w:right="0" w:firstLine="0"/>
        <w:jc w:val="left"/>
        <w:rPr>
          <w:rFonts w:ascii="宋体" w:hAnsi="宋体" w:cs="宋体" w:eastAsia="宋体" w:hint="default"/>
          <w:sz w:val="15"/>
          <w:szCs w:val="15"/>
        </w:rPr>
      </w:pPr>
      <w:r>
        <w:rPr>
          <w:rFonts w:ascii="Arial" w:hAnsi="Arial" w:cs="Arial" w:eastAsia="Arial" w:hint="default"/>
          <w:sz w:val="15"/>
          <w:szCs w:val="15"/>
        </w:rPr>
        <w:t>603,553.10</w:t>
      </w:r>
      <w:r>
        <w:rPr>
          <w:rFonts w:ascii="Arial" w:hAnsi="Arial" w:cs="Arial" w:eastAsia="Arial" w:hint="default"/>
          <w:spacing w:val="-8"/>
          <w:sz w:val="15"/>
          <w:szCs w:val="15"/>
        </w:rPr>
        <w:t> </w:t>
      </w:r>
      <w:r>
        <w:rPr>
          <w:rFonts w:ascii="宋体" w:hAnsi="宋体" w:cs="宋体" w:eastAsia="宋体" w:hint="default"/>
          <w:sz w:val="15"/>
          <w:szCs w:val="15"/>
        </w:rPr>
        <w:t>元；第二项被告偿还公司垫付</w:t>
      </w:r>
    </w:p>
    <w:p>
      <w:pPr>
        <w:spacing w:line="236" w:lineRule="exact" w:before="0"/>
        <w:ind w:left="-14" w:right="0" w:firstLine="0"/>
        <w:jc w:val="left"/>
        <w:rPr>
          <w:rFonts w:ascii="宋体" w:hAnsi="宋体" w:cs="宋体" w:eastAsia="宋体" w:hint="default"/>
          <w:sz w:val="15"/>
          <w:szCs w:val="15"/>
        </w:rPr>
      </w:pPr>
      <w:r>
        <w:rPr>
          <w:rFonts w:ascii="宋体" w:hAnsi="宋体" w:cs="宋体" w:eastAsia="宋体" w:hint="default"/>
          <w:w w:val="100"/>
          <w:sz w:val="15"/>
          <w:szCs w:val="15"/>
        </w:rPr>
        <w:t>被告于</w:t>
      </w:r>
      <w:r>
        <w:rPr>
          <w:rFonts w:ascii="宋体" w:hAnsi="宋体" w:cs="宋体" w:eastAsia="宋体" w:hint="default"/>
          <w:spacing w:val="-41"/>
          <w:sz w:val="15"/>
          <w:szCs w:val="15"/>
        </w:rPr>
        <w:t> </w:t>
      </w:r>
      <w:r>
        <w:rPr>
          <w:rFonts w:ascii="Arial" w:hAnsi="Arial" w:cs="Arial" w:eastAsia="Arial" w:hint="default"/>
          <w:spacing w:val="-3"/>
          <w:w w:val="100"/>
          <w:sz w:val="15"/>
          <w:szCs w:val="15"/>
        </w:rPr>
        <w:t>2</w:t>
      </w:r>
      <w:r>
        <w:rPr>
          <w:rFonts w:ascii="Arial" w:hAnsi="Arial" w:cs="Arial" w:eastAsia="Arial" w:hint="default"/>
          <w:w w:val="100"/>
          <w:sz w:val="15"/>
          <w:szCs w:val="15"/>
        </w:rPr>
        <w:t>013</w:t>
      </w:r>
      <w:r>
        <w:rPr>
          <w:rFonts w:ascii="Arial" w:hAnsi="Arial" w:cs="Arial" w:eastAsia="Arial" w:hint="default"/>
          <w:spacing w:val="-9"/>
          <w:sz w:val="15"/>
          <w:szCs w:val="15"/>
        </w:rPr>
        <w:t> </w:t>
      </w:r>
      <w:r>
        <w:rPr>
          <w:rFonts w:ascii="宋体" w:hAnsi="宋体" w:cs="宋体" w:eastAsia="宋体" w:hint="default"/>
          <w:w w:val="100"/>
          <w:sz w:val="15"/>
          <w:szCs w:val="15"/>
        </w:rPr>
        <w:t>年</w:t>
      </w:r>
      <w:r>
        <w:rPr>
          <w:rFonts w:ascii="宋体" w:hAnsi="宋体" w:cs="宋体" w:eastAsia="宋体" w:hint="default"/>
          <w:spacing w:val="-42"/>
          <w:sz w:val="15"/>
          <w:szCs w:val="15"/>
        </w:rPr>
        <w:t> </w:t>
      </w:r>
      <w:r>
        <w:rPr>
          <w:rFonts w:ascii="Arial" w:hAnsi="Arial" w:cs="Arial" w:eastAsia="Arial" w:hint="default"/>
          <w:w w:val="100"/>
          <w:sz w:val="15"/>
          <w:szCs w:val="15"/>
        </w:rPr>
        <w:t>8</w:t>
      </w:r>
      <w:r>
        <w:rPr>
          <w:rFonts w:ascii="Arial" w:hAnsi="Arial" w:cs="Arial" w:eastAsia="Arial" w:hint="default"/>
          <w:spacing w:val="-9"/>
          <w:sz w:val="15"/>
          <w:szCs w:val="15"/>
        </w:rPr>
        <w:t> </w:t>
      </w:r>
      <w:r>
        <w:rPr>
          <w:rFonts w:ascii="宋体" w:hAnsi="宋体" w:cs="宋体" w:eastAsia="宋体" w:hint="default"/>
          <w:w w:val="100"/>
          <w:sz w:val="15"/>
          <w:szCs w:val="15"/>
        </w:rPr>
        <w:t>月</w:t>
      </w:r>
      <w:r>
        <w:rPr>
          <w:rFonts w:ascii="宋体" w:hAnsi="宋体" w:cs="宋体" w:eastAsia="宋体" w:hint="default"/>
          <w:spacing w:val="-42"/>
          <w:sz w:val="15"/>
          <w:szCs w:val="15"/>
        </w:rPr>
        <w:t> </w:t>
      </w:r>
      <w:r>
        <w:rPr>
          <w:rFonts w:ascii="Arial" w:hAnsi="Arial" w:cs="Arial" w:eastAsia="Arial" w:hint="default"/>
          <w:spacing w:val="-1"/>
          <w:w w:val="100"/>
          <w:sz w:val="15"/>
          <w:szCs w:val="15"/>
        </w:rPr>
        <w:t>1</w:t>
      </w:r>
      <w:r>
        <w:rPr>
          <w:rFonts w:ascii="Arial" w:hAnsi="Arial" w:cs="Arial" w:eastAsia="Arial" w:hint="default"/>
          <w:w w:val="100"/>
          <w:sz w:val="15"/>
          <w:szCs w:val="15"/>
        </w:rPr>
        <w:t>3</w:t>
      </w:r>
      <w:r>
        <w:rPr>
          <w:rFonts w:ascii="Arial" w:hAnsi="Arial" w:cs="Arial" w:eastAsia="Arial" w:hint="default"/>
          <w:spacing w:val="-9"/>
          <w:sz w:val="15"/>
          <w:szCs w:val="15"/>
        </w:rPr>
        <w:t> </w:t>
      </w:r>
      <w:r>
        <w:rPr>
          <w:rFonts w:ascii="宋体" w:hAnsi="宋体" w:cs="宋体" w:eastAsia="宋体" w:hint="default"/>
          <w:spacing w:val="-3"/>
          <w:w w:val="100"/>
          <w:sz w:val="15"/>
          <w:szCs w:val="15"/>
        </w:rPr>
        <w:t>日</w:t>
      </w:r>
      <w:r>
        <w:rPr>
          <w:rFonts w:ascii="宋体" w:hAnsi="宋体" w:cs="宋体" w:eastAsia="宋体" w:hint="default"/>
          <w:w w:val="100"/>
          <w:sz w:val="15"/>
          <w:szCs w:val="15"/>
        </w:rPr>
        <w:t>提</w:t>
      </w:r>
      <w:r>
        <w:rPr>
          <w:rFonts w:ascii="宋体" w:hAnsi="宋体" w:cs="宋体" w:eastAsia="宋体" w:hint="default"/>
          <w:spacing w:val="-3"/>
          <w:w w:val="100"/>
          <w:sz w:val="15"/>
          <w:szCs w:val="15"/>
        </w:rPr>
        <w:t>起</w:t>
      </w:r>
      <w:r>
        <w:rPr>
          <w:rFonts w:ascii="宋体" w:hAnsi="宋体" w:cs="宋体" w:eastAsia="宋体" w:hint="default"/>
          <w:w w:val="100"/>
          <w:sz w:val="15"/>
          <w:szCs w:val="15"/>
        </w:rPr>
        <w:t>反</w:t>
      </w:r>
      <w:r>
        <w:rPr>
          <w:rFonts w:ascii="宋体" w:hAnsi="宋体" w:cs="宋体" w:eastAsia="宋体" w:hint="default"/>
          <w:spacing w:val="-3"/>
          <w:w w:val="100"/>
          <w:sz w:val="15"/>
          <w:szCs w:val="15"/>
        </w:rPr>
        <w:t>诉</w:t>
      </w:r>
      <w:r>
        <w:rPr>
          <w:rFonts w:ascii="宋体" w:hAnsi="宋体" w:cs="宋体" w:eastAsia="宋体" w:hint="default"/>
          <w:spacing w:val="-22"/>
          <w:w w:val="100"/>
          <w:sz w:val="15"/>
          <w:szCs w:val="15"/>
        </w:rPr>
        <w:t>，</w:t>
      </w:r>
      <w:r>
        <w:rPr>
          <w:rFonts w:ascii="宋体" w:hAnsi="宋体" w:cs="宋体" w:eastAsia="宋体" w:hint="default"/>
          <w:w w:val="100"/>
          <w:sz w:val="15"/>
          <w:szCs w:val="15"/>
        </w:rPr>
        <w:t>的玉</w:t>
      </w:r>
      <w:r>
        <w:rPr>
          <w:rFonts w:ascii="宋体" w:hAnsi="宋体" w:cs="宋体" w:eastAsia="宋体" w:hint="default"/>
          <w:spacing w:val="-3"/>
          <w:w w:val="100"/>
          <w:sz w:val="15"/>
          <w:szCs w:val="15"/>
        </w:rPr>
        <w:t>米</w:t>
      </w:r>
      <w:r>
        <w:rPr>
          <w:rFonts w:ascii="宋体" w:hAnsi="宋体" w:cs="宋体" w:eastAsia="宋体" w:hint="default"/>
          <w:w w:val="100"/>
          <w:sz w:val="15"/>
          <w:szCs w:val="15"/>
        </w:rPr>
        <w:t>保</w:t>
      </w:r>
      <w:r>
        <w:rPr>
          <w:rFonts w:ascii="宋体" w:hAnsi="宋体" w:cs="宋体" w:eastAsia="宋体" w:hint="default"/>
          <w:spacing w:val="-3"/>
          <w:w w:val="100"/>
          <w:sz w:val="15"/>
          <w:szCs w:val="15"/>
        </w:rPr>
        <w:t>管</w:t>
      </w:r>
      <w:r>
        <w:rPr>
          <w:rFonts w:ascii="宋体" w:hAnsi="宋体" w:cs="宋体" w:eastAsia="宋体" w:hint="default"/>
          <w:w w:val="100"/>
          <w:sz w:val="15"/>
          <w:szCs w:val="15"/>
        </w:rPr>
        <w:t>费</w:t>
      </w:r>
      <w:r>
        <w:rPr>
          <w:rFonts w:ascii="宋体" w:hAnsi="宋体" w:cs="宋体" w:eastAsia="宋体" w:hint="default"/>
          <w:spacing w:val="-65"/>
          <w:w w:val="100"/>
          <w:sz w:val="15"/>
          <w:szCs w:val="15"/>
        </w:rPr>
        <w:t>、</w:t>
      </w:r>
      <w:r>
        <w:rPr>
          <w:rFonts w:ascii="宋体" w:hAnsi="宋体" w:cs="宋体" w:eastAsia="宋体" w:hint="default"/>
          <w:w w:val="100"/>
          <w:sz w:val="15"/>
          <w:szCs w:val="15"/>
        </w:rPr>
        <w:t>仓</w:t>
      </w:r>
      <w:r>
        <w:rPr>
          <w:rFonts w:ascii="宋体" w:hAnsi="宋体" w:cs="宋体" w:eastAsia="宋体" w:hint="default"/>
          <w:spacing w:val="-3"/>
          <w:w w:val="100"/>
          <w:sz w:val="15"/>
          <w:szCs w:val="15"/>
        </w:rPr>
        <w:t>储</w:t>
      </w:r>
      <w:r>
        <w:rPr>
          <w:rFonts w:ascii="宋体" w:hAnsi="宋体" w:cs="宋体" w:eastAsia="宋体" w:hint="default"/>
          <w:w w:val="100"/>
          <w:sz w:val="15"/>
          <w:szCs w:val="15"/>
        </w:rPr>
        <w:t>费</w:t>
      </w:r>
      <w:r>
        <w:rPr>
          <w:rFonts w:ascii="宋体" w:hAnsi="宋体" w:cs="宋体" w:eastAsia="宋体" w:hint="default"/>
          <w:spacing w:val="-3"/>
          <w:w w:val="100"/>
          <w:sz w:val="15"/>
          <w:szCs w:val="15"/>
        </w:rPr>
        <w:t>等费</w:t>
      </w:r>
      <w:r>
        <w:rPr>
          <w:rFonts w:ascii="宋体" w:hAnsi="宋体" w:cs="宋体" w:eastAsia="宋体" w:hint="default"/>
          <w:w w:val="100"/>
          <w:sz w:val="15"/>
          <w:szCs w:val="15"/>
        </w:rPr>
        <w:t>用</w:t>
      </w:r>
      <w:r>
        <w:rPr>
          <w:rFonts w:ascii="宋体" w:hAnsi="宋体" w:cs="宋体" w:eastAsia="宋体" w:hint="default"/>
          <w:spacing w:val="-36"/>
          <w:sz w:val="15"/>
          <w:szCs w:val="15"/>
        </w:rPr>
        <w:t> </w:t>
      </w:r>
      <w:r>
        <w:rPr>
          <w:rFonts w:ascii="Arial" w:hAnsi="Arial" w:cs="Arial" w:eastAsia="Arial" w:hint="default"/>
          <w:spacing w:val="-3"/>
          <w:w w:val="100"/>
          <w:sz w:val="15"/>
          <w:szCs w:val="15"/>
        </w:rPr>
        <w:t>1</w:t>
      </w:r>
      <w:r>
        <w:rPr>
          <w:rFonts w:ascii="Arial" w:hAnsi="Arial" w:cs="Arial" w:eastAsia="Arial" w:hint="default"/>
          <w:spacing w:val="1"/>
          <w:w w:val="100"/>
          <w:sz w:val="15"/>
          <w:szCs w:val="15"/>
        </w:rPr>
        <w:t>,</w:t>
      </w:r>
      <w:r>
        <w:rPr>
          <w:rFonts w:ascii="Arial" w:hAnsi="Arial" w:cs="Arial" w:eastAsia="Arial" w:hint="default"/>
          <w:w w:val="100"/>
          <w:sz w:val="15"/>
          <w:szCs w:val="15"/>
        </w:rPr>
        <w:t>32</w:t>
      </w:r>
      <w:r>
        <w:rPr>
          <w:rFonts w:ascii="Arial" w:hAnsi="Arial" w:cs="Arial" w:eastAsia="Arial" w:hint="default"/>
          <w:spacing w:val="-3"/>
          <w:w w:val="100"/>
          <w:sz w:val="15"/>
          <w:szCs w:val="15"/>
        </w:rPr>
        <w:t>1</w:t>
      </w:r>
      <w:r>
        <w:rPr>
          <w:rFonts w:ascii="Arial" w:hAnsi="Arial" w:cs="Arial" w:eastAsia="Arial" w:hint="default"/>
          <w:spacing w:val="1"/>
          <w:w w:val="100"/>
          <w:sz w:val="15"/>
          <w:szCs w:val="15"/>
        </w:rPr>
        <w:t>,</w:t>
      </w:r>
      <w:r>
        <w:rPr>
          <w:rFonts w:ascii="Arial" w:hAnsi="Arial" w:cs="Arial" w:eastAsia="Arial" w:hint="default"/>
          <w:spacing w:val="-3"/>
          <w:w w:val="100"/>
          <w:sz w:val="15"/>
          <w:szCs w:val="15"/>
        </w:rPr>
        <w:t>4</w:t>
      </w:r>
      <w:r>
        <w:rPr>
          <w:rFonts w:ascii="Arial" w:hAnsi="Arial" w:cs="Arial" w:eastAsia="Arial" w:hint="default"/>
          <w:w w:val="100"/>
          <w:sz w:val="15"/>
          <w:szCs w:val="15"/>
        </w:rPr>
        <w:t>64.</w:t>
      </w:r>
      <w:r>
        <w:rPr>
          <w:rFonts w:ascii="Arial" w:hAnsi="Arial" w:cs="Arial" w:eastAsia="Arial" w:hint="default"/>
          <w:spacing w:val="-3"/>
          <w:w w:val="100"/>
          <w:sz w:val="15"/>
          <w:szCs w:val="15"/>
        </w:rPr>
        <w:t>3</w:t>
      </w:r>
      <w:r>
        <w:rPr>
          <w:rFonts w:ascii="Arial" w:hAnsi="Arial" w:cs="Arial" w:eastAsia="Arial" w:hint="default"/>
          <w:w w:val="100"/>
          <w:sz w:val="15"/>
          <w:szCs w:val="15"/>
        </w:rPr>
        <w:t>9</w:t>
      </w:r>
      <w:r>
        <w:rPr>
          <w:rFonts w:ascii="Arial" w:hAnsi="Arial" w:cs="Arial" w:eastAsia="Arial" w:hint="default"/>
          <w:spacing w:val="11"/>
          <w:sz w:val="15"/>
          <w:szCs w:val="15"/>
        </w:rPr>
        <w:t> </w:t>
      </w:r>
      <w:r>
        <w:rPr>
          <w:rFonts w:ascii="宋体" w:hAnsi="宋体" w:cs="宋体" w:eastAsia="宋体" w:hint="default"/>
          <w:w w:val="100"/>
          <w:position w:val="-9"/>
          <w:sz w:val="15"/>
          <w:szCs w:val="15"/>
        </w:rPr>
        <w:t>二审</w:t>
      </w:r>
      <w:r>
        <w:rPr>
          <w:rFonts w:ascii="宋体" w:hAnsi="宋体" w:cs="宋体" w:eastAsia="宋体" w:hint="default"/>
          <w:spacing w:val="-3"/>
          <w:w w:val="100"/>
          <w:position w:val="-9"/>
          <w:sz w:val="15"/>
          <w:szCs w:val="15"/>
        </w:rPr>
        <w:t>判</w:t>
      </w:r>
      <w:r>
        <w:rPr>
          <w:rFonts w:ascii="宋体" w:hAnsi="宋体" w:cs="宋体" w:eastAsia="宋体" w:hint="default"/>
          <w:w w:val="100"/>
          <w:position w:val="-9"/>
          <w:sz w:val="15"/>
          <w:szCs w:val="15"/>
        </w:rPr>
        <w:t>决</w:t>
      </w:r>
      <w:r>
        <w:rPr>
          <w:rFonts w:ascii="宋体" w:hAnsi="宋体" w:cs="宋体" w:eastAsia="宋体" w:hint="default"/>
          <w:spacing w:val="-3"/>
          <w:w w:val="100"/>
          <w:position w:val="-9"/>
          <w:sz w:val="15"/>
          <w:szCs w:val="15"/>
        </w:rPr>
        <w:t>作</w:t>
      </w:r>
      <w:r>
        <w:rPr>
          <w:rFonts w:ascii="宋体" w:hAnsi="宋体" w:cs="宋体" w:eastAsia="宋体" w:hint="default"/>
          <w:w w:val="100"/>
          <w:position w:val="-9"/>
          <w:sz w:val="15"/>
          <w:szCs w:val="15"/>
        </w:rPr>
        <w:t>出</w:t>
      </w:r>
      <w:r>
        <w:rPr>
          <w:rFonts w:ascii="宋体" w:hAnsi="宋体" w:cs="宋体" w:eastAsia="宋体" w:hint="default"/>
          <w:spacing w:val="-3"/>
          <w:w w:val="100"/>
          <w:position w:val="-9"/>
          <w:sz w:val="15"/>
          <w:szCs w:val="15"/>
        </w:rPr>
        <w:t>后</w:t>
      </w:r>
      <w:r>
        <w:rPr>
          <w:rFonts w:ascii="宋体" w:hAnsi="宋体" w:cs="宋体" w:eastAsia="宋体" w:hint="default"/>
          <w:spacing w:val="-27"/>
          <w:w w:val="100"/>
          <w:position w:val="-9"/>
          <w:sz w:val="15"/>
          <w:szCs w:val="15"/>
        </w:rPr>
        <w:t>，</w:t>
      </w:r>
      <w:r>
        <w:rPr>
          <w:rFonts w:ascii="宋体" w:hAnsi="宋体" w:cs="宋体" w:eastAsia="宋体" w:hint="default"/>
          <w:spacing w:val="-3"/>
          <w:w w:val="100"/>
          <w:position w:val="-9"/>
          <w:sz w:val="15"/>
          <w:szCs w:val="15"/>
        </w:rPr>
        <w:t>兴</w:t>
      </w:r>
      <w:r>
        <w:rPr>
          <w:rFonts w:ascii="宋体" w:hAnsi="宋体" w:cs="宋体" w:eastAsia="宋体" w:hint="default"/>
          <w:w w:val="100"/>
          <w:position w:val="-9"/>
          <w:sz w:val="15"/>
          <w:szCs w:val="15"/>
        </w:rPr>
        <w:t>隆</w:t>
      </w:r>
      <w:r>
        <w:rPr>
          <w:rFonts w:ascii="宋体" w:hAnsi="宋体" w:cs="宋体" w:eastAsia="宋体" w:hint="default"/>
          <w:w w:val="100"/>
          <w:sz w:val="15"/>
          <w:szCs w:val="15"/>
        </w:rPr>
      </w:r>
    </w:p>
    <w:p>
      <w:pPr>
        <w:spacing w:after="0" w:line="236" w:lineRule="exact"/>
        <w:jc w:val="left"/>
        <w:rPr>
          <w:rFonts w:ascii="宋体" w:hAnsi="宋体" w:cs="宋体" w:eastAsia="宋体" w:hint="default"/>
          <w:sz w:val="15"/>
          <w:szCs w:val="15"/>
        </w:rPr>
        <w:sectPr>
          <w:type w:val="continuous"/>
          <w:pgSz w:w="16840" w:h="11910" w:orient="landscape"/>
          <w:pgMar w:top="1360" w:bottom="1380" w:left="1300" w:right="1380"/>
          <w:cols w:num="3" w:equalWidth="0">
            <w:col w:w="1310" w:space="198"/>
            <w:col w:w="5728" w:space="40"/>
            <w:col w:w="6884"/>
          </w:cols>
        </w:sectPr>
      </w:pPr>
    </w:p>
    <w:p>
      <w:pPr>
        <w:spacing w:line="162" w:lineRule="exact" w:before="0"/>
        <w:ind w:left="7261" w:right="-4" w:firstLine="0"/>
        <w:jc w:val="left"/>
        <w:rPr>
          <w:rFonts w:ascii="宋体" w:hAnsi="宋体" w:cs="宋体" w:eastAsia="宋体" w:hint="default"/>
          <w:sz w:val="15"/>
          <w:szCs w:val="15"/>
        </w:rPr>
      </w:pPr>
      <w:r>
        <w:rPr>
          <w:rFonts w:ascii="宋体" w:hAnsi="宋体" w:cs="宋体" w:eastAsia="宋体" w:hint="default"/>
          <w:sz w:val="15"/>
          <w:szCs w:val="15"/>
        </w:rPr>
        <w:t>诉讼请求为公司给付</w:t>
      </w:r>
      <w:r>
        <w:rPr>
          <w:rFonts w:ascii="宋体" w:hAnsi="宋体" w:cs="宋体" w:eastAsia="宋体" w:hint="default"/>
          <w:spacing w:val="-38"/>
          <w:sz w:val="15"/>
          <w:szCs w:val="15"/>
        </w:rPr>
        <w:t> </w:t>
      </w:r>
      <w:r>
        <w:rPr>
          <w:rFonts w:ascii="Arial" w:hAnsi="Arial" w:cs="Arial" w:eastAsia="Arial" w:hint="default"/>
          <w:sz w:val="15"/>
          <w:szCs w:val="15"/>
        </w:rPr>
        <w:t>294.4</w:t>
      </w:r>
      <w:r>
        <w:rPr>
          <w:rFonts w:ascii="Arial" w:hAnsi="Arial" w:cs="Arial" w:eastAsia="Arial" w:hint="default"/>
          <w:spacing w:val="-5"/>
          <w:sz w:val="15"/>
          <w:szCs w:val="15"/>
        </w:rPr>
        <w:t> </w:t>
      </w:r>
      <w:r>
        <w:rPr>
          <w:rFonts w:ascii="宋体" w:hAnsi="宋体" w:cs="宋体" w:eastAsia="宋体" w:hint="default"/>
          <w:spacing w:val="-10"/>
          <w:sz w:val="15"/>
          <w:szCs w:val="15"/>
        </w:rPr>
        <w:t>万元，法</w:t>
      </w:r>
      <w:r>
        <w:rPr>
          <w:rFonts w:ascii="宋体" w:hAnsi="宋体" w:cs="宋体" w:eastAsia="宋体" w:hint="default"/>
          <w:spacing w:val="-25"/>
          <w:sz w:val="15"/>
          <w:szCs w:val="15"/>
        </w:rPr>
        <w:t> </w:t>
      </w:r>
      <w:r>
        <w:rPr>
          <w:rFonts w:ascii="宋体" w:hAnsi="宋体" w:cs="宋体" w:eastAsia="宋体" w:hint="default"/>
          <w:sz w:val="15"/>
          <w:szCs w:val="15"/>
        </w:rPr>
        <w:t>元；第三项被告给付公司利息</w:t>
      </w:r>
      <w:r>
        <w:rPr>
          <w:rFonts w:ascii="宋体" w:hAnsi="宋体" w:cs="宋体" w:eastAsia="宋体" w:hint="default"/>
          <w:spacing w:val="-37"/>
          <w:sz w:val="15"/>
          <w:szCs w:val="15"/>
        </w:rPr>
        <w:t> </w:t>
      </w:r>
      <w:r>
        <w:rPr>
          <w:rFonts w:ascii="Arial" w:hAnsi="Arial" w:cs="Arial" w:eastAsia="Arial" w:hint="default"/>
          <w:sz w:val="15"/>
          <w:szCs w:val="15"/>
        </w:rPr>
        <w:t>109,405</w:t>
      </w:r>
      <w:r>
        <w:rPr>
          <w:rFonts w:ascii="Arial" w:hAnsi="Arial" w:cs="Arial" w:eastAsia="Arial" w:hint="default"/>
          <w:spacing w:val="-5"/>
          <w:sz w:val="15"/>
          <w:szCs w:val="15"/>
        </w:rPr>
        <w:t> </w:t>
      </w:r>
      <w:r>
        <w:rPr>
          <w:rFonts w:ascii="宋体" w:hAnsi="宋体" w:cs="宋体" w:eastAsia="宋体" w:hint="default"/>
          <w:sz w:val="15"/>
          <w:szCs w:val="15"/>
        </w:rPr>
        <w:t>元</w:t>
      </w:r>
    </w:p>
    <w:p>
      <w:pPr>
        <w:spacing w:line="144" w:lineRule="exact" w:before="50"/>
        <w:ind w:left="96"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公司在生效判决指定</w:t>
      </w:r>
    </w:p>
    <w:p>
      <w:pPr>
        <w:spacing w:after="0" w:line="144" w:lineRule="exact"/>
        <w:jc w:val="left"/>
        <w:rPr>
          <w:rFonts w:ascii="宋体" w:hAnsi="宋体" w:cs="宋体" w:eastAsia="宋体" w:hint="default"/>
          <w:sz w:val="15"/>
          <w:szCs w:val="15"/>
        </w:rPr>
        <w:sectPr>
          <w:type w:val="continuous"/>
          <w:pgSz w:w="16840" w:h="11910" w:orient="landscape"/>
          <w:pgMar w:top="1360" w:bottom="1380" w:left="1300" w:right="1380"/>
          <w:cols w:num="2" w:equalWidth="0">
            <w:col w:w="12404" w:space="40"/>
            <w:col w:w="1716"/>
          </w:cols>
        </w:sectPr>
      </w:pPr>
    </w:p>
    <w:p>
      <w:pPr>
        <w:spacing w:line="151" w:lineRule="exact" w:before="0"/>
        <w:ind w:left="140" w:right="-17" w:firstLine="0"/>
        <w:jc w:val="left"/>
        <w:rPr>
          <w:rFonts w:ascii="宋体" w:hAnsi="宋体" w:cs="宋体" w:eastAsia="宋体" w:hint="default"/>
          <w:sz w:val="15"/>
          <w:szCs w:val="15"/>
        </w:rPr>
      </w:pPr>
      <w:r>
        <w:rPr>
          <w:rFonts w:ascii="宋体" w:hAnsi="宋体" w:cs="宋体" w:eastAsia="宋体" w:hint="default"/>
          <w:sz w:val="15"/>
          <w:szCs w:val="15"/>
        </w:rPr>
        <w:t>北大荒</w:t>
      </w:r>
    </w:p>
    <w:p>
      <w:pPr>
        <w:spacing w:line="151" w:lineRule="exact" w:before="0"/>
        <w:ind w:left="116" w:right="-16" w:firstLine="0"/>
        <w:jc w:val="left"/>
        <w:rPr>
          <w:rFonts w:ascii="宋体" w:hAnsi="宋体" w:cs="宋体" w:eastAsia="宋体" w:hint="default"/>
          <w:sz w:val="15"/>
          <w:szCs w:val="15"/>
        </w:rPr>
      </w:pPr>
      <w:r>
        <w:rPr/>
        <w:br w:type="column"/>
      </w:r>
      <w:r>
        <w:rPr>
          <w:rFonts w:ascii="宋体" w:hAnsi="宋体" w:cs="宋体" w:eastAsia="宋体" w:hint="default"/>
          <w:sz w:val="15"/>
          <w:szCs w:val="15"/>
        </w:rPr>
        <w:t>哈尔滨</w:t>
      </w:r>
    </w:p>
    <w:p>
      <w:pPr>
        <w:spacing w:line="194" w:lineRule="exact" w:before="0"/>
        <w:ind w:left="140"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院经三次开庭审理，于</w:t>
      </w:r>
      <w:r>
        <w:rPr>
          <w:rFonts w:ascii="宋体" w:hAnsi="宋体" w:cs="宋体" w:eastAsia="宋体" w:hint="default"/>
          <w:spacing w:val="-33"/>
          <w:sz w:val="15"/>
          <w:szCs w:val="15"/>
        </w:rPr>
        <w:t> </w:t>
      </w:r>
      <w:r>
        <w:rPr>
          <w:rFonts w:ascii="Arial" w:hAnsi="Arial" w:cs="Arial" w:eastAsia="Arial" w:hint="default"/>
          <w:sz w:val="15"/>
          <w:szCs w:val="15"/>
        </w:rPr>
        <w:t>2014</w:t>
      </w:r>
      <w:r>
        <w:rPr>
          <w:rFonts w:ascii="Arial" w:hAnsi="Arial" w:cs="Arial" w:eastAsia="Arial" w:hint="default"/>
          <w:spacing w:val="-2"/>
          <w:sz w:val="15"/>
          <w:szCs w:val="15"/>
        </w:rPr>
        <w:t> </w:t>
      </w:r>
      <w:r>
        <w:rPr>
          <w:rFonts w:ascii="宋体" w:hAnsi="宋体" w:cs="宋体" w:eastAsia="宋体" w:hint="default"/>
          <w:sz w:val="15"/>
          <w:szCs w:val="15"/>
        </w:rPr>
        <w:t>年</w:t>
      </w:r>
      <w:r>
        <w:rPr>
          <w:rFonts w:ascii="宋体" w:hAnsi="宋体" w:cs="宋体" w:eastAsia="宋体" w:hint="default"/>
          <w:spacing w:val="-35"/>
          <w:sz w:val="15"/>
          <w:szCs w:val="15"/>
        </w:rPr>
        <w:t> </w:t>
      </w:r>
      <w:r>
        <w:rPr>
          <w:rFonts w:ascii="Arial" w:hAnsi="Arial" w:cs="Arial" w:eastAsia="Arial" w:hint="default"/>
          <w:sz w:val="15"/>
          <w:szCs w:val="15"/>
        </w:rPr>
        <w:t>5 </w:t>
      </w:r>
      <w:r>
        <w:rPr>
          <w:rFonts w:ascii="宋体" w:hAnsi="宋体" w:cs="宋体" w:eastAsia="宋体" w:hint="default"/>
          <w:sz w:val="15"/>
          <w:szCs w:val="15"/>
        </w:rPr>
        <w:t>月</w:t>
      </w:r>
      <w:r>
        <w:rPr>
          <w:rFonts w:ascii="宋体" w:hAnsi="宋体" w:cs="宋体" w:eastAsia="宋体" w:hint="default"/>
          <w:spacing w:val="-18"/>
          <w:sz w:val="15"/>
          <w:szCs w:val="15"/>
        </w:rPr>
        <w:t> </w:t>
      </w:r>
      <w:r>
        <w:rPr>
          <w:rFonts w:ascii="宋体" w:hAnsi="宋体" w:cs="宋体" w:eastAsia="宋体" w:hint="default"/>
          <w:spacing w:val="-4"/>
          <w:sz w:val="15"/>
          <w:szCs w:val="15"/>
        </w:rPr>
        <w:t>元；第四项驳回公司其他诉讼请求；第五项</w:t>
      </w:r>
      <w:r>
        <w:rPr>
          <w:rFonts w:ascii="宋体" w:hAnsi="宋体" w:cs="宋体" w:eastAsia="宋体" w:hint="default"/>
          <w:spacing w:val="-19"/>
          <w:sz w:val="15"/>
          <w:szCs w:val="15"/>
        </w:rPr>
        <w:t> </w:t>
      </w:r>
      <w:r>
        <w:rPr>
          <w:rFonts w:ascii="宋体" w:hAnsi="宋体" w:cs="宋体" w:eastAsia="宋体" w:hint="default"/>
          <w:position w:val="-9"/>
          <w:sz w:val="15"/>
          <w:szCs w:val="15"/>
        </w:rPr>
        <w:t>的自动履行期限内未</w:t>
      </w:r>
      <w:r>
        <w:rPr>
          <w:rFonts w:ascii="宋体" w:hAnsi="宋体" w:cs="宋体" w:eastAsia="宋体" w:hint="default"/>
          <w:sz w:val="15"/>
          <w:szCs w:val="15"/>
        </w:rPr>
      </w:r>
    </w:p>
    <w:p>
      <w:pPr>
        <w:spacing w:after="0" w:line="194" w:lineRule="exact"/>
        <w:jc w:val="left"/>
        <w:rPr>
          <w:rFonts w:ascii="宋体" w:hAnsi="宋体" w:cs="宋体" w:eastAsia="宋体" w:hint="default"/>
          <w:sz w:val="15"/>
          <w:szCs w:val="15"/>
        </w:rPr>
        <w:sectPr>
          <w:type w:val="continuous"/>
          <w:pgSz w:w="16840" w:h="11910" w:orient="landscape"/>
          <w:pgMar w:top="1360" w:bottom="1380" w:left="1300" w:right="1380"/>
          <w:cols w:num="3" w:equalWidth="0">
            <w:col w:w="594" w:space="40"/>
            <w:col w:w="570" w:space="5918"/>
            <w:col w:w="7038"/>
          </w:cols>
        </w:sectPr>
      </w:pPr>
    </w:p>
    <w:p>
      <w:pPr>
        <w:spacing w:line="150" w:lineRule="exact" w:before="0"/>
        <w:ind w:left="140" w:right="-17" w:firstLine="0"/>
        <w:jc w:val="left"/>
        <w:rPr>
          <w:rFonts w:ascii="宋体" w:hAnsi="宋体" w:cs="宋体" w:eastAsia="宋体" w:hint="default"/>
          <w:sz w:val="15"/>
          <w:szCs w:val="15"/>
        </w:rPr>
      </w:pPr>
      <w:r>
        <w:rPr>
          <w:rFonts w:ascii="宋体" w:hAnsi="宋体" w:cs="宋体" w:eastAsia="宋体" w:hint="default"/>
          <w:sz w:val="15"/>
          <w:szCs w:val="15"/>
        </w:rPr>
        <w:t>鑫亚经</w:t>
      </w:r>
    </w:p>
    <w:p>
      <w:pPr>
        <w:spacing w:line="196" w:lineRule="exact" w:before="0"/>
        <w:ind w:left="140" w:right="-17" w:firstLine="0"/>
        <w:jc w:val="left"/>
        <w:rPr>
          <w:rFonts w:ascii="宋体" w:hAnsi="宋体" w:cs="宋体" w:eastAsia="宋体" w:hint="default"/>
          <w:sz w:val="15"/>
          <w:szCs w:val="15"/>
        </w:rPr>
      </w:pPr>
      <w:r>
        <w:rPr>
          <w:rFonts w:ascii="宋体" w:hAnsi="宋体" w:cs="宋体" w:eastAsia="宋体" w:hint="default"/>
          <w:sz w:val="15"/>
          <w:szCs w:val="15"/>
        </w:rPr>
        <w:t>贸有限</w:t>
      </w:r>
    </w:p>
    <w:p>
      <w:pPr>
        <w:spacing w:line="150" w:lineRule="exact" w:before="0"/>
        <w:ind w:left="116" w:right="-16" w:firstLine="0"/>
        <w:jc w:val="left"/>
        <w:rPr>
          <w:rFonts w:ascii="宋体" w:hAnsi="宋体" w:cs="宋体" w:eastAsia="宋体" w:hint="default"/>
          <w:sz w:val="15"/>
          <w:szCs w:val="15"/>
        </w:rPr>
      </w:pPr>
      <w:r>
        <w:rPr/>
        <w:br w:type="column"/>
      </w:r>
      <w:r>
        <w:rPr>
          <w:rFonts w:ascii="宋体" w:hAnsi="宋体" w:cs="宋体" w:eastAsia="宋体" w:hint="default"/>
          <w:sz w:val="15"/>
          <w:szCs w:val="15"/>
        </w:rPr>
        <w:t>兴隆饲</w:t>
      </w:r>
    </w:p>
    <w:p>
      <w:pPr>
        <w:spacing w:line="196" w:lineRule="exact" w:before="0"/>
        <w:ind w:left="116" w:right="-16" w:firstLine="0"/>
        <w:jc w:val="left"/>
        <w:rPr>
          <w:rFonts w:ascii="宋体" w:hAnsi="宋体" w:cs="宋体" w:eastAsia="宋体" w:hint="default"/>
          <w:sz w:val="15"/>
          <w:szCs w:val="15"/>
        </w:rPr>
      </w:pPr>
      <w:r>
        <w:rPr>
          <w:rFonts w:ascii="宋体" w:hAnsi="宋体" w:cs="宋体" w:eastAsia="宋体" w:hint="default"/>
          <w:sz w:val="15"/>
          <w:szCs w:val="15"/>
        </w:rPr>
        <w:t>料经销</w:t>
      </w:r>
    </w:p>
    <w:p>
      <w:pPr>
        <w:spacing w:line="156" w:lineRule="exact" w:before="0"/>
        <w:ind w:left="140" w:right="-12" w:firstLine="600"/>
        <w:jc w:val="left"/>
        <w:rPr>
          <w:rFonts w:ascii="宋体" w:hAnsi="宋体" w:cs="宋体" w:eastAsia="宋体" w:hint="default"/>
          <w:sz w:val="15"/>
          <w:szCs w:val="15"/>
        </w:rPr>
      </w:pPr>
      <w:r>
        <w:rPr/>
        <w:br w:type="column"/>
      </w:r>
      <w:r>
        <w:rPr>
          <w:rFonts w:ascii="Arial" w:hAnsi="Arial" w:cs="Arial" w:eastAsia="Arial" w:hint="default"/>
          <w:sz w:val="15"/>
          <w:szCs w:val="15"/>
        </w:rPr>
        <w:t>2010</w:t>
      </w:r>
      <w:r>
        <w:rPr>
          <w:rFonts w:ascii="Arial" w:hAnsi="Arial" w:cs="Arial" w:eastAsia="Arial"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34"/>
          <w:sz w:val="15"/>
          <w:szCs w:val="15"/>
        </w:rPr>
        <w:t> </w:t>
      </w:r>
      <w:r>
        <w:rPr>
          <w:rFonts w:ascii="Arial" w:hAnsi="Arial" w:cs="Arial" w:eastAsia="Arial" w:hint="default"/>
          <w:sz w:val="15"/>
          <w:szCs w:val="15"/>
        </w:rPr>
        <w:t>11</w:t>
      </w:r>
      <w:r>
        <w:rPr>
          <w:rFonts w:ascii="Arial" w:hAnsi="Arial" w:cs="Arial" w:eastAsia="Arial" w:hint="default"/>
          <w:spacing w:val="-3"/>
          <w:sz w:val="15"/>
          <w:szCs w:val="15"/>
        </w:rPr>
        <w:t> </w:t>
      </w:r>
      <w:r>
        <w:rPr>
          <w:rFonts w:ascii="宋体" w:hAnsi="宋体" w:cs="宋体" w:eastAsia="宋体" w:hint="default"/>
          <w:spacing w:val="-6"/>
          <w:sz w:val="15"/>
          <w:szCs w:val="15"/>
        </w:rPr>
        <w:t>月，公司原国际部与兴</w:t>
      </w:r>
    </w:p>
    <w:p>
      <w:pPr>
        <w:tabs>
          <w:tab w:pos="739" w:val="left" w:leader="none"/>
        </w:tabs>
        <w:spacing w:line="190" w:lineRule="exact" w:before="0"/>
        <w:ind w:left="140" w:right="-12" w:firstLine="0"/>
        <w:jc w:val="left"/>
        <w:rPr>
          <w:rFonts w:ascii="宋体" w:hAnsi="宋体" w:cs="宋体" w:eastAsia="宋体" w:hint="default"/>
          <w:sz w:val="15"/>
          <w:szCs w:val="15"/>
        </w:rPr>
      </w:pPr>
      <w:r>
        <w:rPr>
          <w:rFonts w:ascii="宋体" w:hAnsi="宋体" w:cs="宋体" w:eastAsia="宋体" w:hint="default"/>
          <w:sz w:val="15"/>
          <w:szCs w:val="15"/>
        </w:rPr>
        <w:t>诉讼</w:t>
        <w:tab/>
      </w:r>
      <w:r>
        <w:rPr>
          <w:rFonts w:ascii="宋体" w:hAnsi="宋体" w:cs="宋体" w:eastAsia="宋体" w:hint="default"/>
          <w:spacing w:val="-4"/>
          <w:sz w:val="15"/>
          <w:szCs w:val="15"/>
        </w:rPr>
        <w:t>隆饲料公司签定玉米采购合同，形</w:t>
      </w:r>
    </w:p>
    <w:p>
      <w:pPr>
        <w:spacing w:line="240" w:lineRule="auto" w:before="9"/>
        <w:rPr>
          <w:rFonts w:ascii="宋体" w:hAnsi="宋体" w:cs="宋体" w:eastAsia="宋体" w:hint="default"/>
          <w:sz w:val="13"/>
          <w:szCs w:val="13"/>
        </w:rPr>
      </w:pPr>
      <w:r>
        <w:rPr/>
        <w:br w:type="column"/>
      </w:r>
      <w:r>
        <w:rPr>
          <w:rFonts w:ascii="宋体"/>
          <w:sz w:val="13"/>
        </w:rPr>
      </w:r>
    </w:p>
    <w:p>
      <w:pPr>
        <w:spacing w:before="0"/>
        <w:ind w:left="140" w:right="-6" w:firstLine="0"/>
        <w:jc w:val="left"/>
        <w:rPr>
          <w:rFonts w:ascii="Arial" w:hAnsi="Arial" w:cs="Arial" w:eastAsia="Arial" w:hint="default"/>
          <w:sz w:val="15"/>
          <w:szCs w:val="15"/>
        </w:rPr>
      </w:pPr>
      <w:r>
        <w:rPr>
          <w:rFonts w:ascii="Arial"/>
          <w:spacing w:val="-1"/>
          <w:sz w:val="15"/>
        </w:rPr>
        <w:t>2,059,492.13</w:t>
      </w:r>
    </w:p>
    <w:p>
      <w:pPr>
        <w:spacing w:line="156" w:lineRule="exact" w:before="0"/>
        <w:ind w:left="140" w:right="-7" w:firstLine="0"/>
        <w:jc w:val="left"/>
        <w:rPr>
          <w:rFonts w:ascii="宋体" w:hAnsi="宋体" w:cs="宋体" w:eastAsia="宋体" w:hint="default"/>
          <w:sz w:val="15"/>
          <w:szCs w:val="15"/>
        </w:rPr>
      </w:pPr>
      <w:r>
        <w:rPr/>
        <w:br w:type="column"/>
      </w:r>
      <w:r>
        <w:rPr>
          <w:rFonts w:ascii="Arial" w:hAnsi="Arial" w:cs="Arial" w:eastAsia="Arial" w:hint="default"/>
          <w:sz w:val="15"/>
          <w:szCs w:val="15"/>
        </w:rPr>
        <w:t>23 </w:t>
      </w:r>
      <w:r>
        <w:rPr>
          <w:rFonts w:ascii="宋体" w:hAnsi="宋体" w:cs="宋体" w:eastAsia="宋体" w:hint="default"/>
          <w:sz w:val="15"/>
          <w:szCs w:val="15"/>
        </w:rPr>
        <w:t>日作出〔</w:t>
      </w:r>
      <w:r>
        <w:rPr>
          <w:rFonts w:ascii="Arial" w:hAnsi="Arial" w:cs="Arial" w:eastAsia="Arial" w:hint="default"/>
          <w:sz w:val="15"/>
          <w:szCs w:val="15"/>
        </w:rPr>
        <w:t>2013</w:t>
      </w:r>
      <w:r>
        <w:rPr>
          <w:rFonts w:ascii="宋体" w:hAnsi="宋体" w:cs="宋体" w:eastAsia="宋体" w:hint="default"/>
          <w:sz w:val="15"/>
          <w:szCs w:val="15"/>
        </w:rPr>
        <w:t>〕绥商初字第 </w:t>
      </w:r>
      <w:r>
        <w:rPr>
          <w:rFonts w:ascii="Arial" w:hAnsi="Arial" w:cs="Arial" w:eastAsia="Arial" w:hint="default"/>
          <w:sz w:val="15"/>
          <w:szCs w:val="15"/>
        </w:rPr>
        <w:t>144</w:t>
      </w:r>
      <w:r>
        <w:rPr>
          <w:rFonts w:ascii="Arial" w:hAnsi="Arial" w:cs="Arial" w:eastAsia="Arial" w:hint="default"/>
          <w:spacing w:val="4"/>
          <w:sz w:val="15"/>
          <w:szCs w:val="15"/>
        </w:rPr>
        <w:t> </w:t>
      </w:r>
      <w:r>
        <w:rPr>
          <w:rFonts w:ascii="宋体" w:hAnsi="宋体" w:cs="宋体" w:eastAsia="宋体" w:hint="default"/>
          <w:sz w:val="15"/>
          <w:szCs w:val="15"/>
        </w:rPr>
        <w:t>驳回被告全部反诉请求。案件受理费</w:t>
      </w:r>
    </w:p>
    <w:p>
      <w:pPr>
        <w:spacing w:line="201" w:lineRule="exact" w:before="0"/>
        <w:ind w:left="140" w:right="-7" w:firstLine="0"/>
        <w:jc w:val="left"/>
        <w:rPr>
          <w:rFonts w:ascii="宋体" w:hAnsi="宋体" w:cs="宋体" w:eastAsia="宋体" w:hint="default"/>
          <w:sz w:val="15"/>
          <w:szCs w:val="15"/>
        </w:rPr>
      </w:pPr>
      <w:r>
        <w:rPr>
          <w:rFonts w:ascii="宋体" w:hAnsi="宋体" w:cs="宋体" w:eastAsia="宋体" w:hint="default"/>
          <w:sz w:val="15"/>
          <w:szCs w:val="15"/>
        </w:rPr>
        <w:t>号民事判决书；被告不服一审判决，</w:t>
      </w:r>
      <w:r>
        <w:rPr>
          <w:rFonts w:ascii="宋体" w:hAnsi="宋体" w:cs="宋体" w:eastAsia="宋体" w:hint="default"/>
          <w:spacing w:val="-57"/>
          <w:sz w:val="15"/>
          <w:szCs w:val="15"/>
        </w:rPr>
        <w:t> </w:t>
      </w:r>
      <w:r>
        <w:rPr>
          <w:rFonts w:ascii="Arial" w:hAnsi="Arial" w:cs="Arial" w:eastAsia="Arial" w:hint="default"/>
          <w:sz w:val="15"/>
          <w:szCs w:val="15"/>
        </w:rPr>
        <w:t>24,151</w:t>
      </w:r>
      <w:r>
        <w:rPr>
          <w:rFonts w:ascii="Arial" w:hAnsi="Arial" w:cs="Arial" w:eastAsia="Arial" w:hint="default"/>
          <w:spacing w:val="-7"/>
          <w:sz w:val="15"/>
          <w:szCs w:val="15"/>
        </w:rPr>
        <w:t> </w:t>
      </w:r>
      <w:r>
        <w:rPr>
          <w:rFonts w:ascii="宋体" w:hAnsi="宋体" w:cs="宋体" w:eastAsia="宋体" w:hint="default"/>
          <w:sz w:val="15"/>
          <w:szCs w:val="15"/>
        </w:rPr>
        <w:t>元，由公司负担</w:t>
      </w:r>
      <w:r>
        <w:rPr>
          <w:rFonts w:ascii="宋体" w:hAnsi="宋体" w:cs="宋体" w:eastAsia="宋体" w:hint="default"/>
          <w:spacing w:val="-38"/>
          <w:sz w:val="15"/>
          <w:szCs w:val="15"/>
        </w:rPr>
        <w:t> </w:t>
      </w:r>
      <w:r>
        <w:rPr>
          <w:rFonts w:ascii="Arial" w:hAnsi="Arial" w:cs="Arial" w:eastAsia="Arial" w:hint="default"/>
          <w:sz w:val="15"/>
          <w:szCs w:val="15"/>
        </w:rPr>
        <w:t>1,497</w:t>
      </w:r>
      <w:r>
        <w:rPr>
          <w:rFonts w:ascii="Arial" w:hAnsi="Arial" w:cs="Arial" w:eastAsia="Arial" w:hint="default"/>
          <w:spacing w:val="-6"/>
          <w:sz w:val="15"/>
          <w:szCs w:val="15"/>
        </w:rPr>
        <w:t> </w:t>
      </w:r>
      <w:r>
        <w:rPr>
          <w:rFonts w:ascii="宋体" w:hAnsi="宋体" w:cs="宋体" w:eastAsia="宋体" w:hint="default"/>
          <w:sz w:val="15"/>
          <w:szCs w:val="15"/>
        </w:rPr>
        <w:t>元，被告负</w:t>
      </w:r>
    </w:p>
    <w:p>
      <w:pPr>
        <w:spacing w:before="51"/>
        <w:ind w:left="65" w:right="0" w:firstLine="0"/>
        <w:jc w:val="left"/>
        <w:rPr>
          <w:rFonts w:ascii="宋体" w:hAnsi="宋体" w:cs="宋体" w:eastAsia="宋体" w:hint="default"/>
          <w:sz w:val="15"/>
          <w:szCs w:val="15"/>
        </w:rPr>
      </w:pPr>
      <w:r>
        <w:rPr>
          <w:spacing w:val="-4"/>
        </w:rPr>
        <w:br w:type="column"/>
      </w:r>
      <w:r>
        <w:rPr>
          <w:rFonts w:ascii="宋体" w:hAnsi="宋体" w:cs="宋体" w:eastAsia="宋体" w:hint="default"/>
          <w:spacing w:val="-4"/>
          <w:sz w:val="15"/>
          <w:szCs w:val="15"/>
        </w:rPr>
        <w:t>能履行给付义务，公司</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pacing w:val="-2"/>
          <w:sz w:val="15"/>
          <w:szCs w:val="15"/>
        </w:rPr>
        <w:t>向法院申请强制执行，</w:t>
      </w:r>
    </w:p>
    <w:p>
      <w:pPr>
        <w:spacing w:after="0"/>
        <w:jc w:val="left"/>
        <w:rPr>
          <w:rFonts w:ascii="宋体" w:hAnsi="宋体" w:cs="宋体" w:eastAsia="宋体" w:hint="default"/>
          <w:sz w:val="15"/>
          <w:szCs w:val="15"/>
        </w:rPr>
        <w:sectPr>
          <w:type w:val="continuous"/>
          <w:pgSz w:w="16840" w:h="11910" w:orient="landscape"/>
          <w:pgMar w:top="1360" w:bottom="1380" w:left="1300" w:right="1380"/>
          <w:cols w:num="6" w:equalWidth="0">
            <w:col w:w="594" w:space="40"/>
            <w:col w:w="570" w:space="848"/>
            <w:col w:w="2958" w:space="340"/>
            <w:col w:w="1019" w:space="753"/>
            <w:col w:w="5313" w:space="40"/>
            <w:col w:w="1685"/>
          </w:cols>
        </w:sectPr>
      </w:pPr>
    </w:p>
    <w:p>
      <w:pPr>
        <w:spacing w:line="97" w:lineRule="exact" w:before="0"/>
        <w:ind w:left="140" w:right="-17" w:firstLine="0"/>
        <w:jc w:val="left"/>
        <w:rPr>
          <w:rFonts w:ascii="宋体" w:hAnsi="宋体" w:cs="宋体" w:eastAsia="宋体" w:hint="default"/>
          <w:sz w:val="15"/>
          <w:szCs w:val="15"/>
        </w:rPr>
      </w:pPr>
      <w:r>
        <w:rPr>
          <w:rFonts w:ascii="宋体" w:hAnsi="宋体" w:cs="宋体" w:eastAsia="宋体" w:hint="default"/>
          <w:sz w:val="15"/>
          <w:szCs w:val="15"/>
        </w:rPr>
        <w:t>责任公</w:t>
      </w:r>
    </w:p>
    <w:p>
      <w:pPr>
        <w:spacing w:line="195" w:lineRule="exact" w:before="0"/>
        <w:ind w:left="140" w:right="-17" w:firstLine="0"/>
        <w:jc w:val="left"/>
        <w:rPr>
          <w:rFonts w:ascii="宋体" w:hAnsi="宋体" w:cs="宋体" w:eastAsia="宋体" w:hint="default"/>
          <w:sz w:val="15"/>
          <w:szCs w:val="15"/>
        </w:rPr>
      </w:pPr>
      <w:r>
        <w:rPr>
          <w:rFonts w:ascii="宋体" w:hAnsi="宋体" w:cs="宋体" w:eastAsia="宋体" w:hint="default"/>
          <w:w w:val="100"/>
          <w:sz w:val="15"/>
          <w:szCs w:val="15"/>
        </w:rPr>
        <w:t>司</w:t>
      </w:r>
    </w:p>
    <w:p>
      <w:pPr>
        <w:spacing w:line="97" w:lineRule="exact" w:before="0"/>
        <w:ind w:left="116" w:right="-16" w:firstLine="0"/>
        <w:jc w:val="left"/>
        <w:rPr>
          <w:rFonts w:ascii="宋体" w:hAnsi="宋体" w:cs="宋体" w:eastAsia="宋体" w:hint="default"/>
          <w:sz w:val="15"/>
          <w:szCs w:val="15"/>
        </w:rPr>
      </w:pPr>
      <w:r>
        <w:rPr/>
        <w:br w:type="column"/>
      </w:r>
      <w:r>
        <w:rPr>
          <w:rFonts w:ascii="宋体" w:hAnsi="宋体" w:cs="宋体" w:eastAsia="宋体" w:hint="default"/>
          <w:sz w:val="15"/>
          <w:szCs w:val="15"/>
        </w:rPr>
        <w:t>有限公</w:t>
      </w:r>
    </w:p>
    <w:p>
      <w:pPr>
        <w:spacing w:line="195" w:lineRule="exact" w:before="0"/>
        <w:ind w:left="116" w:right="-16" w:firstLine="0"/>
        <w:jc w:val="left"/>
        <w:rPr>
          <w:rFonts w:ascii="宋体" w:hAnsi="宋体" w:cs="宋体" w:eastAsia="宋体" w:hint="default"/>
          <w:sz w:val="15"/>
          <w:szCs w:val="15"/>
        </w:rPr>
      </w:pPr>
      <w:r>
        <w:rPr>
          <w:rFonts w:ascii="宋体" w:hAnsi="宋体" w:cs="宋体" w:eastAsia="宋体" w:hint="default"/>
          <w:w w:val="100"/>
          <w:sz w:val="15"/>
          <w:szCs w:val="15"/>
        </w:rPr>
        <w:t>司</w:t>
      </w:r>
    </w:p>
    <w:p>
      <w:pPr>
        <w:spacing w:line="98" w:lineRule="exact" w:before="0"/>
        <w:ind w:left="140" w:right="0" w:firstLine="0"/>
        <w:jc w:val="left"/>
        <w:rPr>
          <w:rFonts w:ascii="宋体" w:hAnsi="宋体" w:cs="宋体" w:eastAsia="宋体" w:hint="default"/>
          <w:sz w:val="15"/>
          <w:szCs w:val="15"/>
        </w:rPr>
      </w:pPr>
      <w:r>
        <w:rPr>
          <w:spacing w:val="-2"/>
        </w:rPr>
        <w:br w:type="column"/>
      </w:r>
      <w:r>
        <w:rPr>
          <w:rFonts w:ascii="宋体" w:hAnsi="宋体" w:cs="宋体" w:eastAsia="宋体" w:hint="default"/>
          <w:spacing w:val="-2"/>
          <w:sz w:val="15"/>
          <w:szCs w:val="15"/>
        </w:rPr>
        <w:t>成欠款，公司向法院提起诉讼。</w:t>
      </w:r>
    </w:p>
    <w:p>
      <w:pPr>
        <w:spacing w:line="53" w:lineRule="exact" w:before="0"/>
        <w:ind w:left="140" w:right="0" w:firstLine="0"/>
        <w:jc w:val="left"/>
        <w:rPr>
          <w:rFonts w:ascii="宋体" w:hAnsi="宋体" w:cs="宋体" w:eastAsia="宋体" w:hint="default"/>
          <w:sz w:val="15"/>
          <w:szCs w:val="15"/>
        </w:rPr>
      </w:pPr>
      <w:r>
        <w:rPr/>
        <w:br w:type="column"/>
      </w:r>
      <w:r>
        <w:rPr>
          <w:rFonts w:ascii="宋体" w:hAnsi="宋体" w:cs="宋体" w:eastAsia="宋体" w:hint="default"/>
          <w:w w:val="100"/>
          <w:sz w:val="15"/>
          <w:szCs w:val="15"/>
        </w:rPr>
        <w:t>向黑</w:t>
      </w:r>
      <w:r>
        <w:rPr>
          <w:rFonts w:ascii="宋体" w:hAnsi="宋体" w:cs="宋体" w:eastAsia="宋体" w:hint="default"/>
          <w:spacing w:val="-3"/>
          <w:w w:val="100"/>
          <w:sz w:val="15"/>
          <w:szCs w:val="15"/>
        </w:rPr>
        <w:t>龙</w:t>
      </w:r>
      <w:r>
        <w:rPr>
          <w:rFonts w:ascii="宋体" w:hAnsi="宋体" w:cs="宋体" w:eastAsia="宋体" w:hint="default"/>
          <w:w w:val="100"/>
          <w:sz w:val="15"/>
          <w:szCs w:val="15"/>
        </w:rPr>
        <w:t>江</w:t>
      </w:r>
      <w:r>
        <w:rPr>
          <w:rFonts w:ascii="宋体" w:hAnsi="宋体" w:cs="宋体" w:eastAsia="宋体" w:hint="default"/>
          <w:spacing w:val="-3"/>
          <w:w w:val="100"/>
          <w:sz w:val="15"/>
          <w:szCs w:val="15"/>
        </w:rPr>
        <w:t>省</w:t>
      </w:r>
      <w:r>
        <w:rPr>
          <w:rFonts w:ascii="宋体" w:hAnsi="宋体" w:cs="宋体" w:eastAsia="宋体" w:hint="default"/>
          <w:w w:val="100"/>
          <w:sz w:val="15"/>
          <w:szCs w:val="15"/>
        </w:rPr>
        <w:t>农</w:t>
      </w:r>
      <w:r>
        <w:rPr>
          <w:rFonts w:ascii="宋体" w:hAnsi="宋体" w:cs="宋体" w:eastAsia="宋体" w:hint="default"/>
          <w:spacing w:val="-3"/>
          <w:w w:val="100"/>
          <w:sz w:val="15"/>
          <w:szCs w:val="15"/>
        </w:rPr>
        <w:t>垦</w:t>
      </w:r>
      <w:r>
        <w:rPr>
          <w:rFonts w:ascii="宋体" w:hAnsi="宋体" w:cs="宋体" w:eastAsia="宋体" w:hint="default"/>
          <w:w w:val="100"/>
          <w:sz w:val="15"/>
          <w:szCs w:val="15"/>
        </w:rPr>
        <w:t>中</w:t>
      </w:r>
      <w:r>
        <w:rPr>
          <w:rFonts w:ascii="宋体" w:hAnsi="宋体" w:cs="宋体" w:eastAsia="宋体" w:hint="default"/>
          <w:spacing w:val="-3"/>
          <w:w w:val="100"/>
          <w:sz w:val="15"/>
          <w:szCs w:val="15"/>
        </w:rPr>
        <w:t>级</w:t>
      </w:r>
      <w:r>
        <w:rPr>
          <w:rFonts w:ascii="宋体" w:hAnsi="宋体" w:cs="宋体" w:eastAsia="宋体" w:hint="default"/>
          <w:w w:val="100"/>
          <w:sz w:val="15"/>
          <w:szCs w:val="15"/>
        </w:rPr>
        <w:t>法</w:t>
      </w:r>
      <w:r>
        <w:rPr>
          <w:rFonts w:ascii="宋体" w:hAnsi="宋体" w:cs="宋体" w:eastAsia="宋体" w:hint="default"/>
          <w:spacing w:val="-3"/>
          <w:w w:val="100"/>
          <w:sz w:val="15"/>
          <w:szCs w:val="15"/>
        </w:rPr>
        <w:t>院</w:t>
      </w:r>
      <w:r>
        <w:rPr>
          <w:rFonts w:ascii="宋体" w:hAnsi="宋体" w:cs="宋体" w:eastAsia="宋体" w:hint="default"/>
          <w:w w:val="100"/>
          <w:sz w:val="15"/>
          <w:szCs w:val="15"/>
        </w:rPr>
        <w:t>提</w:t>
      </w:r>
      <w:r>
        <w:rPr>
          <w:rFonts w:ascii="宋体" w:hAnsi="宋体" w:cs="宋体" w:eastAsia="宋体" w:hint="default"/>
          <w:spacing w:val="-3"/>
          <w:w w:val="100"/>
          <w:sz w:val="15"/>
          <w:szCs w:val="15"/>
        </w:rPr>
        <w:t>起</w:t>
      </w:r>
      <w:r>
        <w:rPr>
          <w:rFonts w:ascii="宋体" w:hAnsi="宋体" w:cs="宋体" w:eastAsia="宋体" w:hint="default"/>
          <w:w w:val="100"/>
          <w:sz w:val="15"/>
          <w:szCs w:val="15"/>
        </w:rPr>
        <w:t>上</w:t>
      </w:r>
      <w:r>
        <w:rPr>
          <w:rFonts w:ascii="宋体" w:hAnsi="宋体" w:cs="宋体" w:eastAsia="宋体" w:hint="default"/>
          <w:spacing w:val="-3"/>
          <w:w w:val="100"/>
          <w:sz w:val="15"/>
          <w:szCs w:val="15"/>
        </w:rPr>
        <w:t>诉</w:t>
      </w:r>
      <w:r>
        <w:rPr>
          <w:rFonts w:ascii="宋体" w:hAnsi="宋体" w:cs="宋体" w:eastAsia="宋体" w:hint="default"/>
          <w:w w:val="100"/>
          <w:sz w:val="15"/>
          <w:szCs w:val="15"/>
        </w:rPr>
        <w:t>，</w:t>
      </w:r>
      <w:r>
        <w:rPr>
          <w:rFonts w:ascii="宋体" w:hAnsi="宋体" w:cs="宋体" w:eastAsia="宋体" w:hint="default"/>
          <w:spacing w:val="-56"/>
          <w:sz w:val="15"/>
          <w:szCs w:val="15"/>
        </w:rPr>
        <w:t> </w:t>
      </w:r>
      <w:r>
        <w:rPr>
          <w:rFonts w:ascii="宋体" w:hAnsi="宋体" w:cs="宋体" w:eastAsia="宋体" w:hint="default"/>
          <w:w w:val="100"/>
          <w:sz w:val="15"/>
          <w:szCs w:val="15"/>
        </w:rPr>
        <w:t>担</w:t>
      </w:r>
      <w:r>
        <w:rPr>
          <w:rFonts w:ascii="宋体" w:hAnsi="宋体" w:cs="宋体" w:eastAsia="宋体" w:hint="default"/>
          <w:spacing w:val="-37"/>
          <w:sz w:val="15"/>
          <w:szCs w:val="15"/>
        </w:rPr>
        <w:t> </w:t>
      </w:r>
      <w:r>
        <w:rPr>
          <w:rFonts w:ascii="Arial" w:hAnsi="Arial" w:cs="Arial" w:eastAsia="Arial" w:hint="default"/>
          <w:w w:val="100"/>
          <w:sz w:val="15"/>
          <w:szCs w:val="15"/>
        </w:rPr>
        <w:t>2</w:t>
      </w:r>
      <w:r>
        <w:rPr>
          <w:rFonts w:ascii="Arial" w:hAnsi="Arial" w:cs="Arial" w:eastAsia="Arial" w:hint="default"/>
          <w:spacing w:val="-3"/>
          <w:w w:val="100"/>
          <w:sz w:val="15"/>
          <w:szCs w:val="15"/>
        </w:rPr>
        <w:t>2</w:t>
      </w:r>
      <w:r>
        <w:rPr>
          <w:rFonts w:ascii="Arial" w:hAnsi="Arial" w:cs="Arial" w:eastAsia="Arial" w:hint="default"/>
          <w:spacing w:val="1"/>
          <w:w w:val="100"/>
          <w:sz w:val="15"/>
          <w:szCs w:val="15"/>
        </w:rPr>
        <w:t>,</w:t>
      </w:r>
      <w:r>
        <w:rPr>
          <w:rFonts w:ascii="Arial" w:hAnsi="Arial" w:cs="Arial" w:eastAsia="Arial" w:hint="default"/>
          <w:w w:val="100"/>
          <w:sz w:val="15"/>
          <w:szCs w:val="15"/>
        </w:rPr>
        <w:t>6</w:t>
      </w:r>
      <w:r>
        <w:rPr>
          <w:rFonts w:ascii="Arial" w:hAnsi="Arial" w:cs="Arial" w:eastAsia="Arial" w:hint="default"/>
          <w:spacing w:val="-3"/>
          <w:w w:val="100"/>
          <w:sz w:val="15"/>
          <w:szCs w:val="15"/>
        </w:rPr>
        <w:t>5</w:t>
      </w:r>
      <w:r>
        <w:rPr>
          <w:rFonts w:ascii="Arial" w:hAnsi="Arial" w:cs="Arial" w:eastAsia="Arial" w:hint="default"/>
          <w:w w:val="100"/>
          <w:sz w:val="15"/>
          <w:szCs w:val="15"/>
        </w:rPr>
        <w:t>4</w:t>
      </w:r>
      <w:r>
        <w:rPr>
          <w:rFonts w:ascii="Arial" w:hAnsi="Arial" w:cs="Arial" w:eastAsia="Arial" w:hint="default"/>
          <w:spacing w:val="-6"/>
          <w:sz w:val="15"/>
          <w:szCs w:val="15"/>
        </w:rPr>
        <w:t> </w:t>
      </w:r>
      <w:r>
        <w:rPr>
          <w:rFonts w:ascii="宋体" w:hAnsi="宋体" w:cs="宋体" w:eastAsia="宋体" w:hint="default"/>
          <w:w w:val="100"/>
          <w:sz w:val="15"/>
          <w:szCs w:val="15"/>
        </w:rPr>
        <w:t>元</w:t>
      </w:r>
      <w:r>
        <w:rPr>
          <w:rFonts w:ascii="宋体" w:hAnsi="宋体" w:cs="宋体" w:eastAsia="宋体" w:hint="default"/>
          <w:spacing w:val="-61"/>
          <w:w w:val="100"/>
          <w:sz w:val="15"/>
          <w:szCs w:val="15"/>
        </w:rPr>
        <w:t>；</w:t>
      </w:r>
      <w:r>
        <w:rPr>
          <w:rFonts w:ascii="宋体" w:hAnsi="宋体" w:cs="宋体" w:eastAsia="宋体" w:hint="default"/>
          <w:w w:val="100"/>
          <w:sz w:val="15"/>
          <w:szCs w:val="15"/>
        </w:rPr>
        <w:t>反</w:t>
      </w:r>
      <w:r>
        <w:rPr>
          <w:rFonts w:ascii="宋体" w:hAnsi="宋体" w:cs="宋体" w:eastAsia="宋体" w:hint="default"/>
          <w:spacing w:val="-3"/>
          <w:w w:val="100"/>
          <w:sz w:val="15"/>
          <w:szCs w:val="15"/>
        </w:rPr>
        <w:t>诉</w:t>
      </w:r>
      <w:r>
        <w:rPr>
          <w:rFonts w:ascii="宋体" w:hAnsi="宋体" w:cs="宋体" w:eastAsia="宋体" w:hint="default"/>
          <w:w w:val="100"/>
          <w:sz w:val="15"/>
          <w:szCs w:val="15"/>
        </w:rPr>
        <w:t>案</w:t>
      </w:r>
      <w:r>
        <w:rPr>
          <w:rFonts w:ascii="宋体" w:hAnsi="宋体" w:cs="宋体" w:eastAsia="宋体" w:hint="default"/>
          <w:spacing w:val="-3"/>
          <w:w w:val="100"/>
          <w:sz w:val="15"/>
          <w:szCs w:val="15"/>
        </w:rPr>
        <w:t>件</w:t>
      </w:r>
      <w:r>
        <w:rPr>
          <w:rFonts w:ascii="宋体" w:hAnsi="宋体" w:cs="宋体" w:eastAsia="宋体" w:hint="default"/>
          <w:w w:val="100"/>
          <w:sz w:val="15"/>
          <w:szCs w:val="15"/>
        </w:rPr>
        <w:t>受</w:t>
      </w:r>
      <w:r>
        <w:rPr>
          <w:rFonts w:ascii="宋体" w:hAnsi="宋体" w:cs="宋体" w:eastAsia="宋体" w:hint="default"/>
          <w:spacing w:val="-3"/>
          <w:w w:val="100"/>
          <w:sz w:val="15"/>
          <w:szCs w:val="15"/>
        </w:rPr>
        <w:t>理</w:t>
      </w:r>
      <w:r>
        <w:rPr>
          <w:rFonts w:ascii="宋体" w:hAnsi="宋体" w:cs="宋体" w:eastAsia="宋体" w:hint="default"/>
          <w:w w:val="100"/>
          <w:sz w:val="15"/>
          <w:szCs w:val="15"/>
        </w:rPr>
        <w:t>费</w:t>
      </w:r>
      <w:r>
        <w:rPr>
          <w:rFonts w:ascii="宋体" w:hAnsi="宋体" w:cs="宋体" w:eastAsia="宋体" w:hint="default"/>
          <w:spacing w:val="-3"/>
          <w:w w:val="100"/>
          <w:sz w:val="15"/>
          <w:szCs w:val="15"/>
        </w:rPr>
        <w:t>由</w:t>
      </w:r>
      <w:r>
        <w:rPr>
          <w:rFonts w:ascii="宋体" w:hAnsi="宋体" w:cs="宋体" w:eastAsia="宋体" w:hint="default"/>
          <w:w w:val="100"/>
          <w:sz w:val="15"/>
          <w:szCs w:val="15"/>
        </w:rPr>
        <w:t>被</w:t>
      </w:r>
      <w:r>
        <w:rPr>
          <w:rFonts w:ascii="宋体" w:hAnsi="宋体" w:cs="宋体" w:eastAsia="宋体" w:hint="default"/>
          <w:spacing w:val="-3"/>
          <w:w w:val="100"/>
          <w:sz w:val="15"/>
          <w:szCs w:val="15"/>
        </w:rPr>
        <w:t>告</w:t>
      </w:r>
      <w:r>
        <w:rPr>
          <w:rFonts w:ascii="宋体" w:hAnsi="宋体" w:cs="宋体" w:eastAsia="宋体" w:hint="default"/>
          <w:w w:val="100"/>
          <w:sz w:val="15"/>
          <w:szCs w:val="15"/>
        </w:rPr>
        <w:t>承</w:t>
      </w:r>
      <w:r>
        <w:rPr>
          <w:rFonts w:ascii="宋体" w:hAnsi="宋体" w:cs="宋体" w:eastAsia="宋体" w:hint="default"/>
          <w:spacing w:val="-3"/>
          <w:w w:val="100"/>
          <w:sz w:val="15"/>
          <w:szCs w:val="15"/>
        </w:rPr>
        <w:t>担</w:t>
      </w:r>
      <w:r>
        <w:rPr>
          <w:rFonts w:ascii="宋体" w:hAnsi="宋体" w:cs="宋体" w:eastAsia="宋体" w:hint="default"/>
          <w:w w:val="100"/>
          <w:sz w:val="15"/>
          <w:szCs w:val="15"/>
        </w:rPr>
        <w:t>。</w:t>
      </w:r>
    </w:p>
    <w:p>
      <w:pPr>
        <w:spacing w:line="194" w:lineRule="exact" w:before="0"/>
        <w:ind w:left="140" w:right="0" w:firstLine="0"/>
        <w:jc w:val="left"/>
        <w:rPr>
          <w:rFonts w:ascii="宋体" w:hAnsi="宋体" w:cs="宋体" w:eastAsia="宋体" w:hint="default"/>
          <w:sz w:val="15"/>
          <w:szCs w:val="15"/>
        </w:rPr>
      </w:pPr>
      <w:r>
        <w:rPr>
          <w:rFonts w:ascii="宋体" w:hAnsi="宋体" w:cs="宋体" w:eastAsia="宋体" w:hint="default"/>
          <w:sz w:val="15"/>
          <w:szCs w:val="15"/>
        </w:rPr>
        <w:t>农垦中院于</w:t>
      </w:r>
      <w:r>
        <w:rPr>
          <w:rFonts w:ascii="宋体" w:hAnsi="宋体" w:cs="宋体" w:eastAsia="宋体" w:hint="default"/>
          <w:spacing w:val="-39"/>
          <w:sz w:val="15"/>
          <w:szCs w:val="15"/>
        </w:rPr>
        <w:t> </w:t>
      </w:r>
      <w:r>
        <w:rPr>
          <w:rFonts w:ascii="Arial" w:hAnsi="Arial" w:cs="Arial" w:eastAsia="Arial" w:hint="default"/>
          <w:sz w:val="15"/>
          <w:szCs w:val="15"/>
        </w:rPr>
        <w:t>2014</w:t>
      </w:r>
      <w:r>
        <w:rPr>
          <w:rFonts w:ascii="Arial" w:hAnsi="Arial" w:cs="Arial" w:eastAsia="Arial" w:hint="default"/>
          <w:spacing w:val="-9"/>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Arial" w:hAnsi="Arial" w:cs="Arial" w:eastAsia="Arial" w:hint="default"/>
          <w:sz w:val="15"/>
          <w:szCs w:val="15"/>
        </w:rPr>
        <w:t>10</w:t>
      </w:r>
      <w:r>
        <w:rPr>
          <w:rFonts w:ascii="Arial" w:hAnsi="Arial" w:cs="Arial" w:eastAsia="Arial" w:hint="default"/>
          <w:spacing w:val="-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Arial" w:hAnsi="Arial" w:cs="Arial" w:eastAsia="Arial" w:hint="default"/>
          <w:sz w:val="15"/>
          <w:szCs w:val="15"/>
        </w:rPr>
        <w:t>30</w:t>
      </w:r>
      <w:r>
        <w:rPr>
          <w:rFonts w:ascii="Arial" w:hAnsi="Arial" w:cs="Arial" w:eastAsia="Arial" w:hint="default"/>
          <w:spacing w:val="-7"/>
          <w:sz w:val="15"/>
          <w:szCs w:val="15"/>
        </w:rPr>
        <w:t> </w:t>
      </w:r>
      <w:r>
        <w:rPr>
          <w:rFonts w:ascii="宋体" w:hAnsi="宋体" w:cs="宋体" w:eastAsia="宋体" w:hint="default"/>
          <w:sz w:val="15"/>
          <w:szCs w:val="15"/>
        </w:rPr>
        <w:t>日作出</w:t>
      </w:r>
      <w:r>
        <w:rPr>
          <w:rFonts w:ascii="宋体" w:hAnsi="宋体" w:cs="宋体" w:eastAsia="宋体" w:hint="default"/>
          <w:spacing w:val="-20"/>
          <w:sz w:val="15"/>
          <w:szCs w:val="15"/>
        </w:rPr>
        <w:t> </w:t>
      </w:r>
      <w:r>
        <w:rPr>
          <w:rFonts w:ascii="宋体" w:hAnsi="宋体" w:cs="宋体" w:eastAsia="宋体" w:hint="default"/>
          <w:spacing w:val="-4"/>
          <w:sz w:val="15"/>
          <w:szCs w:val="15"/>
        </w:rPr>
        <w:t>终审判决：撤销一审判决第二项；变更第三</w:t>
      </w:r>
      <w:r>
        <w:rPr>
          <w:rFonts w:ascii="宋体" w:hAnsi="宋体" w:cs="宋体" w:eastAsia="宋体" w:hint="default"/>
          <w:spacing w:val="-21"/>
          <w:sz w:val="15"/>
          <w:szCs w:val="15"/>
        </w:rPr>
        <w:t> </w:t>
      </w:r>
      <w:r>
        <w:rPr>
          <w:rFonts w:ascii="Arial" w:hAnsi="Arial" w:cs="Arial" w:eastAsia="Arial" w:hint="default"/>
          <w:position w:val="10"/>
          <w:sz w:val="15"/>
          <w:szCs w:val="15"/>
        </w:rPr>
        <w:t>2017</w:t>
      </w:r>
      <w:r>
        <w:rPr>
          <w:rFonts w:ascii="Arial" w:hAnsi="Arial" w:cs="Arial" w:eastAsia="Arial" w:hint="default"/>
          <w:spacing w:val="-4"/>
          <w:position w:val="10"/>
          <w:sz w:val="15"/>
          <w:szCs w:val="15"/>
        </w:rPr>
        <w:t> </w:t>
      </w:r>
      <w:r>
        <w:rPr>
          <w:rFonts w:ascii="宋体" w:hAnsi="宋体" w:cs="宋体" w:eastAsia="宋体" w:hint="default"/>
          <w:position w:val="10"/>
          <w:sz w:val="15"/>
          <w:szCs w:val="15"/>
        </w:rPr>
        <w:t>年</w:t>
      </w:r>
      <w:r>
        <w:rPr>
          <w:rFonts w:ascii="宋体" w:hAnsi="宋体" w:cs="宋体" w:eastAsia="宋体" w:hint="default"/>
          <w:spacing w:val="-37"/>
          <w:position w:val="10"/>
          <w:sz w:val="15"/>
          <w:szCs w:val="15"/>
        </w:rPr>
        <w:t> </w:t>
      </w:r>
      <w:r>
        <w:rPr>
          <w:rFonts w:ascii="Arial" w:hAnsi="Arial" w:cs="Arial" w:eastAsia="Arial" w:hint="default"/>
          <w:position w:val="10"/>
          <w:sz w:val="15"/>
          <w:szCs w:val="15"/>
        </w:rPr>
        <w:t>9</w:t>
      </w:r>
      <w:r>
        <w:rPr>
          <w:rFonts w:ascii="Arial" w:hAnsi="Arial" w:cs="Arial" w:eastAsia="Arial" w:hint="default"/>
          <w:spacing w:val="-2"/>
          <w:position w:val="10"/>
          <w:sz w:val="15"/>
          <w:szCs w:val="15"/>
        </w:rPr>
        <w:t> </w:t>
      </w:r>
      <w:r>
        <w:rPr>
          <w:rFonts w:ascii="宋体" w:hAnsi="宋体" w:cs="宋体" w:eastAsia="宋体" w:hint="default"/>
          <w:position w:val="10"/>
          <w:sz w:val="15"/>
          <w:szCs w:val="15"/>
        </w:rPr>
        <w:t>月执行回款</w:t>
      </w:r>
      <w:r>
        <w:rPr>
          <w:rFonts w:ascii="宋体" w:hAnsi="宋体" w:cs="宋体" w:eastAsia="宋体" w:hint="default"/>
          <w:sz w:val="15"/>
          <w:szCs w:val="15"/>
        </w:rPr>
      </w:r>
    </w:p>
    <w:p>
      <w:pPr>
        <w:spacing w:line="195" w:lineRule="exact" w:before="0"/>
        <w:ind w:left="140" w:right="0" w:firstLine="0"/>
        <w:jc w:val="left"/>
        <w:rPr>
          <w:rFonts w:ascii="宋体" w:hAnsi="宋体" w:cs="宋体" w:eastAsia="宋体" w:hint="default"/>
          <w:sz w:val="15"/>
          <w:szCs w:val="15"/>
        </w:rPr>
      </w:pPr>
      <w:r>
        <w:rPr>
          <w:rFonts w:ascii="宋体" w:hAnsi="宋体" w:cs="宋体" w:eastAsia="宋体" w:hint="default"/>
          <w:spacing w:val="-3"/>
          <w:sz w:val="15"/>
          <w:szCs w:val="15"/>
        </w:rPr>
        <w:t>（</w:t>
      </w:r>
      <w:r>
        <w:rPr>
          <w:rFonts w:ascii="Arial" w:hAnsi="Arial" w:cs="Arial" w:eastAsia="Arial" w:hint="default"/>
          <w:spacing w:val="-3"/>
          <w:sz w:val="15"/>
          <w:szCs w:val="15"/>
        </w:rPr>
        <w:t>2014</w:t>
      </w:r>
      <w:r>
        <w:rPr>
          <w:rFonts w:ascii="宋体" w:hAnsi="宋体" w:cs="宋体" w:eastAsia="宋体" w:hint="default"/>
          <w:spacing w:val="-3"/>
          <w:sz w:val="15"/>
          <w:szCs w:val="15"/>
        </w:rPr>
        <w:t>）垦商终字第</w:t>
      </w:r>
      <w:r>
        <w:rPr>
          <w:rFonts w:ascii="宋体" w:hAnsi="宋体" w:cs="宋体" w:eastAsia="宋体" w:hint="default"/>
          <w:spacing w:val="-33"/>
          <w:sz w:val="15"/>
          <w:szCs w:val="15"/>
        </w:rPr>
        <w:t> </w:t>
      </w:r>
      <w:r>
        <w:rPr>
          <w:rFonts w:ascii="Arial" w:hAnsi="Arial" w:cs="Arial" w:eastAsia="Arial" w:hint="default"/>
          <w:sz w:val="15"/>
          <w:szCs w:val="15"/>
        </w:rPr>
        <w:t>68 </w:t>
      </w:r>
      <w:r>
        <w:rPr>
          <w:rFonts w:ascii="宋体" w:hAnsi="宋体" w:cs="宋体" w:eastAsia="宋体" w:hint="default"/>
          <w:sz w:val="15"/>
          <w:szCs w:val="15"/>
        </w:rPr>
        <w:t>号民事判决</w:t>
      </w:r>
      <w:r>
        <w:rPr>
          <w:rFonts w:ascii="宋体" w:hAnsi="宋体" w:cs="宋体" w:eastAsia="宋体" w:hint="default"/>
          <w:spacing w:val="-18"/>
          <w:sz w:val="15"/>
          <w:szCs w:val="15"/>
        </w:rPr>
        <w:t> </w:t>
      </w:r>
      <w:r>
        <w:rPr>
          <w:rFonts w:ascii="宋体" w:hAnsi="宋体" w:cs="宋体" w:eastAsia="宋体" w:hint="default"/>
          <w:sz w:val="15"/>
          <w:szCs w:val="15"/>
        </w:rPr>
        <w:t>项利息数额为</w:t>
      </w:r>
      <w:r>
        <w:rPr>
          <w:rFonts w:ascii="宋体" w:hAnsi="宋体" w:cs="宋体" w:eastAsia="宋体" w:hint="default"/>
          <w:spacing w:val="-35"/>
          <w:sz w:val="15"/>
          <w:szCs w:val="15"/>
        </w:rPr>
        <w:t> </w:t>
      </w:r>
      <w:r>
        <w:rPr>
          <w:rFonts w:ascii="Arial" w:hAnsi="Arial" w:cs="Arial" w:eastAsia="Arial" w:hint="default"/>
          <w:sz w:val="15"/>
          <w:szCs w:val="15"/>
        </w:rPr>
        <w:t>34,301.93</w:t>
      </w:r>
      <w:r>
        <w:rPr>
          <w:rFonts w:ascii="Arial" w:hAnsi="Arial" w:cs="Arial" w:eastAsia="Arial" w:hint="default"/>
          <w:spacing w:val="1"/>
          <w:sz w:val="15"/>
          <w:szCs w:val="15"/>
        </w:rPr>
        <w:t> </w:t>
      </w:r>
      <w:r>
        <w:rPr>
          <w:rFonts w:ascii="宋体" w:hAnsi="宋体" w:cs="宋体" w:eastAsia="宋体" w:hint="default"/>
          <w:spacing w:val="-7"/>
          <w:sz w:val="15"/>
          <w:szCs w:val="15"/>
        </w:rPr>
        <w:t>元利息。一审案件</w:t>
      </w:r>
      <w:r>
        <w:rPr>
          <w:rFonts w:ascii="宋体" w:hAnsi="宋体" w:cs="宋体" w:eastAsia="宋体" w:hint="default"/>
          <w:spacing w:val="-20"/>
          <w:sz w:val="15"/>
          <w:szCs w:val="15"/>
        </w:rPr>
        <w:t> </w:t>
      </w:r>
      <w:r>
        <w:rPr>
          <w:rFonts w:ascii="Arial" w:hAnsi="Arial" w:cs="Arial" w:eastAsia="Arial" w:hint="default"/>
          <w:position w:val="10"/>
          <w:sz w:val="15"/>
          <w:szCs w:val="15"/>
        </w:rPr>
        <w:t>8 </w:t>
      </w:r>
      <w:r>
        <w:rPr>
          <w:rFonts w:ascii="宋体" w:hAnsi="宋体" w:cs="宋体" w:eastAsia="宋体" w:hint="default"/>
          <w:position w:val="10"/>
          <w:sz w:val="15"/>
          <w:szCs w:val="15"/>
        </w:rPr>
        <w:t>万元，其余款项仍待</w:t>
      </w:r>
      <w:r>
        <w:rPr>
          <w:rFonts w:ascii="宋体" w:hAnsi="宋体" w:cs="宋体" w:eastAsia="宋体" w:hint="default"/>
          <w:sz w:val="15"/>
          <w:szCs w:val="15"/>
        </w:rPr>
      </w:r>
    </w:p>
    <w:p>
      <w:pPr>
        <w:spacing w:line="88" w:lineRule="exact" w:before="0"/>
        <w:ind w:left="0" w:right="1162" w:firstLine="0"/>
        <w:jc w:val="right"/>
        <w:rPr>
          <w:rFonts w:ascii="宋体" w:hAnsi="宋体" w:cs="宋体" w:eastAsia="宋体" w:hint="default"/>
          <w:sz w:val="15"/>
          <w:szCs w:val="15"/>
        </w:rPr>
      </w:pPr>
      <w:r>
        <w:rPr>
          <w:rFonts w:ascii="宋体" w:hAnsi="宋体" w:cs="宋体" w:eastAsia="宋体" w:hint="default"/>
          <w:sz w:val="15"/>
          <w:szCs w:val="15"/>
        </w:rPr>
        <w:t>执行。</w:t>
      </w:r>
    </w:p>
    <w:p>
      <w:pPr>
        <w:spacing w:after="0" w:line="88" w:lineRule="exact"/>
        <w:jc w:val="right"/>
        <w:rPr>
          <w:rFonts w:ascii="宋体" w:hAnsi="宋体" w:cs="宋体" w:eastAsia="宋体" w:hint="default"/>
          <w:sz w:val="15"/>
          <w:szCs w:val="15"/>
        </w:rPr>
        <w:sectPr>
          <w:type w:val="continuous"/>
          <w:pgSz w:w="16840" w:h="11910" w:orient="landscape"/>
          <w:pgMar w:top="1360" w:bottom="1380" w:left="1300" w:right="1380"/>
          <w:cols w:num="4" w:equalWidth="0">
            <w:col w:w="594" w:space="40"/>
            <w:col w:w="570" w:space="1448"/>
            <w:col w:w="2243" w:space="2227"/>
            <w:col w:w="7038"/>
          </w:cols>
        </w:sectPr>
      </w:pPr>
    </w:p>
    <w:p>
      <w:pPr>
        <w:spacing w:line="151" w:lineRule="exact" w:before="0"/>
        <w:ind w:left="0" w:right="2097" w:firstLine="0"/>
        <w:jc w:val="right"/>
        <w:rPr>
          <w:rFonts w:ascii="宋体" w:hAnsi="宋体" w:cs="宋体" w:eastAsia="宋体" w:hint="default"/>
          <w:sz w:val="15"/>
          <w:szCs w:val="15"/>
        </w:rPr>
      </w:pPr>
      <w:r>
        <w:rPr>
          <w:rFonts w:ascii="宋体" w:hAnsi="宋体" w:cs="宋体" w:eastAsia="宋体" w:hint="default"/>
          <w:sz w:val="15"/>
          <w:szCs w:val="15"/>
        </w:rPr>
        <w:t>书。</w:t>
      </w:r>
    </w:p>
    <w:p>
      <w:pPr>
        <w:spacing w:line="240" w:lineRule="auto" w:before="0"/>
        <w:rPr>
          <w:rFonts w:ascii="宋体" w:hAnsi="宋体" w:cs="宋体" w:eastAsia="宋体" w:hint="default"/>
          <w:sz w:val="14"/>
          <w:szCs w:val="14"/>
        </w:rPr>
      </w:pPr>
    </w:p>
    <w:p>
      <w:pPr>
        <w:spacing w:line="240" w:lineRule="auto" w:before="11"/>
        <w:rPr>
          <w:rFonts w:ascii="宋体" w:hAnsi="宋体" w:cs="宋体" w:eastAsia="宋体" w:hint="default"/>
          <w:sz w:val="17"/>
          <w:szCs w:val="17"/>
        </w:rPr>
      </w:pPr>
    </w:p>
    <w:p>
      <w:pPr>
        <w:spacing w:line="194" w:lineRule="exact" w:before="0"/>
        <w:ind w:left="7261" w:right="0" w:firstLine="0"/>
        <w:jc w:val="both"/>
        <w:rPr>
          <w:rFonts w:ascii="宋体" w:hAnsi="宋体" w:cs="宋体" w:eastAsia="宋体" w:hint="default"/>
          <w:sz w:val="15"/>
          <w:szCs w:val="15"/>
        </w:rPr>
      </w:pPr>
      <w:r>
        <w:rPr>
          <w:rFonts w:ascii="宋体" w:hAnsi="宋体" w:cs="宋体" w:eastAsia="宋体" w:hint="default"/>
          <w:sz w:val="15"/>
          <w:szCs w:val="15"/>
        </w:rPr>
        <w:t>案件于</w:t>
      </w:r>
      <w:r>
        <w:rPr>
          <w:rFonts w:ascii="宋体" w:hAnsi="宋体" w:cs="宋体" w:eastAsia="宋体" w:hint="default"/>
          <w:spacing w:val="-37"/>
          <w:sz w:val="15"/>
          <w:szCs w:val="15"/>
        </w:rPr>
        <w:t> </w:t>
      </w:r>
      <w:r>
        <w:rPr>
          <w:rFonts w:ascii="Arial" w:hAnsi="Arial" w:cs="Arial" w:eastAsia="Arial" w:hint="default"/>
          <w:sz w:val="15"/>
          <w:szCs w:val="15"/>
        </w:rPr>
        <w:t>2013</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5</w:t>
      </w:r>
      <w:r>
        <w:rPr>
          <w:rFonts w:ascii="Arial" w:hAnsi="Arial" w:cs="Arial" w:eastAsia="Arial" w:hint="default"/>
          <w:spacing w:val="-6"/>
          <w:sz w:val="15"/>
          <w:szCs w:val="15"/>
        </w:rPr>
        <w:t> </w:t>
      </w:r>
      <w:r>
        <w:rPr>
          <w:rFonts w:ascii="宋体" w:hAnsi="宋体" w:cs="宋体" w:eastAsia="宋体" w:hint="default"/>
          <w:sz w:val="15"/>
          <w:szCs w:val="15"/>
        </w:rPr>
        <w:t>月在农垦中院立案</w:t>
      </w:r>
      <w:r>
        <w:rPr>
          <w:rFonts w:ascii="宋体" w:hAnsi="宋体" w:cs="宋体" w:eastAsia="宋体" w:hint="default"/>
          <w:w w:val="100"/>
          <w:sz w:val="15"/>
          <w:szCs w:val="15"/>
        </w:rPr>
        <w:t> </w:t>
      </w:r>
      <w:r>
        <w:rPr>
          <w:rFonts w:ascii="宋体" w:hAnsi="宋体" w:cs="宋体" w:eastAsia="宋体" w:hint="default"/>
          <w:sz w:val="15"/>
          <w:szCs w:val="15"/>
        </w:rPr>
        <w:t>受理，</w:t>
      </w:r>
      <w:r>
        <w:rPr>
          <w:rFonts w:ascii="Arial" w:hAnsi="Arial" w:cs="Arial" w:eastAsia="Arial" w:hint="default"/>
          <w:sz w:val="15"/>
          <w:szCs w:val="15"/>
        </w:rPr>
        <w:t>2013</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w:hAnsi="Arial" w:cs="Arial" w:eastAsia="Arial" w:hint="default"/>
          <w:sz w:val="15"/>
          <w:szCs w:val="15"/>
        </w:rPr>
        <w:t>7</w:t>
      </w:r>
      <w:r>
        <w:rPr>
          <w:rFonts w:ascii="Arial" w:hAnsi="Arial" w:cs="Arial" w:eastAsia="Arial" w:hint="default"/>
          <w:spacing w:val="-6"/>
          <w:sz w:val="15"/>
          <w:szCs w:val="15"/>
        </w:rPr>
        <w:t> </w:t>
      </w:r>
      <w:r>
        <w:rPr>
          <w:rFonts w:ascii="宋体" w:hAnsi="宋体" w:cs="宋体" w:eastAsia="宋体" w:hint="default"/>
          <w:sz w:val="15"/>
          <w:szCs w:val="15"/>
        </w:rPr>
        <w:t>月移送至黑龙江省</w:t>
      </w:r>
      <w:r>
        <w:rPr>
          <w:rFonts w:ascii="宋体" w:hAnsi="宋体" w:cs="宋体" w:eastAsia="宋体" w:hint="default"/>
          <w:w w:val="100"/>
          <w:sz w:val="15"/>
          <w:szCs w:val="15"/>
        </w:rPr>
        <w:t> </w:t>
      </w:r>
      <w:r>
        <w:rPr>
          <w:rFonts w:ascii="宋体" w:hAnsi="宋体" w:cs="宋体" w:eastAsia="宋体" w:hint="default"/>
          <w:spacing w:val="-2"/>
          <w:sz w:val="15"/>
          <w:szCs w:val="15"/>
        </w:rPr>
        <w:t>高院，青枫公司在本案中提起反诉，</w:t>
      </w:r>
    </w:p>
    <w:p>
      <w:pPr>
        <w:spacing w:line="155" w:lineRule="exact" w:before="0"/>
        <w:ind w:left="-21"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受理费</w:t>
      </w:r>
      <w:r>
        <w:rPr>
          <w:rFonts w:ascii="宋体" w:hAnsi="宋体" w:cs="宋体" w:eastAsia="宋体" w:hint="default"/>
          <w:spacing w:val="-38"/>
          <w:sz w:val="15"/>
          <w:szCs w:val="15"/>
        </w:rPr>
        <w:t> </w:t>
      </w:r>
      <w:r>
        <w:rPr>
          <w:rFonts w:ascii="Arial" w:hAnsi="Arial" w:cs="Arial" w:eastAsia="Arial" w:hint="default"/>
          <w:sz w:val="15"/>
          <w:szCs w:val="15"/>
        </w:rPr>
        <w:t>24,151</w:t>
      </w:r>
      <w:r>
        <w:rPr>
          <w:rFonts w:ascii="Arial" w:hAnsi="Arial" w:cs="Arial" w:eastAsia="Arial" w:hint="default"/>
          <w:spacing w:val="-7"/>
          <w:sz w:val="15"/>
          <w:szCs w:val="15"/>
        </w:rPr>
        <w:t> </w:t>
      </w:r>
      <w:r>
        <w:rPr>
          <w:rFonts w:ascii="宋体" w:hAnsi="宋体" w:cs="宋体" w:eastAsia="宋体" w:hint="default"/>
          <w:sz w:val="15"/>
          <w:szCs w:val="15"/>
        </w:rPr>
        <w:t>元，由公司负担</w:t>
      </w:r>
      <w:r>
        <w:rPr>
          <w:rFonts w:ascii="宋体" w:hAnsi="宋体" w:cs="宋体" w:eastAsia="宋体" w:hint="default"/>
          <w:spacing w:val="-37"/>
          <w:sz w:val="15"/>
          <w:szCs w:val="15"/>
        </w:rPr>
        <w:t> </w:t>
      </w:r>
      <w:r>
        <w:rPr>
          <w:rFonts w:ascii="Arial" w:hAnsi="Arial" w:cs="Arial" w:eastAsia="Arial" w:hint="default"/>
          <w:sz w:val="15"/>
          <w:szCs w:val="15"/>
        </w:rPr>
        <w:t>17,369</w:t>
      </w:r>
      <w:r>
        <w:rPr>
          <w:rFonts w:ascii="Arial" w:hAnsi="Arial" w:cs="Arial" w:eastAsia="Arial" w:hint="default"/>
          <w:spacing w:val="-5"/>
          <w:sz w:val="15"/>
          <w:szCs w:val="15"/>
        </w:rPr>
        <w:t> </w:t>
      </w:r>
      <w:r>
        <w:rPr>
          <w:rFonts w:ascii="宋体" w:hAnsi="宋体" w:cs="宋体" w:eastAsia="宋体" w:hint="default"/>
          <w:sz w:val="15"/>
          <w:szCs w:val="15"/>
        </w:rPr>
        <w:t>元，</w:t>
      </w:r>
    </w:p>
    <w:p>
      <w:pPr>
        <w:spacing w:line="194" w:lineRule="exact" w:before="13"/>
        <w:ind w:left="-21" w:right="1587" w:firstLine="0"/>
        <w:jc w:val="left"/>
        <w:rPr>
          <w:rFonts w:ascii="宋体" w:hAnsi="宋体" w:cs="宋体" w:eastAsia="宋体" w:hint="default"/>
          <w:sz w:val="15"/>
          <w:szCs w:val="15"/>
        </w:rPr>
      </w:pPr>
      <w:r>
        <w:rPr>
          <w:rFonts w:ascii="宋体" w:hAnsi="宋体" w:cs="宋体" w:eastAsia="宋体" w:hint="default"/>
          <w:sz w:val="15"/>
          <w:szCs w:val="15"/>
        </w:rPr>
        <w:t>被告负担</w:t>
      </w:r>
      <w:r>
        <w:rPr>
          <w:rFonts w:ascii="宋体" w:hAnsi="宋体" w:cs="宋体" w:eastAsia="宋体" w:hint="default"/>
          <w:spacing w:val="-37"/>
          <w:sz w:val="15"/>
          <w:szCs w:val="15"/>
        </w:rPr>
        <w:t> </w:t>
      </w:r>
      <w:r>
        <w:rPr>
          <w:rFonts w:ascii="Arial" w:hAnsi="Arial" w:cs="Arial" w:eastAsia="Arial" w:hint="default"/>
          <w:sz w:val="15"/>
          <w:szCs w:val="15"/>
        </w:rPr>
        <w:t>6,782</w:t>
      </w:r>
      <w:r>
        <w:rPr>
          <w:rFonts w:ascii="Arial" w:hAnsi="Arial" w:cs="Arial" w:eastAsia="Arial" w:hint="default"/>
          <w:spacing w:val="-4"/>
          <w:sz w:val="15"/>
          <w:szCs w:val="15"/>
        </w:rPr>
        <w:t> </w:t>
      </w:r>
      <w:r>
        <w:rPr>
          <w:rFonts w:ascii="宋体" w:hAnsi="宋体" w:cs="宋体" w:eastAsia="宋体" w:hint="default"/>
          <w:spacing w:val="-10"/>
          <w:sz w:val="15"/>
          <w:szCs w:val="15"/>
        </w:rPr>
        <w:t>元；二审受理费</w:t>
      </w:r>
      <w:r>
        <w:rPr>
          <w:rFonts w:ascii="宋体" w:hAnsi="宋体" w:cs="宋体" w:eastAsia="宋体" w:hint="default"/>
          <w:spacing w:val="-37"/>
          <w:sz w:val="15"/>
          <w:szCs w:val="15"/>
        </w:rPr>
        <w:t> </w:t>
      </w:r>
      <w:r>
        <w:rPr>
          <w:rFonts w:ascii="Arial" w:hAnsi="Arial" w:cs="Arial" w:eastAsia="Arial" w:hint="default"/>
          <w:sz w:val="15"/>
          <w:szCs w:val="15"/>
        </w:rPr>
        <w:t>17,369</w:t>
      </w:r>
      <w:r>
        <w:rPr>
          <w:rFonts w:ascii="Arial" w:hAnsi="Arial" w:cs="Arial" w:eastAsia="Arial" w:hint="default"/>
          <w:spacing w:val="-2"/>
          <w:sz w:val="15"/>
          <w:szCs w:val="15"/>
        </w:rPr>
        <w:t> </w:t>
      </w:r>
      <w:r>
        <w:rPr>
          <w:rFonts w:ascii="宋体" w:hAnsi="宋体" w:cs="宋体" w:eastAsia="宋体" w:hint="default"/>
          <w:sz w:val="15"/>
          <w:szCs w:val="15"/>
        </w:rPr>
        <w:t>元，</w:t>
      </w:r>
      <w:r>
        <w:rPr>
          <w:rFonts w:ascii="宋体" w:hAnsi="宋体" w:cs="宋体" w:eastAsia="宋体" w:hint="default"/>
          <w:spacing w:val="-3"/>
          <w:w w:val="100"/>
          <w:sz w:val="15"/>
          <w:szCs w:val="15"/>
        </w:rPr>
        <w:t> </w:t>
      </w:r>
      <w:r>
        <w:rPr>
          <w:rFonts w:ascii="宋体" w:hAnsi="宋体" w:cs="宋体" w:eastAsia="宋体" w:hint="default"/>
          <w:sz w:val="15"/>
          <w:szCs w:val="15"/>
        </w:rPr>
        <w:t>由公司负担。</w:t>
      </w:r>
    </w:p>
    <w:p>
      <w:pPr>
        <w:spacing w:after="0" w:line="194" w:lineRule="exact"/>
        <w:jc w:val="left"/>
        <w:rPr>
          <w:rFonts w:ascii="宋体" w:hAnsi="宋体" w:cs="宋体" w:eastAsia="宋体" w:hint="default"/>
          <w:sz w:val="15"/>
          <w:szCs w:val="15"/>
        </w:rPr>
        <w:sectPr>
          <w:type w:val="continuous"/>
          <w:pgSz w:w="16840" w:h="11910" w:orient="landscape"/>
          <w:pgMar w:top="1360" w:bottom="1380" w:left="1300" w:right="1380"/>
          <w:cols w:num="2" w:equalWidth="0">
            <w:col w:w="9665" w:space="40"/>
            <w:col w:w="4455"/>
          </w:cols>
        </w:sectPr>
      </w:pPr>
    </w:p>
    <w:p>
      <w:pPr>
        <w:spacing w:line="240" w:lineRule="auto" w:before="0"/>
        <w:rPr>
          <w:rFonts w:ascii="宋体" w:hAnsi="宋体" w:cs="宋体" w:eastAsia="宋体" w:hint="default"/>
          <w:sz w:val="14"/>
          <w:szCs w:val="14"/>
        </w:rPr>
      </w:pPr>
    </w:p>
    <w:p>
      <w:pPr>
        <w:spacing w:line="240" w:lineRule="auto" w:before="3"/>
        <w:rPr>
          <w:rFonts w:ascii="宋体" w:hAnsi="宋体" w:cs="宋体" w:eastAsia="宋体" w:hint="default"/>
          <w:sz w:val="14"/>
          <w:szCs w:val="14"/>
        </w:rPr>
      </w:pPr>
    </w:p>
    <w:p>
      <w:pPr>
        <w:spacing w:before="0"/>
        <w:ind w:left="140" w:right="-17" w:firstLine="0"/>
        <w:jc w:val="left"/>
        <w:rPr>
          <w:rFonts w:ascii="宋体" w:hAnsi="宋体" w:cs="宋体" w:eastAsia="宋体" w:hint="default"/>
          <w:sz w:val="15"/>
          <w:szCs w:val="15"/>
        </w:rPr>
      </w:pPr>
      <w:r>
        <w:rPr>
          <w:rFonts w:ascii="宋体" w:hAnsi="宋体" w:cs="宋体" w:eastAsia="宋体" w:hint="default"/>
          <w:sz w:val="15"/>
          <w:szCs w:val="15"/>
        </w:rPr>
        <w:t>北大荒</w:t>
      </w:r>
      <w:r>
        <w:rPr>
          <w:rFonts w:ascii="宋体" w:hAnsi="宋体" w:cs="宋体" w:eastAsia="宋体" w:hint="default"/>
          <w:spacing w:val="-72"/>
          <w:sz w:val="15"/>
          <w:szCs w:val="15"/>
        </w:rPr>
        <w:t> </w:t>
      </w:r>
      <w:r>
        <w:rPr>
          <w:rFonts w:ascii="宋体" w:hAnsi="宋体" w:cs="宋体" w:eastAsia="宋体" w:hint="default"/>
          <w:sz w:val="15"/>
          <w:szCs w:val="15"/>
        </w:rPr>
        <w:t>鑫亚经</w:t>
      </w:r>
    </w:p>
    <w:p>
      <w:pPr>
        <w:spacing w:line="240" w:lineRule="auto" w:before="11"/>
        <w:rPr>
          <w:rFonts w:ascii="宋体" w:hAnsi="宋体" w:cs="宋体" w:eastAsia="宋体" w:hint="default"/>
          <w:sz w:val="20"/>
          <w:szCs w:val="20"/>
        </w:rPr>
      </w:pPr>
      <w:r>
        <w:rPr/>
        <w:br w:type="column"/>
      </w:r>
      <w:r>
        <w:rPr>
          <w:rFonts w:ascii="宋体"/>
          <w:sz w:val="20"/>
        </w:rPr>
      </w:r>
    </w:p>
    <w:p>
      <w:pPr>
        <w:spacing w:before="0"/>
        <w:ind w:left="116" w:right="-16" w:firstLine="0"/>
        <w:jc w:val="left"/>
        <w:rPr>
          <w:rFonts w:ascii="宋体" w:hAnsi="宋体" w:cs="宋体" w:eastAsia="宋体" w:hint="default"/>
          <w:sz w:val="15"/>
          <w:szCs w:val="15"/>
        </w:rPr>
      </w:pPr>
      <w:r>
        <w:rPr>
          <w:rFonts w:ascii="宋体" w:hAnsi="宋体" w:cs="宋体" w:eastAsia="宋体" w:hint="default"/>
          <w:sz w:val="15"/>
          <w:szCs w:val="15"/>
        </w:rPr>
        <w:t>北大荒</w:t>
      </w:r>
      <w:r>
        <w:rPr>
          <w:rFonts w:ascii="宋体" w:hAnsi="宋体" w:cs="宋体" w:eastAsia="宋体" w:hint="default"/>
          <w:spacing w:val="-72"/>
          <w:sz w:val="15"/>
          <w:szCs w:val="15"/>
        </w:rPr>
        <w:t> </w:t>
      </w:r>
      <w:r>
        <w:rPr>
          <w:rFonts w:ascii="宋体" w:hAnsi="宋体" w:cs="宋体" w:eastAsia="宋体" w:hint="default"/>
          <w:sz w:val="15"/>
          <w:szCs w:val="15"/>
        </w:rPr>
        <w:t>青枫亚</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3"/>
        <w:rPr>
          <w:rFonts w:ascii="宋体" w:hAnsi="宋体" w:cs="宋体" w:eastAsia="宋体" w:hint="default"/>
          <w:sz w:val="14"/>
          <w:szCs w:val="14"/>
        </w:rPr>
      </w:pPr>
    </w:p>
    <w:p>
      <w:pPr>
        <w:spacing w:before="0"/>
        <w:ind w:left="140" w:right="-14" w:firstLine="0"/>
        <w:jc w:val="left"/>
        <w:rPr>
          <w:rFonts w:ascii="宋体" w:hAnsi="宋体" w:cs="宋体" w:eastAsia="宋体" w:hint="default"/>
          <w:sz w:val="15"/>
          <w:szCs w:val="15"/>
        </w:rPr>
      </w:pPr>
      <w:r>
        <w:rPr>
          <w:rFonts w:ascii="宋体" w:hAnsi="宋体" w:cs="宋体" w:eastAsia="宋体" w:hint="default"/>
          <w:spacing w:val="-3"/>
          <w:sz w:val="15"/>
          <w:szCs w:val="15"/>
        </w:rPr>
        <w:t>王熙刚、陈</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pacing w:val="-3"/>
          <w:sz w:val="15"/>
          <w:szCs w:val="15"/>
        </w:rPr>
        <w:t>卫东、郑丽</w:t>
      </w:r>
    </w:p>
    <w:p>
      <w:pPr>
        <w:spacing w:line="240" w:lineRule="auto" w:before="0"/>
        <w:rPr>
          <w:rFonts w:ascii="宋体" w:hAnsi="宋体" w:cs="宋体" w:eastAsia="宋体" w:hint="default"/>
          <w:sz w:val="14"/>
          <w:szCs w:val="14"/>
        </w:rPr>
      </w:pPr>
      <w:r>
        <w:rPr/>
        <w:br w:type="column"/>
      </w:r>
      <w:r>
        <w:rPr>
          <w:rFonts w:ascii="宋体"/>
          <w:sz w:val="14"/>
        </w:rPr>
      </w:r>
    </w:p>
    <w:p>
      <w:pPr>
        <w:spacing w:line="194" w:lineRule="exact" w:before="110"/>
        <w:ind w:left="140" w:right="-11" w:firstLine="0"/>
        <w:jc w:val="left"/>
        <w:rPr>
          <w:rFonts w:ascii="宋体" w:hAnsi="宋体" w:cs="宋体" w:eastAsia="宋体" w:hint="default"/>
          <w:sz w:val="15"/>
          <w:szCs w:val="15"/>
        </w:rPr>
      </w:pPr>
      <w:r>
        <w:rPr>
          <w:rFonts w:ascii="Arial" w:hAnsi="Arial" w:cs="Arial" w:eastAsia="Arial" w:hint="default"/>
          <w:sz w:val="15"/>
          <w:szCs w:val="15"/>
        </w:rPr>
        <w:t>2011</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6"/>
          <w:sz w:val="15"/>
          <w:szCs w:val="15"/>
        </w:rPr>
        <w:t> </w:t>
      </w:r>
      <w:r>
        <w:rPr>
          <w:rFonts w:ascii="Arial" w:hAnsi="Arial" w:cs="Arial" w:eastAsia="Arial" w:hint="default"/>
          <w:sz w:val="15"/>
          <w:szCs w:val="15"/>
        </w:rPr>
        <w:t>11</w:t>
      </w:r>
      <w:r>
        <w:rPr>
          <w:rFonts w:ascii="Arial" w:hAnsi="Arial" w:cs="Arial" w:eastAsia="Arial" w:hint="default"/>
          <w:spacing w:val="-6"/>
          <w:sz w:val="15"/>
          <w:szCs w:val="15"/>
        </w:rPr>
        <w:t> </w:t>
      </w:r>
      <w:r>
        <w:rPr>
          <w:rFonts w:ascii="宋体" w:hAnsi="宋体" w:cs="宋体" w:eastAsia="宋体" w:hint="default"/>
          <w:sz w:val="15"/>
          <w:szCs w:val="15"/>
        </w:rPr>
        <w:t>月起至</w:t>
      </w:r>
      <w:r>
        <w:rPr>
          <w:rFonts w:ascii="宋体" w:hAnsi="宋体" w:cs="宋体" w:eastAsia="宋体" w:hint="default"/>
          <w:spacing w:val="-35"/>
          <w:sz w:val="15"/>
          <w:szCs w:val="15"/>
        </w:rPr>
        <w:t> </w:t>
      </w:r>
      <w:r>
        <w:rPr>
          <w:rFonts w:ascii="Arial" w:hAnsi="Arial" w:cs="Arial" w:eastAsia="Arial" w:hint="default"/>
          <w:sz w:val="15"/>
          <w:szCs w:val="15"/>
        </w:rPr>
        <w:t>2012</w:t>
      </w:r>
      <w:r>
        <w:rPr>
          <w:rFonts w:ascii="Arial" w:hAnsi="Arial" w:cs="Arial" w:eastAsia="Arial" w:hint="default"/>
          <w:spacing w:val="-6"/>
          <w:sz w:val="15"/>
          <w:szCs w:val="15"/>
        </w:rPr>
        <w:t> </w:t>
      </w:r>
      <w:r>
        <w:rPr>
          <w:rFonts w:ascii="宋体" w:hAnsi="宋体" w:cs="宋体" w:eastAsia="宋体" w:hint="default"/>
          <w:spacing w:val="-3"/>
          <w:sz w:val="15"/>
          <w:szCs w:val="15"/>
        </w:rPr>
        <w:t>年底，公</w:t>
      </w:r>
      <w:r>
        <w:rPr>
          <w:rFonts w:ascii="宋体" w:hAnsi="宋体" w:cs="宋体" w:eastAsia="宋体" w:hint="default"/>
          <w:w w:val="100"/>
          <w:sz w:val="15"/>
          <w:szCs w:val="15"/>
        </w:rPr>
        <w:t> </w:t>
      </w:r>
      <w:r>
        <w:rPr>
          <w:rFonts w:ascii="宋体" w:hAnsi="宋体" w:cs="宋体" w:eastAsia="宋体" w:hint="default"/>
          <w:sz w:val="15"/>
          <w:szCs w:val="15"/>
        </w:rPr>
        <w:t>司分批向青枫亚麻公司销售亚麻</w:t>
      </w:r>
    </w:p>
    <w:p>
      <w:pPr>
        <w:spacing w:line="158" w:lineRule="auto" w:before="72"/>
        <w:ind w:left="140" w:right="-4" w:firstLine="0"/>
        <w:jc w:val="left"/>
        <w:rPr>
          <w:rFonts w:ascii="宋体" w:hAnsi="宋体" w:cs="宋体" w:eastAsia="宋体" w:hint="default"/>
          <w:sz w:val="15"/>
          <w:szCs w:val="15"/>
        </w:rPr>
      </w:pPr>
      <w:r>
        <w:rPr>
          <w:spacing w:val="-2"/>
          <w:w w:val="100"/>
        </w:rPr>
        <w:br w:type="column"/>
      </w:r>
      <w:r>
        <w:rPr>
          <w:rFonts w:ascii="宋体" w:hAnsi="宋体" w:cs="宋体" w:eastAsia="宋体" w:hint="default"/>
          <w:spacing w:val="-2"/>
          <w:w w:val="100"/>
          <w:position w:val="10"/>
          <w:sz w:val="15"/>
          <w:szCs w:val="15"/>
        </w:rPr>
        <w:t>要求公司支付监管佣金</w:t>
      </w:r>
      <w:r>
        <w:rPr>
          <w:rFonts w:ascii="宋体" w:hAnsi="宋体" w:cs="宋体" w:eastAsia="宋体" w:hint="default"/>
          <w:spacing w:val="-37"/>
          <w:w w:val="100"/>
          <w:position w:val="10"/>
          <w:sz w:val="15"/>
          <w:szCs w:val="15"/>
        </w:rPr>
        <w:t> </w:t>
      </w:r>
      <w:r>
        <w:rPr>
          <w:rFonts w:ascii="Arial" w:hAnsi="Arial" w:cs="Arial" w:eastAsia="Arial" w:hint="default"/>
          <w:spacing w:val="-1"/>
          <w:w w:val="100"/>
          <w:position w:val="10"/>
          <w:sz w:val="15"/>
          <w:szCs w:val="15"/>
        </w:rPr>
        <w:t>720</w:t>
      </w:r>
      <w:r>
        <w:rPr>
          <w:rFonts w:ascii="Arial" w:hAnsi="Arial" w:cs="Arial" w:eastAsia="Arial" w:hint="default"/>
          <w:spacing w:val="-4"/>
          <w:w w:val="100"/>
          <w:position w:val="10"/>
          <w:sz w:val="15"/>
          <w:szCs w:val="15"/>
        </w:rPr>
        <w:t> </w:t>
      </w:r>
      <w:r>
        <w:rPr>
          <w:rFonts w:ascii="宋体" w:hAnsi="宋体" w:cs="宋体" w:eastAsia="宋体" w:hint="default"/>
          <w:spacing w:val="-16"/>
          <w:w w:val="100"/>
          <w:position w:val="10"/>
          <w:sz w:val="15"/>
          <w:szCs w:val="15"/>
        </w:rPr>
        <w:t>万元，并</w:t>
      </w:r>
      <w:r>
        <w:rPr>
          <w:rFonts w:ascii="宋体" w:hAnsi="宋体" w:cs="宋体" w:eastAsia="宋体" w:hint="default"/>
          <w:spacing w:val="-20"/>
          <w:w w:val="100"/>
          <w:position w:val="10"/>
          <w:sz w:val="15"/>
          <w:szCs w:val="15"/>
        </w:rPr>
        <w:t> </w:t>
      </w:r>
      <w:r>
        <w:rPr>
          <w:rFonts w:ascii="宋体" w:hAnsi="宋体" w:cs="宋体" w:eastAsia="宋体" w:hint="default"/>
          <w:spacing w:val="-4"/>
          <w:w w:val="100"/>
          <w:sz w:val="15"/>
          <w:szCs w:val="15"/>
        </w:rPr>
        <w:t>一审判决：一、青枫公司给付鑫亚公司货款</w:t>
      </w:r>
      <w:r>
        <w:rPr>
          <w:rFonts w:ascii="宋体" w:hAnsi="宋体" w:cs="宋体" w:eastAsia="宋体" w:hint="default"/>
          <w:w w:val="100"/>
          <w:sz w:val="15"/>
          <w:szCs w:val="15"/>
        </w:rPr>
        <w:t> </w:t>
      </w:r>
      <w:r>
        <w:rPr>
          <w:rFonts w:ascii="宋体" w:hAnsi="宋体" w:cs="宋体" w:eastAsia="宋体" w:hint="default"/>
          <w:sz w:val="15"/>
          <w:szCs w:val="15"/>
        </w:rPr>
        <w:t>承担案件受理费</w:t>
      </w:r>
      <w:r>
        <w:rPr>
          <w:rFonts w:ascii="宋体" w:hAnsi="宋体" w:cs="宋体" w:eastAsia="宋体" w:hint="default"/>
          <w:spacing w:val="-39"/>
          <w:sz w:val="15"/>
          <w:szCs w:val="15"/>
        </w:rPr>
        <w:t> </w:t>
      </w:r>
      <w:r>
        <w:rPr>
          <w:rFonts w:ascii="Arial" w:hAnsi="Arial" w:cs="Arial" w:eastAsia="Arial" w:hint="default"/>
          <w:sz w:val="15"/>
          <w:szCs w:val="15"/>
        </w:rPr>
        <w:t>66.86</w:t>
      </w:r>
      <w:r>
        <w:rPr>
          <w:rFonts w:ascii="Arial" w:hAnsi="Arial" w:cs="Arial" w:eastAsia="Arial" w:hint="default"/>
          <w:spacing w:val="-6"/>
          <w:sz w:val="15"/>
          <w:szCs w:val="15"/>
        </w:rPr>
        <w:t> </w:t>
      </w:r>
      <w:r>
        <w:rPr>
          <w:rFonts w:ascii="宋体" w:hAnsi="宋体" w:cs="宋体" w:eastAsia="宋体" w:hint="default"/>
          <w:sz w:val="15"/>
          <w:szCs w:val="15"/>
        </w:rPr>
        <w:t>元。法院于</w:t>
      </w:r>
    </w:p>
    <w:p>
      <w:pPr>
        <w:spacing w:line="153" w:lineRule="exact" w:before="0"/>
        <w:ind w:left="140" w:right="-4" w:firstLine="0"/>
        <w:jc w:val="left"/>
        <w:rPr>
          <w:rFonts w:ascii="宋体" w:hAnsi="宋体" w:cs="宋体" w:eastAsia="宋体" w:hint="default"/>
          <w:sz w:val="15"/>
          <w:szCs w:val="15"/>
        </w:rPr>
      </w:pPr>
      <w:r>
        <w:rPr>
          <w:rFonts w:ascii="Arial" w:hAnsi="Arial" w:cs="Arial" w:eastAsia="Arial" w:hint="default"/>
          <w:position w:val="-9"/>
          <w:sz w:val="15"/>
          <w:szCs w:val="15"/>
        </w:rPr>
        <w:t>2013</w:t>
      </w:r>
      <w:r>
        <w:rPr>
          <w:rFonts w:ascii="Arial" w:hAnsi="Arial" w:cs="Arial" w:eastAsia="Arial" w:hint="default"/>
          <w:spacing w:val="-7"/>
          <w:position w:val="-9"/>
          <w:sz w:val="15"/>
          <w:szCs w:val="15"/>
        </w:rPr>
        <w:t> </w:t>
      </w:r>
      <w:r>
        <w:rPr>
          <w:rFonts w:ascii="宋体" w:hAnsi="宋体" w:cs="宋体" w:eastAsia="宋体" w:hint="default"/>
          <w:position w:val="-9"/>
          <w:sz w:val="15"/>
          <w:szCs w:val="15"/>
        </w:rPr>
        <w:t>年</w:t>
      </w:r>
      <w:r>
        <w:rPr>
          <w:rFonts w:ascii="宋体" w:hAnsi="宋体" w:cs="宋体" w:eastAsia="宋体" w:hint="default"/>
          <w:spacing w:val="-38"/>
          <w:position w:val="-9"/>
          <w:sz w:val="15"/>
          <w:szCs w:val="15"/>
        </w:rPr>
        <w:t> </w:t>
      </w:r>
      <w:r>
        <w:rPr>
          <w:rFonts w:ascii="Arial" w:hAnsi="Arial" w:cs="Arial" w:eastAsia="Arial" w:hint="default"/>
          <w:position w:val="-9"/>
          <w:sz w:val="15"/>
          <w:szCs w:val="15"/>
        </w:rPr>
        <w:t>12</w:t>
      </w:r>
      <w:r>
        <w:rPr>
          <w:rFonts w:ascii="Arial" w:hAnsi="Arial" w:cs="Arial" w:eastAsia="Arial" w:hint="default"/>
          <w:spacing w:val="-7"/>
          <w:position w:val="-9"/>
          <w:sz w:val="15"/>
          <w:szCs w:val="15"/>
        </w:rPr>
        <w:t> </w:t>
      </w:r>
      <w:r>
        <w:rPr>
          <w:rFonts w:ascii="宋体" w:hAnsi="宋体" w:cs="宋体" w:eastAsia="宋体" w:hint="default"/>
          <w:position w:val="-9"/>
          <w:sz w:val="15"/>
          <w:szCs w:val="15"/>
        </w:rPr>
        <w:t>月</w:t>
      </w:r>
      <w:r>
        <w:rPr>
          <w:rFonts w:ascii="宋体" w:hAnsi="宋体" w:cs="宋体" w:eastAsia="宋体" w:hint="default"/>
          <w:spacing w:val="-38"/>
          <w:position w:val="-9"/>
          <w:sz w:val="15"/>
          <w:szCs w:val="15"/>
        </w:rPr>
        <w:t> </w:t>
      </w:r>
      <w:r>
        <w:rPr>
          <w:rFonts w:ascii="Arial" w:hAnsi="Arial" w:cs="Arial" w:eastAsia="Arial" w:hint="default"/>
          <w:position w:val="-9"/>
          <w:sz w:val="15"/>
          <w:szCs w:val="15"/>
        </w:rPr>
        <w:t>10</w:t>
      </w:r>
      <w:r>
        <w:rPr>
          <w:rFonts w:ascii="Arial" w:hAnsi="Arial" w:cs="Arial" w:eastAsia="Arial" w:hint="default"/>
          <w:spacing w:val="-5"/>
          <w:position w:val="-9"/>
          <w:sz w:val="15"/>
          <w:szCs w:val="15"/>
        </w:rPr>
        <w:t> </w:t>
      </w:r>
      <w:r>
        <w:rPr>
          <w:rFonts w:ascii="宋体" w:hAnsi="宋体" w:cs="宋体" w:eastAsia="宋体" w:hint="default"/>
          <w:position w:val="-9"/>
          <w:sz w:val="15"/>
          <w:szCs w:val="15"/>
        </w:rPr>
        <w:t>日开庭审理本案，</w:t>
      </w:r>
      <w:r>
        <w:rPr>
          <w:rFonts w:ascii="宋体" w:hAnsi="宋体" w:cs="宋体" w:eastAsia="宋体" w:hint="default"/>
          <w:spacing w:val="-13"/>
          <w:position w:val="-9"/>
          <w:sz w:val="15"/>
          <w:szCs w:val="15"/>
        </w:rPr>
        <w:t> </w:t>
      </w:r>
      <w:r>
        <w:rPr>
          <w:rFonts w:ascii="Arial" w:hAnsi="Arial" w:cs="Arial" w:eastAsia="Arial" w:hint="default"/>
          <w:sz w:val="15"/>
          <w:szCs w:val="15"/>
        </w:rPr>
        <w:t>24,404,519.16</w:t>
      </w:r>
      <w:r>
        <w:rPr>
          <w:rFonts w:ascii="Arial" w:hAnsi="Arial" w:cs="Arial" w:eastAsia="Arial" w:hint="default"/>
          <w:spacing w:val="-5"/>
          <w:sz w:val="15"/>
          <w:szCs w:val="15"/>
        </w:rPr>
        <w:t> </w:t>
      </w:r>
      <w:r>
        <w:rPr>
          <w:rFonts w:ascii="宋体" w:hAnsi="宋体" w:cs="宋体" w:eastAsia="宋体" w:hint="default"/>
          <w:sz w:val="15"/>
          <w:szCs w:val="15"/>
        </w:rPr>
        <w:t>元及逾期付款利息；二、如</w:t>
      </w:r>
    </w:p>
    <w:p>
      <w:pPr>
        <w:spacing w:line="184" w:lineRule="exact" w:before="0"/>
        <w:ind w:left="140" w:right="-5" w:firstLine="0"/>
        <w:jc w:val="left"/>
        <w:rPr>
          <w:rFonts w:ascii="宋体" w:hAnsi="宋体" w:cs="宋体" w:eastAsia="宋体" w:hint="default"/>
          <w:sz w:val="15"/>
          <w:szCs w:val="15"/>
        </w:rPr>
      </w:pPr>
      <w:r>
        <w:rPr/>
        <w:pict>
          <v:shape style="position:absolute;margin-left:541.98999pt;margin-top:4.388338pt;width:7.6pt;height:7.6pt;mso-position-horizontal-relative:page;mso-position-vertical-relative:paragraph;z-index:-944296"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w w:val="100"/>
                      <w:sz w:val="15"/>
                      <w:szCs w:val="15"/>
                    </w:rPr>
                    <w:t>〕</w:t>
                  </w:r>
                </w:p>
              </w:txbxContent>
            </v:textbox>
            <w10:wrap type="none"/>
          </v:shape>
        </w:pict>
      </w:r>
      <w:r>
        <w:rPr>
          <w:rFonts w:ascii="宋体" w:hAnsi="宋体" w:cs="宋体" w:eastAsia="宋体" w:hint="default"/>
          <w:position w:val="-9"/>
          <w:sz w:val="15"/>
          <w:szCs w:val="15"/>
        </w:rPr>
        <w:t>于</w:t>
      </w:r>
      <w:r>
        <w:rPr>
          <w:rFonts w:ascii="宋体" w:hAnsi="宋体" w:cs="宋体" w:eastAsia="宋体" w:hint="default"/>
          <w:spacing w:val="-35"/>
          <w:position w:val="-9"/>
          <w:sz w:val="15"/>
          <w:szCs w:val="15"/>
        </w:rPr>
        <w:t> </w:t>
      </w:r>
      <w:r>
        <w:rPr>
          <w:rFonts w:ascii="Arial" w:hAnsi="Arial" w:cs="Arial" w:eastAsia="Arial" w:hint="default"/>
          <w:position w:val="-9"/>
          <w:sz w:val="15"/>
          <w:szCs w:val="15"/>
        </w:rPr>
        <w:t>2014</w:t>
      </w:r>
      <w:r>
        <w:rPr>
          <w:rFonts w:ascii="Arial" w:hAnsi="Arial" w:cs="Arial" w:eastAsia="Arial" w:hint="default"/>
          <w:spacing w:val="-4"/>
          <w:position w:val="-9"/>
          <w:sz w:val="15"/>
          <w:szCs w:val="15"/>
        </w:rPr>
        <w:t> </w:t>
      </w:r>
      <w:r>
        <w:rPr>
          <w:rFonts w:ascii="宋体" w:hAnsi="宋体" w:cs="宋体" w:eastAsia="宋体" w:hint="default"/>
          <w:position w:val="-9"/>
          <w:sz w:val="15"/>
          <w:szCs w:val="15"/>
        </w:rPr>
        <w:t>年</w:t>
      </w:r>
      <w:r>
        <w:rPr>
          <w:rFonts w:ascii="宋体" w:hAnsi="宋体" w:cs="宋体" w:eastAsia="宋体" w:hint="default"/>
          <w:spacing w:val="-35"/>
          <w:position w:val="-9"/>
          <w:sz w:val="15"/>
          <w:szCs w:val="15"/>
        </w:rPr>
        <w:t> </w:t>
      </w:r>
      <w:r>
        <w:rPr>
          <w:rFonts w:ascii="Arial" w:hAnsi="Arial" w:cs="Arial" w:eastAsia="Arial" w:hint="default"/>
          <w:position w:val="-9"/>
          <w:sz w:val="15"/>
          <w:szCs w:val="15"/>
        </w:rPr>
        <w:t>10</w:t>
      </w:r>
      <w:r>
        <w:rPr>
          <w:rFonts w:ascii="Arial" w:hAnsi="Arial" w:cs="Arial" w:eastAsia="Arial" w:hint="default"/>
          <w:spacing w:val="-4"/>
          <w:position w:val="-9"/>
          <w:sz w:val="15"/>
          <w:szCs w:val="15"/>
        </w:rPr>
        <w:t> </w:t>
      </w:r>
      <w:r>
        <w:rPr>
          <w:rFonts w:ascii="宋体" w:hAnsi="宋体" w:cs="宋体" w:eastAsia="宋体" w:hint="default"/>
          <w:position w:val="-9"/>
          <w:sz w:val="15"/>
          <w:szCs w:val="15"/>
        </w:rPr>
        <w:t>月</w:t>
      </w:r>
      <w:r>
        <w:rPr>
          <w:rFonts w:ascii="宋体" w:hAnsi="宋体" w:cs="宋体" w:eastAsia="宋体" w:hint="default"/>
          <w:spacing w:val="-35"/>
          <w:position w:val="-9"/>
          <w:sz w:val="15"/>
          <w:szCs w:val="15"/>
        </w:rPr>
        <w:t> </w:t>
      </w:r>
      <w:r>
        <w:rPr>
          <w:rFonts w:ascii="Arial" w:hAnsi="Arial" w:cs="Arial" w:eastAsia="Arial" w:hint="default"/>
          <w:position w:val="-9"/>
          <w:sz w:val="15"/>
          <w:szCs w:val="15"/>
        </w:rPr>
        <w:t>22</w:t>
      </w:r>
      <w:r>
        <w:rPr>
          <w:rFonts w:ascii="Arial" w:hAnsi="Arial" w:cs="Arial" w:eastAsia="Arial" w:hint="default"/>
          <w:spacing w:val="-2"/>
          <w:position w:val="-9"/>
          <w:sz w:val="15"/>
          <w:szCs w:val="15"/>
        </w:rPr>
        <w:t> </w:t>
      </w:r>
      <w:r>
        <w:rPr>
          <w:rFonts w:ascii="宋体" w:hAnsi="宋体" w:cs="宋体" w:eastAsia="宋体" w:hint="default"/>
          <w:position w:val="-9"/>
          <w:sz w:val="15"/>
          <w:szCs w:val="15"/>
        </w:rPr>
        <w:t>日作出〔</w:t>
      </w:r>
      <w:r>
        <w:rPr>
          <w:rFonts w:ascii="Arial" w:hAnsi="Arial" w:cs="Arial" w:eastAsia="Arial" w:hint="default"/>
          <w:position w:val="-9"/>
          <w:sz w:val="15"/>
          <w:szCs w:val="15"/>
        </w:rPr>
        <w:t>2013  </w:t>
      </w:r>
      <w:r>
        <w:rPr>
          <w:rFonts w:ascii="Arial" w:hAnsi="Arial" w:cs="Arial" w:eastAsia="Arial" w:hint="default"/>
          <w:spacing w:val="27"/>
          <w:position w:val="-9"/>
          <w:sz w:val="15"/>
          <w:szCs w:val="15"/>
        </w:rPr>
        <w:t> </w:t>
      </w:r>
      <w:r>
        <w:rPr>
          <w:rFonts w:ascii="宋体" w:hAnsi="宋体" w:cs="宋体" w:eastAsia="宋体" w:hint="default"/>
          <w:spacing w:val="-4"/>
          <w:sz w:val="15"/>
          <w:szCs w:val="15"/>
        </w:rPr>
        <w:t>青枫公司不能清偿上述债务，对不能清偿部</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4"/>
        <w:rPr>
          <w:rFonts w:ascii="宋体" w:hAnsi="宋体" w:cs="宋体" w:eastAsia="宋体" w:hint="default"/>
          <w:sz w:val="15"/>
          <w:szCs w:val="15"/>
        </w:rPr>
      </w:pPr>
    </w:p>
    <w:p>
      <w:pPr>
        <w:spacing w:line="141" w:lineRule="exact" w:before="0"/>
        <w:ind w:left="11" w:right="0" w:firstLine="0"/>
        <w:jc w:val="left"/>
        <w:rPr>
          <w:rFonts w:ascii="宋体" w:hAnsi="宋体" w:cs="宋体" w:eastAsia="宋体" w:hint="default"/>
          <w:sz w:val="15"/>
          <w:szCs w:val="15"/>
        </w:rPr>
      </w:pPr>
      <w:r>
        <w:rPr>
          <w:rFonts w:ascii="宋体" w:hAnsi="宋体" w:cs="宋体" w:eastAsia="宋体" w:hint="default"/>
          <w:spacing w:val="-4"/>
          <w:sz w:val="15"/>
          <w:szCs w:val="15"/>
        </w:rPr>
        <w:t>判决生效后，公司向法</w:t>
      </w:r>
    </w:p>
    <w:p>
      <w:pPr>
        <w:spacing w:after="0" w:line="141" w:lineRule="exact"/>
        <w:jc w:val="left"/>
        <w:rPr>
          <w:rFonts w:ascii="宋体" w:hAnsi="宋体" w:cs="宋体" w:eastAsia="宋体" w:hint="default"/>
          <w:sz w:val="15"/>
          <w:szCs w:val="15"/>
        </w:rPr>
        <w:sectPr>
          <w:type w:val="continuous"/>
          <w:pgSz w:w="16840" w:h="11910" w:orient="landscape"/>
          <w:pgMar w:top="1360" w:bottom="1380" w:left="1300" w:right="1380"/>
          <w:cols w:num="6" w:equalWidth="0">
            <w:col w:w="594" w:space="40"/>
            <w:col w:w="570" w:space="54"/>
            <w:col w:w="882" w:space="512"/>
            <w:col w:w="2359" w:space="2111"/>
            <w:col w:w="5368" w:space="40"/>
            <w:col w:w="1630"/>
          </w:cols>
        </w:sectPr>
      </w:pPr>
    </w:p>
    <w:p>
      <w:pPr>
        <w:spacing w:before="0"/>
        <w:ind w:left="140" w:right="-17" w:firstLine="0"/>
        <w:jc w:val="left"/>
        <w:rPr>
          <w:rFonts w:ascii="宋体" w:hAnsi="宋体" w:cs="宋体" w:eastAsia="宋体" w:hint="default"/>
          <w:sz w:val="15"/>
          <w:szCs w:val="15"/>
        </w:rPr>
      </w:pPr>
      <w:r>
        <w:rPr>
          <w:rFonts w:ascii="宋体" w:hAnsi="宋体" w:cs="宋体" w:eastAsia="宋体" w:hint="default"/>
          <w:sz w:val="15"/>
          <w:szCs w:val="15"/>
        </w:rPr>
        <w:t>贸有限</w:t>
      </w:r>
      <w:r>
        <w:rPr>
          <w:rFonts w:ascii="宋体" w:hAnsi="宋体" w:cs="宋体" w:eastAsia="宋体" w:hint="default"/>
          <w:spacing w:val="-72"/>
          <w:sz w:val="15"/>
          <w:szCs w:val="15"/>
        </w:rPr>
        <w:t> </w:t>
      </w:r>
      <w:r>
        <w:rPr>
          <w:rFonts w:ascii="宋体" w:hAnsi="宋体" w:cs="宋体" w:eastAsia="宋体" w:hint="default"/>
          <w:sz w:val="15"/>
          <w:szCs w:val="15"/>
        </w:rPr>
        <w:t>责任公</w:t>
      </w:r>
    </w:p>
    <w:p>
      <w:pPr>
        <w:spacing w:line="95" w:lineRule="exact" w:before="0"/>
        <w:ind w:left="116" w:right="-16" w:firstLine="0"/>
        <w:jc w:val="left"/>
        <w:rPr>
          <w:rFonts w:ascii="宋体" w:hAnsi="宋体" w:cs="宋体" w:eastAsia="宋体" w:hint="default"/>
          <w:sz w:val="15"/>
          <w:szCs w:val="15"/>
        </w:rPr>
      </w:pPr>
      <w:r>
        <w:rPr/>
        <w:br w:type="column"/>
      </w:r>
      <w:r>
        <w:rPr>
          <w:rFonts w:ascii="宋体" w:hAnsi="宋体" w:cs="宋体" w:eastAsia="宋体" w:hint="default"/>
          <w:sz w:val="15"/>
          <w:szCs w:val="15"/>
        </w:rPr>
        <w:t>麻纺织</w:t>
      </w:r>
    </w:p>
    <w:p>
      <w:pPr>
        <w:spacing w:line="195" w:lineRule="exact" w:before="0"/>
        <w:ind w:left="116" w:right="-16" w:firstLine="0"/>
        <w:jc w:val="left"/>
        <w:rPr>
          <w:rFonts w:ascii="宋体" w:hAnsi="宋体" w:cs="宋体" w:eastAsia="宋体" w:hint="default"/>
          <w:sz w:val="15"/>
          <w:szCs w:val="15"/>
        </w:rPr>
      </w:pPr>
      <w:r>
        <w:rPr>
          <w:rFonts w:ascii="宋体" w:hAnsi="宋体" w:cs="宋体" w:eastAsia="宋体" w:hint="default"/>
          <w:sz w:val="15"/>
          <w:szCs w:val="15"/>
        </w:rPr>
        <w:t>有限公</w:t>
      </w:r>
    </w:p>
    <w:p>
      <w:pPr>
        <w:spacing w:before="0"/>
        <w:ind w:left="140" w:right="-19" w:firstLine="0"/>
        <w:jc w:val="left"/>
        <w:rPr>
          <w:rFonts w:ascii="宋体" w:hAnsi="宋体" w:cs="宋体" w:eastAsia="宋体" w:hint="default"/>
          <w:sz w:val="15"/>
          <w:szCs w:val="15"/>
        </w:rPr>
      </w:pPr>
      <w:r>
        <w:rPr/>
        <w:br w:type="column"/>
      </w:r>
      <w:r>
        <w:rPr>
          <w:rFonts w:ascii="宋体" w:hAnsi="宋体" w:cs="宋体" w:eastAsia="宋体" w:hint="default"/>
          <w:sz w:val="15"/>
          <w:szCs w:val="15"/>
        </w:rPr>
        <w:t>君、满丽</w:t>
      </w:r>
      <w:r>
        <w:rPr>
          <w:rFonts w:ascii="宋体" w:hAnsi="宋体" w:cs="宋体" w:eastAsia="宋体" w:hint="default"/>
          <w:spacing w:val="46"/>
          <w:sz w:val="15"/>
          <w:szCs w:val="15"/>
        </w:rPr>
        <w:t> </w:t>
      </w:r>
      <w:r>
        <w:rPr>
          <w:rFonts w:ascii="宋体" w:hAnsi="宋体" w:cs="宋体" w:eastAsia="宋体" w:hint="default"/>
          <w:sz w:val="15"/>
          <w:szCs w:val="15"/>
        </w:rPr>
        <w:t>诉讼</w:t>
      </w:r>
      <w:r>
        <w:rPr>
          <w:rFonts w:ascii="宋体" w:hAnsi="宋体" w:cs="宋体" w:eastAsia="宋体" w:hint="default"/>
          <w:w w:val="100"/>
          <w:sz w:val="15"/>
          <w:szCs w:val="15"/>
        </w:rPr>
        <w:t> </w:t>
      </w:r>
      <w:r>
        <w:rPr>
          <w:rFonts w:ascii="宋体" w:hAnsi="宋体" w:cs="宋体" w:eastAsia="宋体" w:hint="default"/>
          <w:sz w:val="15"/>
          <w:szCs w:val="15"/>
        </w:rPr>
        <w:t>辉、刘学、</w:t>
      </w:r>
    </w:p>
    <w:p>
      <w:pPr>
        <w:spacing w:line="95" w:lineRule="exact" w:before="0"/>
        <w:ind w:left="140" w:right="-15" w:firstLine="0"/>
        <w:jc w:val="left"/>
        <w:rPr>
          <w:rFonts w:ascii="宋体" w:hAnsi="宋体" w:cs="宋体" w:eastAsia="宋体" w:hint="default"/>
          <w:sz w:val="15"/>
          <w:szCs w:val="15"/>
        </w:rPr>
      </w:pPr>
      <w:r>
        <w:rPr/>
        <w:br w:type="column"/>
      </w:r>
      <w:r>
        <w:rPr>
          <w:rFonts w:ascii="宋体" w:hAnsi="宋体" w:cs="宋体" w:eastAsia="宋体" w:hint="default"/>
          <w:sz w:val="15"/>
          <w:szCs w:val="15"/>
        </w:rPr>
        <w:t>和亚麻纱，合计价款总额为</w:t>
      </w:r>
    </w:p>
    <w:p>
      <w:pPr>
        <w:spacing w:line="206" w:lineRule="exact" w:before="0"/>
        <w:ind w:left="140" w:right="-15" w:firstLine="0"/>
        <w:jc w:val="left"/>
        <w:rPr>
          <w:rFonts w:ascii="宋体" w:hAnsi="宋体" w:cs="宋体" w:eastAsia="宋体" w:hint="default"/>
          <w:sz w:val="15"/>
          <w:szCs w:val="15"/>
        </w:rPr>
      </w:pPr>
      <w:r>
        <w:rPr>
          <w:rFonts w:ascii="Arial" w:hAnsi="Arial" w:cs="Arial" w:eastAsia="Arial" w:hint="default"/>
          <w:w w:val="100"/>
          <w:sz w:val="15"/>
          <w:szCs w:val="15"/>
        </w:rPr>
        <w:t>198</w:t>
      </w:r>
      <w:r>
        <w:rPr>
          <w:rFonts w:ascii="Arial" w:hAnsi="Arial" w:cs="Arial" w:eastAsia="Arial" w:hint="default"/>
          <w:spacing w:val="-2"/>
          <w:w w:val="100"/>
          <w:sz w:val="15"/>
          <w:szCs w:val="15"/>
        </w:rPr>
        <w:t>,</w:t>
      </w:r>
      <w:r>
        <w:rPr>
          <w:rFonts w:ascii="Arial" w:hAnsi="Arial" w:cs="Arial" w:eastAsia="Arial" w:hint="default"/>
          <w:w w:val="100"/>
          <w:sz w:val="15"/>
          <w:szCs w:val="15"/>
        </w:rPr>
        <w:t>48</w:t>
      </w:r>
      <w:r>
        <w:rPr>
          <w:rFonts w:ascii="Arial" w:hAnsi="Arial" w:cs="Arial" w:eastAsia="Arial" w:hint="default"/>
          <w:spacing w:val="-3"/>
          <w:w w:val="100"/>
          <w:sz w:val="15"/>
          <w:szCs w:val="15"/>
        </w:rPr>
        <w:t>6</w:t>
      </w:r>
      <w:r>
        <w:rPr>
          <w:rFonts w:ascii="Arial" w:hAnsi="Arial" w:cs="Arial" w:eastAsia="Arial" w:hint="default"/>
          <w:spacing w:val="1"/>
          <w:w w:val="100"/>
          <w:sz w:val="15"/>
          <w:szCs w:val="15"/>
        </w:rPr>
        <w:t>,</w:t>
      </w:r>
      <w:r>
        <w:rPr>
          <w:rFonts w:ascii="Arial" w:hAnsi="Arial" w:cs="Arial" w:eastAsia="Arial" w:hint="default"/>
          <w:w w:val="100"/>
          <w:sz w:val="15"/>
          <w:szCs w:val="15"/>
        </w:rPr>
        <w:t>20</w:t>
      </w:r>
      <w:r>
        <w:rPr>
          <w:rFonts w:ascii="Arial" w:hAnsi="Arial" w:cs="Arial" w:eastAsia="Arial" w:hint="default"/>
          <w:spacing w:val="-3"/>
          <w:w w:val="100"/>
          <w:sz w:val="15"/>
          <w:szCs w:val="15"/>
        </w:rPr>
        <w:t>8</w:t>
      </w:r>
      <w:r>
        <w:rPr>
          <w:rFonts w:ascii="Arial" w:hAnsi="Arial" w:cs="Arial" w:eastAsia="Arial" w:hint="default"/>
          <w:spacing w:val="1"/>
          <w:w w:val="100"/>
          <w:sz w:val="15"/>
          <w:szCs w:val="15"/>
        </w:rPr>
        <w:t>.</w:t>
      </w:r>
      <w:r>
        <w:rPr>
          <w:rFonts w:ascii="Arial" w:hAnsi="Arial" w:cs="Arial" w:eastAsia="Arial" w:hint="default"/>
          <w:spacing w:val="-3"/>
          <w:w w:val="100"/>
          <w:sz w:val="15"/>
          <w:szCs w:val="15"/>
        </w:rPr>
        <w:t>4</w:t>
      </w:r>
      <w:r>
        <w:rPr>
          <w:rFonts w:ascii="Arial" w:hAnsi="Arial" w:cs="Arial" w:eastAsia="Arial" w:hint="default"/>
          <w:w w:val="100"/>
          <w:sz w:val="15"/>
          <w:szCs w:val="15"/>
        </w:rPr>
        <w:t>2</w:t>
      </w:r>
      <w:r>
        <w:rPr>
          <w:rFonts w:ascii="Arial" w:hAnsi="Arial" w:cs="Arial" w:eastAsia="Arial" w:hint="default"/>
          <w:spacing w:val="-4"/>
          <w:sz w:val="15"/>
          <w:szCs w:val="15"/>
        </w:rPr>
        <w:t> </w:t>
      </w:r>
      <w:r>
        <w:rPr>
          <w:rFonts w:ascii="宋体" w:hAnsi="宋体" w:cs="宋体" w:eastAsia="宋体" w:hint="default"/>
          <w:spacing w:val="-3"/>
          <w:w w:val="100"/>
          <w:sz w:val="15"/>
          <w:szCs w:val="15"/>
        </w:rPr>
        <w:t>元</w:t>
      </w:r>
      <w:r>
        <w:rPr>
          <w:rFonts w:ascii="宋体" w:hAnsi="宋体" w:cs="宋体" w:eastAsia="宋体" w:hint="default"/>
          <w:spacing w:val="-68"/>
          <w:w w:val="100"/>
          <w:sz w:val="15"/>
          <w:szCs w:val="15"/>
        </w:rPr>
        <w:t>，</w:t>
      </w:r>
      <w:r>
        <w:rPr>
          <w:rFonts w:ascii="宋体" w:hAnsi="宋体" w:cs="宋体" w:eastAsia="宋体" w:hint="default"/>
          <w:w w:val="100"/>
          <w:sz w:val="15"/>
          <w:szCs w:val="15"/>
        </w:rPr>
        <w:t>青</w:t>
      </w:r>
      <w:r>
        <w:rPr>
          <w:rFonts w:ascii="宋体" w:hAnsi="宋体" w:cs="宋体" w:eastAsia="宋体" w:hint="default"/>
          <w:spacing w:val="-3"/>
          <w:w w:val="100"/>
          <w:sz w:val="15"/>
          <w:szCs w:val="15"/>
        </w:rPr>
        <w:t>枫</w:t>
      </w:r>
      <w:r>
        <w:rPr>
          <w:rFonts w:ascii="宋体" w:hAnsi="宋体" w:cs="宋体" w:eastAsia="宋体" w:hint="default"/>
          <w:w w:val="100"/>
          <w:sz w:val="15"/>
          <w:szCs w:val="15"/>
        </w:rPr>
        <w:t>亚</w:t>
      </w:r>
      <w:r>
        <w:rPr>
          <w:rFonts w:ascii="宋体" w:hAnsi="宋体" w:cs="宋体" w:eastAsia="宋体" w:hint="default"/>
          <w:spacing w:val="-3"/>
          <w:w w:val="100"/>
          <w:sz w:val="15"/>
          <w:szCs w:val="15"/>
        </w:rPr>
        <w:t>麻</w:t>
      </w:r>
      <w:r>
        <w:rPr>
          <w:rFonts w:ascii="宋体" w:hAnsi="宋体" w:cs="宋体" w:eastAsia="宋体" w:hint="default"/>
          <w:w w:val="100"/>
          <w:sz w:val="15"/>
          <w:szCs w:val="15"/>
        </w:rPr>
        <w:t>公司</w:t>
      </w:r>
    </w:p>
    <w:p>
      <w:pPr>
        <w:spacing w:before="28"/>
        <w:ind w:left="140" w:right="-5" w:firstLine="0"/>
        <w:jc w:val="left"/>
        <w:rPr>
          <w:rFonts w:ascii="Arial" w:hAnsi="Arial" w:cs="Arial" w:eastAsia="Arial" w:hint="default"/>
          <w:sz w:val="15"/>
          <w:szCs w:val="15"/>
        </w:rPr>
      </w:pPr>
      <w:r>
        <w:rPr>
          <w:spacing w:val="-1"/>
        </w:rPr>
        <w:br w:type="column"/>
      </w:r>
      <w:r>
        <w:rPr>
          <w:rFonts w:ascii="Arial"/>
          <w:spacing w:val="-1"/>
          <w:sz w:val="15"/>
        </w:rPr>
        <w:t>102,179,802.12</w:t>
      </w:r>
    </w:p>
    <w:p>
      <w:pPr>
        <w:spacing w:line="47" w:lineRule="exact" w:before="0"/>
        <w:ind w:left="2562"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分，鑫亚公司以王熙刚、陈卫东、郑丽君、</w:t>
      </w:r>
    </w:p>
    <w:p>
      <w:pPr>
        <w:tabs>
          <w:tab w:pos="5418" w:val="left" w:leader="none"/>
        </w:tabs>
        <w:spacing w:line="158" w:lineRule="auto" w:before="10"/>
        <w:ind w:left="140" w:right="140" w:firstLine="0"/>
        <w:jc w:val="left"/>
        <w:rPr>
          <w:rFonts w:ascii="宋体" w:hAnsi="宋体" w:cs="宋体" w:eastAsia="宋体" w:hint="default"/>
          <w:sz w:val="15"/>
          <w:szCs w:val="15"/>
        </w:rPr>
      </w:pPr>
      <w:r>
        <w:rPr>
          <w:rFonts w:ascii="宋体" w:hAnsi="宋体" w:cs="宋体" w:eastAsia="宋体" w:hint="default"/>
          <w:sz w:val="15"/>
          <w:szCs w:val="15"/>
        </w:rPr>
        <w:t>黑高商初字第</w:t>
      </w:r>
      <w:r>
        <w:rPr>
          <w:rFonts w:ascii="宋体" w:hAnsi="宋体" w:cs="宋体" w:eastAsia="宋体" w:hint="default"/>
          <w:spacing w:val="-33"/>
          <w:sz w:val="15"/>
          <w:szCs w:val="15"/>
        </w:rPr>
        <w:t> </w:t>
      </w:r>
      <w:r>
        <w:rPr>
          <w:rFonts w:ascii="Arial" w:hAnsi="Arial" w:cs="Arial" w:eastAsia="Arial" w:hint="default"/>
          <w:sz w:val="15"/>
          <w:szCs w:val="15"/>
        </w:rPr>
        <w:t>16 </w:t>
      </w:r>
      <w:r>
        <w:rPr>
          <w:rFonts w:ascii="宋体" w:hAnsi="宋体" w:cs="宋体" w:eastAsia="宋体" w:hint="default"/>
          <w:sz w:val="15"/>
          <w:szCs w:val="15"/>
        </w:rPr>
        <w:t>号民事判决书。公</w:t>
      </w:r>
      <w:r>
        <w:rPr>
          <w:rFonts w:ascii="宋体" w:hAnsi="宋体" w:cs="宋体" w:eastAsia="宋体" w:hint="default"/>
          <w:spacing w:val="14"/>
          <w:sz w:val="15"/>
          <w:szCs w:val="15"/>
        </w:rPr>
        <w:t> </w:t>
      </w:r>
      <w:r>
        <w:rPr>
          <w:rFonts w:ascii="宋体" w:hAnsi="宋体" w:cs="宋体" w:eastAsia="宋体" w:hint="default"/>
          <w:spacing w:val="-4"/>
          <w:position w:val="-9"/>
          <w:sz w:val="15"/>
          <w:szCs w:val="15"/>
        </w:rPr>
        <w:t>满丽辉持有的青枫公司股权折价或拍卖、变</w:t>
      </w:r>
      <w:r>
        <w:rPr>
          <w:rFonts w:ascii="宋体" w:hAnsi="宋体" w:cs="宋体" w:eastAsia="宋体" w:hint="default"/>
          <w:spacing w:val="-13"/>
          <w:position w:val="-9"/>
          <w:sz w:val="15"/>
          <w:szCs w:val="15"/>
        </w:rPr>
        <w:t> </w:t>
      </w:r>
      <w:r>
        <w:rPr>
          <w:rFonts w:ascii="宋体" w:hAnsi="宋体" w:cs="宋体" w:eastAsia="宋体" w:hint="default"/>
          <w:spacing w:val="-4"/>
          <w:sz w:val="15"/>
          <w:szCs w:val="15"/>
        </w:rPr>
        <w:t>院申请强制执行，案件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4"/>
          <w:sz w:val="15"/>
          <w:szCs w:val="15"/>
        </w:rPr>
        <w:t>司不服该一审判决，向最高人民法院</w:t>
        <w:tab/>
      </w:r>
      <w:r>
        <w:rPr>
          <w:rFonts w:ascii="宋体" w:hAnsi="宋体" w:cs="宋体" w:eastAsia="宋体" w:hint="default"/>
          <w:sz w:val="15"/>
          <w:szCs w:val="15"/>
        </w:rPr>
        <w:t>现处于执行中。</w:t>
      </w:r>
    </w:p>
    <w:p>
      <w:pPr>
        <w:spacing w:after="0" w:line="158" w:lineRule="auto"/>
        <w:jc w:val="left"/>
        <w:rPr>
          <w:rFonts w:ascii="宋体" w:hAnsi="宋体" w:cs="宋体" w:eastAsia="宋体" w:hint="default"/>
          <w:sz w:val="15"/>
          <w:szCs w:val="15"/>
        </w:rPr>
        <w:sectPr>
          <w:type w:val="continuous"/>
          <w:pgSz w:w="16840" w:h="11910" w:orient="landscape"/>
          <w:pgMar w:top="1360" w:bottom="1380" w:left="1300" w:right="1380"/>
          <w:cols w:num="6" w:equalWidth="0">
            <w:col w:w="594" w:space="40"/>
            <w:col w:w="570" w:space="54"/>
            <w:col w:w="1237" w:space="157"/>
            <w:col w:w="2358" w:space="174"/>
            <w:col w:w="1185" w:space="752"/>
            <w:col w:w="7039"/>
          </w:cols>
        </w:sectPr>
      </w:pPr>
    </w:p>
    <w:p>
      <w:pPr>
        <w:tabs>
          <w:tab w:pos="749" w:val="left" w:leader="none"/>
        </w:tabs>
        <w:spacing w:line="145" w:lineRule="exact" w:before="0"/>
        <w:ind w:left="140" w:right="-18" w:firstLine="0"/>
        <w:jc w:val="left"/>
        <w:rPr>
          <w:rFonts w:ascii="宋体" w:hAnsi="宋体" w:cs="宋体" w:eastAsia="宋体" w:hint="default"/>
          <w:sz w:val="15"/>
          <w:szCs w:val="15"/>
        </w:rPr>
      </w:pPr>
      <w:r>
        <w:rPr>
          <w:rFonts w:ascii="宋体" w:hAnsi="宋体" w:cs="宋体" w:eastAsia="宋体" w:hint="default"/>
          <w:position w:val="-9"/>
          <w:sz w:val="15"/>
          <w:szCs w:val="15"/>
        </w:rPr>
        <w:t>司</w:t>
        <w:tab/>
      </w:r>
      <w:r>
        <w:rPr>
          <w:rFonts w:ascii="宋体" w:hAnsi="宋体" w:cs="宋体" w:eastAsia="宋体" w:hint="default"/>
          <w:spacing w:val="-4"/>
          <w:sz w:val="15"/>
          <w:szCs w:val="15"/>
        </w:rPr>
        <w:t>司（应收</w:t>
      </w:r>
      <w:r>
        <w:rPr>
          <w:rFonts w:ascii="宋体" w:hAnsi="宋体" w:cs="宋体" w:eastAsia="宋体" w:hint="default"/>
          <w:spacing w:val="-9"/>
          <w:sz w:val="15"/>
          <w:szCs w:val="15"/>
        </w:rPr>
        <w:t> </w:t>
      </w:r>
      <w:r>
        <w:rPr>
          <w:rFonts w:ascii="宋体" w:hAnsi="宋体" w:cs="宋体" w:eastAsia="宋体" w:hint="default"/>
          <w:position w:val="-9"/>
          <w:sz w:val="15"/>
          <w:szCs w:val="15"/>
        </w:rPr>
        <w:t>肖荣鹏</w:t>
      </w:r>
      <w:r>
        <w:rPr>
          <w:rFonts w:ascii="宋体" w:hAnsi="宋体" w:cs="宋体" w:eastAsia="宋体" w:hint="default"/>
          <w:sz w:val="15"/>
          <w:szCs w:val="15"/>
        </w:rPr>
      </w:r>
    </w:p>
    <w:p>
      <w:pPr>
        <w:spacing w:line="145" w:lineRule="exact" w:before="0"/>
        <w:ind w:left="732" w:right="779" w:firstLine="0"/>
        <w:jc w:val="center"/>
        <w:rPr>
          <w:rFonts w:ascii="宋体" w:hAnsi="宋体" w:cs="宋体" w:eastAsia="宋体" w:hint="default"/>
          <w:sz w:val="15"/>
          <w:szCs w:val="15"/>
        </w:rPr>
      </w:pPr>
      <w:r>
        <w:rPr>
          <w:rFonts w:ascii="宋体" w:hAnsi="宋体" w:cs="宋体" w:eastAsia="宋体" w:hint="default"/>
          <w:sz w:val="15"/>
          <w:szCs w:val="15"/>
        </w:rPr>
        <w:t>款）</w:t>
      </w:r>
    </w:p>
    <w:p>
      <w:pPr>
        <w:spacing w:line="100" w:lineRule="exact" w:before="0"/>
        <w:ind w:left="140" w:right="-15" w:firstLine="0"/>
        <w:jc w:val="left"/>
        <w:rPr>
          <w:rFonts w:ascii="宋体" w:hAnsi="宋体" w:cs="宋体" w:eastAsia="宋体" w:hint="default"/>
          <w:sz w:val="15"/>
          <w:szCs w:val="15"/>
        </w:rPr>
      </w:pPr>
      <w:r>
        <w:rPr/>
        <w:br w:type="column"/>
      </w:r>
      <w:r>
        <w:rPr>
          <w:rFonts w:ascii="宋体" w:hAnsi="宋体" w:cs="宋体" w:eastAsia="宋体" w:hint="default"/>
          <w:sz w:val="15"/>
          <w:szCs w:val="15"/>
        </w:rPr>
        <w:t>尚欠付</w:t>
      </w:r>
      <w:r>
        <w:rPr>
          <w:rFonts w:ascii="宋体" w:hAnsi="宋体" w:cs="宋体" w:eastAsia="宋体" w:hint="default"/>
          <w:spacing w:val="-39"/>
          <w:sz w:val="15"/>
          <w:szCs w:val="15"/>
        </w:rPr>
        <w:t> </w:t>
      </w:r>
      <w:r>
        <w:rPr>
          <w:rFonts w:ascii="Arial" w:hAnsi="Arial" w:cs="Arial" w:eastAsia="Arial" w:hint="default"/>
          <w:sz w:val="15"/>
          <w:szCs w:val="15"/>
        </w:rPr>
        <w:t>94,484,646.46</w:t>
      </w:r>
      <w:r>
        <w:rPr>
          <w:rFonts w:ascii="Arial" w:hAnsi="Arial" w:cs="Arial" w:eastAsia="Arial" w:hint="default"/>
          <w:spacing w:val="-5"/>
          <w:sz w:val="15"/>
          <w:szCs w:val="15"/>
        </w:rPr>
        <w:t> </w:t>
      </w:r>
      <w:r>
        <w:rPr>
          <w:rFonts w:ascii="宋体" w:hAnsi="宋体" w:cs="宋体" w:eastAsia="宋体" w:hint="default"/>
          <w:sz w:val="15"/>
          <w:szCs w:val="15"/>
        </w:rPr>
        <w:t>元及利息，</w:t>
      </w:r>
    </w:p>
    <w:p>
      <w:pPr>
        <w:spacing w:line="190" w:lineRule="exact" w:before="0"/>
        <w:ind w:left="140" w:right="-15" w:firstLine="0"/>
        <w:jc w:val="left"/>
        <w:rPr>
          <w:rFonts w:ascii="宋体" w:hAnsi="宋体" w:cs="宋体" w:eastAsia="宋体" w:hint="default"/>
          <w:sz w:val="15"/>
          <w:szCs w:val="15"/>
        </w:rPr>
      </w:pPr>
      <w:r>
        <w:rPr>
          <w:rFonts w:ascii="宋体" w:hAnsi="宋体" w:cs="宋体" w:eastAsia="宋体" w:hint="default"/>
          <w:sz w:val="15"/>
          <w:szCs w:val="15"/>
        </w:rPr>
        <w:t>故提起诉讼。</w:t>
      </w:r>
    </w:p>
    <w:p>
      <w:pPr>
        <w:spacing w:line="45" w:lineRule="exact" w:before="0"/>
        <w:ind w:left="2562" w:right="0" w:firstLine="0"/>
        <w:jc w:val="left"/>
        <w:rPr>
          <w:rFonts w:ascii="宋体" w:hAnsi="宋体" w:cs="宋体" w:eastAsia="宋体" w:hint="default"/>
          <w:sz w:val="15"/>
          <w:szCs w:val="15"/>
        </w:rPr>
      </w:pPr>
      <w:r>
        <w:rPr>
          <w:spacing w:val="-4"/>
        </w:rPr>
        <w:br w:type="column"/>
      </w:r>
      <w:r>
        <w:rPr>
          <w:rFonts w:ascii="宋体" w:hAnsi="宋体" w:cs="宋体" w:eastAsia="宋体" w:hint="default"/>
          <w:spacing w:val="-4"/>
          <w:sz w:val="15"/>
          <w:szCs w:val="15"/>
        </w:rPr>
        <w:t>卖所得价款优先受偿；三、驳回鑫亚公司其</w:t>
      </w:r>
    </w:p>
    <w:p>
      <w:pPr>
        <w:spacing w:line="160" w:lineRule="auto" w:before="40"/>
        <w:ind w:left="140" w:right="1615" w:firstLine="0"/>
        <w:jc w:val="left"/>
        <w:rPr>
          <w:rFonts w:ascii="宋体" w:hAnsi="宋体" w:cs="宋体" w:eastAsia="宋体" w:hint="default"/>
          <w:sz w:val="15"/>
          <w:szCs w:val="15"/>
        </w:rPr>
      </w:pPr>
      <w:r>
        <w:rPr>
          <w:rFonts w:ascii="宋体" w:hAnsi="宋体" w:cs="宋体" w:eastAsia="宋体" w:hint="default"/>
          <w:spacing w:val="-8"/>
          <w:position w:val="10"/>
          <w:sz w:val="15"/>
          <w:szCs w:val="15"/>
        </w:rPr>
        <w:t>提起上诉，最高院于</w:t>
      </w:r>
      <w:r>
        <w:rPr>
          <w:rFonts w:ascii="宋体" w:hAnsi="宋体" w:cs="宋体" w:eastAsia="宋体" w:hint="default"/>
          <w:spacing w:val="-35"/>
          <w:position w:val="10"/>
          <w:sz w:val="15"/>
          <w:szCs w:val="15"/>
        </w:rPr>
        <w:t> </w:t>
      </w:r>
      <w:r>
        <w:rPr>
          <w:rFonts w:ascii="Arial" w:hAnsi="Arial" w:cs="Arial" w:eastAsia="Arial" w:hint="default"/>
          <w:position w:val="10"/>
          <w:sz w:val="15"/>
          <w:szCs w:val="15"/>
        </w:rPr>
        <w:t>2015</w:t>
      </w:r>
      <w:r>
        <w:rPr>
          <w:rFonts w:ascii="Arial" w:hAnsi="Arial" w:cs="Arial" w:eastAsia="Arial" w:hint="default"/>
          <w:spacing w:val="-4"/>
          <w:position w:val="10"/>
          <w:sz w:val="15"/>
          <w:szCs w:val="15"/>
        </w:rPr>
        <w:t> </w:t>
      </w:r>
      <w:r>
        <w:rPr>
          <w:rFonts w:ascii="宋体" w:hAnsi="宋体" w:cs="宋体" w:eastAsia="宋体" w:hint="default"/>
          <w:position w:val="10"/>
          <w:sz w:val="15"/>
          <w:szCs w:val="15"/>
        </w:rPr>
        <w:t>年</w:t>
      </w:r>
      <w:r>
        <w:rPr>
          <w:rFonts w:ascii="宋体" w:hAnsi="宋体" w:cs="宋体" w:eastAsia="宋体" w:hint="default"/>
          <w:spacing w:val="-37"/>
          <w:position w:val="10"/>
          <w:sz w:val="15"/>
          <w:szCs w:val="15"/>
        </w:rPr>
        <w:t> </w:t>
      </w:r>
      <w:r>
        <w:rPr>
          <w:rFonts w:ascii="Arial" w:hAnsi="Arial" w:cs="Arial" w:eastAsia="Arial" w:hint="default"/>
          <w:position w:val="10"/>
          <w:sz w:val="15"/>
          <w:szCs w:val="15"/>
        </w:rPr>
        <w:t>3</w:t>
      </w:r>
      <w:r>
        <w:rPr>
          <w:rFonts w:ascii="Arial" w:hAnsi="Arial" w:cs="Arial" w:eastAsia="Arial" w:hint="default"/>
          <w:spacing w:val="-4"/>
          <w:position w:val="10"/>
          <w:sz w:val="15"/>
          <w:szCs w:val="15"/>
        </w:rPr>
        <w:t> </w:t>
      </w:r>
      <w:r>
        <w:rPr>
          <w:rFonts w:ascii="宋体" w:hAnsi="宋体" w:cs="宋体" w:eastAsia="宋体" w:hint="default"/>
          <w:position w:val="10"/>
          <w:sz w:val="15"/>
          <w:szCs w:val="15"/>
        </w:rPr>
        <w:t>月</w:t>
      </w:r>
      <w:r>
        <w:rPr>
          <w:rFonts w:ascii="宋体" w:hAnsi="宋体" w:cs="宋体" w:eastAsia="宋体" w:hint="default"/>
          <w:spacing w:val="-35"/>
          <w:position w:val="10"/>
          <w:sz w:val="15"/>
          <w:szCs w:val="15"/>
        </w:rPr>
        <w:t> </w:t>
      </w:r>
      <w:r>
        <w:rPr>
          <w:rFonts w:ascii="Arial" w:hAnsi="Arial" w:cs="Arial" w:eastAsia="Arial" w:hint="default"/>
          <w:position w:val="10"/>
          <w:sz w:val="15"/>
          <w:szCs w:val="15"/>
        </w:rPr>
        <w:t>23</w:t>
      </w:r>
      <w:r>
        <w:rPr>
          <w:rFonts w:ascii="Arial" w:hAnsi="Arial" w:cs="Arial" w:eastAsia="Arial" w:hint="default"/>
          <w:spacing w:val="14"/>
          <w:position w:val="10"/>
          <w:sz w:val="15"/>
          <w:szCs w:val="15"/>
        </w:rPr>
        <w:t> </w:t>
      </w:r>
      <w:r>
        <w:rPr>
          <w:rFonts w:ascii="宋体" w:hAnsi="宋体" w:cs="宋体" w:eastAsia="宋体" w:hint="default"/>
          <w:sz w:val="15"/>
          <w:szCs w:val="15"/>
        </w:rPr>
        <w:t>他诉讼请求；四、驳回青枫公司反诉请求。</w:t>
      </w:r>
      <w:r>
        <w:rPr>
          <w:rFonts w:ascii="宋体" w:hAnsi="宋体" w:cs="宋体" w:eastAsia="宋体" w:hint="default"/>
          <w:w w:val="100"/>
          <w:sz w:val="15"/>
          <w:szCs w:val="15"/>
        </w:rPr>
        <w:t> </w:t>
      </w:r>
      <w:r>
        <w:rPr>
          <w:rFonts w:ascii="宋体" w:hAnsi="宋体" w:cs="宋体" w:eastAsia="宋体" w:hint="default"/>
          <w:spacing w:val="-5"/>
          <w:sz w:val="15"/>
          <w:szCs w:val="15"/>
        </w:rPr>
        <w:t>日受理本案，案号（</w:t>
      </w:r>
      <w:r>
        <w:rPr>
          <w:rFonts w:ascii="Arial" w:hAnsi="Arial" w:cs="Arial" w:eastAsia="Arial" w:hint="default"/>
          <w:spacing w:val="-5"/>
          <w:sz w:val="15"/>
          <w:szCs w:val="15"/>
        </w:rPr>
        <w:t>2015</w:t>
      </w:r>
      <w:r>
        <w:rPr>
          <w:rFonts w:ascii="宋体" w:hAnsi="宋体" w:cs="宋体" w:eastAsia="宋体" w:hint="default"/>
          <w:spacing w:val="-5"/>
          <w:sz w:val="15"/>
          <w:szCs w:val="15"/>
        </w:rPr>
        <w:t>）民二终字</w:t>
      </w:r>
      <w:r>
        <w:rPr>
          <w:rFonts w:ascii="宋体" w:hAnsi="宋体" w:cs="宋体" w:eastAsia="宋体" w:hint="default"/>
          <w:spacing w:val="-4"/>
          <w:sz w:val="15"/>
          <w:szCs w:val="15"/>
        </w:rPr>
        <w:t> </w:t>
      </w:r>
      <w:r>
        <w:rPr>
          <w:rFonts w:ascii="宋体" w:hAnsi="宋体" w:cs="宋体" w:eastAsia="宋体" w:hint="default"/>
          <w:position w:val="-9"/>
          <w:sz w:val="15"/>
          <w:szCs w:val="15"/>
        </w:rPr>
        <w:t>终审判决：驳回上诉，维持原判。</w:t>
      </w:r>
      <w:r>
        <w:rPr>
          <w:rFonts w:ascii="宋体" w:hAnsi="宋体" w:cs="宋体" w:eastAsia="宋体" w:hint="default"/>
          <w:sz w:val="15"/>
          <w:szCs w:val="15"/>
        </w:rPr>
      </w:r>
    </w:p>
    <w:p>
      <w:pPr>
        <w:spacing w:after="0" w:line="160" w:lineRule="auto"/>
        <w:jc w:val="left"/>
        <w:rPr>
          <w:rFonts w:ascii="宋体" w:hAnsi="宋体" w:cs="宋体" w:eastAsia="宋体" w:hint="default"/>
          <w:sz w:val="15"/>
          <w:szCs w:val="15"/>
        </w:rPr>
        <w:sectPr>
          <w:type w:val="continuous"/>
          <w:pgSz w:w="16840" w:h="11910" w:orient="landscape"/>
          <w:pgMar w:top="1360" w:bottom="1380" w:left="1300" w:right="1380"/>
          <w:cols w:num="3" w:equalWidth="0">
            <w:col w:w="1852" w:space="800"/>
            <w:col w:w="2378" w:space="2092"/>
            <w:col w:w="7038"/>
          </w:cols>
        </w:sectPr>
      </w:pPr>
    </w:p>
    <w:p>
      <w:pPr>
        <w:spacing w:line="139" w:lineRule="exact" w:before="0"/>
        <w:ind w:left="7261" w:right="-8" w:firstLine="0"/>
        <w:jc w:val="left"/>
        <w:rPr>
          <w:rFonts w:ascii="宋体" w:hAnsi="宋体" w:cs="宋体" w:eastAsia="宋体" w:hint="default"/>
          <w:sz w:val="15"/>
          <w:szCs w:val="15"/>
        </w:rPr>
      </w:pPr>
      <w:r>
        <w:rPr>
          <w:rFonts w:ascii="宋体" w:hAnsi="宋体" w:cs="宋体" w:eastAsia="宋体" w:hint="default"/>
          <w:sz w:val="15"/>
          <w:szCs w:val="15"/>
        </w:rPr>
        <w:t>第</w:t>
      </w:r>
      <w:r>
        <w:rPr>
          <w:rFonts w:ascii="宋体" w:hAnsi="宋体" w:cs="宋体" w:eastAsia="宋体" w:hint="default"/>
          <w:spacing w:val="-37"/>
          <w:sz w:val="15"/>
          <w:szCs w:val="15"/>
        </w:rPr>
        <w:t> </w:t>
      </w:r>
      <w:r>
        <w:rPr>
          <w:rFonts w:ascii="Arial" w:hAnsi="Arial" w:cs="Arial" w:eastAsia="Arial" w:hint="default"/>
          <w:sz w:val="15"/>
          <w:szCs w:val="15"/>
        </w:rPr>
        <w:t>69</w:t>
      </w:r>
      <w:r>
        <w:rPr>
          <w:rFonts w:ascii="Arial" w:hAnsi="Arial" w:cs="Arial" w:eastAsia="Arial" w:hint="default"/>
          <w:spacing w:val="-4"/>
          <w:sz w:val="15"/>
          <w:szCs w:val="15"/>
        </w:rPr>
        <w:t> </w:t>
      </w:r>
      <w:r>
        <w:rPr>
          <w:rFonts w:ascii="宋体" w:hAnsi="宋体" w:cs="宋体" w:eastAsia="宋体" w:hint="default"/>
          <w:spacing w:val="-13"/>
          <w:sz w:val="15"/>
          <w:szCs w:val="15"/>
        </w:rPr>
        <w:t>号，于</w:t>
      </w:r>
      <w:r>
        <w:rPr>
          <w:rFonts w:ascii="宋体" w:hAnsi="宋体" w:cs="宋体" w:eastAsia="宋体" w:hint="default"/>
          <w:spacing w:val="-37"/>
          <w:sz w:val="15"/>
          <w:szCs w:val="15"/>
        </w:rPr>
        <w:t> </w:t>
      </w:r>
      <w:r>
        <w:rPr>
          <w:rFonts w:ascii="Arial" w:hAnsi="Arial" w:cs="Arial" w:eastAsia="Arial" w:hint="default"/>
          <w:sz w:val="15"/>
          <w:szCs w:val="15"/>
        </w:rPr>
        <w:t>2015</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7</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23</w:t>
      </w:r>
      <w:r>
        <w:rPr>
          <w:rFonts w:ascii="Arial" w:hAnsi="Arial" w:cs="Arial" w:eastAsia="Arial" w:hint="default"/>
          <w:spacing w:val="-4"/>
          <w:sz w:val="15"/>
          <w:szCs w:val="15"/>
        </w:rPr>
        <w:t> </w:t>
      </w:r>
      <w:r>
        <w:rPr>
          <w:rFonts w:ascii="宋体" w:hAnsi="宋体" w:cs="宋体" w:eastAsia="宋体" w:hint="default"/>
          <w:sz w:val="15"/>
          <w:szCs w:val="15"/>
        </w:rPr>
        <w:t>日开庭</w:t>
      </w:r>
    </w:p>
    <w:p>
      <w:pPr>
        <w:spacing w:line="194" w:lineRule="exact" w:before="0"/>
        <w:ind w:left="7261" w:right="-8" w:firstLine="0"/>
        <w:jc w:val="left"/>
        <w:rPr>
          <w:rFonts w:ascii="宋体" w:hAnsi="宋体" w:cs="宋体" w:eastAsia="宋体" w:hint="default"/>
          <w:sz w:val="15"/>
          <w:szCs w:val="15"/>
        </w:rPr>
      </w:pPr>
      <w:r>
        <w:rPr>
          <w:rFonts w:ascii="宋体" w:hAnsi="宋体" w:cs="宋体" w:eastAsia="宋体" w:hint="default"/>
          <w:sz w:val="15"/>
          <w:szCs w:val="15"/>
        </w:rPr>
        <w:t>审理本案，于</w:t>
      </w:r>
      <w:r>
        <w:rPr>
          <w:rFonts w:ascii="宋体" w:hAnsi="宋体" w:cs="宋体" w:eastAsia="宋体" w:hint="default"/>
          <w:spacing w:val="-39"/>
          <w:sz w:val="15"/>
          <w:szCs w:val="15"/>
        </w:rPr>
        <w:t> </w:t>
      </w:r>
      <w:r>
        <w:rPr>
          <w:rFonts w:ascii="Arial" w:hAnsi="Arial" w:cs="Arial" w:eastAsia="Arial" w:hint="default"/>
          <w:sz w:val="15"/>
          <w:szCs w:val="15"/>
        </w:rPr>
        <w:t>2015</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w:hAnsi="Arial" w:cs="Arial" w:eastAsia="Arial" w:hint="default"/>
          <w:sz w:val="15"/>
          <w:szCs w:val="15"/>
        </w:rPr>
        <w:t>9</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23</w:t>
      </w:r>
      <w:r>
        <w:rPr>
          <w:rFonts w:ascii="Arial" w:hAnsi="Arial" w:cs="Arial" w:eastAsia="Arial" w:hint="default"/>
          <w:spacing w:val="-4"/>
          <w:sz w:val="15"/>
          <w:szCs w:val="15"/>
        </w:rPr>
        <w:t> </w:t>
      </w:r>
      <w:r>
        <w:rPr>
          <w:rFonts w:ascii="宋体" w:hAnsi="宋体" w:cs="宋体" w:eastAsia="宋体" w:hint="default"/>
          <w:spacing w:val="-3"/>
          <w:sz w:val="15"/>
          <w:szCs w:val="15"/>
        </w:rPr>
        <w:t>日作</w:t>
      </w:r>
      <w:r>
        <w:rPr>
          <w:rFonts w:ascii="宋体" w:hAnsi="宋体" w:cs="宋体" w:eastAsia="宋体" w:hint="default"/>
          <w:sz w:val="15"/>
          <w:szCs w:val="15"/>
        </w:rPr>
      </w:r>
    </w:p>
    <w:p>
      <w:pPr>
        <w:spacing w:line="194" w:lineRule="exact" w:before="13"/>
        <w:ind w:left="7261" w:right="2844" w:firstLine="0"/>
        <w:jc w:val="left"/>
        <w:rPr>
          <w:rFonts w:ascii="宋体" w:hAnsi="宋体" w:cs="宋体" w:eastAsia="宋体" w:hint="default"/>
          <w:sz w:val="15"/>
          <w:szCs w:val="15"/>
        </w:rPr>
      </w:pPr>
      <w:r>
        <w:rPr>
          <w:rFonts w:ascii="宋体" w:hAnsi="宋体" w:cs="宋体" w:eastAsia="宋体" w:hint="default"/>
          <w:sz w:val="15"/>
          <w:szCs w:val="15"/>
        </w:rPr>
        <w:t>出（</w:t>
      </w:r>
      <w:r>
        <w:rPr>
          <w:rFonts w:ascii="Arial" w:hAnsi="Arial" w:cs="Arial" w:eastAsia="Arial" w:hint="default"/>
          <w:sz w:val="15"/>
          <w:szCs w:val="15"/>
        </w:rPr>
        <w:t>2015</w:t>
      </w:r>
      <w:r>
        <w:rPr>
          <w:rFonts w:ascii="宋体" w:hAnsi="宋体" w:cs="宋体" w:eastAsia="宋体" w:hint="default"/>
          <w:sz w:val="15"/>
          <w:szCs w:val="15"/>
        </w:rPr>
        <w:t>）民二终字第</w:t>
      </w:r>
      <w:r>
        <w:rPr>
          <w:rFonts w:ascii="宋体" w:hAnsi="宋体" w:cs="宋体" w:eastAsia="宋体" w:hint="default"/>
          <w:spacing w:val="-42"/>
          <w:sz w:val="15"/>
          <w:szCs w:val="15"/>
        </w:rPr>
        <w:t> </w:t>
      </w:r>
      <w:r>
        <w:rPr>
          <w:rFonts w:ascii="Arial" w:hAnsi="Arial" w:cs="Arial" w:eastAsia="Arial" w:hint="default"/>
          <w:sz w:val="15"/>
          <w:szCs w:val="15"/>
        </w:rPr>
        <w:t>69</w:t>
      </w:r>
      <w:r>
        <w:rPr>
          <w:rFonts w:ascii="Arial" w:hAnsi="Arial" w:cs="Arial" w:eastAsia="Arial" w:hint="default"/>
          <w:spacing w:val="-11"/>
          <w:sz w:val="15"/>
          <w:szCs w:val="15"/>
        </w:rPr>
        <w:t> </w:t>
      </w:r>
      <w:r>
        <w:rPr>
          <w:rFonts w:ascii="宋体" w:hAnsi="宋体" w:cs="宋体" w:eastAsia="宋体" w:hint="default"/>
          <w:sz w:val="15"/>
          <w:szCs w:val="15"/>
        </w:rPr>
        <w:t>号民事判</w:t>
      </w:r>
      <w:r>
        <w:rPr>
          <w:rFonts w:ascii="宋体" w:hAnsi="宋体" w:cs="宋体" w:eastAsia="宋体" w:hint="default"/>
          <w:w w:val="100"/>
          <w:sz w:val="15"/>
          <w:szCs w:val="15"/>
        </w:rPr>
        <w:t> </w:t>
      </w:r>
      <w:r>
        <w:rPr>
          <w:rFonts w:ascii="宋体" w:hAnsi="宋体" w:cs="宋体" w:eastAsia="宋体" w:hint="default"/>
          <w:sz w:val="15"/>
          <w:szCs w:val="15"/>
        </w:rPr>
        <w:t>决书。</w:t>
      </w:r>
    </w:p>
    <w:p>
      <w:pPr>
        <w:spacing w:line="158" w:lineRule="auto" w:before="82"/>
        <w:ind w:left="7261" w:right="-8" w:firstLine="0"/>
        <w:jc w:val="left"/>
        <w:rPr>
          <w:rFonts w:ascii="宋体" w:hAnsi="宋体" w:cs="宋体" w:eastAsia="宋体" w:hint="default"/>
          <w:sz w:val="15"/>
          <w:szCs w:val="15"/>
        </w:rPr>
      </w:pPr>
      <w:r>
        <w:rPr>
          <w:rFonts w:ascii="宋体" w:hAnsi="宋体" w:cs="宋体" w:eastAsia="宋体" w:hint="default"/>
          <w:position w:val="10"/>
          <w:sz w:val="15"/>
          <w:szCs w:val="15"/>
        </w:rPr>
        <w:t>案件于</w:t>
      </w:r>
      <w:r>
        <w:rPr>
          <w:rFonts w:ascii="宋体" w:hAnsi="宋体" w:cs="宋体" w:eastAsia="宋体" w:hint="default"/>
          <w:spacing w:val="-32"/>
          <w:position w:val="10"/>
          <w:sz w:val="15"/>
          <w:szCs w:val="15"/>
        </w:rPr>
        <w:t> </w:t>
      </w:r>
      <w:r>
        <w:rPr>
          <w:rFonts w:ascii="Arial" w:hAnsi="Arial" w:cs="Arial" w:eastAsia="Arial" w:hint="default"/>
          <w:position w:val="10"/>
          <w:sz w:val="15"/>
          <w:szCs w:val="15"/>
        </w:rPr>
        <w:t>2013</w:t>
      </w:r>
      <w:r>
        <w:rPr>
          <w:rFonts w:ascii="Arial" w:hAnsi="Arial" w:cs="Arial" w:eastAsia="Arial" w:hint="default"/>
          <w:spacing w:val="-1"/>
          <w:position w:val="10"/>
          <w:sz w:val="15"/>
          <w:szCs w:val="15"/>
        </w:rPr>
        <w:t> </w:t>
      </w:r>
      <w:r>
        <w:rPr>
          <w:rFonts w:ascii="宋体" w:hAnsi="宋体" w:cs="宋体" w:eastAsia="宋体" w:hint="default"/>
          <w:position w:val="10"/>
          <w:sz w:val="15"/>
          <w:szCs w:val="15"/>
        </w:rPr>
        <w:t>年</w:t>
      </w:r>
      <w:r>
        <w:rPr>
          <w:rFonts w:ascii="宋体" w:hAnsi="宋体" w:cs="宋体" w:eastAsia="宋体" w:hint="default"/>
          <w:spacing w:val="-34"/>
          <w:position w:val="10"/>
          <w:sz w:val="15"/>
          <w:szCs w:val="15"/>
        </w:rPr>
        <w:t> </w:t>
      </w:r>
      <w:r>
        <w:rPr>
          <w:rFonts w:ascii="Arial" w:hAnsi="Arial" w:cs="Arial" w:eastAsia="Arial" w:hint="default"/>
          <w:position w:val="10"/>
          <w:sz w:val="15"/>
          <w:szCs w:val="15"/>
        </w:rPr>
        <w:t>5</w:t>
      </w:r>
      <w:r>
        <w:rPr>
          <w:rFonts w:ascii="Arial" w:hAnsi="Arial" w:cs="Arial" w:eastAsia="Arial" w:hint="default"/>
          <w:spacing w:val="-1"/>
          <w:position w:val="10"/>
          <w:sz w:val="15"/>
          <w:szCs w:val="15"/>
        </w:rPr>
        <w:t> </w:t>
      </w:r>
      <w:r>
        <w:rPr>
          <w:rFonts w:ascii="宋体" w:hAnsi="宋体" w:cs="宋体" w:eastAsia="宋体" w:hint="default"/>
          <w:position w:val="10"/>
          <w:sz w:val="15"/>
          <w:szCs w:val="15"/>
        </w:rPr>
        <w:t>月在农垦中院立案</w:t>
      </w:r>
      <w:r>
        <w:rPr>
          <w:rFonts w:ascii="宋体" w:hAnsi="宋体" w:cs="宋体" w:eastAsia="宋体" w:hint="default"/>
          <w:spacing w:val="-16"/>
          <w:position w:val="10"/>
          <w:sz w:val="15"/>
          <w:szCs w:val="15"/>
        </w:rPr>
        <w:t> </w:t>
      </w:r>
      <w:r>
        <w:rPr>
          <w:rFonts w:ascii="宋体" w:hAnsi="宋体" w:cs="宋体" w:eastAsia="宋体" w:hint="default"/>
          <w:spacing w:val="-4"/>
          <w:sz w:val="15"/>
          <w:szCs w:val="15"/>
        </w:rPr>
        <w:t>一审判决：解除鑫亚公司与青枫公司所签订</w:t>
      </w:r>
      <w:r>
        <w:rPr>
          <w:rFonts w:ascii="宋体" w:hAnsi="宋体" w:cs="宋体" w:eastAsia="宋体" w:hint="default"/>
          <w:w w:val="100"/>
          <w:sz w:val="15"/>
          <w:szCs w:val="15"/>
        </w:rPr>
        <w:t> </w:t>
      </w:r>
      <w:r>
        <w:rPr>
          <w:rFonts w:ascii="宋体" w:hAnsi="宋体" w:cs="宋体" w:eastAsia="宋体" w:hint="default"/>
          <w:sz w:val="15"/>
          <w:szCs w:val="15"/>
        </w:rPr>
        <w:t>受理，</w:t>
      </w:r>
      <w:r>
        <w:rPr>
          <w:rFonts w:ascii="Arial" w:hAnsi="Arial" w:cs="Arial" w:eastAsia="Arial" w:hint="default"/>
          <w:sz w:val="15"/>
          <w:szCs w:val="15"/>
        </w:rPr>
        <w:t>2013</w:t>
      </w:r>
      <w:r>
        <w:rPr>
          <w:rFonts w:ascii="Arial" w:hAnsi="Arial" w:cs="Arial" w:eastAsia="Arial" w:hint="default"/>
          <w:spacing w:val="-5"/>
          <w:sz w:val="15"/>
          <w:szCs w:val="15"/>
        </w:rPr>
        <w:t> </w:t>
      </w:r>
      <w:r>
        <w:rPr>
          <w:rFonts w:ascii="宋体" w:hAnsi="宋体" w:cs="宋体" w:eastAsia="宋体" w:hint="default"/>
          <w:sz w:val="15"/>
          <w:szCs w:val="15"/>
        </w:rPr>
        <w:t>年</w:t>
      </w:r>
      <w:r>
        <w:rPr>
          <w:rFonts w:ascii="宋体" w:hAnsi="宋体" w:cs="宋体" w:eastAsia="宋体" w:hint="default"/>
          <w:spacing w:val="-36"/>
          <w:sz w:val="15"/>
          <w:szCs w:val="15"/>
        </w:rPr>
        <w:t> </w:t>
      </w:r>
      <w:r>
        <w:rPr>
          <w:rFonts w:ascii="Arial" w:hAnsi="Arial" w:cs="Arial" w:eastAsia="Arial" w:hint="default"/>
          <w:sz w:val="15"/>
          <w:szCs w:val="15"/>
        </w:rPr>
        <w:t>7</w:t>
      </w:r>
      <w:r>
        <w:rPr>
          <w:rFonts w:ascii="Arial" w:hAnsi="Arial" w:cs="Arial" w:eastAsia="Arial" w:hint="default"/>
          <w:spacing w:val="-5"/>
          <w:sz w:val="15"/>
          <w:szCs w:val="15"/>
        </w:rPr>
        <w:t> </w:t>
      </w:r>
      <w:r>
        <w:rPr>
          <w:rFonts w:ascii="宋体" w:hAnsi="宋体" w:cs="宋体" w:eastAsia="宋体" w:hint="default"/>
          <w:sz w:val="15"/>
          <w:szCs w:val="15"/>
        </w:rPr>
        <w:t>月移送至黑龙江省</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4"/>
        <w:rPr>
          <w:rFonts w:ascii="宋体" w:hAnsi="宋体" w:cs="宋体" w:eastAsia="宋体" w:hint="default"/>
          <w:sz w:val="14"/>
          <w:szCs w:val="14"/>
        </w:rPr>
      </w:pPr>
    </w:p>
    <w:p>
      <w:pPr>
        <w:spacing w:line="144" w:lineRule="exact" w:before="0"/>
        <w:ind w:left="11" w:right="0" w:firstLine="0"/>
        <w:jc w:val="left"/>
        <w:rPr>
          <w:rFonts w:ascii="宋体" w:hAnsi="宋体" w:cs="宋体" w:eastAsia="宋体" w:hint="default"/>
          <w:sz w:val="15"/>
          <w:szCs w:val="15"/>
        </w:rPr>
      </w:pPr>
      <w:r>
        <w:rPr>
          <w:rFonts w:ascii="宋体" w:hAnsi="宋体" w:cs="宋体" w:eastAsia="宋体" w:hint="default"/>
          <w:spacing w:val="-4"/>
          <w:sz w:val="15"/>
          <w:szCs w:val="15"/>
        </w:rPr>
        <w:t>判决生效后，公司向法</w:t>
      </w:r>
    </w:p>
    <w:p>
      <w:pPr>
        <w:spacing w:after="0" w:line="144" w:lineRule="exact"/>
        <w:jc w:val="left"/>
        <w:rPr>
          <w:rFonts w:ascii="宋体" w:hAnsi="宋体" w:cs="宋体" w:eastAsia="宋体" w:hint="default"/>
          <w:sz w:val="15"/>
          <w:szCs w:val="15"/>
        </w:rPr>
        <w:sectPr>
          <w:type w:val="continuous"/>
          <w:pgSz w:w="16840" w:h="11910" w:orient="landscape"/>
          <w:pgMar w:top="1360" w:bottom="1380" w:left="1300" w:right="1380"/>
          <w:cols w:num="2" w:equalWidth="0">
            <w:col w:w="12490" w:space="40"/>
            <w:col w:w="1630"/>
          </w:cols>
        </w:sectPr>
      </w:pPr>
    </w:p>
    <w:p>
      <w:pPr>
        <w:spacing w:line="240" w:lineRule="auto" w:before="9"/>
        <w:rPr>
          <w:rFonts w:ascii="宋体" w:hAnsi="宋体" w:cs="宋体" w:eastAsia="宋体" w:hint="default"/>
          <w:sz w:val="14"/>
          <w:szCs w:val="14"/>
        </w:rPr>
      </w:pPr>
    </w:p>
    <w:p>
      <w:pPr>
        <w:spacing w:line="144" w:lineRule="exact" w:before="0"/>
        <w:ind w:left="140" w:right="-17" w:firstLine="0"/>
        <w:jc w:val="left"/>
        <w:rPr>
          <w:rFonts w:ascii="宋体" w:hAnsi="宋体" w:cs="宋体" w:eastAsia="宋体" w:hint="default"/>
          <w:sz w:val="15"/>
          <w:szCs w:val="15"/>
        </w:rPr>
      </w:pPr>
      <w:r>
        <w:rPr>
          <w:rFonts w:ascii="宋体" w:hAnsi="宋体" w:cs="宋体" w:eastAsia="宋体" w:hint="default"/>
          <w:sz w:val="15"/>
          <w:szCs w:val="15"/>
        </w:rPr>
        <w:t>北大荒</w:t>
      </w:r>
    </w:p>
    <w:p>
      <w:pPr>
        <w:spacing w:before="96"/>
        <w:ind w:left="116" w:right="-16" w:firstLine="0"/>
        <w:jc w:val="left"/>
        <w:rPr>
          <w:rFonts w:ascii="宋体" w:hAnsi="宋体" w:cs="宋体" w:eastAsia="宋体" w:hint="default"/>
          <w:sz w:val="15"/>
          <w:szCs w:val="15"/>
        </w:rPr>
      </w:pPr>
      <w:r>
        <w:rPr/>
        <w:br w:type="column"/>
      </w:r>
      <w:r>
        <w:rPr>
          <w:rFonts w:ascii="宋体" w:hAnsi="宋体" w:cs="宋体" w:eastAsia="宋体" w:hint="default"/>
          <w:sz w:val="15"/>
          <w:szCs w:val="15"/>
        </w:rPr>
        <w:t>北大荒</w:t>
      </w:r>
    </w:p>
    <w:p>
      <w:pPr>
        <w:spacing w:line="103" w:lineRule="exact" w:before="0"/>
        <w:ind w:left="140" w:right="-1" w:firstLine="0"/>
        <w:jc w:val="left"/>
        <w:rPr>
          <w:rFonts w:ascii="宋体" w:hAnsi="宋体" w:cs="宋体" w:eastAsia="宋体" w:hint="default"/>
          <w:sz w:val="15"/>
          <w:szCs w:val="15"/>
        </w:rPr>
      </w:pPr>
      <w:r>
        <w:rPr/>
        <w:br w:type="column"/>
      </w:r>
      <w:r>
        <w:rPr>
          <w:rFonts w:ascii="Arial" w:hAnsi="Arial" w:cs="Arial" w:eastAsia="Arial" w:hint="default"/>
          <w:sz w:val="15"/>
          <w:szCs w:val="15"/>
        </w:rPr>
        <w:t>2012</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w:hAnsi="Arial" w:cs="Arial" w:eastAsia="Arial" w:hint="default"/>
          <w:sz w:val="15"/>
          <w:szCs w:val="15"/>
        </w:rPr>
        <w:t>12</w:t>
      </w:r>
      <w:r>
        <w:rPr>
          <w:rFonts w:ascii="Arial" w:hAnsi="Arial" w:cs="Arial" w:eastAsia="Arial"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23</w:t>
      </w:r>
      <w:r>
        <w:rPr>
          <w:rFonts w:ascii="Arial" w:hAnsi="Arial" w:cs="Arial" w:eastAsia="Arial" w:hint="default"/>
          <w:spacing w:val="-4"/>
          <w:sz w:val="15"/>
          <w:szCs w:val="15"/>
        </w:rPr>
        <w:t> </w:t>
      </w:r>
      <w:r>
        <w:rPr>
          <w:rFonts w:ascii="宋体" w:hAnsi="宋体" w:cs="宋体" w:eastAsia="宋体" w:hint="default"/>
          <w:sz w:val="15"/>
          <w:szCs w:val="15"/>
        </w:rPr>
        <w:t>日，公司与青枫</w:t>
      </w:r>
    </w:p>
    <w:p>
      <w:pPr>
        <w:spacing w:line="190" w:lineRule="exact" w:before="0"/>
        <w:ind w:left="140" w:right="-1" w:firstLine="0"/>
        <w:jc w:val="left"/>
        <w:rPr>
          <w:rFonts w:ascii="宋体" w:hAnsi="宋体" w:cs="宋体" w:eastAsia="宋体" w:hint="default"/>
          <w:sz w:val="15"/>
          <w:szCs w:val="15"/>
        </w:rPr>
      </w:pPr>
      <w:r>
        <w:rPr>
          <w:rFonts w:ascii="宋体" w:hAnsi="宋体" w:cs="宋体" w:eastAsia="宋体" w:hint="default"/>
          <w:spacing w:val="-4"/>
          <w:sz w:val="15"/>
          <w:szCs w:val="15"/>
        </w:rPr>
        <w:t>亚麻签订《亚麻纱加工合同》，公</w:t>
      </w:r>
    </w:p>
    <w:p>
      <w:pPr>
        <w:spacing w:line="151" w:lineRule="auto" w:before="0"/>
        <w:ind w:left="140" w:right="0" w:firstLine="0"/>
        <w:jc w:val="left"/>
        <w:rPr>
          <w:rFonts w:ascii="宋体" w:hAnsi="宋体" w:cs="宋体" w:eastAsia="宋体" w:hint="default"/>
          <w:sz w:val="15"/>
          <w:szCs w:val="15"/>
        </w:rPr>
      </w:pPr>
      <w:r>
        <w:rPr>
          <w:spacing w:val="-6"/>
        </w:rPr>
        <w:br w:type="column"/>
      </w:r>
      <w:r>
        <w:rPr>
          <w:rFonts w:ascii="宋体" w:hAnsi="宋体" w:cs="宋体" w:eastAsia="宋体" w:hint="default"/>
          <w:spacing w:val="-6"/>
          <w:sz w:val="15"/>
          <w:szCs w:val="15"/>
        </w:rPr>
        <w:t>高院。法院于</w:t>
      </w:r>
      <w:r>
        <w:rPr>
          <w:rFonts w:ascii="宋体" w:hAnsi="宋体" w:cs="宋体" w:eastAsia="宋体" w:hint="default"/>
          <w:spacing w:val="-34"/>
          <w:sz w:val="15"/>
          <w:szCs w:val="15"/>
        </w:rPr>
        <w:t> </w:t>
      </w:r>
      <w:r>
        <w:rPr>
          <w:rFonts w:ascii="Arial" w:hAnsi="Arial" w:cs="Arial" w:eastAsia="Arial" w:hint="default"/>
          <w:sz w:val="15"/>
          <w:szCs w:val="15"/>
        </w:rPr>
        <w:t>2013</w:t>
      </w:r>
      <w:r>
        <w:rPr>
          <w:rFonts w:ascii="Arial" w:hAnsi="Arial" w:cs="Arial" w:eastAsia="Arial"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2"/>
          <w:sz w:val="15"/>
          <w:szCs w:val="15"/>
        </w:rPr>
        <w:t> </w:t>
      </w:r>
      <w:r>
        <w:rPr>
          <w:rFonts w:ascii="Arial" w:hAnsi="Arial" w:cs="Arial" w:eastAsia="Arial" w:hint="default"/>
          <w:sz w:val="15"/>
          <w:szCs w:val="15"/>
        </w:rPr>
        <w:t>10</w:t>
      </w:r>
      <w:r>
        <w:rPr>
          <w:rFonts w:ascii="Arial" w:hAnsi="Arial" w:cs="Arial" w:eastAsia="Arial"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2"/>
          <w:sz w:val="15"/>
          <w:szCs w:val="15"/>
        </w:rPr>
        <w:t> </w:t>
      </w:r>
      <w:r>
        <w:rPr>
          <w:rFonts w:ascii="Arial" w:hAnsi="Arial" w:cs="Arial" w:eastAsia="Arial" w:hint="default"/>
          <w:sz w:val="15"/>
          <w:szCs w:val="15"/>
        </w:rPr>
        <w:t>28</w:t>
      </w:r>
      <w:r>
        <w:rPr>
          <w:rFonts w:ascii="Arial" w:hAnsi="Arial" w:cs="Arial" w:eastAsia="Arial" w:hint="default"/>
          <w:spacing w:val="-1"/>
          <w:sz w:val="15"/>
          <w:szCs w:val="15"/>
        </w:rPr>
        <w:t> </w:t>
      </w:r>
      <w:r>
        <w:rPr>
          <w:rFonts w:ascii="宋体" w:hAnsi="宋体" w:cs="宋体" w:eastAsia="宋体" w:hint="default"/>
          <w:sz w:val="15"/>
          <w:szCs w:val="15"/>
        </w:rPr>
        <w:t>日开</w:t>
      </w:r>
      <w:r>
        <w:rPr>
          <w:rFonts w:ascii="宋体" w:hAnsi="宋体" w:cs="宋体" w:eastAsia="宋体" w:hint="default"/>
          <w:spacing w:val="-16"/>
          <w:sz w:val="15"/>
          <w:szCs w:val="15"/>
        </w:rPr>
        <w:t> </w:t>
      </w:r>
      <w:r>
        <w:rPr>
          <w:rFonts w:ascii="宋体" w:hAnsi="宋体" w:cs="宋体" w:eastAsia="宋体" w:hint="default"/>
          <w:position w:val="10"/>
          <w:sz w:val="15"/>
          <w:szCs w:val="15"/>
        </w:rPr>
        <w:t>的</w:t>
      </w:r>
      <w:r>
        <w:rPr>
          <w:rFonts w:ascii="宋体" w:hAnsi="宋体" w:cs="宋体" w:eastAsia="宋体" w:hint="default"/>
          <w:spacing w:val="-32"/>
          <w:position w:val="10"/>
          <w:sz w:val="15"/>
          <w:szCs w:val="15"/>
        </w:rPr>
        <w:t> </w:t>
      </w:r>
      <w:r>
        <w:rPr>
          <w:rFonts w:ascii="Arial" w:hAnsi="Arial" w:cs="Arial" w:eastAsia="Arial" w:hint="default"/>
          <w:position w:val="10"/>
          <w:sz w:val="15"/>
          <w:szCs w:val="15"/>
        </w:rPr>
        <w:t>156</w:t>
      </w:r>
      <w:r>
        <w:rPr>
          <w:rFonts w:ascii="Arial" w:hAnsi="Arial" w:cs="Arial" w:eastAsia="Arial" w:hint="default"/>
          <w:spacing w:val="1"/>
          <w:position w:val="10"/>
          <w:sz w:val="15"/>
          <w:szCs w:val="15"/>
        </w:rPr>
        <w:t> </w:t>
      </w:r>
      <w:r>
        <w:rPr>
          <w:rFonts w:ascii="宋体" w:hAnsi="宋体" w:cs="宋体" w:eastAsia="宋体" w:hint="default"/>
          <w:spacing w:val="-7"/>
          <w:position w:val="10"/>
          <w:sz w:val="15"/>
          <w:szCs w:val="15"/>
        </w:rPr>
        <w:t>号《亚麻纱加工合同》，青枫公司按</w:t>
      </w:r>
      <w:r>
        <w:rPr>
          <w:rFonts w:ascii="宋体" w:hAnsi="宋体" w:cs="宋体" w:eastAsia="宋体" w:hint="default"/>
          <w:spacing w:val="-17"/>
          <w:position w:val="10"/>
          <w:sz w:val="15"/>
          <w:szCs w:val="15"/>
        </w:rPr>
        <w:t> </w:t>
      </w:r>
      <w:r>
        <w:rPr>
          <w:rFonts w:ascii="宋体" w:hAnsi="宋体" w:cs="宋体" w:eastAsia="宋体" w:hint="default"/>
          <w:spacing w:val="-4"/>
          <w:sz w:val="15"/>
          <w:szCs w:val="15"/>
        </w:rPr>
        <w:t>院申请强制执行，经执</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pacing w:val="-5"/>
          <w:sz w:val="15"/>
          <w:szCs w:val="15"/>
        </w:rPr>
        <w:t>庭审理本案，于</w:t>
      </w:r>
      <w:r>
        <w:rPr>
          <w:rFonts w:ascii="宋体" w:hAnsi="宋体" w:cs="宋体" w:eastAsia="宋体" w:hint="default"/>
          <w:spacing w:val="-32"/>
          <w:sz w:val="15"/>
          <w:szCs w:val="15"/>
        </w:rPr>
        <w:t> </w:t>
      </w:r>
      <w:r>
        <w:rPr>
          <w:rFonts w:ascii="Arial" w:hAnsi="Arial" w:cs="Arial" w:eastAsia="Arial" w:hint="default"/>
          <w:sz w:val="15"/>
          <w:szCs w:val="15"/>
        </w:rPr>
        <w:t>2014</w:t>
      </w:r>
      <w:r>
        <w:rPr>
          <w:rFonts w:ascii="Arial" w:hAnsi="Arial" w:cs="Arial" w:eastAsia="Arial"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2"/>
          <w:sz w:val="15"/>
          <w:szCs w:val="15"/>
        </w:rPr>
        <w:t> </w:t>
      </w:r>
      <w:r>
        <w:rPr>
          <w:rFonts w:ascii="Arial" w:hAnsi="Arial" w:cs="Arial" w:eastAsia="Arial" w:hint="default"/>
          <w:sz w:val="15"/>
          <w:szCs w:val="15"/>
        </w:rPr>
        <w:t>10</w:t>
      </w:r>
      <w:r>
        <w:rPr>
          <w:rFonts w:ascii="Arial" w:hAnsi="Arial" w:cs="Arial" w:eastAsia="Arial"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2"/>
          <w:sz w:val="15"/>
          <w:szCs w:val="15"/>
        </w:rPr>
        <w:t> </w:t>
      </w:r>
      <w:r>
        <w:rPr>
          <w:rFonts w:ascii="Arial" w:hAnsi="Arial" w:cs="Arial" w:eastAsia="Arial" w:hint="default"/>
          <w:sz w:val="15"/>
          <w:szCs w:val="15"/>
        </w:rPr>
        <w:t>22</w:t>
      </w:r>
      <w:r>
        <w:rPr>
          <w:rFonts w:ascii="Arial" w:hAnsi="Arial" w:cs="Arial" w:eastAsia="Arial" w:hint="default"/>
          <w:spacing w:val="1"/>
          <w:sz w:val="15"/>
          <w:szCs w:val="15"/>
        </w:rPr>
        <w:t> </w:t>
      </w:r>
      <w:r>
        <w:rPr>
          <w:rFonts w:ascii="宋体" w:hAnsi="宋体" w:cs="宋体" w:eastAsia="宋体" w:hint="default"/>
          <w:sz w:val="15"/>
          <w:szCs w:val="15"/>
        </w:rPr>
        <w:t>日</w:t>
      </w:r>
      <w:r>
        <w:rPr>
          <w:rFonts w:ascii="宋体" w:hAnsi="宋体" w:cs="宋体" w:eastAsia="宋体" w:hint="default"/>
          <w:spacing w:val="-16"/>
          <w:sz w:val="15"/>
          <w:szCs w:val="15"/>
        </w:rPr>
        <w:t> </w:t>
      </w:r>
      <w:r>
        <w:rPr>
          <w:rFonts w:ascii="宋体" w:hAnsi="宋体" w:cs="宋体" w:eastAsia="宋体" w:hint="default"/>
          <w:spacing w:val="-3"/>
          <w:position w:val="10"/>
          <w:sz w:val="15"/>
          <w:szCs w:val="15"/>
        </w:rPr>
        <w:t>《亚麻纱加工合同》约定的加工系数</w:t>
      </w:r>
      <w:r>
        <w:rPr>
          <w:rFonts w:ascii="宋体" w:hAnsi="宋体" w:cs="宋体" w:eastAsia="宋体" w:hint="default"/>
          <w:spacing w:val="-34"/>
          <w:position w:val="10"/>
          <w:sz w:val="15"/>
          <w:szCs w:val="15"/>
        </w:rPr>
        <w:t> </w:t>
      </w:r>
      <w:r>
        <w:rPr>
          <w:rFonts w:ascii="Arial" w:hAnsi="Arial" w:cs="Arial" w:eastAsia="Arial" w:hint="default"/>
          <w:position w:val="10"/>
          <w:sz w:val="15"/>
          <w:szCs w:val="15"/>
        </w:rPr>
        <w:t>4.628</w:t>
      </w:r>
      <w:r>
        <w:rPr>
          <w:rFonts w:ascii="Arial" w:hAnsi="Arial" w:cs="Arial" w:eastAsia="Arial" w:hint="default"/>
          <w:spacing w:val="19"/>
          <w:position w:val="10"/>
          <w:sz w:val="15"/>
          <w:szCs w:val="15"/>
        </w:rPr>
        <w:t> </w:t>
      </w:r>
      <w:r>
        <w:rPr>
          <w:rFonts w:ascii="宋体" w:hAnsi="宋体" w:cs="宋体" w:eastAsia="宋体" w:hint="default"/>
          <w:spacing w:val="-4"/>
          <w:sz w:val="15"/>
          <w:szCs w:val="15"/>
        </w:rPr>
        <w:t>行法院组织公司、青枫</w:t>
      </w:r>
    </w:p>
    <w:p>
      <w:pPr>
        <w:spacing w:after="0" w:line="151" w:lineRule="auto"/>
        <w:jc w:val="left"/>
        <w:rPr>
          <w:rFonts w:ascii="宋体" w:hAnsi="宋体" w:cs="宋体" w:eastAsia="宋体" w:hint="default"/>
          <w:sz w:val="15"/>
          <w:szCs w:val="15"/>
        </w:rPr>
        <w:sectPr>
          <w:type w:val="continuous"/>
          <w:pgSz w:w="16840" w:h="11910" w:orient="landscape"/>
          <w:pgMar w:top="1360" w:bottom="1380" w:left="1300" w:right="1380"/>
          <w:cols w:num="4" w:equalWidth="0">
            <w:col w:w="594" w:space="40"/>
            <w:col w:w="570" w:space="1448"/>
            <w:col w:w="2358" w:space="2111"/>
            <w:col w:w="7039"/>
          </w:cols>
        </w:sectPr>
      </w:pPr>
    </w:p>
    <w:p>
      <w:pPr>
        <w:spacing w:line="143" w:lineRule="exact" w:before="0"/>
        <w:ind w:left="140" w:right="-17" w:firstLine="0"/>
        <w:jc w:val="left"/>
        <w:rPr>
          <w:rFonts w:ascii="宋体" w:hAnsi="宋体" w:cs="宋体" w:eastAsia="宋体" w:hint="default"/>
          <w:sz w:val="15"/>
          <w:szCs w:val="15"/>
        </w:rPr>
      </w:pPr>
      <w:r>
        <w:rPr>
          <w:rFonts w:ascii="宋体" w:hAnsi="宋体" w:cs="宋体" w:eastAsia="宋体" w:hint="default"/>
          <w:sz w:val="15"/>
          <w:szCs w:val="15"/>
        </w:rPr>
        <w:t>鑫亚经</w:t>
      </w:r>
    </w:p>
    <w:p>
      <w:pPr>
        <w:spacing w:line="99" w:lineRule="exact" w:before="0"/>
        <w:ind w:left="116" w:right="-16" w:firstLine="0"/>
        <w:jc w:val="left"/>
        <w:rPr>
          <w:rFonts w:ascii="宋体" w:hAnsi="宋体" w:cs="宋体" w:eastAsia="宋体" w:hint="default"/>
          <w:sz w:val="15"/>
          <w:szCs w:val="15"/>
        </w:rPr>
      </w:pPr>
      <w:r>
        <w:rPr/>
        <w:br w:type="column"/>
      </w:r>
      <w:r>
        <w:rPr>
          <w:rFonts w:ascii="宋体" w:hAnsi="宋体" w:cs="宋体" w:eastAsia="宋体" w:hint="default"/>
          <w:sz w:val="15"/>
          <w:szCs w:val="15"/>
        </w:rPr>
        <w:t>青枫亚</w:t>
      </w:r>
    </w:p>
    <w:p>
      <w:pPr>
        <w:spacing w:line="110" w:lineRule="exact" w:before="0"/>
        <w:ind w:left="140" w:right="-16" w:firstLine="0"/>
        <w:jc w:val="left"/>
        <w:rPr>
          <w:rFonts w:ascii="宋体" w:hAnsi="宋体" w:cs="宋体" w:eastAsia="宋体" w:hint="default"/>
          <w:sz w:val="15"/>
          <w:szCs w:val="15"/>
        </w:rPr>
      </w:pPr>
      <w:r>
        <w:rPr/>
        <w:br w:type="column"/>
      </w:r>
      <w:r>
        <w:rPr>
          <w:rFonts w:ascii="宋体" w:hAnsi="宋体" w:cs="宋体" w:eastAsia="宋体" w:hint="default"/>
          <w:sz w:val="15"/>
          <w:szCs w:val="15"/>
        </w:rPr>
        <w:t>司委托被告加工亚麻</w:t>
      </w:r>
      <w:r>
        <w:rPr>
          <w:rFonts w:ascii="宋体" w:hAnsi="宋体" w:cs="宋体" w:eastAsia="宋体" w:hint="default"/>
          <w:spacing w:val="-37"/>
          <w:sz w:val="15"/>
          <w:szCs w:val="15"/>
        </w:rPr>
        <w:t> </w:t>
      </w:r>
      <w:r>
        <w:rPr>
          <w:rFonts w:ascii="Arial" w:hAnsi="Arial" w:cs="Arial" w:eastAsia="Arial" w:hint="default"/>
          <w:sz w:val="15"/>
          <w:szCs w:val="15"/>
        </w:rPr>
        <w:t>4000</w:t>
      </w:r>
      <w:r>
        <w:rPr>
          <w:rFonts w:ascii="Arial" w:hAnsi="Arial" w:cs="Arial" w:eastAsia="Arial" w:hint="default"/>
          <w:spacing w:val="-7"/>
          <w:sz w:val="15"/>
          <w:szCs w:val="15"/>
        </w:rPr>
        <w:t> </w:t>
      </w:r>
      <w:r>
        <w:rPr>
          <w:rFonts w:ascii="宋体" w:hAnsi="宋体" w:cs="宋体" w:eastAsia="宋体" w:hint="default"/>
          <w:sz w:val="15"/>
          <w:szCs w:val="15"/>
        </w:rPr>
        <w:t>吨。因</w:t>
      </w:r>
    </w:p>
    <w:p>
      <w:pPr>
        <w:spacing w:line="143" w:lineRule="exact" w:before="0"/>
        <w:ind w:left="140" w:right="-5" w:firstLine="0"/>
        <w:jc w:val="left"/>
        <w:rPr>
          <w:rFonts w:ascii="宋体" w:hAnsi="宋体" w:cs="宋体" w:eastAsia="宋体" w:hint="default"/>
          <w:sz w:val="15"/>
          <w:szCs w:val="15"/>
        </w:rPr>
      </w:pPr>
      <w:r>
        <w:rPr/>
        <w:br w:type="column"/>
      </w:r>
      <w:r>
        <w:rPr>
          <w:rFonts w:ascii="宋体" w:hAnsi="宋体" w:cs="宋体" w:eastAsia="宋体" w:hint="default"/>
          <w:position w:val="-9"/>
          <w:sz w:val="15"/>
          <w:szCs w:val="15"/>
        </w:rPr>
        <w:t>作出〔</w:t>
      </w:r>
      <w:r>
        <w:rPr>
          <w:rFonts w:ascii="Arial" w:hAnsi="Arial" w:cs="Arial" w:eastAsia="Arial" w:hint="default"/>
          <w:position w:val="-9"/>
          <w:sz w:val="15"/>
          <w:szCs w:val="15"/>
        </w:rPr>
        <w:t>2013</w:t>
      </w:r>
      <w:r>
        <w:rPr>
          <w:rFonts w:ascii="宋体" w:hAnsi="宋体" w:cs="宋体" w:eastAsia="宋体" w:hint="default"/>
          <w:position w:val="-9"/>
          <w:sz w:val="15"/>
          <w:szCs w:val="15"/>
        </w:rPr>
        <w:t>〕黑高商初字第</w:t>
      </w:r>
      <w:r>
        <w:rPr>
          <w:rFonts w:ascii="宋体" w:hAnsi="宋体" w:cs="宋体" w:eastAsia="宋体" w:hint="default"/>
          <w:spacing w:val="-42"/>
          <w:position w:val="-9"/>
          <w:sz w:val="15"/>
          <w:szCs w:val="15"/>
        </w:rPr>
        <w:t> </w:t>
      </w:r>
      <w:r>
        <w:rPr>
          <w:rFonts w:ascii="Arial" w:hAnsi="Arial" w:cs="Arial" w:eastAsia="Arial" w:hint="default"/>
          <w:position w:val="-9"/>
          <w:sz w:val="15"/>
          <w:szCs w:val="15"/>
        </w:rPr>
        <w:t>15</w:t>
      </w:r>
      <w:r>
        <w:rPr>
          <w:rFonts w:ascii="Arial" w:hAnsi="Arial" w:cs="Arial" w:eastAsia="Arial" w:hint="default"/>
          <w:spacing w:val="-11"/>
          <w:position w:val="-9"/>
          <w:sz w:val="15"/>
          <w:szCs w:val="15"/>
        </w:rPr>
        <w:t> </w:t>
      </w:r>
      <w:r>
        <w:rPr>
          <w:rFonts w:ascii="宋体" w:hAnsi="宋体" w:cs="宋体" w:eastAsia="宋体" w:hint="default"/>
          <w:position w:val="-9"/>
          <w:sz w:val="15"/>
          <w:szCs w:val="15"/>
        </w:rPr>
        <w:t>号民</w:t>
      </w:r>
      <w:r>
        <w:rPr>
          <w:rFonts w:ascii="宋体" w:hAnsi="宋体" w:cs="宋体" w:eastAsia="宋体" w:hint="default"/>
          <w:spacing w:val="-30"/>
          <w:position w:val="-9"/>
          <w:sz w:val="15"/>
          <w:szCs w:val="15"/>
        </w:rPr>
        <w:t> </w:t>
      </w:r>
      <w:r>
        <w:rPr>
          <w:rFonts w:ascii="宋体" w:hAnsi="宋体" w:cs="宋体" w:eastAsia="宋体" w:hint="default"/>
          <w:sz w:val="15"/>
          <w:szCs w:val="15"/>
        </w:rPr>
        <w:t>给付已加工完成的亚麻纱成品及尚未使用</w:t>
      </w:r>
    </w:p>
    <w:p>
      <w:pPr>
        <w:spacing w:line="143" w:lineRule="exact" w:before="0"/>
        <w:ind w:left="114"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公司及九三圣龙公司</w:t>
      </w:r>
    </w:p>
    <w:p>
      <w:pPr>
        <w:spacing w:after="0" w:line="143" w:lineRule="exact"/>
        <w:jc w:val="left"/>
        <w:rPr>
          <w:rFonts w:ascii="宋体" w:hAnsi="宋体" w:cs="宋体" w:eastAsia="宋体" w:hint="default"/>
          <w:sz w:val="15"/>
          <w:szCs w:val="15"/>
        </w:rPr>
        <w:sectPr>
          <w:type w:val="continuous"/>
          <w:pgSz w:w="16840" w:h="11910" w:orient="landscape"/>
          <w:pgMar w:top="1360" w:bottom="1380" w:left="1300" w:right="1380"/>
          <w:cols w:num="5" w:equalWidth="0">
            <w:col w:w="594" w:space="40"/>
            <w:col w:w="570" w:space="1448"/>
            <w:col w:w="2351" w:space="2118"/>
            <w:col w:w="5265" w:space="40"/>
            <w:col w:w="1734"/>
          </w:cols>
        </w:sectPr>
      </w:pPr>
    </w:p>
    <w:p>
      <w:pPr>
        <w:spacing w:line="144" w:lineRule="exact" w:before="50"/>
        <w:ind w:left="140" w:right="-17" w:firstLine="0"/>
        <w:jc w:val="left"/>
        <w:rPr>
          <w:rFonts w:ascii="宋体" w:hAnsi="宋体" w:cs="宋体" w:eastAsia="宋体" w:hint="default"/>
          <w:sz w:val="15"/>
          <w:szCs w:val="15"/>
        </w:rPr>
      </w:pPr>
      <w:r>
        <w:rPr>
          <w:rFonts w:ascii="宋体" w:hAnsi="宋体" w:cs="宋体" w:eastAsia="宋体" w:hint="default"/>
          <w:sz w:val="15"/>
          <w:szCs w:val="15"/>
        </w:rPr>
        <w:t>贸有限</w:t>
      </w:r>
    </w:p>
    <w:p>
      <w:pPr>
        <w:spacing w:line="151" w:lineRule="exact" w:before="0"/>
        <w:ind w:left="116" w:right="-16" w:firstLine="0"/>
        <w:jc w:val="left"/>
        <w:rPr>
          <w:rFonts w:ascii="宋体" w:hAnsi="宋体" w:cs="宋体" w:eastAsia="宋体" w:hint="default"/>
          <w:sz w:val="15"/>
          <w:szCs w:val="15"/>
        </w:rPr>
      </w:pPr>
      <w:r>
        <w:rPr/>
        <w:br w:type="column"/>
      </w:r>
      <w:r>
        <w:rPr>
          <w:rFonts w:ascii="宋体" w:hAnsi="宋体" w:cs="宋体" w:eastAsia="宋体" w:hint="default"/>
          <w:sz w:val="15"/>
          <w:szCs w:val="15"/>
        </w:rPr>
        <w:t>麻纺织</w:t>
      </w:r>
    </w:p>
    <w:p>
      <w:pPr>
        <w:tabs>
          <w:tab w:pos="739" w:val="left" w:leader="none"/>
        </w:tabs>
        <w:spacing w:line="194" w:lineRule="exact" w:before="0"/>
        <w:ind w:left="140" w:right="0" w:firstLine="0"/>
        <w:jc w:val="left"/>
        <w:rPr>
          <w:rFonts w:ascii="宋体" w:hAnsi="宋体" w:cs="宋体" w:eastAsia="宋体" w:hint="default"/>
          <w:sz w:val="15"/>
          <w:szCs w:val="15"/>
        </w:rPr>
      </w:pPr>
      <w:r>
        <w:rPr/>
        <w:br w:type="column"/>
      </w:r>
      <w:r>
        <w:rPr>
          <w:rFonts w:ascii="宋体" w:hAnsi="宋体" w:cs="宋体" w:eastAsia="宋体" w:hint="default"/>
          <w:position w:val="-9"/>
          <w:sz w:val="15"/>
          <w:szCs w:val="15"/>
        </w:rPr>
        <w:t>诉讼</w:t>
        <w:tab/>
      </w:r>
      <w:r>
        <w:rPr>
          <w:rFonts w:ascii="宋体" w:hAnsi="宋体" w:cs="宋体" w:eastAsia="宋体" w:hint="default"/>
          <w:spacing w:val="-2"/>
          <w:sz w:val="15"/>
          <w:szCs w:val="15"/>
        </w:rPr>
        <w:t>被告在加工合同履行过程中隐瞒</w:t>
      </w:r>
    </w:p>
    <w:p>
      <w:pPr>
        <w:spacing w:line="112" w:lineRule="exact" w:before="83"/>
        <w:ind w:left="140" w:right="-5" w:firstLine="0"/>
        <w:jc w:val="left"/>
        <w:rPr>
          <w:rFonts w:ascii="Arial" w:hAnsi="Arial" w:cs="Arial" w:eastAsia="Arial" w:hint="default"/>
          <w:sz w:val="15"/>
          <w:szCs w:val="15"/>
        </w:rPr>
      </w:pPr>
      <w:r>
        <w:rPr>
          <w:spacing w:val="-1"/>
        </w:rPr>
        <w:br w:type="column"/>
      </w:r>
      <w:r>
        <w:rPr>
          <w:rFonts w:ascii="Arial"/>
          <w:spacing w:val="-1"/>
          <w:sz w:val="15"/>
        </w:rPr>
        <w:t>113,768,625.66</w:t>
      </w:r>
    </w:p>
    <w:p>
      <w:pPr>
        <w:spacing w:line="194" w:lineRule="exact" w:before="0"/>
        <w:ind w:left="140" w:right="0" w:firstLine="0"/>
        <w:jc w:val="left"/>
        <w:rPr>
          <w:rFonts w:ascii="宋体" w:hAnsi="宋体" w:cs="宋体" w:eastAsia="宋体" w:hint="default"/>
          <w:sz w:val="15"/>
          <w:szCs w:val="15"/>
        </w:rPr>
      </w:pPr>
      <w:r>
        <w:rPr>
          <w:spacing w:val="-4"/>
        </w:rPr>
        <w:br w:type="column"/>
      </w:r>
      <w:r>
        <w:rPr>
          <w:rFonts w:ascii="宋体" w:hAnsi="宋体" w:cs="宋体" w:eastAsia="宋体" w:hint="default"/>
          <w:spacing w:val="-4"/>
          <w:sz w:val="15"/>
          <w:szCs w:val="15"/>
        </w:rPr>
        <w:t>事判决书。公司不服一审判决，向最 </w:t>
      </w:r>
      <w:r>
        <w:rPr>
          <w:rFonts w:ascii="宋体" w:hAnsi="宋体" w:cs="宋体" w:eastAsia="宋体" w:hint="default"/>
          <w:spacing w:val="-4"/>
          <w:position w:val="10"/>
          <w:sz w:val="15"/>
          <w:szCs w:val="15"/>
        </w:rPr>
        <w:t>的亚麻原料。终审判决：维持一审判决第一</w:t>
      </w:r>
      <w:r>
        <w:rPr>
          <w:rFonts w:ascii="宋体" w:hAnsi="宋体" w:cs="宋体" w:eastAsia="宋体" w:hint="default"/>
          <w:spacing w:val="14"/>
          <w:position w:val="10"/>
          <w:sz w:val="15"/>
          <w:szCs w:val="15"/>
        </w:rPr>
        <w:t> </w:t>
      </w:r>
      <w:r>
        <w:rPr>
          <w:rFonts w:ascii="宋体" w:hAnsi="宋体" w:cs="宋体" w:eastAsia="宋体" w:hint="default"/>
          <w:sz w:val="15"/>
          <w:szCs w:val="15"/>
        </w:rPr>
        <w:t>就查封的加工货物进</w:t>
      </w:r>
    </w:p>
    <w:p>
      <w:pPr>
        <w:spacing w:after="0" w:line="194" w:lineRule="exact"/>
        <w:jc w:val="left"/>
        <w:rPr>
          <w:rFonts w:ascii="宋体" w:hAnsi="宋体" w:cs="宋体" w:eastAsia="宋体" w:hint="default"/>
          <w:sz w:val="15"/>
          <w:szCs w:val="15"/>
        </w:rPr>
        <w:sectPr>
          <w:type w:val="continuous"/>
          <w:pgSz w:w="16840" w:h="11910" w:orient="landscape"/>
          <w:pgMar w:top="1360" w:bottom="1380" w:left="1300" w:right="1380"/>
          <w:cols w:num="5" w:equalWidth="0">
            <w:col w:w="594" w:space="40"/>
            <w:col w:w="570" w:space="848"/>
            <w:col w:w="2843" w:space="290"/>
            <w:col w:w="1185" w:space="752"/>
            <w:col w:w="7038"/>
          </w:cols>
        </w:sectPr>
      </w:pPr>
    </w:p>
    <w:p>
      <w:pPr>
        <w:spacing w:line="141" w:lineRule="exact" w:before="53"/>
        <w:ind w:left="140" w:right="-17" w:firstLine="0"/>
        <w:jc w:val="left"/>
        <w:rPr>
          <w:rFonts w:ascii="宋体" w:hAnsi="宋体" w:cs="宋体" w:eastAsia="宋体" w:hint="default"/>
          <w:sz w:val="15"/>
          <w:szCs w:val="15"/>
        </w:rPr>
      </w:pPr>
      <w:r>
        <w:rPr>
          <w:rFonts w:ascii="宋体" w:hAnsi="宋体" w:cs="宋体" w:eastAsia="宋体" w:hint="default"/>
          <w:sz w:val="15"/>
          <w:szCs w:val="15"/>
        </w:rPr>
        <w:t>责任公</w:t>
      </w:r>
    </w:p>
    <w:p>
      <w:pPr>
        <w:spacing w:line="151" w:lineRule="exact" w:before="0"/>
        <w:ind w:left="116" w:right="-16" w:firstLine="0"/>
        <w:jc w:val="left"/>
        <w:rPr>
          <w:rFonts w:ascii="宋体" w:hAnsi="宋体" w:cs="宋体" w:eastAsia="宋体" w:hint="default"/>
          <w:sz w:val="15"/>
          <w:szCs w:val="15"/>
        </w:rPr>
      </w:pPr>
      <w:r>
        <w:rPr/>
        <w:br w:type="column"/>
      </w:r>
      <w:r>
        <w:rPr>
          <w:rFonts w:ascii="宋体" w:hAnsi="宋体" w:cs="宋体" w:eastAsia="宋体" w:hint="default"/>
          <w:sz w:val="15"/>
          <w:szCs w:val="15"/>
        </w:rPr>
        <w:t>有限公</w:t>
      </w:r>
    </w:p>
    <w:p>
      <w:pPr>
        <w:spacing w:line="151" w:lineRule="exact" w:before="0"/>
        <w:ind w:left="140" w:right="0" w:firstLine="0"/>
        <w:jc w:val="left"/>
        <w:rPr>
          <w:rFonts w:ascii="宋体" w:hAnsi="宋体" w:cs="宋体" w:eastAsia="宋体" w:hint="default"/>
          <w:sz w:val="15"/>
          <w:szCs w:val="15"/>
        </w:rPr>
      </w:pPr>
      <w:r>
        <w:rPr>
          <w:spacing w:val="-4"/>
        </w:rPr>
        <w:br w:type="column"/>
      </w:r>
      <w:r>
        <w:rPr>
          <w:rFonts w:ascii="宋体" w:hAnsi="宋体" w:cs="宋体" w:eastAsia="宋体" w:hint="default"/>
          <w:spacing w:val="-4"/>
          <w:sz w:val="15"/>
          <w:szCs w:val="15"/>
        </w:rPr>
        <w:t>真实加工进展情况，且迟迟不予交</w:t>
      </w:r>
    </w:p>
    <w:p>
      <w:pPr>
        <w:spacing w:line="141" w:lineRule="exact" w:before="53"/>
        <w:ind w:left="140" w:right="0" w:firstLine="0"/>
        <w:jc w:val="left"/>
        <w:rPr>
          <w:rFonts w:ascii="宋体" w:hAnsi="宋体" w:cs="宋体" w:eastAsia="宋体" w:hint="default"/>
          <w:sz w:val="15"/>
          <w:szCs w:val="15"/>
        </w:rPr>
      </w:pPr>
      <w:r>
        <w:rPr>
          <w:spacing w:val="-2"/>
        </w:rPr>
        <w:br w:type="column"/>
      </w:r>
      <w:r>
        <w:rPr>
          <w:rFonts w:ascii="宋体" w:hAnsi="宋体" w:cs="宋体" w:eastAsia="宋体" w:hint="default"/>
          <w:spacing w:val="-2"/>
          <w:sz w:val="15"/>
          <w:szCs w:val="15"/>
        </w:rPr>
        <w:t>高人民法院提起上诉。最高院于</w:t>
      </w:r>
    </w:p>
    <w:p>
      <w:pPr>
        <w:spacing w:line="194" w:lineRule="exact" w:before="0"/>
        <w:ind w:left="140" w:right="0" w:firstLine="0"/>
        <w:jc w:val="left"/>
        <w:rPr>
          <w:rFonts w:ascii="宋体" w:hAnsi="宋体" w:cs="宋体" w:eastAsia="宋体" w:hint="default"/>
          <w:sz w:val="15"/>
          <w:szCs w:val="15"/>
        </w:rPr>
      </w:pPr>
      <w:r>
        <w:rPr>
          <w:spacing w:val="-4"/>
        </w:rPr>
        <w:br w:type="column"/>
      </w:r>
      <w:r>
        <w:rPr>
          <w:rFonts w:ascii="宋体" w:hAnsi="宋体" w:cs="宋体" w:eastAsia="宋体" w:hint="default"/>
          <w:spacing w:val="-4"/>
          <w:sz w:val="15"/>
          <w:szCs w:val="15"/>
        </w:rPr>
        <w:t>项；变更一审判决第二项为青枫公司于判决</w:t>
      </w:r>
      <w:r>
        <w:rPr>
          <w:rFonts w:ascii="宋体" w:hAnsi="宋体" w:cs="宋体" w:eastAsia="宋体" w:hint="default"/>
          <w:spacing w:val="15"/>
          <w:sz w:val="15"/>
          <w:szCs w:val="15"/>
        </w:rPr>
        <w:t> </w:t>
      </w:r>
      <w:r>
        <w:rPr>
          <w:rFonts w:ascii="宋体" w:hAnsi="宋体" w:cs="宋体" w:eastAsia="宋体" w:hint="default"/>
          <w:spacing w:val="-4"/>
          <w:position w:val="-9"/>
          <w:sz w:val="15"/>
          <w:szCs w:val="15"/>
        </w:rPr>
        <w:t>行交接，公司已接收青</w:t>
      </w:r>
      <w:r>
        <w:rPr>
          <w:rFonts w:ascii="宋体" w:hAnsi="宋体" w:cs="宋体" w:eastAsia="宋体" w:hint="default"/>
          <w:spacing w:val="-4"/>
          <w:sz w:val="15"/>
          <w:szCs w:val="15"/>
        </w:rPr>
      </w:r>
    </w:p>
    <w:p>
      <w:pPr>
        <w:spacing w:after="0" w:line="194" w:lineRule="exact"/>
        <w:jc w:val="left"/>
        <w:rPr>
          <w:rFonts w:ascii="宋体" w:hAnsi="宋体" w:cs="宋体" w:eastAsia="宋体" w:hint="default"/>
          <w:sz w:val="15"/>
          <w:szCs w:val="15"/>
        </w:rPr>
        <w:sectPr>
          <w:type w:val="continuous"/>
          <w:pgSz w:w="16840" w:h="11910" w:orient="landscape"/>
          <w:pgMar w:top="1360" w:bottom="1380" w:left="1300" w:right="1380"/>
          <w:cols w:num="5" w:equalWidth="0">
            <w:col w:w="594" w:space="40"/>
            <w:col w:w="570" w:space="1448"/>
            <w:col w:w="2358" w:space="2111"/>
            <w:col w:w="2243" w:space="179"/>
            <w:col w:w="4617"/>
          </w:cols>
        </w:sectPr>
      </w:pPr>
    </w:p>
    <w:p>
      <w:pPr>
        <w:tabs>
          <w:tab w:pos="749" w:val="left" w:leader="none"/>
        </w:tabs>
        <w:spacing w:line="194" w:lineRule="exact" w:before="0"/>
        <w:ind w:left="140" w:right="-11" w:firstLine="0"/>
        <w:jc w:val="left"/>
        <w:rPr>
          <w:rFonts w:ascii="宋体" w:hAnsi="宋体" w:cs="宋体" w:eastAsia="宋体" w:hint="default"/>
          <w:sz w:val="15"/>
          <w:szCs w:val="15"/>
        </w:rPr>
      </w:pPr>
      <w:r>
        <w:rPr>
          <w:rFonts w:ascii="宋体" w:hAnsi="宋体" w:cs="宋体" w:eastAsia="宋体" w:hint="default"/>
          <w:position w:val="-9"/>
          <w:sz w:val="15"/>
          <w:szCs w:val="15"/>
        </w:rPr>
        <w:t>司</w:t>
        <w:tab/>
      </w:r>
      <w:r>
        <w:rPr>
          <w:rFonts w:ascii="宋体" w:hAnsi="宋体" w:cs="宋体" w:eastAsia="宋体" w:hint="default"/>
          <w:spacing w:val="-4"/>
          <w:sz w:val="15"/>
          <w:szCs w:val="15"/>
        </w:rPr>
        <w:t>司（委托</w:t>
      </w:r>
    </w:p>
    <w:p>
      <w:pPr>
        <w:spacing w:line="151" w:lineRule="exact" w:before="0"/>
        <w:ind w:left="140" w:right="0" w:firstLine="0"/>
        <w:jc w:val="left"/>
        <w:rPr>
          <w:rFonts w:ascii="宋体" w:hAnsi="宋体" w:cs="宋体" w:eastAsia="宋体" w:hint="default"/>
          <w:sz w:val="15"/>
          <w:szCs w:val="15"/>
        </w:rPr>
      </w:pPr>
      <w:r>
        <w:rPr>
          <w:spacing w:val="-4"/>
        </w:rPr>
        <w:br w:type="column"/>
      </w:r>
      <w:r>
        <w:rPr>
          <w:rFonts w:ascii="宋体" w:hAnsi="宋体" w:cs="宋体" w:eastAsia="宋体" w:hint="default"/>
          <w:spacing w:val="-4"/>
          <w:sz w:val="15"/>
          <w:szCs w:val="15"/>
        </w:rPr>
        <w:t>付产成品，故公司提起诉讼要求解</w:t>
      </w:r>
    </w:p>
    <w:p>
      <w:pPr>
        <w:spacing w:line="102" w:lineRule="exact" w:before="0"/>
        <w:ind w:left="2562" w:right="-5" w:firstLine="0"/>
        <w:jc w:val="left"/>
        <w:rPr>
          <w:rFonts w:ascii="宋体" w:hAnsi="宋体" w:cs="宋体" w:eastAsia="宋体" w:hint="default"/>
          <w:sz w:val="15"/>
          <w:szCs w:val="15"/>
        </w:rPr>
      </w:pPr>
      <w:r>
        <w:rPr>
          <w:spacing w:val="-2"/>
        </w:rPr>
        <w:br w:type="column"/>
      </w:r>
      <w:r>
        <w:rPr>
          <w:rFonts w:ascii="宋体" w:hAnsi="宋体" w:cs="宋体" w:eastAsia="宋体" w:hint="default"/>
          <w:spacing w:val="-2"/>
          <w:sz w:val="15"/>
          <w:szCs w:val="15"/>
        </w:rPr>
        <w:t>生效之日起三十日内，按长麻纱用料系数</w:t>
      </w:r>
    </w:p>
    <w:p>
      <w:pPr>
        <w:spacing w:line="92" w:lineRule="exact" w:before="0"/>
        <w:ind w:left="140" w:right="-5" w:firstLine="0"/>
        <w:jc w:val="left"/>
        <w:rPr>
          <w:rFonts w:ascii="Arial" w:hAnsi="Arial" w:cs="Arial" w:eastAsia="Arial" w:hint="default"/>
          <w:sz w:val="15"/>
          <w:szCs w:val="15"/>
        </w:rPr>
      </w:pPr>
      <w:r>
        <w:rPr/>
        <w:pict>
          <v:shape style="position:absolute;margin-left:692.02002pt;margin-top:9.535666pt;width:15.15pt;height:7.6pt;mso-position-horizontal-relative:page;mso-position-vertical-relative:paragraph;z-index:-94427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成品</w:t>
                  </w:r>
                </w:p>
              </w:txbxContent>
            </v:textbox>
            <w10:wrap type="none"/>
          </v:shape>
        </w:pict>
      </w:r>
      <w:r>
        <w:rPr>
          <w:rFonts w:ascii="Arial" w:hAnsi="Arial" w:cs="Arial" w:eastAsia="Arial" w:hint="default"/>
          <w:spacing w:val="-1"/>
          <w:w w:val="100"/>
          <w:sz w:val="15"/>
          <w:szCs w:val="15"/>
        </w:rPr>
        <w:t>201</w:t>
      </w:r>
      <w:r>
        <w:rPr>
          <w:rFonts w:ascii="Arial" w:hAnsi="Arial" w:cs="Arial" w:eastAsia="Arial" w:hint="default"/>
          <w:w w:val="100"/>
          <w:sz w:val="15"/>
          <w:szCs w:val="15"/>
        </w:rPr>
        <w:t>5</w:t>
      </w:r>
      <w:r>
        <w:rPr>
          <w:rFonts w:ascii="Arial" w:hAnsi="Arial" w:cs="Arial" w:eastAsia="Arial" w:hint="default"/>
          <w:spacing w:val="-13"/>
          <w:sz w:val="15"/>
          <w:szCs w:val="15"/>
        </w:rPr>
        <w:t> </w:t>
      </w:r>
      <w:r>
        <w:rPr>
          <w:rFonts w:ascii="宋体" w:hAnsi="宋体" w:cs="宋体" w:eastAsia="宋体" w:hint="default"/>
          <w:w w:val="100"/>
          <w:sz w:val="15"/>
          <w:szCs w:val="15"/>
        </w:rPr>
        <w:t>年</w:t>
      </w:r>
      <w:r>
        <w:rPr>
          <w:rFonts w:ascii="宋体" w:hAnsi="宋体" w:cs="宋体" w:eastAsia="宋体" w:hint="default"/>
          <w:spacing w:val="-49"/>
          <w:sz w:val="15"/>
          <w:szCs w:val="15"/>
        </w:rPr>
        <w:t> </w:t>
      </w:r>
      <w:r>
        <w:rPr>
          <w:rFonts w:ascii="Arial" w:hAnsi="Arial" w:cs="Arial" w:eastAsia="Arial" w:hint="default"/>
          <w:w w:val="100"/>
          <w:sz w:val="15"/>
          <w:szCs w:val="15"/>
        </w:rPr>
        <w:t>3</w:t>
      </w:r>
      <w:r>
        <w:rPr>
          <w:rFonts w:ascii="Arial" w:hAnsi="Arial" w:cs="Arial" w:eastAsia="Arial" w:hint="default"/>
          <w:spacing w:val="-13"/>
          <w:sz w:val="15"/>
          <w:szCs w:val="15"/>
        </w:rPr>
        <w:t> </w:t>
      </w:r>
      <w:r>
        <w:rPr>
          <w:rFonts w:ascii="宋体" w:hAnsi="宋体" w:cs="宋体" w:eastAsia="宋体" w:hint="default"/>
          <w:w w:val="100"/>
          <w:sz w:val="15"/>
          <w:szCs w:val="15"/>
        </w:rPr>
        <w:t>月</w:t>
      </w:r>
      <w:r>
        <w:rPr>
          <w:rFonts w:ascii="宋体" w:hAnsi="宋体" w:cs="宋体" w:eastAsia="宋体" w:hint="default"/>
          <w:spacing w:val="-47"/>
          <w:sz w:val="15"/>
          <w:szCs w:val="15"/>
        </w:rPr>
        <w:t> </w:t>
      </w:r>
      <w:r>
        <w:rPr>
          <w:rFonts w:ascii="Arial" w:hAnsi="Arial" w:cs="Arial" w:eastAsia="Arial" w:hint="default"/>
          <w:spacing w:val="-1"/>
          <w:w w:val="100"/>
          <w:sz w:val="15"/>
          <w:szCs w:val="15"/>
        </w:rPr>
        <w:t>2</w:t>
      </w:r>
      <w:r>
        <w:rPr>
          <w:rFonts w:ascii="Arial" w:hAnsi="Arial" w:cs="Arial" w:eastAsia="Arial" w:hint="default"/>
          <w:w w:val="100"/>
          <w:sz w:val="15"/>
          <w:szCs w:val="15"/>
        </w:rPr>
        <w:t>3</w:t>
      </w:r>
      <w:r>
        <w:rPr>
          <w:rFonts w:ascii="Arial" w:hAnsi="Arial" w:cs="Arial" w:eastAsia="Arial" w:hint="default"/>
          <w:spacing w:val="-16"/>
          <w:sz w:val="15"/>
          <w:szCs w:val="15"/>
        </w:rPr>
        <w:t> </w:t>
      </w:r>
      <w:r>
        <w:rPr>
          <w:rFonts w:ascii="宋体" w:hAnsi="宋体" w:cs="宋体" w:eastAsia="宋体" w:hint="default"/>
          <w:w w:val="100"/>
          <w:sz w:val="15"/>
          <w:szCs w:val="15"/>
        </w:rPr>
        <w:t>日</w:t>
      </w:r>
      <w:r>
        <w:rPr>
          <w:rFonts w:ascii="宋体" w:hAnsi="宋体" w:cs="宋体" w:eastAsia="宋体" w:hint="default"/>
          <w:spacing w:val="-3"/>
          <w:w w:val="100"/>
          <w:sz w:val="15"/>
          <w:szCs w:val="15"/>
        </w:rPr>
        <w:t>受</w:t>
      </w:r>
      <w:r>
        <w:rPr>
          <w:rFonts w:ascii="宋体" w:hAnsi="宋体" w:cs="宋体" w:eastAsia="宋体" w:hint="default"/>
          <w:w w:val="100"/>
          <w:sz w:val="15"/>
          <w:szCs w:val="15"/>
        </w:rPr>
        <w:t>理</w:t>
      </w:r>
      <w:r>
        <w:rPr>
          <w:rFonts w:ascii="宋体" w:hAnsi="宋体" w:cs="宋体" w:eastAsia="宋体" w:hint="default"/>
          <w:spacing w:val="-3"/>
          <w:w w:val="100"/>
          <w:sz w:val="15"/>
          <w:szCs w:val="15"/>
        </w:rPr>
        <w:t>本案</w:t>
      </w:r>
      <w:r>
        <w:rPr>
          <w:rFonts w:ascii="宋体" w:hAnsi="宋体" w:cs="宋体" w:eastAsia="宋体" w:hint="default"/>
          <w:spacing w:val="-75"/>
          <w:w w:val="100"/>
          <w:sz w:val="15"/>
          <w:szCs w:val="15"/>
        </w:rPr>
        <w:t>，</w:t>
      </w:r>
      <w:r>
        <w:rPr>
          <w:rFonts w:ascii="宋体" w:hAnsi="宋体" w:cs="宋体" w:eastAsia="宋体" w:hint="default"/>
          <w:w w:val="100"/>
          <w:sz w:val="15"/>
          <w:szCs w:val="15"/>
        </w:rPr>
        <w:t>于</w:t>
      </w:r>
      <w:r>
        <w:rPr>
          <w:rFonts w:ascii="宋体" w:hAnsi="宋体" w:cs="宋体" w:eastAsia="宋体" w:hint="default"/>
          <w:spacing w:val="-47"/>
          <w:sz w:val="15"/>
          <w:szCs w:val="15"/>
        </w:rPr>
        <w:t> </w:t>
      </w:r>
      <w:r>
        <w:rPr>
          <w:rFonts w:ascii="Arial" w:hAnsi="Arial" w:cs="Arial" w:eastAsia="Arial" w:hint="default"/>
          <w:spacing w:val="-3"/>
          <w:w w:val="100"/>
          <w:sz w:val="15"/>
          <w:szCs w:val="15"/>
        </w:rPr>
        <w:t>2</w:t>
      </w:r>
      <w:r>
        <w:rPr>
          <w:rFonts w:ascii="Arial" w:hAnsi="Arial" w:cs="Arial" w:eastAsia="Arial" w:hint="default"/>
          <w:w w:val="100"/>
          <w:sz w:val="15"/>
          <w:szCs w:val="15"/>
        </w:rPr>
        <w:t>015</w:t>
      </w:r>
    </w:p>
    <w:p>
      <w:pPr>
        <w:spacing w:line="141" w:lineRule="exact" w:before="53"/>
        <w:ind w:left="114"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枫亚麻部分亚麻纱产</w:t>
      </w:r>
    </w:p>
    <w:p>
      <w:pPr>
        <w:spacing w:after="0" w:line="141" w:lineRule="exact"/>
        <w:jc w:val="left"/>
        <w:rPr>
          <w:rFonts w:ascii="宋体" w:hAnsi="宋体" w:cs="宋体" w:eastAsia="宋体" w:hint="default"/>
          <w:sz w:val="15"/>
          <w:szCs w:val="15"/>
        </w:rPr>
        <w:sectPr>
          <w:type w:val="continuous"/>
          <w:pgSz w:w="16840" w:h="11910" w:orient="landscape"/>
          <w:pgMar w:top="1360" w:bottom="1380" w:left="1300" w:right="1380"/>
          <w:cols w:num="4" w:equalWidth="0">
            <w:col w:w="1343" w:space="1309"/>
            <w:col w:w="2358" w:space="2111"/>
            <w:col w:w="5265" w:space="40"/>
            <w:col w:w="1734"/>
          </w:cols>
        </w:sectPr>
      </w:pPr>
    </w:p>
    <w:p>
      <w:pPr>
        <w:spacing w:line="151" w:lineRule="exact" w:before="0"/>
        <w:ind w:left="750" w:right="-17" w:firstLine="0"/>
        <w:jc w:val="left"/>
        <w:rPr>
          <w:rFonts w:ascii="宋体" w:hAnsi="宋体" w:cs="宋体" w:eastAsia="宋体" w:hint="default"/>
          <w:sz w:val="15"/>
          <w:szCs w:val="15"/>
        </w:rPr>
      </w:pPr>
      <w:r>
        <w:rPr>
          <w:rFonts w:ascii="宋体" w:hAnsi="宋体" w:cs="宋体" w:eastAsia="宋体" w:hint="default"/>
          <w:sz w:val="15"/>
          <w:szCs w:val="15"/>
        </w:rPr>
        <w:t>加工）</w:t>
      </w:r>
    </w:p>
    <w:p>
      <w:pPr>
        <w:spacing w:line="150" w:lineRule="exact" w:before="0"/>
        <w:ind w:left="750" w:right="0" w:firstLine="0"/>
        <w:jc w:val="left"/>
        <w:rPr>
          <w:rFonts w:ascii="宋体" w:hAnsi="宋体" w:cs="宋体" w:eastAsia="宋体" w:hint="default"/>
          <w:sz w:val="15"/>
          <w:szCs w:val="15"/>
        </w:rPr>
      </w:pPr>
      <w:r>
        <w:rPr>
          <w:spacing w:val="-2"/>
        </w:rPr>
        <w:br w:type="column"/>
      </w:r>
      <w:r>
        <w:rPr>
          <w:rFonts w:ascii="宋体" w:hAnsi="宋体" w:cs="宋体" w:eastAsia="宋体" w:hint="default"/>
          <w:spacing w:val="-2"/>
          <w:sz w:val="15"/>
          <w:szCs w:val="15"/>
        </w:rPr>
        <w:t>除加工合同并返还未加工亚麻原</w:t>
      </w:r>
    </w:p>
    <w:p>
      <w:pPr>
        <w:spacing w:line="143" w:lineRule="exact" w:before="0"/>
        <w:ind w:left="750" w:right="0" w:firstLine="0"/>
        <w:jc w:val="left"/>
        <w:rPr>
          <w:rFonts w:ascii="宋体" w:hAnsi="宋体" w:cs="宋体" w:eastAsia="宋体" w:hint="default"/>
          <w:sz w:val="15"/>
          <w:szCs w:val="15"/>
        </w:rPr>
      </w:pPr>
      <w:r>
        <w:rPr>
          <w:rFonts w:ascii="宋体" w:hAnsi="宋体" w:cs="宋体" w:eastAsia="宋体" w:hint="default"/>
          <w:sz w:val="15"/>
          <w:szCs w:val="15"/>
        </w:rPr>
        <w:t>料及已加工产成品。</w:t>
      </w:r>
    </w:p>
    <w:p>
      <w:pPr>
        <w:tabs>
          <w:tab w:pos="6328" w:val="left" w:leader="none"/>
        </w:tabs>
        <w:spacing w:line="205" w:lineRule="exact" w:before="0"/>
        <w:ind w:left="750"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年</w:t>
      </w:r>
      <w:r>
        <w:rPr>
          <w:rFonts w:ascii="宋体" w:hAnsi="宋体" w:cs="宋体" w:eastAsia="宋体" w:hint="default"/>
          <w:spacing w:val="-33"/>
          <w:sz w:val="15"/>
          <w:szCs w:val="15"/>
        </w:rPr>
        <w:t> </w:t>
      </w:r>
      <w:r>
        <w:rPr>
          <w:rFonts w:ascii="Arial" w:hAnsi="Arial" w:cs="Arial" w:eastAsia="Arial" w:hint="default"/>
          <w:sz w:val="15"/>
          <w:szCs w:val="15"/>
        </w:rPr>
        <w:t>5</w:t>
      </w:r>
      <w:r>
        <w:rPr>
          <w:rFonts w:ascii="Arial" w:hAnsi="Arial" w:cs="Arial" w:eastAsia="Arial"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36"/>
          <w:sz w:val="15"/>
          <w:szCs w:val="15"/>
        </w:rPr>
        <w:t> </w:t>
      </w:r>
      <w:r>
        <w:rPr>
          <w:rFonts w:ascii="Arial" w:hAnsi="Arial" w:cs="Arial" w:eastAsia="Arial" w:hint="default"/>
          <w:sz w:val="15"/>
          <w:szCs w:val="15"/>
        </w:rPr>
        <w:t>13</w:t>
      </w:r>
      <w:r>
        <w:rPr>
          <w:rFonts w:ascii="Arial" w:hAnsi="Arial" w:cs="Arial" w:eastAsia="Arial" w:hint="default"/>
          <w:spacing w:val="-3"/>
          <w:sz w:val="15"/>
          <w:szCs w:val="15"/>
        </w:rPr>
        <w:t> </w:t>
      </w:r>
      <w:r>
        <w:rPr>
          <w:rFonts w:ascii="宋体" w:hAnsi="宋体" w:cs="宋体" w:eastAsia="宋体" w:hint="default"/>
          <w:spacing w:val="-16"/>
          <w:sz w:val="15"/>
          <w:szCs w:val="15"/>
        </w:rPr>
        <w:t>日、</w:t>
      </w:r>
      <w:r>
        <w:rPr>
          <w:rFonts w:ascii="Arial" w:hAnsi="Arial" w:cs="Arial" w:eastAsia="Arial" w:hint="default"/>
          <w:spacing w:val="-16"/>
          <w:sz w:val="15"/>
          <w:szCs w:val="15"/>
        </w:rPr>
        <w:t>6</w:t>
      </w:r>
      <w:r>
        <w:rPr>
          <w:rFonts w:ascii="Arial" w:hAnsi="Arial" w:cs="Arial" w:eastAsia="Arial"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36"/>
          <w:sz w:val="15"/>
          <w:szCs w:val="15"/>
        </w:rPr>
        <w:t> </w:t>
      </w:r>
      <w:r>
        <w:rPr>
          <w:rFonts w:ascii="Arial" w:hAnsi="Arial" w:cs="Arial" w:eastAsia="Arial" w:hint="default"/>
          <w:sz w:val="15"/>
          <w:szCs w:val="15"/>
        </w:rPr>
        <w:t>25</w:t>
      </w:r>
      <w:r>
        <w:rPr>
          <w:rFonts w:ascii="Arial" w:hAnsi="Arial" w:cs="Arial" w:eastAsia="Arial" w:hint="default"/>
          <w:spacing w:val="-3"/>
          <w:sz w:val="15"/>
          <w:szCs w:val="15"/>
        </w:rPr>
        <w:t> </w:t>
      </w:r>
      <w:r>
        <w:rPr>
          <w:rFonts w:ascii="宋体" w:hAnsi="宋体" w:cs="宋体" w:eastAsia="宋体" w:hint="default"/>
          <w:sz w:val="15"/>
          <w:szCs w:val="15"/>
        </w:rPr>
        <w:t>日开庭审理本</w:t>
      </w:r>
      <w:r>
        <w:rPr>
          <w:rFonts w:ascii="宋体" w:hAnsi="宋体" w:cs="宋体" w:eastAsia="宋体" w:hint="default"/>
          <w:spacing w:val="-18"/>
          <w:sz w:val="15"/>
          <w:szCs w:val="15"/>
        </w:rPr>
        <w:t> </w:t>
      </w:r>
      <w:r>
        <w:rPr>
          <w:rFonts w:ascii="Arial" w:hAnsi="Arial" w:cs="Arial" w:eastAsia="Arial" w:hint="default"/>
          <w:spacing w:val="-3"/>
          <w:position w:val="10"/>
          <w:sz w:val="15"/>
          <w:szCs w:val="15"/>
        </w:rPr>
        <w:t>2.2</w:t>
      </w:r>
      <w:r>
        <w:rPr>
          <w:rFonts w:ascii="宋体" w:hAnsi="宋体" w:cs="宋体" w:eastAsia="宋体" w:hint="default"/>
          <w:spacing w:val="-3"/>
          <w:position w:val="10"/>
          <w:sz w:val="15"/>
          <w:szCs w:val="15"/>
        </w:rPr>
        <w:t>、其他用料系数按照《亚麻纱加工合同》</w:t>
        <w:tab/>
      </w:r>
      <w:r>
        <w:rPr>
          <w:rFonts w:ascii="宋体" w:hAnsi="宋体" w:cs="宋体" w:eastAsia="宋体" w:hint="default"/>
          <w:spacing w:val="-5"/>
          <w:sz w:val="15"/>
          <w:szCs w:val="15"/>
        </w:rPr>
        <w:t>、亚麻，案件现处</w:t>
      </w:r>
    </w:p>
    <w:p>
      <w:pPr>
        <w:spacing w:line="88" w:lineRule="exact" w:before="0"/>
        <w:ind w:left="3172" w:right="0" w:firstLine="0"/>
        <w:jc w:val="left"/>
        <w:rPr>
          <w:rFonts w:ascii="宋体" w:hAnsi="宋体" w:cs="宋体" w:eastAsia="宋体" w:hint="default"/>
          <w:sz w:val="15"/>
          <w:szCs w:val="15"/>
        </w:rPr>
      </w:pPr>
      <w:r>
        <w:rPr>
          <w:rFonts w:ascii="宋体" w:hAnsi="宋体" w:cs="宋体" w:eastAsia="宋体" w:hint="default"/>
          <w:spacing w:val="-4"/>
          <w:sz w:val="15"/>
          <w:szCs w:val="15"/>
        </w:rPr>
        <w:t>约定，给付鑫亚公司已加工完毕的亚麻纱产</w:t>
      </w:r>
    </w:p>
    <w:p>
      <w:pPr>
        <w:spacing w:after="0" w:line="88" w:lineRule="exact"/>
        <w:jc w:val="left"/>
        <w:rPr>
          <w:rFonts w:ascii="宋体" w:hAnsi="宋体" w:cs="宋体" w:eastAsia="宋体" w:hint="default"/>
          <w:sz w:val="15"/>
          <w:szCs w:val="15"/>
        </w:rPr>
        <w:sectPr>
          <w:type w:val="continuous"/>
          <w:pgSz w:w="16840" w:h="11910" w:orient="landscape"/>
          <w:pgMar w:top="1360" w:bottom="1380" w:left="1300" w:right="1380"/>
          <w:cols w:num="3" w:equalWidth="0">
            <w:col w:w="1204" w:space="838"/>
            <w:col w:w="2853" w:space="1617"/>
            <w:col w:w="7648"/>
          </w:cols>
        </w:sectPr>
      </w:pPr>
    </w:p>
    <w:p>
      <w:pPr>
        <w:spacing w:line="155" w:lineRule="exact" w:before="0"/>
        <w:ind w:left="0" w:right="0" w:firstLine="0"/>
        <w:jc w:val="right"/>
        <w:rPr>
          <w:rFonts w:ascii="宋体" w:hAnsi="宋体" w:cs="宋体" w:eastAsia="宋体" w:hint="default"/>
          <w:sz w:val="15"/>
          <w:szCs w:val="15"/>
        </w:rPr>
      </w:pPr>
      <w:r>
        <w:rPr/>
        <w:pict>
          <v:group style="position:absolute;margin-left:70.079987pt;margin-top:89.900009pt;width:697.55pt;height:425.85pt;mso-position-horizontal-relative:page;mso-position-vertical-relative:page;z-index:-944320" coordorigin="1402,1798" coordsize="13951,8517">
            <v:group style="position:absolute;left:1411;top:1808;width:608;height:2" coordorigin="1411,1808" coordsize="608,2">
              <v:shape style="position:absolute;left:1411;top:1808;width:608;height:2" coordorigin="1411,1808" coordsize="608,0" path="m1411,1808l2019,1808e" filled="false" stroked="true" strokeweight=".96pt" strokecolor="#41b7ee">
                <v:path arrowok="t"/>
              </v:shape>
            </v:group>
            <v:group style="position:absolute;left:1411;top:1846;width:608;height:2" coordorigin="1411,1846" coordsize="608,2">
              <v:shape style="position:absolute;left:1411;top:1846;width:608;height:2" coordorigin="1411,1846" coordsize="608,0" path="m1411,1846l2019,1846e" filled="false" stroked="true" strokeweight=".96001pt" strokecolor="#41b7ee">
                <v:path arrowok="t"/>
              </v:shape>
            </v:group>
            <v:group style="position:absolute;left:2019;top:1808;width:58;height:2" coordorigin="2019,1808" coordsize="58,2">
              <v:shape style="position:absolute;left:2019;top:1808;width:58;height:2" coordorigin="2019,1808" coordsize="58,0" path="m2019,1808l2076,1808e" filled="false" stroked="true" strokeweight=".96pt" strokecolor="#41b7ee">
                <v:path arrowok="t"/>
              </v:shape>
            </v:group>
            <v:group style="position:absolute;left:2019;top:1846;width:58;height:2" coordorigin="2019,1846" coordsize="58,2">
              <v:shape style="position:absolute;left:2019;top:1846;width:58;height:2" coordorigin="2019,1846" coordsize="58,0" path="m2019,1846l2076,1846e" filled="false" stroked="true" strokeweight=".96001pt" strokecolor="#41b7ee">
                <v:path arrowok="t"/>
              </v:shape>
            </v:group>
            <v:group style="position:absolute;left:2076;top:1808;width:588;height:2" coordorigin="2076,1808" coordsize="588,2">
              <v:shape style="position:absolute;left:2076;top:1808;width:588;height:2" coordorigin="2076,1808" coordsize="588,0" path="m2076,1808l2664,1808e" filled="false" stroked="true" strokeweight=".96pt" strokecolor="#41b7ee">
                <v:path arrowok="t"/>
              </v:shape>
            </v:group>
            <v:group style="position:absolute;left:2076;top:1846;width:588;height:2" coordorigin="2076,1846" coordsize="588,2">
              <v:shape style="position:absolute;left:2076;top:1846;width:588;height:2" coordorigin="2076,1846" coordsize="588,0" path="m2076,1846l2664,1846e" filled="false" stroked="true" strokeweight=".96001pt" strokecolor="#41b7ee">
                <v:path arrowok="t"/>
              </v:shape>
            </v:group>
            <v:group style="position:absolute;left:2664;top:1808;width:58;height:2" coordorigin="2664,1808" coordsize="58,2">
              <v:shape style="position:absolute;left:2664;top:1808;width:58;height:2" coordorigin="2664,1808" coordsize="58,0" path="m2664,1808l2722,1808e" filled="false" stroked="true" strokeweight=".96pt" strokecolor="#41b7ee">
                <v:path arrowok="t"/>
              </v:shape>
            </v:group>
            <v:group style="position:absolute;left:2664;top:1846;width:58;height:2" coordorigin="2664,1846" coordsize="58,2">
              <v:shape style="position:absolute;left:2664;top:1846;width:58;height:2" coordorigin="2664,1846" coordsize="58,0" path="m2664,1846l2722,1846e" filled="false" stroked="true" strokeweight=".96001pt" strokecolor="#41b7ee">
                <v:path arrowok="t"/>
              </v:shape>
            </v:group>
            <v:group style="position:absolute;left:2722;top:1808;width:737;height:2" coordorigin="2722,1808" coordsize="737,2">
              <v:shape style="position:absolute;left:2722;top:1808;width:737;height:2" coordorigin="2722,1808" coordsize="737,0" path="m2722,1808l3459,1808e" filled="false" stroked="true" strokeweight=".96pt" strokecolor="#41b7ee">
                <v:path arrowok="t"/>
              </v:shape>
            </v:group>
            <v:group style="position:absolute;left:2722;top:1846;width:737;height:2" coordorigin="2722,1846" coordsize="737,2">
              <v:shape style="position:absolute;left:2722;top:1846;width:737;height:2" coordorigin="2722,1846" coordsize="737,0" path="m2722,1846l3459,1846e" filled="false" stroked="true" strokeweight=".96001pt" strokecolor="#41b7ee">
                <v:path arrowok="t"/>
              </v:shape>
            </v:group>
            <v:group style="position:absolute;left:3459;top:1808;width:58;height:2" coordorigin="3459,1808" coordsize="58,2">
              <v:shape style="position:absolute;left:3459;top:1808;width:58;height:2" coordorigin="3459,1808" coordsize="58,0" path="m3459,1808l3516,1808e" filled="false" stroked="true" strokeweight=".96pt" strokecolor="#41b7ee">
                <v:path arrowok="t"/>
              </v:shape>
            </v:group>
            <v:group style="position:absolute;left:3459;top:1846;width:58;height:2" coordorigin="3459,1846" coordsize="58,2">
              <v:shape style="position:absolute;left:3459;top:1846;width:58;height:2" coordorigin="3459,1846" coordsize="58,0" path="m3459,1846l3516,1846e" filled="false" stroked="true" strokeweight=".96001pt" strokecolor="#41b7ee">
                <v:path arrowok="t"/>
              </v:shape>
            </v:group>
            <v:group style="position:absolute;left:3516;top:1808;width:543;height:2" coordorigin="3516,1808" coordsize="543,2">
              <v:shape style="position:absolute;left:3516;top:1808;width:543;height:2" coordorigin="3516,1808" coordsize="543,0" path="m3516,1808l4059,1808e" filled="false" stroked="true" strokeweight=".96pt" strokecolor="#41b7ee">
                <v:path arrowok="t"/>
              </v:shape>
            </v:group>
            <v:group style="position:absolute;left:3516;top:1846;width:543;height:2" coordorigin="3516,1846" coordsize="543,2">
              <v:shape style="position:absolute;left:3516;top:1846;width:543;height:2" coordorigin="3516,1846" coordsize="543,0" path="m3516,1846l4059,1846e" filled="false" stroked="true" strokeweight=".96001pt" strokecolor="#41b7ee">
                <v:path arrowok="t"/>
              </v:shape>
            </v:group>
            <v:group style="position:absolute;left:4059;top:1808;width:58;height:2" coordorigin="4059,1808" coordsize="58,2">
              <v:shape style="position:absolute;left:4059;top:1808;width:58;height:2" coordorigin="4059,1808" coordsize="58,0" path="m4059,1808l4116,1808e" filled="false" stroked="true" strokeweight=".96pt" strokecolor="#41b7ee">
                <v:path arrowok="t"/>
              </v:shape>
            </v:group>
            <v:group style="position:absolute;left:4059;top:1846;width:58;height:2" coordorigin="4059,1846" coordsize="58,2">
              <v:shape style="position:absolute;left:4059;top:1846;width:58;height:2" coordorigin="4059,1846" coordsize="58,0" path="m4059,1846l4116,1846e" filled="false" stroked="true" strokeweight=".96001pt" strokecolor="#41b7ee">
                <v:path arrowok="t"/>
              </v:shape>
            </v:group>
            <v:group style="position:absolute;left:4116;top:1808;width:2216;height:2" coordorigin="4116,1808" coordsize="2216,2">
              <v:shape style="position:absolute;left:4116;top:1808;width:2216;height:2" coordorigin="4116,1808" coordsize="2216,0" path="m4116,1808l6332,1808e" filled="false" stroked="true" strokeweight=".96pt" strokecolor="#41b7ee">
                <v:path arrowok="t"/>
              </v:shape>
            </v:group>
            <v:group style="position:absolute;left:4116;top:1846;width:2216;height:2" coordorigin="4116,1846" coordsize="2216,2">
              <v:shape style="position:absolute;left:4116;top:1846;width:2216;height:2" coordorigin="4116,1846" coordsize="2216,0" path="m4116,1846l6332,1846e" filled="false" stroked="true" strokeweight=".96001pt" strokecolor="#41b7ee">
                <v:path arrowok="t"/>
              </v:shape>
            </v:group>
            <v:group style="position:absolute;left:6332;top:1808;width:58;height:2" coordorigin="6332,1808" coordsize="58,2">
              <v:shape style="position:absolute;left:6332;top:1808;width:58;height:2" coordorigin="6332,1808" coordsize="58,0" path="m6332,1808l6390,1808e" filled="false" stroked="true" strokeweight=".96pt" strokecolor="#41b7ee">
                <v:path arrowok="t"/>
              </v:shape>
            </v:group>
            <v:group style="position:absolute;left:6332;top:1846;width:58;height:2" coordorigin="6332,1846" coordsize="58,2">
              <v:shape style="position:absolute;left:6332;top:1846;width:58;height:2" coordorigin="6332,1846" coordsize="58,0" path="m6332,1846l6390,1846e" filled="false" stroked="true" strokeweight=".96001pt" strokecolor="#41b7ee">
                <v:path arrowok="t"/>
              </v:shape>
            </v:group>
            <v:group style="position:absolute;left:6390;top:1808;width:1301;height:2" coordorigin="6390,1808" coordsize="1301,2">
              <v:shape style="position:absolute;left:6390;top:1808;width:1301;height:2" coordorigin="6390,1808" coordsize="1301,0" path="m6390,1808l7691,1808e" filled="false" stroked="true" strokeweight=".96pt" strokecolor="#41b7ee">
                <v:path arrowok="t"/>
              </v:shape>
            </v:group>
            <v:group style="position:absolute;left:6390;top:1846;width:1301;height:2" coordorigin="6390,1846" coordsize="1301,2">
              <v:shape style="position:absolute;left:6390;top:1846;width:1301;height:2" coordorigin="6390,1846" coordsize="1301,0" path="m6390,1846l7691,1846e" filled="false" stroked="true" strokeweight=".96001pt" strokecolor="#41b7ee">
                <v:path arrowok="t"/>
              </v:shape>
            </v:group>
            <v:group style="position:absolute;left:7691;top:1808;width:58;height:2" coordorigin="7691,1808" coordsize="58,2">
              <v:shape style="position:absolute;left:7691;top:1808;width:58;height:2" coordorigin="7691,1808" coordsize="58,0" path="m7691,1808l7748,1808e" filled="false" stroked="true" strokeweight=".96pt" strokecolor="#41b7ee">
                <v:path arrowok="t"/>
              </v:shape>
            </v:group>
            <v:group style="position:absolute;left:7691;top:1846;width:58;height:2" coordorigin="7691,1846" coordsize="58,2">
              <v:shape style="position:absolute;left:7691;top:1846;width:58;height:2" coordorigin="7691,1846" coordsize="58,0" path="m7691,1846l7748,1846e" filled="false" stroked="true" strokeweight=".96001pt" strokecolor="#41b7ee">
                <v:path arrowok="t"/>
              </v:shape>
            </v:group>
            <v:group style="position:absolute;left:7748;top:1808;width:780;height:2" coordorigin="7748,1808" coordsize="780,2">
              <v:shape style="position:absolute;left:7748;top:1808;width:780;height:2" coordorigin="7748,1808" coordsize="780,0" path="m7748,1808l8528,1808e" filled="false" stroked="true" strokeweight=".96pt" strokecolor="#41b7ee">
                <v:path arrowok="t"/>
              </v:shape>
            </v:group>
            <v:group style="position:absolute;left:7748;top:1846;width:780;height:2" coordorigin="7748,1846" coordsize="780,2">
              <v:shape style="position:absolute;left:7748;top:1846;width:780;height:2" coordorigin="7748,1846" coordsize="780,0" path="m7748,1846l8528,1846e" filled="false" stroked="true" strokeweight=".96001pt" strokecolor="#41b7ee">
                <v:path arrowok="t"/>
              </v:shape>
            </v:group>
            <v:group style="position:absolute;left:8528;top:1808;width:58;height:2" coordorigin="8528,1808" coordsize="58,2">
              <v:shape style="position:absolute;left:8528;top:1808;width:58;height:2" coordorigin="8528,1808" coordsize="58,0" path="m8528,1808l8586,1808e" filled="false" stroked="true" strokeweight=".96pt" strokecolor="#41b7ee">
                <v:path arrowok="t"/>
              </v:shape>
            </v:group>
            <v:group style="position:absolute;left:8528;top:1846;width:58;height:2" coordorigin="8528,1846" coordsize="58,2">
              <v:shape style="position:absolute;left:8528;top:1846;width:58;height:2" coordorigin="8528,1846" coordsize="58,0" path="m8528,1846l8586,1846e" filled="false" stroked="true" strokeweight=".96001pt" strokecolor="#41b7ee">
                <v:path arrowok="t"/>
              </v:shape>
            </v:group>
            <v:group style="position:absolute;left:8586;top:1808;width:2365;height:2" coordorigin="8586,1808" coordsize="2365,2">
              <v:shape style="position:absolute;left:8586;top:1808;width:2365;height:2" coordorigin="8586,1808" coordsize="2365,0" path="m8586,1808l10950,1808e" filled="false" stroked="true" strokeweight=".96pt" strokecolor="#41b7ee">
                <v:path arrowok="t"/>
              </v:shape>
            </v:group>
            <v:group style="position:absolute;left:8586;top:1846;width:2365;height:2" coordorigin="8586,1846" coordsize="2365,2">
              <v:shape style="position:absolute;left:8586;top:1846;width:2365;height:2" coordorigin="8586,1846" coordsize="2365,0" path="m8586,1846l10950,1846e" filled="false" stroked="true" strokeweight=".96001pt" strokecolor="#41b7ee">
                <v:path arrowok="t"/>
              </v:shape>
            </v:group>
            <v:group style="position:absolute;left:10950;top:1808;width:58;height:2" coordorigin="10950,1808" coordsize="58,2">
              <v:shape style="position:absolute;left:10950;top:1808;width:58;height:2" coordorigin="10950,1808" coordsize="58,0" path="m10950,1808l11008,1808e" filled="false" stroked="true" strokeweight=".96pt" strokecolor="#41b7ee">
                <v:path arrowok="t"/>
              </v:shape>
            </v:group>
            <v:group style="position:absolute;left:10950;top:1846;width:58;height:2" coordorigin="10950,1846" coordsize="58,2">
              <v:shape style="position:absolute;left:10950;top:1846;width:58;height:2" coordorigin="10950,1846" coordsize="58,0" path="m10950,1846l11008,1846e" filled="false" stroked="true" strokeweight=".96001pt" strokecolor="#41b7ee">
                <v:path arrowok="t"/>
              </v:shape>
            </v:group>
            <v:group style="position:absolute;left:11008;top:1808;width:2802;height:2" coordorigin="11008,1808" coordsize="2802,2">
              <v:shape style="position:absolute;left:11008;top:1808;width:2802;height:2" coordorigin="11008,1808" coordsize="2802,0" path="m11008,1808l13809,1808e" filled="false" stroked="true" strokeweight=".96pt" strokecolor="#41b7ee">
                <v:path arrowok="t"/>
              </v:shape>
            </v:group>
            <v:group style="position:absolute;left:11008;top:1846;width:2802;height:2" coordorigin="11008,1846" coordsize="2802,2">
              <v:shape style="position:absolute;left:11008;top:1846;width:2802;height:2" coordorigin="11008,1846" coordsize="2802,0" path="m11008,1846l13809,1846e" filled="false" stroked="true" strokeweight=".96001pt" strokecolor="#41b7ee">
                <v:path arrowok="t"/>
              </v:shape>
            </v:group>
            <v:group style="position:absolute;left:13809;top:1808;width:58;height:2" coordorigin="13809,1808" coordsize="58,2">
              <v:shape style="position:absolute;left:13809;top:1808;width:58;height:2" coordorigin="13809,1808" coordsize="58,0" path="m13809,1808l13867,1808e" filled="false" stroked="true" strokeweight=".96pt" strokecolor="#41b7ee">
                <v:path arrowok="t"/>
              </v:shape>
            </v:group>
            <v:group style="position:absolute;left:13809;top:1846;width:58;height:2" coordorigin="13809,1846" coordsize="58,2">
              <v:shape style="position:absolute;left:13809;top:1846;width:58;height:2" coordorigin="13809,1846" coordsize="58,0" path="m13809,1846l13867,1846e" filled="false" stroked="true" strokeweight=".96001pt" strokecolor="#41b7ee">
                <v:path arrowok="t"/>
              </v:shape>
            </v:group>
            <v:group style="position:absolute;left:13867;top:1808;width:1476;height:2" coordorigin="13867,1808" coordsize="1476,2">
              <v:shape style="position:absolute;left:13867;top:1808;width:1476;height:2" coordorigin="13867,1808" coordsize="1476,0" path="m13867,1808l15343,1808e" filled="false" stroked="true" strokeweight=".96pt" strokecolor="#41b7ee">
                <v:path arrowok="t"/>
              </v:shape>
            </v:group>
            <v:group style="position:absolute;left:13867;top:1846;width:1476;height:2" coordorigin="13867,1846" coordsize="1476,2">
              <v:shape style="position:absolute;left:13867;top:1846;width:1476;height:2" coordorigin="13867,1846" coordsize="1476,0" path="m13867,1846l15343,1846e" filled="false" stroked="true" strokeweight=".96001pt" strokecolor="#41b7ee">
                <v:path arrowok="t"/>
              </v:shape>
            </v:group>
            <v:group style="position:absolute;left:10972;top:2684;width:2;height:2530" coordorigin="10972,2684" coordsize="2,2530">
              <v:shape style="position:absolute;left:10972;top:2684;width:2;height:2530" coordorigin="10972,2684" coordsize="0,2530" path="m10972,2684l10972,5214e" filled="false" stroked="true" strokeweight="1.2pt" strokecolor="#ffffff">
                <v:path arrowok="t"/>
              </v:shape>
            </v:group>
            <v:group style="position:absolute;left:10984;top:3072;width:2802;height:197" coordorigin="10984,3072" coordsize="2802,197">
              <v:shape style="position:absolute;left:10984;top:3072;width:2802;height:197" coordorigin="10984,3072" coordsize="2802,197" path="m10984,3269l13785,3269,13785,3072,10984,3072,10984,3269xe" filled="true" fillcolor="#ffffff" stroked="false">
                <v:path arrowok="t"/>
                <v:fill type="solid"/>
              </v:shape>
            </v:group>
            <v:group style="position:absolute;left:13830;top:3171;width:2;height:1556" coordorigin="13830,3171" coordsize="2,1556">
              <v:shape style="position:absolute;left:13830;top:3171;width:2;height:1556" coordorigin="13830,3171" coordsize="0,1556" path="m13830,3171l13830,4727e" filled="false" stroked="true" strokeweight="1.08pt" strokecolor="#ffffff">
                <v:path arrowok="t"/>
              </v:shape>
            </v:group>
            <v:group style="position:absolute;left:13819;top:4727;width:1524;height:488" coordorigin="13819,4727" coordsize="1524,488">
              <v:shape style="position:absolute;left:13819;top:4727;width:1524;height:488" coordorigin="13819,4727" coordsize="1524,488" path="m13819,5214l15343,5214,15343,4727,13819,4727,13819,5214xe" filled="true" fillcolor="#ffffff" stroked="false">
                <v:path arrowok="t"/>
                <v:fill type="solid"/>
              </v:shape>
            </v:group>
            <v:group style="position:absolute;left:13840;top:3949;width:1474;height:195" coordorigin="13840,3949" coordsize="1474,195">
              <v:shape style="position:absolute;left:13840;top:3949;width:1474;height:195" coordorigin="13840,3949" coordsize="1474,195" path="m13840,4143l15314,4143,15314,3949,13840,3949,13840,4143xe" filled="true" fillcolor="#ffffff" stroked="false">
                <v:path arrowok="t"/>
                <v:fill type="solid"/>
              </v:shape>
            </v:group>
            <v:group style="position:absolute;left:13840;top:4143;width:1474;height:195" coordorigin="13840,4143" coordsize="1474,195">
              <v:shape style="position:absolute;left:13840;top:4143;width:1474;height:195" coordorigin="13840,4143" coordsize="1474,195" path="m13840,4338l15314,4338,15314,4143,13840,4143,13840,4338xe" filled="true" fillcolor="#ffffff" stroked="false">
                <v:path arrowok="t"/>
                <v:fill type="solid"/>
              </v:shape>
            </v:group>
            <v:group style="position:absolute;left:1411;top:2679;width:608;height:2" coordorigin="1411,2679" coordsize="608,2">
              <v:shape style="position:absolute;left:1411;top:2679;width:608;height:2" coordorigin="1411,2679" coordsize="608,0" path="m1411,2679l2019,2679e" filled="false" stroked="true" strokeweight=".48001pt" strokecolor="#41b7ee">
                <v:path arrowok="t"/>
              </v:shape>
            </v:group>
            <v:group style="position:absolute;left:2028;top:2679;width:636;height:2" coordorigin="2028,2679" coordsize="636,2">
              <v:shape style="position:absolute;left:2028;top:2679;width:636;height:2" coordorigin="2028,2679" coordsize="636,0" path="m2028,2679l2664,2679e" filled="false" stroked="true" strokeweight=".48001pt" strokecolor="#41b7ee">
                <v:path arrowok="t"/>
              </v:shape>
            </v:group>
            <v:group style="position:absolute;left:2674;top:2679;width:785;height:2" coordorigin="2674,2679" coordsize="785,2">
              <v:shape style="position:absolute;left:2674;top:2679;width:785;height:2" coordorigin="2674,2679" coordsize="785,0" path="m2674,2679l3459,2679e" filled="false" stroked="true" strokeweight=".48001pt" strokecolor="#41b7ee">
                <v:path arrowok="t"/>
              </v:shape>
            </v:group>
            <v:group style="position:absolute;left:3468;top:2679;width:591;height:2" coordorigin="3468,2679" coordsize="591,2">
              <v:shape style="position:absolute;left:3468;top:2679;width:591;height:2" coordorigin="3468,2679" coordsize="591,0" path="m3468,2679l4059,2679e" filled="false" stroked="true" strokeweight=".48001pt" strokecolor="#41b7ee">
                <v:path arrowok="t"/>
              </v:shape>
            </v:group>
            <v:group style="position:absolute;left:4068;top:2679;width:2264;height:2" coordorigin="4068,2679" coordsize="2264,2">
              <v:shape style="position:absolute;left:4068;top:2679;width:2264;height:2" coordorigin="4068,2679" coordsize="2264,0" path="m4068,2679l6332,2679e" filled="false" stroked="true" strokeweight=".48001pt" strokecolor="#41b7ee">
                <v:path arrowok="t"/>
              </v:shape>
            </v:group>
            <v:group style="position:absolute;left:6342;top:2679;width:1349;height:2" coordorigin="6342,2679" coordsize="1349,2">
              <v:shape style="position:absolute;left:6342;top:2679;width:1349;height:2" coordorigin="6342,2679" coordsize="1349,0" path="m6342,2679l7691,2679e" filled="false" stroked="true" strokeweight=".48001pt" strokecolor="#41b7ee">
                <v:path arrowok="t"/>
              </v:shape>
            </v:group>
            <v:group style="position:absolute;left:7700;top:2679;width:828;height:2" coordorigin="7700,2679" coordsize="828,2">
              <v:shape style="position:absolute;left:7700;top:2679;width:828;height:2" coordorigin="7700,2679" coordsize="828,0" path="m7700,2679l8528,2679e" filled="false" stroked="true" strokeweight=".48001pt" strokecolor="#41b7ee">
                <v:path arrowok="t"/>
              </v:shape>
            </v:group>
            <v:group style="position:absolute;left:8538;top:2679;width:2413;height:2" coordorigin="8538,2679" coordsize="2413,2">
              <v:shape style="position:absolute;left:8538;top:2679;width:2413;height:2" coordorigin="8538,2679" coordsize="2413,0" path="m8538,2679l10950,2679e" filled="false" stroked="true" strokeweight=".48001pt" strokecolor="#41b7ee">
                <v:path arrowok="t"/>
              </v:shape>
            </v:group>
            <v:group style="position:absolute;left:10960;top:2679;width:2850;height:2" coordorigin="10960,2679" coordsize="2850,2">
              <v:shape style="position:absolute;left:10960;top:2679;width:2850;height:2" coordorigin="10960,2679" coordsize="2850,0" path="m10960,2679l13809,2679e" filled="false" stroked="true" strokeweight=".48001pt" strokecolor="#41b7ee">
                <v:path arrowok="t"/>
              </v:shape>
            </v:group>
            <v:group style="position:absolute;left:13819;top:2679;width:1524;height:2" coordorigin="13819,2679" coordsize="1524,2">
              <v:shape style="position:absolute;left:13819;top:2679;width:1524;height:2" coordorigin="13819,2679" coordsize="1524,0" path="m13819,2679l15343,2679e" filled="false" stroked="true" strokeweight=".48001pt" strokecolor="#41b7ee">
                <v:path arrowok="t"/>
              </v:shape>
            </v:group>
            <v:group style="position:absolute;left:1411;top:5219;width:608;height:2" coordorigin="1411,5219" coordsize="608,2">
              <v:shape style="position:absolute;left:1411;top:5219;width:608;height:2" coordorigin="1411,5219" coordsize="608,0" path="m1411,5219l2019,5219e" filled="false" stroked="true" strokeweight=".48001pt" strokecolor="#41b7ee">
                <v:path arrowok="t"/>
              </v:shape>
            </v:group>
            <v:group style="position:absolute;left:2028;top:5219;width:636;height:2" coordorigin="2028,5219" coordsize="636,2">
              <v:shape style="position:absolute;left:2028;top:5219;width:636;height:2" coordorigin="2028,5219" coordsize="636,0" path="m2028,5219l2664,5219e" filled="false" stroked="true" strokeweight=".48001pt" strokecolor="#41b7ee">
                <v:path arrowok="t"/>
              </v:shape>
            </v:group>
            <v:group style="position:absolute;left:2674;top:5219;width:785;height:2" coordorigin="2674,5219" coordsize="785,2">
              <v:shape style="position:absolute;left:2674;top:5219;width:785;height:2" coordorigin="2674,5219" coordsize="785,0" path="m2674,5219l3459,5219e" filled="false" stroked="true" strokeweight=".48001pt" strokecolor="#41b7ee">
                <v:path arrowok="t"/>
              </v:shape>
            </v:group>
            <v:group style="position:absolute;left:3468;top:5219;width:591;height:2" coordorigin="3468,5219" coordsize="591,2">
              <v:shape style="position:absolute;left:3468;top:5219;width:591;height:2" coordorigin="3468,5219" coordsize="591,0" path="m3468,5219l4059,5219e" filled="false" stroked="true" strokeweight=".48001pt" strokecolor="#41b7ee">
                <v:path arrowok="t"/>
              </v:shape>
            </v:group>
            <v:group style="position:absolute;left:4068;top:5219;width:2264;height:2" coordorigin="4068,5219" coordsize="2264,2">
              <v:shape style="position:absolute;left:4068;top:5219;width:2264;height:2" coordorigin="4068,5219" coordsize="2264,0" path="m4068,5219l6332,5219e" filled="false" stroked="true" strokeweight=".48001pt" strokecolor="#41b7ee">
                <v:path arrowok="t"/>
              </v:shape>
            </v:group>
            <v:group style="position:absolute;left:6342;top:5219;width:1349;height:2" coordorigin="6342,5219" coordsize="1349,2">
              <v:shape style="position:absolute;left:6342;top:5219;width:1349;height:2" coordorigin="6342,5219" coordsize="1349,0" path="m6342,5219l7691,5219e" filled="false" stroked="true" strokeweight=".48001pt" strokecolor="#41b7ee">
                <v:path arrowok="t"/>
              </v:shape>
            </v:group>
            <v:group style="position:absolute;left:7700;top:5219;width:828;height:2" coordorigin="7700,5219" coordsize="828,2">
              <v:shape style="position:absolute;left:7700;top:5219;width:828;height:2" coordorigin="7700,5219" coordsize="828,0" path="m7700,5219l8528,5219e" filled="false" stroked="true" strokeweight=".48001pt" strokecolor="#41b7ee">
                <v:path arrowok="t"/>
              </v:shape>
            </v:group>
            <v:group style="position:absolute;left:8538;top:5219;width:2413;height:2" coordorigin="8538,5219" coordsize="2413,2">
              <v:shape style="position:absolute;left:8538;top:5219;width:2413;height:2" coordorigin="8538,5219" coordsize="2413,0" path="m8538,5219l10950,5219e" filled="false" stroked="true" strokeweight=".48001pt" strokecolor="#41b7ee">
                <v:path arrowok="t"/>
              </v:shape>
            </v:group>
            <v:group style="position:absolute;left:10960;top:5219;width:2850;height:2" coordorigin="10960,5219" coordsize="2850,2">
              <v:shape style="position:absolute;left:10960;top:5219;width:2850;height:2" coordorigin="10960,5219" coordsize="2850,0" path="m10960,5219l13809,5219e" filled="false" stroked="true" strokeweight=".48001pt" strokecolor="#41b7ee">
                <v:path arrowok="t"/>
              </v:shape>
            </v:group>
            <v:group style="position:absolute;left:13819;top:5219;width:1524;height:2" coordorigin="13819,5219" coordsize="1524,2">
              <v:shape style="position:absolute;left:13819;top:5219;width:1524;height:2" coordorigin="13819,5219" coordsize="1524,0" path="m13819,5219l15343,5219e" filled="false" stroked="true" strokeweight=".48001pt" strokecolor="#41b7ee">
                <v:path arrowok="t"/>
              </v:shape>
            </v:group>
            <v:group style="position:absolute;left:1411;top:8147;width:608;height:2" coordorigin="1411,8147" coordsize="608,2">
              <v:shape style="position:absolute;left:1411;top:8147;width:608;height:2" coordorigin="1411,8147" coordsize="608,0" path="m1411,8147l2019,8147e" filled="false" stroked="true" strokeweight=".48001pt" strokecolor="#41b7ee">
                <v:path arrowok="t"/>
              </v:shape>
            </v:group>
            <v:group style="position:absolute;left:2028;top:8147;width:636;height:2" coordorigin="2028,8147" coordsize="636,2">
              <v:shape style="position:absolute;left:2028;top:8147;width:636;height:2" coordorigin="2028,8147" coordsize="636,0" path="m2028,8147l2664,8147e" filled="false" stroked="true" strokeweight=".48001pt" strokecolor="#41b7ee">
                <v:path arrowok="t"/>
              </v:shape>
            </v:group>
            <v:group style="position:absolute;left:2674;top:8147;width:785;height:2" coordorigin="2674,8147" coordsize="785,2">
              <v:shape style="position:absolute;left:2674;top:8147;width:785;height:2" coordorigin="2674,8147" coordsize="785,0" path="m2674,8147l3459,8147e" filled="false" stroked="true" strokeweight=".48001pt" strokecolor="#41b7ee">
                <v:path arrowok="t"/>
              </v:shape>
            </v:group>
            <v:group style="position:absolute;left:3468;top:8147;width:591;height:2" coordorigin="3468,8147" coordsize="591,2">
              <v:shape style="position:absolute;left:3468;top:8147;width:591;height:2" coordorigin="3468,8147" coordsize="591,0" path="m3468,8147l4059,8147e" filled="false" stroked="true" strokeweight=".48001pt" strokecolor="#41b7ee">
                <v:path arrowok="t"/>
              </v:shape>
            </v:group>
            <v:group style="position:absolute;left:4068;top:8147;width:2264;height:2" coordorigin="4068,8147" coordsize="2264,2">
              <v:shape style="position:absolute;left:4068;top:8147;width:2264;height:2" coordorigin="4068,8147" coordsize="2264,0" path="m4068,8147l6332,8147e" filled="false" stroked="true" strokeweight=".48001pt" strokecolor="#41b7ee">
                <v:path arrowok="t"/>
              </v:shape>
            </v:group>
            <v:group style="position:absolute;left:6342;top:8147;width:1349;height:2" coordorigin="6342,8147" coordsize="1349,2">
              <v:shape style="position:absolute;left:6342;top:8147;width:1349;height:2" coordorigin="6342,8147" coordsize="1349,0" path="m6342,8147l7691,8147e" filled="false" stroked="true" strokeweight=".48001pt" strokecolor="#41b7ee">
                <v:path arrowok="t"/>
              </v:shape>
            </v:group>
            <v:group style="position:absolute;left:7700;top:8147;width:828;height:2" coordorigin="7700,8147" coordsize="828,2">
              <v:shape style="position:absolute;left:7700;top:8147;width:828;height:2" coordorigin="7700,8147" coordsize="828,0" path="m7700,8147l8528,8147e" filled="false" stroked="true" strokeweight=".48001pt" strokecolor="#41b7ee">
                <v:path arrowok="t"/>
              </v:shape>
            </v:group>
            <v:group style="position:absolute;left:8538;top:8147;width:2413;height:2" coordorigin="8538,8147" coordsize="2413,2">
              <v:shape style="position:absolute;left:8538;top:8147;width:2413;height:2" coordorigin="8538,8147" coordsize="2413,0" path="m8538,8147l10950,8147e" filled="false" stroked="true" strokeweight=".48001pt" strokecolor="#41b7ee">
                <v:path arrowok="t"/>
              </v:shape>
            </v:group>
            <v:group style="position:absolute;left:10960;top:8147;width:2850;height:2" coordorigin="10960,8147" coordsize="2850,2">
              <v:shape style="position:absolute;left:10960;top:8147;width:2850;height:2" coordorigin="10960,8147" coordsize="2850,0" path="m10960,8147l13809,8147e" filled="false" stroked="true" strokeweight=".48001pt" strokecolor="#41b7ee">
                <v:path arrowok="t"/>
              </v:shape>
            </v:group>
            <v:group style="position:absolute;left:13819;top:8147;width:1524;height:2" coordorigin="13819,8147" coordsize="1524,2">
              <v:shape style="position:absolute;left:13819;top:8147;width:1524;height:2" coordorigin="13819,8147" coordsize="1524,0" path="m13819,8147l15343,8147e" filled="false" stroked="true" strokeweight=".48001pt" strokecolor="#41b7ee">
                <v:path arrowok="t"/>
              </v:shape>
            </v:group>
            <v:group style="position:absolute;left:1411;top:10305;width:608;height:2" coordorigin="1411,10305" coordsize="608,2">
              <v:shape style="position:absolute;left:1411;top:10305;width:608;height:2" coordorigin="1411,10305" coordsize="608,0" path="m1411,10305l2019,10305e" filled="false" stroked="true" strokeweight=".96002pt" strokecolor="#41b7ee">
                <v:path arrowok="t"/>
              </v:shape>
            </v:group>
            <v:group style="position:absolute;left:2024;top:1856;width:2;height:8440" coordorigin="2024,1856" coordsize="2,8440">
              <v:shape style="position:absolute;left:2024;top:1856;width:2;height:8440" coordorigin="2024,1856" coordsize="0,8440" path="m2024,1856l2024,10296e" filled="false" stroked="true" strokeweight=".48pt" strokecolor="#41b7ee">
                <v:path arrowok="t"/>
              </v:shape>
            </v:group>
            <v:group style="position:absolute;left:2019;top:10305;width:58;height:2" coordorigin="2019,10305" coordsize="58,2">
              <v:shape style="position:absolute;left:2019;top:10305;width:58;height:2" coordorigin="2019,10305" coordsize="58,0" path="m2019,10305l2076,10305e" filled="false" stroked="true" strokeweight=".96002pt" strokecolor="#41b7ee">
                <v:path arrowok="t"/>
              </v:shape>
            </v:group>
            <v:group style="position:absolute;left:2076;top:10305;width:588;height:2" coordorigin="2076,10305" coordsize="588,2">
              <v:shape style="position:absolute;left:2076;top:10305;width:588;height:2" coordorigin="2076,10305" coordsize="588,0" path="m2076,10305l2664,10305e" filled="false" stroked="true" strokeweight=".96002pt" strokecolor="#41b7ee">
                <v:path arrowok="t"/>
              </v:shape>
            </v:group>
            <v:group style="position:absolute;left:2669;top:1856;width:2;height:8440" coordorigin="2669,1856" coordsize="2,8440">
              <v:shape style="position:absolute;left:2669;top:1856;width:2;height:8440" coordorigin="2669,1856" coordsize="0,8440" path="m2669,1856l2669,10296e" filled="false" stroked="true" strokeweight=".48pt" strokecolor="#41b7ee">
                <v:path arrowok="t"/>
              </v:shape>
            </v:group>
            <v:group style="position:absolute;left:2664;top:10305;width:58;height:2" coordorigin="2664,10305" coordsize="58,2">
              <v:shape style="position:absolute;left:2664;top:10305;width:58;height:2" coordorigin="2664,10305" coordsize="58,0" path="m2664,10305l2722,10305e" filled="false" stroked="true" strokeweight=".96002pt" strokecolor="#41b7ee">
                <v:path arrowok="t"/>
              </v:shape>
            </v:group>
            <v:group style="position:absolute;left:2722;top:10305;width:737;height:2" coordorigin="2722,10305" coordsize="737,2">
              <v:shape style="position:absolute;left:2722;top:10305;width:737;height:2" coordorigin="2722,10305" coordsize="737,0" path="m2722,10305l3459,10305e" filled="false" stroked="true" strokeweight=".96002pt" strokecolor="#41b7ee">
                <v:path arrowok="t"/>
              </v:shape>
            </v:group>
            <v:group style="position:absolute;left:3464;top:1856;width:2;height:8440" coordorigin="3464,1856" coordsize="2,8440">
              <v:shape style="position:absolute;left:3464;top:1856;width:2;height:8440" coordorigin="3464,1856" coordsize="0,8440" path="m3464,1856l3464,10296e" filled="false" stroked="true" strokeweight=".48pt" strokecolor="#41b7ee">
                <v:path arrowok="t"/>
              </v:shape>
            </v:group>
            <v:group style="position:absolute;left:3459;top:10305;width:58;height:2" coordorigin="3459,10305" coordsize="58,2">
              <v:shape style="position:absolute;left:3459;top:10305;width:58;height:2" coordorigin="3459,10305" coordsize="58,0" path="m3459,10305l3516,10305e" filled="false" stroked="true" strokeweight=".96002pt" strokecolor="#41b7ee">
                <v:path arrowok="t"/>
              </v:shape>
            </v:group>
            <v:group style="position:absolute;left:3516;top:10305;width:543;height:2" coordorigin="3516,10305" coordsize="543,2">
              <v:shape style="position:absolute;left:3516;top:10305;width:543;height:2" coordorigin="3516,10305" coordsize="543,0" path="m3516,10305l4059,10305e" filled="false" stroked="true" strokeweight=".96002pt" strokecolor="#41b7ee">
                <v:path arrowok="t"/>
              </v:shape>
            </v:group>
            <v:group style="position:absolute;left:4064;top:1856;width:2;height:8440" coordorigin="4064,1856" coordsize="2,8440">
              <v:shape style="position:absolute;left:4064;top:1856;width:2;height:8440" coordorigin="4064,1856" coordsize="0,8440" path="m4064,1856l4064,10296e" filled="false" stroked="true" strokeweight=".48pt" strokecolor="#41b7ee">
                <v:path arrowok="t"/>
              </v:shape>
            </v:group>
            <v:group style="position:absolute;left:4059;top:10305;width:58;height:2" coordorigin="4059,10305" coordsize="58,2">
              <v:shape style="position:absolute;left:4059;top:10305;width:58;height:2" coordorigin="4059,10305" coordsize="58,0" path="m4059,10305l4116,10305e" filled="false" stroked="true" strokeweight=".96002pt" strokecolor="#41b7ee">
                <v:path arrowok="t"/>
              </v:shape>
            </v:group>
            <v:group style="position:absolute;left:4116;top:10305;width:2216;height:2" coordorigin="4116,10305" coordsize="2216,2">
              <v:shape style="position:absolute;left:4116;top:10305;width:2216;height:2" coordorigin="4116,10305" coordsize="2216,0" path="m4116,10305l6332,10305e" filled="false" stroked="true" strokeweight=".96002pt" strokecolor="#41b7ee">
                <v:path arrowok="t"/>
              </v:shape>
            </v:group>
            <v:group style="position:absolute;left:6337;top:1856;width:2;height:8440" coordorigin="6337,1856" coordsize="2,8440">
              <v:shape style="position:absolute;left:6337;top:1856;width:2;height:8440" coordorigin="6337,1856" coordsize="0,8440" path="m6337,1856l6337,10296e" filled="false" stroked="true" strokeweight=".48001pt" strokecolor="#41b7ee">
                <v:path arrowok="t"/>
              </v:shape>
            </v:group>
            <v:group style="position:absolute;left:6332;top:10305;width:58;height:2" coordorigin="6332,10305" coordsize="58,2">
              <v:shape style="position:absolute;left:6332;top:10305;width:58;height:2" coordorigin="6332,10305" coordsize="58,0" path="m6332,10305l6390,10305e" filled="false" stroked="true" strokeweight=".96002pt" strokecolor="#41b7ee">
                <v:path arrowok="t"/>
              </v:shape>
            </v:group>
            <v:group style="position:absolute;left:6390;top:10305;width:1301;height:2" coordorigin="6390,10305" coordsize="1301,2">
              <v:shape style="position:absolute;left:6390;top:10305;width:1301;height:2" coordorigin="6390,10305" coordsize="1301,0" path="m6390,10305l7691,10305e" filled="false" stroked="true" strokeweight=".96002pt" strokecolor="#41b7ee">
                <v:path arrowok="t"/>
              </v:shape>
            </v:group>
            <v:group style="position:absolute;left:7695;top:1856;width:2;height:8440" coordorigin="7695,1856" coordsize="2,8440">
              <v:shape style="position:absolute;left:7695;top:1856;width:2;height:8440" coordorigin="7695,1856" coordsize="0,8440" path="m7695,1856l7695,10296e" filled="false" stroked="true" strokeweight=".47998pt" strokecolor="#41b7ee">
                <v:path arrowok="t"/>
              </v:shape>
            </v:group>
            <v:group style="position:absolute;left:7691;top:10305;width:58;height:2" coordorigin="7691,10305" coordsize="58,2">
              <v:shape style="position:absolute;left:7691;top:10305;width:58;height:2" coordorigin="7691,10305" coordsize="58,0" path="m7691,10305l7748,10305e" filled="false" stroked="true" strokeweight=".96002pt" strokecolor="#41b7ee">
                <v:path arrowok="t"/>
              </v:shape>
            </v:group>
            <v:group style="position:absolute;left:7748;top:10305;width:780;height:2" coordorigin="7748,10305" coordsize="780,2">
              <v:shape style="position:absolute;left:7748;top:10305;width:780;height:2" coordorigin="7748,10305" coordsize="780,0" path="m7748,10305l8528,10305e" filled="false" stroked="true" strokeweight=".96002pt" strokecolor="#41b7ee">
                <v:path arrowok="t"/>
              </v:shape>
            </v:group>
            <v:group style="position:absolute;left:8533;top:1856;width:2;height:8440" coordorigin="8533,1856" coordsize="2,8440">
              <v:shape style="position:absolute;left:8533;top:1856;width:2;height:8440" coordorigin="8533,1856" coordsize="0,8440" path="m8533,1856l8533,10296e" filled="false" stroked="true" strokeweight=".48001pt" strokecolor="#41b7ee">
                <v:path arrowok="t"/>
              </v:shape>
            </v:group>
            <v:group style="position:absolute;left:8528;top:10305;width:58;height:2" coordorigin="8528,10305" coordsize="58,2">
              <v:shape style="position:absolute;left:8528;top:10305;width:58;height:2" coordorigin="8528,10305" coordsize="58,0" path="m8528,10305l8586,10305e" filled="false" stroked="true" strokeweight=".96002pt" strokecolor="#41b7ee">
                <v:path arrowok="t"/>
              </v:shape>
            </v:group>
            <v:group style="position:absolute;left:8586;top:10305;width:2365;height:2" coordorigin="8586,10305" coordsize="2365,2">
              <v:shape style="position:absolute;left:8586;top:10305;width:2365;height:2" coordorigin="8586,10305" coordsize="2365,0" path="m8586,10305l10950,10305e" filled="false" stroked="true" strokeweight=".96002pt" strokecolor="#41b7ee">
                <v:path arrowok="t"/>
              </v:shape>
            </v:group>
            <v:group style="position:absolute;left:10972;top:5905;width:2;height:1556" coordorigin="10972,5905" coordsize="2,1556">
              <v:shape style="position:absolute;left:10972;top:5905;width:2;height:1556" coordorigin="10972,5905" coordsize="0,1556" path="m10972,5905l10972,7461e" filled="false" stroked="true" strokeweight="1.2pt" strokecolor="#ffffff">
                <v:path arrowok="t"/>
              </v:shape>
            </v:group>
            <v:group style="position:absolute;left:10955;top:1856;width:2;height:8440" coordorigin="10955,1856" coordsize="2,8440">
              <v:shape style="position:absolute;left:10955;top:1856;width:2;height:8440" coordorigin="10955,1856" coordsize="0,8440" path="m10955,1856l10955,10296e" filled="false" stroked="true" strokeweight=".47998pt" strokecolor="#41b7ee">
                <v:path arrowok="t"/>
              </v:shape>
            </v:group>
            <v:group style="position:absolute;left:10950;top:10305;width:58;height:2" coordorigin="10950,10305" coordsize="58,2">
              <v:shape style="position:absolute;left:10950;top:10305;width:58;height:2" coordorigin="10950,10305" coordsize="58,0" path="m10950,10305l11008,10305e" filled="false" stroked="true" strokeweight=".96002pt" strokecolor="#41b7ee">
                <v:path arrowok="t"/>
              </v:shape>
            </v:group>
            <v:group style="position:absolute;left:11008;top:10305;width:2802;height:2" coordorigin="11008,10305" coordsize="2802,2">
              <v:shape style="position:absolute;left:11008;top:10305;width:2802;height:2" coordorigin="11008,10305" coordsize="2802,0" path="m11008,10305l13809,10305e" filled="false" stroked="true" strokeweight=".96002pt" strokecolor="#41b7ee">
                <v:path arrowok="t"/>
              </v:shape>
            </v:group>
            <v:group style="position:absolute;left:13830;top:6392;width:2;height:584" coordorigin="13830,6392" coordsize="2,584">
              <v:shape style="position:absolute;left:13830;top:6392;width:2;height:584" coordorigin="13830,6392" coordsize="0,584" path="m13830,6392l13830,6976e" filled="false" stroked="true" strokeweight="1.08pt" strokecolor="#ffffff">
                <v:path arrowok="t"/>
              </v:shape>
            </v:group>
            <v:group style="position:absolute;left:13830;top:8346;width:2;height:1753" coordorigin="13830,8346" coordsize="2,1753">
              <v:shape style="position:absolute;left:13830;top:8346;width:2;height:1753" coordorigin="13830,8346" coordsize="0,1753" path="m13830,8346l13830,10099e" filled="false" stroked="true" strokeweight="1.08pt" strokecolor="#ffffff">
                <v:path arrowok="t"/>
              </v:shape>
            </v:group>
            <v:group style="position:absolute;left:13840;top:9516;width:1474;height:195" coordorigin="13840,9516" coordsize="1474,195">
              <v:shape style="position:absolute;left:13840;top:9516;width:1474;height:195" coordorigin="13840,9516" coordsize="1474,195" path="m13840,9710l15314,9710,15314,9516,13840,9516,13840,9710xe" filled="true" fillcolor="#ffffff" stroked="false">
                <v:path arrowok="t"/>
                <v:fill type="solid"/>
              </v:shape>
            </v:group>
            <v:group style="position:absolute;left:13840;top:9710;width:1474;height:195" coordorigin="13840,9710" coordsize="1474,195">
              <v:shape style="position:absolute;left:13840;top:9710;width:1474;height:195" coordorigin="13840,9710" coordsize="1474,195" path="m13840,9904l15314,9904,15314,9710,13840,9710,13840,9904xe" filled="true" fillcolor="#ffffff" stroked="false">
                <v:path arrowok="t"/>
                <v:fill type="solid"/>
              </v:shape>
            </v:group>
            <v:group style="position:absolute;left:13814;top:1856;width:2;height:8440" coordorigin="13814,1856" coordsize="2,8440">
              <v:shape style="position:absolute;left:13814;top:1856;width:2;height:8440" coordorigin="13814,1856" coordsize="0,8440" path="m13814,1856l13814,10296e" filled="false" stroked="true" strokeweight=".48004pt" strokecolor="#41b7ee">
                <v:path arrowok="t"/>
              </v:shape>
            </v:group>
            <v:group style="position:absolute;left:13809;top:10305;width:58;height:2" coordorigin="13809,10305" coordsize="58,2">
              <v:shape style="position:absolute;left:13809;top:10305;width:58;height:2" coordorigin="13809,10305" coordsize="58,0" path="m13809,10305l13867,10305e" filled="false" stroked="true" strokeweight=".96002pt" strokecolor="#41b7ee">
                <v:path arrowok="t"/>
              </v:shape>
            </v:group>
            <v:group style="position:absolute;left:13867;top:10305;width:1476;height:2" coordorigin="13867,10305" coordsize="1476,2">
              <v:shape style="position:absolute;left:13867;top:10305;width:1476;height:2" coordorigin="13867,10305" coordsize="1476,0" path="m13867,10305l15343,10305e" filled="false" stroked="true" strokeweight=".96002pt" strokecolor="#41b7ee">
                <v:path arrowok="t"/>
              </v:shape>
            </v:group>
            <w10:wrap type="none"/>
          </v:group>
        </w:pict>
      </w:r>
      <w:r>
        <w:rPr>
          <w:rFonts w:ascii="宋体" w:hAnsi="宋体" w:cs="宋体" w:eastAsia="宋体" w:hint="default"/>
          <w:sz w:val="15"/>
          <w:szCs w:val="15"/>
        </w:rPr>
        <w:t>案，于</w:t>
      </w:r>
      <w:r>
        <w:rPr>
          <w:rFonts w:ascii="宋体" w:hAnsi="宋体" w:cs="宋体" w:eastAsia="宋体" w:hint="default"/>
          <w:spacing w:val="-38"/>
          <w:sz w:val="15"/>
          <w:szCs w:val="15"/>
        </w:rPr>
        <w:t> </w:t>
      </w:r>
      <w:r>
        <w:rPr>
          <w:rFonts w:ascii="Arial" w:hAnsi="Arial" w:cs="Arial" w:eastAsia="Arial" w:hint="default"/>
          <w:sz w:val="15"/>
          <w:szCs w:val="15"/>
        </w:rPr>
        <w:t>10</w:t>
      </w:r>
      <w:r>
        <w:rPr>
          <w:rFonts w:ascii="Arial" w:hAnsi="Arial" w:cs="Arial" w:eastAsia="Arial"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21</w:t>
      </w:r>
      <w:r>
        <w:rPr>
          <w:rFonts w:ascii="Arial" w:hAnsi="Arial" w:cs="Arial" w:eastAsia="Arial" w:hint="default"/>
          <w:spacing w:val="-7"/>
          <w:sz w:val="15"/>
          <w:szCs w:val="15"/>
        </w:rPr>
        <w:t> </w:t>
      </w:r>
      <w:r>
        <w:rPr>
          <w:rFonts w:ascii="宋体" w:hAnsi="宋体" w:cs="宋体" w:eastAsia="宋体" w:hint="default"/>
          <w:sz w:val="15"/>
          <w:szCs w:val="15"/>
        </w:rPr>
        <w:t>日作出（</w:t>
      </w:r>
      <w:r>
        <w:rPr>
          <w:rFonts w:ascii="Arial" w:hAnsi="Arial" w:cs="Arial" w:eastAsia="Arial" w:hint="default"/>
          <w:sz w:val="15"/>
          <w:szCs w:val="15"/>
        </w:rPr>
        <w:t>2015</w:t>
      </w:r>
      <w:r>
        <w:rPr>
          <w:rFonts w:ascii="宋体" w:hAnsi="宋体" w:cs="宋体" w:eastAsia="宋体" w:hint="default"/>
          <w:sz w:val="15"/>
          <w:szCs w:val="15"/>
        </w:rPr>
        <w:t>）民</w:t>
      </w:r>
    </w:p>
    <w:p>
      <w:pPr>
        <w:spacing w:line="201" w:lineRule="exact" w:before="0"/>
        <w:ind w:left="0" w:right="425" w:firstLine="0"/>
        <w:jc w:val="right"/>
        <w:rPr>
          <w:rFonts w:ascii="宋体" w:hAnsi="宋体" w:cs="宋体" w:eastAsia="宋体" w:hint="default"/>
          <w:sz w:val="15"/>
          <w:szCs w:val="15"/>
        </w:rPr>
      </w:pPr>
      <w:r>
        <w:rPr>
          <w:rFonts w:ascii="宋体" w:hAnsi="宋体" w:cs="宋体" w:eastAsia="宋体" w:hint="default"/>
          <w:sz w:val="15"/>
          <w:szCs w:val="15"/>
        </w:rPr>
        <w:t>二终字第</w:t>
      </w:r>
      <w:r>
        <w:rPr>
          <w:rFonts w:ascii="宋体" w:hAnsi="宋体" w:cs="宋体" w:eastAsia="宋体" w:hint="default"/>
          <w:spacing w:val="-39"/>
          <w:sz w:val="15"/>
          <w:szCs w:val="15"/>
        </w:rPr>
        <w:t> </w:t>
      </w:r>
      <w:r>
        <w:rPr>
          <w:rFonts w:ascii="Arial" w:hAnsi="Arial" w:cs="Arial" w:eastAsia="Arial" w:hint="default"/>
          <w:sz w:val="15"/>
          <w:szCs w:val="15"/>
        </w:rPr>
        <w:t>68</w:t>
      </w:r>
      <w:r>
        <w:rPr>
          <w:rFonts w:ascii="Arial" w:hAnsi="Arial" w:cs="Arial" w:eastAsia="Arial" w:hint="default"/>
          <w:spacing w:val="-6"/>
          <w:sz w:val="15"/>
          <w:szCs w:val="15"/>
        </w:rPr>
        <w:t> </w:t>
      </w:r>
      <w:r>
        <w:rPr>
          <w:rFonts w:ascii="宋体" w:hAnsi="宋体" w:cs="宋体" w:eastAsia="宋体" w:hint="default"/>
          <w:sz w:val="15"/>
          <w:szCs w:val="15"/>
        </w:rPr>
        <w:t>号民事判决书。</w:t>
      </w:r>
    </w:p>
    <w:p>
      <w:pPr>
        <w:spacing w:before="50"/>
        <w:ind w:left="60" w:right="0" w:firstLine="0"/>
        <w:jc w:val="left"/>
        <w:rPr>
          <w:rFonts w:ascii="宋体" w:hAnsi="宋体" w:cs="宋体" w:eastAsia="宋体" w:hint="default"/>
          <w:sz w:val="15"/>
          <w:szCs w:val="15"/>
        </w:rPr>
      </w:pPr>
      <w:r>
        <w:rPr>
          <w:spacing w:val="-2"/>
        </w:rPr>
        <w:br w:type="column"/>
      </w:r>
      <w:r>
        <w:rPr>
          <w:rFonts w:ascii="宋体" w:hAnsi="宋体" w:cs="宋体" w:eastAsia="宋体" w:hint="default"/>
          <w:spacing w:val="-2"/>
          <w:sz w:val="15"/>
          <w:szCs w:val="15"/>
        </w:rPr>
        <w:t>成品及尚未使用的亚麻原料。</w:t>
      </w:r>
    </w:p>
    <w:p>
      <w:pPr>
        <w:spacing w:line="151" w:lineRule="exact" w:before="0"/>
        <w:ind w:left="845" w:right="846" w:firstLine="0"/>
        <w:jc w:val="center"/>
        <w:rPr>
          <w:rFonts w:ascii="宋体" w:hAnsi="宋体" w:cs="宋体" w:eastAsia="宋体" w:hint="default"/>
          <w:sz w:val="15"/>
          <w:szCs w:val="15"/>
        </w:rPr>
      </w:pPr>
      <w:r>
        <w:rPr/>
        <w:br w:type="column"/>
      </w:r>
      <w:r>
        <w:rPr>
          <w:rFonts w:ascii="宋体" w:hAnsi="宋体" w:cs="宋体" w:eastAsia="宋体" w:hint="default"/>
          <w:sz w:val="15"/>
          <w:szCs w:val="15"/>
        </w:rPr>
        <w:t>于执行中。</w:t>
      </w:r>
    </w:p>
    <w:p>
      <w:pPr>
        <w:spacing w:after="0" w:line="151" w:lineRule="exact"/>
        <w:jc w:val="center"/>
        <w:rPr>
          <w:rFonts w:ascii="宋体" w:hAnsi="宋体" w:cs="宋体" w:eastAsia="宋体" w:hint="default"/>
          <w:sz w:val="15"/>
          <w:szCs w:val="15"/>
        </w:rPr>
        <w:sectPr>
          <w:type w:val="continuous"/>
          <w:pgSz w:w="16840" w:h="11910" w:orient="landscape"/>
          <w:pgMar w:top="1360" w:bottom="1380" w:left="1300" w:right="1380"/>
          <w:cols w:num="3" w:equalWidth="0">
            <w:col w:w="9584" w:space="40"/>
            <w:col w:w="2015" w:space="40"/>
            <w:col w:w="2481"/>
          </w:cols>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20"/>
          <w:pgSz w:w="16840" w:h="11910" w:orient="landscape"/>
          <w:pgMar w:footer="1372" w:header="825" w:top="1360" w:bottom="1560" w:left="1300" w:right="1360"/>
        </w:sect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11"/>
        <w:rPr>
          <w:rFonts w:ascii="宋体" w:hAnsi="宋体" w:cs="宋体" w:eastAsia="宋体" w:hint="default"/>
          <w:sz w:val="18"/>
          <w:szCs w:val="18"/>
        </w:rPr>
      </w:pPr>
    </w:p>
    <w:p>
      <w:pPr>
        <w:spacing w:before="0"/>
        <w:ind w:left="140" w:right="-17" w:firstLine="0"/>
        <w:jc w:val="left"/>
        <w:rPr>
          <w:rFonts w:ascii="宋体" w:hAnsi="宋体" w:cs="宋体" w:eastAsia="宋体" w:hint="default"/>
          <w:sz w:val="15"/>
          <w:szCs w:val="15"/>
        </w:rPr>
      </w:pPr>
      <w:r>
        <w:rPr>
          <w:rFonts w:ascii="宋体" w:hAnsi="宋体" w:cs="宋体" w:eastAsia="宋体" w:hint="default"/>
          <w:sz w:val="15"/>
          <w:szCs w:val="15"/>
        </w:rPr>
        <w:t>北大荒</w:t>
      </w:r>
      <w:r>
        <w:rPr>
          <w:rFonts w:ascii="宋体" w:hAnsi="宋体" w:cs="宋体" w:eastAsia="宋体" w:hint="default"/>
          <w:spacing w:val="-72"/>
          <w:sz w:val="15"/>
          <w:szCs w:val="15"/>
        </w:rPr>
        <w:t> </w:t>
      </w:r>
      <w:r>
        <w:rPr>
          <w:rFonts w:ascii="宋体" w:hAnsi="宋体" w:cs="宋体" w:eastAsia="宋体" w:hint="default"/>
          <w:sz w:val="15"/>
          <w:szCs w:val="15"/>
        </w:rPr>
        <w:t>鑫亚经</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1"/>
        <w:rPr>
          <w:rFonts w:ascii="宋体" w:hAnsi="宋体" w:cs="宋体" w:eastAsia="宋体" w:hint="default"/>
          <w:sz w:val="17"/>
          <w:szCs w:val="17"/>
        </w:rPr>
      </w:pPr>
    </w:p>
    <w:p>
      <w:pPr>
        <w:spacing w:before="0"/>
        <w:ind w:left="116" w:right="-15" w:firstLine="0"/>
        <w:jc w:val="left"/>
        <w:rPr>
          <w:rFonts w:ascii="宋体" w:hAnsi="宋体" w:cs="宋体" w:eastAsia="宋体" w:hint="default"/>
          <w:sz w:val="15"/>
          <w:szCs w:val="15"/>
        </w:rPr>
      </w:pPr>
      <w:r>
        <w:rPr>
          <w:rFonts w:ascii="宋体" w:hAnsi="宋体" w:cs="宋体" w:eastAsia="宋体" w:hint="default"/>
          <w:sz w:val="15"/>
          <w:szCs w:val="15"/>
        </w:rPr>
        <w:t>吉林省</w:t>
      </w:r>
      <w:r>
        <w:rPr>
          <w:rFonts w:ascii="宋体" w:hAnsi="宋体" w:cs="宋体" w:eastAsia="宋体" w:hint="default"/>
          <w:spacing w:val="-72"/>
          <w:sz w:val="15"/>
          <w:szCs w:val="15"/>
        </w:rPr>
        <w:t> </w:t>
      </w:r>
      <w:r>
        <w:rPr>
          <w:rFonts w:ascii="宋体" w:hAnsi="宋体" w:cs="宋体" w:eastAsia="宋体" w:hint="default"/>
          <w:sz w:val="15"/>
          <w:szCs w:val="15"/>
        </w:rPr>
        <w:t>扶余县</w:t>
      </w:r>
      <w:r>
        <w:rPr>
          <w:rFonts w:ascii="宋体" w:hAnsi="宋体" w:cs="宋体" w:eastAsia="宋体" w:hint="default"/>
          <w:spacing w:val="-72"/>
          <w:sz w:val="15"/>
          <w:szCs w:val="15"/>
        </w:rPr>
        <w:t> </w:t>
      </w:r>
      <w:r>
        <w:rPr>
          <w:rFonts w:ascii="宋体" w:hAnsi="宋体" w:cs="宋体" w:eastAsia="宋体" w:hint="default"/>
          <w:sz w:val="15"/>
          <w:szCs w:val="15"/>
        </w:rPr>
        <w:t>长春岭</w:t>
      </w:r>
      <w:r>
        <w:rPr>
          <w:rFonts w:ascii="宋体" w:hAnsi="宋体" w:cs="宋体" w:eastAsia="宋体" w:hint="default"/>
          <w:spacing w:val="-72"/>
          <w:sz w:val="15"/>
          <w:szCs w:val="15"/>
        </w:rPr>
        <w:t> </w:t>
      </w:r>
      <w:r>
        <w:rPr>
          <w:rFonts w:ascii="宋体" w:hAnsi="宋体" w:cs="宋体" w:eastAsia="宋体" w:hint="default"/>
          <w:spacing w:val="-3"/>
          <w:sz w:val="15"/>
          <w:szCs w:val="15"/>
        </w:rPr>
        <w:t>粮库、扶</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10"/>
        <w:rPr>
          <w:rFonts w:ascii="宋体" w:hAnsi="宋体" w:cs="宋体" w:eastAsia="宋体" w:hint="default"/>
          <w:sz w:val="15"/>
          <w:szCs w:val="15"/>
        </w:rPr>
      </w:pPr>
    </w:p>
    <w:p>
      <w:pPr>
        <w:spacing w:line="194" w:lineRule="exact" w:before="0"/>
        <w:ind w:left="140" w:right="-8" w:firstLine="0"/>
        <w:jc w:val="left"/>
        <w:rPr>
          <w:rFonts w:ascii="Arial" w:hAnsi="Arial" w:cs="Arial" w:eastAsia="Arial" w:hint="default"/>
          <w:sz w:val="15"/>
          <w:szCs w:val="15"/>
        </w:rPr>
      </w:pPr>
      <w:r>
        <w:rPr>
          <w:rFonts w:ascii="Arial" w:hAnsi="Arial" w:cs="Arial" w:eastAsia="Arial" w:hint="default"/>
          <w:sz w:val="15"/>
          <w:szCs w:val="15"/>
        </w:rPr>
        <w:t>2010</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9</w:t>
      </w:r>
      <w:r>
        <w:rPr>
          <w:rFonts w:ascii="Arial" w:hAnsi="Arial" w:cs="Arial" w:eastAsia="Arial" w:hint="default"/>
          <w:spacing w:val="-9"/>
          <w:sz w:val="15"/>
          <w:szCs w:val="15"/>
        </w:rPr>
        <w:t> </w:t>
      </w:r>
      <w:r>
        <w:rPr>
          <w:rFonts w:ascii="宋体" w:hAnsi="宋体" w:cs="宋体" w:eastAsia="宋体" w:hint="default"/>
          <w:sz w:val="15"/>
          <w:szCs w:val="15"/>
        </w:rPr>
        <w:t>月和</w:t>
      </w:r>
      <w:r>
        <w:rPr>
          <w:rFonts w:ascii="宋体" w:hAnsi="宋体" w:cs="宋体" w:eastAsia="宋体" w:hint="default"/>
          <w:spacing w:val="-39"/>
          <w:sz w:val="15"/>
          <w:szCs w:val="15"/>
        </w:rPr>
        <w:t> </w:t>
      </w:r>
      <w:r>
        <w:rPr>
          <w:rFonts w:ascii="Arial" w:hAnsi="Arial" w:cs="Arial" w:eastAsia="Arial" w:hint="default"/>
          <w:sz w:val="15"/>
          <w:szCs w:val="15"/>
        </w:rPr>
        <w:t>2011</w:t>
      </w:r>
      <w:r>
        <w:rPr>
          <w:rFonts w:ascii="Arial" w:hAnsi="Arial" w:cs="Arial" w:eastAsia="Arial" w:hint="default"/>
          <w:spacing w:val="-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8</w:t>
      </w:r>
      <w:r>
        <w:rPr>
          <w:rFonts w:ascii="Arial" w:hAnsi="Arial" w:cs="Arial" w:eastAsia="Arial" w:hint="default"/>
          <w:spacing w:val="-6"/>
          <w:sz w:val="15"/>
          <w:szCs w:val="15"/>
        </w:rPr>
        <w:t> </w:t>
      </w:r>
      <w:r>
        <w:rPr>
          <w:rFonts w:ascii="宋体" w:hAnsi="宋体" w:cs="宋体" w:eastAsia="宋体" w:hint="default"/>
          <w:sz w:val="15"/>
          <w:szCs w:val="15"/>
        </w:rPr>
        <w:t>月期间，</w:t>
      </w:r>
      <w:r>
        <w:rPr>
          <w:rFonts w:ascii="宋体" w:hAnsi="宋体" w:cs="宋体" w:eastAsia="宋体" w:hint="default"/>
          <w:w w:val="100"/>
          <w:sz w:val="15"/>
          <w:szCs w:val="15"/>
        </w:rPr>
        <w:t> </w:t>
      </w:r>
      <w:r>
        <w:rPr>
          <w:rFonts w:ascii="宋体" w:hAnsi="宋体" w:cs="宋体" w:eastAsia="宋体" w:hint="default"/>
          <w:sz w:val="15"/>
          <w:szCs w:val="15"/>
        </w:rPr>
        <w:t>公司原玉米部与吉林省扶余县长</w:t>
      </w:r>
      <w:r>
        <w:rPr>
          <w:rFonts w:ascii="宋体" w:hAnsi="宋体" w:cs="宋体" w:eastAsia="宋体" w:hint="default"/>
          <w:w w:val="100"/>
          <w:sz w:val="15"/>
          <w:szCs w:val="15"/>
        </w:rPr>
        <w:t> </w:t>
      </w:r>
      <w:r>
        <w:rPr>
          <w:rFonts w:ascii="宋体" w:hAnsi="宋体" w:cs="宋体" w:eastAsia="宋体" w:hint="default"/>
          <w:spacing w:val="-4"/>
          <w:sz w:val="15"/>
          <w:szCs w:val="15"/>
        </w:rPr>
        <w:t>春岭粮库签订玉米、水稻委托收购</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合同，</w:t>
      </w:r>
      <w:r>
        <w:rPr>
          <w:rFonts w:ascii="Arial" w:hAnsi="Arial" w:cs="Arial" w:eastAsia="Arial" w:hint="default"/>
          <w:sz w:val="15"/>
          <w:szCs w:val="15"/>
        </w:rPr>
        <w:t>2011</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w:hAnsi="Arial" w:cs="Arial" w:eastAsia="Arial" w:hint="default"/>
          <w:sz w:val="15"/>
          <w:szCs w:val="15"/>
        </w:rPr>
        <w:t>7</w:t>
      </w:r>
      <w:r>
        <w:rPr>
          <w:rFonts w:ascii="Arial" w:hAnsi="Arial" w:cs="Arial" w:eastAsia="Arial" w:hint="default"/>
          <w:spacing w:val="-6"/>
          <w:sz w:val="15"/>
          <w:szCs w:val="15"/>
        </w:rPr>
        <w:t> </w:t>
      </w:r>
      <w:r>
        <w:rPr>
          <w:rFonts w:ascii="宋体" w:hAnsi="宋体" w:cs="宋体" w:eastAsia="宋体" w:hint="default"/>
          <w:sz w:val="15"/>
          <w:szCs w:val="15"/>
        </w:rPr>
        <w:t>月公司销售玉米</w:t>
      </w:r>
      <w:r>
        <w:rPr>
          <w:rFonts w:ascii="宋体" w:hAnsi="宋体" w:cs="宋体" w:eastAsia="宋体" w:hint="default"/>
          <w:w w:val="100"/>
          <w:sz w:val="15"/>
          <w:szCs w:val="15"/>
        </w:rPr>
        <w:t> </w:t>
      </w:r>
      <w:r>
        <w:rPr>
          <w:rFonts w:ascii="宋体" w:hAnsi="宋体" w:cs="宋体" w:eastAsia="宋体" w:hint="default"/>
          <w:sz w:val="15"/>
          <w:szCs w:val="15"/>
        </w:rPr>
        <w:t>提货时，对方仅交付</w:t>
      </w:r>
      <w:r>
        <w:rPr>
          <w:rFonts w:ascii="宋体" w:hAnsi="宋体" w:cs="宋体" w:eastAsia="宋体" w:hint="default"/>
          <w:spacing w:val="-37"/>
          <w:sz w:val="15"/>
          <w:szCs w:val="15"/>
        </w:rPr>
        <w:t> </w:t>
      </w:r>
      <w:r>
        <w:rPr>
          <w:rFonts w:ascii="Arial" w:hAnsi="Arial" w:cs="Arial" w:eastAsia="Arial" w:hint="default"/>
          <w:sz w:val="15"/>
          <w:szCs w:val="15"/>
        </w:rPr>
        <w:t>16109.445</w:t>
      </w:r>
    </w:p>
    <w:p>
      <w:pPr>
        <w:spacing w:line="240" w:lineRule="auto" w:before="3"/>
        <w:rPr>
          <w:rFonts w:ascii="Arial" w:hAnsi="Arial" w:cs="Arial" w:eastAsia="Arial" w:hint="default"/>
          <w:sz w:val="19"/>
          <w:szCs w:val="19"/>
        </w:rPr>
      </w:pPr>
      <w:r>
        <w:rPr/>
        <w:br w:type="column"/>
      </w:r>
      <w:r>
        <w:rPr>
          <w:rFonts w:ascii="Arial"/>
          <w:sz w:val="19"/>
        </w:rPr>
      </w:r>
    </w:p>
    <w:p>
      <w:pPr>
        <w:spacing w:line="194" w:lineRule="exact" w:before="0"/>
        <w:ind w:left="2996" w:right="152" w:firstLine="0"/>
        <w:jc w:val="left"/>
        <w:rPr>
          <w:rFonts w:ascii="宋体" w:hAnsi="宋体" w:cs="宋体" w:eastAsia="宋体" w:hint="default"/>
          <w:sz w:val="15"/>
          <w:szCs w:val="15"/>
        </w:rPr>
      </w:pPr>
      <w:r>
        <w:rPr>
          <w:rFonts w:ascii="宋体" w:hAnsi="宋体" w:cs="宋体" w:eastAsia="宋体" w:hint="default"/>
          <w:spacing w:val="-4"/>
          <w:sz w:val="15"/>
          <w:szCs w:val="15"/>
        </w:rPr>
        <w:t>判决生效后，被告未能</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pacing w:val="-4"/>
          <w:sz w:val="15"/>
          <w:szCs w:val="15"/>
        </w:rPr>
        <w:t>履行给付义务，公司于</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Arial" w:hAnsi="Arial" w:cs="Arial" w:eastAsia="Arial" w:hint="default"/>
          <w:sz w:val="15"/>
          <w:szCs w:val="15"/>
        </w:rPr>
        <w:t>2014</w:t>
      </w:r>
      <w:r>
        <w:rPr>
          <w:rFonts w:ascii="Arial" w:hAnsi="Arial" w:cs="Arial" w:eastAsia="Arial" w:hint="default"/>
          <w:spacing w:val="-16"/>
          <w:sz w:val="15"/>
          <w:szCs w:val="15"/>
        </w:rPr>
        <w:t> </w:t>
      </w:r>
      <w:r>
        <w:rPr>
          <w:rFonts w:ascii="宋体" w:hAnsi="宋体" w:cs="宋体" w:eastAsia="宋体" w:hint="default"/>
          <w:sz w:val="15"/>
          <w:szCs w:val="15"/>
        </w:rPr>
        <w:t>年</w:t>
      </w:r>
      <w:r>
        <w:rPr>
          <w:rFonts w:ascii="宋体" w:hAnsi="宋体" w:cs="宋体" w:eastAsia="宋体" w:hint="default"/>
          <w:spacing w:val="-49"/>
          <w:sz w:val="15"/>
          <w:szCs w:val="15"/>
        </w:rPr>
        <w:t> </w:t>
      </w:r>
      <w:r>
        <w:rPr>
          <w:rFonts w:ascii="Arial" w:hAnsi="Arial" w:cs="Arial" w:eastAsia="Arial" w:hint="default"/>
          <w:sz w:val="15"/>
          <w:szCs w:val="15"/>
        </w:rPr>
        <w:t>1</w:t>
      </w:r>
      <w:r>
        <w:rPr>
          <w:rFonts w:ascii="Arial" w:hAnsi="Arial" w:cs="Arial" w:eastAsia="Arial" w:hint="default"/>
          <w:spacing w:val="-13"/>
          <w:sz w:val="15"/>
          <w:szCs w:val="15"/>
        </w:rPr>
        <w:t> </w:t>
      </w:r>
      <w:r>
        <w:rPr>
          <w:rFonts w:ascii="宋体" w:hAnsi="宋体" w:cs="宋体" w:eastAsia="宋体" w:hint="default"/>
          <w:sz w:val="15"/>
          <w:szCs w:val="15"/>
        </w:rPr>
        <w:t>月</w:t>
      </w:r>
      <w:r>
        <w:rPr>
          <w:rFonts w:ascii="宋体" w:hAnsi="宋体" w:cs="宋体" w:eastAsia="宋体" w:hint="default"/>
          <w:spacing w:val="-49"/>
          <w:sz w:val="15"/>
          <w:szCs w:val="15"/>
        </w:rPr>
        <w:t> </w:t>
      </w:r>
      <w:r>
        <w:rPr>
          <w:rFonts w:ascii="Arial" w:hAnsi="Arial" w:cs="Arial" w:eastAsia="Arial" w:hint="default"/>
          <w:sz w:val="15"/>
          <w:szCs w:val="15"/>
        </w:rPr>
        <w:t>17</w:t>
      </w:r>
      <w:r>
        <w:rPr>
          <w:rFonts w:ascii="Arial" w:hAnsi="Arial" w:cs="Arial" w:eastAsia="Arial" w:hint="default"/>
          <w:spacing w:val="-16"/>
          <w:sz w:val="15"/>
          <w:szCs w:val="15"/>
        </w:rPr>
        <w:t> </w:t>
      </w:r>
      <w:r>
        <w:rPr>
          <w:rFonts w:ascii="宋体" w:hAnsi="宋体" w:cs="宋体" w:eastAsia="宋体" w:hint="default"/>
          <w:sz w:val="15"/>
          <w:szCs w:val="15"/>
        </w:rPr>
        <w:t>日向法</w:t>
      </w:r>
      <w:r>
        <w:rPr>
          <w:rFonts w:ascii="宋体" w:hAnsi="宋体" w:cs="宋体" w:eastAsia="宋体" w:hint="default"/>
          <w:w w:val="100"/>
          <w:sz w:val="15"/>
          <w:szCs w:val="15"/>
        </w:rPr>
        <w:t> </w:t>
      </w:r>
      <w:r>
        <w:rPr>
          <w:rFonts w:ascii="宋体" w:hAnsi="宋体" w:cs="宋体" w:eastAsia="宋体" w:hint="default"/>
          <w:sz w:val="15"/>
          <w:szCs w:val="15"/>
        </w:rPr>
        <w:t>院递交强制执行申请</w:t>
      </w:r>
      <w:r>
        <w:rPr>
          <w:rFonts w:ascii="宋体" w:hAnsi="宋体" w:cs="宋体" w:eastAsia="宋体" w:hint="default"/>
          <w:w w:val="100"/>
          <w:sz w:val="15"/>
          <w:szCs w:val="15"/>
        </w:rPr>
        <w:t> </w:t>
      </w:r>
      <w:r>
        <w:rPr>
          <w:rFonts w:ascii="宋体" w:hAnsi="宋体" w:cs="宋体" w:eastAsia="宋体" w:hint="default"/>
          <w:sz w:val="15"/>
          <w:szCs w:val="15"/>
        </w:rPr>
        <w:t>材料，案件执行过程</w:t>
      </w:r>
    </w:p>
    <w:p>
      <w:pPr>
        <w:spacing w:line="124" w:lineRule="exact" w:before="0"/>
        <w:ind w:left="140" w:right="0" w:firstLine="0"/>
        <w:jc w:val="left"/>
        <w:rPr>
          <w:rFonts w:ascii="宋体" w:hAnsi="宋体" w:cs="宋体" w:eastAsia="宋体" w:hint="default"/>
          <w:sz w:val="15"/>
          <w:szCs w:val="15"/>
        </w:rPr>
      </w:pPr>
      <w:r>
        <w:rPr>
          <w:rFonts w:ascii="宋体" w:hAnsi="宋体" w:cs="宋体" w:eastAsia="宋体" w:hint="default"/>
          <w:spacing w:val="-4"/>
          <w:sz w:val="15"/>
          <w:szCs w:val="15"/>
        </w:rPr>
        <w:t>判决结果：被告扶余县长春岭粮库偿还原告</w:t>
      </w:r>
      <w:r>
        <w:rPr>
          <w:rFonts w:ascii="宋体" w:hAnsi="宋体" w:cs="宋体" w:eastAsia="宋体" w:hint="default"/>
          <w:spacing w:val="15"/>
          <w:sz w:val="15"/>
          <w:szCs w:val="15"/>
        </w:rPr>
        <w:t> </w:t>
      </w:r>
      <w:r>
        <w:rPr>
          <w:rFonts w:ascii="宋体" w:hAnsi="宋体" w:cs="宋体" w:eastAsia="宋体" w:hint="default"/>
          <w:spacing w:val="-4"/>
          <w:sz w:val="15"/>
          <w:szCs w:val="15"/>
        </w:rPr>
        <w:t>中，因被执行人无可供</w:t>
      </w:r>
    </w:p>
    <w:p>
      <w:pPr>
        <w:spacing w:after="0" w:line="124" w:lineRule="exact"/>
        <w:jc w:val="left"/>
        <w:rPr>
          <w:rFonts w:ascii="宋体" w:hAnsi="宋体" w:cs="宋体" w:eastAsia="宋体" w:hint="default"/>
          <w:sz w:val="15"/>
          <w:szCs w:val="15"/>
        </w:rPr>
        <w:sectPr>
          <w:type w:val="continuous"/>
          <w:pgSz w:w="16840" w:h="11910" w:orient="landscape"/>
          <w:pgMar w:top="1360" w:bottom="1380" w:left="1300" w:right="1360"/>
          <w:cols w:num="4" w:equalWidth="0">
            <w:col w:w="594" w:space="40"/>
            <w:col w:w="710" w:space="1309"/>
            <w:col w:w="2433" w:space="4458"/>
            <w:col w:w="4636"/>
          </w:cols>
        </w:sectPr>
      </w:pPr>
    </w:p>
    <w:p>
      <w:pPr>
        <w:spacing w:line="124" w:lineRule="exact" w:before="0"/>
        <w:ind w:left="140" w:right="-17" w:firstLine="0"/>
        <w:jc w:val="left"/>
        <w:rPr>
          <w:rFonts w:ascii="宋体" w:hAnsi="宋体" w:cs="宋体" w:eastAsia="宋体" w:hint="default"/>
          <w:sz w:val="15"/>
          <w:szCs w:val="15"/>
        </w:rPr>
      </w:pPr>
      <w:r>
        <w:rPr>
          <w:rFonts w:ascii="宋体" w:hAnsi="宋体" w:cs="宋体" w:eastAsia="宋体" w:hint="default"/>
          <w:sz w:val="15"/>
          <w:szCs w:val="15"/>
        </w:rPr>
        <w:t>贸有限</w:t>
      </w:r>
    </w:p>
    <w:p>
      <w:pPr>
        <w:spacing w:line="124" w:lineRule="exact" w:before="0"/>
        <w:ind w:left="116" w:right="-16" w:firstLine="0"/>
        <w:jc w:val="left"/>
        <w:rPr>
          <w:rFonts w:ascii="宋体" w:hAnsi="宋体" w:cs="宋体" w:eastAsia="宋体" w:hint="default"/>
          <w:sz w:val="15"/>
          <w:szCs w:val="15"/>
        </w:rPr>
      </w:pPr>
      <w:r>
        <w:rPr/>
        <w:br w:type="column"/>
      </w:r>
      <w:r>
        <w:rPr>
          <w:rFonts w:ascii="宋体" w:hAnsi="宋体" w:cs="宋体" w:eastAsia="宋体" w:hint="default"/>
          <w:sz w:val="15"/>
          <w:szCs w:val="15"/>
        </w:rPr>
        <w:t>余县粮</w:t>
      </w:r>
    </w:p>
    <w:p>
      <w:pPr>
        <w:tabs>
          <w:tab w:pos="739" w:val="left" w:leader="none"/>
        </w:tabs>
        <w:spacing w:line="124" w:lineRule="exact" w:before="0"/>
        <w:ind w:left="140" w:right="-14" w:firstLine="0"/>
        <w:jc w:val="left"/>
        <w:rPr>
          <w:rFonts w:ascii="宋体" w:hAnsi="宋体" w:cs="宋体" w:eastAsia="宋体" w:hint="default"/>
          <w:sz w:val="15"/>
          <w:szCs w:val="15"/>
        </w:rPr>
      </w:pPr>
      <w:r>
        <w:rPr/>
        <w:br w:type="column"/>
      </w:r>
      <w:r>
        <w:rPr>
          <w:rFonts w:ascii="宋体" w:hAnsi="宋体" w:cs="宋体" w:eastAsia="宋体" w:hint="default"/>
          <w:sz w:val="15"/>
          <w:szCs w:val="15"/>
        </w:rPr>
        <w:t>诉讼</w:t>
        <w:tab/>
        <w:t>吨</w:t>
      </w:r>
      <w:r>
        <w:rPr>
          <w:rFonts w:ascii="Arial" w:hAnsi="Arial" w:cs="Arial" w:eastAsia="Arial" w:hint="default"/>
          <w:sz w:val="15"/>
          <w:szCs w:val="15"/>
        </w:rPr>
        <w:t>,</w:t>
      </w:r>
      <w:r>
        <w:rPr>
          <w:rFonts w:ascii="宋体" w:hAnsi="宋体" w:cs="宋体" w:eastAsia="宋体" w:hint="default"/>
          <w:sz w:val="15"/>
          <w:szCs w:val="15"/>
        </w:rPr>
        <w:t>其余</w:t>
      </w:r>
      <w:r>
        <w:rPr>
          <w:rFonts w:ascii="宋体" w:hAnsi="宋体" w:cs="宋体" w:eastAsia="宋体" w:hint="default"/>
          <w:spacing w:val="-31"/>
          <w:sz w:val="15"/>
          <w:szCs w:val="15"/>
        </w:rPr>
        <w:t> </w:t>
      </w:r>
      <w:r>
        <w:rPr>
          <w:rFonts w:ascii="Arial" w:hAnsi="Arial" w:cs="Arial" w:eastAsia="Arial" w:hint="default"/>
          <w:sz w:val="15"/>
          <w:szCs w:val="15"/>
        </w:rPr>
        <w:t>8150.234</w:t>
      </w:r>
      <w:r>
        <w:rPr>
          <w:rFonts w:ascii="Arial" w:hAnsi="Arial" w:cs="Arial" w:eastAsia="Arial" w:hint="default"/>
          <w:spacing w:val="2"/>
          <w:sz w:val="15"/>
          <w:szCs w:val="15"/>
        </w:rPr>
        <w:t> </w:t>
      </w:r>
      <w:r>
        <w:rPr>
          <w:rFonts w:ascii="宋体" w:hAnsi="宋体" w:cs="宋体" w:eastAsia="宋体" w:hint="default"/>
          <w:spacing w:val="-6"/>
          <w:sz w:val="15"/>
          <w:szCs w:val="15"/>
        </w:rPr>
        <w:t>吨无货可提，财</w:t>
      </w:r>
    </w:p>
    <w:p>
      <w:pPr>
        <w:tabs>
          <w:tab w:pos="1995" w:val="left" w:leader="none"/>
        </w:tabs>
        <w:spacing w:line="124" w:lineRule="exact" w:before="0"/>
        <w:ind w:left="140" w:right="0" w:firstLine="0"/>
        <w:jc w:val="left"/>
        <w:rPr>
          <w:rFonts w:ascii="Arial" w:hAnsi="Arial" w:cs="Arial" w:eastAsia="Arial" w:hint="default"/>
          <w:sz w:val="15"/>
          <w:szCs w:val="15"/>
        </w:rPr>
      </w:pPr>
      <w:r>
        <w:rPr>
          <w:spacing w:val="-1"/>
        </w:rPr>
        <w:br w:type="column"/>
      </w:r>
      <w:r>
        <w:rPr>
          <w:rFonts w:ascii="Arial" w:hAnsi="Arial" w:cs="Arial" w:eastAsia="Arial" w:hint="default"/>
          <w:spacing w:val="-1"/>
          <w:sz w:val="15"/>
          <w:szCs w:val="15"/>
        </w:rPr>
        <w:t>25,637,552.53</w:t>
        <w:tab/>
      </w:r>
      <w:r>
        <w:rPr>
          <w:rFonts w:ascii="Arial" w:hAnsi="Arial" w:cs="Arial" w:eastAsia="Arial" w:hint="default"/>
          <w:spacing w:val="-1"/>
          <w:position w:val="10"/>
          <w:sz w:val="15"/>
          <w:szCs w:val="15"/>
        </w:rPr>
        <w:t>2013</w:t>
      </w:r>
      <w:r>
        <w:rPr>
          <w:rFonts w:ascii="Arial" w:hAnsi="Arial" w:cs="Arial" w:eastAsia="Arial" w:hint="default"/>
          <w:spacing w:val="-2"/>
          <w:position w:val="10"/>
          <w:sz w:val="15"/>
          <w:szCs w:val="15"/>
        </w:rPr>
        <w:t> </w:t>
      </w:r>
      <w:r>
        <w:rPr>
          <w:rFonts w:ascii="宋体" w:hAnsi="宋体" w:cs="宋体" w:eastAsia="宋体" w:hint="default"/>
          <w:position w:val="10"/>
          <w:sz w:val="15"/>
          <w:szCs w:val="15"/>
        </w:rPr>
        <w:t>年</w:t>
      </w:r>
      <w:r>
        <w:rPr>
          <w:rFonts w:ascii="宋体" w:hAnsi="宋体" w:cs="宋体" w:eastAsia="宋体" w:hint="default"/>
          <w:spacing w:val="-32"/>
          <w:position w:val="10"/>
          <w:sz w:val="15"/>
          <w:szCs w:val="15"/>
        </w:rPr>
        <w:t> </w:t>
      </w:r>
      <w:r>
        <w:rPr>
          <w:rFonts w:ascii="Arial" w:hAnsi="Arial" w:cs="Arial" w:eastAsia="Arial" w:hint="default"/>
          <w:spacing w:val="-2"/>
          <w:position w:val="10"/>
          <w:sz w:val="15"/>
          <w:szCs w:val="15"/>
        </w:rPr>
        <w:t>11 </w:t>
      </w:r>
      <w:r>
        <w:rPr>
          <w:rFonts w:ascii="宋体" w:hAnsi="宋体" w:cs="宋体" w:eastAsia="宋体" w:hint="default"/>
          <w:position w:val="10"/>
          <w:sz w:val="15"/>
          <w:szCs w:val="15"/>
        </w:rPr>
        <w:t>月</w:t>
      </w:r>
      <w:r>
        <w:rPr>
          <w:rFonts w:ascii="宋体" w:hAnsi="宋体" w:cs="宋体" w:eastAsia="宋体" w:hint="default"/>
          <w:spacing w:val="-32"/>
          <w:position w:val="10"/>
          <w:sz w:val="15"/>
          <w:szCs w:val="15"/>
        </w:rPr>
        <w:t> </w:t>
      </w:r>
      <w:r>
        <w:rPr>
          <w:rFonts w:ascii="Arial" w:hAnsi="Arial" w:cs="Arial" w:eastAsia="Arial" w:hint="default"/>
          <w:spacing w:val="-2"/>
          <w:position w:val="10"/>
          <w:sz w:val="15"/>
          <w:szCs w:val="15"/>
        </w:rPr>
        <w:t>25</w:t>
      </w:r>
      <w:r>
        <w:rPr>
          <w:rFonts w:ascii="Arial" w:hAnsi="Arial" w:cs="Arial" w:eastAsia="Arial" w:hint="default"/>
          <w:position w:val="10"/>
          <w:sz w:val="15"/>
          <w:szCs w:val="15"/>
        </w:rPr>
        <w:t> </w:t>
      </w:r>
      <w:r>
        <w:rPr>
          <w:rFonts w:ascii="宋体" w:hAnsi="宋体" w:cs="宋体" w:eastAsia="宋体" w:hint="default"/>
          <w:spacing w:val="-2"/>
          <w:position w:val="10"/>
          <w:sz w:val="15"/>
          <w:szCs w:val="15"/>
        </w:rPr>
        <w:t>日收到一审判决书</w:t>
      </w:r>
      <w:r>
        <w:rPr>
          <w:rFonts w:ascii="宋体" w:hAnsi="宋体" w:cs="宋体" w:eastAsia="宋体" w:hint="default"/>
          <w:spacing w:val="-3"/>
          <w:position w:val="10"/>
          <w:sz w:val="15"/>
          <w:szCs w:val="15"/>
        </w:rPr>
        <w:t> </w:t>
      </w:r>
      <w:r>
        <w:rPr>
          <w:rFonts w:ascii="宋体" w:hAnsi="宋体" w:cs="宋体" w:eastAsia="宋体" w:hint="default"/>
          <w:sz w:val="15"/>
          <w:szCs w:val="15"/>
        </w:rPr>
        <w:t>欠款</w:t>
      </w:r>
      <w:r>
        <w:rPr>
          <w:rFonts w:ascii="宋体" w:hAnsi="宋体" w:cs="宋体" w:eastAsia="宋体" w:hint="default"/>
          <w:spacing w:val="-35"/>
          <w:sz w:val="15"/>
          <w:szCs w:val="15"/>
        </w:rPr>
        <w:t> </w:t>
      </w:r>
      <w:r>
        <w:rPr>
          <w:rFonts w:ascii="Arial" w:hAnsi="Arial" w:cs="Arial" w:eastAsia="Arial" w:hint="default"/>
          <w:spacing w:val="-1"/>
          <w:sz w:val="15"/>
          <w:szCs w:val="15"/>
        </w:rPr>
        <w:t>14,285,964.24 </w:t>
      </w:r>
      <w:r>
        <w:rPr>
          <w:rFonts w:ascii="宋体" w:hAnsi="宋体" w:cs="宋体" w:eastAsia="宋体" w:hint="default"/>
          <w:spacing w:val="-2"/>
          <w:sz w:val="15"/>
          <w:szCs w:val="15"/>
        </w:rPr>
        <w:t>元及违约金</w:t>
      </w:r>
      <w:r>
        <w:rPr>
          <w:rFonts w:ascii="宋体" w:hAnsi="宋体" w:cs="宋体" w:eastAsia="宋体" w:hint="default"/>
          <w:spacing w:val="-32"/>
          <w:sz w:val="15"/>
          <w:szCs w:val="15"/>
        </w:rPr>
        <w:t> </w:t>
      </w:r>
      <w:r>
        <w:rPr>
          <w:rFonts w:ascii="Arial" w:hAnsi="Arial" w:cs="Arial" w:eastAsia="Arial" w:hint="default"/>
          <w:spacing w:val="-1"/>
          <w:sz w:val="15"/>
          <w:szCs w:val="15"/>
        </w:rPr>
        <w:t>300</w:t>
      </w:r>
      <w:r>
        <w:rPr>
          <w:rFonts w:ascii="Arial" w:hAnsi="Arial" w:cs="Arial" w:eastAsia="Arial" w:hint="default"/>
          <w:spacing w:val="-2"/>
          <w:sz w:val="15"/>
          <w:szCs w:val="15"/>
        </w:rPr>
        <w:t> </w:t>
      </w:r>
      <w:r>
        <w:rPr>
          <w:rFonts w:ascii="宋体" w:hAnsi="宋体" w:cs="宋体" w:eastAsia="宋体" w:hint="default"/>
          <w:spacing w:val="-1"/>
          <w:sz w:val="15"/>
          <w:szCs w:val="15"/>
        </w:rPr>
        <w:t>万元</w:t>
      </w:r>
      <w:r>
        <w:rPr>
          <w:rFonts w:ascii="Arial" w:hAnsi="Arial" w:cs="Arial" w:eastAsia="Arial" w:hint="default"/>
          <w:spacing w:val="-1"/>
          <w:sz w:val="15"/>
          <w:szCs w:val="15"/>
        </w:rPr>
        <w:t>,</w:t>
      </w:r>
    </w:p>
    <w:p>
      <w:pPr>
        <w:spacing w:line="124" w:lineRule="exact" w:before="0"/>
        <w:ind w:left="64"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执行财产，法院作出</w:t>
      </w:r>
    </w:p>
    <w:p>
      <w:pPr>
        <w:spacing w:after="0" w:line="124" w:lineRule="exact"/>
        <w:jc w:val="left"/>
        <w:rPr>
          <w:rFonts w:ascii="宋体" w:hAnsi="宋体" w:cs="宋体" w:eastAsia="宋体" w:hint="default"/>
          <w:sz w:val="15"/>
          <w:szCs w:val="15"/>
        </w:rPr>
        <w:sectPr>
          <w:type w:val="continuous"/>
          <w:pgSz w:w="16840" w:h="11910" w:orient="landscape"/>
          <w:pgMar w:top="1360" w:bottom="1380" w:left="1300" w:right="1360"/>
          <w:cols w:num="5" w:equalWidth="0">
            <w:col w:w="594" w:space="40"/>
            <w:col w:w="570" w:space="848"/>
            <w:col w:w="2959" w:space="256"/>
            <w:col w:w="7170" w:space="40"/>
            <w:col w:w="1703"/>
          </w:cols>
        </w:sectPr>
      </w:pPr>
    </w:p>
    <w:p>
      <w:pPr>
        <w:spacing w:before="50"/>
        <w:ind w:left="140" w:right="-17" w:firstLine="0"/>
        <w:jc w:val="left"/>
        <w:rPr>
          <w:rFonts w:ascii="宋体" w:hAnsi="宋体" w:cs="宋体" w:eastAsia="宋体" w:hint="default"/>
          <w:sz w:val="15"/>
          <w:szCs w:val="15"/>
        </w:rPr>
      </w:pPr>
      <w:r>
        <w:rPr>
          <w:rFonts w:ascii="宋体" w:hAnsi="宋体" w:cs="宋体" w:eastAsia="宋体" w:hint="default"/>
          <w:sz w:val="15"/>
          <w:szCs w:val="15"/>
        </w:rPr>
        <w:t>责任公</w:t>
      </w:r>
      <w:r>
        <w:rPr>
          <w:rFonts w:ascii="宋体" w:hAnsi="宋体" w:cs="宋体" w:eastAsia="宋体" w:hint="default"/>
          <w:spacing w:val="-72"/>
          <w:sz w:val="15"/>
          <w:szCs w:val="15"/>
        </w:rPr>
        <w:t> </w:t>
      </w:r>
      <w:r>
        <w:rPr>
          <w:rFonts w:ascii="宋体" w:hAnsi="宋体" w:cs="宋体" w:eastAsia="宋体" w:hint="default"/>
          <w:sz w:val="15"/>
          <w:szCs w:val="15"/>
        </w:rPr>
        <w:t>司</w:t>
      </w:r>
    </w:p>
    <w:p>
      <w:pPr>
        <w:spacing w:before="50"/>
        <w:ind w:left="116" w:right="0" w:firstLine="0"/>
        <w:jc w:val="both"/>
        <w:rPr>
          <w:rFonts w:ascii="宋体" w:hAnsi="宋体" w:cs="宋体" w:eastAsia="宋体" w:hint="default"/>
          <w:sz w:val="15"/>
          <w:szCs w:val="15"/>
        </w:rPr>
      </w:pPr>
      <w:r>
        <w:rPr/>
        <w:br w:type="column"/>
      </w:r>
      <w:r>
        <w:rPr>
          <w:rFonts w:ascii="宋体" w:hAnsi="宋体" w:cs="宋体" w:eastAsia="宋体" w:hint="default"/>
          <w:sz w:val="15"/>
          <w:szCs w:val="15"/>
        </w:rPr>
        <w:t>食国有</w:t>
      </w:r>
      <w:r>
        <w:rPr>
          <w:rFonts w:ascii="宋体" w:hAnsi="宋体" w:cs="宋体" w:eastAsia="宋体" w:hint="default"/>
          <w:spacing w:val="-72"/>
          <w:sz w:val="15"/>
          <w:szCs w:val="15"/>
        </w:rPr>
        <w:t> </w:t>
      </w:r>
      <w:r>
        <w:rPr>
          <w:rFonts w:ascii="宋体" w:hAnsi="宋体" w:cs="宋体" w:eastAsia="宋体" w:hint="default"/>
          <w:sz w:val="15"/>
          <w:szCs w:val="15"/>
        </w:rPr>
        <w:t>资产管</w:t>
      </w:r>
      <w:r>
        <w:rPr>
          <w:rFonts w:ascii="宋体" w:hAnsi="宋体" w:cs="宋体" w:eastAsia="宋体" w:hint="default"/>
          <w:spacing w:val="-72"/>
          <w:sz w:val="15"/>
          <w:szCs w:val="15"/>
        </w:rPr>
        <w:t> </w:t>
      </w:r>
      <w:r>
        <w:rPr>
          <w:rFonts w:ascii="宋体" w:hAnsi="宋体" w:cs="宋体" w:eastAsia="宋体" w:hint="default"/>
          <w:sz w:val="15"/>
          <w:szCs w:val="15"/>
        </w:rPr>
        <w:t>理有限</w:t>
      </w:r>
      <w:r>
        <w:rPr>
          <w:rFonts w:ascii="宋体" w:hAnsi="宋体" w:cs="宋体" w:eastAsia="宋体" w:hint="default"/>
          <w:spacing w:val="-72"/>
          <w:sz w:val="15"/>
          <w:szCs w:val="15"/>
        </w:rPr>
        <w:t> </w:t>
      </w:r>
      <w:r>
        <w:rPr>
          <w:rFonts w:ascii="宋体" w:hAnsi="宋体" w:cs="宋体" w:eastAsia="宋体" w:hint="default"/>
          <w:sz w:val="15"/>
          <w:szCs w:val="15"/>
        </w:rPr>
        <w:t>公司</w:t>
      </w:r>
    </w:p>
    <w:p>
      <w:pPr>
        <w:spacing w:line="201" w:lineRule="exact" w:before="50"/>
        <w:ind w:left="140" w:right="-15" w:firstLine="0"/>
        <w:jc w:val="left"/>
        <w:rPr>
          <w:rFonts w:ascii="Arial" w:hAnsi="Arial" w:cs="Arial" w:eastAsia="Arial" w:hint="default"/>
          <w:sz w:val="15"/>
          <w:szCs w:val="15"/>
        </w:rPr>
      </w:pPr>
      <w:r>
        <w:rPr/>
        <w:br w:type="column"/>
      </w:r>
      <w:r>
        <w:rPr>
          <w:rFonts w:ascii="宋体" w:hAnsi="宋体" w:cs="宋体" w:eastAsia="宋体" w:hint="default"/>
          <w:w w:val="100"/>
          <w:sz w:val="15"/>
          <w:szCs w:val="15"/>
        </w:rPr>
        <w:t>务预</w:t>
      </w:r>
      <w:r>
        <w:rPr>
          <w:rFonts w:ascii="宋体" w:hAnsi="宋体" w:cs="宋体" w:eastAsia="宋体" w:hint="default"/>
          <w:spacing w:val="-3"/>
          <w:w w:val="100"/>
          <w:sz w:val="15"/>
          <w:szCs w:val="15"/>
        </w:rPr>
        <w:t>付</w:t>
      </w:r>
      <w:r>
        <w:rPr>
          <w:rFonts w:ascii="宋体" w:hAnsi="宋体" w:cs="宋体" w:eastAsia="宋体" w:hint="default"/>
          <w:w w:val="100"/>
          <w:sz w:val="15"/>
          <w:szCs w:val="15"/>
        </w:rPr>
        <w:t>款</w:t>
      </w:r>
      <w:r>
        <w:rPr>
          <w:rFonts w:ascii="宋体" w:hAnsi="宋体" w:cs="宋体" w:eastAsia="宋体" w:hint="default"/>
          <w:spacing w:val="-39"/>
          <w:sz w:val="15"/>
          <w:szCs w:val="15"/>
        </w:rPr>
        <w:t> </w:t>
      </w:r>
      <w:r>
        <w:rPr>
          <w:rFonts w:ascii="Arial" w:hAnsi="Arial" w:cs="Arial" w:eastAsia="Arial" w:hint="default"/>
          <w:w w:val="100"/>
          <w:sz w:val="15"/>
          <w:szCs w:val="15"/>
        </w:rPr>
        <w:t>14</w:t>
      </w:r>
      <w:r>
        <w:rPr>
          <w:rFonts w:ascii="Arial" w:hAnsi="Arial" w:cs="Arial" w:eastAsia="Arial" w:hint="default"/>
          <w:spacing w:val="-3"/>
          <w:w w:val="100"/>
          <w:sz w:val="15"/>
          <w:szCs w:val="15"/>
        </w:rPr>
        <w:t>2</w:t>
      </w:r>
      <w:r>
        <w:rPr>
          <w:rFonts w:ascii="Arial" w:hAnsi="Arial" w:cs="Arial" w:eastAsia="Arial" w:hint="default"/>
          <w:w w:val="100"/>
          <w:sz w:val="15"/>
          <w:szCs w:val="15"/>
        </w:rPr>
        <w:t>8</w:t>
      </w:r>
      <w:r>
        <w:rPr>
          <w:rFonts w:ascii="Arial" w:hAnsi="Arial" w:cs="Arial" w:eastAsia="Arial" w:hint="default"/>
          <w:spacing w:val="-4"/>
          <w:sz w:val="15"/>
          <w:szCs w:val="15"/>
        </w:rPr>
        <w:t> </w:t>
      </w:r>
      <w:r>
        <w:rPr>
          <w:rFonts w:ascii="宋体" w:hAnsi="宋体" w:cs="宋体" w:eastAsia="宋体" w:hint="default"/>
          <w:spacing w:val="-3"/>
          <w:w w:val="100"/>
          <w:sz w:val="15"/>
          <w:szCs w:val="15"/>
        </w:rPr>
        <w:t>万</w:t>
      </w:r>
      <w:r>
        <w:rPr>
          <w:rFonts w:ascii="宋体" w:hAnsi="宋体" w:cs="宋体" w:eastAsia="宋体" w:hint="default"/>
          <w:w w:val="100"/>
          <w:sz w:val="15"/>
          <w:szCs w:val="15"/>
        </w:rPr>
        <w:t>元</w:t>
      </w:r>
      <w:r>
        <w:rPr>
          <w:rFonts w:ascii="宋体" w:hAnsi="宋体" w:cs="宋体" w:eastAsia="宋体" w:hint="default"/>
          <w:spacing w:val="-68"/>
          <w:w w:val="100"/>
          <w:sz w:val="15"/>
          <w:szCs w:val="15"/>
        </w:rPr>
        <w:t>。</w:t>
      </w:r>
      <w:r>
        <w:rPr>
          <w:rFonts w:ascii="宋体" w:hAnsi="宋体" w:cs="宋体" w:eastAsia="宋体" w:hint="default"/>
          <w:w w:val="100"/>
          <w:sz w:val="15"/>
          <w:szCs w:val="15"/>
        </w:rPr>
        <w:t>公</w:t>
      </w:r>
      <w:r>
        <w:rPr>
          <w:rFonts w:ascii="宋体" w:hAnsi="宋体" w:cs="宋体" w:eastAsia="宋体" w:hint="default"/>
          <w:spacing w:val="-3"/>
          <w:w w:val="100"/>
          <w:sz w:val="15"/>
          <w:szCs w:val="15"/>
        </w:rPr>
        <w:t>司</w:t>
      </w:r>
      <w:r>
        <w:rPr>
          <w:rFonts w:ascii="宋体" w:hAnsi="宋体" w:cs="宋体" w:eastAsia="宋体" w:hint="default"/>
          <w:w w:val="100"/>
          <w:sz w:val="15"/>
          <w:szCs w:val="15"/>
        </w:rPr>
        <w:t>于</w:t>
      </w:r>
      <w:r>
        <w:rPr>
          <w:rFonts w:ascii="宋体" w:hAnsi="宋体" w:cs="宋体" w:eastAsia="宋体" w:hint="default"/>
          <w:spacing w:val="-37"/>
          <w:sz w:val="15"/>
          <w:szCs w:val="15"/>
        </w:rPr>
        <w:t> </w:t>
      </w:r>
      <w:r>
        <w:rPr>
          <w:rFonts w:ascii="Arial" w:hAnsi="Arial" w:cs="Arial" w:eastAsia="Arial" w:hint="default"/>
          <w:spacing w:val="-3"/>
          <w:w w:val="100"/>
          <w:sz w:val="15"/>
          <w:szCs w:val="15"/>
        </w:rPr>
        <w:t>2</w:t>
      </w:r>
      <w:r>
        <w:rPr>
          <w:rFonts w:ascii="Arial" w:hAnsi="Arial" w:cs="Arial" w:eastAsia="Arial" w:hint="default"/>
          <w:w w:val="100"/>
          <w:sz w:val="15"/>
          <w:szCs w:val="15"/>
        </w:rPr>
        <w:t>012</w:t>
      </w:r>
    </w:p>
    <w:p>
      <w:pPr>
        <w:spacing w:line="232" w:lineRule="auto" w:before="0"/>
        <w:ind w:left="140" w:right="-11" w:firstLine="0"/>
        <w:jc w:val="left"/>
        <w:rPr>
          <w:rFonts w:ascii="宋体" w:hAnsi="宋体" w:cs="宋体" w:eastAsia="宋体" w:hint="default"/>
          <w:sz w:val="15"/>
          <w:szCs w:val="15"/>
        </w:rPr>
      </w:pPr>
      <w:r>
        <w:rPr>
          <w:rFonts w:ascii="宋体" w:hAnsi="宋体" w:cs="宋体" w:eastAsia="宋体" w:hint="default"/>
          <w:sz w:val="15"/>
          <w:szCs w:val="15"/>
        </w:rPr>
        <w:t>年</w:t>
      </w:r>
      <w:r>
        <w:rPr>
          <w:rFonts w:ascii="宋体" w:hAnsi="宋体" w:cs="宋体" w:eastAsia="宋体" w:hint="default"/>
          <w:spacing w:val="-56"/>
          <w:sz w:val="15"/>
          <w:szCs w:val="15"/>
        </w:rPr>
        <w:t> </w:t>
      </w:r>
      <w:r>
        <w:rPr>
          <w:rFonts w:ascii="Arial" w:hAnsi="Arial" w:cs="Arial" w:eastAsia="Arial" w:hint="default"/>
          <w:sz w:val="15"/>
          <w:szCs w:val="15"/>
        </w:rPr>
        <w:t>10</w:t>
      </w:r>
      <w:r>
        <w:rPr>
          <w:rFonts w:ascii="Arial" w:hAnsi="Arial" w:cs="Arial" w:eastAsia="Arial" w:hint="default"/>
          <w:spacing w:val="-23"/>
          <w:sz w:val="15"/>
          <w:szCs w:val="15"/>
        </w:rPr>
        <w:t> </w:t>
      </w:r>
      <w:r>
        <w:rPr>
          <w:rFonts w:ascii="宋体" w:hAnsi="宋体" w:cs="宋体" w:eastAsia="宋体" w:hint="default"/>
          <w:sz w:val="15"/>
          <w:szCs w:val="15"/>
        </w:rPr>
        <w:t>月</w:t>
      </w:r>
      <w:r>
        <w:rPr>
          <w:rFonts w:ascii="宋体" w:hAnsi="宋体" w:cs="宋体" w:eastAsia="宋体" w:hint="default"/>
          <w:spacing w:val="-56"/>
          <w:sz w:val="15"/>
          <w:szCs w:val="15"/>
        </w:rPr>
        <w:t> </w:t>
      </w:r>
      <w:r>
        <w:rPr>
          <w:rFonts w:ascii="Arial" w:hAnsi="Arial" w:cs="Arial" w:eastAsia="Arial" w:hint="default"/>
          <w:sz w:val="15"/>
          <w:szCs w:val="15"/>
        </w:rPr>
        <w:t>18</w:t>
      </w:r>
      <w:r>
        <w:rPr>
          <w:rFonts w:ascii="Arial" w:hAnsi="Arial" w:cs="Arial" w:eastAsia="Arial" w:hint="default"/>
          <w:spacing w:val="-23"/>
          <w:sz w:val="15"/>
          <w:szCs w:val="15"/>
        </w:rPr>
        <w:t> </w:t>
      </w:r>
      <w:r>
        <w:rPr>
          <w:rFonts w:ascii="宋体" w:hAnsi="宋体" w:cs="宋体" w:eastAsia="宋体" w:hint="default"/>
          <w:sz w:val="15"/>
          <w:szCs w:val="15"/>
        </w:rPr>
        <w:t>日向农垦中院起诉长春</w:t>
      </w:r>
      <w:r>
        <w:rPr>
          <w:rFonts w:ascii="宋体" w:hAnsi="宋体" w:cs="宋体" w:eastAsia="宋体" w:hint="default"/>
          <w:w w:val="100"/>
          <w:sz w:val="15"/>
          <w:szCs w:val="15"/>
        </w:rPr>
        <w:t> </w:t>
      </w:r>
      <w:r>
        <w:rPr>
          <w:rFonts w:ascii="宋体" w:hAnsi="宋体" w:cs="宋体" w:eastAsia="宋体" w:hint="default"/>
          <w:spacing w:val="-4"/>
          <w:sz w:val="15"/>
          <w:szCs w:val="15"/>
        </w:rPr>
        <w:t>岭粮库，因扶余县粮食国有资产管</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理有限公司是长春岭粮库的全资</w:t>
      </w:r>
      <w:r>
        <w:rPr>
          <w:rFonts w:ascii="宋体" w:hAnsi="宋体" w:cs="宋体" w:eastAsia="宋体" w:hint="default"/>
          <w:w w:val="100"/>
          <w:sz w:val="15"/>
          <w:szCs w:val="15"/>
        </w:rPr>
        <w:t> </w:t>
      </w:r>
      <w:r>
        <w:rPr>
          <w:rFonts w:ascii="宋体" w:hAnsi="宋体" w:cs="宋体" w:eastAsia="宋体" w:hint="default"/>
          <w:sz w:val="15"/>
          <w:szCs w:val="15"/>
        </w:rPr>
        <w:t>股东，随同一并起诉。</w:t>
      </w:r>
    </w:p>
    <w:p>
      <w:pPr>
        <w:spacing w:line="251" w:lineRule="exact" w:before="0"/>
        <w:ind w:left="140" w:right="0" w:firstLine="0"/>
        <w:jc w:val="left"/>
        <w:rPr>
          <w:rFonts w:ascii="宋体" w:hAnsi="宋体" w:cs="宋体" w:eastAsia="宋体" w:hint="default"/>
          <w:sz w:val="15"/>
          <w:szCs w:val="15"/>
        </w:rPr>
      </w:pPr>
      <w:r>
        <w:rPr/>
        <w:br w:type="column"/>
      </w:r>
      <w:r>
        <w:rPr>
          <w:rFonts w:ascii="宋体" w:hAnsi="宋体" w:cs="宋体" w:eastAsia="宋体" w:hint="default"/>
          <w:position w:val="10"/>
          <w:sz w:val="15"/>
          <w:szCs w:val="15"/>
        </w:rPr>
        <w:t>〔</w:t>
      </w:r>
      <w:r>
        <w:rPr>
          <w:rFonts w:ascii="Arial" w:hAnsi="Arial" w:cs="Arial" w:eastAsia="Arial" w:hint="default"/>
          <w:position w:val="10"/>
          <w:sz w:val="15"/>
          <w:szCs w:val="15"/>
        </w:rPr>
        <w:t>2013</w:t>
      </w:r>
      <w:r>
        <w:rPr>
          <w:rFonts w:ascii="宋体" w:hAnsi="宋体" w:cs="宋体" w:eastAsia="宋体" w:hint="default"/>
          <w:position w:val="10"/>
          <w:sz w:val="15"/>
          <w:szCs w:val="15"/>
        </w:rPr>
        <w:t>〕垦商初字第</w:t>
      </w:r>
      <w:r>
        <w:rPr>
          <w:rFonts w:ascii="宋体" w:hAnsi="宋体" w:cs="宋体" w:eastAsia="宋体" w:hint="default"/>
          <w:spacing w:val="-30"/>
          <w:position w:val="10"/>
          <w:sz w:val="15"/>
          <w:szCs w:val="15"/>
        </w:rPr>
        <w:t> </w:t>
      </w:r>
      <w:r>
        <w:rPr>
          <w:rFonts w:ascii="Arial" w:hAnsi="Arial" w:cs="Arial" w:eastAsia="Arial" w:hint="default"/>
          <w:position w:val="10"/>
          <w:sz w:val="15"/>
          <w:szCs w:val="15"/>
        </w:rPr>
        <w:t>10</w:t>
      </w:r>
      <w:r>
        <w:rPr>
          <w:rFonts w:ascii="Arial" w:hAnsi="Arial" w:cs="Arial" w:eastAsia="Arial" w:hint="default"/>
          <w:spacing w:val="3"/>
          <w:position w:val="10"/>
          <w:sz w:val="15"/>
          <w:szCs w:val="15"/>
        </w:rPr>
        <w:t> </w:t>
      </w:r>
      <w:r>
        <w:rPr>
          <w:rFonts w:ascii="宋体" w:hAnsi="宋体" w:cs="宋体" w:eastAsia="宋体" w:hint="default"/>
          <w:position w:val="10"/>
          <w:sz w:val="15"/>
          <w:szCs w:val="15"/>
        </w:rPr>
        <w:t>号判决书。</w:t>
      </w:r>
      <w:r>
        <w:rPr>
          <w:rFonts w:ascii="宋体" w:hAnsi="宋体" w:cs="宋体" w:eastAsia="宋体" w:hint="default"/>
          <w:spacing w:val="-24"/>
          <w:position w:val="10"/>
          <w:sz w:val="15"/>
          <w:szCs w:val="15"/>
        </w:rPr>
        <w:t> </w:t>
      </w:r>
      <w:r>
        <w:rPr>
          <w:rFonts w:ascii="宋体" w:hAnsi="宋体" w:cs="宋体" w:eastAsia="宋体" w:hint="default"/>
          <w:sz w:val="15"/>
          <w:szCs w:val="15"/>
        </w:rPr>
        <w:t>合计</w:t>
      </w:r>
      <w:r>
        <w:rPr>
          <w:rFonts w:ascii="宋体" w:hAnsi="宋体" w:cs="宋体" w:eastAsia="宋体" w:hint="default"/>
          <w:spacing w:val="-33"/>
          <w:sz w:val="15"/>
          <w:szCs w:val="15"/>
        </w:rPr>
        <w:t> </w:t>
      </w:r>
      <w:r>
        <w:rPr>
          <w:rFonts w:ascii="Arial" w:hAnsi="Arial" w:cs="Arial" w:eastAsia="Arial" w:hint="default"/>
          <w:sz w:val="15"/>
          <w:szCs w:val="15"/>
        </w:rPr>
        <w:t>17,285,964.24</w:t>
      </w:r>
      <w:r>
        <w:rPr>
          <w:rFonts w:ascii="Arial" w:hAnsi="Arial" w:cs="Arial" w:eastAsia="Arial" w:hint="default"/>
          <w:spacing w:val="1"/>
          <w:sz w:val="15"/>
          <w:szCs w:val="15"/>
        </w:rPr>
        <w:t> </w:t>
      </w:r>
      <w:r>
        <w:rPr>
          <w:rFonts w:ascii="宋体" w:hAnsi="宋体" w:cs="宋体" w:eastAsia="宋体" w:hint="default"/>
          <w:spacing w:val="-3"/>
          <w:sz w:val="15"/>
          <w:szCs w:val="15"/>
        </w:rPr>
        <w:t>元</w:t>
      </w:r>
      <w:r>
        <w:rPr>
          <w:rFonts w:ascii="Arial" w:hAnsi="Arial" w:cs="Arial" w:eastAsia="Arial" w:hint="default"/>
          <w:spacing w:val="-3"/>
          <w:sz w:val="15"/>
          <w:szCs w:val="15"/>
        </w:rPr>
        <w:t>,</w:t>
      </w:r>
      <w:r>
        <w:rPr>
          <w:rFonts w:ascii="宋体" w:hAnsi="宋体" w:cs="宋体" w:eastAsia="宋体" w:hint="default"/>
          <w:spacing w:val="-3"/>
          <w:sz w:val="15"/>
          <w:szCs w:val="15"/>
        </w:rPr>
        <w:t>驳回其他诉讼请求。（</w:t>
      </w:r>
      <w:r>
        <w:rPr>
          <w:rFonts w:ascii="Arial" w:hAnsi="Arial" w:cs="Arial" w:eastAsia="Arial" w:hint="default"/>
          <w:spacing w:val="-3"/>
          <w:sz w:val="15"/>
          <w:szCs w:val="15"/>
        </w:rPr>
        <w:t>2014</w:t>
      </w:r>
      <w:r>
        <w:rPr>
          <w:rFonts w:ascii="宋体" w:hAnsi="宋体" w:cs="宋体" w:eastAsia="宋体" w:hint="default"/>
          <w:spacing w:val="-3"/>
          <w:sz w:val="15"/>
          <w:szCs w:val="15"/>
        </w:rPr>
        <w:t>）垦商执字第</w:t>
      </w:r>
    </w:p>
    <w:p>
      <w:pPr>
        <w:spacing w:line="235" w:lineRule="auto" w:before="0"/>
        <w:ind w:left="5418" w:right="0" w:firstLine="0"/>
        <w:jc w:val="left"/>
        <w:rPr>
          <w:rFonts w:ascii="宋体" w:hAnsi="宋体" w:cs="宋体" w:eastAsia="宋体" w:hint="default"/>
          <w:sz w:val="15"/>
          <w:szCs w:val="15"/>
        </w:rPr>
      </w:pPr>
      <w:r>
        <w:rPr>
          <w:rFonts w:ascii="Arial" w:hAnsi="Arial" w:cs="Arial" w:eastAsia="Arial" w:hint="default"/>
          <w:sz w:val="15"/>
          <w:szCs w:val="15"/>
        </w:rPr>
        <w:t>9-3</w:t>
      </w:r>
      <w:r>
        <w:rPr>
          <w:rFonts w:ascii="Arial" w:hAnsi="Arial" w:cs="Arial" w:eastAsia="Arial" w:hint="default"/>
          <w:spacing w:val="-6"/>
          <w:sz w:val="15"/>
          <w:szCs w:val="15"/>
        </w:rPr>
        <w:t> </w:t>
      </w:r>
      <w:r>
        <w:rPr>
          <w:rFonts w:ascii="宋体" w:hAnsi="宋体" w:cs="宋体" w:eastAsia="宋体" w:hint="default"/>
          <w:sz w:val="15"/>
          <w:szCs w:val="15"/>
        </w:rPr>
        <w:t>号民事裁定书，裁</w:t>
      </w:r>
      <w:r>
        <w:rPr>
          <w:rFonts w:ascii="宋体" w:hAnsi="宋体" w:cs="宋体" w:eastAsia="宋体" w:hint="default"/>
          <w:w w:val="100"/>
          <w:sz w:val="15"/>
          <w:szCs w:val="15"/>
        </w:rPr>
        <w:t> </w:t>
      </w:r>
      <w:r>
        <w:rPr>
          <w:rFonts w:ascii="宋体" w:hAnsi="宋体" w:cs="宋体" w:eastAsia="宋体" w:hint="default"/>
          <w:spacing w:val="-2"/>
          <w:sz w:val="15"/>
          <w:szCs w:val="15"/>
        </w:rPr>
        <w:t>定终结本次执行程序，</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公司可在具备执行条</w:t>
      </w:r>
      <w:r>
        <w:rPr>
          <w:rFonts w:ascii="宋体" w:hAnsi="宋体" w:cs="宋体" w:eastAsia="宋体" w:hint="default"/>
          <w:w w:val="100"/>
          <w:sz w:val="15"/>
          <w:szCs w:val="15"/>
        </w:rPr>
        <w:t> </w:t>
      </w:r>
      <w:r>
        <w:rPr>
          <w:rFonts w:ascii="宋体" w:hAnsi="宋体" w:cs="宋体" w:eastAsia="宋体" w:hint="default"/>
          <w:sz w:val="15"/>
          <w:szCs w:val="15"/>
        </w:rPr>
        <w:t>件时再申请执行并不</w:t>
      </w:r>
      <w:r>
        <w:rPr>
          <w:rFonts w:ascii="宋体" w:hAnsi="宋体" w:cs="宋体" w:eastAsia="宋体" w:hint="default"/>
          <w:w w:val="100"/>
          <w:sz w:val="15"/>
          <w:szCs w:val="15"/>
        </w:rPr>
        <w:t> </w:t>
      </w:r>
      <w:r>
        <w:rPr>
          <w:rFonts w:ascii="宋体" w:hAnsi="宋体" w:cs="宋体" w:eastAsia="宋体" w:hint="default"/>
          <w:sz w:val="15"/>
          <w:szCs w:val="15"/>
        </w:rPr>
        <w:t>受执行期间的限制。</w:t>
      </w:r>
    </w:p>
    <w:p>
      <w:pPr>
        <w:spacing w:after="0" w:line="235" w:lineRule="auto"/>
        <w:jc w:val="left"/>
        <w:rPr>
          <w:rFonts w:ascii="宋体" w:hAnsi="宋体" w:cs="宋体" w:eastAsia="宋体" w:hint="default"/>
          <w:sz w:val="15"/>
          <w:szCs w:val="15"/>
        </w:rPr>
        <w:sectPr>
          <w:type w:val="continuous"/>
          <w:pgSz w:w="16840" w:h="11910" w:orient="landscape"/>
          <w:pgMar w:top="1360" w:bottom="1380" w:left="1300" w:right="1360"/>
          <w:cols w:num="4" w:equalWidth="0">
            <w:col w:w="594" w:space="40"/>
            <w:col w:w="570" w:space="1448"/>
            <w:col w:w="2359" w:space="2110"/>
            <w:col w:w="7059"/>
          </w:cols>
        </w:sectPr>
      </w:pPr>
    </w:p>
    <w:p>
      <w:pPr>
        <w:spacing w:line="240" w:lineRule="auto" w:before="0"/>
        <w:rPr>
          <w:rFonts w:ascii="宋体" w:hAnsi="宋体" w:cs="宋体" w:eastAsia="宋体" w:hint="default"/>
          <w:sz w:val="14"/>
          <w:szCs w:val="14"/>
        </w:rPr>
      </w:pPr>
    </w:p>
    <w:p>
      <w:pPr>
        <w:spacing w:line="144" w:lineRule="exact" w:before="117"/>
        <w:ind w:left="140" w:right="-17" w:firstLine="0"/>
        <w:jc w:val="left"/>
        <w:rPr>
          <w:rFonts w:ascii="宋体" w:hAnsi="宋体" w:cs="宋体" w:eastAsia="宋体" w:hint="default"/>
          <w:sz w:val="15"/>
          <w:szCs w:val="15"/>
        </w:rPr>
      </w:pPr>
      <w:r>
        <w:rPr>
          <w:rFonts w:ascii="宋体" w:hAnsi="宋体" w:cs="宋体" w:eastAsia="宋体" w:hint="default"/>
          <w:sz w:val="15"/>
          <w:szCs w:val="15"/>
        </w:rPr>
        <w:t>黑龙江</w:t>
      </w:r>
    </w:p>
    <w:p>
      <w:pPr>
        <w:spacing w:before="10"/>
        <w:ind w:left="116" w:right="-16" w:firstLine="0"/>
        <w:jc w:val="left"/>
        <w:rPr>
          <w:rFonts w:ascii="宋体" w:hAnsi="宋体" w:cs="宋体" w:eastAsia="宋体" w:hint="default"/>
          <w:sz w:val="15"/>
          <w:szCs w:val="15"/>
        </w:rPr>
      </w:pPr>
      <w:r>
        <w:rPr/>
        <w:br w:type="column"/>
      </w:r>
      <w:r>
        <w:rPr>
          <w:rFonts w:ascii="宋体" w:hAnsi="宋体" w:cs="宋体" w:eastAsia="宋体" w:hint="default"/>
          <w:sz w:val="15"/>
          <w:szCs w:val="15"/>
        </w:rPr>
        <w:t>黑龙江</w:t>
      </w:r>
      <w:r>
        <w:rPr>
          <w:rFonts w:ascii="宋体" w:hAnsi="宋体" w:cs="宋体" w:eastAsia="宋体" w:hint="default"/>
          <w:spacing w:val="-72"/>
          <w:sz w:val="15"/>
          <w:szCs w:val="15"/>
        </w:rPr>
        <w:t> </w:t>
      </w:r>
      <w:r>
        <w:rPr>
          <w:rFonts w:ascii="宋体" w:hAnsi="宋体" w:cs="宋体" w:eastAsia="宋体" w:hint="default"/>
          <w:sz w:val="15"/>
          <w:szCs w:val="15"/>
        </w:rPr>
        <w:t>农垦九</w:t>
      </w:r>
    </w:p>
    <w:p>
      <w:pPr>
        <w:spacing w:before="106"/>
        <w:ind w:left="140"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因公司客户黑龙江冠拓煤炭经销</w:t>
      </w:r>
      <w:r>
        <w:rPr>
          <w:rFonts w:ascii="宋体" w:hAnsi="宋体" w:cs="宋体" w:eastAsia="宋体" w:hint="default"/>
          <w:w w:val="100"/>
          <w:sz w:val="15"/>
          <w:szCs w:val="15"/>
        </w:rPr>
        <w:t> </w:t>
      </w:r>
      <w:r>
        <w:rPr>
          <w:rFonts w:ascii="宋体" w:hAnsi="宋体" w:cs="宋体" w:eastAsia="宋体" w:hint="default"/>
          <w:spacing w:val="-4"/>
          <w:sz w:val="15"/>
          <w:szCs w:val="15"/>
        </w:rPr>
        <w:t>有限责任公司资金困难，无法清偿</w:t>
      </w:r>
    </w:p>
    <w:p>
      <w:pPr>
        <w:spacing w:line="201" w:lineRule="exact" w:before="10"/>
        <w:ind w:left="140" w:right="-14" w:firstLine="0"/>
        <w:jc w:val="left"/>
        <w:rPr>
          <w:rFonts w:ascii="宋体" w:hAnsi="宋体" w:cs="宋体" w:eastAsia="宋体" w:hint="default"/>
          <w:sz w:val="15"/>
          <w:szCs w:val="15"/>
        </w:rPr>
      </w:pPr>
      <w:r>
        <w:rPr/>
        <w:br w:type="column"/>
      </w:r>
      <w:r>
        <w:rPr>
          <w:rFonts w:ascii="宋体" w:hAnsi="宋体" w:cs="宋体" w:eastAsia="宋体" w:hint="default"/>
          <w:sz w:val="15"/>
          <w:szCs w:val="15"/>
        </w:rPr>
        <w:t>公司于</w:t>
      </w:r>
      <w:r>
        <w:rPr>
          <w:rFonts w:ascii="宋体" w:hAnsi="宋体" w:cs="宋体" w:eastAsia="宋体" w:hint="default"/>
          <w:spacing w:val="-37"/>
          <w:sz w:val="15"/>
          <w:szCs w:val="15"/>
        </w:rPr>
        <w:t> </w:t>
      </w:r>
      <w:r>
        <w:rPr>
          <w:rFonts w:ascii="Arial" w:hAnsi="Arial" w:cs="Arial" w:eastAsia="Arial" w:hint="default"/>
          <w:sz w:val="15"/>
          <w:szCs w:val="15"/>
        </w:rPr>
        <w:t>2013</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7</w:t>
      </w:r>
      <w:r>
        <w:rPr>
          <w:rFonts w:ascii="Arial" w:hAnsi="Arial" w:cs="Arial" w:eastAsia="Arial" w:hint="default"/>
          <w:spacing w:val="-6"/>
          <w:sz w:val="15"/>
          <w:szCs w:val="15"/>
        </w:rPr>
        <w:t> </w:t>
      </w:r>
      <w:r>
        <w:rPr>
          <w:rFonts w:ascii="宋体" w:hAnsi="宋体" w:cs="宋体" w:eastAsia="宋体" w:hint="default"/>
          <w:sz w:val="15"/>
          <w:szCs w:val="15"/>
        </w:rPr>
        <w:t>月起诉至九三农垦</w:t>
      </w:r>
    </w:p>
    <w:p>
      <w:pPr>
        <w:spacing w:line="201" w:lineRule="exact" w:before="0"/>
        <w:ind w:left="140" w:right="-14" w:firstLine="0"/>
        <w:jc w:val="left"/>
        <w:rPr>
          <w:rFonts w:ascii="宋体" w:hAnsi="宋体" w:cs="宋体" w:eastAsia="宋体" w:hint="default"/>
          <w:sz w:val="15"/>
          <w:szCs w:val="15"/>
        </w:rPr>
      </w:pPr>
      <w:r>
        <w:rPr>
          <w:rFonts w:ascii="宋体" w:hAnsi="宋体" w:cs="宋体" w:eastAsia="宋体" w:hint="default"/>
          <w:sz w:val="15"/>
          <w:szCs w:val="15"/>
        </w:rPr>
        <w:t>法院，法院于</w:t>
      </w:r>
      <w:r>
        <w:rPr>
          <w:rFonts w:ascii="宋体" w:hAnsi="宋体" w:cs="宋体" w:eastAsia="宋体" w:hint="default"/>
          <w:spacing w:val="-39"/>
          <w:sz w:val="15"/>
          <w:szCs w:val="15"/>
        </w:rPr>
        <w:t> </w:t>
      </w:r>
      <w:r>
        <w:rPr>
          <w:rFonts w:ascii="Arial" w:hAnsi="Arial" w:cs="Arial" w:eastAsia="Arial" w:hint="default"/>
          <w:sz w:val="15"/>
          <w:szCs w:val="15"/>
        </w:rPr>
        <w:t>2014</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w:hAnsi="Arial" w:cs="Arial" w:eastAsia="Arial" w:hint="default"/>
          <w:sz w:val="15"/>
          <w:szCs w:val="15"/>
        </w:rPr>
        <w:t>1</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10</w:t>
      </w:r>
      <w:r>
        <w:rPr>
          <w:rFonts w:ascii="Arial" w:hAnsi="Arial" w:cs="Arial" w:eastAsia="Arial" w:hint="default"/>
          <w:spacing w:val="-4"/>
          <w:sz w:val="15"/>
          <w:szCs w:val="15"/>
        </w:rPr>
        <w:t> </w:t>
      </w:r>
      <w:r>
        <w:rPr>
          <w:rFonts w:ascii="宋体" w:hAnsi="宋体" w:cs="宋体" w:eastAsia="宋体" w:hint="default"/>
          <w:spacing w:val="-3"/>
          <w:sz w:val="15"/>
          <w:szCs w:val="15"/>
        </w:rPr>
        <w:t>日第</w:t>
      </w:r>
      <w:r>
        <w:rPr>
          <w:rFonts w:ascii="宋体" w:hAnsi="宋体" w:cs="宋体" w:eastAsia="宋体" w:hint="default"/>
          <w:sz w:val="15"/>
          <w:szCs w:val="15"/>
        </w:rPr>
      </w:r>
    </w:p>
    <w:p>
      <w:pPr>
        <w:spacing w:before="10"/>
        <w:ind w:left="140" w:right="158" w:firstLine="0"/>
        <w:jc w:val="left"/>
        <w:rPr>
          <w:rFonts w:ascii="宋体" w:hAnsi="宋体" w:cs="宋体" w:eastAsia="宋体" w:hint="default"/>
          <w:sz w:val="15"/>
          <w:szCs w:val="15"/>
        </w:rPr>
      </w:pPr>
      <w:r>
        <w:rPr>
          <w:spacing w:val="-4"/>
        </w:rPr>
        <w:br w:type="column"/>
      </w:r>
      <w:r>
        <w:rPr>
          <w:rFonts w:ascii="宋体" w:hAnsi="宋体" w:cs="宋体" w:eastAsia="宋体" w:hint="default"/>
          <w:spacing w:val="-4"/>
          <w:sz w:val="15"/>
          <w:szCs w:val="15"/>
        </w:rPr>
        <w:t>判决生效后，被告未能</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pacing w:val="-4"/>
          <w:sz w:val="15"/>
          <w:szCs w:val="15"/>
        </w:rPr>
        <w:t>履行判决给付义务，公</w:t>
      </w:r>
    </w:p>
    <w:p>
      <w:pPr>
        <w:spacing w:after="0"/>
        <w:jc w:val="left"/>
        <w:rPr>
          <w:rFonts w:ascii="宋体" w:hAnsi="宋体" w:cs="宋体" w:eastAsia="宋体" w:hint="default"/>
          <w:sz w:val="15"/>
          <w:szCs w:val="15"/>
        </w:rPr>
        <w:sectPr>
          <w:type w:val="continuous"/>
          <w:pgSz w:w="16840" w:h="11910" w:orient="landscape"/>
          <w:pgMar w:top="1360" w:bottom="1380" w:left="1300" w:right="1360"/>
          <w:cols w:num="5" w:equalWidth="0">
            <w:col w:w="594" w:space="40"/>
            <w:col w:w="570" w:space="1448"/>
            <w:col w:w="2358" w:space="2111"/>
            <w:col w:w="2510" w:space="2769"/>
            <w:col w:w="1780"/>
          </w:cols>
        </w:sectPr>
      </w:pPr>
    </w:p>
    <w:p>
      <w:pPr>
        <w:spacing w:line="142" w:lineRule="exact" w:before="0"/>
        <w:ind w:left="140" w:right="-17" w:firstLine="0"/>
        <w:jc w:val="left"/>
        <w:rPr>
          <w:rFonts w:ascii="宋体" w:hAnsi="宋体" w:cs="宋体" w:eastAsia="宋体" w:hint="default"/>
          <w:sz w:val="15"/>
          <w:szCs w:val="15"/>
        </w:rPr>
      </w:pPr>
      <w:r>
        <w:rPr>
          <w:rFonts w:ascii="宋体" w:hAnsi="宋体" w:cs="宋体" w:eastAsia="宋体" w:hint="default"/>
          <w:sz w:val="15"/>
          <w:szCs w:val="15"/>
        </w:rPr>
        <w:t>亚德经</w:t>
      </w:r>
    </w:p>
    <w:p>
      <w:pPr>
        <w:spacing w:line="98" w:lineRule="exact" w:before="0"/>
        <w:ind w:left="116" w:right="-16" w:firstLine="0"/>
        <w:jc w:val="left"/>
        <w:rPr>
          <w:rFonts w:ascii="宋体" w:hAnsi="宋体" w:cs="宋体" w:eastAsia="宋体" w:hint="default"/>
          <w:sz w:val="15"/>
          <w:szCs w:val="15"/>
        </w:rPr>
      </w:pPr>
      <w:r>
        <w:rPr/>
        <w:br w:type="column"/>
      </w:r>
      <w:r>
        <w:rPr>
          <w:rFonts w:ascii="宋体" w:hAnsi="宋体" w:cs="宋体" w:eastAsia="宋体" w:hint="default"/>
          <w:sz w:val="15"/>
          <w:szCs w:val="15"/>
        </w:rPr>
        <w:t>三圣龙</w:t>
      </w:r>
    </w:p>
    <w:p>
      <w:pPr>
        <w:spacing w:line="142" w:lineRule="exact" w:before="0"/>
        <w:ind w:left="140" w:right="0" w:firstLine="0"/>
        <w:jc w:val="left"/>
        <w:rPr>
          <w:rFonts w:ascii="宋体" w:hAnsi="宋体" w:cs="宋体" w:eastAsia="宋体" w:hint="default"/>
          <w:sz w:val="15"/>
          <w:szCs w:val="15"/>
        </w:rPr>
      </w:pPr>
      <w:r>
        <w:rPr>
          <w:spacing w:val="-4"/>
        </w:rPr>
        <w:br w:type="column"/>
      </w:r>
      <w:r>
        <w:rPr>
          <w:rFonts w:ascii="宋体" w:hAnsi="宋体" w:cs="宋体" w:eastAsia="宋体" w:hint="default"/>
          <w:spacing w:val="-4"/>
          <w:sz w:val="15"/>
          <w:szCs w:val="15"/>
        </w:rPr>
        <w:t>到期公司债务，将其终端客户黑龙</w:t>
      </w:r>
    </w:p>
    <w:p>
      <w:pPr>
        <w:spacing w:line="142" w:lineRule="exact" w:before="0"/>
        <w:ind w:left="140" w:right="0" w:firstLine="0"/>
        <w:jc w:val="left"/>
        <w:rPr>
          <w:rFonts w:ascii="宋体" w:hAnsi="宋体" w:cs="宋体" w:eastAsia="宋体" w:hint="default"/>
          <w:sz w:val="15"/>
          <w:szCs w:val="15"/>
        </w:rPr>
      </w:pPr>
      <w:r>
        <w:rPr>
          <w:spacing w:val="-4"/>
        </w:rPr>
        <w:br w:type="column"/>
      </w:r>
      <w:r>
        <w:rPr>
          <w:rFonts w:ascii="宋体" w:hAnsi="宋体" w:cs="宋体" w:eastAsia="宋体" w:hint="default"/>
          <w:spacing w:val="-4"/>
          <w:sz w:val="15"/>
          <w:szCs w:val="15"/>
        </w:rPr>
        <w:t>一次开庭，裁定将案件简易程序转为 </w:t>
      </w:r>
      <w:r>
        <w:rPr>
          <w:rFonts w:ascii="宋体" w:hAnsi="宋体" w:cs="宋体" w:eastAsia="宋体" w:hint="default"/>
          <w:spacing w:val="-4"/>
          <w:position w:val="-9"/>
          <w:sz w:val="15"/>
          <w:szCs w:val="15"/>
        </w:rPr>
        <w:t>判决结果：被告于判决生效之日起七日内给</w:t>
      </w:r>
      <w:r>
        <w:rPr>
          <w:rFonts w:ascii="宋体" w:hAnsi="宋体" w:cs="宋体" w:eastAsia="宋体" w:hint="default"/>
          <w:spacing w:val="15"/>
          <w:position w:val="-9"/>
          <w:sz w:val="15"/>
          <w:szCs w:val="15"/>
        </w:rPr>
        <w:t> </w:t>
      </w:r>
      <w:r>
        <w:rPr>
          <w:rFonts w:ascii="宋体" w:hAnsi="宋体" w:cs="宋体" w:eastAsia="宋体" w:hint="default"/>
          <w:sz w:val="15"/>
          <w:szCs w:val="15"/>
        </w:rPr>
        <w:t>司向法院申请强制执</w:t>
      </w:r>
    </w:p>
    <w:p>
      <w:pPr>
        <w:spacing w:after="0" w:line="142" w:lineRule="exact"/>
        <w:jc w:val="left"/>
        <w:rPr>
          <w:rFonts w:ascii="宋体" w:hAnsi="宋体" w:cs="宋体" w:eastAsia="宋体" w:hint="default"/>
          <w:sz w:val="15"/>
          <w:szCs w:val="15"/>
        </w:rPr>
        <w:sectPr>
          <w:type w:val="continuous"/>
          <w:pgSz w:w="16840" w:h="11910" w:orient="landscape"/>
          <w:pgMar w:top="1360" w:bottom="1380" w:left="1300" w:right="1360"/>
          <w:cols w:num="4" w:equalWidth="0">
            <w:col w:w="594" w:space="40"/>
            <w:col w:w="570" w:space="1448"/>
            <w:col w:w="2358" w:space="2111"/>
            <w:col w:w="7059"/>
          </w:cols>
        </w:sectPr>
      </w:pPr>
    </w:p>
    <w:p>
      <w:pPr>
        <w:spacing w:before="50"/>
        <w:ind w:left="140" w:right="-17" w:firstLine="0"/>
        <w:jc w:val="left"/>
        <w:rPr>
          <w:rFonts w:ascii="宋体" w:hAnsi="宋体" w:cs="宋体" w:eastAsia="宋体" w:hint="default"/>
          <w:sz w:val="15"/>
          <w:szCs w:val="15"/>
        </w:rPr>
      </w:pPr>
      <w:r>
        <w:rPr>
          <w:rFonts w:ascii="宋体" w:hAnsi="宋体" w:cs="宋体" w:eastAsia="宋体" w:hint="default"/>
          <w:sz w:val="15"/>
          <w:szCs w:val="15"/>
        </w:rPr>
        <w:t>贸有限</w:t>
      </w:r>
      <w:r>
        <w:rPr>
          <w:rFonts w:ascii="宋体" w:hAnsi="宋体" w:cs="宋体" w:eastAsia="宋体" w:hint="default"/>
          <w:spacing w:val="-72"/>
          <w:sz w:val="15"/>
          <w:szCs w:val="15"/>
        </w:rPr>
        <w:t> </w:t>
      </w:r>
      <w:r>
        <w:rPr>
          <w:rFonts w:ascii="宋体" w:hAnsi="宋体" w:cs="宋体" w:eastAsia="宋体" w:hint="default"/>
          <w:sz w:val="15"/>
          <w:szCs w:val="15"/>
        </w:rPr>
        <w:t>公司</w:t>
      </w:r>
    </w:p>
    <w:p>
      <w:pPr>
        <w:spacing w:line="150" w:lineRule="exact" w:before="0"/>
        <w:ind w:left="116" w:right="0" w:firstLine="0"/>
        <w:jc w:val="both"/>
        <w:rPr>
          <w:rFonts w:ascii="宋体" w:hAnsi="宋体" w:cs="宋体" w:eastAsia="宋体" w:hint="default"/>
          <w:sz w:val="15"/>
          <w:szCs w:val="15"/>
        </w:rPr>
      </w:pPr>
      <w:r>
        <w:rPr/>
        <w:br w:type="column"/>
      </w:r>
      <w:r>
        <w:rPr>
          <w:rFonts w:ascii="宋体" w:hAnsi="宋体" w:cs="宋体" w:eastAsia="宋体" w:hint="default"/>
          <w:sz w:val="15"/>
          <w:szCs w:val="15"/>
        </w:rPr>
        <w:t>亚麻产</w:t>
      </w:r>
    </w:p>
    <w:p>
      <w:pPr>
        <w:spacing w:before="0"/>
        <w:ind w:left="116" w:right="0" w:firstLine="0"/>
        <w:jc w:val="both"/>
        <w:rPr>
          <w:rFonts w:ascii="宋体" w:hAnsi="宋体" w:cs="宋体" w:eastAsia="宋体" w:hint="default"/>
          <w:sz w:val="15"/>
          <w:szCs w:val="15"/>
        </w:rPr>
      </w:pPr>
      <w:r>
        <w:rPr>
          <w:rFonts w:ascii="宋体" w:hAnsi="宋体" w:cs="宋体" w:eastAsia="宋体" w:hint="default"/>
          <w:sz w:val="15"/>
          <w:szCs w:val="15"/>
        </w:rPr>
        <w:t>业有限</w:t>
      </w:r>
      <w:r>
        <w:rPr>
          <w:rFonts w:ascii="宋体" w:hAnsi="宋体" w:cs="宋体" w:eastAsia="宋体" w:hint="default"/>
          <w:spacing w:val="-72"/>
          <w:sz w:val="15"/>
          <w:szCs w:val="15"/>
        </w:rPr>
        <w:t> </w:t>
      </w:r>
      <w:r>
        <w:rPr>
          <w:rFonts w:ascii="宋体" w:hAnsi="宋体" w:cs="宋体" w:eastAsia="宋体" w:hint="default"/>
          <w:sz w:val="15"/>
          <w:szCs w:val="15"/>
        </w:rPr>
        <w:t>责任公</w:t>
      </w:r>
      <w:r>
        <w:rPr>
          <w:rFonts w:ascii="宋体" w:hAnsi="宋体" w:cs="宋体" w:eastAsia="宋体" w:hint="default"/>
          <w:spacing w:val="-72"/>
          <w:sz w:val="15"/>
          <w:szCs w:val="15"/>
        </w:rPr>
        <w:t> </w:t>
      </w:r>
      <w:r>
        <w:rPr>
          <w:rFonts w:ascii="宋体" w:hAnsi="宋体" w:cs="宋体" w:eastAsia="宋体" w:hint="default"/>
          <w:sz w:val="15"/>
          <w:szCs w:val="15"/>
        </w:rPr>
        <w:t>司</w:t>
      </w:r>
    </w:p>
    <w:p>
      <w:pPr>
        <w:tabs>
          <w:tab w:pos="739" w:val="left" w:leader="none"/>
        </w:tabs>
        <w:spacing w:line="246" w:lineRule="exact" w:before="0"/>
        <w:ind w:left="140" w:right="-15" w:firstLine="0"/>
        <w:jc w:val="left"/>
        <w:rPr>
          <w:rFonts w:ascii="宋体" w:hAnsi="宋体" w:cs="宋体" w:eastAsia="宋体" w:hint="default"/>
          <w:sz w:val="15"/>
          <w:szCs w:val="15"/>
        </w:rPr>
      </w:pPr>
      <w:r>
        <w:rPr/>
        <w:br w:type="column"/>
      </w:r>
      <w:r>
        <w:rPr>
          <w:rFonts w:ascii="宋体" w:hAnsi="宋体" w:cs="宋体" w:eastAsia="宋体" w:hint="default"/>
          <w:position w:val="10"/>
          <w:sz w:val="15"/>
          <w:szCs w:val="15"/>
        </w:rPr>
        <w:t>诉讼</w:t>
        <w:tab/>
      </w:r>
      <w:r>
        <w:rPr>
          <w:rFonts w:ascii="宋体" w:hAnsi="宋体" w:cs="宋体" w:eastAsia="宋体" w:hint="default"/>
          <w:sz w:val="15"/>
          <w:szCs w:val="15"/>
        </w:rPr>
        <w:t>江农垦九三圣龙亚麻产业有限公</w:t>
      </w:r>
    </w:p>
    <w:p>
      <w:pPr>
        <w:spacing w:line="194" w:lineRule="exact" w:before="19"/>
        <w:ind w:left="740" w:right="-15" w:firstLine="0"/>
        <w:jc w:val="left"/>
        <w:rPr>
          <w:rFonts w:ascii="宋体" w:hAnsi="宋体" w:cs="宋体" w:eastAsia="宋体" w:hint="default"/>
          <w:sz w:val="15"/>
          <w:szCs w:val="15"/>
        </w:rPr>
      </w:pPr>
      <w:r>
        <w:rPr>
          <w:rFonts w:ascii="宋体" w:hAnsi="宋体" w:cs="宋体" w:eastAsia="宋体" w:hint="default"/>
          <w:sz w:val="15"/>
          <w:szCs w:val="15"/>
        </w:rPr>
        <w:t>司债权</w:t>
      </w:r>
      <w:r>
        <w:rPr>
          <w:rFonts w:ascii="宋体" w:hAnsi="宋体" w:cs="宋体" w:eastAsia="宋体" w:hint="default"/>
          <w:spacing w:val="-38"/>
          <w:sz w:val="15"/>
          <w:szCs w:val="15"/>
        </w:rPr>
        <w:t> </w:t>
      </w:r>
      <w:r>
        <w:rPr>
          <w:rFonts w:ascii="Arial" w:hAnsi="Arial" w:cs="Arial" w:eastAsia="Arial" w:hint="default"/>
          <w:sz w:val="15"/>
          <w:szCs w:val="15"/>
        </w:rPr>
        <w:t>1,726,033</w:t>
      </w:r>
      <w:r>
        <w:rPr>
          <w:rFonts w:ascii="Arial" w:hAnsi="Arial" w:cs="Arial" w:eastAsia="Arial" w:hint="default"/>
          <w:spacing w:val="-7"/>
          <w:sz w:val="15"/>
          <w:szCs w:val="15"/>
        </w:rPr>
        <w:t> </w:t>
      </w:r>
      <w:r>
        <w:rPr>
          <w:rFonts w:ascii="宋体" w:hAnsi="宋体" w:cs="宋体" w:eastAsia="宋体" w:hint="default"/>
          <w:sz w:val="15"/>
          <w:szCs w:val="15"/>
        </w:rPr>
        <w:t>元转让给公司，</w:t>
      </w:r>
      <w:r>
        <w:rPr>
          <w:rFonts w:ascii="宋体" w:hAnsi="宋体" w:cs="宋体" w:eastAsia="宋体" w:hint="default"/>
          <w:w w:val="100"/>
          <w:sz w:val="15"/>
          <w:szCs w:val="15"/>
        </w:rPr>
        <w:t> </w:t>
      </w:r>
      <w:r>
        <w:rPr>
          <w:rFonts w:ascii="宋体" w:hAnsi="宋体" w:cs="宋体" w:eastAsia="宋体" w:hint="default"/>
          <w:sz w:val="15"/>
          <w:szCs w:val="15"/>
        </w:rPr>
        <w:t>经公司催缴，仍不偿还。</w:t>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13"/>
        <w:rPr>
          <w:rFonts w:ascii="宋体" w:hAnsi="宋体" w:cs="宋体" w:eastAsia="宋体" w:hint="default"/>
          <w:sz w:val="15"/>
          <w:szCs w:val="15"/>
        </w:rPr>
      </w:pPr>
    </w:p>
    <w:p>
      <w:pPr>
        <w:spacing w:before="0"/>
        <w:ind w:left="740" w:right="-15" w:firstLine="0"/>
        <w:jc w:val="left"/>
        <w:rPr>
          <w:rFonts w:ascii="宋体" w:hAnsi="宋体" w:cs="宋体" w:eastAsia="宋体" w:hint="default"/>
          <w:sz w:val="15"/>
          <w:szCs w:val="15"/>
        </w:rPr>
      </w:pPr>
      <w:r>
        <w:rPr>
          <w:rFonts w:ascii="宋体" w:hAnsi="宋体" w:cs="宋体" w:eastAsia="宋体" w:hint="default"/>
          <w:sz w:val="15"/>
          <w:szCs w:val="15"/>
        </w:rPr>
        <w:t>因公司客户黑龙江冠拓煤炭经销</w:t>
      </w:r>
    </w:p>
    <w:p>
      <w:pPr>
        <w:spacing w:line="157" w:lineRule="exact" w:before="0"/>
        <w:ind w:left="140" w:right="-9" w:firstLine="0"/>
        <w:jc w:val="left"/>
        <w:rPr>
          <w:rFonts w:ascii="Arial" w:hAnsi="Arial" w:cs="Arial" w:eastAsia="Arial" w:hint="default"/>
          <w:sz w:val="15"/>
          <w:szCs w:val="15"/>
        </w:rPr>
      </w:pPr>
      <w:r>
        <w:rPr>
          <w:spacing w:val="-1"/>
        </w:rPr>
        <w:br w:type="column"/>
      </w:r>
      <w:r>
        <w:rPr>
          <w:rFonts w:ascii="Arial"/>
          <w:spacing w:val="-1"/>
          <w:sz w:val="15"/>
        </w:rPr>
        <w:t>1,726,033</w:t>
      </w:r>
    </w:p>
    <w:p>
      <w:pPr>
        <w:spacing w:line="155" w:lineRule="exact" w:before="0"/>
        <w:ind w:left="140" w:right="-12" w:firstLine="0"/>
        <w:jc w:val="left"/>
        <w:rPr>
          <w:rFonts w:ascii="宋体" w:hAnsi="宋体" w:cs="宋体" w:eastAsia="宋体" w:hint="default"/>
          <w:sz w:val="15"/>
          <w:szCs w:val="15"/>
        </w:rPr>
      </w:pPr>
      <w:r>
        <w:rPr/>
        <w:br w:type="column"/>
      </w:r>
      <w:r>
        <w:rPr>
          <w:rFonts w:ascii="宋体" w:hAnsi="宋体" w:cs="宋体" w:eastAsia="宋体" w:hint="default"/>
          <w:sz w:val="15"/>
          <w:szCs w:val="15"/>
        </w:rPr>
        <w:t>普通程序，并于</w:t>
      </w:r>
      <w:r>
        <w:rPr>
          <w:rFonts w:ascii="宋体" w:hAnsi="宋体" w:cs="宋体" w:eastAsia="宋体" w:hint="default"/>
          <w:spacing w:val="-37"/>
          <w:sz w:val="15"/>
          <w:szCs w:val="15"/>
        </w:rPr>
        <w:t> </w:t>
      </w:r>
      <w:r>
        <w:rPr>
          <w:rFonts w:ascii="Arial" w:hAnsi="Arial" w:cs="Arial" w:eastAsia="Arial" w:hint="default"/>
          <w:sz w:val="15"/>
          <w:szCs w:val="15"/>
        </w:rPr>
        <w:t>2014</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3</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11</w:t>
      </w:r>
      <w:r>
        <w:rPr>
          <w:rFonts w:ascii="Arial" w:hAnsi="Arial" w:cs="Arial" w:eastAsia="Arial" w:hint="default"/>
          <w:spacing w:val="-6"/>
          <w:sz w:val="15"/>
          <w:szCs w:val="15"/>
        </w:rPr>
        <w:t> </w:t>
      </w:r>
      <w:r>
        <w:rPr>
          <w:rFonts w:ascii="宋体" w:hAnsi="宋体" w:cs="宋体" w:eastAsia="宋体" w:hint="default"/>
          <w:sz w:val="15"/>
          <w:szCs w:val="15"/>
        </w:rPr>
        <w:t>日</w:t>
      </w:r>
    </w:p>
    <w:p>
      <w:pPr>
        <w:spacing w:line="194" w:lineRule="exact" w:before="0"/>
        <w:ind w:left="140" w:right="-12" w:firstLine="0"/>
        <w:jc w:val="left"/>
        <w:rPr>
          <w:rFonts w:ascii="Arial" w:hAnsi="Arial" w:cs="Arial" w:eastAsia="Arial" w:hint="default"/>
          <w:sz w:val="15"/>
          <w:szCs w:val="15"/>
        </w:rPr>
      </w:pPr>
      <w:r>
        <w:rPr>
          <w:rFonts w:ascii="宋体" w:hAnsi="宋体" w:cs="宋体" w:eastAsia="宋体" w:hint="default"/>
          <w:spacing w:val="-3"/>
          <w:sz w:val="15"/>
          <w:szCs w:val="15"/>
        </w:rPr>
        <w:t>再次开庭审理本案，</w:t>
      </w:r>
      <w:r>
        <w:rPr>
          <w:rFonts w:ascii="Arial" w:hAnsi="Arial" w:cs="Arial" w:eastAsia="Arial" w:hint="default"/>
          <w:spacing w:val="-3"/>
          <w:sz w:val="15"/>
          <w:szCs w:val="15"/>
        </w:rPr>
        <w:t>2014</w:t>
      </w:r>
      <w:r>
        <w:rPr>
          <w:rFonts w:ascii="Arial" w:hAnsi="Arial" w:cs="Arial" w:eastAsia="Arial"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4"/>
          <w:sz w:val="15"/>
          <w:szCs w:val="15"/>
        </w:rPr>
        <w:t> </w:t>
      </w:r>
      <w:r>
        <w:rPr>
          <w:rFonts w:ascii="Arial" w:hAnsi="Arial" w:cs="Arial" w:eastAsia="Arial" w:hint="default"/>
          <w:sz w:val="15"/>
          <w:szCs w:val="15"/>
        </w:rPr>
        <w:t>4</w:t>
      </w:r>
      <w:r>
        <w:rPr>
          <w:rFonts w:ascii="Arial" w:hAnsi="Arial" w:cs="Arial" w:eastAsia="Arial"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2"/>
          <w:sz w:val="15"/>
          <w:szCs w:val="15"/>
        </w:rPr>
        <w:t> </w:t>
      </w:r>
      <w:r>
        <w:rPr>
          <w:rFonts w:ascii="Arial" w:hAnsi="Arial" w:cs="Arial" w:eastAsia="Arial" w:hint="default"/>
          <w:sz w:val="15"/>
          <w:szCs w:val="15"/>
        </w:rPr>
        <w:t>22</w:t>
      </w:r>
    </w:p>
    <w:p>
      <w:pPr>
        <w:spacing w:line="194" w:lineRule="exact" w:before="13"/>
        <w:ind w:left="140" w:right="-15" w:firstLine="0"/>
        <w:jc w:val="left"/>
        <w:rPr>
          <w:rFonts w:ascii="宋体" w:hAnsi="宋体" w:cs="宋体" w:eastAsia="宋体" w:hint="default"/>
          <w:sz w:val="15"/>
          <w:szCs w:val="15"/>
        </w:rPr>
      </w:pPr>
      <w:r>
        <w:rPr>
          <w:rFonts w:ascii="宋体" w:hAnsi="宋体" w:cs="宋体" w:eastAsia="宋体" w:hint="default"/>
          <w:sz w:val="15"/>
          <w:szCs w:val="15"/>
        </w:rPr>
        <w:t>日作出〔</w:t>
      </w:r>
      <w:r>
        <w:rPr>
          <w:rFonts w:ascii="Arial" w:hAnsi="Arial" w:cs="Arial" w:eastAsia="Arial" w:hint="default"/>
          <w:sz w:val="15"/>
          <w:szCs w:val="15"/>
        </w:rPr>
        <w:t>2013</w:t>
      </w:r>
      <w:r>
        <w:rPr>
          <w:rFonts w:ascii="宋体" w:hAnsi="宋体" w:cs="宋体" w:eastAsia="宋体" w:hint="default"/>
          <w:sz w:val="15"/>
          <w:szCs w:val="15"/>
        </w:rPr>
        <w:t>〕九商初字第</w:t>
      </w:r>
      <w:r>
        <w:rPr>
          <w:rFonts w:ascii="宋体" w:hAnsi="宋体" w:cs="宋体" w:eastAsia="宋体" w:hint="default"/>
          <w:spacing w:val="-42"/>
          <w:sz w:val="15"/>
          <w:szCs w:val="15"/>
        </w:rPr>
        <w:t> </w:t>
      </w:r>
      <w:r>
        <w:rPr>
          <w:rFonts w:ascii="Arial" w:hAnsi="Arial" w:cs="Arial" w:eastAsia="Arial" w:hint="default"/>
          <w:sz w:val="15"/>
          <w:szCs w:val="15"/>
        </w:rPr>
        <w:t>34</w:t>
      </w:r>
      <w:r>
        <w:rPr>
          <w:rFonts w:ascii="Arial" w:hAnsi="Arial" w:cs="Arial" w:eastAsia="Arial" w:hint="default"/>
          <w:spacing w:val="-11"/>
          <w:sz w:val="15"/>
          <w:szCs w:val="15"/>
        </w:rPr>
        <w:t> </w:t>
      </w:r>
      <w:r>
        <w:rPr>
          <w:rFonts w:ascii="宋体" w:hAnsi="宋体" w:cs="宋体" w:eastAsia="宋体" w:hint="default"/>
          <w:sz w:val="15"/>
          <w:szCs w:val="15"/>
        </w:rPr>
        <w:t>号判</w:t>
      </w:r>
      <w:r>
        <w:rPr>
          <w:rFonts w:ascii="宋体" w:hAnsi="宋体" w:cs="宋体" w:eastAsia="宋体" w:hint="default"/>
          <w:w w:val="100"/>
          <w:sz w:val="15"/>
          <w:szCs w:val="15"/>
        </w:rPr>
        <w:t> </w:t>
      </w:r>
      <w:r>
        <w:rPr>
          <w:rFonts w:ascii="宋体" w:hAnsi="宋体" w:cs="宋体" w:eastAsia="宋体" w:hint="default"/>
          <w:sz w:val="15"/>
          <w:szCs w:val="15"/>
        </w:rPr>
        <w:t>决。</w:t>
      </w:r>
    </w:p>
    <w:p>
      <w:pPr>
        <w:spacing w:before="50"/>
        <w:ind w:left="12" w:right="-12" w:firstLine="0"/>
        <w:jc w:val="left"/>
        <w:rPr>
          <w:rFonts w:ascii="宋体" w:hAnsi="宋体" w:cs="宋体" w:eastAsia="宋体" w:hint="default"/>
          <w:sz w:val="15"/>
          <w:szCs w:val="15"/>
        </w:rPr>
      </w:pPr>
      <w:r>
        <w:rPr/>
        <w:br w:type="column"/>
      </w:r>
      <w:r>
        <w:rPr>
          <w:rFonts w:ascii="宋体" w:hAnsi="宋体" w:cs="宋体" w:eastAsia="宋体" w:hint="default"/>
          <w:sz w:val="15"/>
          <w:szCs w:val="15"/>
        </w:rPr>
        <w:t>付原告煤款及运费</w:t>
      </w:r>
      <w:r>
        <w:rPr>
          <w:rFonts w:ascii="宋体" w:hAnsi="宋体" w:cs="宋体" w:eastAsia="宋体" w:hint="default"/>
          <w:spacing w:val="-40"/>
          <w:sz w:val="15"/>
          <w:szCs w:val="15"/>
        </w:rPr>
        <w:t> </w:t>
      </w:r>
      <w:r>
        <w:rPr>
          <w:rFonts w:ascii="Arial" w:hAnsi="Arial" w:cs="Arial" w:eastAsia="Arial" w:hint="default"/>
          <w:sz w:val="15"/>
          <w:szCs w:val="15"/>
        </w:rPr>
        <w:t>1,726,032.6</w:t>
      </w:r>
      <w:r>
        <w:rPr>
          <w:rFonts w:ascii="Arial" w:hAnsi="Arial" w:cs="Arial" w:eastAsia="Arial" w:hint="default"/>
          <w:spacing w:val="-4"/>
          <w:sz w:val="15"/>
          <w:szCs w:val="15"/>
        </w:rPr>
        <w:t> </w:t>
      </w:r>
      <w:r>
        <w:rPr>
          <w:rFonts w:ascii="宋体" w:hAnsi="宋体" w:cs="宋体" w:eastAsia="宋体" w:hint="default"/>
          <w:spacing w:val="-3"/>
          <w:sz w:val="15"/>
          <w:szCs w:val="15"/>
        </w:rPr>
        <w:t>元。</w:t>
      </w:r>
      <w:r>
        <w:rPr>
          <w:rFonts w:ascii="宋体" w:hAnsi="宋体" w:cs="宋体" w:eastAsia="宋体" w:hint="default"/>
          <w:sz w:val="15"/>
          <w:szCs w:val="15"/>
        </w:rPr>
      </w:r>
    </w:p>
    <w:p>
      <w:pPr>
        <w:spacing w:line="150" w:lineRule="exact" w:before="0"/>
        <w:ind w:left="140" w:right="0" w:firstLine="0"/>
        <w:jc w:val="left"/>
        <w:rPr>
          <w:rFonts w:ascii="宋体" w:hAnsi="宋体" w:cs="宋体" w:eastAsia="宋体" w:hint="default"/>
          <w:sz w:val="15"/>
          <w:szCs w:val="15"/>
        </w:rPr>
      </w:pPr>
      <w:r>
        <w:rPr>
          <w:spacing w:val="-4"/>
        </w:rPr>
        <w:br w:type="column"/>
      </w:r>
      <w:r>
        <w:rPr>
          <w:rFonts w:ascii="宋体" w:hAnsi="宋体" w:cs="宋体" w:eastAsia="宋体" w:hint="default"/>
          <w:spacing w:val="-4"/>
          <w:sz w:val="15"/>
          <w:szCs w:val="15"/>
        </w:rPr>
        <w:t>行，被执行人经营场所</w:t>
      </w:r>
    </w:p>
    <w:p>
      <w:pPr>
        <w:spacing w:line="240" w:lineRule="auto" w:before="0"/>
        <w:ind w:left="140" w:right="0" w:firstLine="0"/>
        <w:jc w:val="left"/>
        <w:rPr>
          <w:rFonts w:ascii="宋体" w:hAnsi="宋体" w:cs="宋体" w:eastAsia="宋体" w:hint="default"/>
          <w:sz w:val="15"/>
          <w:szCs w:val="15"/>
        </w:rPr>
      </w:pPr>
      <w:r>
        <w:rPr>
          <w:rFonts w:ascii="宋体" w:hAnsi="宋体" w:cs="宋体" w:eastAsia="宋体" w:hint="default"/>
          <w:spacing w:val="-2"/>
          <w:sz w:val="15"/>
          <w:szCs w:val="15"/>
        </w:rPr>
        <w:t>是租赁的，现已撤离，</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且目前法院无法与被</w:t>
      </w:r>
      <w:r>
        <w:rPr>
          <w:rFonts w:ascii="宋体" w:hAnsi="宋体" w:cs="宋体" w:eastAsia="宋体" w:hint="default"/>
          <w:w w:val="100"/>
          <w:sz w:val="15"/>
          <w:szCs w:val="15"/>
        </w:rPr>
        <w:t> </w:t>
      </w:r>
      <w:r>
        <w:rPr>
          <w:rFonts w:ascii="宋体" w:hAnsi="宋体" w:cs="宋体" w:eastAsia="宋体" w:hint="default"/>
          <w:sz w:val="15"/>
          <w:szCs w:val="15"/>
        </w:rPr>
        <w:t>执行人取得联系。</w:t>
      </w:r>
      <w:r>
        <w:rPr>
          <w:rFonts w:ascii="宋体" w:hAnsi="宋体" w:cs="宋体" w:eastAsia="宋体" w:hint="default"/>
          <w:w w:val="100"/>
          <w:sz w:val="15"/>
          <w:szCs w:val="15"/>
        </w:rPr>
        <w:t> </w:t>
      </w:r>
      <w:r>
        <w:rPr>
          <w:rFonts w:ascii="宋体" w:hAnsi="宋体" w:cs="宋体" w:eastAsia="宋体" w:hint="default"/>
          <w:spacing w:val="-4"/>
          <w:sz w:val="15"/>
          <w:szCs w:val="15"/>
        </w:rPr>
        <w:t>判决生效后，被告未能</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pacing w:val="-4"/>
          <w:sz w:val="15"/>
          <w:szCs w:val="15"/>
        </w:rPr>
        <w:t>履行判决给付义务，公</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司向法院申请强制执</w:t>
      </w:r>
      <w:r>
        <w:rPr>
          <w:rFonts w:ascii="宋体" w:hAnsi="宋体" w:cs="宋体" w:eastAsia="宋体" w:hint="default"/>
          <w:w w:val="100"/>
          <w:sz w:val="15"/>
          <w:szCs w:val="15"/>
        </w:rPr>
        <w:t> </w:t>
      </w:r>
      <w:r>
        <w:rPr>
          <w:rFonts w:ascii="宋体" w:hAnsi="宋体" w:cs="宋体" w:eastAsia="宋体" w:hint="default"/>
          <w:spacing w:val="-4"/>
          <w:sz w:val="15"/>
          <w:szCs w:val="15"/>
        </w:rPr>
        <w:t>行，执行过程中法院查</w:t>
      </w:r>
    </w:p>
    <w:p>
      <w:pPr>
        <w:spacing w:after="0" w:line="240" w:lineRule="auto"/>
        <w:jc w:val="left"/>
        <w:rPr>
          <w:rFonts w:ascii="宋体" w:hAnsi="宋体" w:cs="宋体" w:eastAsia="宋体" w:hint="default"/>
          <w:sz w:val="15"/>
          <w:szCs w:val="15"/>
        </w:rPr>
        <w:sectPr>
          <w:type w:val="continuous"/>
          <w:pgSz w:w="16840" w:h="11910" w:orient="landscape"/>
          <w:pgMar w:top="1360" w:bottom="1380" w:left="1300" w:right="1360"/>
          <w:cols w:num="7" w:equalWidth="0">
            <w:col w:w="594" w:space="40"/>
            <w:col w:w="570" w:space="848"/>
            <w:col w:w="2985" w:space="522"/>
            <w:col w:w="810" w:space="753"/>
            <w:col w:w="2510" w:space="40"/>
            <w:col w:w="2380" w:space="349"/>
            <w:col w:w="1779"/>
          </w:cols>
        </w:sectPr>
      </w:pPr>
    </w:p>
    <w:p>
      <w:pPr>
        <w:spacing w:line="98" w:lineRule="exact" w:before="0"/>
        <w:ind w:left="140" w:right="-17" w:firstLine="0"/>
        <w:jc w:val="left"/>
        <w:rPr>
          <w:rFonts w:ascii="宋体" w:hAnsi="宋体" w:cs="宋体" w:eastAsia="宋体" w:hint="default"/>
          <w:sz w:val="15"/>
          <w:szCs w:val="15"/>
        </w:rPr>
      </w:pPr>
      <w:r>
        <w:rPr>
          <w:rFonts w:ascii="宋体" w:hAnsi="宋体" w:cs="宋体" w:eastAsia="宋体" w:hint="default"/>
          <w:sz w:val="15"/>
          <w:szCs w:val="15"/>
        </w:rPr>
        <w:t>黑龙江</w:t>
      </w:r>
    </w:p>
    <w:p>
      <w:pPr>
        <w:spacing w:line="98" w:lineRule="exact" w:before="0"/>
        <w:ind w:left="116" w:right="-16" w:firstLine="0"/>
        <w:jc w:val="left"/>
        <w:rPr>
          <w:rFonts w:ascii="宋体" w:hAnsi="宋体" w:cs="宋体" w:eastAsia="宋体" w:hint="default"/>
          <w:sz w:val="15"/>
          <w:szCs w:val="15"/>
        </w:rPr>
      </w:pPr>
      <w:r>
        <w:rPr/>
        <w:br w:type="column"/>
      </w:r>
      <w:r>
        <w:rPr>
          <w:rFonts w:ascii="宋体" w:hAnsi="宋体" w:cs="宋体" w:eastAsia="宋体" w:hint="default"/>
          <w:sz w:val="15"/>
          <w:szCs w:val="15"/>
        </w:rPr>
        <w:t>延寿志</w:t>
      </w:r>
    </w:p>
    <w:p>
      <w:pPr>
        <w:spacing w:line="98" w:lineRule="exact" w:before="0"/>
        <w:ind w:left="140" w:right="0" w:firstLine="0"/>
        <w:jc w:val="left"/>
        <w:rPr>
          <w:rFonts w:ascii="宋体" w:hAnsi="宋体" w:cs="宋体" w:eastAsia="宋体" w:hint="default"/>
          <w:sz w:val="15"/>
          <w:szCs w:val="15"/>
        </w:rPr>
      </w:pPr>
      <w:r>
        <w:rPr>
          <w:spacing w:val="-4"/>
        </w:rPr>
        <w:br w:type="column"/>
      </w:r>
      <w:r>
        <w:rPr>
          <w:rFonts w:ascii="宋体" w:hAnsi="宋体" w:cs="宋体" w:eastAsia="宋体" w:hint="default"/>
          <w:spacing w:val="-4"/>
          <w:sz w:val="15"/>
          <w:szCs w:val="15"/>
        </w:rPr>
        <w:t>有限责任公司资金困难，无法清偿</w:t>
      </w:r>
    </w:p>
    <w:p>
      <w:pPr>
        <w:spacing w:line="142" w:lineRule="exact" w:before="0"/>
        <w:ind w:left="140" w:right="0" w:firstLine="0"/>
        <w:jc w:val="left"/>
        <w:rPr>
          <w:rFonts w:ascii="宋体" w:hAnsi="宋体" w:cs="宋体" w:eastAsia="宋体" w:hint="default"/>
          <w:sz w:val="15"/>
          <w:szCs w:val="15"/>
        </w:rPr>
      </w:pPr>
      <w:r>
        <w:rPr/>
        <w:br w:type="column"/>
      </w:r>
      <w:r>
        <w:rPr>
          <w:rFonts w:ascii="宋体" w:hAnsi="宋体" w:cs="宋体" w:eastAsia="宋体" w:hint="default"/>
          <w:position w:val="10"/>
          <w:sz w:val="15"/>
          <w:szCs w:val="15"/>
        </w:rPr>
        <w:t>案件于</w:t>
      </w:r>
      <w:r>
        <w:rPr>
          <w:rFonts w:ascii="宋体" w:hAnsi="宋体" w:cs="宋体" w:eastAsia="宋体" w:hint="default"/>
          <w:spacing w:val="-37"/>
          <w:position w:val="10"/>
          <w:sz w:val="15"/>
          <w:szCs w:val="15"/>
        </w:rPr>
        <w:t> </w:t>
      </w:r>
      <w:r>
        <w:rPr>
          <w:rFonts w:ascii="Arial" w:hAnsi="Arial" w:cs="Arial" w:eastAsia="Arial" w:hint="default"/>
          <w:position w:val="10"/>
          <w:sz w:val="15"/>
          <w:szCs w:val="15"/>
        </w:rPr>
        <w:t>2013</w:t>
      </w:r>
      <w:r>
        <w:rPr>
          <w:rFonts w:ascii="Arial" w:hAnsi="Arial" w:cs="Arial" w:eastAsia="Arial" w:hint="default"/>
          <w:spacing w:val="-4"/>
          <w:position w:val="10"/>
          <w:sz w:val="15"/>
          <w:szCs w:val="15"/>
        </w:rPr>
        <w:t> </w:t>
      </w:r>
      <w:r>
        <w:rPr>
          <w:rFonts w:ascii="宋体" w:hAnsi="宋体" w:cs="宋体" w:eastAsia="宋体" w:hint="default"/>
          <w:position w:val="10"/>
          <w:sz w:val="15"/>
          <w:szCs w:val="15"/>
        </w:rPr>
        <w:t>年</w:t>
      </w:r>
      <w:r>
        <w:rPr>
          <w:rFonts w:ascii="宋体" w:hAnsi="宋体" w:cs="宋体" w:eastAsia="宋体" w:hint="default"/>
          <w:spacing w:val="-37"/>
          <w:position w:val="10"/>
          <w:sz w:val="15"/>
          <w:szCs w:val="15"/>
        </w:rPr>
        <w:t> </w:t>
      </w:r>
      <w:r>
        <w:rPr>
          <w:rFonts w:ascii="Arial" w:hAnsi="Arial" w:cs="Arial" w:eastAsia="Arial" w:hint="default"/>
          <w:position w:val="10"/>
          <w:sz w:val="15"/>
          <w:szCs w:val="15"/>
        </w:rPr>
        <w:t>9</w:t>
      </w:r>
      <w:r>
        <w:rPr>
          <w:rFonts w:ascii="Arial" w:hAnsi="Arial" w:cs="Arial" w:eastAsia="Arial" w:hint="default"/>
          <w:spacing w:val="-4"/>
          <w:position w:val="10"/>
          <w:sz w:val="15"/>
          <w:szCs w:val="15"/>
        </w:rPr>
        <w:t> </w:t>
      </w:r>
      <w:r>
        <w:rPr>
          <w:rFonts w:ascii="宋体" w:hAnsi="宋体" w:cs="宋体" w:eastAsia="宋体" w:hint="default"/>
          <w:position w:val="10"/>
          <w:sz w:val="15"/>
          <w:szCs w:val="15"/>
        </w:rPr>
        <w:t>月</w:t>
      </w:r>
      <w:r>
        <w:rPr>
          <w:rFonts w:ascii="宋体" w:hAnsi="宋体" w:cs="宋体" w:eastAsia="宋体" w:hint="default"/>
          <w:spacing w:val="-37"/>
          <w:position w:val="10"/>
          <w:sz w:val="15"/>
          <w:szCs w:val="15"/>
        </w:rPr>
        <w:t> </w:t>
      </w:r>
      <w:r>
        <w:rPr>
          <w:rFonts w:ascii="Arial" w:hAnsi="Arial" w:cs="Arial" w:eastAsia="Arial" w:hint="default"/>
          <w:position w:val="10"/>
          <w:sz w:val="15"/>
          <w:szCs w:val="15"/>
        </w:rPr>
        <w:t>4</w:t>
      </w:r>
      <w:r>
        <w:rPr>
          <w:rFonts w:ascii="Arial" w:hAnsi="Arial" w:cs="Arial" w:eastAsia="Arial" w:hint="default"/>
          <w:spacing w:val="-4"/>
          <w:position w:val="10"/>
          <w:sz w:val="15"/>
          <w:szCs w:val="15"/>
        </w:rPr>
        <w:t> </w:t>
      </w:r>
      <w:r>
        <w:rPr>
          <w:rFonts w:ascii="宋体" w:hAnsi="宋体" w:cs="宋体" w:eastAsia="宋体" w:hint="default"/>
          <w:position w:val="10"/>
          <w:sz w:val="15"/>
          <w:szCs w:val="15"/>
        </w:rPr>
        <w:t>日和</w:t>
      </w:r>
      <w:r>
        <w:rPr>
          <w:rFonts w:ascii="宋体" w:hAnsi="宋体" w:cs="宋体" w:eastAsia="宋体" w:hint="default"/>
          <w:spacing w:val="-40"/>
          <w:position w:val="10"/>
          <w:sz w:val="15"/>
          <w:szCs w:val="15"/>
        </w:rPr>
        <w:t> </w:t>
      </w:r>
      <w:r>
        <w:rPr>
          <w:rFonts w:ascii="Arial" w:hAnsi="Arial" w:cs="Arial" w:eastAsia="Arial" w:hint="default"/>
          <w:position w:val="10"/>
          <w:sz w:val="15"/>
          <w:szCs w:val="15"/>
        </w:rPr>
        <w:t>10</w:t>
      </w:r>
      <w:r>
        <w:rPr>
          <w:rFonts w:ascii="Arial" w:hAnsi="Arial" w:cs="Arial" w:eastAsia="Arial" w:hint="default"/>
          <w:spacing w:val="-4"/>
          <w:position w:val="10"/>
          <w:sz w:val="15"/>
          <w:szCs w:val="15"/>
        </w:rPr>
        <w:t> </w:t>
      </w:r>
      <w:r>
        <w:rPr>
          <w:rFonts w:ascii="宋体" w:hAnsi="宋体" w:cs="宋体" w:eastAsia="宋体" w:hint="default"/>
          <w:position w:val="10"/>
          <w:sz w:val="15"/>
          <w:szCs w:val="15"/>
        </w:rPr>
        <w:t>月</w:t>
      </w:r>
      <w:r>
        <w:rPr>
          <w:rFonts w:ascii="宋体" w:hAnsi="宋体" w:cs="宋体" w:eastAsia="宋体" w:hint="default"/>
          <w:spacing w:val="-37"/>
          <w:position w:val="10"/>
          <w:sz w:val="15"/>
          <w:szCs w:val="15"/>
        </w:rPr>
        <w:t> </w:t>
      </w:r>
      <w:r>
        <w:rPr>
          <w:rFonts w:ascii="Arial" w:hAnsi="Arial" w:cs="Arial" w:eastAsia="Arial" w:hint="default"/>
          <w:position w:val="10"/>
          <w:sz w:val="15"/>
          <w:szCs w:val="15"/>
        </w:rPr>
        <w:t>30</w:t>
      </w:r>
      <w:r>
        <w:rPr>
          <w:rFonts w:ascii="Arial" w:hAnsi="Arial" w:cs="Arial" w:eastAsia="Arial" w:hint="default"/>
          <w:spacing w:val="15"/>
          <w:position w:val="10"/>
          <w:sz w:val="15"/>
          <w:szCs w:val="15"/>
        </w:rPr>
        <w:t> </w:t>
      </w:r>
      <w:r>
        <w:rPr>
          <w:rFonts w:ascii="宋体" w:hAnsi="宋体" w:cs="宋体" w:eastAsia="宋体" w:hint="default"/>
          <w:spacing w:val="-4"/>
          <w:sz w:val="15"/>
          <w:szCs w:val="15"/>
        </w:rPr>
        <w:t>判决结果：判决被告延寿志德纺织有限公司</w:t>
      </w:r>
      <w:r>
        <w:rPr>
          <w:rFonts w:ascii="宋体" w:hAnsi="宋体" w:cs="宋体" w:eastAsia="宋体" w:hint="default"/>
          <w:spacing w:val="-20"/>
          <w:sz w:val="15"/>
          <w:szCs w:val="15"/>
        </w:rPr>
        <w:t> </w:t>
      </w:r>
      <w:r>
        <w:rPr>
          <w:rFonts w:ascii="宋体" w:hAnsi="宋体" w:cs="宋体" w:eastAsia="宋体" w:hint="default"/>
          <w:sz w:val="15"/>
          <w:szCs w:val="15"/>
        </w:rPr>
        <w:t>封了被告</w:t>
      </w:r>
      <w:r>
        <w:rPr>
          <w:rFonts w:ascii="宋体" w:hAnsi="宋体" w:cs="宋体" w:eastAsia="宋体" w:hint="default"/>
          <w:spacing w:val="-37"/>
          <w:sz w:val="15"/>
          <w:szCs w:val="15"/>
        </w:rPr>
        <w:t> </w:t>
      </w:r>
      <w:r>
        <w:rPr>
          <w:rFonts w:ascii="Arial" w:hAnsi="Arial" w:cs="Arial" w:eastAsia="Arial" w:hint="default"/>
          <w:sz w:val="15"/>
          <w:szCs w:val="15"/>
        </w:rPr>
        <w:t>400</w:t>
      </w:r>
      <w:r>
        <w:rPr>
          <w:rFonts w:ascii="Arial" w:hAnsi="Arial" w:cs="Arial" w:eastAsia="Arial" w:hint="default"/>
          <w:spacing w:val="-4"/>
          <w:sz w:val="15"/>
          <w:szCs w:val="15"/>
        </w:rPr>
        <w:t> </w:t>
      </w:r>
      <w:r>
        <w:rPr>
          <w:rFonts w:ascii="宋体" w:hAnsi="宋体" w:cs="宋体" w:eastAsia="宋体" w:hint="default"/>
          <w:sz w:val="15"/>
          <w:szCs w:val="15"/>
        </w:rPr>
        <w:t>余吨煤，</w:t>
      </w:r>
    </w:p>
    <w:p>
      <w:pPr>
        <w:spacing w:after="0" w:line="142" w:lineRule="exact"/>
        <w:jc w:val="left"/>
        <w:rPr>
          <w:rFonts w:ascii="宋体" w:hAnsi="宋体" w:cs="宋体" w:eastAsia="宋体" w:hint="default"/>
          <w:sz w:val="15"/>
          <w:szCs w:val="15"/>
        </w:rPr>
        <w:sectPr>
          <w:type w:val="continuous"/>
          <w:pgSz w:w="16840" w:h="11910" w:orient="landscape"/>
          <w:pgMar w:top="1360" w:bottom="1380" w:left="1300" w:right="1360"/>
          <w:cols w:num="4" w:equalWidth="0">
            <w:col w:w="594" w:space="40"/>
            <w:col w:w="570" w:space="1448"/>
            <w:col w:w="2358" w:space="2111"/>
            <w:col w:w="7059"/>
          </w:cols>
        </w:sectPr>
      </w:pPr>
    </w:p>
    <w:p>
      <w:pPr>
        <w:spacing w:line="150" w:lineRule="exact" w:before="0"/>
        <w:ind w:left="140" w:right="-17" w:firstLine="0"/>
        <w:jc w:val="left"/>
        <w:rPr>
          <w:rFonts w:ascii="宋体" w:hAnsi="宋体" w:cs="宋体" w:eastAsia="宋体" w:hint="default"/>
          <w:sz w:val="15"/>
          <w:szCs w:val="15"/>
        </w:rPr>
      </w:pPr>
      <w:r>
        <w:rPr>
          <w:rFonts w:ascii="宋体" w:hAnsi="宋体" w:cs="宋体" w:eastAsia="宋体" w:hint="default"/>
          <w:sz w:val="15"/>
          <w:szCs w:val="15"/>
        </w:rPr>
        <w:t>亚德经</w:t>
      </w:r>
    </w:p>
    <w:p>
      <w:pPr>
        <w:spacing w:line="143" w:lineRule="exact" w:before="0"/>
        <w:ind w:left="140" w:right="-17" w:firstLine="0"/>
        <w:jc w:val="left"/>
        <w:rPr>
          <w:rFonts w:ascii="宋体" w:hAnsi="宋体" w:cs="宋体" w:eastAsia="宋体" w:hint="default"/>
          <w:sz w:val="15"/>
          <w:szCs w:val="15"/>
        </w:rPr>
      </w:pPr>
      <w:r>
        <w:rPr>
          <w:rFonts w:ascii="宋体" w:hAnsi="宋体" w:cs="宋体" w:eastAsia="宋体" w:hint="default"/>
          <w:sz w:val="15"/>
          <w:szCs w:val="15"/>
        </w:rPr>
        <w:t>贸有限</w:t>
      </w:r>
    </w:p>
    <w:p>
      <w:pPr>
        <w:spacing w:line="150" w:lineRule="exact" w:before="0"/>
        <w:ind w:left="116" w:right="-16" w:firstLine="0"/>
        <w:jc w:val="left"/>
        <w:rPr>
          <w:rFonts w:ascii="宋体" w:hAnsi="宋体" w:cs="宋体" w:eastAsia="宋体" w:hint="default"/>
          <w:sz w:val="15"/>
          <w:szCs w:val="15"/>
        </w:rPr>
      </w:pPr>
      <w:r>
        <w:rPr/>
        <w:br w:type="column"/>
      </w:r>
      <w:r>
        <w:rPr>
          <w:rFonts w:ascii="宋体" w:hAnsi="宋体" w:cs="宋体" w:eastAsia="宋体" w:hint="default"/>
          <w:sz w:val="15"/>
          <w:szCs w:val="15"/>
        </w:rPr>
        <w:t>德纺织</w:t>
      </w:r>
    </w:p>
    <w:p>
      <w:pPr>
        <w:spacing w:line="143" w:lineRule="exact" w:before="0"/>
        <w:ind w:left="116" w:right="-16" w:firstLine="0"/>
        <w:jc w:val="left"/>
        <w:rPr>
          <w:rFonts w:ascii="宋体" w:hAnsi="宋体" w:cs="宋体" w:eastAsia="宋体" w:hint="default"/>
          <w:sz w:val="15"/>
          <w:szCs w:val="15"/>
        </w:rPr>
      </w:pPr>
      <w:r>
        <w:rPr>
          <w:rFonts w:ascii="宋体" w:hAnsi="宋体" w:cs="宋体" w:eastAsia="宋体" w:hint="default"/>
          <w:sz w:val="15"/>
          <w:szCs w:val="15"/>
        </w:rPr>
        <w:t>有限公</w:t>
      </w:r>
    </w:p>
    <w:p>
      <w:pPr>
        <w:tabs>
          <w:tab w:pos="739" w:val="left" w:leader="none"/>
        </w:tabs>
        <w:spacing w:line="158" w:lineRule="auto" w:before="14"/>
        <w:ind w:left="740" w:right="0" w:hanging="600"/>
        <w:jc w:val="left"/>
        <w:rPr>
          <w:rFonts w:ascii="Arial" w:hAnsi="Arial" w:cs="Arial" w:eastAsia="Arial" w:hint="default"/>
          <w:sz w:val="15"/>
          <w:szCs w:val="15"/>
        </w:rPr>
      </w:pPr>
      <w:r>
        <w:rPr/>
        <w:br w:type="column"/>
      </w:r>
      <w:r>
        <w:rPr>
          <w:rFonts w:ascii="宋体" w:hAnsi="宋体" w:cs="宋体" w:eastAsia="宋体" w:hint="default"/>
          <w:position w:val="-9"/>
          <w:sz w:val="15"/>
          <w:szCs w:val="15"/>
        </w:rPr>
        <w:t>诉讼</w:t>
        <w:tab/>
      </w:r>
      <w:r>
        <w:rPr>
          <w:rFonts w:ascii="宋体" w:hAnsi="宋体" w:cs="宋体" w:eastAsia="宋体" w:hint="default"/>
          <w:spacing w:val="-4"/>
          <w:sz w:val="15"/>
          <w:szCs w:val="15"/>
        </w:rPr>
        <w:t>到期公司债务，将其终端客户延寿</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志德纺织有限公司债权</w:t>
      </w:r>
      <w:r>
        <w:rPr>
          <w:rFonts w:ascii="宋体" w:hAnsi="宋体" w:cs="宋体" w:eastAsia="宋体" w:hint="default"/>
          <w:spacing w:val="-39"/>
          <w:sz w:val="15"/>
          <w:szCs w:val="15"/>
        </w:rPr>
        <w:t> </w:t>
      </w:r>
      <w:r>
        <w:rPr>
          <w:rFonts w:ascii="Arial" w:hAnsi="Arial" w:cs="Arial" w:eastAsia="Arial" w:hint="default"/>
          <w:sz w:val="15"/>
          <w:szCs w:val="15"/>
        </w:rPr>
        <w:t>1,101,928</w:t>
      </w:r>
    </w:p>
    <w:p>
      <w:pPr>
        <w:spacing w:before="83"/>
        <w:ind w:left="140" w:right="-9" w:firstLine="0"/>
        <w:jc w:val="left"/>
        <w:rPr>
          <w:rFonts w:ascii="Arial" w:hAnsi="Arial" w:cs="Arial" w:eastAsia="Arial" w:hint="default"/>
          <w:sz w:val="15"/>
          <w:szCs w:val="15"/>
        </w:rPr>
      </w:pPr>
      <w:r>
        <w:rPr>
          <w:spacing w:val="-1"/>
        </w:rPr>
        <w:br w:type="column"/>
      </w:r>
      <w:r>
        <w:rPr>
          <w:rFonts w:ascii="Arial"/>
          <w:spacing w:val="-1"/>
          <w:sz w:val="15"/>
        </w:rPr>
        <w:t>1,101,928</w:t>
      </w:r>
    </w:p>
    <w:p>
      <w:pPr>
        <w:spacing w:line="205" w:lineRule="exact" w:before="0"/>
        <w:ind w:left="140" w:right="-8" w:firstLine="0"/>
        <w:jc w:val="left"/>
        <w:rPr>
          <w:rFonts w:ascii="宋体" w:hAnsi="宋体" w:cs="宋体" w:eastAsia="宋体" w:hint="default"/>
          <w:sz w:val="15"/>
          <w:szCs w:val="15"/>
        </w:rPr>
      </w:pPr>
      <w:r>
        <w:rPr>
          <w:spacing w:val="-6"/>
        </w:rPr>
        <w:br w:type="column"/>
      </w:r>
      <w:r>
        <w:rPr>
          <w:rFonts w:ascii="宋体" w:hAnsi="宋体" w:cs="宋体" w:eastAsia="宋体" w:hint="default"/>
          <w:spacing w:val="-6"/>
          <w:sz w:val="15"/>
          <w:szCs w:val="15"/>
        </w:rPr>
        <w:t>日二次开庭审理，法院于</w:t>
      </w:r>
      <w:r>
        <w:rPr>
          <w:rFonts w:ascii="宋体" w:hAnsi="宋体" w:cs="宋体" w:eastAsia="宋体" w:hint="default"/>
          <w:spacing w:val="-37"/>
          <w:sz w:val="15"/>
          <w:szCs w:val="15"/>
        </w:rPr>
        <w:t> </w:t>
      </w:r>
      <w:r>
        <w:rPr>
          <w:rFonts w:ascii="Arial" w:hAnsi="Arial" w:cs="Arial" w:eastAsia="Arial" w:hint="default"/>
          <w:sz w:val="15"/>
          <w:szCs w:val="15"/>
        </w:rPr>
        <w:t>2013</w:t>
      </w:r>
      <w:r>
        <w:rPr>
          <w:rFonts w:ascii="Arial" w:hAnsi="Arial" w:cs="Arial" w:eastAsia="Arial" w:hint="default"/>
          <w:spacing w:val="-4"/>
          <w:sz w:val="15"/>
          <w:szCs w:val="15"/>
        </w:rPr>
        <w:t> </w:t>
      </w:r>
      <w:r>
        <w:rPr>
          <w:rFonts w:ascii="宋体" w:hAnsi="宋体" w:cs="宋体" w:eastAsia="宋体" w:hint="default"/>
          <w:sz w:val="15"/>
          <w:szCs w:val="15"/>
        </w:rPr>
        <w:t>年</w:t>
      </w:r>
      <w:r>
        <w:rPr>
          <w:rFonts w:ascii="宋体" w:hAnsi="宋体" w:cs="宋体" w:eastAsia="宋体" w:hint="default"/>
          <w:spacing w:val="-34"/>
          <w:sz w:val="15"/>
          <w:szCs w:val="15"/>
        </w:rPr>
        <w:t> </w:t>
      </w:r>
      <w:r>
        <w:rPr>
          <w:rFonts w:ascii="Arial" w:hAnsi="Arial" w:cs="Arial" w:eastAsia="Arial" w:hint="default"/>
          <w:sz w:val="15"/>
          <w:szCs w:val="15"/>
        </w:rPr>
        <w:t>12</w:t>
      </w:r>
      <w:r>
        <w:rPr>
          <w:rFonts w:ascii="Arial" w:hAnsi="Arial" w:cs="Arial" w:eastAsia="Arial" w:hint="default"/>
          <w:spacing w:val="15"/>
          <w:sz w:val="15"/>
          <w:szCs w:val="15"/>
        </w:rPr>
        <w:t> </w:t>
      </w:r>
      <w:r>
        <w:rPr>
          <w:rFonts w:ascii="宋体" w:hAnsi="宋体" w:cs="宋体" w:eastAsia="宋体" w:hint="default"/>
          <w:position w:val="-9"/>
          <w:sz w:val="15"/>
          <w:szCs w:val="15"/>
        </w:rPr>
        <w:t>于判决生效之日起</w:t>
      </w:r>
      <w:r>
        <w:rPr>
          <w:rFonts w:ascii="宋体" w:hAnsi="宋体" w:cs="宋体" w:eastAsia="宋体" w:hint="default"/>
          <w:spacing w:val="-37"/>
          <w:position w:val="-9"/>
          <w:sz w:val="15"/>
          <w:szCs w:val="15"/>
        </w:rPr>
        <w:t> </w:t>
      </w:r>
      <w:r>
        <w:rPr>
          <w:rFonts w:ascii="Arial" w:hAnsi="Arial" w:cs="Arial" w:eastAsia="Arial" w:hint="default"/>
          <w:position w:val="-9"/>
          <w:sz w:val="15"/>
          <w:szCs w:val="15"/>
        </w:rPr>
        <w:t>5 </w:t>
      </w:r>
      <w:r>
        <w:rPr>
          <w:rFonts w:ascii="宋体" w:hAnsi="宋体" w:cs="宋体" w:eastAsia="宋体" w:hint="default"/>
          <w:position w:val="-9"/>
          <w:sz w:val="15"/>
          <w:szCs w:val="15"/>
        </w:rPr>
        <w:t>日内给付公司欠款</w:t>
      </w:r>
      <w:r>
        <w:rPr>
          <w:rFonts w:ascii="宋体" w:hAnsi="宋体" w:cs="宋体" w:eastAsia="宋体" w:hint="default"/>
          <w:sz w:val="15"/>
          <w:szCs w:val="15"/>
        </w:rPr>
      </w:r>
    </w:p>
    <w:p>
      <w:pPr>
        <w:spacing w:line="87" w:lineRule="exact" w:before="0"/>
        <w:ind w:left="140" w:right="-8" w:firstLine="0"/>
        <w:jc w:val="left"/>
        <w:rPr>
          <w:rFonts w:ascii="Arial" w:hAnsi="Arial" w:cs="Arial" w:eastAsia="Arial" w:hint="default"/>
          <w:sz w:val="15"/>
          <w:szCs w:val="15"/>
        </w:rPr>
      </w:pPr>
      <w:r>
        <w:rPr>
          <w:rFonts w:ascii="宋体" w:hAnsi="宋体" w:cs="宋体" w:eastAsia="宋体" w:hint="default"/>
          <w:sz w:val="15"/>
          <w:szCs w:val="15"/>
        </w:rPr>
        <w:t>月</w:t>
      </w:r>
      <w:r>
        <w:rPr>
          <w:rFonts w:ascii="宋体" w:hAnsi="宋体" w:cs="宋体" w:eastAsia="宋体" w:hint="default"/>
          <w:spacing w:val="-31"/>
          <w:sz w:val="15"/>
          <w:szCs w:val="15"/>
        </w:rPr>
        <w:t> </w:t>
      </w:r>
      <w:r>
        <w:rPr>
          <w:rFonts w:ascii="Arial" w:hAnsi="Arial" w:cs="Arial" w:eastAsia="Arial" w:hint="default"/>
          <w:sz w:val="15"/>
          <w:szCs w:val="15"/>
        </w:rPr>
        <w:t>2 </w:t>
      </w:r>
      <w:r>
        <w:rPr>
          <w:rFonts w:ascii="宋体" w:hAnsi="宋体" w:cs="宋体" w:eastAsia="宋体" w:hint="default"/>
          <w:spacing w:val="-6"/>
          <w:sz w:val="15"/>
          <w:szCs w:val="15"/>
        </w:rPr>
        <w:t>日作出（</w:t>
      </w:r>
      <w:r>
        <w:rPr>
          <w:rFonts w:ascii="Arial" w:hAnsi="Arial" w:cs="Arial" w:eastAsia="Arial" w:hint="default"/>
          <w:spacing w:val="-6"/>
          <w:sz w:val="15"/>
          <w:szCs w:val="15"/>
        </w:rPr>
        <w:t>2013</w:t>
      </w:r>
      <w:r>
        <w:rPr>
          <w:rFonts w:ascii="宋体" w:hAnsi="宋体" w:cs="宋体" w:eastAsia="宋体" w:hint="default"/>
          <w:spacing w:val="-6"/>
          <w:sz w:val="15"/>
          <w:szCs w:val="15"/>
        </w:rPr>
        <w:t>）延民初字第</w:t>
      </w:r>
      <w:r>
        <w:rPr>
          <w:rFonts w:ascii="宋体" w:hAnsi="宋体" w:cs="宋体" w:eastAsia="宋体" w:hint="default"/>
          <w:spacing w:val="-33"/>
          <w:sz w:val="15"/>
          <w:szCs w:val="15"/>
        </w:rPr>
        <w:t> </w:t>
      </w:r>
      <w:r>
        <w:rPr>
          <w:rFonts w:ascii="Arial" w:hAnsi="Arial" w:cs="Arial" w:eastAsia="Arial" w:hint="default"/>
          <w:sz w:val="15"/>
          <w:szCs w:val="15"/>
        </w:rPr>
        <w:t>837</w:t>
      </w:r>
    </w:p>
    <w:p>
      <w:pPr>
        <w:spacing w:before="50"/>
        <w:ind w:left="140" w:right="0" w:firstLine="0"/>
        <w:jc w:val="left"/>
        <w:rPr>
          <w:rFonts w:ascii="宋体" w:hAnsi="宋体" w:cs="宋体" w:eastAsia="宋体" w:hint="default"/>
          <w:sz w:val="15"/>
          <w:szCs w:val="15"/>
        </w:rPr>
      </w:pPr>
      <w:r>
        <w:rPr>
          <w:spacing w:val="-4"/>
        </w:rPr>
        <w:br w:type="column"/>
      </w:r>
      <w:r>
        <w:rPr>
          <w:rFonts w:ascii="宋体" w:hAnsi="宋体" w:cs="宋体" w:eastAsia="宋体" w:hint="default"/>
          <w:spacing w:val="-4"/>
          <w:sz w:val="15"/>
          <w:szCs w:val="15"/>
        </w:rPr>
        <w:t>公司申请法院评估、拍</w:t>
      </w:r>
    </w:p>
    <w:p>
      <w:pPr>
        <w:spacing w:after="0"/>
        <w:jc w:val="left"/>
        <w:rPr>
          <w:rFonts w:ascii="宋体" w:hAnsi="宋体" w:cs="宋体" w:eastAsia="宋体" w:hint="default"/>
          <w:sz w:val="15"/>
          <w:szCs w:val="15"/>
        </w:rPr>
        <w:sectPr>
          <w:type w:val="continuous"/>
          <w:pgSz w:w="16840" w:h="11910" w:orient="landscape"/>
          <w:pgMar w:top="1360" w:bottom="1380" w:left="1300" w:right="1360"/>
          <w:cols w:num="6" w:equalWidth="0">
            <w:col w:w="594" w:space="40"/>
            <w:col w:w="570" w:space="848"/>
            <w:col w:w="2958" w:space="549"/>
            <w:col w:w="810" w:space="753"/>
            <w:col w:w="5124" w:space="155"/>
            <w:col w:w="1779"/>
          </w:cols>
        </w:sectPr>
      </w:pPr>
    </w:p>
    <w:p>
      <w:pPr>
        <w:tabs>
          <w:tab w:pos="749" w:val="left" w:leader="none"/>
        </w:tabs>
        <w:spacing w:line="195" w:lineRule="exact" w:before="0"/>
        <w:ind w:left="140" w:right="-18" w:firstLine="0"/>
        <w:jc w:val="left"/>
        <w:rPr>
          <w:rFonts w:ascii="宋体" w:hAnsi="宋体" w:cs="宋体" w:eastAsia="宋体" w:hint="default"/>
          <w:sz w:val="15"/>
          <w:szCs w:val="15"/>
        </w:rPr>
      </w:pPr>
      <w:r>
        <w:rPr>
          <w:rFonts w:ascii="宋体" w:hAnsi="宋体" w:cs="宋体" w:eastAsia="宋体" w:hint="default"/>
          <w:sz w:val="15"/>
          <w:szCs w:val="15"/>
        </w:rPr>
        <w:t>公司</w:t>
        <w:tab/>
        <w:t>司</w:t>
      </w:r>
    </w:p>
    <w:p>
      <w:pPr>
        <w:spacing w:before="0"/>
        <w:ind w:left="140" w:right="0" w:firstLine="0"/>
        <w:jc w:val="left"/>
        <w:rPr>
          <w:rFonts w:ascii="宋体" w:hAnsi="宋体" w:cs="宋体" w:eastAsia="宋体" w:hint="default"/>
          <w:sz w:val="15"/>
          <w:szCs w:val="15"/>
        </w:rPr>
      </w:pPr>
      <w:r>
        <w:rPr>
          <w:spacing w:val="-4"/>
        </w:rPr>
        <w:br w:type="column"/>
      </w:r>
      <w:r>
        <w:rPr>
          <w:rFonts w:ascii="宋体" w:hAnsi="宋体" w:cs="宋体" w:eastAsia="宋体" w:hint="default"/>
          <w:spacing w:val="-4"/>
          <w:sz w:val="15"/>
          <w:szCs w:val="15"/>
        </w:rPr>
        <w:t>元转让给公司，经公司催缴，仍不</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偿还。</w:t>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7"/>
        <w:rPr>
          <w:rFonts w:ascii="宋体" w:hAnsi="宋体" w:cs="宋体" w:eastAsia="宋体" w:hint="default"/>
          <w:sz w:val="11"/>
          <w:szCs w:val="11"/>
        </w:rPr>
      </w:pPr>
    </w:p>
    <w:p>
      <w:pPr>
        <w:spacing w:line="144" w:lineRule="exact" w:before="0"/>
        <w:ind w:left="140" w:right="0" w:firstLine="0"/>
        <w:jc w:val="left"/>
        <w:rPr>
          <w:rFonts w:ascii="Arial" w:hAnsi="Arial" w:cs="Arial" w:eastAsia="Arial" w:hint="default"/>
          <w:sz w:val="15"/>
          <w:szCs w:val="15"/>
        </w:rPr>
      </w:pPr>
      <w:r>
        <w:rPr>
          <w:rFonts w:ascii="宋体" w:hAnsi="宋体" w:cs="宋体" w:eastAsia="宋体" w:hint="default"/>
          <w:sz w:val="15"/>
          <w:szCs w:val="15"/>
        </w:rPr>
        <w:t>大连恒承农产品有限公司在</w:t>
      </w:r>
      <w:r>
        <w:rPr>
          <w:rFonts w:ascii="宋体" w:hAnsi="宋体" w:cs="宋体" w:eastAsia="宋体" w:hint="default"/>
          <w:spacing w:val="-41"/>
          <w:sz w:val="15"/>
          <w:szCs w:val="15"/>
        </w:rPr>
        <w:t> </w:t>
      </w:r>
      <w:r>
        <w:rPr>
          <w:rFonts w:ascii="Arial" w:hAnsi="Arial" w:cs="Arial" w:eastAsia="Arial" w:hint="default"/>
          <w:sz w:val="15"/>
          <w:szCs w:val="15"/>
        </w:rPr>
        <w:t>2009</w:t>
      </w:r>
    </w:p>
    <w:p>
      <w:pPr>
        <w:spacing w:line="195" w:lineRule="exact" w:before="0"/>
        <w:ind w:left="140" w:right="-12" w:firstLine="0"/>
        <w:jc w:val="left"/>
        <w:rPr>
          <w:rFonts w:ascii="宋体" w:hAnsi="宋体" w:cs="宋体" w:eastAsia="宋体" w:hint="default"/>
          <w:sz w:val="15"/>
          <w:szCs w:val="15"/>
        </w:rPr>
      </w:pPr>
      <w:r>
        <w:rPr>
          <w:spacing w:val="-1"/>
        </w:rPr>
        <w:br w:type="column"/>
      </w:r>
      <w:r>
        <w:rPr>
          <w:rFonts w:ascii="宋体" w:hAnsi="宋体" w:cs="宋体" w:eastAsia="宋体" w:hint="default"/>
          <w:spacing w:val="-1"/>
          <w:sz w:val="15"/>
          <w:szCs w:val="15"/>
        </w:rPr>
        <w:t>号民事判决。</w:t>
      </w:r>
    </w:p>
    <w:p>
      <w:pPr>
        <w:spacing w:line="109" w:lineRule="exact" w:before="0"/>
        <w:ind w:left="140" w:right="0" w:firstLine="0"/>
        <w:jc w:val="left"/>
        <w:rPr>
          <w:rFonts w:ascii="宋体" w:hAnsi="宋体" w:cs="宋体" w:eastAsia="宋体" w:hint="default"/>
          <w:sz w:val="15"/>
          <w:szCs w:val="15"/>
        </w:rPr>
      </w:pPr>
      <w:r>
        <w:rPr/>
        <w:br w:type="column"/>
      </w:r>
      <w:r>
        <w:rPr>
          <w:rFonts w:ascii="Arial" w:hAnsi="Arial" w:cs="Arial" w:eastAsia="Arial" w:hint="default"/>
          <w:sz w:val="15"/>
          <w:szCs w:val="15"/>
        </w:rPr>
        <w:t>1,101,927.6</w:t>
      </w:r>
      <w:r>
        <w:rPr>
          <w:rFonts w:ascii="Arial" w:hAnsi="Arial" w:cs="Arial" w:eastAsia="Arial" w:hint="default"/>
          <w:spacing w:val="-6"/>
          <w:sz w:val="15"/>
          <w:szCs w:val="15"/>
        </w:rPr>
        <w:t> </w:t>
      </w:r>
      <w:r>
        <w:rPr>
          <w:rFonts w:ascii="宋体" w:hAnsi="宋体" w:cs="宋体" w:eastAsia="宋体" w:hint="default"/>
          <w:sz w:val="15"/>
          <w:szCs w:val="15"/>
        </w:rPr>
        <w:t>元。</w:t>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7"/>
        <w:rPr>
          <w:rFonts w:ascii="宋体" w:hAnsi="宋体" w:cs="宋体" w:eastAsia="宋体" w:hint="default"/>
          <w:sz w:val="17"/>
          <w:szCs w:val="17"/>
        </w:rPr>
      </w:pPr>
    </w:p>
    <w:p>
      <w:pPr>
        <w:spacing w:before="0"/>
        <w:ind w:left="140" w:right="0" w:firstLine="0"/>
        <w:jc w:val="left"/>
        <w:rPr>
          <w:rFonts w:ascii="宋体" w:hAnsi="宋体" w:cs="宋体" w:eastAsia="宋体" w:hint="default"/>
          <w:sz w:val="15"/>
          <w:szCs w:val="15"/>
        </w:rPr>
      </w:pPr>
      <w:r>
        <w:rPr>
          <w:rFonts w:ascii="宋体" w:hAnsi="宋体" w:cs="宋体" w:eastAsia="宋体" w:hint="default"/>
          <w:spacing w:val="-2"/>
          <w:sz w:val="15"/>
          <w:szCs w:val="15"/>
        </w:rPr>
        <w:t>调解结果：大连恒承农产品有限公司于</w:t>
      </w:r>
    </w:p>
    <w:p>
      <w:pPr>
        <w:spacing w:line="98" w:lineRule="exact" w:before="0"/>
        <w:ind w:left="140" w:right="0" w:firstLine="0"/>
        <w:jc w:val="left"/>
        <w:rPr>
          <w:rFonts w:ascii="宋体" w:hAnsi="宋体" w:cs="宋体" w:eastAsia="宋体" w:hint="default"/>
          <w:sz w:val="15"/>
          <w:szCs w:val="15"/>
        </w:rPr>
      </w:pPr>
      <w:r>
        <w:rPr>
          <w:spacing w:val="-4"/>
        </w:rPr>
        <w:br w:type="column"/>
      </w:r>
      <w:r>
        <w:rPr>
          <w:rFonts w:ascii="宋体" w:hAnsi="宋体" w:cs="宋体" w:eastAsia="宋体" w:hint="default"/>
          <w:spacing w:val="-4"/>
          <w:sz w:val="15"/>
          <w:szCs w:val="15"/>
        </w:rPr>
        <w:t>卖，但无人买受，且被</w:t>
      </w:r>
    </w:p>
    <w:p>
      <w:pPr>
        <w:spacing w:line="240" w:lineRule="auto" w:before="0"/>
        <w:ind w:left="140" w:right="158" w:firstLine="0"/>
        <w:jc w:val="left"/>
        <w:rPr>
          <w:rFonts w:ascii="宋体" w:hAnsi="宋体" w:cs="宋体" w:eastAsia="宋体" w:hint="default"/>
          <w:sz w:val="15"/>
          <w:szCs w:val="15"/>
        </w:rPr>
      </w:pPr>
      <w:r>
        <w:rPr>
          <w:rFonts w:ascii="宋体" w:hAnsi="宋体" w:cs="宋体" w:eastAsia="宋体" w:hint="default"/>
          <w:sz w:val="15"/>
          <w:szCs w:val="15"/>
        </w:rPr>
        <w:t>执行人公司已停止经</w:t>
      </w:r>
      <w:r>
        <w:rPr>
          <w:rFonts w:ascii="宋体" w:hAnsi="宋体" w:cs="宋体" w:eastAsia="宋体" w:hint="default"/>
          <w:w w:val="100"/>
          <w:sz w:val="15"/>
          <w:szCs w:val="15"/>
        </w:rPr>
        <w:t> </w:t>
      </w:r>
      <w:r>
        <w:rPr>
          <w:rFonts w:ascii="宋体" w:hAnsi="宋体" w:cs="宋体" w:eastAsia="宋体" w:hint="default"/>
          <w:sz w:val="15"/>
          <w:szCs w:val="15"/>
        </w:rPr>
        <w:t>营，法院无法取得联</w:t>
      </w:r>
      <w:r>
        <w:rPr>
          <w:rFonts w:ascii="宋体" w:hAnsi="宋体" w:cs="宋体" w:eastAsia="宋体" w:hint="default"/>
          <w:w w:val="100"/>
          <w:sz w:val="15"/>
          <w:szCs w:val="15"/>
        </w:rPr>
        <w:t> </w:t>
      </w:r>
      <w:r>
        <w:rPr>
          <w:rFonts w:ascii="宋体" w:hAnsi="宋体" w:cs="宋体" w:eastAsia="宋体" w:hint="default"/>
          <w:sz w:val="15"/>
          <w:szCs w:val="15"/>
        </w:rPr>
        <w:t>系。案件现处于执行</w:t>
      </w:r>
      <w:r>
        <w:rPr>
          <w:rFonts w:ascii="宋体" w:hAnsi="宋体" w:cs="宋体" w:eastAsia="宋体" w:hint="default"/>
          <w:w w:val="100"/>
          <w:sz w:val="15"/>
          <w:szCs w:val="15"/>
        </w:rPr>
        <w:t> </w:t>
      </w:r>
      <w:r>
        <w:rPr>
          <w:rFonts w:ascii="宋体" w:hAnsi="宋体" w:cs="宋体" w:eastAsia="宋体" w:hint="default"/>
          <w:sz w:val="15"/>
          <w:szCs w:val="15"/>
        </w:rPr>
        <w:t>中。</w:t>
      </w:r>
      <w:r>
        <w:rPr>
          <w:rFonts w:ascii="宋体" w:hAnsi="宋体" w:cs="宋体" w:eastAsia="宋体" w:hint="default"/>
          <w:spacing w:val="-73"/>
          <w:sz w:val="15"/>
          <w:szCs w:val="15"/>
        </w:rPr>
        <w:t> </w:t>
      </w:r>
      <w:r>
        <w:rPr>
          <w:rFonts w:ascii="宋体" w:hAnsi="宋体" w:cs="宋体" w:eastAsia="宋体" w:hint="default"/>
          <w:spacing w:val="-4"/>
          <w:sz w:val="15"/>
          <w:szCs w:val="15"/>
        </w:rPr>
        <w:t>履行期限届满后，被告</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pacing w:val="-4"/>
          <w:sz w:val="15"/>
          <w:szCs w:val="15"/>
        </w:rPr>
        <w:t>未能给付公司欠款，公</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司向法院申请强制执</w:t>
      </w:r>
    </w:p>
    <w:p>
      <w:pPr>
        <w:spacing w:after="0" w:line="240" w:lineRule="auto"/>
        <w:jc w:val="left"/>
        <w:rPr>
          <w:rFonts w:ascii="宋体" w:hAnsi="宋体" w:cs="宋体" w:eastAsia="宋体" w:hint="default"/>
          <w:sz w:val="15"/>
          <w:szCs w:val="15"/>
        </w:rPr>
        <w:sectPr>
          <w:type w:val="continuous"/>
          <w:pgSz w:w="16840" w:h="11910" w:orient="landscape"/>
          <w:pgMar w:top="1360" w:bottom="1380" w:left="1300" w:right="1360"/>
          <w:cols w:num="5" w:equalWidth="0">
            <w:col w:w="902" w:space="1751"/>
            <w:col w:w="2358" w:space="2111"/>
            <w:col w:w="1043" w:space="1379"/>
            <w:col w:w="2692" w:space="165"/>
            <w:col w:w="1779"/>
          </w:cols>
        </w:sectPr>
      </w:pPr>
    </w:p>
    <w:p>
      <w:pPr>
        <w:spacing w:line="97" w:lineRule="exact" w:before="0"/>
        <w:ind w:left="140" w:right="-17" w:firstLine="0"/>
        <w:jc w:val="left"/>
        <w:rPr>
          <w:rFonts w:ascii="宋体" w:hAnsi="宋体" w:cs="宋体" w:eastAsia="宋体" w:hint="default"/>
          <w:sz w:val="15"/>
          <w:szCs w:val="15"/>
        </w:rPr>
      </w:pPr>
      <w:r>
        <w:rPr>
          <w:rFonts w:ascii="宋体" w:hAnsi="宋体" w:cs="宋体" w:eastAsia="宋体" w:hint="default"/>
          <w:sz w:val="15"/>
          <w:szCs w:val="15"/>
        </w:rPr>
        <w:t>北大荒</w:t>
      </w:r>
    </w:p>
    <w:p>
      <w:pPr>
        <w:spacing w:line="195" w:lineRule="exact" w:before="0"/>
        <w:ind w:left="140" w:right="-17" w:firstLine="0"/>
        <w:jc w:val="left"/>
        <w:rPr>
          <w:rFonts w:ascii="宋体" w:hAnsi="宋体" w:cs="宋体" w:eastAsia="宋体" w:hint="default"/>
          <w:sz w:val="15"/>
          <w:szCs w:val="15"/>
        </w:rPr>
      </w:pPr>
      <w:r>
        <w:rPr>
          <w:rFonts w:ascii="宋体" w:hAnsi="宋体" w:cs="宋体" w:eastAsia="宋体" w:hint="default"/>
          <w:sz w:val="15"/>
          <w:szCs w:val="15"/>
        </w:rPr>
        <w:t>鑫亚经</w:t>
      </w:r>
    </w:p>
    <w:p>
      <w:pPr>
        <w:spacing w:before="0"/>
        <w:ind w:left="116" w:right="-16" w:firstLine="0"/>
        <w:jc w:val="left"/>
        <w:rPr>
          <w:rFonts w:ascii="宋体" w:hAnsi="宋体" w:cs="宋体" w:eastAsia="宋体" w:hint="default"/>
          <w:sz w:val="15"/>
          <w:szCs w:val="15"/>
        </w:rPr>
      </w:pPr>
      <w:r>
        <w:rPr/>
        <w:br w:type="column"/>
      </w:r>
      <w:r>
        <w:rPr>
          <w:rFonts w:ascii="宋体" w:hAnsi="宋体" w:cs="宋体" w:eastAsia="宋体" w:hint="default"/>
          <w:sz w:val="15"/>
          <w:szCs w:val="15"/>
        </w:rPr>
        <w:t>大连恒</w:t>
      </w:r>
      <w:r>
        <w:rPr>
          <w:rFonts w:ascii="宋体" w:hAnsi="宋体" w:cs="宋体" w:eastAsia="宋体" w:hint="default"/>
          <w:spacing w:val="-72"/>
          <w:sz w:val="15"/>
          <w:szCs w:val="15"/>
        </w:rPr>
        <w:t> </w:t>
      </w:r>
      <w:r>
        <w:rPr>
          <w:rFonts w:ascii="宋体" w:hAnsi="宋体" w:cs="宋体" w:eastAsia="宋体" w:hint="default"/>
          <w:sz w:val="15"/>
          <w:szCs w:val="15"/>
        </w:rPr>
        <w:t>承农产</w:t>
      </w:r>
    </w:p>
    <w:p>
      <w:pPr>
        <w:spacing w:before="0"/>
        <w:ind w:left="140" w:right="-12" w:firstLine="0"/>
        <w:jc w:val="left"/>
        <w:rPr>
          <w:rFonts w:ascii="Arial" w:hAnsi="Arial" w:cs="Arial" w:eastAsia="Arial" w:hint="default"/>
          <w:sz w:val="15"/>
          <w:szCs w:val="15"/>
        </w:rPr>
      </w:pPr>
      <w:r>
        <w:rPr/>
        <w:br w:type="column"/>
      </w:r>
      <w:r>
        <w:rPr>
          <w:rFonts w:ascii="宋体" w:hAnsi="宋体" w:cs="宋体" w:eastAsia="宋体" w:hint="default"/>
          <w:sz w:val="15"/>
          <w:szCs w:val="15"/>
        </w:rPr>
        <w:t>宋文建用</w:t>
      </w:r>
      <w:r>
        <w:rPr>
          <w:rFonts w:ascii="宋体" w:hAnsi="宋体" w:cs="宋体" w:eastAsia="宋体" w:hint="default"/>
          <w:w w:val="100"/>
          <w:sz w:val="15"/>
          <w:szCs w:val="15"/>
        </w:rPr>
        <w:t> </w:t>
      </w:r>
      <w:r>
        <w:rPr>
          <w:rFonts w:ascii="宋体" w:hAnsi="宋体" w:cs="宋体" w:eastAsia="宋体" w:hint="default"/>
          <w:spacing w:val="-1"/>
          <w:sz w:val="15"/>
          <w:szCs w:val="15"/>
        </w:rPr>
        <w:t>房产（</w:t>
      </w:r>
      <w:r>
        <w:rPr>
          <w:rFonts w:ascii="Arial" w:hAnsi="Arial" w:cs="Arial" w:eastAsia="Arial" w:hint="default"/>
          <w:spacing w:val="-1"/>
          <w:sz w:val="15"/>
          <w:szCs w:val="15"/>
        </w:rPr>
        <w:t>601</w:t>
      </w:r>
      <w:r>
        <w:rPr>
          <w:rFonts w:ascii="Arial" w:hAnsi="Arial" w:cs="Arial" w:eastAsia="Arial" w:hint="default"/>
          <w:sz w:val="15"/>
          <w:szCs w:val="15"/>
        </w:rPr>
      </w:r>
    </w:p>
    <w:p>
      <w:pPr>
        <w:spacing w:line="194" w:lineRule="exact" w:before="18"/>
        <w:ind w:left="140"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年</w:t>
      </w:r>
      <w:r>
        <w:rPr>
          <w:rFonts w:ascii="宋体" w:hAnsi="宋体" w:cs="宋体" w:eastAsia="宋体" w:hint="default"/>
          <w:spacing w:val="-56"/>
          <w:sz w:val="15"/>
          <w:szCs w:val="15"/>
        </w:rPr>
        <w:t> </w:t>
      </w:r>
      <w:r>
        <w:rPr>
          <w:rFonts w:ascii="Arial" w:hAnsi="Arial" w:cs="Arial" w:eastAsia="Arial" w:hint="default"/>
          <w:sz w:val="15"/>
          <w:szCs w:val="15"/>
        </w:rPr>
        <w:t>10</w:t>
      </w:r>
      <w:r>
        <w:rPr>
          <w:rFonts w:ascii="Arial" w:hAnsi="Arial" w:cs="Arial" w:eastAsia="Arial" w:hint="default"/>
          <w:spacing w:val="-23"/>
          <w:sz w:val="15"/>
          <w:szCs w:val="15"/>
        </w:rPr>
        <w:t> </w:t>
      </w:r>
      <w:r>
        <w:rPr>
          <w:rFonts w:ascii="宋体" w:hAnsi="宋体" w:cs="宋体" w:eastAsia="宋体" w:hint="default"/>
          <w:sz w:val="15"/>
          <w:szCs w:val="15"/>
        </w:rPr>
        <w:t>月至</w:t>
      </w:r>
      <w:r>
        <w:rPr>
          <w:rFonts w:ascii="宋体" w:hAnsi="宋体" w:cs="宋体" w:eastAsia="宋体" w:hint="default"/>
          <w:spacing w:val="-56"/>
          <w:sz w:val="15"/>
          <w:szCs w:val="15"/>
        </w:rPr>
        <w:t> </w:t>
      </w:r>
      <w:r>
        <w:rPr>
          <w:rFonts w:ascii="Arial" w:hAnsi="Arial" w:cs="Arial" w:eastAsia="Arial" w:hint="default"/>
          <w:sz w:val="15"/>
          <w:szCs w:val="15"/>
        </w:rPr>
        <w:t>12</w:t>
      </w:r>
      <w:r>
        <w:rPr>
          <w:rFonts w:ascii="Arial" w:hAnsi="Arial" w:cs="Arial" w:eastAsia="Arial" w:hint="default"/>
          <w:spacing w:val="-23"/>
          <w:sz w:val="15"/>
          <w:szCs w:val="15"/>
        </w:rPr>
        <w:t> </w:t>
      </w:r>
      <w:r>
        <w:rPr>
          <w:rFonts w:ascii="宋体" w:hAnsi="宋体" w:cs="宋体" w:eastAsia="宋体" w:hint="default"/>
          <w:sz w:val="15"/>
          <w:szCs w:val="15"/>
        </w:rPr>
        <w:t>月期间与公司合作经</w:t>
      </w:r>
      <w:r>
        <w:rPr>
          <w:rFonts w:ascii="宋体" w:hAnsi="宋体" w:cs="宋体" w:eastAsia="宋体" w:hint="default"/>
          <w:w w:val="100"/>
          <w:sz w:val="15"/>
          <w:szCs w:val="15"/>
        </w:rPr>
        <w:t> </w:t>
      </w:r>
      <w:r>
        <w:rPr>
          <w:rFonts w:ascii="宋体" w:hAnsi="宋体" w:cs="宋体" w:eastAsia="宋体" w:hint="default"/>
          <w:spacing w:val="-9"/>
          <w:sz w:val="15"/>
          <w:szCs w:val="15"/>
        </w:rPr>
        <w:t>营黄豆、黑水稻等业务，形成欠款，</w:t>
      </w:r>
    </w:p>
    <w:p>
      <w:pPr>
        <w:spacing w:line="145" w:lineRule="exact" w:before="0"/>
        <w:ind w:left="140" w:right="0" w:firstLine="2422"/>
        <w:jc w:val="left"/>
        <w:rPr>
          <w:rFonts w:ascii="宋体" w:hAnsi="宋体" w:cs="宋体" w:eastAsia="宋体" w:hint="default"/>
          <w:sz w:val="15"/>
          <w:szCs w:val="15"/>
        </w:rPr>
      </w:pPr>
      <w:r>
        <w:rPr/>
        <w:br w:type="column"/>
      </w:r>
      <w:r>
        <w:rPr>
          <w:rFonts w:ascii="Arial" w:hAnsi="Arial" w:cs="Arial" w:eastAsia="Arial" w:hint="default"/>
          <w:sz w:val="15"/>
          <w:szCs w:val="15"/>
        </w:rPr>
        <w:t>2013</w:t>
      </w:r>
      <w:r>
        <w:rPr>
          <w:rFonts w:ascii="Arial" w:hAnsi="Arial" w:cs="Arial" w:eastAsia="Arial" w:hint="default"/>
          <w:spacing w:val="-10"/>
          <w:sz w:val="15"/>
          <w:szCs w:val="15"/>
        </w:rPr>
        <w:t>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Arial" w:hAnsi="Arial" w:cs="Arial" w:eastAsia="Arial" w:hint="default"/>
          <w:sz w:val="15"/>
          <w:szCs w:val="15"/>
        </w:rPr>
        <w:t>11</w:t>
      </w:r>
      <w:r>
        <w:rPr>
          <w:rFonts w:ascii="Arial" w:hAnsi="Arial" w:cs="Arial" w:eastAsia="Arial" w:hint="default"/>
          <w:spacing w:val="-10"/>
          <w:sz w:val="15"/>
          <w:szCs w:val="15"/>
        </w:rPr>
        <w:t> </w:t>
      </w:r>
      <w:r>
        <w:rPr>
          <w:rFonts w:ascii="宋体" w:hAnsi="宋体" w:cs="宋体" w:eastAsia="宋体" w:hint="default"/>
          <w:sz w:val="15"/>
          <w:szCs w:val="15"/>
        </w:rPr>
        <w:t>月</w:t>
      </w:r>
      <w:r>
        <w:rPr>
          <w:rFonts w:ascii="宋体" w:hAnsi="宋体" w:cs="宋体" w:eastAsia="宋体" w:hint="default"/>
          <w:spacing w:val="-41"/>
          <w:sz w:val="15"/>
          <w:szCs w:val="15"/>
        </w:rPr>
        <w:t> </w:t>
      </w:r>
      <w:r>
        <w:rPr>
          <w:rFonts w:ascii="Arial" w:hAnsi="Arial" w:cs="Arial" w:eastAsia="Arial" w:hint="default"/>
          <w:sz w:val="15"/>
          <w:szCs w:val="15"/>
        </w:rPr>
        <w:t>20</w:t>
      </w:r>
      <w:r>
        <w:rPr>
          <w:rFonts w:ascii="Arial" w:hAnsi="Arial" w:cs="Arial" w:eastAsia="Arial" w:hint="default"/>
          <w:spacing w:val="-10"/>
          <w:sz w:val="15"/>
          <w:szCs w:val="15"/>
        </w:rPr>
        <w:t> </w:t>
      </w:r>
      <w:r>
        <w:rPr>
          <w:rFonts w:ascii="宋体" w:hAnsi="宋体" w:cs="宋体" w:eastAsia="宋体" w:hint="default"/>
          <w:sz w:val="15"/>
          <w:szCs w:val="15"/>
        </w:rPr>
        <w:t>日前给付公司欠款</w:t>
      </w:r>
      <w:r>
        <w:rPr>
          <w:rFonts w:ascii="宋体" w:hAnsi="宋体" w:cs="宋体" w:eastAsia="宋体" w:hint="default"/>
          <w:spacing w:val="-40"/>
          <w:sz w:val="15"/>
          <w:szCs w:val="15"/>
        </w:rPr>
        <w:t> </w:t>
      </w:r>
      <w:r>
        <w:rPr>
          <w:rFonts w:ascii="Arial" w:hAnsi="Arial" w:cs="Arial" w:eastAsia="Arial" w:hint="default"/>
          <w:sz w:val="15"/>
          <w:szCs w:val="15"/>
        </w:rPr>
        <w:t>137</w:t>
      </w:r>
      <w:r>
        <w:rPr>
          <w:rFonts w:ascii="Arial" w:hAnsi="Arial" w:cs="Arial" w:eastAsia="Arial" w:hint="default"/>
          <w:spacing w:val="-8"/>
          <w:sz w:val="15"/>
          <w:szCs w:val="15"/>
        </w:rPr>
        <w:t> </w:t>
      </w:r>
      <w:r>
        <w:rPr>
          <w:rFonts w:ascii="宋体" w:hAnsi="宋体" w:cs="宋体" w:eastAsia="宋体" w:hint="default"/>
          <w:sz w:val="15"/>
          <w:szCs w:val="15"/>
        </w:rPr>
        <w:t>万</w:t>
      </w:r>
      <w:r>
        <w:rPr>
          <w:rFonts w:ascii="宋体" w:hAnsi="宋体" w:cs="宋体" w:eastAsia="宋体" w:hint="default"/>
          <w:spacing w:val="-21"/>
          <w:sz w:val="15"/>
          <w:szCs w:val="15"/>
        </w:rPr>
        <w:t> </w:t>
      </w:r>
      <w:r>
        <w:rPr>
          <w:rFonts w:ascii="宋体" w:hAnsi="宋体" w:cs="宋体" w:eastAsia="宋体" w:hint="default"/>
          <w:spacing w:val="-4"/>
          <w:position w:val="-9"/>
          <w:sz w:val="15"/>
          <w:szCs w:val="15"/>
        </w:rPr>
        <w:t>行，并申请法院对宋文</w:t>
      </w:r>
      <w:r>
        <w:rPr>
          <w:rFonts w:ascii="宋体" w:hAnsi="宋体" w:cs="宋体" w:eastAsia="宋体" w:hint="default"/>
          <w:spacing w:val="-4"/>
          <w:sz w:val="15"/>
          <w:szCs w:val="15"/>
        </w:rPr>
      </w:r>
    </w:p>
    <w:p>
      <w:pPr>
        <w:spacing w:line="191" w:lineRule="exact" w:before="0"/>
        <w:ind w:left="140" w:right="0" w:firstLine="0"/>
        <w:jc w:val="left"/>
        <w:rPr>
          <w:rFonts w:ascii="宋体" w:hAnsi="宋体" w:cs="宋体" w:eastAsia="宋体" w:hint="default"/>
          <w:sz w:val="15"/>
          <w:szCs w:val="15"/>
        </w:rPr>
      </w:pPr>
      <w:r>
        <w:rPr/>
        <w:pict>
          <v:shape style="position:absolute;margin-left:542.830017pt;margin-top:14.335659pt;width:7.45pt;height:7.6pt;mso-position-horizontal-relative:page;mso-position-vertical-relative:paragraph;z-index:-944224"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3"/>
                      <w:w w:val="100"/>
                      <w:sz w:val="15"/>
                      <w:szCs w:val="15"/>
                    </w:rPr>
                    <w:t>。</w:t>
                  </w:r>
                  <w:r>
                    <w:rPr>
                      <w:rFonts w:ascii="宋体" w:hAnsi="宋体" w:cs="宋体" w:eastAsia="宋体" w:hint="default"/>
                      <w:w w:val="100"/>
                      <w:sz w:val="15"/>
                      <w:szCs w:val="15"/>
                    </w:rPr>
                  </w:r>
                </w:p>
              </w:txbxContent>
            </v:textbox>
            <w10:wrap type="none"/>
          </v:shape>
        </w:pict>
      </w:r>
      <w:r>
        <w:rPr>
          <w:rFonts w:ascii="宋体" w:hAnsi="宋体" w:cs="宋体" w:eastAsia="宋体" w:hint="default"/>
          <w:spacing w:val="-4"/>
          <w:sz w:val="15"/>
          <w:szCs w:val="15"/>
        </w:rPr>
        <w:t>双方在法院主持下达成调解，调解书 </w:t>
      </w:r>
      <w:r>
        <w:rPr>
          <w:rFonts w:ascii="宋体" w:hAnsi="宋体" w:cs="宋体" w:eastAsia="宋体" w:hint="default"/>
          <w:spacing w:val="-4"/>
          <w:position w:val="10"/>
          <w:sz w:val="15"/>
          <w:szCs w:val="15"/>
        </w:rPr>
        <w:t>元；连带责任方宋文建以其所有的坐落于吉</w:t>
      </w:r>
      <w:r>
        <w:rPr>
          <w:rFonts w:ascii="宋体" w:hAnsi="宋体" w:cs="宋体" w:eastAsia="宋体" w:hint="default"/>
          <w:spacing w:val="13"/>
          <w:position w:val="10"/>
          <w:sz w:val="15"/>
          <w:szCs w:val="15"/>
        </w:rPr>
        <w:t> </w:t>
      </w:r>
      <w:r>
        <w:rPr>
          <w:rFonts w:ascii="宋体" w:hAnsi="宋体" w:cs="宋体" w:eastAsia="宋体" w:hint="default"/>
          <w:sz w:val="15"/>
          <w:szCs w:val="15"/>
        </w:rPr>
        <w:t>建抵押房产进行评估、</w:t>
      </w:r>
    </w:p>
    <w:p>
      <w:pPr>
        <w:spacing w:after="0" w:line="191" w:lineRule="exact"/>
        <w:jc w:val="left"/>
        <w:rPr>
          <w:rFonts w:ascii="宋体" w:hAnsi="宋体" w:cs="宋体" w:eastAsia="宋体" w:hint="default"/>
          <w:sz w:val="15"/>
          <w:szCs w:val="15"/>
        </w:rPr>
        <w:sectPr>
          <w:type w:val="continuous"/>
          <w:pgSz w:w="16840" w:h="11910" w:orient="landscape"/>
          <w:pgMar w:top="1360" w:bottom="1380" w:left="1300" w:right="1360"/>
          <w:cols w:num="5" w:equalWidth="0">
            <w:col w:w="594" w:space="40"/>
            <w:col w:w="570" w:space="54"/>
            <w:col w:w="844" w:space="551"/>
            <w:col w:w="2432" w:space="2037"/>
            <w:col w:w="7058"/>
          </w:cols>
        </w:sectPr>
      </w:pPr>
    </w:p>
    <w:p>
      <w:pPr>
        <w:spacing w:line="80" w:lineRule="exact" w:before="0"/>
        <w:ind w:left="140" w:right="-17" w:firstLine="0"/>
        <w:jc w:val="left"/>
        <w:rPr>
          <w:rFonts w:ascii="宋体" w:hAnsi="宋体" w:cs="宋体" w:eastAsia="宋体" w:hint="default"/>
          <w:sz w:val="15"/>
          <w:szCs w:val="15"/>
        </w:rPr>
      </w:pPr>
      <w:r>
        <w:rPr>
          <w:rFonts w:ascii="宋体" w:hAnsi="宋体" w:cs="宋体" w:eastAsia="宋体" w:hint="default"/>
          <w:sz w:val="15"/>
          <w:szCs w:val="15"/>
        </w:rPr>
        <w:t>贸有限</w:t>
      </w:r>
    </w:p>
    <w:p>
      <w:pPr>
        <w:spacing w:before="0"/>
        <w:ind w:left="140" w:right="-17" w:firstLine="0"/>
        <w:jc w:val="left"/>
        <w:rPr>
          <w:rFonts w:ascii="宋体" w:hAnsi="宋体" w:cs="宋体" w:eastAsia="宋体" w:hint="default"/>
          <w:sz w:val="15"/>
          <w:szCs w:val="15"/>
        </w:rPr>
      </w:pPr>
      <w:r>
        <w:rPr>
          <w:rFonts w:ascii="宋体" w:hAnsi="宋体" w:cs="宋体" w:eastAsia="宋体" w:hint="default"/>
          <w:sz w:val="15"/>
          <w:szCs w:val="15"/>
        </w:rPr>
        <w:t>责任公</w:t>
      </w:r>
      <w:r>
        <w:rPr>
          <w:rFonts w:ascii="宋体" w:hAnsi="宋体" w:cs="宋体" w:eastAsia="宋体" w:hint="default"/>
          <w:spacing w:val="-72"/>
          <w:sz w:val="15"/>
          <w:szCs w:val="15"/>
        </w:rPr>
        <w:t> </w:t>
      </w:r>
      <w:r>
        <w:rPr>
          <w:rFonts w:ascii="宋体" w:hAnsi="宋体" w:cs="宋体" w:eastAsia="宋体" w:hint="default"/>
          <w:sz w:val="15"/>
          <w:szCs w:val="15"/>
        </w:rPr>
        <w:t>司</w:t>
      </w:r>
    </w:p>
    <w:p>
      <w:pPr>
        <w:spacing w:line="176" w:lineRule="exact" w:before="0"/>
        <w:ind w:left="116" w:right="-16" w:firstLine="0"/>
        <w:jc w:val="left"/>
        <w:rPr>
          <w:rFonts w:ascii="宋体" w:hAnsi="宋体" w:cs="宋体" w:eastAsia="宋体" w:hint="default"/>
          <w:sz w:val="15"/>
          <w:szCs w:val="15"/>
        </w:rPr>
      </w:pPr>
      <w:r>
        <w:rPr/>
        <w:br w:type="column"/>
      </w:r>
      <w:r>
        <w:rPr>
          <w:rFonts w:ascii="宋体" w:hAnsi="宋体" w:cs="宋体" w:eastAsia="宋体" w:hint="default"/>
          <w:sz w:val="15"/>
          <w:szCs w:val="15"/>
        </w:rPr>
        <w:t>品有限</w:t>
      </w:r>
    </w:p>
    <w:p>
      <w:pPr>
        <w:spacing w:line="196" w:lineRule="exact" w:before="0"/>
        <w:ind w:left="116" w:right="-16" w:firstLine="0"/>
        <w:jc w:val="left"/>
        <w:rPr>
          <w:rFonts w:ascii="宋体" w:hAnsi="宋体" w:cs="宋体" w:eastAsia="宋体" w:hint="default"/>
          <w:sz w:val="15"/>
          <w:szCs w:val="15"/>
        </w:rPr>
      </w:pPr>
      <w:r>
        <w:rPr>
          <w:rFonts w:ascii="宋体" w:hAnsi="宋体" w:cs="宋体" w:eastAsia="宋体" w:hint="default"/>
          <w:sz w:val="15"/>
          <w:szCs w:val="15"/>
        </w:rPr>
        <w:t>公司</w:t>
      </w:r>
    </w:p>
    <w:p>
      <w:pPr>
        <w:spacing w:line="176" w:lineRule="exact" w:before="0"/>
        <w:ind w:left="140" w:right="-19" w:firstLine="0"/>
        <w:jc w:val="left"/>
        <w:rPr>
          <w:rFonts w:ascii="宋体" w:hAnsi="宋体" w:cs="宋体" w:eastAsia="宋体" w:hint="default"/>
          <w:sz w:val="15"/>
          <w:szCs w:val="15"/>
        </w:rPr>
      </w:pPr>
      <w:r>
        <w:rPr>
          <w:spacing w:val="-3"/>
        </w:rPr>
        <w:br w:type="column"/>
      </w:r>
      <w:r>
        <w:rPr>
          <w:rFonts w:ascii="宋体" w:hAnsi="宋体" w:cs="宋体" w:eastAsia="宋体" w:hint="default"/>
          <w:spacing w:val="-3"/>
          <w:sz w:val="15"/>
          <w:szCs w:val="15"/>
        </w:rPr>
        <w:t>平方米）担</w:t>
      </w:r>
      <w:r>
        <w:rPr>
          <w:rFonts w:ascii="宋体" w:hAnsi="宋体" w:cs="宋体" w:eastAsia="宋体" w:hint="default"/>
          <w:spacing w:val="-15"/>
          <w:sz w:val="15"/>
          <w:szCs w:val="15"/>
        </w:rPr>
        <w:t> </w:t>
      </w:r>
      <w:r>
        <w:rPr>
          <w:rFonts w:ascii="宋体" w:hAnsi="宋体" w:cs="宋体" w:eastAsia="宋体" w:hint="default"/>
          <w:position w:val="10"/>
          <w:sz w:val="15"/>
          <w:szCs w:val="15"/>
        </w:rPr>
        <w:t>执行</w:t>
      </w:r>
      <w:r>
        <w:rPr>
          <w:rFonts w:ascii="宋体" w:hAnsi="宋体" w:cs="宋体" w:eastAsia="宋体" w:hint="default"/>
          <w:sz w:val="15"/>
          <w:szCs w:val="15"/>
        </w:rPr>
      </w:r>
    </w:p>
    <w:p>
      <w:pPr>
        <w:spacing w:line="196" w:lineRule="exact" w:before="0"/>
        <w:ind w:left="140" w:right="-19" w:firstLine="0"/>
        <w:jc w:val="left"/>
        <w:rPr>
          <w:rFonts w:ascii="宋体" w:hAnsi="宋体" w:cs="宋体" w:eastAsia="宋体" w:hint="default"/>
          <w:sz w:val="15"/>
          <w:szCs w:val="15"/>
        </w:rPr>
      </w:pPr>
      <w:r>
        <w:rPr>
          <w:rFonts w:ascii="宋体" w:hAnsi="宋体" w:cs="宋体" w:eastAsia="宋体" w:hint="default"/>
          <w:sz w:val="15"/>
          <w:szCs w:val="15"/>
        </w:rPr>
        <w:t>保。</w:t>
      </w:r>
    </w:p>
    <w:p>
      <w:pPr>
        <w:spacing w:line="181" w:lineRule="exact" w:before="0"/>
        <w:ind w:left="140" w:right="-15" w:firstLine="0"/>
        <w:jc w:val="left"/>
        <w:rPr>
          <w:rFonts w:ascii="宋体" w:hAnsi="宋体" w:cs="宋体" w:eastAsia="宋体" w:hint="default"/>
          <w:sz w:val="15"/>
          <w:szCs w:val="15"/>
        </w:rPr>
      </w:pPr>
      <w:r>
        <w:rPr>
          <w:spacing w:val="-6"/>
        </w:rPr>
        <w:br w:type="column"/>
      </w:r>
      <w:r>
        <w:rPr>
          <w:rFonts w:ascii="宋体" w:hAnsi="宋体" w:cs="宋体" w:eastAsia="宋体" w:hint="default"/>
          <w:spacing w:val="-6"/>
          <w:sz w:val="15"/>
          <w:szCs w:val="15"/>
        </w:rPr>
        <w:t>到今年初，尚欠 </w:t>
      </w:r>
      <w:r>
        <w:rPr>
          <w:rFonts w:ascii="Arial" w:hAnsi="Arial" w:cs="Arial" w:eastAsia="Arial" w:hint="default"/>
          <w:sz w:val="15"/>
          <w:szCs w:val="15"/>
        </w:rPr>
        <w:t>129</w:t>
      </w:r>
      <w:r>
        <w:rPr>
          <w:rFonts w:ascii="Arial" w:hAnsi="Arial" w:cs="Arial" w:eastAsia="Arial" w:hint="default"/>
          <w:spacing w:val="-14"/>
          <w:sz w:val="15"/>
          <w:szCs w:val="15"/>
        </w:rPr>
        <w:t> </w:t>
      </w:r>
      <w:r>
        <w:rPr>
          <w:rFonts w:ascii="宋体" w:hAnsi="宋体" w:cs="宋体" w:eastAsia="宋体" w:hint="default"/>
          <w:spacing w:val="-7"/>
          <w:sz w:val="15"/>
          <w:szCs w:val="15"/>
        </w:rPr>
        <w:t>万元（帐面为</w:t>
      </w:r>
    </w:p>
    <w:p>
      <w:pPr>
        <w:spacing w:line="201" w:lineRule="exact" w:before="0"/>
        <w:ind w:left="140" w:right="-13" w:firstLine="0"/>
        <w:jc w:val="left"/>
        <w:rPr>
          <w:rFonts w:ascii="宋体" w:hAnsi="宋体" w:cs="宋体" w:eastAsia="宋体" w:hint="default"/>
          <w:sz w:val="15"/>
          <w:szCs w:val="15"/>
        </w:rPr>
      </w:pPr>
      <w:r>
        <w:rPr>
          <w:rFonts w:ascii="Arial" w:hAnsi="Arial" w:cs="Arial" w:eastAsia="Arial" w:hint="default"/>
          <w:sz w:val="15"/>
          <w:szCs w:val="15"/>
        </w:rPr>
        <w:t>229</w:t>
      </w:r>
      <w:r>
        <w:rPr>
          <w:rFonts w:ascii="Arial" w:hAnsi="Arial" w:cs="Arial" w:eastAsia="Arial" w:hint="default"/>
          <w:spacing w:val="21"/>
          <w:sz w:val="15"/>
          <w:szCs w:val="15"/>
        </w:rPr>
        <w:t> </w:t>
      </w:r>
      <w:r>
        <w:rPr>
          <w:rFonts w:ascii="宋体" w:hAnsi="宋体" w:cs="宋体" w:eastAsia="宋体" w:hint="default"/>
          <w:spacing w:val="-4"/>
          <w:sz w:val="15"/>
          <w:szCs w:val="15"/>
        </w:rPr>
        <w:t>万元，因与对方达成协议减免</w:t>
      </w:r>
    </w:p>
    <w:p>
      <w:pPr>
        <w:spacing w:line="87" w:lineRule="exact" w:before="0"/>
        <w:ind w:left="140" w:right="-9" w:firstLine="0"/>
        <w:jc w:val="left"/>
        <w:rPr>
          <w:rFonts w:ascii="Arial" w:hAnsi="Arial" w:cs="Arial" w:eastAsia="Arial" w:hint="default"/>
          <w:sz w:val="15"/>
          <w:szCs w:val="15"/>
        </w:rPr>
      </w:pPr>
      <w:r>
        <w:rPr>
          <w:spacing w:val="-1"/>
        </w:rPr>
        <w:br w:type="column"/>
      </w:r>
      <w:r>
        <w:rPr>
          <w:rFonts w:ascii="Arial"/>
          <w:spacing w:val="-1"/>
          <w:sz w:val="15"/>
        </w:rPr>
        <w:t>1,370,000</w:t>
      </w:r>
    </w:p>
    <w:p>
      <w:pPr>
        <w:spacing w:line="187" w:lineRule="exact" w:before="0"/>
        <w:ind w:left="140" w:right="-14" w:firstLine="0"/>
        <w:jc w:val="left"/>
        <w:rPr>
          <w:rFonts w:ascii="宋体" w:hAnsi="宋体" w:cs="宋体" w:eastAsia="宋体" w:hint="default"/>
          <w:sz w:val="15"/>
          <w:szCs w:val="15"/>
        </w:rPr>
      </w:pPr>
      <w:r>
        <w:rPr>
          <w:spacing w:val="-3"/>
        </w:rPr>
        <w:br w:type="column"/>
      </w:r>
      <w:r>
        <w:rPr>
          <w:rFonts w:ascii="宋体" w:hAnsi="宋体" w:cs="宋体" w:eastAsia="宋体" w:hint="default"/>
          <w:spacing w:val="-3"/>
          <w:sz w:val="15"/>
          <w:szCs w:val="15"/>
        </w:rPr>
        <w:t>编号为〔</w:t>
      </w:r>
      <w:r>
        <w:rPr>
          <w:rFonts w:ascii="Arial" w:hAnsi="Arial" w:cs="Arial" w:eastAsia="Arial" w:hint="default"/>
          <w:spacing w:val="-3"/>
          <w:sz w:val="15"/>
          <w:szCs w:val="15"/>
        </w:rPr>
        <w:t>2013</w:t>
      </w:r>
      <w:r>
        <w:rPr>
          <w:rFonts w:ascii="宋体" w:hAnsi="宋体" w:cs="宋体" w:eastAsia="宋体" w:hint="default"/>
          <w:spacing w:val="-3"/>
          <w:sz w:val="15"/>
          <w:szCs w:val="15"/>
        </w:rPr>
        <w:t>〕绥商初字第 </w:t>
      </w:r>
      <w:r>
        <w:rPr>
          <w:rFonts w:ascii="Arial" w:hAnsi="Arial" w:cs="Arial" w:eastAsia="Arial" w:hint="default"/>
          <w:sz w:val="15"/>
          <w:szCs w:val="15"/>
        </w:rPr>
        <w:t>132</w:t>
      </w:r>
      <w:r>
        <w:rPr>
          <w:rFonts w:ascii="Arial" w:hAnsi="Arial" w:cs="Arial" w:eastAsia="Arial" w:hint="default"/>
          <w:spacing w:val="-17"/>
          <w:sz w:val="15"/>
          <w:szCs w:val="15"/>
        </w:rPr>
        <w:t> </w:t>
      </w:r>
      <w:r>
        <w:rPr>
          <w:rFonts w:ascii="宋体" w:hAnsi="宋体" w:cs="宋体" w:eastAsia="宋体" w:hint="default"/>
          <w:spacing w:val="-3"/>
          <w:sz w:val="15"/>
          <w:szCs w:val="15"/>
        </w:rPr>
        <w:t>号</w:t>
      </w:r>
      <w:r>
        <w:rPr>
          <w:rFonts w:ascii="宋体" w:hAnsi="宋体" w:cs="宋体" w:eastAsia="宋体" w:hint="default"/>
          <w:sz w:val="15"/>
          <w:szCs w:val="15"/>
        </w:rPr>
      </w:r>
    </w:p>
    <w:p>
      <w:pPr>
        <w:spacing w:line="130" w:lineRule="exact" w:before="0"/>
        <w:ind w:left="89" w:right="0" w:firstLine="0"/>
        <w:jc w:val="left"/>
        <w:rPr>
          <w:rFonts w:ascii="宋体" w:hAnsi="宋体" w:cs="宋体" w:eastAsia="宋体" w:hint="default"/>
          <w:sz w:val="15"/>
          <w:szCs w:val="15"/>
        </w:rPr>
      </w:pPr>
      <w:r>
        <w:rPr>
          <w:spacing w:val="-4"/>
        </w:rPr>
        <w:br w:type="column"/>
      </w:r>
      <w:r>
        <w:rPr>
          <w:rFonts w:ascii="宋体" w:hAnsi="宋体" w:cs="宋体" w:eastAsia="宋体" w:hint="default"/>
          <w:spacing w:val="-4"/>
          <w:sz w:val="15"/>
          <w:szCs w:val="15"/>
        </w:rPr>
        <w:t>林省白城市洮北区青山镇黎明村房屋（所有</w:t>
      </w:r>
      <w:r>
        <w:rPr>
          <w:rFonts w:ascii="宋体" w:hAnsi="宋体" w:cs="宋体" w:eastAsia="宋体" w:hint="default"/>
          <w:spacing w:val="15"/>
          <w:sz w:val="15"/>
          <w:szCs w:val="15"/>
        </w:rPr>
        <w:t> </w:t>
      </w:r>
      <w:r>
        <w:rPr>
          <w:rFonts w:ascii="宋体" w:hAnsi="宋体" w:cs="宋体" w:eastAsia="宋体" w:hint="default"/>
          <w:spacing w:val="-4"/>
          <w:position w:val="-9"/>
          <w:sz w:val="15"/>
          <w:szCs w:val="15"/>
        </w:rPr>
        <w:t>拍卖，目前已达成房产</w:t>
      </w:r>
      <w:r>
        <w:rPr>
          <w:rFonts w:ascii="宋体" w:hAnsi="宋体" w:cs="宋体" w:eastAsia="宋体" w:hint="default"/>
          <w:spacing w:val="-4"/>
          <w:sz w:val="15"/>
          <w:szCs w:val="15"/>
        </w:rPr>
      </w:r>
    </w:p>
    <w:p>
      <w:pPr>
        <w:spacing w:line="158" w:lineRule="auto" w:before="9"/>
        <w:ind w:left="89" w:right="150" w:firstLine="0"/>
        <w:jc w:val="left"/>
        <w:rPr>
          <w:rFonts w:ascii="宋体" w:hAnsi="宋体" w:cs="宋体" w:eastAsia="宋体" w:hint="default"/>
          <w:sz w:val="15"/>
          <w:szCs w:val="15"/>
        </w:rPr>
      </w:pPr>
      <w:r>
        <w:rPr>
          <w:rFonts w:ascii="宋体" w:hAnsi="宋体" w:cs="宋体" w:eastAsia="宋体" w:hint="default"/>
          <w:sz w:val="15"/>
          <w:szCs w:val="15"/>
        </w:rPr>
        <w:t>权证号：吉房权证白字第 </w:t>
      </w:r>
      <w:r>
        <w:rPr>
          <w:rFonts w:ascii="Arial" w:hAnsi="Arial" w:cs="Arial" w:eastAsia="Arial" w:hint="default"/>
          <w:sz w:val="15"/>
          <w:szCs w:val="15"/>
        </w:rPr>
        <w:t>201208856 </w:t>
      </w:r>
      <w:r>
        <w:rPr>
          <w:rFonts w:ascii="宋体" w:hAnsi="宋体" w:cs="宋体" w:eastAsia="宋体" w:hint="default"/>
          <w:sz w:val="15"/>
          <w:szCs w:val="15"/>
        </w:rPr>
        <w:t>号，</w:t>
      </w:r>
      <w:r>
        <w:rPr>
          <w:rFonts w:ascii="宋体" w:hAnsi="宋体" w:cs="宋体" w:eastAsia="宋体" w:hint="default"/>
          <w:spacing w:val="-28"/>
          <w:sz w:val="15"/>
          <w:szCs w:val="15"/>
        </w:rPr>
        <w:t> </w:t>
      </w:r>
      <w:r>
        <w:rPr>
          <w:rFonts w:ascii="宋体" w:hAnsi="宋体" w:cs="宋体" w:eastAsia="宋体" w:hint="default"/>
          <w:spacing w:val="-4"/>
          <w:position w:val="-9"/>
          <w:sz w:val="15"/>
          <w:szCs w:val="15"/>
        </w:rPr>
        <w:t>抵债意向，与法院协商</w:t>
      </w:r>
      <w:r>
        <w:rPr>
          <w:rFonts w:ascii="宋体" w:hAnsi="宋体" w:cs="宋体" w:eastAsia="宋体" w:hint="default"/>
          <w:w w:val="100"/>
          <w:position w:val="-9"/>
          <w:sz w:val="15"/>
          <w:szCs w:val="15"/>
        </w:rPr>
        <w:t> </w:t>
      </w:r>
      <w:r>
        <w:rPr>
          <w:rFonts w:ascii="宋体" w:hAnsi="宋体" w:cs="宋体" w:eastAsia="宋体" w:hint="default"/>
          <w:sz w:val="15"/>
          <w:szCs w:val="15"/>
        </w:rPr>
        <w:t>建筑面积</w:t>
      </w:r>
      <w:r>
        <w:rPr>
          <w:rFonts w:ascii="宋体" w:hAnsi="宋体" w:cs="宋体" w:eastAsia="宋体" w:hint="default"/>
          <w:spacing w:val="-40"/>
          <w:sz w:val="15"/>
          <w:szCs w:val="15"/>
        </w:rPr>
        <w:t> </w:t>
      </w:r>
      <w:r>
        <w:rPr>
          <w:rFonts w:ascii="Arial" w:hAnsi="Arial" w:cs="Arial" w:eastAsia="Arial" w:hint="default"/>
          <w:sz w:val="15"/>
          <w:szCs w:val="15"/>
        </w:rPr>
        <w:t>601.65</w:t>
      </w:r>
      <w:r>
        <w:rPr>
          <w:rFonts w:ascii="Arial" w:hAnsi="Arial" w:cs="Arial" w:eastAsia="Arial" w:hint="default"/>
          <w:spacing w:val="-5"/>
          <w:sz w:val="15"/>
          <w:szCs w:val="15"/>
        </w:rPr>
        <w:t> </w:t>
      </w:r>
      <w:r>
        <w:rPr>
          <w:rFonts w:ascii="宋体" w:hAnsi="宋体" w:cs="宋体" w:eastAsia="宋体" w:hint="default"/>
          <w:sz w:val="15"/>
          <w:szCs w:val="15"/>
        </w:rPr>
        <w:t>平方米）作为抵押财产为</w:t>
      </w:r>
    </w:p>
    <w:p>
      <w:pPr>
        <w:spacing w:after="0" w:line="158" w:lineRule="auto"/>
        <w:jc w:val="left"/>
        <w:rPr>
          <w:rFonts w:ascii="宋体" w:hAnsi="宋体" w:cs="宋体" w:eastAsia="宋体" w:hint="default"/>
          <w:sz w:val="15"/>
          <w:szCs w:val="15"/>
        </w:rPr>
        <w:sectPr>
          <w:type w:val="continuous"/>
          <w:pgSz w:w="16840" w:h="11910" w:orient="landscape"/>
          <w:pgMar w:top="1360" w:bottom="1380" w:left="1300" w:right="1360"/>
          <w:cols w:num="7" w:equalWidth="0">
            <w:col w:w="594" w:space="40"/>
            <w:col w:w="570" w:space="54"/>
            <w:col w:w="1237" w:space="157"/>
            <w:col w:w="2359" w:space="548"/>
            <w:col w:w="810" w:space="753"/>
            <w:col w:w="2433" w:space="40"/>
            <w:col w:w="4585"/>
          </w:cols>
        </w:sectPr>
      </w:pPr>
    </w:p>
    <w:p>
      <w:pPr>
        <w:spacing w:line="107" w:lineRule="exact" w:before="0"/>
        <w:ind w:left="0" w:right="0" w:firstLine="0"/>
        <w:jc w:val="right"/>
        <w:rPr>
          <w:rFonts w:ascii="宋体" w:hAnsi="宋体" w:cs="宋体" w:eastAsia="宋体" w:hint="default"/>
          <w:sz w:val="15"/>
          <w:szCs w:val="15"/>
        </w:rPr>
      </w:pPr>
      <w:r>
        <w:rPr>
          <w:rFonts w:ascii="Arial" w:hAnsi="Arial" w:cs="Arial" w:eastAsia="Arial" w:hint="default"/>
          <w:sz w:val="15"/>
          <w:szCs w:val="15"/>
        </w:rPr>
        <w:t>100</w:t>
      </w:r>
      <w:r>
        <w:rPr>
          <w:rFonts w:ascii="Arial" w:hAnsi="Arial" w:cs="Arial" w:eastAsia="Arial" w:hint="default"/>
          <w:spacing w:val="-5"/>
          <w:sz w:val="15"/>
          <w:szCs w:val="15"/>
        </w:rPr>
        <w:t> </w:t>
      </w:r>
      <w:r>
        <w:rPr>
          <w:rFonts w:ascii="宋体" w:hAnsi="宋体" w:cs="宋体" w:eastAsia="宋体" w:hint="default"/>
          <w:sz w:val="15"/>
          <w:szCs w:val="15"/>
        </w:rPr>
        <w:t>万元未冲帐）</w:t>
      </w:r>
    </w:p>
    <w:p>
      <w:pPr>
        <w:spacing w:line="194" w:lineRule="exact" w:before="0"/>
        <w:ind w:left="0" w:right="0" w:firstLine="0"/>
        <w:jc w:val="right"/>
        <w:rPr>
          <w:rFonts w:ascii="宋体" w:hAnsi="宋体" w:cs="宋体" w:eastAsia="宋体" w:hint="default"/>
          <w:sz w:val="15"/>
          <w:szCs w:val="15"/>
        </w:rPr>
      </w:pPr>
      <w:r>
        <w:rPr>
          <w:spacing w:val="-1"/>
        </w:rPr>
        <w:br w:type="column"/>
      </w:r>
      <w:r>
        <w:rPr>
          <w:rFonts w:ascii="宋体" w:hAnsi="宋体" w:cs="宋体" w:eastAsia="宋体" w:hint="default"/>
          <w:spacing w:val="-1"/>
          <w:sz w:val="15"/>
          <w:szCs w:val="15"/>
        </w:rPr>
        <w:t>上述债务提供担保。</w:t>
      </w:r>
    </w:p>
    <w:p>
      <w:pPr>
        <w:spacing w:line="95" w:lineRule="exact" w:before="0"/>
        <w:ind w:left="1463" w:right="0" w:firstLine="0"/>
        <w:jc w:val="left"/>
        <w:rPr>
          <w:rFonts w:ascii="宋体" w:hAnsi="宋体" w:cs="宋体" w:eastAsia="宋体" w:hint="default"/>
          <w:sz w:val="15"/>
          <w:szCs w:val="15"/>
        </w:rPr>
      </w:pPr>
      <w:r>
        <w:rPr>
          <w:spacing w:val="-4"/>
        </w:rPr>
        <w:br w:type="column"/>
      </w:r>
      <w:r>
        <w:rPr>
          <w:rFonts w:ascii="宋体" w:hAnsi="宋体" w:cs="宋体" w:eastAsia="宋体" w:hint="default"/>
          <w:spacing w:val="-4"/>
          <w:sz w:val="15"/>
          <w:szCs w:val="15"/>
        </w:rPr>
        <w:t>房产过户办理事宜，案</w:t>
      </w:r>
    </w:p>
    <w:p>
      <w:pPr>
        <w:spacing w:before="0"/>
        <w:ind w:left="1463" w:right="158" w:firstLine="0"/>
        <w:jc w:val="left"/>
        <w:rPr>
          <w:rFonts w:ascii="宋体" w:hAnsi="宋体" w:cs="宋体" w:eastAsia="宋体" w:hint="default"/>
          <w:sz w:val="15"/>
          <w:szCs w:val="15"/>
        </w:rPr>
      </w:pPr>
      <w:r>
        <w:rPr>
          <w:rFonts w:ascii="宋体" w:hAnsi="宋体" w:cs="宋体" w:eastAsia="宋体" w:hint="default"/>
          <w:spacing w:val="-4"/>
          <w:sz w:val="15"/>
          <w:szCs w:val="15"/>
        </w:rPr>
        <w:t>件现处于执行中，已执</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z w:val="15"/>
          <w:szCs w:val="15"/>
        </w:rPr>
        <w:t>行回款</w:t>
      </w:r>
      <w:r>
        <w:rPr>
          <w:rFonts w:ascii="宋体" w:hAnsi="宋体" w:cs="宋体" w:eastAsia="宋体" w:hint="default"/>
          <w:spacing w:val="-38"/>
          <w:sz w:val="15"/>
          <w:szCs w:val="15"/>
        </w:rPr>
        <w:t> </w:t>
      </w:r>
      <w:r>
        <w:rPr>
          <w:rFonts w:ascii="Arial" w:hAnsi="Arial" w:cs="Arial" w:eastAsia="Arial" w:hint="default"/>
          <w:sz w:val="15"/>
          <w:szCs w:val="15"/>
        </w:rPr>
        <w:t>10</w:t>
      </w:r>
      <w:r>
        <w:rPr>
          <w:rFonts w:ascii="Arial" w:hAnsi="Arial" w:cs="Arial" w:eastAsia="Arial" w:hint="default"/>
          <w:spacing w:val="-5"/>
          <w:sz w:val="15"/>
          <w:szCs w:val="15"/>
        </w:rPr>
        <w:t> </w:t>
      </w:r>
      <w:r>
        <w:rPr>
          <w:rFonts w:ascii="宋体" w:hAnsi="宋体" w:cs="宋体" w:eastAsia="宋体" w:hint="default"/>
          <w:sz w:val="15"/>
          <w:szCs w:val="15"/>
        </w:rPr>
        <w:t>万元。</w:t>
      </w:r>
    </w:p>
    <w:p>
      <w:pPr>
        <w:spacing w:after="0"/>
        <w:jc w:val="left"/>
        <w:rPr>
          <w:rFonts w:ascii="宋体" w:hAnsi="宋体" w:cs="宋体" w:eastAsia="宋体" w:hint="default"/>
          <w:sz w:val="15"/>
          <w:szCs w:val="15"/>
        </w:rPr>
        <w:sectPr>
          <w:type w:val="continuous"/>
          <w:pgSz w:w="16840" w:h="11910" w:orient="landscape"/>
          <w:pgMar w:top="1360" w:bottom="1380" w:left="1300" w:right="1360"/>
          <w:cols w:num="3" w:equalWidth="0">
            <w:col w:w="3983" w:space="2908"/>
            <w:col w:w="4146" w:space="40"/>
            <w:col w:w="3103"/>
          </w:cols>
        </w:sectPr>
      </w:pPr>
    </w:p>
    <w:p>
      <w:pPr>
        <w:spacing w:line="141" w:lineRule="exact" w:before="0"/>
        <w:ind w:left="140" w:right="-17" w:firstLine="0"/>
        <w:jc w:val="left"/>
        <w:rPr>
          <w:rFonts w:ascii="宋体" w:hAnsi="宋体" w:cs="宋体" w:eastAsia="宋体" w:hint="default"/>
          <w:sz w:val="15"/>
          <w:szCs w:val="15"/>
        </w:rPr>
      </w:pPr>
      <w:r>
        <w:rPr>
          <w:rFonts w:ascii="宋体" w:hAnsi="宋体" w:cs="宋体" w:eastAsia="宋体" w:hint="default"/>
          <w:sz w:val="15"/>
          <w:szCs w:val="15"/>
        </w:rPr>
        <w:t>北大荒</w:t>
      </w:r>
    </w:p>
    <w:p>
      <w:pPr>
        <w:spacing w:line="141" w:lineRule="exact" w:before="0"/>
        <w:ind w:left="116" w:right="-16" w:firstLine="0"/>
        <w:jc w:val="left"/>
        <w:rPr>
          <w:rFonts w:ascii="宋体" w:hAnsi="宋体" w:cs="宋体" w:eastAsia="宋体" w:hint="default"/>
          <w:sz w:val="15"/>
          <w:szCs w:val="15"/>
        </w:rPr>
      </w:pPr>
      <w:r>
        <w:rPr/>
        <w:br w:type="column"/>
      </w:r>
      <w:r>
        <w:rPr>
          <w:rFonts w:ascii="宋体" w:hAnsi="宋体" w:cs="宋体" w:eastAsia="宋体" w:hint="default"/>
          <w:sz w:val="15"/>
          <w:szCs w:val="15"/>
        </w:rPr>
        <w:t>东北建</w:t>
      </w:r>
    </w:p>
    <w:p>
      <w:pPr>
        <w:spacing w:line="141" w:lineRule="exact" w:before="0"/>
        <w:ind w:left="140" w:right="-11" w:firstLine="0"/>
        <w:jc w:val="left"/>
        <w:rPr>
          <w:rFonts w:ascii="宋体" w:hAnsi="宋体" w:cs="宋体" w:eastAsia="宋体" w:hint="default"/>
          <w:sz w:val="15"/>
          <w:szCs w:val="15"/>
        </w:rPr>
      </w:pPr>
      <w:r>
        <w:rPr/>
        <w:br w:type="column"/>
      </w:r>
      <w:r>
        <w:rPr>
          <w:rFonts w:ascii="Arial" w:hAnsi="Arial" w:cs="Arial" w:eastAsia="Arial" w:hint="default"/>
          <w:sz w:val="15"/>
          <w:szCs w:val="15"/>
        </w:rPr>
        <w:t>2012</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4</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1</w:t>
      </w:r>
      <w:r>
        <w:rPr>
          <w:rFonts w:ascii="Arial" w:hAnsi="Arial" w:cs="Arial" w:eastAsia="Arial" w:hint="default"/>
          <w:spacing w:val="-6"/>
          <w:sz w:val="15"/>
          <w:szCs w:val="15"/>
        </w:rPr>
        <w:t> </w:t>
      </w:r>
      <w:r>
        <w:rPr>
          <w:rFonts w:ascii="宋体" w:hAnsi="宋体" w:cs="宋体" w:eastAsia="宋体" w:hint="default"/>
          <w:sz w:val="15"/>
          <w:szCs w:val="15"/>
        </w:rPr>
        <w:t>日，公司与东北建</w:t>
      </w:r>
    </w:p>
    <w:p>
      <w:pPr>
        <w:spacing w:line="141" w:lineRule="exact" w:before="0"/>
        <w:ind w:left="140" w:right="0" w:firstLine="0"/>
        <w:jc w:val="left"/>
        <w:rPr>
          <w:rFonts w:ascii="宋体" w:hAnsi="宋体" w:cs="宋体" w:eastAsia="宋体" w:hint="default"/>
          <w:sz w:val="15"/>
          <w:szCs w:val="15"/>
        </w:rPr>
      </w:pPr>
      <w:r>
        <w:rPr>
          <w:spacing w:val="-4"/>
        </w:rPr>
        <w:br w:type="column"/>
      </w:r>
      <w:r>
        <w:rPr>
          <w:rFonts w:ascii="宋体" w:hAnsi="宋体" w:cs="宋体" w:eastAsia="宋体" w:hint="default"/>
          <w:spacing w:val="-4"/>
          <w:sz w:val="15"/>
          <w:szCs w:val="15"/>
        </w:rPr>
        <w:t>公司向法院起诉立案后，因东北建安 判决结果：被告东北建筑安装总公司给付公</w:t>
      </w:r>
      <w:r>
        <w:rPr>
          <w:rFonts w:ascii="宋体" w:hAnsi="宋体" w:cs="宋体" w:eastAsia="宋体" w:hint="default"/>
          <w:spacing w:val="26"/>
          <w:sz w:val="15"/>
          <w:szCs w:val="15"/>
        </w:rPr>
        <w:t> </w:t>
      </w:r>
      <w:r>
        <w:rPr>
          <w:rFonts w:ascii="宋体" w:hAnsi="宋体" w:cs="宋体" w:eastAsia="宋体" w:hint="default"/>
          <w:spacing w:val="-4"/>
          <w:sz w:val="15"/>
          <w:szCs w:val="15"/>
        </w:rPr>
        <w:t>判决生效后，二被告均</w:t>
      </w:r>
    </w:p>
    <w:p>
      <w:pPr>
        <w:spacing w:after="0" w:line="141" w:lineRule="exact"/>
        <w:jc w:val="left"/>
        <w:rPr>
          <w:rFonts w:ascii="宋体" w:hAnsi="宋体" w:cs="宋体" w:eastAsia="宋体" w:hint="default"/>
          <w:sz w:val="15"/>
          <w:szCs w:val="15"/>
        </w:rPr>
        <w:sectPr>
          <w:type w:val="continuous"/>
          <w:pgSz w:w="16840" w:h="11910" w:orient="landscape"/>
          <w:pgMar w:top="1360" w:bottom="1380" w:left="1300" w:right="1360"/>
          <w:cols w:num="4" w:equalWidth="0">
            <w:col w:w="594" w:space="40"/>
            <w:col w:w="570" w:space="1448"/>
            <w:col w:w="2332" w:space="2138"/>
            <w:col w:w="7058"/>
          </w:cols>
        </w:sectPr>
      </w:pPr>
    </w:p>
    <w:p>
      <w:pPr>
        <w:spacing w:before="53"/>
        <w:ind w:left="140" w:right="-17" w:firstLine="0"/>
        <w:jc w:val="left"/>
        <w:rPr>
          <w:rFonts w:ascii="宋体" w:hAnsi="宋体" w:cs="宋体" w:eastAsia="宋体" w:hint="default"/>
          <w:sz w:val="15"/>
          <w:szCs w:val="15"/>
        </w:rPr>
      </w:pPr>
      <w:r>
        <w:rPr/>
        <w:pict>
          <v:group style="position:absolute;margin-left:70.079987pt;margin-top:89.900009pt;width:697.55pt;height:424.4pt;mso-position-horizontal-relative:page;mso-position-vertical-relative:page;z-index:-944248" coordorigin="1402,1798" coordsize="13951,8488">
            <v:group style="position:absolute;left:6342;top:1858;width:1349;height:1179" coordorigin="6342,1858" coordsize="1349,1179">
              <v:shape style="position:absolute;left:6342;top:1858;width:1349;height:1179" coordorigin="6342,1858" coordsize="1349,1179" path="m6342,3036l7691,3036,7691,1858,6342,1858,6342,3036xe" filled="true" fillcolor="#ffffff" stroked="false">
                <v:path arrowok="t"/>
                <v:fill type="solid"/>
              </v:shape>
            </v:group>
            <v:group style="position:absolute;left:1411;top:1808;width:608;height:2" coordorigin="1411,1808" coordsize="608,2">
              <v:shape style="position:absolute;left:1411;top:1808;width:608;height:2" coordorigin="1411,1808" coordsize="608,0" path="m1411,1808l2019,1808e" filled="false" stroked="true" strokeweight=".96pt" strokecolor="#41b7ee">
                <v:path arrowok="t"/>
              </v:shape>
            </v:group>
            <v:group style="position:absolute;left:1411;top:1846;width:608;height:2" coordorigin="1411,1846" coordsize="608,2">
              <v:shape style="position:absolute;left:1411;top:1846;width:608;height:2" coordorigin="1411,1846" coordsize="608,0" path="m1411,1846l2019,1846e" filled="false" stroked="true" strokeweight=".96001pt" strokecolor="#41b7ee">
                <v:path arrowok="t"/>
              </v:shape>
            </v:group>
            <v:group style="position:absolute;left:2019;top:1808;width:58;height:2" coordorigin="2019,1808" coordsize="58,2">
              <v:shape style="position:absolute;left:2019;top:1808;width:58;height:2" coordorigin="2019,1808" coordsize="58,0" path="m2019,1808l2076,1808e" filled="false" stroked="true" strokeweight=".96pt" strokecolor="#41b7ee">
                <v:path arrowok="t"/>
              </v:shape>
            </v:group>
            <v:group style="position:absolute;left:2019;top:1846;width:58;height:2" coordorigin="2019,1846" coordsize="58,2">
              <v:shape style="position:absolute;left:2019;top:1846;width:58;height:2" coordorigin="2019,1846" coordsize="58,0" path="m2019,1846l2076,1846e" filled="false" stroked="true" strokeweight=".96001pt" strokecolor="#41b7ee">
                <v:path arrowok="t"/>
              </v:shape>
            </v:group>
            <v:group style="position:absolute;left:2076;top:1808;width:588;height:2" coordorigin="2076,1808" coordsize="588,2">
              <v:shape style="position:absolute;left:2076;top:1808;width:588;height:2" coordorigin="2076,1808" coordsize="588,0" path="m2076,1808l2664,1808e" filled="false" stroked="true" strokeweight=".96pt" strokecolor="#41b7ee">
                <v:path arrowok="t"/>
              </v:shape>
            </v:group>
            <v:group style="position:absolute;left:2076;top:1846;width:588;height:2" coordorigin="2076,1846" coordsize="588,2">
              <v:shape style="position:absolute;left:2076;top:1846;width:588;height:2" coordorigin="2076,1846" coordsize="588,0" path="m2076,1846l2664,1846e" filled="false" stroked="true" strokeweight=".96001pt" strokecolor="#41b7ee">
                <v:path arrowok="t"/>
              </v:shape>
            </v:group>
            <v:group style="position:absolute;left:2664;top:1808;width:58;height:2" coordorigin="2664,1808" coordsize="58,2">
              <v:shape style="position:absolute;left:2664;top:1808;width:58;height:2" coordorigin="2664,1808" coordsize="58,0" path="m2664,1808l2722,1808e" filled="false" stroked="true" strokeweight=".96pt" strokecolor="#41b7ee">
                <v:path arrowok="t"/>
              </v:shape>
            </v:group>
            <v:group style="position:absolute;left:2664;top:1846;width:58;height:2" coordorigin="2664,1846" coordsize="58,2">
              <v:shape style="position:absolute;left:2664;top:1846;width:58;height:2" coordorigin="2664,1846" coordsize="58,0" path="m2664,1846l2722,1846e" filled="false" stroked="true" strokeweight=".96001pt" strokecolor="#41b7ee">
                <v:path arrowok="t"/>
              </v:shape>
            </v:group>
            <v:group style="position:absolute;left:2722;top:1808;width:737;height:2" coordorigin="2722,1808" coordsize="737,2">
              <v:shape style="position:absolute;left:2722;top:1808;width:737;height:2" coordorigin="2722,1808" coordsize="737,0" path="m2722,1808l3459,1808e" filled="false" stroked="true" strokeweight=".96pt" strokecolor="#41b7ee">
                <v:path arrowok="t"/>
              </v:shape>
            </v:group>
            <v:group style="position:absolute;left:2722;top:1846;width:737;height:2" coordorigin="2722,1846" coordsize="737,2">
              <v:shape style="position:absolute;left:2722;top:1846;width:737;height:2" coordorigin="2722,1846" coordsize="737,0" path="m2722,1846l3459,1846e" filled="false" stroked="true" strokeweight=".96001pt" strokecolor="#41b7ee">
                <v:path arrowok="t"/>
              </v:shape>
            </v:group>
            <v:group style="position:absolute;left:3459;top:1808;width:58;height:2" coordorigin="3459,1808" coordsize="58,2">
              <v:shape style="position:absolute;left:3459;top:1808;width:58;height:2" coordorigin="3459,1808" coordsize="58,0" path="m3459,1808l3516,1808e" filled="false" stroked="true" strokeweight=".96pt" strokecolor="#41b7ee">
                <v:path arrowok="t"/>
              </v:shape>
            </v:group>
            <v:group style="position:absolute;left:3459;top:1846;width:58;height:2" coordorigin="3459,1846" coordsize="58,2">
              <v:shape style="position:absolute;left:3459;top:1846;width:58;height:2" coordorigin="3459,1846" coordsize="58,0" path="m3459,1846l3516,1846e" filled="false" stroked="true" strokeweight=".96001pt" strokecolor="#41b7ee">
                <v:path arrowok="t"/>
              </v:shape>
            </v:group>
            <v:group style="position:absolute;left:3516;top:1808;width:543;height:2" coordorigin="3516,1808" coordsize="543,2">
              <v:shape style="position:absolute;left:3516;top:1808;width:543;height:2" coordorigin="3516,1808" coordsize="543,0" path="m3516,1808l4059,1808e" filled="false" stroked="true" strokeweight=".96pt" strokecolor="#41b7ee">
                <v:path arrowok="t"/>
              </v:shape>
            </v:group>
            <v:group style="position:absolute;left:3516;top:1846;width:543;height:2" coordorigin="3516,1846" coordsize="543,2">
              <v:shape style="position:absolute;left:3516;top:1846;width:543;height:2" coordorigin="3516,1846" coordsize="543,0" path="m3516,1846l4059,1846e" filled="false" stroked="true" strokeweight=".96001pt" strokecolor="#41b7ee">
                <v:path arrowok="t"/>
              </v:shape>
            </v:group>
            <v:group style="position:absolute;left:4059;top:1808;width:58;height:2" coordorigin="4059,1808" coordsize="58,2">
              <v:shape style="position:absolute;left:4059;top:1808;width:58;height:2" coordorigin="4059,1808" coordsize="58,0" path="m4059,1808l4116,1808e" filled="false" stroked="true" strokeweight=".96pt" strokecolor="#41b7ee">
                <v:path arrowok="t"/>
              </v:shape>
            </v:group>
            <v:group style="position:absolute;left:4059;top:1846;width:58;height:2" coordorigin="4059,1846" coordsize="58,2">
              <v:shape style="position:absolute;left:4059;top:1846;width:58;height:2" coordorigin="4059,1846" coordsize="58,0" path="m4059,1846l4116,1846e" filled="false" stroked="true" strokeweight=".96001pt" strokecolor="#41b7ee">
                <v:path arrowok="t"/>
              </v:shape>
            </v:group>
            <v:group style="position:absolute;left:4116;top:1808;width:2216;height:2" coordorigin="4116,1808" coordsize="2216,2">
              <v:shape style="position:absolute;left:4116;top:1808;width:2216;height:2" coordorigin="4116,1808" coordsize="2216,0" path="m4116,1808l6332,1808e" filled="false" stroked="true" strokeweight=".96pt" strokecolor="#41b7ee">
                <v:path arrowok="t"/>
              </v:shape>
            </v:group>
            <v:group style="position:absolute;left:4116;top:1846;width:2216;height:2" coordorigin="4116,1846" coordsize="2216,2">
              <v:shape style="position:absolute;left:4116;top:1846;width:2216;height:2" coordorigin="4116,1846" coordsize="2216,0" path="m4116,1846l6332,1846e" filled="false" stroked="true" strokeweight=".96001pt" strokecolor="#41b7ee">
                <v:path arrowok="t"/>
              </v:shape>
            </v:group>
            <v:group style="position:absolute;left:6332;top:1808;width:58;height:2" coordorigin="6332,1808" coordsize="58,2">
              <v:shape style="position:absolute;left:6332;top:1808;width:58;height:2" coordorigin="6332,1808" coordsize="58,0" path="m6332,1808l6390,1808e" filled="false" stroked="true" strokeweight=".96pt" strokecolor="#41b7ee">
                <v:path arrowok="t"/>
              </v:shape>
            </v:group>
            <v:group style="position:absolute;left:6332;top:1846;width:58;height:2" coordorigin="6332,1846" coordsize="58,2">
              <v:shape style="position:absolute;left:6332;top:1846;width:58;height:2" coordorigin="6332,1846" coordsize="58,0" path="m6332,1846l6390,1846e" filled="false" stroked="true" strokeweight=".96001pt" strokecolor="#41b7ee">
                <v:path arrowok="t"/>
              </v:shape>
            </v:group>
            <v:group style="position:absolute;left:6390;top:1808;width:1301;height:2" coordorigin="6390,1808" coordsize="1301,2">
              <v:shape style="position:absolute;left:6390;top:1808;width:1301;height:2" coordorigin="6390,1808" coordsize="1301,0" path="m6390,1808l7691,1808e" filled="false" stroked="true" strokeweight=".96pt" strokecolor="#41b7ee">
                <v:path arrowok="t"/>
              </v:shape>
            </v:group>
            <v:group style="position:absolute;left:6390;top:1846;width:1301;height:2" coordorigin="6390,1846" coordsize="1301,2">
              <v:shape style="position:absolute;left:6390;top:1846;width:1301;height:2" coordorigin="6390,1846" coordsize="1301,0" path="m6390,1846l7691,1846e" filled="false" stroked="true" strokeweight=".96001pt" strokecolor="#41b7ee">
                <v:path arrowok="t"/>
              </v:shape>
            </v:group>
            <v:group style="position:absolute;left:7691;top:1808;width:58;height:2" coordorigin="7691,1808" coordsize="58,2">
              <v:shape style="position:absolute;left:7691;top:1808;width:58;height:2" coordorigin="7691,1808" coordsize="58,0" path="m7691,1808l7748,1808e" filled="false" stroked="true" strokeweight=".96pt" strokecolor="#41b7ee">
                <v:path arrowok="t"/>
              </v:shape>
            </v:group>
            <v:group style="position:absolute;left:7691;top:1846;width:58;height:2" coordorigin="7691,1846" coordsize="58,2">
              <v:shape style="position:absolute;left:7691;top:1846;width:58;height:2" coordorigin="7691,1846" coordsize="58,0" path="m7691,1846l7748,1846e" filled="false" stroked="true" strokeweight=".96001pt" strokecolor="#41b7ee">
                <v:path arrowok="t"/>
              </v:shape>
            </v:group>
            <v:group style="position:absolute;left:7748;top:1808;width:780;height:2" coordorigin="7748,1808" coordsize="780,2">
              <v:shape style="position:absolute;left:7748;top:1808;width:780;height:2" coordorigin="7748,1808" coordsize="780,0" path="m7748,1808l8528,1808e" filled="false" stroked="true" strokeweight=".96pt" strokecolor="#41b7ee">
                <v:path arrowok="t"/>
              </v:shape>
            </v:group>
            <v:group style="position:absolute;left:7748;top:1846;width:780;height:2" coordorigin="7748,1846" coordsize="780,2">
              <v:shape style="position:absolute;left:7748;top:1846;width:780;height:2" coordorigin="7748,1846" coordsize="780,0" path="m7748,1846l8528,1846e" filled="false" stroked="true" strokeweight=".96001pt" strokecolor="#41b7ee">
                <v:path arrowok="t"/>
              </v:shape>
            </v:group>
            <v:group style="position:absolute;left:8528;top:1808;width:58;height:2" coordorigin="8528,1808" coordsize="58,2">
              <v:shape style="position:absolute;left:8528;top:1808;width:58;height:2" coordorigin="8528,1808" coordsize="58,0" path="m8528,1808l8586,1808e" filled="false" stroked="true" strokeweight=".96pt" strokecolor="#41b7ee">
                <v:path arrowok="t"/>
              </v:shape>
            </v:group>
            <v:group style="position:absolute;left:8528;top:1846;width:58;height:2" coordorigin="8528,1846" coordsize="58,2">
              <v:shape style="position:absolute;left:8528;top:1846;width:58;height:2" coordorigin="8528,1846" coordsize="58,0" path="m8528,1846l8586,1846e" filled="false" stroked="true" strokeweight=".96001pt" strokecolor="#41b7ee">
                <v:path arrowok="t"/>
              </v:shape>
            </v:group>
            <v:group style="position:absolute;left:8586;top:1808;width:2365;height:2" coordorigin="8586,1808" coordsize="2365,2">
              <v:shape style="position:absolute;left:8586;top:1808;width:2365;height:2" coordorigin="8586,1808" coordsize="2365,0" path="m8586,1808l10950,1808e" filled="false" stroked="true" strokeweight=".96pt" strokecolor="#41b7ee">
                <v:path arrowok="t"/>
              </v:shape>
            </v:group>
            <v:group style="position:absolute;left:8586;top:1846;width:2365;height:2" coordorigin="8586,1846" coordsize="2365,2">
              <v:shape style="position:absolute;left:8586;top:1846;width:2365;height:2" coordorigin="8586,1846" coordsize="2365,0" path="m8586,1846l10950,1846e" filled="false" stroked="true" strokeweight=".96001pt" strokecolor="#41b7ee">
                <v:path arrowok="t"/>
              </v:shape>
            </v:group>
            <v:group style="position:absolute;left:10950;top:1808;width:58;height:2" coordorigin="10950,1808" coordsize="58,2">
              <v:shape style="position:absolute;left:10950;top:1808;width:58;height:2" coordorigin="10950,1808" coordsize="58,0" path="m10950,1808l11008,1808e" filled="false" stroked="true" strokeweight=".96pt" strokecolor="#41b7ee">
                <v:path arrowok="t"/>
              </v:shape>
            </v:group>
            <v:group style="position:absolute;left:10950;top:1846;width:58;height:2" coordorigin="10950,1846" coordsize="58,2">
              <v:shape style="position:absolute;left:10950;top:1846;width:58;height:2" coordorigin="10950,1846" coordsize="58,0" path="m10950,1846l11008,1846e" filled="false" stroked="true" strokeweight=".96001pt" strokecolor="#41b7ee">
                <v:path arrowok="t"/>
              </v:shape>
            </v:group>
            <v:group style="position:absolute;left:13830;top:1858;width:2;height:2528" coordorigin="13830,1858" coordsize="2,2528">
              <v:shape style="position:absolute;left:13830;top:1858;width:2;height:2528" coordorigin="13830,1858" coordsize="0,2528" path="m13830,1858l13830,4386e" filled="false" stroked="true" strokeweight="1.08pt" strokecolor="#ffffff">
                <v:path arrowok="t"/>
              </v:shape>
            </v:group>
            <v:group style="position:absolute;left:13840;top:3219;width:1474;height:195" coordorigin="13840,3219" coordsize="1474,195">
              <v:shape style="position:absolute;left:13840;top:3219;width:1474;height:195" coordorigin="13840,3219" coordsize="1474,195" path="m13840,3413l15314,3413,15314,3219,13840,3219,13840,3413xe" filled="true" fillcolor="#ffffff" stroked="false">
                <v:path arrowok="t"/>
                <v:fill type="solid"/>
              </v:shape>
            </v:group>
            <v:group style="position:absolute;left:11008;top:1808;width:2802;height:2" coordorigin="11008,1808" coordsize="2802,2">
              <v:shape style="position:absolute;left:11008;top:1808;width:2802;height:2" coordorigin="11008,1808" coordsize="2802,0" path="m11008,1808l13809,1808e" filled="false" stroked="true" strokeweight=".96pt" strokecolor="#41b7ee">
                <v:path arrowok="t"/>
              </v:shape>
            </v:group>
            <v:group style="position:absolute;left:11008;top:1846;width:2802;height:2" coordorigin="11008,1846" coordsize="2802,2">
              <v:shape style="position:absolute;left:11008;top:1846;width:2802;height:2" coordorigin="11008,1846" coordsize="2802,0" path="m11008,1846l13809,1846e" filled="false" stroked="true" strokeweight=".96001pt" strokecolor="#41b7ee">
                <v:path arrowok="t"/>
              </v:shape>
            </v:group>
            <v:group style="position:absolute;left:13809;top:1808;width:58;height:2" coordorigin="13809,1808" coordsize="58,2">
              <v:shape style="position:absolute;left:13809;top:1808;width:58;height:2" coordorigin="13809,1808" coordsize="58,0" path="m13809,1808l13867,1808e" filled="false" stroked="true" strokeweight=".96pt" strokecolor="#41b7ee">
                <v:path arrowok="t"/>
              </v:shape>
            </v:group>
            <v:group style="position:absolute;left:13809;top:1846;width:58;height:2" coordorigin="13809,1846" coordsize="58,2">
              <v:shape style="position:absolute;left:13809;top:1846;width:58;height:2" coordorigin="13809,1846" coordsize="58,0" path="m13809,1846l13867,1846e" filled="false" stroked="true" strokeweight=".96001pt" strokecolor="#41b7ee">
                <v:path arrowok="t"/>
              </v:shape>
            </v:group>
            <v:group style="position:absolute;left:13867;top:1808;width:1476;height:2" coordorigin="13867,1808" coordsize="1476,2">
              <v:shape style="position:absolute;left:13867;top:1808;width:1476;height:2" coordorigin="13867,1808" coordsize="1476,0" path="m13867,1808l15343,1808e" filled="false" stroked="true" strokeweight=".96pt" strokecolor="#41b7ee">
                <v:path arrowok="t"/>
              </v:shape>
            </v:group>
            <v:group style="position:absolute;left:13867;top:1846;width:1476;height:2" coordorigin="13867,1846" coordsize="1476,2">
              <v:shape style="position:absolute;left:13867;top:1846;width:1476;height:2" coordorigin="13867,1846" coordsize="1476,0" path="m13867,1846l15343,1846e" filled="false" stroked="true" strokeweight=".96001pt" strokecolor="#41b7ee">
                <v:path arrowok="t"/>
              </v:shape>
            </v:group>
            <v:group style="position:absolute;left:1411;top:4391;width:608;height:2" coordorigin="1411,4391" coordsize="608,2">
              <v:shape style="position:absolute;left:1411;top:4391;width:608;height:2" coordorigin="1411,4391" coordsize="608,0" path="m1411,4391l2019,4391e" filled="false" stroked="true" strokeweight=".48001pt" strokecolor="#41b7ee">
                <v:path arrowok="t"/>
              </v:shape>
            </v:group>
            <v:group style="position:absolute;left:2028;top:4391;width:636;height:2" coordorigin="2028,4391" coordsize="636,2">
              <v:shape style="position:absolute;left:2028;top:4391;width:636;height:2" coordorigin="2028,4391" coordsize="636,0" path="m2028,4391l2664,4391e" filled="false" stroked="true" strokeweight=".48001pt" strokecolor="#41b7ee">
                <v:path arrowok="t"/>
              </v:shape>
            </v:group>
            <v:group style="position:absolute;left:2674;top:4391;width:785;height:2" coordorigin="2674,4391" coordsize="785,2">
              <v:shape style="position:absolute;left:2674;top:4391;width:785;height:2" coordorigin="2674,4391" coordsize="785,0" path="m2674,4391l3459,4391e" filled="false" stroked="true" strokeweight=".48001pt" strokecolor="#41b7ee">
                <v:path arrowok="t"/>
              </v:shape>
            </v:group>
            <v:group style="position:absolute;left:3468;top:4391;width:591;height:2" coordorigin="3468,4391" coordsize="591,2">
              <v:shape style="position:absolute;left:3468;top:4391;width:591;height:2" coordorigin="3468,4391" coordsize="591,0" path="m3468,4391l4059,4391e" filled="false" stroked="true" strokeweight=".48001pt" strokecolor="#41b7ee">
                <v:path arrowok="t"/>
              </v:shape>
            </v:group>
            <v:group style="position:absolute;left:4068;top:4391;width:2264;height:2" coordorigin="4068,4391" coordsize="2264,2">
              <v:shape style="position:absolute;left:4068;top:4391;width:2264;height:2" coordorigin="4068,4391" coordsize="2264,0" path="m4068,4391l6332,4391e" filled="false" stroked="true" strokeweight=".48001pt" strokecolor="#41b7ee">
                <v:path arrowok="t"/>
              </v:shape>
            </v:group>
            <v:group style="position:absolute;left:6342;top:4391;width:1349;height:2" coordorigin="6342,4391" coordsize="1349,2">
              <v:shape style="position:absolute;left:6342;top:4391;width:1349;height:2" coordorigin="6342,4391" coordsize="1349,0" path="m6342,4391l7691,4391e" filled="false" stroked="true" strokeweight=".48001pt" strokecolor="#41b7ee">
                <v:path arrowok="t"/>
              </v:shape>
            </v:group>
            <v:group style="position:absolute;left:7700;top:4391;width:828;height:2" coordorigin="7700,4391" coordsize="828,2">
              <v:shape style="position:absolute;left:7700;top:4391;width:828;height:2" coordorigin="7700,4391" coordsize="828,0" path="m7700,4391l8528,4391e" filled="false" stroked="true" strokeweight=".48001pt" strokecolor="#41b7ee">
                <v:path arrowok="t"/>
              </v:shape>
            </v:group>
            <v:group style="position:absolute;left:8538;top:4391;width:2413;height:2" coordorigin="8538,4391" coordsize="2413,2">
              <v:shape style="position:absolute;left:8538;top:4391;width:2413;height:2" coordorigin="8538,4391" coordsize="2413,0" path="m8538,4391l10950,4391e" filled="false" stroked="true" strokeweight=".48001pt" strokecolor="#41b7ee">
                <v:path arrowok="t"/>
              </v:shape>
            </v:group>
            <v:group style="position:absolute;left:10960;top:4391;width:2850;height:2" coordorigin="10960,4391" coordsize="2850,2">
              <v:shape style="position:absolute;left:10960;top:4391;width:2850;height:2" coordorigin="10960,4391" coordsize="2850,0" path="m10960,4391l13809,4391e" filled="false" stroked="true" strokeweight=".48001pt" strokecolor="#41b7ee">
                <v:path arrowok="t"/>
              </v:shape>
            </v:group>
            <v:group style="position:absolute;left:13819;top:4391;width:1524;height:2" coordorigin="13819,4391" coordsize="1524,2">
              <v:shape style="position:absolute;left:13819;top:4391;width:1524;height:2" coordorigin="13819,4391" coordsize="1524,0" path="m13819,4391l15343,4391e" filled="false" stroked="true" strokeweight=".48001pt" strokecolor="#41b7ee">
                <v:path arrowok="t"/>
              </v:shape>
            </v:group>
            <v:group style="position:absolute;left:1411;top:5763;width:608;height:2" coordorigin="1411,5763" coordsize="608,2">
              <v:shape style="position:absolute;left:1411;top:5763;width:608;height:2" coordorigin="1411,5763" coordsize="608,0" path="m1411,5763l2019,5763e" filled="false" stroked="true" strokeweight=".47998pt" strokecolor="#41b7ee">
                <v:path arrowok="t"/>
              </v:shape>
            </v:group>
            <v:group style="position:absolute;left:2028;top:5763;width:636;height:2" coordorigin="2028,5763" coordsize="636,2">
              <v:shape style="position:absolute;left:2028;top:5763;width:636;height:2" coordorigin="2028,5763" coordsize="636,0" path="m2028,5763l2664,5763e" filled="false" stroked="true" strokeweight=".47998pt" strokecolor="#41b7ee">
                <v:path arrowok="t"/>
              </v:shape>
            </v:group>
            <v:group style="position:absolute;left:2674;top:5763;width:785;height:2" coordorigin="2674,5763" coordsize="785,2">
              <v:shape style="position:absolute;left:2674;top:5763;width:785;height:2" coordorigin="2674,5763" coordsize="785,0" path="m2674,5763l3459,5763e" filled="false" stroked="true" strokeweight=".47998pt" strokecolor="#41b7ee">
                <v:path arrowok="t"/>
              </v:shape>
            </v:group>
            <v:group style="position:absolute;left:3468;top:5763;width:591;height:2" coordorigin="3468,5763" coordsize="591,2">
              <v:shape style="position:absolute;left:3468;top:5763;width:591;height:2" coordorigin="3468,5763" coordsize="591,0" path="m3468,5763l4059,5763e" filled="false" stroked="true" strokeweight=".47998pt" strokecolor="#41b7ee">
                <v:path arrowok="t"/>
              </v:shape>
            </v:group>
            <v:group style="position:absolute;left:4068;top:5763;width:2264;height:2" coordorigin="4068,5763" coordsize="2264,2">
              <v:shape style="position:absolute;left:4068;top:5763;width:2264;height:2" coordorigin="4068,5763" coordsize="2264,0" path="m4068,5763l6332,5763e" filled="false" stroked="true" strokeweight=".47998pt" strokecolor="#41b7ee">
                <v:path arrowok="t"/>
              </v:shape>
            </v:group>
            <v:group style="position:absolute;left:6342;top:5763;width:1349;height:2" coordorigin="6342,5763" coordsize="1349,2">
              <v:shape style="position:absolute;left:6342;top:5763;width:1349;height:2" coordorigin="6342,5763" coordsize="1349,0" path="m6342,5763l7691,5763e" filled="false" stroked="true" strokeweight=".47998pt" strokecolor="#41b7ee">
                <v:path arrowok="t"/>
              </v:shape>
            </v:group>
            <v:group style="position:absolute;left:7700;top:5763;width:828;height:2" coordorigin="7700,5763" coordsize="828,2">
              <v:shape style="position:absolute;left:7700;top:5763;width:828;height:2" coordorigin="7700,5763" coordsize="828,0" path="m7700,5763l8528,5763e" filled="false" stroked="true" strokeweight=".47998pt" strokecolor="#41b7ee">
                <v:path arrowok="t"/>
              </v:shape>
            </v:group>
            <v:group style="position:absolute;left:8538;top:5763;width:2413;height:2" coordorigin="8538,5763" coordsize="2413,2">
              <v:shape style="position:absolute;left:8538;top:5763;width:2413;height:2" coordorigin="8538,5763" coordsize="2413,0" path="m8538,5763l10950,5763e" filled="false" stroked="true" strokeweight=".47998pt" strokecolor="#41b7ee">
                <v:path arrowok="t"/>
              </v:shape>
            </v:group>
            <v:group style="position:absolute;left:10960;top:5763;width:2850;height:2" coordorigin="10960,5763" coordsize="2850,2">
              <v:shape style="position:absolute;left:10960;top:5763;width:2850;height:2" coordorigin="10960,5763" coordsize="2850,0" path="m10960,5763l13809,5763e" filled="false" stroked="true" strokeweight=".47998pt" strokecolor="#41b7ee">
                <v:path arrowok="t"/>
              </v:shape>
            </v:group>
            <v:group style="position:absolute;left:13819;top:5763;width:1524;height:2" coordorigin="13819,5763" coordsize="1524,2">
              <v:shape style="position:absolute;left:13819;top:5763;width:1524;height:2" coordorigin="13819,5763" coordsize="1524,0" path="m13819,5763l15343,5763e" filled="false" stroked="true" strokeweight=".47998pt" strokecolor="#41b7ee">
                <v:path arrowok="t"/>
              </v:shape>
            </v:group>
            <v:group style="position:absolute;left:6342;top:7919;width:1349;height:886" coordorigin="6342,7919" coordsize="1349,886">
              <v:shape style="position:absolute;left:6342;top:7919;width:1349;height:886" coordorigin="6342,7919" coordsize="1349,886" path="m6342,8805l7691,8805,7691,7919,6342,7919,6342,8805xe" filled="true" fillcolor="#ffffff" stroked="false">
                <v:path arrowok="t"/>
                <v:fill type="solid"/>
              </v:shape>
            </v:group>
            <v:group style="position:absolute;left:6353;top:8805;width:2;height:173" coordorigin="6353,8805" coordsize="2,173">
              <v:shape style="position:absolute;left:6353;top:8805;width:2;height:173" coordorigin="6353,8805" coordsize="0,173" path="m6353,8805l6353,8977e" filled="false" stroked="true" strokeweight="1.08pt" strokecolor="#ffffff">
                <v:path arrowok="t"/>
              </v:shape>
            </v:group>
            <v:group style="position:absolute;left:6363;top:8805;width:1306;height:173" coordorigin="6363,8805" coordsize="1306,173">
              <v:shape style="position:absolute;left:6363;top:8805;width:1306;height:173" coordorigin="6363,8805" coordsize="1306,173" path="m6363,8977l7669,8977,7669,8805,6363,8805,6363,8977xe" filled="true" fillcolor="#ffffff" stroked="false">
                <v:path arrowok="t"/>
                <v:fill type="solid"/>
              </v:shape>
            </v:group>
            <v:group style="position:absolute;left:1411;top:7914;width:608;height:2" coordorigin="1411,7914" coordsize="608,2">
              <v:shape style="position:absolute;left:1411;top:7914;width:608;height:2" coordorigin="1411,7914" coordsize="608,0" path="m1411,7914l2019,7914e" filled="false" stroked="true" strokeweight=".47998pt" strokecolor="#41b7ee">
                <v:path arrowok="t"/>
              </v:shape>
            </v:group>
            <v:group style="position:absolute;left:2028;top:7914;width:636;height:2" coordorigin="2028,7914" coordsize="636,2">
              <v:shape style="position:absolute;left:2028;top:7914;width:636;height:2" coordorigin="2028,7914" coordsize="636,0" path="m2028,7914l2664,7914e" filled="false" stroked="true" strokeweight=".47998pt" strokecolor="#41b7ee">
                <v:path arrowok="t"/>
              </v:shape>
            </v:group>
            <v:group style="position:absolute;left:2674;top:7914;width:785;height:2" coordorigin="2674,7914" coordsize="785,2">
              <v:shape style="position:absolute;left:2674;top:7914;width:785;height:2" coordorigin="2674,7914" coordsize="785,0" path="m2674,7914l3459,7914e" filled="false" stroked="true" strokeweight=".47998pt" strokecolor="#41b7ee">
                <v:path arrowok="t"/>
              </v:shape>
            </v:group>
            <v:group style="position:absolute;left:3468;top:7914;width:591;height:2" coordorigin="3468,7914" coordsize="591,2">
              <v:shape style="position:absolute;left:3468;top:7914;width:591;height:2" coordorigin="3468,7914" coordsize="591,0" path="m3468,7914l4059,7914e" filled="false" stroked="true" strokeweight=".47998pt" strokecolor="#41b7ee">
                <v:path arrowok="t"/>
              </v:shape>
            </v:group>
            <v:group style="position:absolute;left:4068;top:7914;width:2264;height:2" coordorigin="4068,7914" coordsize="2264,2">
              <v:shape style="position:absolute;left:4068;top:7914;width:2264;height:2" coordorigin="4068,7914" coordsize="2264,0" path="m4068,7914l6332,7914e" filled="false" stroked="true" strokeweight=".47998pt" strokecolor="#41b7ee">
                <v:path arrowok="t"/>
              </v:shape>
            </v:group>
            <v:group style="position:absolute;left:6342;top:7914;width:1349;height:2" coordorigin="6342,7914" coordsize="1349,2">
              <v:shape style="position:absolute;left:6342;top:7914;width:1349;height:2" coordorigin="6342,7914" coordsize="1349,0" path="m6342,7914l7691,7914e" filled="false" stroked="true" strokeweight=".47998pt" strokecolor="#41b7ee">
                <v:path arrowok="t"/>
              </v:shape>
            </v:group>
            <v:group style="position:absolute;left:7700;top:7914;width:828;height:2" coordorigin="7700,7914" coordsize="828,2">
              <v:shape style="position:absolute;left:7700;top:7914;width:828;height:2" coordorigin="7700,7914" coordsize="828,0" path="m7700,7914l8528,7914e" filled="false" stroked="true" strokeweight=".47998pt" strokecolor="#41b7ee">
                <v:path arrowok="t"/>
              </v:shape>
            </v:group>
            <v:group style="position:absolute;left:8538;top:7914;width:2413;height:2" coordorigin="8538,7914" coordsize="2413,2">
              <v:shape style="position:absolute;left:8538;top:7914;width:2413;height:2" coordorigin="8538,7914" coordsize="2413,0" path="m8538,7914l10950,7914e" filled="false" stroked="true" strokeweight=".47998pt" strokecolor="#41b7ee">
                <v:path arrowok="t"/>
              </v:shape>
            </v:group>
            <v:group style="position:absolute;left:10960;top:7914;width:2850;height:2" coordorigin="10960,7914" coordsize="2850,2">
              <v:shape style="position:absolute;left:10960;top:7914;width:2850;height:2" coordorigin="10960,7914" coordsize="2850,0" path="m10960,7914l13809,7914e" filled="false" stroked="true" strokeweight=".47998pt" strokecolor="#41b7ee">
                <v:path arrowok="t"/>
              </v:shape>
            </v:group>
            <v:group style="position:absolute;left:13819;top:7914;width:1524;height:2" coordorigin="13819,7914" coordsize="1524,2">
              <v:shape style="position:absolute;left:13819;top:7914;width:1524;height:2" coordorigin="13819,7914" coordsize="1524,0" path="m13819,7914l15343,7914e" filled="false" stroked="true" strokeweight=".47998pt" strokecolor="#41b7ee">
                <v:path arrowok="t"/>
              </v:shape>
            </v:group>
            <v:group style="position:absolute;left:1411;top:9868;width:608;height:2" coordorigin="1411,9868" coordsize="608,2">
              <v:shape style="position:absolute;left:1411;top:9868;width:608;height:2" coordorigin="1411,9868" coordsize="608,0" path="m1411,9868l2019,9868e" filled="false" stroked="true" strokeweight=".48001pt" strokecolor="#41b7ee">
                <v:path arrowok="t"/>
              </v:shape>
            </v:group>
            <v:group style="position:absolute;left:2028;top:9868;width:636;height:2" coordorigin="2028,9868" coordsize="636,2">
              <v:shape style="position:absolute;left:2028;top:9868;width:636;height:2" coordorigin="2028,9868" coordsize="636,0" path="m2028,9868l2664,9868e" filled="false" stroked="true" strokeweight=".48001pt" strokecolor="#41b7ee">
                <v:path arrowok="t"/>
              </v:shape>
            </v:group>
            <v:group style="position:absolute;left:2674;top:9868;width:785;height:2" coordorigin="2674,9868" coordsize="785,2">
              <v:shape style="position:absolute;left:2674;top:9868;width:785;height:2" coordorigin="2674,9868" coordsize="785,0" path="m2674,9868l3459,9868e" filled="false" stroked="true" strokeweight=".48001pt" strokecolor="#41b7ee">
                <v:path arrowok="t"/>
              </v:shape>
            </v:group>
            <v:group style="position:absolute;left:3468;top:9868;width:591;height:2" coordorigin="3468,9868" coordsize="591,2">
              <v:shape style="position:absolute;left:3468;top:9868;width:591;height:2" coordorigin="3468,9868" coordsize="591,0" path="m3468,9868l4059,9868e" filled="false" stroked="true" strokeweight=".48001pt" strokecolor="#41b7ee">
                <v:path arrowok="t"/>
              </v:shape>
            </v:group>
            <v:group style="position:absolute;left:4068;top:9868;width:2264;height:2" coordorigin="4068,9868" coordsize="2264,2">
              <v:shape style="position:absolute;left:4068;top:9868;width:2264;height:2" coordorigin="4068,9868" coordsize="2264,0" path="m4068,9868l6332,9868e" filled="false" stroked="true" strokeweight=".48001pt" strokecolor="#41b7ee">
                <v:path arrowok="t"/>
              </v:shape>
            </v:group>
            <v:group style="position:absolute;left:6342;top:9868;width:1349;height:2" coordorigin="6342,9868" coordsize="1349,2">
              <v:shape style="position:absolute;left:6342;top:9868;width:1349;height:2" coordorigin="6342,9868" coordsize="1349,0" path="m6342,9868l7691,9868e" filled="false" stroked="true" strokeweight=".48001pt" strokecolor="#41b7ee">
                <v:path arrowok="t"/>
              </v:shape>
            </v:group>
            <v:group style="position:absolute;left:7700;top:9868;width:828;height:2" coordorigin="7700,9868" coordsize="828,2">
              <v:shape style="position:absolute;left:7700;top:9868;width:828;height:2" coordorigin="7700,9868" coordsize="828,0" path="m7700,9868l8528,9868e" filled="false" stroked="true" strokeweight=".48001pt" strokecolor="#41b7ee">
                <v:path arrowok="t"/>
              </v:shape>
            </v:group>
            <v:group style="position:absolute;left:8538;top:9868;width:2413;height:2" coordorigin="8538,9868" coordsize="2413,2">
              <v:shape style="position:absolute;left:8538;top:9868;width:2413;height:2" coordorigin="8538,9868" coordsize="2413,0" path="m8538,9868l10950,9868e" filled="false" stroked="true" strokeweight=".48001pt" strokecolor="#41b7ee">
                <v:path arrowok="t"/>
              </v:shape>
            </v:group>
            <v:group style="position:absolute;left:10960;top:9868;width:2850;height:2" coordorigin="10960,9868" coordsize="2850,2">
              <v:shape style="position:absolute;left:10960;top:9868;width:2850;height:2" coordorigin="10960,9868" coordsize="2850,0" path="m10960,9868l13809,9868e" filled="false" stroked="true" strokeweight=".48001pt" strokecolor="#41b7ee">
                <v:path arrowok="t"/>
              </v:shape>
            </v:group>
            <v:group style="position:absolute;left:13819;top:9868;width:1524;height:2" coordorigin="13819,9868" coordsize="1524,2">
              <v:shape style="position:absolute;left:13819;top:9868;width:1524;height:2" coordorigin="13819,9868" coordsize="1524,0" path="m13819,9868l15343,9868e" filled="false" stroked="true" strokeweight=".48001pt" strokecolor="#41b7ee">
                <v:path arrowok="t"/>
              </v:shape>
            </v:group>
            <v:group style="position:absolute;left:1411;top:10276;width:608;height:2" coordorigin="1411,10276" coordsize="608,2">
              <v:shape style="position:absolute;left:1411;top:10276;width:608;height:2" coordorigin="1411,10276" coordsize="608,0" path="m1411,10276l2019,10276e" filled="false" stroked="true" strokeweight=".96002pt" strokecolor="#41b7ee">
                <v:path arrowok="t"/>
              </v:shape>
            </v:group>
            <v:group style="position:absolute;left:2024;top:1856;width:2;height:8412" coordorigin="2024,1856" coordsize="2,8412">
              <v:shape style="position:absolute;left:2024;top:1856;width:2;height:8412" coordorigin="2024,1856" coordsize="0,8412" path="m2024,1856l2024,10267e" filled="false" stroked="true" strokeweight=".48pt" strokecolor="#41b7ee">
                <v:path arrowok="t"/>
              </v:shape>
            </v:group>
            <v:group style="position:absolute;left:2019;top:10276;width:58;height:2" coordorigin="2019,10276" coordsize="58,2">
              <v:shape style="position:absolute;left:2019;top:10276;width:58;height:2" coordorigin="2019,10276" coordsize="58,0" path="m2019,10276l2076,10276e" filled="false" stroked="true" strokeweight=".96002pt" strokecolor="#41b7ee">
                <v:path arrowok="t"/>
              </v:shape>
            </v:group>
            <v:group style="position:absolute;left:2076;top:10276;width:588;height:2" coordorigin="2076,10276" coordsize="588,2">
              <v:shape style="position:absolute;left:2076;top:10276;width:588;height:2" coordorigin="2076,10276" coordsize="588,0" path="m2076,10276l2664,10276e" filled="false" stroked="true" strokeweight=".96002pt" strokecolor="#41b7ee">
                <v:path arrowok="t"/>
              </v:shape>
            </v:group>
            <v:group style="position:absolute;left:2669;top:1856;width:2;height:8412" coordorigin="2669,1856" coordsize="2,8412">
              <v:shape style="position:absolute;left:2669;top:1856;width:2;height:8412" coordorigin="2669,1856" coordsize="0,8412" path="m2669,1856l2669,10267e" filled="false" stroked="true" strokeweight=".48pt" strokecolor="#41b7ee">
                <v:path arrowok="t"/>
              </v:shape>
            </v:group>
            <v:group style="position:absolute;left:2664;top:10276;width:58;height:2" coordorigin="2664,10276" coordsize="58,2">
              <v:shape style="position:absolute;left:2664;top:10276;width:58;height:2" coordorigin="2664,10276" coordsize="58,0" path="m2664,10276l2722,10276e" filled="false" stroked="true" strokeweight=".96002pt" strokecolor="#41b7ee">
                <v:path arrowok="t"/>
              </v:shape>
            </v:group>
            <v:group style="position:absolute;left:2722;top:10276;width:737;height:2" coordorigin="2722,10276" coordsize="737,2">
              <v:shape style="position:absolute;left:2722;top:10276;width:737;height:2" coordorigin="2722,10276" coordsize="737,0" path="m2722,10276l3459,10276e" filled="false" stroked="true" strokeweight=".96002pt" strokecolor="#41b7ee">
                <v:path arrowok="t"/>
              </v:shape>
            </v:group>
            <v:group style="position:absolute;left:3464;top:1856;width:2;height:8412" coordorigin="3464,1856" coordsize="2,8412">
              <v:shape style="position:absolute;left:3464;top:1856;width:2;height:8412" coordorigin="3464,1856" coordsize="0,8412" path="m3464,1856l3464,10267e" filled="false" stroked="true" strokeweight=".48pt" strokecolor="#41b7ee">
                <v:path arrowok="t"/>
              </v:shape>
            </v:group>
            <v:group style="position:absolute;left:3459;top:10276;width:58;height:2" coordorigin="3459,10276" coordsize="58,2">
              <v:shape style="position:absolute;left:3459;top:10276;width:58;height:2" coordorigin="3459,10276" coordsize="58,0" path="m3459,10276l3516,10276e" filled="false" stroked="true" strokeweight=".96002pt" strokecolor="#41b7ee">
                <v:path arrowok="t"/>
              </v:shape>
            </v:group>
            <v:group style="position:absolute;left:3516;top:10276;width:543;height:2" coordorigin="3516,10276" coordsize="543,2">
              <v:shape style="position:absolute;left:3516;top:10276;width:543;height:2" coordorigin="3516,10276" coordsize="543,0" path="m3516,10276l4059,10276e" filled="false" stroked="true" strokeweight=".96002pt" strokecolor="#41b7ee">
                <v:path arrowok="t"/>
              </v:shape>
            </v:group>
            <v:group style="position:absolute;left:4064;top:1856;width:2;height:8412" coordorigin="4064,1856" coordsize="2,8412">
              <v:shape style="position:absolute;left:4064;top:1856;width:2;height:8412" coordorigin="4064,1856" coordsize="0,8412" path="m4064,1856l4064,10267e" filled="false" stroked="true" strokeweight=".48pt" strokecolor="#41b7ee">
                <v:path arrowok="t"/>
              </v:shape>
            </v:group>
            <v:group style="position:absolute;left:4059;top:10276;width:58;height:2" coordorigin="4059,10276" coordsize="58,2">
              <v:shape style="position:absolute;left:4059;top:10276;width:58;height:2" coordorigin="4059,10276" coordsize="58,0" path="m4059,10276l4116,10276e" filled="false" stroked="true" strokeweight=".96002pt" strokecolor="#41b7ee">
                <v:path arrowok="t"/>
              </v:shape>
            </v:group>
            <v:group style="position:absolute;left:4116;top:10276;width:2216;height:2" coordorigin="4116,10276" coordsize="2216,2">
              <v:shape style="position:absolute;left:4116;top:10276;width:2216;height:2" coordorigin="4116,10276" coordsize="2216,0" path="m4116,10276l6332,10276e" filled="false" stroked="true" strokeweight=".96002pt" strokecolor="#41b7ee">
                <v:path arrowok="t"/>
              </v:shape>
            </v:group>
            <v:group style="position:absolute;left:6337;top:1856;width:2;height:8412" coordorigin="6337,1856" coordsize="2,8412">
              <v:shape style="position:absolute;left:6337;top:1856;width:2;height:8412" coordorigin="6337,1856" coordsize="0,8412" path="m6337,1856l6337,10267e" filled="false" stroked="true" strokeweight=".48001pt" strokecolor="#41b7ee">
                <v:path arrowok="t"/>
              </v:shape>
            </v:group>
            <v:group style="position:absolute;left:6332;top:10276;width:58;height:2" coordorigin="6332,10276" coordsize="58,2">
              <v:shape style="position:absolute;left:6332;top:10276;width:58;height:2" coordorigin="6332,10276" coordsize="58,0" path="m6332,10276l6390,10276e" filled="false" stroked="true" strokeweight=".96002pt" strokecolor="#41b7ee">
                <v:path arrowok="t"/>
              </v:shape>
            </v:group>
            <v:group style="position:absolute;left:6390;top:10276;width:1301;height:2" coordorigin="6390,10276" coordsize="1301,2">
              <v:shape style="position:absolute;left:6390;top:10276;width:1301;height:2" coordorigin="6390,10276" coordsize="1301,0" path="m6390,10276l7691,10276e" filled="false" stroked="true" strokeweight=".96002pt" strokecolor="#41b7ee">
                <v:path arrowok="t"/>
              </v:shape>
            </v:group>
            <v:group style="position:absolute;left:7695;top:1856;width:2;height:8412" coordorigin="7695,1856" coordsize="2,8412">
              <v:shape style="position:absolute;left:7695;top:1856;width:2;height:8412" coordorigin="7695,1856" coordsize="0,8412" path="m7695,1856l7695,10267e" filled="false" stroked="true" strokeweight=".47998pt" strokecolor="#41b7ee">
                <v:path arrowok="t"/>
              </v:shape>
            </v:group>
            <v:group style="position:absolute;left:7691;top:10276;width:58;height:2" coordorigin="7691,10276" coordsize="58,2">
              <v:shape style="position:absolute;left:7691;top:10276;width:58;height:2" coordorigin="7691,10276" coordsize="58,0" path="m7691,10276l7748,10276e" filled="false" stroked="true" strokeweight=".96002pt" strokecolor="#41b7ee">
                <v:path arrowok="t"/>
              </v:shape>
            </v:group>
            <v:group style="position:absolute;left:7748;top:10276;width:780;height:2" coordorigin="7748,10276" coordsize="780,2">
              <v:shape style="position:absolute;left:7748;top:10276;width:780;height:2" coordorigin="7748,10276" coordsize="780,0" path="m7748,10276l8528,10276e" filled="false" stroked="true" strokeweight=".96002pt" strokecolor="#41b7ee">
                <v:path arrowok="t"/>
              </v:shape>
            </v:group>
            <v:group style="position:absolute;left:8533;top:1856;width:2;height:8412" coordorigin="8533,1856" coordsize="2,8412">
              <v:shape style="position:absolute;left:8533;top:1856;width:2;height:8412" coordorigin="8533,1856" coordsize="0,8412" path="m8533,1856l8533,10267e" filled="false" stroked="true" strokeweight=".48001pt" strokecolor="#41b7ee">
                <v:path arrowok="t"/>
              </v:shape>
            </v:group>
            <v:group style="position:absolute;left:8528;top:10276;width:58;height:2" coordorigin="8528,10276" coordsize="58,2">
              <v:shape style="position:absolute;left:8528;top:10276;width:58;height:2" coordorigin="8528,10276" coordsize="58,0" path="m8528,10276l8586,10276e" filled="false" stroked="true" strokeweight=".96002pt" strokecolor="#41b7ee">
                <v:path arrowok="t"/>
              </v:shape>
            </v:group>
            <v:group style="position:absolute;left:8586;top:10276;width:2365;height:2" coordorigin="8586,10276" coordsize="2365,2">
              <v:shape style="position:absolute;left:8586;top:10276;width:2365;height:2" coordorigin="8586,10276" coordsize="2365,0" path="m8586,10276l10950,10276e" filled="false" stroked="true" strokeweight=".96002pt" strokecolor="#41b7ee">
                <v:path arrowok="t"/>
              </v:shape>
            </v:group>
            <v:group style="position:absolute;left:10972;top:8212;width:2;height:1362" coordorigin="10972,8212" coordsize="2,1362">
              <v:shape style="position:absolute;left:10972;top:8212;width:2;height:1362" coordorigin="10972,8212" coordsize="0,1362" path="m10972,8212l10972,9573e" filled="false" stroked="true" strokeweight="1.2pt" strokecolor="#ffffff">
                <v:path arrowok="t"/>
              </v:shape>
            </v:group>
            <v:group style="position:absolute;left:10984;top:8795;width:2802;height:195" coordorigin="10984,8795" coordsize="2802,195">
              <v:shape style="position:absolute;left:10984;top:8795;width:2802;height:195" coordorigin="10984,8795" coordsize="2802,195" path="m10984,8989l13785,8989,13785,8795,10984,8795,10984,8989xe" filled="true" fillcolor="#ffffff" stroked="false">
                <v:path arrowok="t"/>
                <v:fill type="solid"/>
              </v:shape>
            </v:group>
            <v:group style="position:absolute;left:10984;top:8990;width:2802;height:195" coordorigin="10984,8990" coordsize="2802,195">
              <v:shape style="position:absolute;left:10984;top:8990;width:2802;height:195" coordorigin="10984,8990" coordsize="2802,195" path="m10984,9184l13785,9184,13785,8990,10984,8990,10984,9184xe" filled="true" fillcolor="#ffffff" stroked="false">
                <v:path arrowok="t"/>
                <v:fill type="solid"/>
              </v:shape>
            </v:group>
            <v:group style="position:absolute;left:10955;top:1856;width:2;height:8412" coordorigin="10955,1856" coordsize="2,8412">
              <v:shape style="position:absolute;left:10955;top:1856;width:2;height:8412" coordorigin="10955,1856" coordsize="0,8412" path="m10955,1856l10955,10267e" filled="false" stroked="true" strokeweight=".47998pt" strokecolor="#41b7ee">
                <v:path arrowok="t"/>
              </v:shape>
            </v:group>
            <v:group style="position:absolute;left:10950;top:10276;width:58;height:2" coordorigin="10950,10276" coordsize="58,2">
              <v:shape style="position:absolute;left:10950;top:10276;width:58;height:2" coordorigin="10950,10276" coordsize="58,0" path="m10950,10276l11008,10276e" filled="false" stroked="true" strokeweight=".96002pt" strokecolor="#41b7ee">
                <v:path arrowok="t"/>
              </v:shape>
            </v:group>
            <v:group style="position:absolute;left:11008;top:10276;width:2802;height:2" coordorigin="11008,10276" coordsize="2802,2">
              <v:shape style="position:absolute;left:11008;top:10276;width:2802;height:2" coordorigin="11008,10276" coordsize="2802,0" path="m11008,10276l13809,10276e" filled="false" stroked="true" strokeweight=".96002pt" strokecolor="#41b7ee">
                <v:path arrowok="t"/>
              </v:shape>
            </v:group>
            <v:group style="position:absolute;left:13814;top:1856;width:2;height:8412" coordorigin="13814,1856" coordsize="2,8412">
              <v:shape style="position:absolute;left:13814;top:1856;width:2;height:8412" coordorigin="13814,1856" coordsize="0,8412" path="m13814,1856l13814,10267e" filled="false" stroked="true" strokeweight=".48004pt" strokecolor="#41b7ee">
                <v:path arrowok="t"/>
              </v:shape>
            </v:group>
            <v:group style="position:absolute;left:13809;top:10276;width:58;height:2" coordorigin="13809,10276" coordsize="58,2">
              <v:shape style="position:absolute;left:13809;top:10276;width:58;height:2" coordorigin="13809,10276" coordsize="58,0" path="m13809,10276l13867,10276e" filled="false" stroked="true" strokeweight=".96002pt" strokecolor="#41b7ee">
                <v:path arrowok="t"/>
              </v:shape>
            </v:group>
            <v:group style="position:absolute;left:13867;top:10276;width:1476;height:2" coordorigin="13867,10276" coordsize="1476,2">
              <v:shape style="position:absolute;left:13867;top:10276;width:1476;height:2" coordorigin="13867,10276" coordsize="1476,0" path="m13867,10276l15343,10276e" filled="false" stroked="true" strokeweight=".96002pt" strokecolor="#41b7ee">
                <v:path arrowok="t"/>
              </v:shape>
            </v:group>
            <w10:wrap type="none"/>
          </v:group>
        </w:pict>
      </w:r>
      <w:r>
        <w:rPr>
          <w:rFonts w:ascii="宋体" w:hAnsi="宋体" w:cs="宋体" w:eastAsia="宋体" w:hint="default"/>
          <w:sz w:val="15"/>
          <w:szCs w:val="15"/>
        </w:rPr>
        <w:t>鑫亚经</w:t>
      </w:r>
    </w:p>
    <w:p>
      <w:pPr>
        <w:spacing w:line="251" w:lineRule="exact" w:before="0"/>
        <w:ind w:left="116" w:right="-19" w:firstLine="0"/>
        <w:jc w:val="left"/>
        <w:rPr>
          <w:rFonts w:ascii="宋体" w:hAnsi="宋体" w:cs="宋体" w:eastAsia="宋体" w:hint="default"/>
          <w:sz w:val="15"/>
          <w:szCs w:val="15"/>
        </w:rPr>
      </w:pPr>
      <w:r>
        <w:rPr/>
        <w:br w:type="column"/>
      </w:r>
      <w:r>
        <w:rPr>
          <w:rFonts w:ascii="宋体" w:hAnsi="宋体" w:cs="宋体" w:eastAsia="宋体" w:hint="default"/>
          <w:position w:val="-9"/>
          <w:sz w:val="15"/>
          <w:szCs w:val="15"/>
        </w:rPr>
        <w:t>筑安装 </w:t>
      </w:r>
      <w:r>
        <w:rPr>
          <w:rFonts w:ascii="宋体" w:hAnsi="宋体" w:cs="宋体" w:eastAsia="宋体" w:hint="default"/>
          <w:spacing w:val="51"/>
          <w:position w:val="-9"/>
          <w:sz w:val="15"/>
          <w:szCs w:val="15"/>
        </w:rPr>
        <w:t> </w:t>
      </w:r>
      <w:r>
        <w:rPr>
          <w:rFonts w:ascii="宋体" w:hAnsi="宋体" w:cs="宋体" w:eastAsia="宋体" w:hint="default"/>
          <w:sz w:val="15"/>
          <w:szCs w:val="15"/>
        </w:rPr>
        <w:t>纪长武</w:t>
      </w:r>
    </w:p>
    <w:p>
      <w:pPr>
        <w:tabs>
          <w:tab w:pos="3046" w:val="left" w:leader="none"/>
        </w:tabs>
        <w:spacing w:line="249" w:lineRule="exact" w:before="0"/>
        <w:ind w:left="140" w:right="-8" w:firstLine="0"/>
        <w:jc w:val="left"/>
        <w:rPr>
          <w:rFonts w:ascii="Arial" w:hAnsi="Arial" w:cs="Arial" w:eastAsia="Arial" w:hint="default"/>
          <w:sz w:val="15"/>
          <w:szCs w:val="15"/>
        </w:rPr>
      </w:pPr>
      <w:r>
        <w:rPr>
          <w:spacing w:val="-4"/>
        </w:rPr>
        <w:br w:type="column"/>
      </w:r>
      <w:r>
        <w:rPr>
          <w:rFonts w:ascii="宋体" w:hAnsi="宋体" w:cs="宋体" w:eastAsia="宋体" w:hint="default"/>
          <w:spacing w:val="-4"/>
          <w:sz w:val="15"/>
          <w:szCs w:val="15"/>
        </w:rPr>
        <w:t>筑安装工程总公司签订《钢材买卖</w:t>
        <w:tab/>
      </w:r>
      <w:r>
        <w:rPr>
          <w:rFonts w:ascii="Arial" w:hAnsi="Arial" w:cs="Arial" w:eastAsia="Arial" w:hint="default"/>
          <w:spacing w:val="-1"/>
          <w:position w:val="10"/>
          <w:sz w:val="15"/>
          <w:szCs w:val="15"/>
        </w:rPr>
        <w:t>1,638,000</w:t>
      </w:r>
      <w:r>
        <w:rPr>
          <w:rFonts w:ascii="Arial" w:hAnsi="Arial" w:cs="Arial" w:eastAsia="Arial" w:hint="default"/>
          <w:spacing w:val="-1"/>
          <w:sz w:val="15"/>
          <w:szCs w:val="15"/>
        </w:rPr>
      </w:r>
    </w:p>
    <w:p>
      <w:pPr>
        <w:spacing w:before="53"/>
        <w:ind w:left="140" w:right="-6" w:firstLine="0"/>
        <w:jc w:val="left"/>
        <w:rPr>
          <w:rFonts w:ascii="宋体" w:hAnsi="宋体" w:cs="宋体" w:eastAsia="宋体" w:hint="default"/>
          <w:sz w:val="15"/>
          <w:szCs w:val="15"/>
        </w:rPr>
      </w:pPr>
      <w:r>
        <w:rPr>
          <w:spacing w:val="-4"/>
        </w:rPr>
        <w:br w:type="column"/>
      </w:r>
      <w:r>
        <w:rPr>
          <w:rFonts w:ascii="宋体" w:hAnsi="宋体" w:cs="宋体" w:eastAsia="宋体" w:hint="default"/>
          <w:spacing w:val="-4"/>
          <w:sz w:val="15"/>
          <w:szCs w:val="15"/>
        </w:rPr>
        <w:t>公司已不正常经营，通过邮寄和直接</w:t>
      </w:r>
      <w:r>
        <w:rPr>
          <w:rFonts w:ascii="宋体" w:hAnsi="宋体" w:cs="宋体" w:eastAsia="宋体" w:hint="default"/>
          <w:spacing w:val="-16"/>
          <w:sz w:val="15"/>
          <w:szCs w:val="15"/>
        </w:rPr>
        <w:t> </w:t>
      </w:r>
      <w:r>
        <w:rPr>
          <w:rFonts w:ascii="宋体" w:hAnsi="宋体" w:cs="宋体" w:eastAsia="宋体" w:hint="default"/>
          <w:sz w:val="15"/>
          <w:szCs w:val="15"/>
        </w:rPr>
        <w:t>司货款</w:t>
      </w:r>
      <w:r>
        <w:rPr>
          <w:rFonts w:ascii="宋体" w:hAnsi="宋体" w:cs="宋体" w:eastAsia="宋体" w:hint="default"/>
          <w:spacing w:val="-33"/>
          <w:sz w:val="15"/>
          <w:szCs w:val="15"/>
        </w:rPr>
        <w:t> </w:t>
      </w:r>
      <w:r>
        <w:rPr>
          <w:rFonts w:ascii="Arial" w:hAnsi="Arial" w:cs="Arial" w:eastAsia="Arial" w:hint="default"/>
          <w:sz w:val="15"/>
          <w:szCs w:val="15"/>
        </w:rPr>
        <w:t>150 </w:t>
      </w:r>
      <w:r>
        <w:rPr>
          <w:rFonts w:ascii="宋体" w:hAnsi="宋体" w:cs="宋体" w:eastAsia="宋体" w:hint="default"/>
          <w:sz w:val="15"/>
          <w:szCs w:val="15"/>
        </w:rPr>
        <w:t>万元，利息</w:t>
      </w:r>
      <w:r>
        <w:rPr>
          <w:rFonts w:ascii="宋体" w:hAnsi="宋体" w:cs="宋体" w:eastAsia="宋体" w:hint="default"/>
          <w:spacing w:val="-32"/>
          <w:sz w:val="15"/>
          <w:szCs w:val="15"/>
        </w:rPr>
        <w:t> </w:t>
      </w:r>
      <w:r>
        <w:rPr>
          <w:rFonts w:ascii="Arial" w:hAnsi="Arial" w:cs="Arial" w:eastAsia="Arial" w:hint="default"/>
          <w:sz w:val="15"/>
          <w:szCs w:val="15"/>
        </w:rPr>
        <w:t>13.3419</w:t>
      </w:r>
      <w:r>
        <w:rPr>
          <w:rFonts w:ascii="Arial" w:hAnsi="Arial" w:cs="Arial" w:eastAsia="Arial" w:hint="default"/>
          <w:spacing w:val="-2"/>
          <w:sz w:val="15"/>
          <w:szCs w:val="15"/>
        </w:rPr>
        <w:t> </w:t>
      </w:r>
      <w:r>
        <w:rPr>
          <w:rFonts w:ascii="宋体" w:hAnsi="宋体" w:cs="宋体" w:eastAsia="宋体" w:hint="default"/>
          <w:sz w:val="15"/>
          <w:szCs w:val="15"/>
        </w:rPr>
        <w:t>万元，被</w:t>
      </w:r>
    </w:p>
    <w:p>
      <w:pPr>
        <w:spacing w:before="53"/>
        <w:ind w:left="70" w:right="0" w:firstLine="0"/>
        <w:jc w:val="left"/>
        <w:rPr>
          <w:rFonts w:ascii="宋体" w:hAnsi="宋体" w:cs="宋体" w:eastAsia="宋体" w:hint="default"/>
          <w:sz w:val="15"/>
          <w:szCs w:val="15"/>
        </w:rPr>
      </w:pPr>
      <w:r>
        <w:rPr>
          <w:spacing w:val="-4"/>
        </w:rPr>
        <w:br w:type="column"/>
      </w:r>
      <w:r>
        <w:rPr>
          <w:rFonts w:ascii="宋体" w:hAnsi="宋体" w:cs="宋体" w:eastAsia="宋体" w:hint="default"/>
          <w:spacing w:val="-4"/>
          <w:sz w:val="15"/>
          <w:szCs w:val="15"/>
        </w:rPr>
        <w:t>未能履行还款义务，公</w:t>
      </w:r>
    </w:p>
    <w:p>
      <w:pPr>
        <w:spacing w:after="0"/>
        <w:jc w:val="left"/>
        <w:rPr>
          <w:rFonts w:ascii="宋体" w:hAnsi="宋体" w:cs="宋体" w:eastAsia="宋体" w:hint="default"/>
          <w:sz w:val="15"/>
          <w:szCs w:val="15"/>
        </w:rPr>
        <w:sectPr>
          <w:type w:val="continuous"/>
          <w:pgSz w:w="16840" w:h="11910" w:orient="landscape"/>
          <w:pgMar w:top="1360" w:bottom="1380" w:left="1300" w:right="1360"/>
          <w:cols w:num="5" w:equalWidth="0">
            <w:col w:w="594" w:space="40"/>
            <w:col w:w="1218" w:space="800"/>
            <w:col w:w="3717" w:space="753"/>
            <w:col w:w="5309" w:space="40"/>
            <w:col w:w="1709"/>
          </w:cols>
        </w:sectPr>
      </w:pPr>
    </w:p>
    <w:p>
      <w:pPr>
        <w:spacing w:line="240" w:lineRule="auto" w:before="0"/>
        <w:rPr>
          <w:rFonts w:ascii="Times New Roman" w:hAnsi="Times New Roman" w:cs="Times New Roman" w:eastAsia="Times New Roman" w:hint="default"/>
          <w:sz w:val="20"/>
          <w:szCs w:val="20"/>
        </w:rPr>
      </w:pPr>
      <w:r>
        <w:rPr/>
        <w:pict>
          <v:shape style="position:absolute;margin-left:542.710022pt;margin-top:102.626007pt;width:147.75pt;height:97.25pt;mso-position-horizontal-relative:page;mso-position-vertical-relative:page;z-index:-944152" type="#_x0000_t202" filled="false" stroked="false">
            <v:textbox inset="0,0,0,0">
              <w:txbxContent>
                <w:p>
                  <w:pPr>
                    <w:spacing w:line="240" w:lineRule="auto" w:before="0"/>
                    <w:rPr>
                      <w:rFonts w:ascii="Times New Roman" w:hAnsi="Times New Roman" w:cs="Times New Roman" w:eastAsia="Times New Roman" w:hint="default"/>
                      <w:sz w:val="14"/>
                      <w:szCs w:val="14"/>
                    </w:rPr>
                  </w:pPr>
                </w:p>
                <w:p>
                  <w:pPr>
                    <w:spacing w:line="240" w:lineRule="auto" w:before="8"/>
                    <w:rPr>
                      <w:rFonts w:ascii="Times New Roman" w:hAnsi="Times New Roman" w:cs="Times New Roman" w:eastAsia="Times New Roman" w:hint="default"/>
                      <w:sz w:val="17"/>
                      <w:szCs w:val="17"/>
                    </w:rPr>
                  </w:pPr>
                </w:p>
                <w:p>
                  <w:pPr>
                    <w:spacing w:before="0"/>
                    <w:ind w:left="0" w:right="0" w:firstLine="0"/>
                    <w:jc w:val="left"/>
                    <w:rPr>
                      <w:rFonts w:ascii="宋体" w:hAnsi="宋体" w:cs="宋体" w:eastAsia="宋体" w:hint="default"/>
                      <w:sz w:val="15"/>
                      <w:szCs w:val="15"/>
                    </w:rPr>
                  </w:pPr>
                  <w:r>
                    <w:rPr>
                      <w:rFonts w:ascii="宋体" w:hAnsi="宋体" w:cs="宋体" w:eastAsia="宋体" w:hint="default"/>
                      <w:w w:val="100"/>
                      <w:sz w:val="15"/>
                      <w:szCs w:val="15"/>
                    </w:rPr>
                    <w:t>〕</w:t>
                  </w:r>
                </w:p>
              </w:txbxContent>
            </v:textbox>
            <w10:wrap type="none"/>
          </v:shape>
        </w:pict>
      </w:r>
      <w:r>
        <w:rPr/>
        <w:pict>
          <v:group style="position:absolute;margin-left:547.98999pt;margin-top:102.626007pt;width:142.5pt;height:97.25pt;mso-position-horizontal-relative:page;mso-position-vertical-relative:page;z-index:-944128" coordorigin="10960,2053" coordsize="2850,1945">
            <v:shape style="position:absolute;left:10960;top:2053;width:2850;height:1945" coordorigin="10960,2053" coordsize="2850,1945" path="m10960,3997l13809,3997,13809,2053,10960,2053,10960,3997xe" filled="true" fillcolor="#ffffff" stroked="false">
              <v:path arrowok="t"/>
              <v:fill type="solid"/>
            </v:shape>
            <w10:wrap type="none"/>
          </v:group>
        </w:pict>
      </w:r>
      <w:r>
        <w:rPr/>
        <w:pict>
          <v:group style="position:absolute;margin-left:547.98999pt;margin-top:506.615997pt;width:141.3pt;height:11.05pt;mso-position-horizontal-relative:page;mso-position-vertical-relative:page;z-index:-944104" coordorigin="10960,10132" coordsize="2826,221">
            <v:group style="position:absolute;left:10972;top:10144;width:2;height:197" coordorigin="10972,10144" coordsize="2,197">
              <v:shape style="position:absolute;left:10972;top:10144;width:2;height:197" coordorigin="10972,10144" coordsize="0,197" path="m10972,10144l10972,10341e" filled="false" stroked="true" strokeweight="1.2pt" strokecolor="#ffffff">
                <v:path arrowok="t"/>
              </v:shape>
            </v:group>
            <v:group style="position:absolute;left:10984;top:10144;width:2802;height:197" coordorigin="10984,10144" coordsize="2802,197">
              <v:shape style="position:absolute;left:10984;top:10144;width:2802;height:197" coordorigin="10984,10144" coordsize="2802,197" path="m10984,10341l13785,10341,13785,10144,10984,10144,10984,10341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7"/>
          <w:szCs w:val="17"/>
        </w:rPr>
      </w:pPr>
    </w:p>
    <w:p>
      <w:pPr>
        <w:spacing w:line="20" w:lineRule="exact"/>
        <w:ind w:left="10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7.55pt;height:1pt;mso-position-horizontal-relative:char;mso-position-vertical-relative:line" coordorigin="0,0" coordsize="13951,20">
            <v:group style="position:absolute;left:10;top:10;width:608;height:2" coordorigin="10,10" coordsize="608,2">
              <v:shape style="position:absolute;left:10;top:10;width:608;height:2" coordorigin="10,10" coordsize="608,0" path="m10,10l617,10e" filled="false" stroked="true" strokeweight=".96pt" strokecolor="#41b7ee">
                <v:path arrowok="t"/>
              </v:shape>
            </v:group>
            <v:group style="position:absolute;left:617;top:10;width:58;height:2" coordorigin="617,10" coordsize="58,2">
              <v:shape style="position:absolute;left:617;top:10;width:58;height:2" coordorigin="617,10" coordsize="58,0" path="m617,10l675,10e" filled="false" stroked="true" strokeweight=".96pt" strokecolor="#41b7ee">
                <v:path arrowok="t"/>
              </v:shape>
            </v:group>
            <v:group style="position:absolute;left:675;top:10;width:588;height:2" coordorigin="675,10" coordsize="588,2">
              <v:shape style="position:absolute;left:675;top:10;width:588;height:2" coordorigin="675,10" coordsize="588,0" path="m675,10l1263,10e" filled="false" stroked="true" strokeweight=".96pt" strokecolor="#41b7ee">
                <v:path arrowok="t"/>
              </v:shape>
            </v:group>
            <v:group style="position:absolute;left:1263;top:10;width:58;height:2" coordorigin="1263,10" coordsize="58,2">
              <v:shape style="position:absolute;left:1263;top:10;width:58;height:2" coordorigin="1263,10" coordsize="58,0" path="m1263,10l1320,10e" filled="false" stroked="true" strokeweight=".96pt" strokecolor="#41b7ee">
                <v:path arrowok="t"/>
              </v:shape>
            </v:group>
            <v:group style="position:absolute;left:1320;top:10;width:737;height:2" coordorigin="1320,10" coordsize="737,2">
              <v:shape style="position:absolute;left:1320;top:10;width:737;height:2" coordorigin="1320,10" coordsize="737,0" path="m1320,10l2057,10e" filled="false" stroked="true" strokeweight=".96pt" strokecolor="#41b7ee">
                <v:path arrowok="t"/>
              </v:shape>
            </v:group>
            <v:group style="position:absolute;left:2057;top:10;width:58;height:2" coordorigin="2057,10" coordsize="58,2">
              <v:shape style="position:absolute;left:2057;top:10;width:58;height:2" coordorigin="2057,10" coordsize="58,0" path="m2057,10l2115,10e" filled="false" stroked="true" strokeweight=".96pt" strokecolor="#41b7ee">
                <v:path arrowok="t"/>
              </v:shape>
            </v:group>
            <v:group style="position:absolute;left:2115;top:10;width:543;height:2" coordorigin="2115,10" coordsize="543,2">
              <v:shape style="position:absolute;left:2115;top:10;width:543;height:2" coordorigin="2115,10" coordsize="543,0" path="m2115,10l2657,10e" filled="false" stroked="true" strokeweight=".96pt" strokecolor="#41b7ee">
                <v:path arrowok="t"/>
              </v:shape>
            </v:group>
            <v:group style="position:absolute;left:2657;top:10;width:58;height:2" coordorigin="2657,10" coordsize="58,2">
              <v:shape style="position:absolute;left:2657;top:10;width:58;height:2" coordorigin="2657,10" coordsize="58,0" path="m2657,10l2715,10e" filled="false" stroked="true" strokeweight=".96pt" strokecolor="#41b7ee">
                <v:path arrowok="t"/>
              </v:shape>
            </v:group>
            <v:group style="position:absolute;left:2715;top:10;width:2216;height:2" coordorigin="2715,10" coordsize="2216,2">
              <v:shape style="position:absolute;left:2715;top:10;width:2216;height:2" coordorigin="2715,10" coordsize="2216,0" path="m2715,10l4930,10e" filled="false" stroked="true" strokeweight=".96pt" strokecolor="#41b7ee">
                <v:path arrowok="t"/>
              </v:shape>
            </v:group>
            <v:group style="position:absolute;left:4931;top:10;width:58;height:2" coordorigin="4931,10" coordsize="58,2">
              <v:shape style="position:absolute;left:4931;top:10;width:58;height:2" coordorigin="4931,10" coordsize="58,0" path="m4931,10l4988,10e" filled="false" stroked="true" strokeweight=".96pt" strokecolor="#41b7ee">
                <v:path arrowok="t"/>
              </v:shape>
            </v:group>
            <v:group style="position:absolute;left:4988;top:10;width:1301;height:2" coordorigin="4988,10" coordsize="1301,2">
              <v:shape style="position:absolute;left:4988;top:10;width:1301;height:2" coordorigin="4988,10" coordsize="1301,0" path="m4988,10l6289,10e" filled="false" stroked="true" strokeweight=".96pt" strokecolor="#41b7ee">
                <v:path arrowok="t"/>
              </v:shape>
            </v:group>
            <v:group style="position:absolute;left:6289;top:10;width:58;height:2" coordorigin="6289,10" coordsize="58,2">
              <v:shape style="position:absolute;left:6289;top:10;width:58;height:2" coordorigin="6289,10" coordsize="58,0" path="m6289,10l6347,10e" filled="false" stroked="true" strokeweight=".96pt" strokecolor="#41b7ee">
                <v:path arrowok="t"/>
              </v:shape>
            </v:group>
            <v:group style="position:absolute;left:6347;top:10;width:780;height:2" coordorigin="6347,10" coordsize="780,2">
              <v:shape style="position:absolute;left:6347;top:10;width:780;height:2" coordorigin="6347,10" coordsize="780,0" path="m6347,10l7127,10e" filled="false" stroked="true" strokeweight=".96pt" strokecolor="#41b7ee">
                <v:path arrowok="t"/>
              </v:shape>
            </v:group>
            <v:group style="position:absolute;left:7127;top:10;width:58;height:2" coordorigin="7127,10" coordsize="58,2">
              <v:shape style="position:absolute;left:7127;top:10;width:58;height:2" coordorigin="7127,10" coordsize="58,0" path="m7127,10l7184,10e" filled="false" stroked="true" strokeweight=".96pt" strokecolor="#41b7ee">
                <v:path arrowok="t"/>
              </v:shape>
            </v:group>
            <v:group style="position:absolute;left:7184;top:10;width:2365;height:2" coordorigin="7184,10" coordsize="2365,2">
              <v:shape style="position:absolute;left:7184;top:10;width:2365;height:2" coordorigin="7184,10" coordsize="2365,0" path="m7184,10l9549,10e" filled="false" stroked="true" strokeweight=".96pt" strokecolor="#41b7ee">
                <v:path arrowok="t"/>
              </v:shape>
            </v:group>
            <v:group style="position:absolute;left:9549;top:10;width:58;height:2" coordorigin="9549,10" coordsize="58,2">
              <v:shape style="position:absolute;left:9549;top:10;width:58;height:2" coordorigin="9549,10" coordsize="58,0" path="m9549,10l9606,10e" filled="false" stroked="true" strokeweight=".96pt" strokecolor="#41b7ee">
                <v:path arrowok="t"/>
              </v:shape>
            </v:group>
            <v:group style="position:absolute;left:9606;top:10;width:2802;height:2" coordorigin="9606,10" coordsize="2802,2">
              <v:shape style="position:absolute;left:9606;top:10;width:2802;height:2" coordorigin="9606,10" coordsize="2802,0" path="m9606,10l12407,10e" filled="false" stroked="true" strokeweight=".96pt" strokecolor="#41b7ee">
                <v:path arrowok="t"/>
              </v:shape>
            </v:group>
            <v:group style="position:absolute;left:12408;top:10;width:58;height:2" coordorigin="12408,10" coordsize="58,2">
              <v:shape style="position:absolute;left:12408;top:10;width:58;height:2" coordorigin="12408,10" coordsize="58,0" path="m12408,10l12465,10e" filled="false" stroked="true" strokeweight=".96pt" strokecolor="#41b7ee">
                <v:path arrowok="t"/>
              </v:shape>
            </v:group>
            <v:group style="position:absolute;left:12465;top:10;width:1476;height:2" coordorigin="12465,10" coordsize="1476,2">
              <v:shape style="position:absolute;left:12465;top:10;width:1476;height:2" coordorigin="12465,10" coordsize="1476,0" path="m12465,10l13941,10e" filled="false" stroked="true" strokeweight=".96pt" strokecolor="#41b7ee">
                <v:path arrowok="t"/>
              </v:shape>
            </v:group>
          </v:group>
        </w:pict>
      </w:r>
      <w:r>
        <w:rPr>
          <w:rFonts w:ascii="Times New Roman" w:hAnsi="Times New Roman" w:cs="Times New Roman" w:eastAsia="Times New Roman"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612"/>
        <w:gridCol w:w="646"/>
        <w:gridCol w:w="794"/>
        <w:gridCol w:w="600"/>
        <w:gridCol w:w="2273"/>
        <w:gridCol w:w="1358"/>
        <w:gridCol w:w="838"/>
        <w:gridCol w:w="2422"/>
        <w:gridCol w:w="2859"/>
        <w:gridCol w:w="1529"/>
      </w:tblGrid>
      <w:tr>
        <w:trPr>
          <w:trHeight w:val="2156" w:hRule="exact"/>
        </w:trPr>
        <w:tc>
          <w:tcPr>
            <w:tcW w:w="612" w:type="dxa"/>
            <w:tcBorders>
              <w:top w:val="single" w:sz="8" w:space="0" w:color="41B7EE"/>
              <w:left w:val="nil" w:sz="6" w:space="0" w:color="auto"/>
              <w:bottom w:val="single" w:sz="4" w:space="0" w:color="41B7EE"/>
              <w:right w:val="single" w:sz="4" w:space="0" w:color="41B7EE"/>
            </w:tcBorders>
          </w:tcPr>
          <w:p>
            <w:pPr>
              <w:pStyle w:val="TableParagraph"/>
              <w:spacing w:line="174" w:lineRule="exact"/>
              <w:ind w:left="28" w:right="0"/>
              <w:jc w:val="left"/>
              <w:rPr>
                <w:rFonts w:ascii="宋体" w:hAnsi="宋体" w:cs="宋体" w:eastAsia="宋体" w:hint="default"/>
                <w:sz w:val="15"/>
                <w:szCs w:val="15"/>
              </w:rPr>
            </w:pPr>
            <w:r>
              <w:rPr>
                <w:rFonts w:ascii="宋体" w:hAnsi="宋体" w:cs="宋体" w:eastAsia="宋体" w:hint="default"/>
                <w:sz w:val="15"/>
                <w:szCs w:val="15"/>
              </w:rPr>
              <w:t>贸有限</w:t>
            </w:r>
          </w:p>
          <w:p>
            <w:pPr>
              <w:pStyle w:val="TableParagraph"/>
              <w:spacing w:line="240" w:lineRule="auto"/>
              <w:ind w:left="28" w:right="123"/>
              <w:jc w:val="left"/>
              <w:rPr>
                <w:rFonts w:ascii="宋体" w:hAnsi="宋体" w:cs="宋体" w:eastAsia="宋体" w:hint="default"/>
                <w:sz w:val="15"/>
                <w:szCs w:val="15"/>
              </w:rPr>
            </w:pPr>
            <w:r>
              <w:rPr>
                <w:rFonts w:ascii="宋体" w:hAnsi="宋体" w:cs="宋体" w:eastAsia="宋体" w:hint="default"/>
                <w:sz w:val="15"/>
                <w:szCs w:val="15"/>
              </w:rPr>
              <w:t>责任公</w:t>
            </w:r>
            <w:r>
              <w:rPr>
                <w:rFonts w:ascii="宋体" w:hAnsi="宋体" w:cs="宋体" w:eastAsia="宋体" w:hint="default"/>
                <w:spacing w:val="-72"/>
                <w:sz w:val="15"/>
                <w:szCs w:val="15"/>
              </w:rPr>
              <w:t> </w:t>
            </w:r>
            <w:r>
              <w:rPr>
                <w:rFonts w:ascii="宋体" w:hAnsi="宋体" w:cs="宋体" w:eastAsia="宋体" w:hint="default"/>
                <w:sz w:val="15"/>
                <w:szCs w:val="15"/>
              </w:rPr>
              <w:t>司</w:t>
            </w:r>
          </w:p>
        </w:tc>
        <w:tc>
          <w:tcPr>
            <w:tcW w:w="646" w:type="dxa"/>
            <w:tcBorders>
              <w:top w:val="single" w:sz="8" w:space="0" w:color="41B7EE"/>
              <w:left w:val="single" w:sz="4" w:space="0" w:color="41B7EE"/>
              <w:bottom w:val="single" w:sz="4" w:space="0" w:color="41B7EE"/>
              <w:right w:val="single" w:sz="4" w:space="0" w:color="41B7EE"/>
            </w:tcBorders>
          </w:tcPr>
          <w:p>
            <w:pPr>
              <w:pStyle w:val="TableParagraph"/>
              <w:spacing w:line="174" w:lineRule="exact"/>
              <w:ind w:left="21" w:right="0"/>
              <w:jc w:val="left"/>
              <w:rPr>
                <w:rFonts w:ascii="宋体" w:hAnsi="宋体" w:cs="宋体" w:eastAsia="宋体" w:hint="default"/>
                <w:sz w:val="15"/>
                <w:szCs w:val="15"/>
              </w:rPr>
            </w:pPr>
            <w:r>
              <w:rPr>
                <w:rFonts w:ascii="宋体" w:hAnsi="宋体" w:cs="宋体" w:eastAsia="宋体" w:hint="default"/>
                <w:sz w:val="15"/>
                <w:szCs w:val="15"/>
              </w:rPr>
              <w:t>工程总</w:t>
            </w:r>
          </w:p>
          <w:p>
            <w:pPr>
              <w:pStyle w:val="TableParagraph"/>
              <w:spacing w:line="240" w:lineRule="auto"/>
              <w:ind w:left="21" w:right="19"/>
              <w:jc w:val="left"/>
              <w:rPr>
                <w:rFonts w:ascii="宋体" w:hAnsi="宋体" w:cs="宋体" w:eastAsia="宋体" w:hint="default"/>
                <w:sz w:val="15"/>
                <w:szCs w:val="15"/>
              </w:rPr>
            </w:pPr>
            <w:r>
              <w:rPr>
                <w:rFonts w:ascii="宋体" w:hAnsi="宋体" w:cs="宋体" w:eastAsia="宋体" w:hint="default"/>
                <w:spacing w:val="-3"/>
                <w:sz w:val="15"/>
                <w:szCs w:val="15"/>
              </w:rPr>
              <w:t>公司、纪</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长武</w:t>
            </w:r>
          </w:p>
        </w:tc>
        <w:tc>
          <w:tcPr>
            <w:tcW w:w="794" w:type="dxa"/>
            <w:tcBorders>
              <w:top w:val="single" w:sz="8" w:space="0" w:color="41B7EE"/>
              <w:left w:val="single" w:sz="4" w:space="0" w:color="41B7EE"/>
              <w:bottom w:val="single" w:sz="4" w:space="0" w:color="41B7EE"/>
              <w:right w:val="single" w:sz="4" w:space="0" w:color="41B7EE"/>
            </w:tcBorders>
          </w:tcPr>
          <w:p>
            <w:pPr/>
          </w:p>
        </w:tc>
        <w:tc>
          <w:tcPr>
            <w:tcW w:w="600" w:type="dxa"/>
            <w:tcBorders>
              <w:top w:val="single" w:sz="8" w:space="0" w:color="41B7EE"/>
              <w:left w:val="single" w:sz="4" w:space="0" w:color="41B7EE"/>
              <w:bottom w:val="single" w:sz="4" w:space="0" w:color="41B7EE"/>
              <w:right w:val="single" w:sz="4" w:space="0" w:color="41B7EE"/>
            </w:tcBorders>
          </w:tcPr>
          <w:p>
            <w:pPr/>
          </w:p>
        </w:tc>
        <w:tc>
          <w:tcPr>
            <w:tcW w:w="2273" w:type="dxa"/>
            <w:tcBorders>
              <w:top w:val="single" w:sz="8" w:space="0" w:color="41B7EE"/>
              <w:left w:val="single" w:sz="4" w:space="0" w:color="41B7EE"/>
              <w:bottom w:val="single" w:sz="4" w:space="0" w:color="41B7EE"/>
              <w:right w:val="single" w:sz="4" w:space="0" w:color="41B7EE"/>
            </w:tcBorders>
          </w:tcPr>
          <w:p>
            <w:pPr>
              <w:pStyle w:val="TableParagraph"/>
              <w:spacing w:line="174" w:lineRule="exact"/>
              <w:ind w:left="23" w:right="0"/>
              <w:jc w:val="left"/>
              <w:rPr>
                <w:rFonts w:ascii="宋体" w:hAnsi="宋体" w:cs="宋体" w:eastAsia="宋体" w:hint="default"/>
                <w:sz w:val="15"/>
                <w:szCs w:val="15"/>
              </w:rPr>
            </w:pPr>
            <w:r>
              <w:rPr>
                <w:rFonts w:ascii="宋体" w:hAnsi="宋体" w:cs="宋体" w:eastAsia="宋体" w:hint="default"/>
                <w:spacing w:val="-4"/>
                <w:sz w:val="15"/>
                <w:szCs w:val="15"/>
              </w:rPr>
              <w:t>合同》，公司向东北建安公司销售</w:t>
            </w:r>
          </w:p>
          <w:p>
            <w:pPr>
              <w:pStyle w:val="TableParagraph"/>
              <w:spacing w:line="194" w:lineRule="exact" w:before="19"/>
              <w:ind w:left="23" w:right="20"/>
              <w:jc w:val="left"/>
              <w:rPr>
                <w:rFonts w:ascii="宋体" w:hAnsi="宋体" w:cs="宋体" w:eastAsia="宋体" w:hint="default"/>
                <w:sz w:val="15"/>
                <w:szCs w:val="15"/>
              </w:rPr>
            </w:pPr>
            <w:r>
              <w:rPr>
                <w:rFonts w:ascii="宋体" w:hAnsi="宋体" w:cs="宋体" w:eastAsia="宋体" w:hint="default"/>
                <w:sz w:val="15"/>
                <w:szCs w:val="15"/>
              </w:rPr>
              <w:t>螺纹钢</w:t>
            </w:r>
            <w:r>
              <w:rPr>
                <w:rFonts w:ascii="宋体" w:hAnsi="宋体" w:cs="宋体" w:eastAsia="宋体" w:hint="default"/>
                <w:spacing w:val="-38"/>
                <w:sz w:val="15"/>
                <w:szCs w:val="15"/>
              </w:rPr>
              <w:t> </w:t>
            </w:r>
            <w:r>
              <w:rPr>
                <w:rFonts w:ascii="Arial" w:hAnsi="Arial" w:cs="Arial" w:eastAsia="Arial" w:hint="default"/>
                <w:sz w:val="15"/>
                <w:szCs w:val="15"/>
              </w:rPr>
              <w:t>370</w:t>
            </w:r>
            <w:r>
              <w:rPr>
                <w:rFonts w:ascii="Arial" w:hAnsi="Arial" w:cs="Arial" w:eastAsia="Arial" w:hint="default"/>
                <w:spacing w:val="-5"/>
                <w:sz w:val="15"/>
                <w:szCs w:val="15"/>
              </w:rPr>
              <w:t> </w:t>
            </w:r>
            <w:r>
              <w:rPr>
                <w:rFonts w:ascii="宋体" w:hAnsi="宋体" w:cs="宋体" w:eastAsia="宋体" w:hint="default"/>
                <w:sz w:val="15"/>
                <w:szCs w:val="15"/>
              </w:rPr>
              <w:t>吨，总价款为</w:t>
            </w:r>
            <w:r>
              <w:rPr>
                <w:rFonts w:ascii="宋体" w:hAnsi="宋体" w:cs="宋体" w:eastAsia="宋体" w:hint="default"/>
                <w:spacing w:val="-40"/>
                <w:sz w:val="15"/>
                <w:szCs w:val="15"/>
              </w:rPr>
              <w:t> </w:t>
            </w:r>
            <w:r>
              <w:rPr>
                <w:rFonts w:ascii="Arial" w:hAnsi="Arial" w:cs="Arial" w:eastAsia="Arial" w:hint="default"/>
                <w:sz w:val="15"/>
                <w:szCs w:val="15"/>
              </w:rPr>
              <w:t>150</w:t>
            </w:r>
            <w:r>
              <w:rPr>
                <w:rFonts w:ascii="Arial" w:hAnsi="Arial" w:cs="Arial" w:eastAsia="Arial" w:hint="default"/>
                <w:spacing w:val="-7"/>
                <w:sz w:val="15"/>
                <w:szCs w:val="15"/>
              </w:rPr>
              <w:t> </w:t>
            </w:r>
            <w:r>
              <w:rPr>
                <w:rFonts w:ascii="宋体" w:hAnsi="宋体" w:cs="宋体" w:eastAsia="宋体" w:hint="default"/>
                <w:sz w:val="15"/>
                <w:szCs w:val="15"/>
              </w:rPr>
              <w:t>万</w:t>
            </w:r>
            <w:r>
              <w:rPr>
                <w:rFonts w:ascii="宋体" w:hAnsi="宋体" w:cs="宋体" w:eastAsia="宋体" w:hint="default"/>
                <w:w w:val="100"/>
                <w:sz w:val="15"/>
                <w:szCs w:val="15"/>
              </w:rPr>
              <w:t> </w:t>
            </w:r>
            <w:r>
              <w:rPr>
                <w:rFonts w:ascii="宋体" w:hAnsi="宋体" w:cs="宋体" w:eastAsia="宋体" w:hint="default"/>
                <w:spacing w:val="-4"/>
                <w:sz w:val="15"/>
                <w:szCs w:val="15"/>
              </w:rPr>
              <w:t>元，东北建安公司收货后一直未能</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支付货款。</w:t>
            </w:r>
          </w:p>
        </w:tc>
        <w:tc>
          <w:tcPr>
            <w:tcW w:w="1358" w:type="dxa"/>
            <w:tcBorders>
              <w:top w:val="single" w:sz="8" w:space="0" w:color="41B7EE"/>
              <w:left w:val="single" w:sz="4" w:space="0" w:color="41B7EE"/>
              <w:bottom w:val="single" w:sz="4" w:space="0" w:color="41B7EE"/>
              <w:right w:val="single" w:sz="4" w:space="0" w:color="41B7EE"/>
            </w:tcBorders>
          </w:tcPr>
          <w:p>
            <w:pPr/>
          </w:p>
        </w:tc>
        <w:tc>
          <w:tcPr>
            <w:tcW w:w="838" w:type="dxa"/>
            <w:tcBorders>
              <w:top w:val="single" w:sz="8" w:space="0" w:color="41B7EE"/>
              <w:left w:val="single" w:sz="4" w:space="0" w:color="41B7EE"/>
              <w:bottom w:val="single" w:sz="4" w:space="0" w:color="41B7EE"/>
              <w:right w:val="single" w:sz="4" w:space="0" w:color="41B7EE"/>
            </w:tcBorders>
          </w:tcPr>
          <w:p>
            <w:pPr/>
          </w:p>
        </w:tc>
        <w:tc>
          <w:tcPr>
            <w:tcW w:w="2422" w:type="dxa"/>
            <w:tcBorders>
              <w:top w:val="single" w:sz="8" w:space="0" w:color="41B7EE"/>
              <w:left w:val="single" w:sz="4" w:space="0" w:color="41B7EE"/>
              <w:bottom w:val="single" w:sz="4" w:space="0" w:color="41B7EE"/>
              <w:right w:val="single" w:sz="4" w:space="0" w:color="41B7EE"/>
            </w:tcBorders>
          </w:tcPr>
          <w:p>
            <w:pPr>
              <w:pStyle w:val="TableParagraph"/>
              <w:spacing w:line="179" w:lineRule="exact"/>
              <w:ind w:left="23" w:right="0"/>
              <w:jc w:val="left"/>
              <w:rPr>
                <w:rFonts w:ascii="宋体" w:hAnsi="宋体" w:cs="宋体" w:eastAsia="宋体" w:hint="default"/>
                <w:sz w:val="15"/>
                <w:szCs w:val="15"/>
              </w:rPr>
            </w:pPr>
            <w:r>
              <w:rPr>
                <w:rFonts w:ascii="宋体" w:hAnsi="宋体" w:cs="宋体" w:eastAsia="宋体" w:hint="default"/>
                <w:sz w:val="15"/>
                <w:szCs w:val="15"/>
              </w:rPr>
              <w:t>送达方式无法送达，法院于</w:t>
            </w:r>
            <w:r>
              <w:rPr>
                <w:rFonts w:ascii="宋体" w:hAnsi="宋体" w:cs="宋体" w:eastAsia="宋体" w:hint="default"/>
                <w:spacing w:val="-39"/>
                <w:sz w:val="15"/>
                <w:szCs w:val="15"/>
              </w:rPr>
              <w:t> </w:t>
            </w:r>
            <w:r>
              <w:rPr>
                <w:rFonts w:ascii="Arial" w:hAnsi="Arial" w:cs="Arial" w:eastAsia="Arial" w:hint="default"/>
                <w:sz w:val="15"/>
                <w:szCs w:val="15"/>
              </w:rPr>
              <w:t>2013</w:t>
            </w:r>
            <w:r>
              <w:rPr>
                <w:rFonts w:ascii="Arial" w:hAnsi="Arial" w:cs="Arial" w:eastAsia="Arial" w:hint="default"/>
                <w:spacing w:val="-4"/>
                <w:sz w:val="15"/>
                <w:szCs w:val="15"/>
              </w:rPr>
              <w:t> </w:t>
            </w:r>
            <w:r>
              <w:rPr>
                <w:rFonts w:ascii="宋体" w:hAnsi="宋体" w:cs="宋体" w:eastAsia="宋体" w:hint="default"/>
                <w:sz w:val="15"/>
                <w:szCs w:val="15"/>
              </w:rPr>
              <w:t>年</w:t>
            </w:r>
          </w:p>
          <w:p>
            <w:pPr>
              <w:pStyle w:val="TableParagraph"/>
              <w:spacing w:line="194" w:lineRule="exact"/>
              <w:ind w:left="23" w:right="0"/>
              <w:jc w:val="left"/>
              <w:rPr>
                <w:rFonts w:ascii="宋体" w:hAnsi="宋体" w:cs="宋体" w:eastAsia="宋体" w:hint="default"/>
                <w:sz w:val="15"/>
                <w:szCs w:val="15"/>
              </w:rPr>
            </w:pPr>
            <w:r>
              <w:rPr>
                <w:rFonts w:ascii="Arial" w:hAnsi="Arial" w:cs="Arial" w:eastAsia="Arial" w:hint="default"/>
                <w:sz w:val="15"/>
                <w:szCs w:val="15"/>
              </w:rPr>
              <w:t>8</w:t>
            </w:r>
            <w:r>
              <w:rPr>
                <w:rFonts w:ascii="Arial" w:hAnsi="Arial" w:cs="Arial" w:eastAsia="Arial" w:hint="default"/>
                <w:spacing w:val="-4"/>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Arial" w:hAnsi="Arial" w:cs="Arial" w:eastAsia="Arial" w:hint="default"/>
                <w:sz w:val="15"/>
                <w:szCs w:val="15"/>
              </w:rPr>
              <w:t>18</w:t>
            </w:r>
            <w:r>
              <w:rPr>
                <w:rFonts w:ascii="Arial" w:hAnsi="Arial" w:cs="Arial" w:eastAsia="Arial" w:hint="default"/>
                <w:spacing w:val="-6"/>
                <w:sz w:val="15"/>
                <w:szCs w:val="15"/>
              </w:rPr>
              <w:t> </w:t>
            </w:r>
            <w:r>
              <w:rPr>
                <w:rFonts w:ascii="宋体" w:hAnsi="宋体" w:cs="宋体" w:eastAsia="宋体" w:hint="default"/>
                <w:sz w:val="15"/>
                <w:szCs w:val="15"/>
              </w:rPr>
              <w:t>日采取公告方式送达并于</w:t>
            </w:r>
          </w:p>
          <w:p>
            <w:pPr>
              <w:pStyle w:val="TableParagraph"/>
              <w:spacing w:line="194" w:lineRule="exact"/>
              <w:ind w:left="23" w:right="0"/>
              <w:jc w:val="left"/>
              <w:rPr>
                <w:rFonts w:ascii="宋体" w:hAnsi="宋体" w:cs="宋体" w:eastAsia="宋体" w:hint="default"/>
                <w:sz w:val="15"/>
                <w:szCs w:val="15"/>
              </w:rPr>
            </w:pPr>
            <w:r>
              <w:rPr>
                <w:rFonts w:ascii="Arial" w:hAnsi="Arial" w:cs="Arial" w:eastAsia="Arial" w:hint="default"/>
                <w:sz w:val="15"/>
                <w:szCs w:val="15"/>
              </w:rPr>
              <w:t>2013</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w:hAnsi="Arial" w:cs="Arial" w:eastAsia="Arial" w:hint="default"/>
                <w:sz w:val="15"/>
                <w:szCs w:val="15"/>
              </w:rPr>
              <w:t>12</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Arial" w:hAnsi="Arial" w:cs="Arial" w:eastAsia="Arial" w:hint="default"/>
                <w:sz w:val="15"/>
                <w:szCs w:val="15"/>
              </w:rPr>
              <w:t>2</w:t>
            </w:r>
            <w:r>
              <w:rPr>
                <w:rFonts w:ascii="Arial" w:hAnsi="Arial" w:cs="Arial" w:eastAsia="Arial" w:hint="default"/>
                <w:spacing w:val="-4"/>
                <w:sz w:val="15"/>
                <w:szCs w:val="15"/>
              </w:rPr>
              <w:t> </w:t>
            </w:r>
            <w:r>
              <w:rPr>
                <w:rFonts w:ascii="宋体" w:hAnsi="宋体" w:cs="宋体" w:eastAsia="宋体" w:hint="default"/>
                <w:sz w:val="15"/>
                <w:szCs w:val="15"/>
              </w:rPr>
              <w:t>日开庭审理本案。</w:t>
            </w:r>
          </w:p>
          <w:p>
            <w:pPr>
              <w:pStyle w:val="TableParagraph"/>
              <w:spacing w:line="194" w:lineRule="exact"/>
              <w:ind w:left="23" w:right="0"/>
              <w:jc w:val="left"/>
              <w:rPr>
                <w:rFonts w:ascii="Arial" w:hAnsi="Arial" w:cs="Arial" w:eastAsia="Arial" w:hint="default"/>
                <w:sz w:val="15"/>
                <w:szCs w:val="15"/>
              </w:rPr>
            </w:pPr>
            <w:r>
              <w:rPr>
                <w:rFonts w:ascii="Arial" w:hAnsi="Arial" w:cs="Arial" w:eastAsia="Arial" w:hint="default"/>
                <w:spacing w:val="-1"/>
                <w:w w:val="100"/>
                <w:sz w:val="15"/>
                <w:szCs w:val="15"/>
              </w:rPr>
              <w:t>201</w:t>
            </w:r>
            <w:r>
              <w:rPr>
                <w:rFonts w:ascii="Arial" w:hAnsi="Arial" w:cs="Arial" w:eastAsia="Arial" w:hint="default"/>
                <w:w w:val="100"/>
                <w:sz w:val="15"/>
                <w:szCs w:val="15"/>
              </w:rPr>
              <w:t>4</w:t>
            </w:r>
            <w:r>
              <w:rPr>
                <w:rFonts w:ascii="Arial" w:hAnsi="Arial" w:cs="Arial" w:eastAsia="Arial" w:hint="default"/>
                <w:spacing w:val="-8"/>
                <w:sz w:val="15"/>
                <w:szCs w:val="15"/>
              </w:rPr>
              <w:t> </w:t>
            </w:r>
            <w:r>
              <w:rPr>
                <w:rFonts w:ascii="宋体" w:hAnsi="宋体" w:cs="宋体" w:eastAsia="宋体" w:hint="default"/>
                <w:w w:val="100"/>
                <w:sz w:val="15"/>
                <w:szCs w:val="15"/>
              </w:rPr>
              <w:t>年</w:t>
            </w:r>
            <w:r>
              <w:rPr>
                <w:rFonts w:ascii="宋体" w:hAnsi="宋体" w:cs="宋体" w:eastAsia="宋体" w:hint="default"/>
                <w:spacing w:val="-42"/>
                <w:sz w:val="15"/>
                <w:szCs w:val="15"/>
              </w:rPr>
              <w:t> </w:t>
            </w:r>
            <w:r>
              <w:rPr>
                <w:rFonts w:ascii="Arial" w:hAnsi="Arial" w:cs="Arial" w:eastAsia="Arial" w:hint="default"/>
                <w:w w:val="100"/>
                <w:sz w:val="15"/>
                <w:szCs w:val="15"/>
              </w:rPr>
              <w:t>1</w:t>
            </w:r>
            <w:r>
              <w:rPr>
                <w:rFonts w:ascii="Arial" w:hAnsi="Arial" w:cs="Arial" w:eastAsia="Arial" w:hint="default"/>
                <w:spacing w:val="-9"/>
                <w:sz w:val="15"/>
                <w:szCs w:val="15"/>
              </w:rPr>
              <w:t> </w:t>
            </w:r>
            <w:r>
              <w:rPr>
                <w:rFonts w:ascii="宋体" w:hAnsi="宋体" w:cs="宋体" w:eastAsia="宋体" w:hint="default"/>
                <w:w w:val="100"/>
                <w:sz w:val="15"/>
                <w:szCs w:val="15"/>
              </w:rPr>
              <w:t>月</w:t>
            </w:r>
            <w:r>
              <w:rPr>
                <w:rFonts w:ascii="宋体" w:hAnsi="宋体" w:cs="宋体" w:eastAsia="宋体" w:hint="default"/>
                <w:spacing w:val="-42"/>
                <w:sz w:val="15"/>
                <w:szCs w:val="15"/>
              </w:rPr>
              <w:t> </w:t>
            </w:r>
            <w:r>
              <w:rPr>
                <w:rFonts w:ascii="Arial" w:hAnsi="Arial" w:cs="Arial" w:eastAsia="Arial" w:hint="default"/>
                <w:spacing w:val="-1"/>
                <w:w w:val="100"/>
                <w:sz w:val="15"/>
                <w:szCs w:val="15"/>
              </w:rPr>
              <w:t>1</w:t>
            </w:r>
            <w:r>
              <w:rPr>
                <w:rFonts w:ascii="Arial" w:hAnsi="Arial" w:cs="Arial" w:eastAsia="Arial" w:hint="default"/>
                <w:w w:val="100"/>
                <w:sz w:val="15"/>
                <w:szCs w:val="15"/>
              </w:rPr>
              <w:t>4</w:t>
            </w:r>
            <w:r>
              <w:rPr>
                <w:rFonts w:ascii="Arial" w:hAnsi="Arial" w:cs="Arial" w:eastAsia="Arial" w:hint="default"/>
                <w:spacing w:val="-9"/>
                <w:sz w:val="15"/>
                <w:szCs w:val="15"/>
              </w:rPr>
              <w:t> </w:t>
            </w:r>
            <w:r>
              <w:rPr>
                <w:rFonts w:ascii="宋体" w:hAnsi="宋体" w:cs="宋体" w:eastAsia="宋体" w:hint="default"/>
                <w:spacing w:val="-3"/>
                <w:w w:val="100"/>
                <w:sz w:val="15"/>
                <w:szCs w:val="15"/>
              </w:rPr>
              <w:t>日</w:t>
            </w:r>
            <w:r>
              <w:rPr>
                <w:rFonts w:ascii="宋体" w:hAnsi="宋体" w:cs="宋体" w:eastAsia="宋体" w:hint="default"/>
                <w:spacing w:val="-75"/>
                <w:w w:val="100"/>
                <w:sz w:val="15"/>
                <w:szCs w:val="15"/>
              </w:rPr>
              <w:t>，</w:t>
            </w:r>
            <w:r>
              <w:rPr>
                <w:rFonts w:ascii="宋体" w:hAnsi="宋体" w:cs="宋体" w:eastAsia="宋体" w:hint="default"/>
                <w:spacing w:val="-3"/>
                <w:w w:val="100"/>
                <w:sz w:val="15"/>
                <w:szCs w:val="15"/>
              </w:rPr>
              <w:t>法</w:t>
            </w:r>
            <w:r>
              <w:rPr>
                <w:rFonts w:ascii="宋体" w:hAnsi="宋体" w:cs="宋体" w:eastAsia="宋体" w:hint="default"/>
                <w:w w:val="100"/>
                <w:sz w:val="15"/>
                <w:szCs w:val="15"/>
              </w:rPr>
              <w:t>院</w:t>
            </w:r>
            <w:r>
              <w:rPr>
                <w:rFonts w:ascii="宋体" w:hAnsi="宋体" w:cs="宋体" w:eastAsia="宋体" w:hint="default"/>
                <w:spacing w:val="-3"/>
                <w:w w:val="100"/>
                <w:sz w:val="15"/>
                <w:szCs w:val="15"/>
              </w:rPr>
              <w:t>作</w:t>
            </w:r>
            <w:r>
              <w:rPr>
                <w:rFonts w:ascii="宋体" w:hAnsi="宋体" w:cs="宋体" w:eastAsia="宋体" w:hint="default"/>
                <w:spacing w:val="-75"/>
                <w:w w:val="100"/>
                <w:sz w:val="15"/>
                <w:szCs w:val="15"/>
              </w:rPr>
              <w:t>出</w:t>
            </w:r>
            <w:r>
              <w:rPr>
                <w:rFonts w:ascii="宋体" w:hAnsi="宋体" w:cs="宋体" w:eastAsia="宋体" w:hint="default"/>
                <w:spacing w:val="-3"/>
                <w:w w:val="100"/>
                <w:sz w:val="15"/>
                <w:szCs w:val="15"/>
              </w:rPr>
              <w:t>〔</w:t>
            </w:r>
            <w:r>
              <w:rPr>
                <w:rFonts w:ascii="Arial" w:hAnsi="Arial" w:cs="Arial" w:eastAsia="Arial" w:hint="default"/>
                <w:spacing w:val="-1"/>
                <w:w w:val="100"/>
                <w:sz w:val="15"/>
                <w:szCs w:val="15"/>
              </w:rPr>
              <w:t>2013</w:t>
            </w:r>
            <w:r>
              <w:rPr>
                <w:rFonts w:ascii="Arial" w:hAnsi="Arial" w:cs="Arial" w:eastAsia="Arial" w:hint="default"/>
                <w:w w:val="100"/>
                <w:sz w:val="15"/>
                <w:szCs w:val="15"/>
              </w:rPr>
            </w:r>
          </w:p>
          <w:p>
            <w:pPr>
              <w:pStyle w:val="TableParagraph"/>
              <w:spacing w:line="201" w:lineRule="exact"/>
              <w:ind w:left="23" w:right="0"/>
              <w:jc w:val="left"/>
              <w:rPr>
                <w:rFonts w:ascii="宋体" w:hAnsi="宋体" w:cs="宋体" w:eastAsia="宋体" w:hint="default"/>
                <w:sz w:val="15"/>
                <w:szCs w:val="15"/>
              </w:rPr>
            </w:pPr>
            <w:r>
              <w:rPr>
                <w:rFonts w:ascii="宋体" w:hAnsi="宋体" w:cs="宋体" w:eastAsia="宋体" w:hint="default"/>
                <w:sz w:val="15"/>
                <w:szCs w:val="15"/>
              </w:rPr>
              <w:t>绥民初字第</w:t>
            </w:r>
            <w:r>
              <w:rPr>
                <w:rFonts w:ascii="宋体" w:hAnsi="宋体" w:cs="宋体" w:eastAsia="宋体" w:hint="default"/>
                <w:spacing w:val="-38"/>
                <w:sz w:val="15"/>
                <w:szCs w:val="15"/>
              </w:rPr>
              <w:t> </w:t>
            </w:r>
            <w:r>
              <w:rPr>
                <w:rFonts w:ascii="Arial" w:hAnsi="Arial" w:cs="Arial" w:eastAsia="Arial" w:hint="default"/>
                <w:sz w:val="15"/>
                <w:szCs w:val="15"/>
              </w:rPr>
              <w:t>143</w:t>
            </w:r>
            <w:r>
              <w:rPr>
                <w:rFonts w:ascii="Arial" w:hAnsi="Arial" w:cs="Arial" w:eastAsia="Arial" w:hint="default"/>
                <w:spacing w:val="-5"/>
                <w:sz w:val="15"/>
                <w:szCs w:val="15"/>
              </w:rPr>
              <w:t> </w:t>
            </w:r>
            <w:r>
              <w:rPr>
                <w:rFonts w:ascii="宋体" w:hAnsi="宋体" w:cs="宋体" w:eastAsia="宋体" w:hint="default"/>
                <w:sz w:val="15"/>
                <w:szCs w:val="15"/>
              </w:rPr>
              <w:t>号民事判决书。</w:t>
            </w:r>
          </w:p>
        </w:tc>
        <w:tc>
          <w:tcPr>
            <w:tcW w:w="2859" w:type="dxa"/>
            <w:tcBorders>
              <w:top w:val="single" w:sz="8" w:space="0" w:color="41B7EE"/>
              <w:left w:val="single" w:sz="4" w:space="0" w:color="41B7EE"/>
              <w:bottom w:val="single" w:sz="4" w:space="0" w:color="41B7EE"/>
              <w:right w:val="single" w:sz="4" w:space="0" w:color="41B7EE"/>
            </w:tcBorders>
          </w:tcPr>
          <w:p>
            <w:pPr>
              <w:pStyle w:val="TableParagraph"/>
              <w:spacing w:line="175" w:lineRule="exact"/>
              <w:ind w:right="97"/>
              <w:jc w:val="center"/>
              <w:rPr>
                <w:rFonts w:ascii="宋体" w:hAnsi="宋体" w:cs="宋体" w:eastAsia="宋体" w:hint="default"/>
                <w:sz w:val="15"/>
                <w:szCs w:val="15"/>
              </w:rPr>
            </w:pPr>
            <w:r>
              <w:rPr>
                <w:rFonts w:ascii="宋体" w:hAnsi="宋体" w:cs="宋体" w:eastAsia="宋体" w:hint="default"/>
                <w:spacing w:val="-2"/>
                <w:sz w:val="15"/>
                <w:szCs w:val="15"/>
              </w:rPr>
              <w:t>告纪长武对上述款项承担连带清偿责任。</w:t>
            </w:r>
          </w:p>
        </w:tc>
        <w:tc>
          <w:tcPr>
            <w:tcW w:w="1529" w:type="dxa"/>
            <w:tcBorders>
              <w:top w:val="single" w:sz="8" w:space="0" w:color="41B7EE"/>
              <w:left w:val="single" w:sz="4" w:space="0" w:color="41B7EE"/>
              <w:bottom w:val="single" w:sz="4" w:space="0" w:color="41B7EE"/>
              <w:right w:val="nil" w:sz="6" w:space="0" w:color="auto"/>
            </w:tcBorders>
          </w:tcPr>
          <w:p>
            <w:pPr>
              <w:pStyle w:val="TableParagraph"/>
              <w:spacing w:line="174" w:lineRule="exact"/>
              <w:ind w:left="21" w:right="0"/>
              <w:jc w:val="left"/>
              <w:rPr>
                <w:rFonts w:ascii="宋体" w:hAnsi="宋体" w:cs="宋体" w:eastAsia="宋体" w:hint="default"/>
                <w:sz w:val="15"/>
                <w:szCs w:val="15"/>
              </w:rPr>
            </w:pPr>
            <w:r>
              <w:rPr>
                <w:rFonts w:ascii="宋体" w:hAnsi="宋体" w:cs="宋体" w:eastAsia="宋体" w:hint="default"/>
                <w:sz w:val="15"/>
                <w:szCs w:val="15"/>
              </w:rPr>
              <w:t>司向法院申请强制执</w:t>
            </w:r>
          </w:p>
          <w:p>
            <w:pPr>
              <w:pStyle w:val="TableParagraph"/>
              <w:spacing w:line="232" w:lineRule="auto" w:before="4"/>
              <w:ind w:left="21" w:right="0"/>
              <w:jc w:val="left"/>
              <w:rPr>
                <w:rFonts w:ascii="宋体" w:hAnsi="宋体" w:cs="宋体" w:eastAsia="宋体" w:hint="default"/>
                <w:sz w:val="15"/>
                <w:szCs w:val="15"/>
              </w:rPr>
            </w:pPr>
            <w:r>
              <w:rPr>
                <w:rFonts w:ascii="宋体" w:hAnsi="宋体" w:cs="宋体" w:eastAsia="宋体" w:hint="default"/>
                <w:spacing w:val="-2"/>
                <w:sz w:val="15"/>
                <w:szCs w:val="15"/>
              </w:rPr>
              <w:t>行，无可供执行财产。</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沈阳市和平区人民法</w:t>
            </w:r>
            <w:r>
              <w:rPr>
                <w:rFonts w:ascii="宋体" w:hAnsi="宋体" w:cs="宋体" w:eastAsia="宋体" w:hint="default"/>
                <w:w w:val="100"/>
                <w:sz w:val="15"/>
                <w:szCs w:val="15"/>
              </w:rPr>
              <w:t> </w:t>
            </w:r>
            <w:r>
              <w:rPr>
                <w:rFonts w:ascii="宋体" w:hAnsi="宋体" w:cs="宋体" w:eastAsia="宋体" w:hint="default"/>
                <w:spacing w:val="-7"/>
                <w:sz w:val="15"/>
                <w:szCs w:val="15"/>
              </w:rPr>
              <w:t>院下达（</w:t>
            </w:r>
            <w:r>
              <w:rPr>
                <w:rFonts w:ascii="Arial" w:hAnsi="Arial" w:cs="Arial" w:eastAsia="Arial" w:hint="default"/>
                <w:spacing w:val="-7"/>
                <w:sz w:val="15"/>
                <w:szCs w:val="15"/>
              </w:rPr>
              <w:t>2015</w:t>
            </w:r>
            <w:r>
              <w:rPr>
                <w:rFonts w:ascii="宋体" w:hAnsi="宋体" w:cs="宋体" w:eastAsia="宋体" w:hint="default"/>
                <w:spacing w:val="-7"/>
                <w:sz w:val="15"/>
                <w:szCs w:val="15"/>
              </w:rPr>
              <w:t>）沈和执</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字第</w:t>
            </w:r>
            <w:r>
              <w:rPr>
                <w:rFonts w:ascii="宋体" w:hAnsi="宋体" w:cs="宋体" w:eastAsia="宋体" w:hint="default"/>
                <w:spacing w:val="-39"/>
                <w:sz w:val="15"/>
                <w:szCs w:val="15"/>
              </w:rPr>
              <w:t> </w:t>
            </w:r>
            <w:r>
              <w:rPr>
                <w:rFonts w:ascii="Arial" w:hAnsi="Arial" w:cs="Arial" w:eastAsia="Arial" w:hint="default"/>
                <w:sz w:val="15"/>
                <w:szCs w:val="15"/>
              </w:rPr>
              <w:t>537</w:t>
            </w:r>
            <w:r>
              <w:rPr>
                <w:rFonts w:ascii="Arial" w:hAnsi="Arial" w:cs="Arial" w:eastAsia="Arial" w:hint="default"/>
                <w:spacing w:val="-6"/>
                <w:sz w:val="15"/>
                <w:szCs w:val="15"/>
              </w:rPr>
              <w:t> </w:t>
            </w:r>
            <w:r>
              <w:rPr>
                <w:rFonts w:ascii="宋体" w:hAnsi="宋体" w:cs="宋体" w:eastAsia="宋体" w:hint="default"/>
                <w:sz w:val="15"/>
                <w:szCs w:val="15"/>
              </w:rPr>
              <w:t>号查证结果</w:t>
            </w:r>
            <w:r>
              <w:rPr>
                <w:rFonts w:ascii="宋体" w:hAnsi="宋体" w:cs="宋体" w:eastAsia="宋体" w:hint="default"/>
                <w:w w:val="100"/>
                <w:sz w:val="15"/>
                <w:szCs w:val="15"/>
              </w:rPr>
              <w:t> </w:t>
            </w:r>
            <w:r>
              <w:rPr>
                <w:rFonts w:ascii="宋体" w:hAnsi="宋体" w:cs="宋体" w:eastAsia="宋体" w:hint="default"/>
                <w:spacing w:val="-4"/>
                <w:sz w:val="15"/>
                <w:szCs w:val="15"/>
              </w:rPr>
              <w:t>通知书，因未发现被执</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pacing w:val="-2"/>
                <w:sz w:val="15"/>
                <w:szCs w:val="15"/>
              </w:rPr>
              <w:t>行人有可供执行财产，</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Arial" w:hAnsi="Arial" w:cs="Arial" w:eastAsia="Arial" w:hint="default"/>
                <w:sz w:val="15"/>
                <w:szCs w:val="15"/>
              </w:rPr>
              <w:t>2016</w:t>
            </w:r>
            <w:r>
              <w:rPr>
                <w:rFonts w:ascii="Arial" w:hAnsi="Arial" w:cs="Arial" w:eastAsia="Arial" w:hint="default"/>
                <w:spacing w:val="-7"/>
                <w:sz w:val="15"/>
                <w:szCs w:val="15"/>
              </w:rPr>
              <w:t> </w:t>
            </w:r>
            <w:r>
              <w:rPr>
                <w:rFonts w:ascii="宋体" w:hAnsi="宋体" w:cs="宋体" w:eastAsia="宋体" w:hint="default"/>
                <w:sz w:val="15"/>
                <w:szCs w:val="15"/>
              </w:rPr>
              <w:t>年终结本次执行</w:t>
            </w:r>
            <w:r>
              <w:rPr>
                <w:rFonts w:ascii="宋体" w:hAnsi="宋体" w:cs="宋体" w:eastAsia="宋体" w:hint="default"/>
                <w:w w:val="100"/>
                <w:sz w:val="15"/>
                <w:szCs w:val="15"/>
              </w:rPr>
              <w:t> </w:t>
            </w:r>
            <w:r>
              <w:rPr>
                <w:rFonts w:ascii="宋体" w:hAnsi="宋体" w:cs="宋体" w:eastAsia="宋体" w:hint="default"/>
                <w:spacing w:val="-4"/>
                <w:sz w:val="15"/>
                <w:szCs w:val="15"/>
              </w:rPr>
              <w:t>程序，待发现被执行人</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pacing w:val="-4"/>
                <w:sz w:val="15"/>
                <w:szCs w:val="15"/>
              </w:rPr>
              <w:t>有可供执行财产时，可</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恢复执行。</w:t>
            </w:r>
          </w:p>
        </w:tc>
      </w:tr>
      <w:tr>
        <w:trPr>
          <w:trHeight w:val="1567" w:hRule="exact"/>
        </w:trPr>
        <w:tc>
          <w:tcPr>
            <w:tcW w:w="612" w:type="dxa"/>
            <w:tcBorders>
              <w:top w:val="single" w:sz="4" w:space="0" w:color="41B7EE"/>
              <w:left w:val="nil" w:sz="6" w:space="0" w:color="auto"/>
              <w:bottom w:val="single" w:sz="4"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8" w:right="123"/>
              <w:jc w:val="both"/>
              <w:rPr>
                <w:rFonts w:ascii="宋体" w:hAnsi="宋体" w:cs="宋体" w:eastAsia="宋体" w:hint="default"/>
                <w:sz w:val="15"/>
                <w:szCs w:val="15"/>
              </w:rPr>
            </w:pPr>
            <w:r>
              <w:rPr>
                <w:rFonts w:ascii="宋体" w:hAnsi="宋体" w:cs="宋体" w:eastAsia="宋体" w:hint="default"/>
                <w:sz w:val="15"/>
                <w:szCs w:val="15"/>
              </w:rPr>
              <w:t>北大荒</w:t>
            </w:r>
            <w:r>
              <w:rPr>
                <w:rFonts w:ascii="宋体" w:hAnsi="宋体" w:cs="宋体" w:eastAsia="宋体" w:hint="default"/>
                <w:spacing w:val="-72"/>
                <w:sz w:val="15"/>
                <w:szCs w:val="15"/>
              </w:rPr>
              <w:t> </w:t>
            </w:r>
            <w:r>
              <w:rPr>
                <w:rFonts w:ascii="宋体" w:hAnsi="宋体" w:cs="宋体" w:eastAsia="宋体" w:hint="default"/>
                <w:sz w:val="15"/>
                <w:szCs w:val="15"/>
              </w:rPr>
              <w:t>龙垦麦</w:t>
            </w:r>
            <w:r>
              <w:rPr>
                <w:rFonts w:ascii="宋体" w:hAnsi="宋体" w:cs="宋体" w:eastAsia="宋体" w:hint="default"/>
                <w:spacing w:val="-72"/>
                <w:sz w:val="15"/>
                <w:szCs w:val="15"/>
              </w:rPr>
              <w:t> </w:t>
            </w:r>
            <w:r>
              <w:rPr>
                <w:rFonts w:ascii="宋体" w:hAnsi="宋体" w:cs="宋体" w:eastAsia="宋体" w:hint="default"/>
                <w:sz w:val="15"/>
                <w:szCs w:val="15"/>
              </w:rPr>
              <w:t>芽有限</w:t>
            </w:r>
            <w:r>
              <w:rPr>
                <w:rFonts w:ascii="宋体" w:hAnsi="宋体" w:cs="宋体" w:eastAsia="宋体" w:hint="default"/>
                <w:spacing w:val="-72"/>
                <w:sz w:val="15"/>
                <w:szCs w:val="15"/>
              </w:rPr>
              <w:t> </w:t>
            </w:r>
            <w:r>
              <w:rPr>
                <w:rFonts w:ascii="宋体" w:hAnsi="宋体" w:cs="宋体" w:eastAsia="宋体" w:hint="default"/>
                <w:sz w:val="15"/>
                <w:szCs w:val="15"/>
              </w:rPr>
              <w:t>公司</w:t>
            </w:r>
          </w:p>
        </w:tc>
        <w:tc>
          <w:tcPr>
            <w:tcW w:w="64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1" w:right="158"/>
              <w:jc w:val="both"/>
              <w:rPr>
                <w:rFonts w:ascii="宋体" w:hAnsi="宋体" w:cs="宋体" w:eastAsia="宋体" w:hint="default"/>
                <w:sz w:val="15"/>
                <w:szCs w:val="15"/>
              </w:rPr>
            </w:pPr>
            <w:r>
              <w:rPr>
                <w:rFonts w:ascii="宋体" w:hAnsi="宋体" w:cs="宋体" w:eastAsia="宋体" w:hint="default"/>
                <w:sz w:val="15"/>
                <w:szCs w:val="15"/>
              </w:rPr>
              <w:t>霍林郭</w:t>
            </w:r>
            <w:r>
              <w:rPr>
                <w:rFonts w:ascii="宋体" w:hAnsi="宋体" w:cs="宋体" w:eastAsia="宋体" w:hint="default"/>
                <w:spacing w:val="-72"/>
                <w:sz w:val="15"/>
                <w:szCs w:val="15"/>
              </w:rPr>
              <w:t> </w:t>
            </w:r>
            <w:r>
              <w:rPr>
                <w:rFonts w:ascii="宋体" w:hAnsi="宋体" w:cs="宋体" w:eastAsia="宋体" w:hint="default"/>
                <w:sz w:val="15"/>
                <w:szCs w:val="15"/>
              </w:rPr>
              <w:t>勒华泽</w:t>
            </w:r>
            <w:r>
              <w:rPr>
                <w:rFonts w:ascii="宋体" w:hAnsi="宋体" w:cs="宋体" w:eastAsia="宋体" w:hint="default"/>
                <w:spacing w:val="-72"/>
                <w:sz w:val="15"/>
                <w:szCs w:val="15"/>
              </w:rPr>
              <w:t> </w:t>
            </w:r>
            <w:r>
              <w:rPr>
                <w:rFonts w:ascii="宋体" w:hAnsi="宋体" w:cs="宋体" w:eastAsia="宋体" w:hint="default"/>
                <w:sz w:val="15"/>
                <w:szCs w:val="15"/>
              </w:rPr>
              <w:t>麦业有</w:t>
            </w:r>
            <w:r>
              <w:rPr>
                <w:rFonts w:ascii="宋体" w:hAnsi="宋体" w:cs="宋体" w:eastAsia="宋体" w:hint="default"/>
                <w:spacing w:val="-72"/>
                <w:sz w:val="15"/>
                <w:szCs w:val="15"/>
              </w:rPr>
              <w:t> </w:t>
            </w:r>
            <w:r>
              <w:rPr>
                <w:rFonts w:ascii="宋体" w:hAnsi="宋体" w:cs="宋体" w:eastAsia="宋体" w:hint="default"/>
                <w:sz w:val="15"/>
                <w:szCs w:val="15"/>
              </w:rPr>
              <w:t>限公司</w:t>
            </w:r>
          </w:p>
        </w:tc>
        <w:tc>
          <w:tcPr>
            <w:tcW w:w="794" w:type="dxa"/>
            <w:tcBorders>
              <w:top w:val="single" w:sz="4" w:space="0" w:color="41B7EE"/>
              <w:left w:val="single" w:sz="4" w:space="0" w:color="41B7EE"/>
              <w:bottom w:val="single" w:sz="4" w:space="0" w:color="41B7EE"/>
              <w:right w:val="single" w:sz="4" w:space="0" w:color="41B7EE"/>
            </w:tcBorders>
          </w:tcPr>
          <w:p>
            <w:pPr/>
          </w:p>
        </w:tc>
        <w:tc>
          <w:tcPr>
            <w:tcW w:w="600" w:type="dxa"/>
            <w:tcBorders>
              <w:top w:val="single" w:sz="4" w:space="0" w:color="41B7EE"/>
              <w:left w:val="single" w:sz="4" w:space="0" w:color="41B7EE"/>
              <w:bottom w:val="single" w:sz="4" w:space="0" w:color="41B7EE"/>
              <w:right w:val="single" w:sz="4" w:space="0" w:color="41B7EE"/>
            </w:tcBorders>
          </w:tcPr>
          <w:p>
            <w:pPr/>
          </w:p>
        </w:tc>
        <w:tc>
          <w:tcPr>
            <w:tcW w:w="227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194" w:lineRule="exact"/>
              <w:ind w:left="23" w:right="20"/>
              <w:jc w:val="left"/>
              <w:rPr>
                <w:rFonts w:ascii="宋体" w:hAnsi="宋体" w:cs="宋体" w:eastAsia="宋体" w:hint="default"/>
                <w:sz w:val="15"/>
                <w:szCs w:val="15"/>
              </w:rPr>
            </w:pPr>
            <w:r>
              <w:rPr>
                <w:rFonts w:ascii="宋体" w:hAnsi="宋体" w:cs="宋体" w:eastAsia="宋体" w:hint="default"/>
                <w:sz w:val="15"/>
                <w:szCs w:val="15"/>
              </w:rPr>
              <w:t>公司与其自</w:t>
            </w:r>
            <w:r>
              <w:rPr>
                <w:rFonts w:ascii="宋体" w:hAnsi="宋体" w:cs="宋体" w:eastAsia="宋体" w:hint="default"/>
                <w:spacing w:val="-37"/>
                <w:sz w:val="15"/>
                <w:szCs w:val="15"/>
              </w:rPr>
              <w:t> </w:t>
            </w:r>
            <w:r>
              <w:rPr>
                <w:rFonts w:ascii="Arial" w:hAnsi="Arial" w:cs="Arial" w:eastAsia="Arial" w:hint="default"/>
                <w:sz w:val="15"/>
                <w:szCs w:val="15"/>
              </w:rPr>
              <w:t>2006</w:t>
            </w:r>
            <w:r>
              <w:rPr>
                <w:rFonts w:ascii="Arial" w:hAnsi="Arial" w:cs="Arial" w:eastAsia="Arial" w:hint="default"/>
                <w:spacing w:val="-6"/>
                <w:sz w:val="15"/>
                <w:szCs w:val="15"/>
              </w:rPr>
              <w:t> </w:t>
            </w:r>
            <w:r>
              <w:rPr>
                <w:rFonts w:ascii="宋体" w:hAnsi="宋体" w:cs="宋体" w:eastAsia="宋体" w:hint="default"/>
                <w:sz w:val="15"/>
                <w:szCs w:val="15"/>
              </w:rPr>
              <w:t>年开始长期合</w:t>
            </w:r>
            <w:r>
              <w:rPr>
                <w:rFonts w:ascii="宋体" w:hAnsi="宋体" w:cs="宋体" w:eastAsia="宋体" w:hint="default"/>
                <w:w w:val="100"/>
                <w:sz w:val="15"/>
                <w:szCs w:val="15"/>
              </w:rPr>
              <w:t> </w:t>
            </w:r>
            <w:r>
              <w:rPr>
                <w:rFonts w:ascii="宋体" w:hAnsi="宋体" w:cs="宋体" w:eastAsia="宋体" w:hint="default"/>
                <w:spacing w:val="-4"/>
                <w:sz w:val="15"/>
                <w:szCs w:val="15"/>
              </w:rPr>
              <w:t>作，并先期投入大麦种子，但因遇</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4"/>
                <w:sz w:val="15"/>
                <w:szCs w:val="15"/>
              </w:rPr>
              <w:t>自然灾害导致欠收，至今应收帐款</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Arial" w:hAnsi="Arial" w:cs="Arial" w:eastAsia="Arial" w:hint="default"/>
                <w:sz w:val="15"/>
                <w:szCs w:val="15"/>
              </w:rPr>
              <w:t>279</w:t>
            </w:r>
            <w:r>
              <w:rPr>
                <w:rFonts w:ascii="Arial" w:hAnsi="Arial" w:cs="Arial" w:eastAsia="Arial" w:hint="default"/>
                <w:spacing w:val="-6"/>
                <w:sz w:val="15"/>
                <w:szCs w:val="15"/>
              </w:rPr>
              <w:t> </w:t>
            </w:r>
            <w:r>
              <w:rPr>
                <w:rFonts w:ascii="宋体" w:hAnsi="宋体" w:cs="宋体" w:eastAsia="宋体" w:hint="default"/>
                <w:sz w:val="15"/>
                <w:szCs w:val="15"/>
              </w:rPr>
              <w:t>万元。</w:t>
            </w:r>
          </w:p>
        </w:tc>
        <w:tc>
          <w:tcPr>
            <w:tcW w:w="135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Arial" w:hAnsi="Arial" w:cs="Arial" w:eastAsia="Arial" w:hint="default"/>
                <w:sz w:val="15"/>
                <w:szCs w:val="15"/>
              </w:rPr>
            </w:pPr>
            <w:r>
              <w:rPr>
                <w:rFonts w:ascii="Arial"/>
                <w:spacing w:val="-1"/>
                <w:sz w:val="15"/>
              </w:rPr>
              <w:t>2,790,000</w:t>
            </w:r>
          </w:p>
        </w:tc>
        <w:tc>
          <w:tcPr>
            <w:tcW w:w="838" w:type="dxa"/>
            <w:tcBorders>
              <w:top w:val="single" w:sz="4" w:space="0" w:color="41B7EE"/>
              <w:left w:val="single" w:sz="4" w:space="0" w:color="41B7EE"/>
              <w:bottom w:val="single" w:sz="4" w:space="0" w:color="41B7EE"/>
              <w:right w:val="single" w:sz="4" w:space="0" w:color="41B7EE"/>
            </w:tcBorders>
          </w:tcPr>
          <w:p>
            <w:pPr/>
          </w:p>
        </w:tc>
        <w:tc>
          <w:tcPr>
            <w:tcW w:w="242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194" w:lineRule="exact" w:before="115"/>
              <w:ind w:left="23" w:right="17"/>
              <w:jc w:val="both"/>
              <w:rPr>
                <w:rFonts w:ascii="宋体" w:hAnsi="宋体" w:cs="宋体" w:eastAsia="宋体" w:hint="default"/>
                <w:sz w:val="15"/>
                <w:szCs w:val="15"/>
              </w:rPr>
            </w:pPr>
            <w:r>
              <w:rPr>
                <w:rFonts w:ascii="宋体" w:hAnsi="宋体" w:cs="宋体" w:eastAsia="宋体" w:hint="default"/>
                <w:sz w:val="15"/>
                <w:szCs w:val="15"/>
              </w:rPr>
              <w:t>法院于</w:t>
            </w:r>
            <w:r>
              <w:rPr>
                <w:rFonts w:ascii="宋体" w:hAnsi="宋体" w:cs="宋体" w:eastAsia="宋体" w:hint="default"/>
                <w:spacing w:val="-41"/>
                <w:sz w:val="15"/>
                <w:szCs w:val="15"/>
              </w:rPr>
              <w:t> </w:t>
            </w:r>
            <w:r>
              <w:rPr>
                <w:rFonts w:ascii="Arial" w:hAnsi="Arial" w:cs="Arial" w:eastAsia="Arial" w:hint="default"/>
                <w:sz w:val="15"/>
                <w:szCs w:val="15"/>
              </w:rPr>
              <w:t>2013</w:t>
            </w:r>
            <w:r>
              <w:rPr>
                <w:rFonts w:ascii="Arial" w:hAnsi="Arial" w:cs="Arial" w:eastAsia="Arial" w:hint="default"/>
                <w:spacing w:val="-11"/>
                <w:sz w:val="15"/>
                <w:szCs w:val="15"/>
              </w:rPr>
              <w:t> </w:t>
            </w:r>
            <w:r>
              <w:rPr>
                <w:rFonts w:ascii="宋体" w:hAnsi="宋体" w:cs="宋体" w:eastAsia="宋体" w:hint="default"/>
                <w:sz w:val="15"/>
                <w:szCs w:val="15"/>
              </w:rPr>
              <w:t>年</w:t>
            </w:r>
            <w:r>
              <w:rPr>
                <w:rFonts w:ascii="宋体" w:hAnsi="宋体" w:cs="宋体" w:eastAsia="宋体" w:hint="default"/>
                <w:spacing w:val="-42"/>
                <w:sz w:val="15"/>
                <w:szCs w:val="15"/>
              </w:rPr>
              <w:t> </w:t>
            </w:r>
            <w:r>
              <w:rPr>
                <w:rFonts w:ascii="Arial" w:hAnsi="Arial" w:cs="Arial" w:eastAsia="Arial" w:hint="default"/>
                <w:sz w:val="15"/>
                <w:szCs w:val="15"/>
              </w:rPr>
              <w:t>10</w:t>
            </w:r>
            <w:r>
              <w:rPr>
                <w:rFonts w:ascii="Arial" w:hAnsi="Arial" w:cs="Arial" w:eastAsia="Arial" w:hint="default"/>
                <w:spacing w:val="-11"/>
                <w:sz w:val="15"/>
                <w:szCs w:val="15"/>
              </w:rPr>
              <w:t> </w:t>
            </w:r>
            <w:r>
              <w:rPr>
                <w:rFonts w:ascii="宋体" w:hAnsi="宋体" w:cs="宋体" w:eastAsia="宋体" w:hint="default"/>
                <w:sz w:val="15"/>
                <w:szCs w:val="15"/>
              </w:rPr>
              <w:t>月</w:t>
            </w:r>
            <w:r>
              <w:rPr>
                <w:rFonts w:ascii="宋体" w:hAnsi="宋体" w:cs="宋体" w:eastAsia="宋体" w:hint="default"/>
                <w:spacing w:val="-42"/>
                <w:sz w:val="15"/>
                <w:szCs w:val="15"/>
              </w:rPr>
              <w:t> </w:t>
            </w:r>
            <w:r>
              <w:rPr>
                <w:rFonts w:ascii="Arial" w:hAnsi="Arial" w:cs="Arial" w:eastAsia="Arial" w:hint="default"/>
                <w:sz w:val="15"/>
                <w:szCs w:val="15"/>
              </w:rPr>
              <w:t>23</w:t>
            </w:r>
            <w:r>
              <w:rPr>
                <w:rFonts w:ascii="Arial" w:hAnsi="Arial" w:cs="Arial" w:eastAsia="Arial" w:hint="default"/>
                <w:spacing w:val="-9"/>
                <w:sz w:val="15"/>
                <w:szCs w:val="15"/>
              </w:rPr>
              <w:t> </w:t>
            </w:r>
            <w:r>
              <w:rPr>
                <w:rFonts w:ascii="宋体" w:hAnsi="宋体" w:cs="宋体" w:eastAsia="宋体" w:hint="default"/>
                <w:sz w:val="15"/>
                <w:szCs w:val="15"/>
              </w:rPr>
              <w:t>日开庭审理</w:t>
            </w:r>
            <w:r>
              <w:rPr>
                <w:rFonts w:ascii="宋体" w:hAnsi="宋体" w:cs="宋体" w:eastAsia="宋体" w:hint="default"/>
                <w:w w:val="100"/>
                <w:sz w:val="15"/>
                <w:szCs w:val="15"/>
              </w:rPr>
              <w:t> </w:t>
            </w:r>
            <w:r>
              <w:rPr>
                <w:rFonts w:ascii="宋体" w:hAnsi="宋体" w:cs="宋体" w:eastAsia="宋体" w:hint="default"/>
                <w:spacing w:val="-5"/>
                <w:sz w:val="15"/>
                <w:szCs w:val="15"/>
              </w:rPr>
              <w:t>本案，</w:t>
            </w:r>
            <w:r>
              <w:rPr>
                <w:rFonts w:ascii="Arial" w:hAnsi="Arial" w:cs="Arial" w:eastAsia="Arial" w:hint="default"/>
                <w:spacing w:val="-5"/>
                <w:sz w:val="15"/>
                <w:szCs w:val="15"/>
              </w:rPr>
              <w:t>12</w:t>
            </w:r>
            <w:r>
              <w:rPr>
                <w:rFonts w:ascii="Arial" w:hAnsi="Arial" w:cs="Arial" w:eastAsia="Arial" w:hint="default"/>
                <w:spacing w:val="-2"/>
                <w:sz w:val="15"/>
                <w:szCs w:val="15"/>
              </w:rPr>
              <w:t> </w:t>
            </w:r>
            <w:r>
              <w:rPr>
                <w:rFonts w:ascii="宋体" w:hAnsi="宋体" w:cs="宋体" w:eastAsia="宋体" w:hint="default"/>
                <w:sz w:val="15"/>
                <w:szCs w:val="15"/>
              </w:rPr>
              <w:t>月</w:t>
            </w:r>
            <w:r>
              <w:rPr>
                <w:rFonts w:ascii="宋体" w:hAnsi="宋体" w:cs="宋体" w:eastAsia="宋体" w:hint="default"/>
                <w:spacing w:val="-33"/>
                <w:sz w:val="15"/>
                <w:szCs w:val="15"/>
              </w:rPr>
              <w:t> </w:t>
            </w:r>
            <w:r>
              <w:rPr>
                <w:rFonts w:ascii="Arial" w:hAnsi="Arial" w:cs="Arial" w:eastAsia="Arial" w:hint="default"/>
                <w:sz w:val="15"/>
                <w:szCs w:val="15"/>
              </w:rPr>
              <w:t>10 </w:t>
            </w:r>
            <w:r>
              <w:rPr>
                <w:rFonts w:ascii="宋体" w:hAnsi="宋体" w:cs="宋体" w:eastAsia="宋体" w:hint="default"/>
                <w:spacing w:val="-5"/>
                <w:sz w:val="15"/>
                <w:szCs w:val="15"/>
              </w:rPr>
              <w:t>日作出〔</w:t>
            </w:r>
            <w:r>
              <w:rPr>
                <w:rFonts w:ascii="Arial" w:hAnsi="Arial" w:cs="Arial" w:eastAsia="Arial" w:hint="default"/>
                <w:spacing w:val="-5"/>
                <w:sz w:val="15"/>
                <w:szCs w:val="15"/>
              </w:rPr>
              <w:t>2013</w:t>
            </w:r>
            <w:r>
              <w:rPr>
                <w:rFonts w:ascii="宋体" w:hAnsi="宋体" w:cs="宋体" w:eastAsia="宋体" w:hint="default"/>
                <w:spacing w:val="-5"/>
                <w:sz w:val="15"/>
                <w:szCs w:val="15"/>
              </w:rPr>
              <w:t>〕垦商</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初字第</w:t>
            </w:r>
            <w:r>
              <w:rPr>
                <w:rFonts w:ascii="宋体" w:hAnsi="宋体" w:cs="宋体" w:eastAsia="宋体" w:hint="default"/>
                <w:spacing w:val="-38"/>
                <w:sz w:val="15"/>
                <w:szCs w:val="15"/>
              </w:rPr>
              <w:t> </w:t>
            </w:r>
            <w:r>
              <w:rPr>
                <w:rFonts w:ascii="Arial" w:hAnsi="Arial" w:cs="Arial" w:eastAsia="Arial" w:hint="default"/>
                <w:sz w:val="15"/>
                <w:szCs w:val="15"/>
              </w:rPr>
              <w:t>21</w:t>
            </w:r>
            <w:r>
              <w:rPr>
                <w:rFonts w:ascii="Arial" w:hAnsi="Arial" w:cs="Arial" w:eastAsia="Arial" w:hint="default"/>
                <w:spacing w:val="-5"/>
                <w:sz w:val="15"/>
                <w:szCs w:val="15"/>
              </w:rPr>
              <w:t> </w:t>
            </w:r>
            <w:r>
              <w:rPr>
                <w:rFonts w:ascii="宋体" w:hAnsi="宋体" w:cs="宋体" w:eastAsia="宋体" w:hint="default"/>
                <w:sz w:val="15"/>
                <w:szCs w:val="15"/>
              </w:rPr>
              <w:t>号民事判决书。</w:t>
            </w:r>
          </w:p>
        </w:tc>
        <w:tc>
          <w:tcPr>
            <w:tcW w:w="285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194" w:lineRule="exact" w:before="105"/>
              <w:ind w:left="24" w:right="17"/>
              <w:jc w:val="left"/>
              <w:rPr>
                <w:rFonts w:ascii="宋体" w:hAnsi="宋体" w:cs="宋体" w:eastAsia="宋体" w:hint="default"/>
                <w:sz w:val="15"/>
                <w:szCs w:val="15"/>
              </w:rPr>
            </w:pPr>
            <w:r>
              <w:rPr>
                <w:rFonts w:ascii="宋体" w:hAnsi="宋体" w:cs="宋体" w:eastAsia="宋体" w:hint="default"/>
                <w:sz w:val="15"/>
                <w:szCs w:val="15"/>
              </w:rPr>
              <w:t>判决结果：华泽麦业给付原告欠款</w:t>
            </w:r>
            <w:r>
              <w:rPr>
                <w:rFonts w:ascii="宋体" w:hAnsi="宋体" w:cs="宋体" w:eastAsia="宋体" w:hint="default"/>
                <w:w w:val="100"/>
                <w:sz w:val="15"/>
                <w:szCs w:val="15"/>
              </w:rPr>
              <w:t> </w:t>
            </w:r>
            <w:r>
              <w:rPr>
                <w:rFonts w:ascii="Arial" w:hAnsi="Arial" w:cs="Arial" w:eastAsia="Arial" w:hint="default"/>
                <w:sz w:val="15"/>
                <w:szCs w:val="15"/>
              </w:rPr>
              <w:t>2,793,848.95</w:t>
            </w:r>
            <w:r>
              <w:rPr>
                <w:rFonts w:ascii="Arial" w:hAnsi="Arial" w:cs="Arial" w:eastAsia="Arial" w:hint="default"/>
                <w:spacing w:val="-6"/>
                <w:sz w:val="15"/>
                <w:szCs w:val="15"/>
              </w:rPr>
              <w:t> </w:t>
            </w:r>
            <w:r>
              <w:rPr>
                <w:rFonts w:ascii="宋体" w:hAnsi="宋体" w:cs="宋体" w:eastAsia="宋体" w:hint="default"/>
                <w:sz w:val="15"/>
                <w:szCs w:val="15"/>
              </w:rPr>
              <w:t>元及利息（</w:t>
            </w:r>
            <w:r>
              <w:rPr>
                <w:rFonts w:ascii="Arial" w:hAnsi="Arial" w:cs="Arial" w:eastAsia="Arial" w:hint="default"/>
                <w:sz w:val="15"/>
                <w:szCs w:val="15"/>
              </w:rPr>
              <w:t>2013</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6</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7</w:t>
            </w:r>
            <w:r>
              <w:rPr>
                <w:rFonts w:ascii="Arial" w:hAnsi="Arial" w:cs="Arial" w:eastAsia="Arial" w:hint="default"/>
                <w:spacing w:val="-6"/>
                <w:sz w:val="15"/>
                <w:szCs w:val="15"/>
              </w:rPr>
              <w:t> </w:t>
            </w:r>
            <w:r>
              <w:rPr>
                <w:rFonts w:ascii="宋体" w:hAnsi="宋体" w:cs="宋体" w:eastAsia="宋体" w:hint="default"/>
                <w:sz w:val="15"/>
                <w:szCs w:val="15"/>
              </w:rPr>
              <w:t>日</w:t>
            </w:r>
            <w:r>
              <w:rPr>
                <w:rFonts w:ascii="宋体" w:hAnsi="宋体" w:cs="宋体" w:eastAsia="宋体" w:hint="default"/>
                <w:w w:val="100"/>
                <w:sz w:val="15"/>
                <w:szCs w:val="15"/>
              </w:rPr>
              <w:t> </w:t>
            </w:r>
            <w:r>
              <w:rPr>
                <w:rFonts w:ascii="宋体" w:hAnsi="宋体" w:cs="宋体" w:eastAsia="宋体" w:hint="default"/>
                <w:spacing w:val="-4"/>
                <w:sz w:val="15"/>
                <w:szCs w:val="15"/>
              </w:rPr>
              <w:t>至给付日银行同期贷款利率）；加倍支付延</w:t>
            </w:r>
            <w:r>
              <w:rPr>
                <w:rFonts w:ascii="宋体" w:hAnsi="宋体" w:cs="宋体" w:eastAsia="宋体" w:hint="default"/>
                <w:spacing w:val="-50"/>
                <w:sz w:val="15"/>
                <w:szCs w:val="15"/>
              </w:rPr>
              <w:t> </w:t>
            </w:r>
            <w:r>
              <w:rPr>
                <w:rFonts w:ascii="宋体" w:hAnsi="宋体" w:cs="宋体" w:eastAsia="宋体" w:hint="default"/>
                <w:spacing w:val="-50"/>
                <w:sz w:val="15"/>
                <w:szCs w:val="15"/>
              </w:rPr>
            </w:r>
            <w:r>
              <w:rPr>
                <w:rFonts w:ascii="宋体" w:hAnsi="宋体" w:cs="宋体" w:eastAsia="宋体" w:hint="default"/>
                <w:spacing w:val="-4"/>
                <w:sz w:val="15"/>
                <w:szCs w:val="15"/>
              </w:rPr>
              <w:t>期履行期间的债务利息；案件受理费被告负</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担</w:t>
            </w:r>
            <w:r>
              <w:rPr>
                <w:rFonts w:ascii="宋体" w:hAnsi="宋体" w:cs="宋体" w:eastAsia="宋体" w:hint="default"/>
                <w:spacing w:val="-36"/>
                <w:sz w:val="15"/>
                <w:szCs w:val="15"/>
              </w:rPr>
              <w:t> </w:t>
            </w:r>
            <w:r>
              <w:rPr>
                <w:rFonts w:ascii="Arial" w:hAnsi="Arial" w:cs="Arial" w:eastAsia="Arial" w:hint="default"/>
                <w:sz w:val="15"/>
                <w:szCs w:val="15"/>
              </w:rPr>
              <w:t>29,933</w:t>
            </w:r>
            <w:r>
              <w:rPr>
                <w:rFonts w:ascii="Arial" w:hAnsi="Arial" w:cs="Arial" w:eastAsia="Arial" w:hint="default"/>
                <w:spacing w:val="-5"/>
                <w:sz w:val="15"/>
                <w:szCs w:val="15"/>
              </w:rPr>
              <w:t> </w:t>
            </w:r>
            <w:r>
              <w:rPr>
                <w:rFonts w:ascii="宋体" w:hAnsi="宋体" w:cs="宋体" w:eastAsia="宋体" w:hint="default"/>
                <w:sz w:val="15"/>
                <w:szCs w:val="15"/>
              </w:rPr>
              <w:t>元，原告负担</w:t>
            </w:r>
            <w:r>
              <w:rPr>
                <w:rFonts w:ascii="宋体" w:hAnsi="宋体" w:cs="宋体" w:eastAsia="宋体" w:hint="default"/>
                <w:spacing w:val="-38"/>
                <w:sz w:val="15"/>
                <w:szCs w:val="15"/>
              </w:rPr>
              <w:t> </w:t>
            </w:r>
            <w:r>
              <w:rPr>
                <w:rFonts w:ascii="Arial" w:hAnsi="Arial" w:cs="Arial" w:eastAsia="Arial" w:hint="default"/>
                <w:sz w:val="15"/>
                <w:szCs w:val="15"/>
              </w:rPr>
              <w:t>3,152</w:t>
            </w:r>
            <w:r>
              <w:rPr>
                <w:rFonts w:ascii="Arial" w:hAnsi="Arial" w:cs="Arial" w:eastAsia="Arial" w:hint="default"/>
                <w:spacing w:val="-5"/>
                <w:sz w:val="15"/>
                <w:szCs w:val="15"/>
              </w:rPr>
              <w:t> </w:t>
            </w:r>
            <w:r>
              <w:rPr>
                <w:rFonts w:ascii="宋体" w:hAnsi="宋体" w:cs="宋体" w:eastAsia="宋体" w:hint="default"/>
                <w:sz w:val="15"/>
                <w:szCs w:val="15"/>
              </w:rPr>
              <w:t>元。</w:t>
            </w:r>
          </w:p>
        </w:tc>
        <w:tc>
          <w:tcPr>
            <w:tcW w:w="1529" w:type="dxa"/>
            <w:tcBorders>
              <w:top w:val="single" w:sz="4" w:space="0" w:color="41B7EE"/>
              <w:left w:val="single" w:sz="4" w:space="0" w:color="41B7EE"/>
              <w:bottom w:val="single" w:sz="4" w:space="0" w:color="41B7EE"/>
              <w:right w:val="nil" w:sz="6" w:space="0" w:color="auto"/>
            </w:tcBorders>
          </w:tcPr>
          <w:p>
            <w:pPr>
              <w:pStyle w:val="TableParagraph"/>
              <w:spacing w:line="174" w:lineRule="exact"/>
              <w:ind w:left="21" w:right="0"/>
              <w:jc w:val="left"/>
              <w:rPr>
                <w:rFonts w:ascii="宋体" w:hAnsi="宋体" w:cs="宋体" w:eastAsia="宋体" w:hint="default"/>
                <w:sz w:val="15"/>
                <w:szCs w:val="15"/>
              </w:rPr>
            </w:pPr>
            <w:r>
              <w:rPr>
                <w:rFonts w:ascii="宋体" w:hAnsi="宋体" w:cs="宋体" w:eastAsia="宋体" w:hint="default"/>
                <w:spacing w:val="-4"/>
                <w:sz w:val="15"/>
                <w:szCs w:val="15"/>
              </w:rPr>
              <w:t>判决生效后，被告未能</w:t>
            </w:r>
          </w:p>
          <w:p>
            <w:pPr>
              <w:pStyle w:val="TableParagraph"/>
              <w:spacing w:line="240" w:lineRule="auto"/>
              <w:ind w:left="21" w:right="24"/>
              <w:jc w:val="left"/>
              <w:rPr>
                <w:rFonts w:ascii="宋体" w:hAnsi="宋体" w:cs="宋体" w:eastAsia="宋体" w:hint="default"/>
                <w:sz w:val="15"/>
                <w:szCs w:val="15"/>
              </w:rPr>
            </w:pPr>
            <w:r>
              <w:rPr>
                <w:rFonts w:ascii="宋体" w:hAnsi="宋体" w:cs="宋体" w:eastAsia="宋体" w:hint="default"/>
                <w:spacing w:val="-4"/>
                <w:sz w:val="15"/>
                <w:szCs w:val="15"/>
              </w:rPr>
              <w:t>履行还款义务，公司向</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pacing w:val="-4"/>
                <w:sz w:val="15"/>
                <w:szCs w:val="15"/>
              </w:rPr>
              <w:t>法院申请强制执行，经</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查询被执行人无可供</w:t>
            </w:r>
            <w:r>
              <w:rPr>
                <w:rFonts w:ascii="宋体" w:hAnsi="宋体" w:cs="宋体" w:eastAsia="宋体" w:hint="default"/>
                <w:w w:val="100"/>
                <w:sz w:val="15"/>
                <w:szCs w:val="15"/>
              </w:rPr>
              <w:t> </w:t>
            </w:r>
            <w:r>
              <w:rPr>
                <w:rFonts w:ascii="宋体" w:hAnsi="宋体" w:cs="宋体" w:eastAsia="宋体" w:hint="default"/>
                <w:spacing w:val="-4"/>
                <w:sz w:val="15"/>
                <w:szCs w:val="15"/>
              </w:rPr>
              <w:t>执行财产，暂时终结本</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pacing w:val="-4"/>
                <w:sz w:val="15"/>
                <w:szCs w:val="15"/>
              </w:rPr>
              <w:t>次执行。待被执行人有</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z w:val="15"/>
                <w:szCs w:val="15"/>
              </w:rPr>
              <w:t>可供执行财产再恢复</w:t>
            </w:r>
            <w:r>
              <w:rPr>
                <w:rFonts w:ascii="宋体" w:hAnsi="宋体" w:cs="宋体" w:eastAsia="宋体" w:hint="default"/>
                <w:w w:val="100"/>
                <w:sz w:val="15"/>
                <w:szCs w:val="15"/>
              </w:rPr>
              <w:t> </w:t>
            </w:r>
            <w:r>
              <w:rPr>
                <w:rFonts w:ascii="宋体" w:hAnsi="宋体" w:cs="宋体" w:eastAsia="宋体" w:hint="default"/>
                <w:sz w:val="15"/>
                <w:szCs w:val="15"/>
              </w:rPr>
              <w:t>执行。</w:t>
            </w:r>
          </w:p>
        </w:tc>
      </w:tr>
      <w:tr>
        <w:trPr>
          <w:trHeight w:val="2734" w:hRule="exact"/>
        </w:trPr>
        <w:tc>
          <w:tcPr>
            <w:tcW w:w="612" w:type="dxa"/>
            <w:tcBorders>
              <w:top w:val="single" w:sz="4" w:space="0" w:color="41B7EE"/>
              <w:left w:val="nil" w:sz="6" w:space="0" w:color="auto"/>
              <w:bottom w:val="single" w:sz="4"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left="28" w:right="123"/>
              <w:jc w:val="both"/>
              <w:rPr>
                <w:rFonts w:ascii="宋体" w:hAnsi="宋体" w:cs="宋体" w:eastAsia="宋体" w:hint="default"/>
                <w:sz w:val="15"/>
                <w:szCs w:val="15"/>
              </w:rPr>
            </w:pPr>
            <w:r>
              <w:rPr>
                <w:rFonts w:ascii="宋体" w:hAnsi="宋体" w:cs="宋体" w:eastAsia="宋体" w:hint="default"/>
                <w:sz w:val="15"/>
                <w:szCs w:val="15"/>
              </w:rPr>
              <w:t>北大荒</w:t>
            </w:r>
            <w:r>
              <w:rPr>
                <w:rFonts w:ascii="宋体" w:hAnsi="宋体" w:cs="宋体" w:eastAsia="宋体" w:hint="default"/>
                <w:spacing w:val="-72"/>
                <w:sz w:val="15"/>
                <w:szCs w:val="15"/>
              </w:rPr>
              <w:t> </w:t>
            </w:r>
            <w:r>
              <w:rPr>
                <w:rFonts w:ascii="宋体" w:hAnsi="宋体" w:cs="宋体" w:eastAsia="宋体" w:hint="default"/>
                <w:sz w:val="15"/>
                <w:szCs w:val="15"/>
              </w:rPr>
              <w:t>龙垦麦</w:t>
            </w:r>
            <w:r>
              <w:rPr>
                <w:rFonts w:ascii="宋体" w:hAnsi="宋体" w:cs="宋体" w:eastAsia="宋体" w:hint="default"/>
                <w:spacing w:val="-72"/>
                <w:sz w:val="15"/>
                <w:szCs w:val="15"/>
              </w:rPr>
              <w:t> </w:t>
            </w:r>
            <w:r>
              <w:rPr>
                <w:rFonts w:ascii="宋体" w:hAnsi="宋体" w:cs="宋体" w:eastAsia="宋体" w:hint="default"/>
                <w:sz w:val="15"/>
                <w:szCs w:val="15"/>
              </w:rPr>
              <w:t>芽有限</w:t>
            </w:r>
            <w:r>
              <w:rPr>
                <w:rFonts w:ascii="宋体" w:hAnsi="宋体" w:cs="宋体" w:eastAsia="宋体" w:hint="default"/>
                <w:spacing w:val="-72"/>
                <w:sz w:val="15"/>
                <w:szCs w:val="15"/>
              </w:rPr>
              <w:t> </w:t>
            </w:r>
            <w:r>
              <w:rPr>
                <w:rFonts w:ascii="宋体" w:hAnsi="宋体" w:cs="宋体" w:eastAsia="宋体" w:hint="default"/>
                <w:sz w:val="15"/>
                <w:szCs w:val="15"/>
              </w:rPr>
              <w:t>公司</w:t>
            </w:r>
          </w:p>
        </w:tc>
        <w:tc>
          <w:tcPr>
            <w:tcW w:w="64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0"/>
              <w:ind w:left="21" w:right="19"/>
              <w:jc w:val="left"/>
              <w:rPr>
                <w:rFonts w:ascii="宋体" w:hAnsi="宋体" w:cs="宋体" w:eastAsia="宋体" w:hint="default"/>
                <w:sz w:val="15"/>
                <w:szCs w:val="15"/>
              </w:rPr>
            </w:pPr>
            <w:r>
              <w:rPr>
                <w:rFonts w:ascii="宋体" w:hAnsi="宋体" w:cs="宋体" w:eastAsia="宋体" w:hint="default"/>
                <w:sz w:val="15"/>
                <w:szCs w:val="15"/>
              </w:rPr>
              <w:t>阿尔山</w:t>
            </w:r>
            <w:r>
              <w:rPr>
                <w:rFonts w:ascii="宋体" w:hAnsi="宋体" w:cs="宋体" w:eastAsia="宋体" w:hint="default"/>
                <w:spacing w:val="-72"/>
                <w:sz w:val="15"/>
                <w:szCs w:val="15"/>
              </w:rPr>
              <w:t> </w:t>
            </w:r>
            <w:r>
              <w:rPr>
                <w:rFonts w:ascii="宋体" w:hAnsi="宋体" w:cs="宋体" w:eastAsia="宋体" w:hint="default"/>
                <w:sz w:val="15"/>
                <w:szCs w:val="15"/>
              </w:rPr>
              <w:t>市金仓</w:t>
            </w:r>
            <w:r>
              <w:rPr>
                <w:rFonts w:ascii="宋体" w:hAnsi="宋体" w:cs="宋体" w:eastAsia="宋体" w:hint="default"/>
                <w:spacing w:val="-72"/>
                <w:sz w:val="15"/>
                <w:szCs w:val="15"/>
              </w:rPr>
              <w:t> </w:t>
            </w:r>
            <w:r>
              <w:rPr>
                <w:rFonts w:ascii="宋体" w:hAnsi="宋体" w:cs="宋体" w:eastAsia="宋体" w:hint="default"/>
                <w:sz w:val="15"/>
                <w:szCs w:val="15"/>
              </w:rPr>
              <w:t>商贸有</w:t>
            </w:r>
            <w:r>
              <w:rPr>
                <w:rFonts w:ascii="宋体" w:hAnsi="宋体" w:cs="宋体" w:eastAsia="宋体" w:hint="default"/>
                <w:spacing w:val="-72"/>
                <w:sz w:val="15"/>
                <w:szCs w:val="15"/>
              </w:rPr>
              <w:t> </w:t>
            </w:r>
            <w:r>
              <w:rPr>
                <w:rFonts w:ascii="宋体" w:hAnsi="宋体" w:cs="宋体" w:eastAsia="宋体" w:hint="default"/>
                <w:sz w:val="15"/>
                <w:szCs w:val="15"/>
              </w:rPr>
              <w:t>限责任</w:t>
            </w:r>
            <w:r>
              <w:rPr>
                <w:rFonts w:ascii="宋体" w:hAnsi="宋体" w:cs="宋体" w:eastAsia="宋体" w:hint="default"/>
                <w:spacing w:val="-72"/>
                <w:sz w:val="15"/>
                <w:szCs w:val="15"/>
              </w:rPr>
              <w:t> </w:t>
            </w:r>
            <w:r>
              <w:rPr>
                <w:rFonts w:ascii="宋体" w:hAnsi="宋体" w:cs="宋体" w:eastAsia="宋体" w:hint="default"/>
                <w:spacing w:val="-3"/>
                <w:sz w:val="15"/>
                <w:szCs w:val="15"/>
              </w:rPr>
              <w:t>公司、张</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国军</w:t>
            </w:r>
          </w:p>
        </w:tc>
        <w:tc>
          <w:tcPr>
            <w:tcW w:w="794" w:type="dxa"/>
            <w:tcBorders>
              <w:top w:val="single" w:sz="4" w:space="0" w:color="41B7EE"/>
              <w:left w:val="single" w:sz="4" w:space="0" w:color="41B7EE"/>
              <w:bottom w:val="single" w:sz="4" w:space="0" w:color="41B7EE"/>
              <w:right w:val="single" w:sz="4" w:space="0" w:color="41B7EE"/>
            </w:tcBorders>
          </w:tcPr>
          <w:p>
            <w:pPr/>
          </w:p>
        </w:tc>
        <w:tc>
          <w:tcPr>
            <w:tcW w:w="60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4"/>
              <w:ind w:left="23" w:right="0"/>
              <w:jc w:val="left"/>
              <w:rPr>
                <w:rFonts w:ascii="宋体" w:hAnsi="宋体" w:cs="宋体" w:eastAsia="宋体" w:hint="default"/>
                <w:sz w:val="15"/>
                <w:szCs w:val="15"/>
              </w:rPr>
            </w:pPr>
            <w:r>
              <w:rPr>
                <w:rFonts w:ascii="宋体" w:hAnsi="宋体" w:cs="宋体" w:eastAsia="宋体" w:hint="default"/>
                <w:sz w:val="15"/>
                <w:szCs w:val="15"/>
              </w:rPr>
              <w:t>诉讼</w:t>
            </w:r>
          </w:p>
        </w:tc>
        <w:tc>
          <w:tcPr>
            <w:tcW w:w="2273" w:type="dxa"/>
            <w:tcBorders>
              <w:top w:val="single" w:sz="4" w:space="0" w:color="41B7EE"/>
              <w:left w:val="single" w:sz="4" w:space="0" w:color="41B7EE"/>
              <w:bottom w:val="single" w:sz="4" w:space="0" w:color="41B7EE"/>
              <w:right w:val="single" w:sz="4" w:space="0" w:color="41B7EE"/>
            </w:tcBorders>
          </w:tcPr>
          <w:p>
            <w:pPr>
              <w:pStyle w:val="TableParagraph"/>
              <w:spacing w:line="177" w:lineRule="exact"/>
              <w:ind w:left="23" w:right="0"/>
              <w:jc w:val="left"/>
              <w:rPr>
                <w:rFonts w:ascii="宋体" w:hAnsi="宋体" w:cs="宋体" w:eastAsia="宋体" w:hint="default"/>
                <w:sz w:val="15"/>
                <w:szCs w:val="15"/>
              </w:rPr>
            </w:pPr>
            <w:r>
              <w:rPr>
                <w:rFonts w:ascii="Arial" w:hAnsi="Arial" w:cs="Arial" w:eastAsia="Arial" w:hint="default"/>
                <w:sz w:val="15"/>
                <w:szCs w:val="15"/>
              </w:rPr>
              <w:t>2012</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4</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9</w:t>
            </w:r>
            <w:r>
              <w:rPr>
                <w:rFonts w:ascii="Arial" w:hAnsi="Arial" w:cs="Arial" w:eastAsia="Arial" w:hint="default"/>
                <w:spacing w:val="-6"/>
                <w:sz w:val="15"/>
                <w:szCs w:val="15"/>
              </w:rPr>
              <w:t> </w:t>
            </w:r>
            <w:r>
              <w:rPr>
                <w:rFonts w:ascii="宋体" w:hAnsi="宋体" w:cs="宋体" w:eastAsia="宋体" w:hint="default"/>
                <w:sz w:val="15"/>
                <w:szCs w:val="15"/>
              </w:rPr>
              <w:t>日，公司与被告金</w:t>
            </w:r>
          </w:p>
          <w:p>
            <w:pPr>
              <w:pStyle w:val="TableParagraph"/>
              <w:spacing w:line="237" w:lineRule="auto"/>
              <w:ind w:left="23" w:right="20"/>
              <w:jc w:val="both"/>
              <w:rPr>
                <w:rFonts w:ascii="宋体" w:hAnsi="宋体" w:cs="宋体" w:eastAsia="宋体" w:hint="default"/>
                <w:sz w:val="15"/>
                <w:szCs w:val="15"/>
              </w:rPr>
            </w:pPr>
            <w:r>
              <w:rPr>
                <w:rFonts w:ascii="宋体" w:hAnsi="宋体" w:cs="宋体" w:eastAsia="宋体" w:hint="default"/>
                <w:spacing w:val="-4"/>
                <w:sz w:val="15"/>
                <w:szCs w:val="15"/>
              </w:rPr>
              <w:t>仓商贸公司合作大麦种植业务，公</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pacing w:val="-4"/>
                <w:sz w:val="15"/>
                <w:szCs w:val="15"/>
              </w:rPr>
              <w:t>司借款给被告用于大麦种植，产出</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pacing w:val="-4"/>
                <w:sz w:val="15"/>
                <w:szCs w:val="15"/>
              </w:rPr>
              <w:t>的大麦由公司负责收购。公司共计</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向被告支付大麦款</w:t>
            </w:r>
            <w:r>
              <w:rPr>
                <w:rFonts w:ascii="宋体" w:hAnsi="宋体" w:cs="宋体" w:eastAsia="宋体" w:hint="default"/>
                <w:spacing w:val="-40"/>
                <w:sz w:val="15"/>
                <w:szCs w:val="15"/>
              </w:rPr>
              <w:t> </w:t>
            </w:r>
            <w:r>
              <w:rPr>
                <w:rFonts w:ascii="Arial" w:hAnsi="Arial" w:cs="Arial" w:eastAsia="Arial" w:hint="default"/>
                <w:sz w:val="15"/>
                <w:szCs w:val="15"/>
              </w:rPr>
              <w:t>1172</w:t>
            </w:r>
            <w:r>
              <w:rPr>
                <w:rFonts w:ascii="Arial" w:hAnsi="Arial" w:cs="Arial" w:eastAsia="Arial" w:hint="default"/>
                <w:spacing w:val="-5"/>
                <w:sz w:val="15"/>
                <w:szCs w:val="15"/>
              </w:rPr>
              <w:t> </w:t>
            </w:r>
            <w:r>
              <w:rPr>
                <w:rFonts w:ascii="宋体" w:hAnsi="宋体" w:cs="宋体" w:eastAsia="宋体" w:hint="default"/>
                <w:sz w:val="15"/>
                <w:szCs w:val="15"/>
              </w:rPr>
              <w:t>万元，但</w:t>
            </w:r>
          </w:p>
          <w:p>
            <w:pPr>
              <w:pStyle w:val="TableParagraph"/>
              <w:spacing w:line="188" w:lineRule="exact"/>
              <w:ind w:left="23" w:right="0"/>
              <w:jc w:val="left"/>
              <w:rPr>
                <w:rFonts w:ascii="Arial" w:hAnsi="Arial" w:cs="Arial" w:eastAsia="Arial" w:hint="default"/>
                <w:sz w:val="15"/>
                <w:szCs w:val="15"/>
              </w:rPr>
            </w:pPr>
            <w:r>
              <w:rPr>
                <w:rFonts w:ascii="宋体" w:hAnsi="宋体" w:cs="宋体" w:eastAsia="宋体" w:hint="default"/>
                <w:w w:val="100"/>
                <w:sz w:val="15"/>
                <w:szCs w:val="15"/>
              </w:rPr>
              <w:t>被告</w:t>
            </w:r>
            <w:r>
              <w:rPr>
                <w:rFonts w:ascii="宋体" w:hAnsi="宋体" w:cs="宋体" w:eastAsia="宋体" w:hint="default"/>
                <w:spacing w:val="-3"/>
                <w:w w:val="100"/>
                <w:sz w:val="15"/>
                <w:szCs w:val="15"/>
              </w:rPr>
              <w:t>仅</w:t>
            </w:r>
            <w:r>
              <w:rPr>
                <w:rFonts w:ascii="宋体" w:hAnsi="宋体" w:cs="宋体" w:eastAsia="宋体" w:hint="default"/>
                <w:w w:val="100"/>
                <w:sz w:val="15"/>
                <w:szCs w:val="15"/>
              </w:rPr>
              <w:t>交</w:t>
            </w:r>
            <w:r>
              <w:rPr>
                <w:rFonts w:ascii="宋体" w:hAnsi="宋体" w:cs="宋体" w:eastAsia="宋体" w:hint="default"/>
                <w:spacing w:val="-3"/>
                <w:w w:val="100"/>
                <w:sz w:val="15"/>
                <w:szCs w:val="15"/>
              </w:rPr>
              <w:t>付</w:t>
            </w:r>
            <w:r>
              <w:rPr>
                <w:rFonts w:ascii="宋体" w:hAnsi="宋体" w:cs="宋体" w:eastAsia="宋体" w:hint="default"/>
                <w:w w:val="100"/>
                <w:sz w:val="15"/>
                <w:szCs w:val="15"/>
              </w:rPr>
              <w:t>大麦</w:t>
            </w:r>
            <w:r>
              <w:rPr>
                <w:rFonts w:ascii="宋体" w:hAnsi="宋体" w:cs="宋体" w:eastAsia="宋体" w:hint="default"/>
                <w:spacing w:val="-44"/>
                <w:sz w:val="15"/>
                <w:szCs w:val="15"/>
              </w:rPr>
              <w:t> </w:t>
            </w:r>
            <w:r>
              <w:rPr>
                <w:rFonts w:ascii="Arial" w:hAnsi="Arial" w:cs="Arial" w:eastAsia="Arial" w:hint="default"/>
                <w:spacing w:val="-3"/>
                <w:w w:val="100"/>
                <w:sz w:val="15"/>
                <w:szCs w:val="15"/>
              </w:rPr>
              <w:t>5</w:t>
            </w:r>
            <w:r>
              <w:rPr>
                <w:rFonts w:ascii="Arial" w:hAnsi="Arial" w:cs="Arial" w:eastAsia="Arial" w:hint="default"/>
                <w:w w:val="100"/>
                <w:sz w:val="15"/>
                <w:szCs w:val="15"/>
              </w:rPr>
              <w:t>02</w:t>
            </w:r>
            <w:r>
              <w:rPr>
                <w:rFonts w:ascii="Arial" w:hAnsi="Arial" w:cs="Arial" w:eastAsia="Arial" w:hint="default"/>
                <w:spacing w:val="-2"/>
                <w:w w:val="100"/>
                <w:sz w:val="15"/>
                <w:szCs w:val="15"/>
              </w:rPr>
              <w:t>.</w:t>
            </w:r>
            <w:r>
              <w:rPr>
                <w:rFonts w:ascii="Arial" w:hAnsi="Arial" w:cs="Arial" w:eastAsia="Arial" w:hint="default"/>
                <w:w w:val="100"/>
                <w:sz w:val="15"/>
                <w:szCs w:val="15"/>
              </w:rPr>
              <w:t>254</w:t>
            </w:r>
            <w:r>
              <w:rPr>
                <w:rFonts w:ascii="Arial" w:hAnsi="Arial" w:cs="Arial" w:eastAsia="Arial" w:hint="default"/>
                <w:spacing w:val="-11"/>
                <w:sz w:val="15"/>
                <w:szCs w:val="15"/>
              </w:rPr>
              <w:t> </w:t>
            </w:r>
            <w:r>
              <w:rPr>
                <w:rFonts w:ascii="宋体" w:hAnsi="宋体" w:cs="宋体" w:eastAsia="宋体" w:hint="default"/>
                <w:spacing w:val="-3"/>
                <w:w w:val="100"/>
                <w:sz w:val="15"/>
                <w:szCs w:val="15"/>
              </w:rPr>
              <w:t>吨</w:t>
            </w:r>
            <w:r>
              <w:rPr>
                <w:rFonts w:ascii="宋体" w:hAnsi="宋体" w:cs="宋体" w:eastAsia="宋体" w:hint="default"/>
                <w:spacing w:val="-75"/>
                <w:w w:val="100"/>
                <w:sz w:val="15"/>
                <w:szCs w:val="15"/>
              </w:rPr>
              <w:t>。</w:t>
            </w:r>
            <w:r>
              <w:rPr>
                <w:rFonts w:ascii="Arial" w:hAnsi="Arial" w:cs="Arial" w:eastAsia="Arial" w:hint="default"/>
                <w:spacing w:val="-3"/>
                <w:w w:val="100"/>
                <w:sz w:val="15"/>
                <w:szCs w:val="15"/>
              </w:rPr>
              <w:t>2</w:t>
            </w:r>
            <w:r>
              <w:rPr>
                <w:rFonts w:ascii="Arial" w:hAnsi="Arial" w:cs="Arial" w:eastAsia="Arial" w:hint="default"/>
                <w:w w:val="100"/>
                <w:sz w:val="15"/>
                <w:szCs w:val="15"/>
              </w:rPr>
              <w:t>013</w:t>
            </w:r>
          </w:p>
          <w:p>
            <w:pPr>
              <w:pStyle w:val="TableParagraph"/>
              <w:spacing w:line="196" w:lineRule="exact"/>
              <w:ind w:left="23" w:right="0"/>
              <w:jc w:val="left"/>
              <w:rPr>
                <w:rFonts w:ascii="宋体" w:hAnsi="宋体" w:cs="宋体" w:eastAsia="宋体" w:hint="default"/>
                <w:sz w:val="15"/>
                <w:szCs w:val="15"/>
              </w:rPr>
            </w:pPr>
            <w:r>
              <w:rPr>
                <w:rFonts w:ascii="宋体" w:hAnsi="宋体" w:cs="宋体" w:eastAsia="宋体" w:hint="default"/>
                <w:w w:val="100"/>
                <w:sz w:val="15"/>
                <w:szCs w:val="15"/>
              </w:rPr>
              <w:t>年</w:t>
            </w:r>
            <w:r>
              <w:rPr>
                <w:rFonts w:ascii="宋体" w:hAnsi="宋体" w:cs="宋体" w:eastAsia="宋体" w:hint="default"/>
                <w:spacing w:val="-56"/>
                <w:sz w:val="15"/>
                <w:szCs w:val="15"/>
              </w:rPr>
              <w:t> </w:t>
            </w:r>
            <w:r>
              <w:rPr>
                <w:rFonts w:ascii="Arial" w:hAnsi="Arial" w:cs="Arial" w:eastAsia="Arial" w:hint="default"/>
                <w:spacing w:val="-1"/>
                <w:w w:val="100"/>
                <w:sz w:val="15"/>
                <w:szCs w:val="15"/>
              </w:rPr>
              <w:t>1</w:t>
            </w:r>
            <w:r>
              <w:rPr>
                <w:rFonts w:ascii="Arial" w:hAnsi="Arial" w:cs="Arial" w:eastAsia="Arial" w:hint="default"/>
                <w:w w:val="100"/>
                <w:sz w:val="15"/>
                <w:szCs w:val="15"/>
              </w:rPr>
              <w:t>0</w:t>
            </w:r>
            <w:r>
              <w:rPr>
                <w:rFonts w:ascii="Arial" w:hAnsi="Arial" w:cs="Arial" w:eastAsia="Arial" w:hint="default"/>
                <w:spacing w:val="-23"/>
                <w:sz w:val="15"/>
                <w:szCs w:val="15"/>
              </w:rPr>
              <w:t> </w:t>
            </w:r>
            <w:r>
              <w:rPr>
                <w:rFonts w:ascii="宋体" w:hAnsi="宋体" w:cs="宋体" w:eastAsia="宋体" w:hint="default"/>
                <w:w w:val="100"/>
                <w:sz w:val="15"/>
                <w:szCs w:val="15"/>
              </w:rPr>
              <w:t>月</w:t>
            </w:r>
            <w:r>
              <w:rPr>
                <w:rFonts w:ascii="宋体" w:hAnsi="宋体" w:cs="宋体" w:eastAsia="宋体" w:hint="default"/>
                <w:spacing w:val="-56"/>
                <w:sz w:val="15"/>
                <w:szCs w:val="15"/>
              </w:rPr>
              <w:t> </w:t>
            </w:r>
            <w:r>
              <w:rPr>
                <w:rFonts w:ascii="Arial" w:hAnsi="Arial" w:cs="Arial" w:eastAsia="Arial" w:hint="default"/>
                <w:spacing w:val="-1"/>
                <w:w w:val="100"/>
                <w:sz w:val="15"/>
                <w:szCs w:val="15"/>
              </w:rPr>
              <w:t>1</w:t>
            </w:r>
            <w:r>
              <w:rPr>
                <w:rFonts w:ascii="Arial" w:hAnsi="Arial" w:cs="Arial" w:eastAsia="Arial" w:hint="default"/>
                <w:w w:val="100"/>
                <w:sz w:val="15"/>
                <w:szCs w:val="15"/>
              </w:rPr>
              <w:t>7</w:t>
            </w:r>
            <w:r>
              <w:rPr>
                <w:rFonts w:ascii="Arial" w:hAnsi="Arial" w:cs="Arial" w:eastAsia="Arial" w:hint="default"/>
                <w:spacing w:val="-23"/>
                <w:sz w:val="15"/>
                <w:szCs w:val="15"/>
              </w:rPr>
              <w:t> </w:t>
            </w:r>
            <w:r>
              <w:rPr>
                <w:rFonts w:ascii="宋体" w:hAnsi="宋体" w:cs="宋体" w:eastAsia="宋体" w:hint="default"/>
                <w:w w:val="100"/>
                <w:sz w:val="15"/>
                <w:szCs w:val="15"/>
              </w:rPr>
              <w:t>日</w:t>
            </w:r>
            <w:r>
              <w:rPr>
                <w:rFonts w:ascii="宋体" w:hAnsi="宋体" w:cs="宋体" w:eastAsia="宋体" w:hint="default"/>
                <w:spacing w:val="-77"/>
                <w:w w:val="100"/>
                <w:sz w:val="15"/>
                <w:szCs w:val="15"/>
              </w:rPr>
              <w:t>，</w:t>
            </w:r>
            <w:r>
              <w:rPr>
                <w:rFonts w:ascii="宋体" w:hAnsi="宋体" w:cs="宋体" w:eastAsia="宋体" w:hint="default"/>
                <w:w w:val="100"/>
                <w:sz w:val="15"/>
                <w:szCs w:val="15"/>
              </w:rPr>
              <w:t>双</w:t>
            </w:r>
            <w:r>
              <w:rPr>
                <w:rFonts w:ascii="宋体" w:hAnsi="宋体" w:cs="宋体" w:eastAsia="宋体" w:hint="default"/>
                <w:spacing w:val="-3"/>
                <w:w w:val="100"/>
                <w:sz w:val="15"/>
                <w:szCs w:val="15"/>
              </w:rPr>
              <w:t>方</w:t>
            </w:r>
            <w:r>
              <w:rPr>
                <w:rFonts w:ascii="宋体" w:hAnsi="宋体" w:cs="宋体" w:eastAsia="宋体" w:hint="default"/>
                <w:w w:val="100"/>
                <w:sz w:val="15"/>
                <w:szCs w:val="15"/>
              </w:rPr>
              <w:t>对</w:t>
            </w:r>
            <w:r>
              <w:rPr>
                <w:rFonts w:ascii="宋体" w:hAnsi="宋体" w:cs="宋体" w:eastAsia="宋体" w:hint="default"/>
                <w:spacing w:val="-3"/>
                <w:w w:val="100"/>
                <w:sz w:val="15"/>
                <w:szCs w:val="15"/>
              </w:rPr>
              <w:t>账</w:t>
            </w:r>
            <w:r>
              <w:rPr>
                <w:rFonts w:ascii="宋体" w:hAnsi="宋体" w:cs="宋体" w:eastAsia="宋体" w:hint="default"/>
                <w:w w:val="100"/>
                <w:sz w:val="15"/>
                <w:szCs w:val="15"/>
              </w:rPr>
              <w:t>并</w:t>
            </w:r>
            <w:r>
              <w:rPr>
                <w:rFonts w:ascii="宋体" w:hAnsi="宋体" w:cs="宋体" w:eastAsia="宋体" w:hint="default"/>
                <w:spacing w:val="-3"/>
                <w:w w:val="100"/>
                <w:sz w:val="15"/>
                <w:szCs w:val="15"/>
              </w:rPr>
              <w:t>签</w:t>
            </w:r>
            <w:r>
              <w:rPr>
                <w:rFonts w:ascii="宋体" w:hAnsi="宋体" w:cs="宋体" w:eastAsia="宋体" w:hint="default"/>
                <w:spacing w:val="-77"/>
                <w:w w:val="100"/>
                <w:sz w:val="15"/>
                <w:szCs w:val="15"/>
              </w:rPr>
              <w:t>订</w:t>
            </w:r>
            <w:r>
              <w:rPr>
                <w:rFonts w:ascii="宋体" w:hAnsi="宋体" w:cs="宋体" w:eastAsia="宋体" w:hint="default"/>
                <w:w w:val="100"/>
                <w:sz w:val="15"/>
                <w:szCs w:val="15"/>
              </w:rPr>
              <w:t>《还</w:t>
            </w:r>
          </w:p>
          <w:p>
            <w:pPr>
              <w:pStyle w:val="TableParagraph"/>
              <w:spacing w:line="196" w:lineRule="exact"/>
              <w:ind w:left="23" w:right="0"/>
              <w:jc w:val="left"/>
              <w:rPr>
                <w:rFonts w:ascii="Arial" w:hAnsi="Arial" w:cs="Arial" w:eastAsia="Arial" w:hint="default"/>
                <w:sz w:val="15"/>
                <w:szCs w:val="15"/>
              </w:rPr>
            </w:pPr>
            <w:r>
              <w:rPr>
                <w:rFonts w:ascii="宋体" w:hAnsi="宋体" w:cs="宋体" w:eastAsia="宋体" w:hint="default"/>
                <w:spacing w:val="-7"/>
                <w:sz w:val="15"/>
                <w:szCs w:val="15"/>
              </w:rPr>
              <w:t>款协议》，被告承诺于 </w:t>
            </w:r>
            <w:r>
              <w:rPr>
                <w:rFonts w:ascii="Arial" w:hAnsi="Arial" w:cs="Arial" w:eastAsia="Arial" w:hint="default"/>
                <w:sz w:val="15"/>
                <w:szCs w:val="15"/>
              </w:rPr>
              <w:t>2013 </w:t>
            </w:r>
            <w:r>
              <w:rPr>
                <w:rFonts w:ascii="宋体" w:hAnsi="宋体" w:cs="宋体" w:eastAsia="宋体" w:hint="default"/>
                <w:sz w:val="15"/>
                <w:szCs w:val="15"/>
              </w:rPr>
              <w:t>年</w:t>
            </w:r>
            <w:r>
              <w:rPr>
                <w:rFonts w:ascii="宋体" w:hAnsi="宋体" w:cs="宋体" w:eastAsia="宋体" w:hint="default"/>
                <w:spacing w:val="-54"/>
                <w:sz w:val="15"/>
                <w:szCs w:val="15"/>
              </w:rPr>
              <w:t> </w:t>
            </w:r>
            <w:r>
              <w:rPr>
                <w:rFonts w:ascii="Arial" w:hAnsi="Arial" w:cs="Arial" w:eastAsia="Arial" w:hint="default"/>
                <w:sz w:val="15"/>
                <w:szCs w:val="15"/>
              </w:rPr>
              <w:t>12</w:t>
            </w:r>
          </w:p>
          <w:p>
            <w:pPr>
              <w:pStyle w:val="TableParagraph"/>
              <w:spacing w:line="194" w:lineRule="exact" w:before="13"/>
              <w:ind w:left="23" w:right="-14"/>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20</w:t>
            </w:r>
            <w:r>
              <w:rPr>
                <w:rFonts w:ascii="Arial" w:hAnsi="Arial" w:cs="Arial" w:eastAsia="Arial" w:hint="default"/>
                <w:spacing w:val="-5"/>
                <w:sz w:val="15"/>
                <w:szCs w:val="15"/>
              </w:rPr>
              <w:t> </w:t>
            </w:r>
            <w:r>
              <w:rPr>
                <w:rFonts w:ascii="宋体" w:hAnsi="宋体" w:cs="宋体" w:eastAsia="宋体" w:hint="default"/>
                <w:sz w:val="15"/>
                <w:szCs w:val="15"/>
              </w:rPr>
              <w:t>日前用大麦抵顶欠款，被告</w:t>
            </w:r>
            <w:r>
              <w:rPr>
                <w:rFonts w:ascii="宋体" w:hAnsi="宋体" w:cs="宋体" w:eastAsia="宋体" w:hint="default"/>
                <w:w w:val="100"/>
                <w:sz w:val="15"/>
                <w:szCs w:val="15"/>
              </w:rPr>
              <w:t> </w:t>
            </w:r>
            <w:r>
              <w:rPr>
                <w:rFonts w:ascii="宋体" w:hAnsi="宋体" w:cs="宋体" w:eastAsia="宋体" w:hint="default"/>
                <w:sz w:val="15"/>
                <w:szCs w:val="15"/>
              </w:rPr>
              <w:t>法定代表人张国军以个人全部财</w:t>
            </w:r>
            <w:r>
              <w:rPr>
                <w:rFonts w:ascii="宋体" w:hAnsi="宋体" w:cs="宋体" w:eastAsia="宋体" w:hint="default"/>
                <w:w w:val="100"/>
                <w:sz w:val="15"/>
                <w:szCs w:val="15"/>
              </w:rPr>
              <w:t> </w:t>
            </w:r>
            <w:r>
              <w:rPr>
                <w:rFonts w:ascii="宋体" w:hAnsi="宋体" w:cs="宋体" w:eastAsia="宋体" w:hint="default"/>
                <w:spacing w:val="-2"/>
                <w:sz w:val="15"/>
                <w:szCs w:val="15"/>
              </w:rPr>
              <w:t>产对上述欠款承担连带清偿责任。</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pacing w:val="-4"/>
                <w:sz w:val="15"/>
                <w:szCs w:val="15"/>
              </w:rPr>
              <w:t>但约定履行期限届满，被告仍未能</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pacing w:val="-4"/>
                <w:sz w:val="15"/>
                <w:szCs w:val="15"/>
              </w:rPr>
              <w:t>偿还欠款，公司起诉至法院，要求</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被告偿还欠款并支付利息。</w:t>
            </w:r>
          </w:p>
        </w:tc>
        <w:tc>
          <w:tcPr>
            <w:tcW w:w="135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2"/>
                <w:szCs w:val="12"/>
              </w:rPr>
            </w:pPr>
          </w:p>
          <w:p>
            <w:pPr>
              <w:pStyle w:val="TableParagraph"/>
              <w:spacing w:line="240" w:lineRule="auto"/>
              <w:ind w:right="19"/>
              <w:jc w:val="right"/>
              <w:rPr>
                <w:rFonts w:ascii="Arial" w:hAnsi="Arial" w:cs="Arial" w:eastAsia="Arial" w:hint="default"/>
                <w:sz w:val="15"/>
                <w:szCs w:val="15"/>
              </w:rPr>
            </w:pPr>
            <w:r>
              <w:rPr>
                <w:rFonts w:ascii="Arial"/>
                <w:spacing w:val="-1"/>
                <w:sz w:val="15"/>
              </w:rPr>
              <w:t>12,579,174.87</w:t>
            </w:r>
          </w:p>
        </w:tc>
        <w:tc>
          <w:tcPr>
            <w:tcW w:w="838" w:type="dxa"/>
            <w:tcBorders>
              <w:top w:val="single" w:sz="4" w:space="0" w:color="41B7EE"/>
              <w:left w:val="single" w:sz="4" w:space="0" w:color="41B7EE"/>
              <w:bottom w:val="single" w:sz="4" w:space="0" w:color="41B7EE"/>
              <w:right w:val="single" w:sz="4" w:space="0" w:color="41B7EE"/>
            </w:tcBorders>
          </w:tcPr>
          <w:p>
            <w:pPr/>
          </w:p>
        </w:tc>
        <w:tc>
          <w:tcPr>
            <w:tcW w:w="242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01" w:lineRule="exact"/>
              <w:ind w:left="23" w:right="0"/>
              <w:jc w:val="both"/>
              <w:rPr>
                <w:rFonts w:ascii="宋体" w:hAnsi="宋体" w:cs="宋体" w:eastAsia="宋体" w:hint="default"/>
                <w:sz w:val="15"/>
                <w:szCs w:val="15"/>
              </w:rPr>
            </w:pPr>
            <w:r>
              <w:rPr>
                <w:rFonts w:ascii="宋体" w:hAnsi="宋体" w:cs="宋体" w:eastAsia="宋体" w:hint="default"/>
                <w:sz w:val="15"/>
                <w:szCs w:val="15"/>
              </w:rPr>
              <w:t>公司于</w:t>
            </w:r>
            <w:r>
              <w:rPr>
                <w:rFonts w:ascii="宋体" w:hAnsi="宋体" w:cs="宋体" w:eastAsia="宋体" w:hint="default"/>
                <w:spacing w:val="-37"/>
                <w:sz w:val="15"/>
                <w:szCs w:val="15"/>
              </w:rPr>
              <w:t> </w:t>
            </w:r>
            <w:r>
              <w:rPr>
                <w:rFonts w:ascii="Arial" w:hAnsi="Arial" w:cs="Arial" w:eastAsia="Arial" w:hint="default"/>
                <w:sz w:val="15"/>
                <w:szCs w:val="15"/>
              </w:rPr>
              <w:t>2014</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6</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17</w:t>
            </w:r>
            <w:r>
              <w:rPr>
                <w:rFonts w:ascii="Arial" w:hAnsi="Arial" w:cs="Arial" w:eastAsia="Arial" w:hint="default"/>
                <w:spacing w:val="-6"/>
                <w:sz w:val="15"/>
                <w:szCs w:val="15"/>
              </w:rPr>
              <w:t> </w:t>
            </w:r>
            <w:r>
              <w:rPr>
                <w:rFonts w:ascii="宋体" w:hAnsi="宋体" w:cs="宋体" w:eastAsia="宋体" w:hint="default"/>
                <w:sz w:val="15"/>
                <w:szCs w:val="15"/>
              </w:rPr>
              <w:t>日向农垦中</w:t>
            </w:r>
          </w:p>
          <w:p>
            <w:pPr>
              <w:pStyle w:val="TableParagraph"/>
              <w:spacing w:line="232" w:lineRule="auto"/>
              <w:ind w:left="23" w:right="7"/>
              <w:jc w:val="both"/>
              <w:rPr>
                <w:rFonts w:ascii="宋体" w:hAnsi="宋体" w:cs="宋体" w:eastAsia="宋体" w:hint="default"/>
                <w:sz w:val="15"/>
                <w:szCs w:val="15"/>
              </w:rPr>
            </w:pPr>
            <w:r>
              <w:rPr>
                <w:rFonts w:ascii="宋体" w:hAnsi="宋体" w:cs="宋体" w:eastAsia="宋体" w:hint="default"/>
                <w:sz w:val="15"/>
                <w:szCs w:val="15"/>
              </w:rPr>
              <w:t>院提起诉讼，</w:t>
            </w:r>
            <w:r>
              <w:rPr>
                <w:rFonts w:ascii="Arial" w:hAnsi="Arial" w:cs="Arial" w:eastAsia="Arial" w:hint="default"/>
                <w:sz w:val="15"/>
                <w:szCs w:val="15"/>
              </w:rPr>
              <w:t>2014</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w:hAnsi="Arial" w:cs="Arial" w:eastAsia="Arial" w:hint="default"/>
                <w:sz w:val="15"/>
                <w:szCs w:val="15"/>
              </w:rPr>
              <w:t>11</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17</w:t>
            </w:r>
            <w:r>
              <w:rPr>
                <w:rFonts w:ascii="Arial" w:hAnsi="Arial" w:cs="Arial" w:eastAsia="Arial" w:hint="default"/>
                <w:spacing w:val="-4"/>
                <w:sz w:val="15"/>
                <w:szCs w:val="15"/>
              </w:rPr>
              <w:t> </w:t>
            </w:r>
            <w:r>
              <w:rPr>
                <w:rFonts w:ascii="宋体" w:hAnsi="宋体" w:cs="宋体" w:eastAsia="宋体" w:hint="default"/>
                <w:spacing w:val="-3"/>
                <w:sz w:val="15"/>
                <w:szCs w:val="15"/>
              </w:rPr>
              <w:t>日法</w:t>
            </w:r>
            <w:r>
              <w:rPr>
                <w:rFonts w:ascii="宋体" w:hAnsi="宋体" w:cs="宋体" w:eastAsia="宋体" w:hint="default"/>
                <w:spacing w:val="-3"/>
                <w:w w:val="100"/>
                <w:sz w:val="15"/>
                <w:szCs w:val="15"/>
              </w:rPr>
              <w:t> </w:t>
            </w:r>
            <w:r>
              <w:rPr>
                <w:rFonts w:ascii="宋体" w:hAnsi="宋体" w:cs="宋体" w:eastAsia="宋体" w:hint="default"/>
                <w:spacing w:val="-4"/>
                <w:sz w:val="15"/>
                <w:szCs w:val="15"/>
              </w:rPr>
              <w:t>院开庭审理时主持双方调解，调解书</w:t>
            </w:r>
            <w:r>
              <w:rPr>
                <w:rFonts w:ascii="宋体" w:hAnsi="宋体" w:cs="宋体" w:eastAsia="宋体" w:hint="default"/>
                <w:spacing w:val="-47"/>
                <w:sz w:val="15"/>
                <w:szCs w:val="15"/>
              </w:rPr>
              <w:t> </w:t>
            </w:r>
            <w:r>
              <w:rPr>
                <w:rFonts w:ascii="宋体" w:hAnsi="宋体" w:cs="宋体" w:eastAsia="宋体" w:hint="default"/>
                <w:spacing w:val="-47"/>
                <w:sz w:val="15"/>
                <w:szCs w:val="15"/>
              </w:rPr>
            </w:r>
            <w:r>
              <w:rPr>
                <w:rFonts w:ascii="宋体" w:hAnsi="宋体" w:cs="宋体" w:eastAsia="宋体" w:hint="default"/>
                <w:sz w:val="15"/>
                <w:szCs w:val="15"/>
              </w:rPr>
              <w:t>案号为〔</w:t>
            </w:r>
            <w:r>
              <w:rPr>
                <w:rFonts w:ascii="Arial" w:hAnsi="Arial" w:cs="Arial" w:eastAsia="Arial" w:hint="default"/>
                <w:sz w:val="15"/>
                <w:szCs w:val="15"/>
              </w:rPr>
              <w:t>2014</w:t>
            </w:r>
            <w:r>
              <w:rPr>
                <w:rFonts w:ascii="宋体" w:hAnsi="宋体" w:cs="宋体" w:eastAsia="宋体" w:hint="default"/>
                <w:sz w:val="15"/>
                <w:szCs w:val="15"/>
              </w:rPr>
              <w:t>〕垦商初字第</w:t>
            </w:r>
            <w:r>
              <w:rPr>
                <w:rFonts w:ascii="宋体" w:hAnsi="宋体" w:cs="宋体" w:eastAsia="宋体" w:hint="default"/>
                <w:spacing w:val="-38"/>
                <w:sz w:val="15"/>
                <w:szCs w:val="15"/>
              </w:rPr>
              <w:t> </w:t>
            </w:r>
            <w:r>
              <w:rPr>
                <w:rFonts w:ascii="Arial" w:hAnsi="Arial" w:cs="Arial" w:eastAsia="Arial" w:hint="default"/>
                <w:sz w:val="15"/>
                <w:szCs w:val="15"/>
              </w:rPr>
              <w:t>40</w:t>
            </w:r>
            <w:r>
              <w:rPr>
                <w:rFonts w:ascii="Arial" w:hAnsi="Arial" w:cs="Arial" w:eastAsia="Arial" w:hint="default"/>
                <w:spacing w:val="-5"/>
                <w:sz w:val="15"/>
                <w:szCs w:val="15"/>
              </w:rPr>
              <w:t> </w:t>
            </w:r>
            <w:r>
              <w:rPr>
                <w:rFonts w:ascii="宋体" w:hAnsi="宋体" w:cs="宋体" w:eastAsia="宋体" w:hint="default"/>
                <w:sz w:val="15"/>
                <w:szCs w:val="15"/>
              </w:rPr>
              <w:t>号。</w:t>
            </w:r>
          </w:p>
        </w:tc>
        <w:tc>
          <w:tcPr>
            <w:tcW w:w="285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4" w:right="50"/>
              <w:jc w:val="both"/>
              <w:rPr>
                <w:rFonts w:ascii="宋体" w:hAnsi="宋体" w:cs="宋体" w:eastAsia="宋体" w:hint="default"/>
                <w:sz w:val="15"/>
                <w:szCs w:val="15"/>
              </w:rPr>
            </w:pPr>
            <w:r>
              <w:rPr>
                <w:rFonts w:ascii="宋体" w:hAnsi="宋体" w:cs="宋体" w:eastAsia="宋体" w:hint="default"/>
                <w:sz w:val="15"/>
                <w:szCs w:val="15"/>
              </w:rPr>
              <w:t>调解结果：阿尔山市金仓商贸有限责任公</w:t>
            </w:r>
            <w:r>
              <w:rPr>
                <w:rFonts w:ascii="宋体" w:hAnsi="宋体" w:cs="宋体" w:eastAsia="宋体" w:hint="default"/>
                <w:w w:val="100"/>
                <w:sz w:val="15"/>
                <w:szCs w:val="15"/>
              </w:rPr>
              <w:t> </w:t>
            </w:r>
            <w:r>
              <w:rPr>
                <w:rFonts w:ascii="宋体" w:hAnsi="宋体" w:cs="宋体" w:eastAsia="宋体" w:hint="default"/>
                <w:sz w:val="15"/>
                <w:szCs w:val="15"/>
              </w:rPr>
              <w:t>司、张国军欠公司</w:t>
            </w:r>
            <w:r>
              <w:rPr>
                <w:rFonts w:ascii="宋体" w:hAnsi="宋体" w:cs="宋体" w:eastAsia="宋体" w:hint="default"/>
                <w:spacing w:val="-40"/>
                <w:sz w:val="15"/>
                <w:szCs w:val="15"/>
              </w:rPr>
              <w:t> </w:t>
            </w:r>
            <w:r>
              <w:rPr>
                <w:rFonts w:ascii="Arial" w:hAnsi="Arial" w:cs="Arial" w:eastAsia="Arial" w:hint="default"/>
                <w:sz w:val="15"/>
                <w:szCs w:val="15"/>
              </w:rPr>
              <w:t>1142</w:t>
            </w:r>
            <w:r>
              <w:rPr>
                <w:rFonts w:ascii="Arial" w:hAnsi="Arial" w:cs="Arial" w:eastAsia="Arial" w:hint="default"/>
                <w:spacing w:val="-4"/>
                <w:sz w:val="15"/>
                <w:szCs w:val="15"/>
              </w:rPr>
              <w:t> </w:t>
            </w:r>
            <w:r>
              <w:rPr>
                <w:rFonts w:ascii="宋体" w:hAnsi="宋体" w:cs="宋体" w:eastAsia="宋体" w:hint="default"/>
                <w:sz w:val="15"/>
                <w:szCs w:val="15"/>
              </w:rPr>
              <w:t>万元，于</w:t>
            </w:r>
            <w:r>
              <w:rPr>
                <w:rFonts w:ascii="宋体" w:hAnsi="宋体" w:cs="宋体" w:eastAsia="宋体" w:hint="default"/>
                <w:spacing w:val="-38"/>
                <w:sz w:val="15"/>
                <w:szCs w:val="15"/>
              </w:rPr>
              <w:t> </w:t>
            </w:r>
            <w:r>
              <w:rPr>
                <w:rFonts w:ascii="Arial" w:hAnsi="Arial" w:cs="Arial" w:eastAsia="Arial" w:hint="default"/>
                <w:sz w:val="15"/>
                <w:szCs w:val="15"/>
              </w:rPr>
              <w:t>2014</w:t>
            </w:r>
            <w:r>
              <w:rPr>
                <w:rFonts w:ascii="Arial" w:hAnsi="Arial" w:cs="Arial" w:eastAsia="Arial" w:hint="default"/>
                <w:spacing w:val="-5"/>
                <w:sz w:val="15"/>
                <w:szCs w:val="15"/>
              </w:rPr>
              <w:t> </w:t>
            </w:r>
            <w:r>
              <w:rPr>
                <w:rFonts w:ascii="宋体" w:hAnsi="宋体" w:cs="宋体" w:eastAsia="宋体" w:hint="default"/>
                <w:sz w:val="15"/>
                <w:szCs w:val="15"/>
              </w:rPr>
              <w:t>年</w:t>
            </w:r>
          </w:p>
          <w:p>
            <w:pPr>
              <w:pStyle w:val="TableParagraph"/>
              <w:spacing w:line="188" w:lineRule="exact"/>
              <w:ind w:left="24" w:right="0"/>
              <w:jc w:val="both"/>
              <w:rPr>
                <w:rFonts w:ascii="宋体" w:hAnsi="宋体" w:cs="宋体" w:eastAsia="宋体" w:hint="default"/>
                <w:sz w:val="15"/>
                <w:szCs w:val="15"/>
              </w:rPr>
            </w:pPr>
            <w:r>
              <w:rPr>
                <w:rFonts w:ascii="Arial" w:hAnsi="Arial" w:cs="Arial" w:eastAsia="Arial" w:hint="default"/>
                <w:sz w:val="15"/>
                <w:szCs w:val="15"/>
              </w:rPr>
              <w:t>12</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20</w:t>
            </w:r>
            <w:r>
              <w:rPr>
                <w:rFonts w:ascii="Arial" w:hAnsi="Arial" w:cs="Arial" w:eastAsia="Arial" w:hint="default"/>
                <w:spacing w:val="-4"/>
                <w:sz w:val="15"/>
                <w:szCs w:val="15"/>
              </w:rPr>
              <w:t> </w:t>
            </w:r>
            <w:r>
              <w:rPr>
                <w:rFonts w:ascii="宋体" w:hAnsi="宋体" w:cs="宋体" w:eastAsia="宋体" w:hint="default"/>
                <w:sz w:val="15"/>
                <w:szCs w:val="15"/>
              </w:rPr>
              <w:t>日前给付</w:t>
            </w:r>
            <w:r>
              <w:rPr>
                <w:rFonts w:ascii="宋体" w:hAnsi="宋体" w:cs="宋体" w:eastAsia="宋体" w:hint="default"/>
                <w:spacing w:val="-37"/>
                <w:sz w:val="15"/>
                <w:szCs w:val="15"/>
              </w:rPr>
              <w:t> </w:t>
            </w:r>
            <w:r>
              <w:rPr>
                <w:rFonts w:ascii="Arial" w:hAnsi="Arial" w:cs="Arial" w:eastAsia="Arial" w:hint="default"/>
                <w:sz w:val="15"/>
                <w:szCs w:val="15"/>
              </w:rPr>
              <w:t>342</w:t>
            </w:r>
            <w:r>
              <w:rPr>
                <w:rFonts w:ascii="Arial" w:hAnsi="Arial" w:cs="Arial" w:eastAsia="Arial" w:hint="default"/>
                <w:spacing w:val="-6"/>
                <w:sz w:val="15"/>
                <w:szCs w:val="15"/>
              </w:rPr>
              <w:t> </w:t>
            </w:r>
            <w:r>
              <w:rPr>
                <w:rFonts w:ascii="宋体" w:hAnsi="宋体" w:cs="宋体" w:eastAsia="宋体" w:hint="default"/>
                <w:sz w:val="15"/>
                <w:szCs w:val="15"/>
              </w:rPr>
              <w:t>万元，</w:t>
            </w:r>
            <w:r>
              <w:rPr>
                <w:rFonts w:ascii="Arial" w:hAnsi="Arial" w:cs="Arial" w:eastAsia="Arial" w:hint="default"/>
                <w:sz w:val="15"/>
                <w:szCs w:val="15"/>
              </w:rPr>
              <w:t>2015</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w:hAnsi="Arial" w:cs="Arial" w:eastAsia="Arial" w:hint="default"/>
                <w:sz w:val="15"/>
                <w:szCs w:val="15"/>
              </w:rPr>
              <w:t>7</w:t>
            </w:r>
            <w:r>
              <w:rPr>
                <w:rFonts w:ascii="Arial" w:hAnsi="Arial" w:cs="Arial" w:eastAsia="Arial" w:hint="default"/>
                <w:spacing w:val="-6"/>
                <w:sz w:val="15"/>
                <w:szCs w:val="15"/>
              </w:rPr>
              <w:t> </w:t>
            </w:r>
            <w:r>
              <w:rPr>
                <w:rFonts w:ascii="宋体" w:hAnsi="宋体" w:cs="宋体" w:eastAsia="宋体" w:hint="default"/>
                <w:sz w:val="15"/>
                <w:szCs w:val="15"/>
              </w:rPr>
              <w:t>月</w:t>
            </w:r>
          </w:p>
          <w:p>
            <w:pPr>
              <w:pStyle w:val="TableParagraph"/>
              <w:spacing w:line="196" w:lineRule="exact"/>
              <w:ind w:left="24" w:right="0"/>
              <w:jc w:val="both"/>
              <w:rPr>
                <w:rFonts w:ascii="Arial" w:hAnsi="Arial" w:cs="Arial" w:eastAsia="Arial" w:hint="default"/>
                <w:sz w:val="15"/>
                <w:szCs w:val="15"/>
              </w:rPr>
            </w:pPr>
            <w:r>
              <w:rPr>
                <w:rFonts w:ascii="Arial" w:hAnsi="Arial" w:cs="Arial" w:eastAsia="Arial" w:hint="default"/>
                <w:sz w:val="15"/>
                <w:szCs w:val="15"/>
              </w:rPr>
              <w:t>15</w:t>
            </w:r>
            <w:r>
              <w:rPr>
                <w:rFonts w:ascii="Arial" w:hAnsi="Arial" w:cs="Arial" w:eastAsia="Arial" w:hint="default"/>
                <w:spacing w:val="-5"/>
                <w:sz w:val="15"/>
                <w:szCs w:val="15"/>
              </w:rPr>
              <w:t> </w:t>
            </w:r>
            <w:r>
              <w:rPr>
                <w:rFonts w:ascii="宋体" w:hAnsi="宋体" w:cs="宋体" w:eastAsia="宋体" w:hint="default"/>
                <w:sz w:val="15"/>
                <w:szCs w:val="15"/>
              </w:rPr>
              <w:t>日前给付</w:t>
            </w:r>
            <w:r>
              <w:rPr>
                <w:rFonts w:ascii="宋体" w:hAnsi="宋体" w:cs="宋体" w:eastAsia="宋体" w:hint="default"/>
                <w:spacing w:val="-38"/>
                <w:sz w:val="15"/>
                <w:szCs w:val="15"/>
              </w:rPr>
              <w:t> </w:t>
            </w:r>
            <w:r>
              <w:rPr>
                <w:rFonts w:ascii="Arial" w:hAnsi="Arial" w:cs="Arial" w:eastAsia="Arial" w:hint="default"/>
                <w:sz w:val="15"/>
                <w:szCs w:val="15"/>
              </w:rPr>
              <w:t>400</w:t>
            </w:r>
            <w:r>
              <w:rPr>
                <w:rFonts w:ascii="Arial" w:hAnsi="Arial" w:cs="Arial" w:eastAsia="Arial" w:hint="default"/>
                <w:spacing w:val="-7"/>
                <w:sz w:val="15"/>
                <w:szCs w:val="15"/>
              </w:rPr>
              <w:t> </w:t>
            </w:r>
            <w:r>
              <w:rPr>
                <w:rFonts w:ascii="宋体" w:hAnsi="宋体" w:cs="宋体" w:eastAsia="宋体" w:hint="default"/>
                <w:sz w:val="15"/>
                <w:szCs w:val="15"/>
              </w:rPr>
              <w:t>万元；</w:t>
            </w:r>
            <w:r>
              <w:rPr>
                <w:rFonts w:ascii="Arial" w:hAnsi="Arial" w:cs="Arial" w:eastAsia="Arial" w:hint="default"/>
                <w:sz w:val="15"/>
                <w:szCs w:val="15"/>
              </w:rPr>
              <w:t>2015</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w:hAnsi="Arial" w:cs="Arial" w:eastAsia="Arial" w:hint="default"/>
                <w:sz w:val="15"/>
                <w:szCs w:val="15"/>
              </w:rPr>
              <w:t>12</w:t>
            </w:r>
            <w:r>
              <w:rPr>
                <w:rFonts w:ascii="Arial" w:hAnsi="Arial" w:cs="Arial" w:eastAsia="Arial"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15</w:t>
            </w:r>
          </w:p>
          <w:p>
            <w:pPr>
              <w:pStyle w:val="TableParagraph"/>
              <w:spacing w:line="194" w:lineRule="exact" w:before="15"/>
              <w:ind w:left="24" w:right="17"/>
              <w:jc w:val="both"/>
              <w:rPr>
                <w:rFonts w:ascii="宋体" w:hAnsi="宋体" w:cs="宋体" w:eastAsia="宋体" w:hint="default"/>
                <w:sz w:val="15"/>
                <w:szCs w:val="15"/>
              </w:rPr>
            </w:pPr>
            <w:r>
              <w:rPr>
                <w:rFonts w:ascii="宋体" w:hAnsi="宋体" w:cs="宋体" w:eastAsia="宋体" w:hint="default"/>
                <w:spacing w:val="-1"/>
                <w:w w:val="100"/>
                <w:sz w:val="15"/>
                <w:szCs w:val="15"/>
              </w:rPr>
              <w:t>日前给付</w:t>
            </w:r>
            <w:r>
              <w:rPr>
                <w:rFonts w:ascii="宋体" w:hAnsi="宋体" w:cs="宋体" w:eastAsia="宋体" w:hint="default"/>
                <w:spacing w:val="-39"/>
                <w:w w:val="100"/>
                <w:sz w:val="15"/>
                <w:szCs w:val="15"/>
              </w:rPr>
              <w:t> </w:t>
            </w:r>
            <w:r>
              <w:rPr>
                <w:rFonts w:ascii="Arial" w:hAnsi="Arial" w:cs="Arial" w:eastAsia="Arial" w:hint="default"/>
                <w:spacing w:val="-1"/>
                <w:w w:val="100"/>
                <w:sz w:val="15"/>
                <w:szCs w:val="15"/>
              </w:rPr>
              <w:t>400</w:t>
            </w:r>
            <w:r>
              <w:rPr>
                <w:rFonts w:ascii="Arial" w:hAnsi="Arial" w:cs="Arial" w:eastAsia="Arial" w:hint="default"/>
                <w:spacing w:val="-6"/>
                <w:w w:val="100"/>
                <w:sz w:val="15"/>
                <w:szCs w:val="15"/>
              </w:rPr>
              <w:t> </w:t>
            </w:r>
            <w:r>
              <w:rPr>
                <w:rFonts w:ascii="宋体" w:hAnsi="宋体" w:cs="宋体" w:eastAsia="宋体" w:hint="default"/>
                <w:spacing w:val="-7"/>
                <w:w w:val="100"/>
                <w:sz w:val="15"/>
                <w:szCs w:val="15"/>
              </w:rPr>
              <w:t>万元；二被告未履行上述任何</w:t>
            </w:r>
            <w:r>
              <w:rPr>
                <w:rFonts w:ascii="宋体" w:hAnsi="宋体" w:cs="宋体" w:eastAsia="宋体" w:hint="default"/>
                <w:w w:val="100"/>
                <w:sz w:val="15"/>
                <w:szCs w:val="15"/>
              </w:rPr>
              <w:t> </w:t>
            </w:r>
            <w:r>
              <w:rPr>
                <w:rFonts w:ascii="宋体" w:hAnsi="宋体" w:cs="宋体" w:eastAsia="宋体" w:hint="default"/>
                <w:spacing w:val="-5"/>
                <w:sz w:val="15"/>
                <w:szCs w:val="15"/>
              </w:rPr>
              <w:t>一期还款，公司可申请执行全部款项；上述</w:t>
            </w:r>
            <w:r>
              <w:rPr>
                <w:rFonts w:ascii="宋体" w:hAnsi="宋体" w:cs="宋体" w:eastAsia="宋体" w:hint="default"/>
                <w:spacing w:val="-35"/>
                <w:sz w:val="15"/>
                <w:szCs w:val="15"/>
              </w:rPr>
              <w:t> </w:t>
            </w:r>
            <w:r>
              <w:rPr>
                <w:rFonts w:ascii="宋体" w:hAnsi="宋体" w:cs="宋体" w:eastAsia="宋体" w:hint="default"/>
                <w:spacing w:val="-35"/>
                <w:sz w:val="15"/>
                <w:szCs w:val="15"/>
              </w:rPr>
            </w:r>
            <w:r>
              <w:rPr>
                <w:rFonts w:ascii="宋体" w:hAnsi="宋体" w:cs="宋体" w:eastAsia="宋体" w:hint="default"/>
                <w:sz w:val="15"/>
                <w:szCs w:val="15"/>
              </w:rPr>
              <w:t>款项自</w:t>
            </w:r>
            <w:r>
              <w:rPr>
                <w:rFonts w:ascii="宋体" w:hAnsi="宋体" w:cs="宋体" w:eastAsia="宋体" w:hint="default"/>
                <w:spacing w:val="-37"/>
                <w:sz w:val="15"/>
                <w:szCs w:val="15"/>
              </w:rPr>
              <w:t> </w:t>
            </w:r>
            <w:r>
              <w:rPr>
                <w:rFonts w:ascii="Arial" w:hAnsi="Arial" w:cs="Arial" w:eastAsia="Arial" w:hint="default"/>
                <w:sz w:val="15"/>
                <w:szCs w:val="15"/>
              </w:rPr>
              <w:t>2012</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9</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6"/>
                <w:sz w:val="15"/>
                <w:szCs w:val="15"/>
              </w:rPr>
              <w:t> </w:t>
            </w:r>
            <w:r>
              <w:rPr>
                <w:rFonts w:ascii="Arial" w:hAnsi="Arial" w:cs="Arial" w:eastAsia="Arial" w:hint="default"/>
                <w:sz w:val="15"/>
                <w:szCs w:val="15"/>
              </w:rPr>
              <w:t>27</w:t>
            </w:r>
            <w:r>
              <w:rPr>
                <w:rFonts w:ascii="Arial" w:hAnsi="Arial" w:cs="Arial" w:eastAsia="Arial" w:hint="default"/>
                <w:spacing w:val="-6"/>
                <w:sz w:val="15"/>
                <w:szCs w:val="15"/>
              </w:rPr>
              <w:t> </w:t>
            </w:r>
            <w:r>
              <w:rPr>
                <w:rFonts w:ascii="宋体" w:hAnsi="宋体" w:cs="宋体" w:eastAsia="宋体" w:hint="default"/>
                <w:sz w:val="15"/>
                <w:szCs w:val="15"/>
              </w:rPr>
              <w:t>日至法院确定履行</w:t>
            </w:r>
          </w:p>
          <w:p>
            <w:pPr>
              <w:pStyle w:val="TableParagraph"/>
              <w:spacing w:line="187" w:lineRule="exact"/>
              <w:ind w:left="24" w:right="0"/>
              <w:jc w:val="both"/>
              <w:rPr>
                <w:rFonts w:ascii="宋体" w:hAnsi="宋体" w:cs="宋体" w:eastAsia="宋体" w:hint="default"/>
                <w:sz w:val="15"/>
                <w:szCs w:val="15"/>
              </w:rPr>
            </w:pPr>
            <w:r>
              <w:rPr>
                <w:rFonts w:ascii="宋体" w:hAnsi="宋体" w:cs="宋体" w:eastAsia="宋体" w:hint="default"/>
                <w:sz w:val="15"/>
                <w:szCs w:val="15"/>
              </w:rPr>
              <w:t>实际之日按月千分之</w:t>
            </w:r>
            <w:r>
              <w:rPr>
                <w:rFonts w:ascii="宋体" w:hAnsi="宋体" w:cs="宋体" w:eastAsia="宋体" w:hint="default"/>
                <w:spacing w:val="-40"/>
                <w:sz w:val="15"/>
                <w:szCs w:val="15"/>
              </w:rPr>
              <w:t> </w:t>
            </w:r>
            <w:r>
              <w:rPr>
                <w:rFonts w:ascii="Arial" w:hAnsi="Arial" w:cs="Arial" w:eastAsia="Arial" w:hint="default"/>
                <w:sz w:val="15"/>
                <w:szCs w:val="15"/>
              </w:rPr>
              <w:t>6.15</w:t>
            </w:r>
            <w:r>
              <w:rPr>
                <w:rFonts w:ascii="Arial" w:hAnsi="Arial" w:cs="Arial" w:eastAsia="Arial" w:hint="default"/>
                <w:spacing w:val="-8"/>
                <w:sz w:val="15"/>
                <w:szCs w:val="15"/>
              </w:rPr>
              <w:t> </w:t>
            </w:r>
            <w:r>
              <w:rPr>
                <w:rFonts w:ascii="宋体" w:hAnsi="宋体" w:cs="宋体" w:eastAsia="宋体" w:hint="default"/>
                <w:sz w:val="15"/>
                <w:szCs w:val="15"/>
              </w:rPr>
              <w:t>给付利息。</w:t>
            </w:r>
          </w:p>
        </w:tc>
        <w:tc>
          <w:tcPr>
            <w:tcW w:w="1529" w:type="dxa"/>
            <w:tcBorders>
              <w:top w:val="single" w:sz="4" w:space="0" w:color="41B7EE"/>
              <w:left w:val="single" w:sz="4" w:space="0" w:color="41B7EE"/>
              <w:bottom w:val="single" w:sz="4" w:space="0" w:color="41B7EE"/>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1" w:right="24"/>
              <w:jc w:val="left"/>
              <w:rPr>
                <w:rFonts w:ascii="宋体" w:hAnsi="宋体" w:cs="宋体" w:eastAsia="宋体" w:hint="default"/>
                <w:sz w:val="15"/>
                <w:szCs w:val="15"/>
              </w:rPr>
            </w:pPr>
            <w:r>
              <w:rPr>
                <w:rFonts w:ascii="宋体" w:hAnsi="宋体" w:cs="宋体" w:eastAsia="宋体" w:hint="default"/>
                <w:sz w:val="15"/>
                <w:szCs w:val="15"/>
              </w:rPr>
              <w:t>现执行人无可供执行</w:t>
            </w:r>
            <w:r>
              <w:rPr>
                <w:rFonts w:ascii="宋体" w:hAnsi="宋体" w:cs="宋体" w:eastAsia="宋体" w:hint="default"/>
                <w:w w:val="100"/>
                <w:sz w:val="15"/>
                <w:szCs w:val="15"/>
              </w:rPr>
              <w:t> </w:t>
            </w:r>
            <w:r>
              <w:rPr>
                <w:rFonts w:ascii="宋体" w:hAnsi="宋体" w:cs="宋体" w:eastAsia="宋体" w:hint="default"/>
                <w:spacing w:val="-4"/>
                <w:sz w:val="15"/>
                <w:szCs w:val="15"/>
              </w:rPr>
              <w:t>财产，经法院拘留被执</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行人后仍未发现可供</w:t>
            </w:r>
            <w:r>
              <w:rPr>
                <w:rFonts w:ascii="宋体" w:hAnsi="宋体" w:cs="宋体" w:eastAsia="宋体" w:hint="default"/>
                <w:w w:val="100"/>
                <w:sz w:val="15"/>
                <w:szCs w:val="15"/>
              </w:rPr>
              <w:t> </w:t>
            </w:r>
            <w:r>
              <w:rPr>
                <w:rFonts w:ascii="宋体" w:hAnsi="宋体" w:cs="宋体" w:eastAsia="宋体" w:hint="default"/>
                <w:spacing w:val="-4"/>
                <w:sz w:val="15"/>
                <w:szCs w:val="15"/>
              </w:rPr>
              <w:t>执行财产，暂时终结本</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pacing w:val="-4"/>
                <w:sz w:val="15"/>
                <w:szCs w:val="15"/>
              </w:rPr>
              <w:t>次执行。待被执行人有</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z w:val="15"/>
                <w:szCs w:val="15"/>
              </w:rPr>
              <w:t>可供执行财产再恢复</w:t>
            </w:r>
            <w:r>
              <w:rPr>
                <w:rFonts w:ascii="宋体" w:hAnsi="宋体" w:cs="宋体" w:eastAsia="宋体" w:hint="default"/>
                <w:w w:val="100"/>
                <w:sz w:val="15"/>
                <w:szCs w:val="15"/>
              </w:rPr>
              <w:t> </w:t>
            </w:r>
            <w:r>
              <w:rPr>
                <w:rFonts w:ascii="宋体" w:hAnsi="宋体" w:cs="宋体" w:eastAsia="宋体" w:hint="default"/>
                <w:sz w:val="15"/>
                <w:szCs w:val="15"/>
              </w:rPr>
              <w:t>执行。</w:t>
            </w:r>
          </w:p>
        </w:tc>
      </w:tr>
      <w:tr>
        <w:trPr>
          <w:trHeight w:val="1762" w:hRule="exact"/>
        </w:trPr>
        <w:tc>
          <w:tcPr>
            <w:tcW w:w="612" w:type="dxa"/>
            <w:tcBorders>
              <w:top w:val="single" w:sz="4" w:space="0" w:color="41B7EE"/>
              <w:left w:val="nil" w:sz="6" w:space="0" w:color="auto"/>
              <w:bottom w:val="single" w:sz="4"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left="28" w:right="123"/>
              <w:jc w:val="both"/>
              <w:rPr>
                <w:rFonts w:ascii="宋体" w:hAnsi="宋体" w:cs="宋体" w:eastAsia="宋体" w:hint="default"/>
                <w:sz w:val="15"/>
                <w:szCs w:val="15"/>
              </w:rPr>
            </w:pPr>
            <w:r>
              <w:rPr>
                <w:rFonts w:ascii="宋体" w:hAnsi="宋体" w:cs="宋体" w:eastAsia="宋体" w:hint="default"/>
                <w:sz w:val="15"/>
                <w:szCs w:val="15"/>
              </w:rPr>
              <w:t>北大荒</w:t>
            </w:r>
            <w:r>
              <w:rPr>
                <w:rFonts w:ascii="宋体" w:hAnsi="宋体" w:cs="宋体" w:eastAsia="宋体" w:hint="default"/>
                <w:spacing w:val="-72"/>
                <w:sz w:val="15"/>
                <w:szCs w:val="15"/>
              </w:rPr>
              <w:t> </w:t>
            </w:r>
            <w:r>
              <w:rPr>
                <w:rFonts w:ascii="宋体" w:hAnsi="宋体" w:cs="宋体" w:eastAsia="宋体" w:hint="default"/>
                <w:sz w:val="15"/>
                <w:szCs w:val="15"/>
              </w:rPr>
              <w:t>龙垦麦</w:t>
            </w:r>
            <w:r>
              <w:rPr>
                <w:rFonts w:ascii="宋体" w:hAnsi="宋体" w:cs="宋体" w:eastAsia="宋体" w:hint="default"/>
                <w:spacing w:val="-72"/>
                <w:sz w:val="15"/>
                <w:szCs w:val="15"/>
              </w:rPr>
              <w:t> </w:t>
            </w:r>
            <w:r>
              <w:rPr>
                <w:rFonts w:ascii="宋体" w:hAnsi="宋体" w:cs="宋体" w:eastAsia="宋体" w:hint="default"/>
                <w:sz w:val="15"/>
                <w:szCs w:val="15"/>
              </w:rPr>
              <w:t>芽有限</w:t>
            </w:r>
            <w:r>
              <w:rPr>
                <w:rFonts w:ascii="宋体" w:hAnsi="宋体" w:cs="宋体" w:eastAsia="宋体" w:hint="default"/>
                <w:spacing w:val="-72"/>
                <w:sz w:val="15"/>
                <w:szCs w:val="15"/>
              </w:rPr>
              <w:t> </w:t>
            </w:r>
            <w:r>
              <w:rPr>
                <w:rFonts w:ascii="宋体" w:hAnsi="宋体" w:cs="宋体" w:eastAsia="宋体" w:hint="default"/>
                <w:sz w:val="15"/>
                <w:szCs w:val="15"/>
              </w:rPr>
              <w:t>公司</w:t>
            </w:r>
          </w:p>
        </w:tc>
        <w:tc>
          <w:tcPr>
            <w:tcW w:w="64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1" w:right="158"/>
              <w:jc w:val="both"/>
              <w:rPr>
                <w:rFonts w:ascii="宋体" w:hAnsi="宋体" w:cs="宋体" w:eastAsia="宋体" w:hint="default"/>
                <w:sz w:val="15"/>
                <w:szCs w:val="15"/>
              </w:rPr>
            </w:pPr>
            <w:r>
              <w:rPr>
                <w:rFonts w:ascii="宋体" w:hAnsi="宋体" w:cs="宋体" w:eastAsia="宋体" w:hint="default"/>
                <w:sz w:val="15"/>
                <w:szCs w:val="15"/>
              </w:rPr>
              <w:t>哈尔滨</w:t>
            </w:r>
            <w:r>
              <w:rPr>
                <w:rFonts w:ascii="宋体" w:hAnsi="宋体" w:cs="宋体" w:eastAsia="宋体" w:hint="default"/>
                <w:spacing w:val="-72"/>
                <w:sz w:val="15"/>
                <w:szCs w:val="15"/>
              </w:rPr>
              <w:t> </w:t>
            </w:r>
            <w:r>
              <w:rPr>
                <w:rFonts w:ascii="宋体" w:hAnsi="宋体" w:cs="宋体" w:eastAsia="宋体" w:hint="default"/>
                <w:sz w:val="15"/>
                <w:szCs w:val="15"/>
              </w:rPr>
              <w:t>益源康</w:t>
            </w:r>
            <w:r>
              <w:rPr>
                <w:rFonts w:ascii="宋体" w:hAnsi="宋体" w:cs="宋体" w:eastAsia="宋体" w:hint="default"/>
                <w:spacing w:val="-72"/>
                <w:sz w:val="15"/>
                <w:szCs w:val="15"/>
              </w:rPr>
              <w:t> </w:t>
            </w:r>
            <w:r>
              <w:rPr>
                <w:rFonts w:ascii="宋体" w:hAnsi="宋体" w:cs="宋体" w:eastAsia="宋体" w:hint="default"/>
                <w:sz w:val="15"/>
                <w:szCs w:val="15"/>
              </w:rPr>
              <w:t>科技开</w:t>
            </w:r>
            <w:r>
              <w:rPr>
                <w:rFonts w:ascii="宋体" w:hAnsi="宋体" w:cs="宋体" w:eastAsia="宋体" w:hint="default"/>
                <w:spacing w:val="-72"/>
                <w:sz w:val="15"/>
                <w:szCs w:val="15"/>
              </w:rPr>
              <w:t> </w:t>
            </w:r>
            <w:r>
              <w:rPr>
                <w:rFonts w:ascii="宋体" w:hAnsi="宋体" w:cs="宋体" w:eastAsia="宋体" w:hint="default"/>
                <w:sz w:val="15"/>
                <w:szCs w:val="15"/>
              </w:rPr>
              <w:t>发有限</w:t>
            </w:r>
            <w:r>
              <w:rPr>
                <w:rFonts w:ascii="宋体" w:hAnsi="宋体" w:cs="宋体" w:eastAsia="宋体" w:hint="default"/>
                <w:spacing w:val="-72"/>
                <w:sz w:val="15"/>
                <w:szCs w:val="15"/>
              </w:rPr>
              <w:t> </w:t>
            </w:r>
            <w:r>
              <w:rPr>
                <w:rFonts w:ascii="宋体" w:hAnsi="宋体" w:cs="宋体" w:eastAsia="宋体" w:hint="default"/>
                <w:sz w:val="15"/>
                <w:szCs w:val="15"/>
              </w:rPr>
              <w:t>公司</w:t>
            </w:r>
          </w:p>
        </w:tc>
        <w:tc>
          <w:tcPr>
            <w:tcW w:w="794" w:type="dxa"/>
            <w:tcBorders>
              <w:top w:val="single" w:sz="4" w:space="0" w:color="41B7EE"/>
              <w:left w:val="single" w:sz="4" w:space="0" w:color="41B7EE"/>
              <w:bottom w:val="single" w:sz="4" w:space="0" w:color="41B7EE"/>
              <w:right w:val="single" w:sz="4" w:space="0" w:color="41B7EE"/>
            </w:tcBorders>
          </w:tcPr>
          <w:p>
            <w:pPr/>
          </w:p>
        </w:tc>
        <w:tc>
          <w:tcPr>
            <w:tcW w:w="60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0"/>
              <w:ind w:left="23" w:right="0"/>
              <w:jc w:val="left"/>
              <w:rPr>
                <w:rFonts w:ascii="宋体" w:hAnsi="宋体" w:cs="宋体" w:eastAsia="宋体" w:hint="default"/>
                <w:sz w:val="15"/>
                <w:szCs w:val="15"/>
              </w:rPr>
            </w:pPr>
            <w:r>
              <w:rPr>
                <w:rFonts w:ascii="宋体" w:hAnsi="宋体" w:cs="宋体" w:eastAsia="宋体" w:hint="default"/>
                <w:sz w:val="15"/>
                <w:szCs w:val="15"/>
              </w:rPr>
              <w:t>诉讼</w:t>
            </w:r>
          </w:p>
        </w:tc>
        <w:tc>
          <w:tcPr>
            <w:tcW w:w="2273" w:type="dxa"/>
            <w:tcBorders>
              <w:top w:val="single" w:sz="4" w:space="0" w:color="41B7EE"/>
              <w:left w:val="single" w:sz="4" w:space="0" w:color="41B7EE"/>
              <w:bottom w:val="single" w:sz="4" w:space="0" w:color="41B7EE"/>
              <w:right w:val="single" w:sz="4" w:space="0" w:color="41B7EE"/>
            </w:tcBorders>
          </w:tcPr>
          <w:p>
            <w:pPr>
              <w:pStyle w:val="TableParagraph"/>
              <w:spacing w:line="171" w:lineRule="exact"/>
              <w:ind w:left="23" w:right="0"/>
              <w:jc w:val="left"/>
              <w:rPr>
                <w:rFonts w:ascii="宋体" w:hAnsi="宋体" w:cs="宋体" w:eastAsia="宋体" w:hint="default"/>
                <w:sz w:val="15"/>
                <w:szCs w:val="15"/>
              </w:rPr>
            </w:pPr>
            <w:r>
              <w:rPr>
                <w:rFonts w:ascii="宋体" w:hAnsi="宋体" w:cs="宋体" w:eastAsia="宋体" w:hint="default"/>
                <w:sz w:val="15"/>
                <w:szCs w:val="15"/>
              </w:rPr>
              <w:t>公司与哈尔滨益众节能环保科技</w:t>
            </w:r>
          </w:p>
          <w:p>
            <w:pPr>
              <w:pStyle w:val="TableParagraph"/>
              <w:spacing w:line="235" w:lineRule="auto" w:before="2"/>
              <w:ind w:left="23" w:right="-14"/>
              <w:jc w:val="left"/>
              <w:rPr>
                <w:rFonts w:ascii="宋体" w:hAnsi="宋体" w:cs="宋体" w:eastAsia="宋体" w:hint="default"/>
                <w:sz w:val="15"/>
                <w:szCs w:val="15"/>
              </w:rPr>
            </w:pPr>
            <w:r>
              <w:rPr>
                <w:rFonts w:ascii="宋体" w:hAnsi="宋体" w:cs="宋体" w:eastAsia="宋体" w:hint="default"/>
                <w:sz w:val="15"/>
                <w:szCs w:val="15"/>
              </w:rPr>
              <w:t>有限公司、李香玉于</w:t>
            </w:r>
            <w:r>
              <w:rPr>
                <w:rFonts w:ascii="宋体" w:hAnsi="宋体" w:cs="宋体" w:eastAsia="宋体" w:hint="default"/>
                <w:spacing w:val="-37"/>
                <w:sz w:val="15"/>
                <w:szCs w:val="15"/>
              </w:rPr>
              <w:t> </w:t>
            </w:r>
            <w:r>
              <w:rPr>
                <w:rFonts w:ascii="Arial" w:hAnsi="Arial" w:cs="Arial" w:eastAsia="Arial" w:hint="default"/>
                <w:sz w:val="15"/>
                <w:szCs w:val="15"/>
              </w:rPr>
              <w:t>2011</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w:hAnsi="Arial" w:cs="Arial" w:eastAsia="Arial" w:hint="default"/>
                <w:sz w:val="15"/>
                <w:szCs w:val="15"/>
              </w:rPr>
              <w:t>11</w:t>
            </w:r>
            <w:r>
              <w:rPr>
                <w:rFonts w:ascii="Arial" w:hAnsi="Arial" w:cs="Arial" w:eastAsia="Arial" w:hint="default"/>
                <w:spacing w:val="-1"/>
                <w:w w:val="100"/>
                <w:sz w:val="15"/>
                <w:szCs w:val="15"/>
              </w:rPr>
              <w:t> </w:t>
            </w:r>
            <w:r>
              <w:rPr>
                <w:rFonts w:ascii="宋体" w:hAnsi="宋体" w:cs="宋体" w:eastAsia="宋体" w:hint="default"/>
                <w:sz w:val="15"/>
                <w:szCs w:val="15"/>
              </w:rPr>
              <w:t>月三方合作出资设立哈尔滨益源</w:t>
            </w:r>
            <w:r>
              <w:rPr>
                <w:rFonts w:ascii="宋体" w:hAnsi="宋体" w:cs="宋体" w:eastAsia="宋体" w:hint="default"/>
                <w:w w:val="100"/>
                <w:sz w:val="15"/>
                <w:szCs w:val="15"/>
              </w:rPr>
              <w:t> </w:t>
            </w:r>
            <w:r>
              <w:rPr>
                <w:rFonts w:ascii="宋体" w:hAnsi="宋体" w:cs="宋体" w:eastAsia="宋体" w:hint="default"/>
                <w:sz w:val="15"/>
                <w:szCs w:val="15"/>
              </w:rPr>
              <w:t>康科技开发有限公司开展离子水</w:t>
            </w:r>
            <w:r>
              <w:rPr>
                <w:rFonts w:ascii="宋体" w:hAnsi="宋体" w:cs="宋体" w:eastAsia="宋体" w:hint="default"/>
                <w:w w:val="100"/>
                <w:sz w:val="15"/>
                <w:szCs w:val="15"/>
              </w:rPr>
              <w:t> </w:t>
            </w:r>
            <w:r>
              <w:rPr>
                <w:rFonts w:ascii="宋体" w:hAnsi="宋体" w:cs="宋体" w:eastAsia="宋体" w:hint="default"/>
                <w:spacing w:val="-9"/>
                <w:w w:val="100"/>
                <w:sz w:val="15"/>
                <w:szCs w:val="15"/>
              </w:rPr>
              <w:t>项目，公司同时提供</w:t>
            </w:r>
            <w:r>
              <w:rPr>
                <w:rFonts w:ascii="宋体" w:hAnsi="宋体" w:cs="宋体" w:eastAsia="宋体" w:hint="default"/>
                <w:spacing w:val="-34"/>
                <w:w w:val="100"/>
                <w:sz w:val="15"/>
                <w:szCs w:val="15"/>
              </w:rPr>
              <w:t> </w:t>
            </w:r>
            <w:r>
              <w:rPr>
                <w:rFonts w:ascii="Arial" w:hAnsi="Arial" w:cs="Arial" w:eastAsia="Arial" w:hint="default"/>
                <w:spacing w:val="-1"/>
                <w:w w:val="100"/>
                <w:sz w:val="15"/>
                <w:szCs w:val="15"/>
              </w:rPr>
              <w:t>100</w:t>
            </w:r>
            <w:r>
              <w:rPr>
                <w:rFonts w:ascii="Arial" w:hAnsi="Arial" w:cs="Arial" w:eastAsia="Arial" w:hint="default"/>
                <w:spacing w:val="-4"/>
                <w:w w:val="100"/>
                <w:sz w:val="15"/>
                <w:szCs w:val="15"/>
              </w:rPr>
              <w:t> </w:t>
            </w:r>
            <w:r>
              <w:rPr>
                <w:rFonts w:ascii="宋体" w:hAnsi="宋体" w:cs="宋体" w:eastAsia="宋体" w:hint="default"/>
                <w:spacing w:val="-1"/>
                <w:w w:val="100"/>
                <w:sz w:val="15"/>
                <w:szCs w:val="15"/>
              </w:rPr>
              <w:t>万元作为</w:t>
            </w:r>
            <w:r>
              <w:rPr>
                <w:rFonts w:ascii="宋体" w:hAnsi="宋体" w:cs="宋体" w:eastAsia="宋体" w:hint="default"/>
                <w:spacing w:val="-72"/>
                <w:w w:val="100"/>
                <w:sz w:val="15"/>
                <w:szCs w:val="15"/>
              </w:rPr>
              <w:t> </w:t>
            </w:r>
            <w:r>
              <w:rPr>
                <w:rFonts w:ascii="宋体" w:hAnsi="宋体" w:cs="宋体" w:eastAsia="宋体" w:hint="default"/>
                <w:spacing w:val="-72"/>
                <w:w w:val="100"/>
                <w:sz w:val="15"/>
                <w:szCs w:val="15"/>
              </w:rPr>
            </w:r>
            <w:r>
              <w:rPr>
                <w:rFonts w:ascii="宋体" w:hAnsi="宋体" w:cs="宋体" w:eastAsia="宋体" w:hint="default"/>
                <w:spacing w:val="-2"/>
                <w:sz w:val="15"/>
                <w:szCs w:val="15"/>
              </w:rPr>
              <w:t>流动资金，后公司要求其偿还时，</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pacing w:val="-4"/>
                <w:sz w:val="15"/>
                <w:szCs w:val="15"/>
              </w:rPr>
              <w:t>益源康公司一直未能偿还，公司诉</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pacing w:val="-4"/>
                <w:sz w:val="15"/>
                <w:szCs w:val="15"/>
              </w:rPr>
              <w:t>至法院，要求其偿还欠款并支付利</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息。</w:t>
            </w:r>
          </w:p>
        </w:tc>
        <w:tc>
          <w:tcPr>
            <w:tcW w:w="135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right="20"/>
              <w:jc w:val="right"/>
              <w:rPr>
                <w:rFonts w:ascii="Arial" w:hAnsi="Arial" w:cs="Arial" w:eastAsia="Arial" w:hint="default"/>
                <w:sz w:val="15"/>
                <w:szCs w:val="15"/>
              </w:rPr>
            </w:pPr>
            <w:r>
              <w:rPr>
                <w:rFonts w:ascii="Arial"/>
                <w:spacing w:val="-1"/>
                <w:sz w:val="15"/>
              </w:rPr>
              <w:t>1,078,686.3</w:t>
            </w:r>
          </w:p>
        </w:tc>
        <w:tc>
          <w:tcPr>
            <w:tcW w:w="838" w:type="dxa"/>
            <w:tcBorders>
              <w:top w:val="single" w:sz="4" w:space="0" w:color="41B7EE"/>
              <w:left w:val="single" w:sz="4" w:space="0" w:color="41B7EE"/>
              <w:bottom w:val="single" w:sz="4" w:space="0" w:color="41B7EE"/>
              <w:right w:val="single" w:sz="4" w:space="0" w:color="41B7EE"/>
            </w:tcBorders>
          </w:tcPr>
          <w:p>
            <w:pPr/>
          </w:p>
        </w:tc>
        <w:tc>
          <w:tcPr>
            <w:tcW w:w="242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01" w:lineRule="exact"/>
              <w:ind w:left="23" w:right="0"/>
              <w:jc w:val="left"/>
              <w:rPr>
                <w:rFonts w:ascii="Arial" w:hAnsi="Arial" w:cs="Arial" w:eastAsia="Arial" w:hint="default"/>
                <w:sz w:val="15"/>
                <w:szCs w:val="15"/>
              </w:rPr>
            </w:pPr>
            <w:r>
              <w:rPr>
                <w:rFonts w:ascii="宋体" w:hAnsi="宋体" w:cs="宋体" w:eastAsia="宋体" w:hint="default"/>
                <w:sz w:val="15"/>
                <w:szCs w:val="15"/>
              </w:rPr>
              <w:t>法院适用简易程序于</w:t>
            </w:r>
            <w:r>
              <w:rPr>
                <w:rFonts w:ascii="宋体" w:hAnsi="宋体" w:cs="宋体" w:eastAsia="宋体" w:hint="default"/>
                <w:spacing w:val="-51"/>
                <w:sz w:val="15"/>
                <w:szCs w:val="15"/>
              </w:rPr>
              <w:t> </w:t>
            </w:r>
            <w:r>
              <w:rPr>
                <w:rFonts w:ascii="Arial" w:hAnsi="Arial" w:cs="Arial" w:eastAsia="Arial" w:hint="default"/>
                <w:sz w:val="15"/>
                <w:szCs w:val="15"/>
              </w:rPr>
              <w:t>2014</w:t>
            </w:r>
            <w:r>
              <w:rPr>
                <w:rFonts w:ascii="Arial" w:hAnsi="Arial" w:cs="Arial" w:eastAsia="Arial" w:hint="default"/>
                <w:spacing w:val="-18"/>
                <w:sz w:val="15"/>
                <w:szCs w:val="15"/>
              </w:rPr>
              <w:t> </w:t>
            </w:r>
            <w:r>
              <w:rPr>
                <w:rFonts w:ascii="宋体" w:hAnsi="宋体" w:cs="宋体" w:eastAsia="宋体" w:hint="default"/>
                <w:sz w:val="15"/>
                <w:szCs w:val="15"/>
              </w:rPr>
              <w:t>年</w:t>
            </w:r>
            <w:r>
              <w:rPr>
                <w:rFonts w:ascii="宋体" w:hAnsi="宋体" w:cs="宋体" w:eastAsia="宋体" w:hint="default"/>
                <w:spacing w:val="-49"/>
                <w:sz w:val="15"/>
                <w:szCs w:val="15"/>
              </w:rPr>
              <w:t> </w:t>
            </w:r>
            <w:r>
              <w:rPr>
                <w:rFonts w:ascii="Arial" w:hAnsi="Arial" w:cs="Arial" w:eastAsia="Arial" w:hint="default"/>
                <w:sz w:val="15"/>
                <w:szCs w:val="15"/>
              </w:rPr>
              <w:t>9</w:t>
            </w:r>
            <w:r>
              <w:rPr>
                <w:rFonts w:ascii="Arial" w:hAnsi="Arial" w:cs="Arial" w:eastAsia="Arial" w:hint="default"/>
                <w:spacing w:val="-18"/>
                <w:sz w:val="15"/>
                <w:szCs w:val="15"/>
              </w:rPr>
              <w:t> </w:t>
            </w:r>
            <w:r>
              <w:rPr>
                <w:rFonts w:ascii="宋体" w:hAnsi="宋体" w:cs="宋体" w:eastAsia="宋体" w:hint="default"/>
                <w:sz w:val="15"/>
                <w:szCs w:val="15"/>
              </w:rPr>
              <w:t>月</w:t>
            </w:r>
            <w:r>
              <w:rPr>
                <w:rFonts w:ascii="宋体" w:hAnsi="宋体" w:cs="宋体" w:eastAsia="宋体" w:hint="default"/>
                <w:spacing w:val="-49"/>
                <w:sz w:val="15"/>
                <w:szCs w:val="15"/>
              </w:rPr>
              <w:t> </w:t>
            </w:r>
            <w:r>
              <w:rPr>
                <w:rFonts w:ascii="Arial" w:hAnsi="Arial" w:cs="Arial" w:eastAsia="Arial" w:hint="default"/>
                <w:sz w:val="15"/>
                <w:szCs w:val="15"/>
              </w:rPr>
              <w:t>23</w:t>
            </w:r>
          </w:p>
          <w:p>
            <w:pPr>
              <w:pStyle w:val="TableParagraph"/>
              <w:spacing w:line="232" w:lineRule="auto"/>
              <w:ind w:left="23" w:right="17"/>
              <w:jc w:val="left"/>
              <w:rPr>
                <w:rFonts w:ascii="宋体" w:hAnsi="宋体" w:cs="宋体" w:eastAsia="宋体" w:hint="default"/>
                <w:sz w:val="15"/>
                <w:szCs w:val="15"/>
              </w:rPr>
            </w:pPr>
            <w:r>
              <w:rPr>
                <w:rFonts w:ascii="宋体" w:hAnsi="宋体" w:cs="宋体" w:eastAsia="宋体" w:hint="default"/>
                <w:spacing w:val="-4"/>
                <w:sz w:val="15"/>
                <w:szCs w:val="15"/>
              </w:rPr>
              <w:t>日第一次开庭审理本案，于</w:t>
            </w:r>
            <w:r>
              <w:rPr>
                <w:rFonts w:ascii="宋体" w:hAnsi="宋体" w:cs="宋体" w:eastAsia="宋体" w:hint="default"/>
                <w:spacing w:val="-33"/>
                <w:sz w:val="15"/>
                <w:szCs w:val="15"/>
              </w:rPr>
              <w:t> </w:t>
            </w:r>
            <w:r>
              <w:rPr>
                <w:rFonts w:ascii="Arial" w:hAnsi="Arial" w:cs="Arial" w:eastAsia="Arial" w:hint="default"/>
                <w:sz w:val="15"/>
                <w:szCs w:val="15"/>
              </w:rPr>
              <w:t>10</w:t>
            </w:r>
            <w:r>
              <w:rPr>
                <w:rFonts w:ascii="Arial" w:hAnsi="Arial" w:cs="Arial" w:eastAsia="Arial" w:hint="default"/>
                <w:spacing w:val="-2"/>
                <w:sz w:val="15"/>
                <w:szCs w:val="15"/>
              </w:rPr>
              <w:t> </w:t>
            </w:r>
            <w:r>
              <w:rPr>
                <w:rFonts w:ascii="宋体" w:hAnsi="宋体" w:cs="宋体" w:eastAsia="宋体" w:hint="default"/>
                <w:sz w:val="15"/>
                <w:szCs w:val="15"/>
              </w:rPr>
              <w:t>月</w:t>
            </w:r>
            <w:r>
              <w:rPr>
                <w:rFonts w:ascii="宋体" w:hAnsi="宋体" w:cs="宋体" w:eastAsia="宋体" w:hint="default"/>
                <w:spacing w:val="-33"/>
                <w:sz w:val="15"/>
                <w:szCs w:val="15"/>
              </w:rPr>
              <w:t> </w:t>
            </w:r>
            <w:r>
              <w:rPr>
                <w:rFonts w:ascii="Arial" w:hAnsi="Arial" w:cs="Arial" w:eastAsia="Arial" w:hint="default"/>
                <w:sz w:val="15"/>
                <w:szCs w:val="15"/>
              </w:rPr>
              <w:t>27</w:t>
            </w:r>
            <w:r>
              <w:rPr>
                <w:rFonts w:ascii="Arial" w:hAnsi="Arial" w:cs="Arial" w:eastAsia="Arial" w:hint="default"/>
                <w:spacing w:val="-40"/>
                <w:sz w:val="15"/>
                <w:szCs w:val="15"/>
              </w:rPr>
              <w:t> </w:t>
            </w:r>
            <w:r>
              <w:rPr>
                <w:rFonts w:ascii="宋体" w:hAnsi="宋体" w:cs="宋体" w:eastAsia="宋体" w:hint="default"/>
                <w:sz w:val="15"/>
                <w:szCs w:val="15"/>
              </w:rPr>
              <w:t>日裁定将简易程序转为普通程序审</w:t>
            </w:r>
            <w:r>
              <w:rPr>
                <w:rFonts w:ascii="宋体" w:hAnsi="宋体" w:cs="宋体" w:eastAsia="宋体" w:hint="default"/>
                <w:w w:val="100"/>
                <w:sz w:val="15"/>
                <w:szCs w:val="15"/>
              </w:rPr>
              <w:t> </w:t>
            </w:r>
            <w:r>
              <w:rPr>
                <w:rFonts w:ascii="宋体" w:hAnsi="宋体" w:cs="宋体" w:eastAsia="宋体" w:hint="default"/>
                <w:spacing w:val="-19"/>
                <w:w w:val="100"/>
                <w:sz w:val="15"/>
                <w:szCs w:val="15"/>
              </w:rPr>
              <w:t>理，并于</w:t>
            </w:r>
            <w:r>
              <w:rPr>
                <w:rFonts w:ascii="宋体" w:hAnsi="宋体" w:cs="宋体" w:eastAsia="宋体" w:hint="default"/>
                <w:spacing w:val="-35"/>
                <w:w w:val="100"/>
                <w:sz w:val="15"/>
                <w:szCs w:val="15"/>
              </w:rPr>
              <w:t> </w:t>
            </w:r>
            <w:r>
              <w:rPr>
                <w:rFonts w:ascii="Arial" w:hAnsi="Arial" w:cs="Arial" w:eastAsia="Arial" w:hint="default"/>
                <w:spacing w:val="-1"/>
                <w:w w:val="100"/>
                <w:sz w:val="15"/>
                <w:szCs w:val="15"/>
              </w:rPr>
              <w:t>11</w:t>
            </w:r>
            <w:r>
              <w:rPr>
                <w:rFonts w:ascii="Arial" w:hAnsi="Arial" w:cs="Arial" w:eastAsia="Arial" w:hint="default"/>
                <w:spacing w:val="-4"/>
                <w:w w:val="100"/>
                <w:sz w:val="15"/>
                <w:szCs w:val="15"/>
              </w:rPr>
              <w:t> </w:t>
            </w:r>
            <w:r>
              <w:rPr>
                <w:rFonts w:ascii="宋体" w:hAnsi="宋体" w:cs="宋体" w:eastAsia="宋体" w:hint="default"/>
                <w:w w:val="100"/>
                <w:sz w:val="15"/>
                <w:szCs w:val="15"/>
              </w:rPr>
              <w:t>月</w:t>
            </w:r>
            <w:r>
              <w:rPr>
                <w:rFonts w:ascii="宋体" w:hAnsi="宋体" w:cs="宋体" w:eastAsia="宋体" w:hint="default"/>
                <w:spacing w:val="-37"/>
                <w:w w:val="100"/>
                <w:sz w:val="15"/>
                <w:szCs w:val="15"/>
              </w:rPr>
              <w:t> </w:t>
            </w:r>
            <w:r>
              <w:rPr>
                <w:rFonts w:ascii="Arial" w:hAnsi="Arial" w:cs="Arial" w:eastAsia="Arial" w:hint="default"/>
                <w:spacing w:val="-1"/>
                <w:w w:val="100"/>
                <w:sz w:val="15"/>
                <w:szCs w:val="15"/>
              </w:rPr>
              <w:t>12</w:t>
            </w:r>
            <w:r>
              <w:rPr>
                <w:rFonts w:ascii="Arial" w:hAnsi="Arial" w:cs="Arial" w:eastAsia="Arial" w:hint="default"/>
                <w:spacing w:val="-4"/>
                <w:w w:val="100"/>
                <w:sz w:val="15"/>
                <w:szCs w:val="15"/>
              </w:rPr>
              <w:t> </w:t>
            </w:r>
            <w:r>
              <w:rPr>
                <w:rFonts w:ascii="宋体" w:hAnsi="宋体" w:cs="宋体" w:eastAsia="宋体" w:hint="default"/>
                <w:spacing w:val="-2"/>
                <w:w w:val="100"/>
                <w:sz w:val="15"/>
                <w:szCs w:val="15"/>
              </w:rPr>
              <w:t>日第二次开庭审理</w:t>
            </w:r>
          </w:p>
          <w:p>
            <w:pPr>
              <w:pStyle w:val="TableParagraph"/>
              <w:spacing w:line="189" w:lineRule="exact"/>
              <w:ind w:left="23" w:right="0"/>
              <w:jc w:val="left"/>
              <w:rPr>
                <w:rFonts w:ascii="宋体" w:hAnsi="宋体" w:cs="宋体" w:eastAsia="宋体" w:hint="default"/>
                <w:sz w:val="15"/>
                <w:szCs w:val="15"/>
              </w:rPr>
            </w:pPr>
            <w:r>
              <w:rPr>
                <w:rFonts w:ascii="宋体" w:hAnsi="宋体" w:cs="宋体" w:eastAsia="宋体" w:hint="default"/>
                <w:sz w:val="15"/>
                <w:szCs w:val="15"/>
              </w:rPr>
              <w:t>本案。</w:t>
            </w:r>
            <w:r>
              <w:rPr>
                <w:rFonts w:ascii="Arial" w:hAnsi="Arial" w:cs="Arial" w:eastAsia="Arial" w:hint="default"/>
                <w:sz w:val="15"/>
                <w:szCs w:val="15"/>
              </w:rPr>
              <w:t>2014</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w:hAnsi="Arial" w:cs="Arial" w:eastAsia="Arial" w:hint="default"/>
                <w:sz w:val="15"/>
                <w:szCs w:val="15"/>
              </w:rPr>
              <w:t>11</w:t>
            </w:r>
            <w:r>
              <w:rPr>
                <w:rFonts w:ascii="Arial" w:hAnsi="Arial" w:cs="Arial" w:eastAsia="Arial" w:hint="default"/>
                <w:spacing w:val="-4"/>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Arial" w:hAnsi="Arial" w:cs="Arial" w:eastAsia="Arial" w:hint="default"/>
                <w:sz w:val="15"/>
                <w:szCs w:val="15"/>
              </w:rPr>
              <w:t>25</w:t>
            </w:r>
            <w:r>
              <w:rPr>
                <w:rFonts w:ascii="Arial" w:hAnsi="Arial" w:cs="Arial" w:eastAsia="Arial" w:hint="default"/>
                <w:spacing w:val="-6"/>
                <w:sz w:val="15"/>
                <w:szCs w:val="15"/>
              </w:rPr>
              <w:t> </w:t>
            </w:r>
            <w:r>
              <w:rPr>
                <w:rFonts w:ascii="宋体" w:hAnsi="宋体" w:cs="宋体" w:eastAsia="宋体" w:hint="default"/>
                <w:sz w:val="15"/>
                <w:szCs w:val="15"/>
              </w:rPr>
              <w:t>日，法院作</w:t>
            </w:r>
          </w:p>
          <w:p>
            <w:pPr>
              <w:pStyle w:val="TableParagraph"/>
              <w:spacing w:line="194" w:lineRule="exact" w:before="13"/>
              <w:ind w:left="23" w:right="74"/>
              <w:jc w:val="left"/>
              <w:rPr>
                <w:rFonts w:ascii="宋体" w:hAnsi="宋体" w:cs="宋体" w:eastAsia="宋体" w:hint="default"/>
                <w:sz w:val="15"/>
                <w:szCs w:val="15"/>
              </w:rPr>
            </w:pPr>
            <w:r>
              <w:rPr>
                <w:rFonts w:ascii="宋体" w:hAnsi="宋体" w:cs="宋体" w:eastAsia="宋体" w:hint="default"/>
                <w:sz w:val="15"/>
                <w:szCs w:val="15"/>
              </w:rPr>
              <w:t>出（</w:t>
            </w:r>
            <w:r>
              <w:rPr>
                <w:rFonts w:ascii="Arial" w:hAnsi="Arial" w:cs="Arial" w:eastAsia="Arial" w:hint="default"/>
                <w:sz w:val="15"/>
                <w:szCs w:val="15"/>
              </w:rPr>
              <w:t>2014</w:t>
            </w:r>
            <w:r>
              <w:rPr>
                <w:rFonts w:ascii="宋体" w:hAnsi="宋体" w:cs="宋体" w:eastAsia="宋体" w:hint="default"/>
                <w:sz w:val="15"/>
                <w:szCs w:val="15"/>
              </w:rPr>
              <w:t>）松商初字第</w:t>
            </w:r>
            <w:r>
              <w:rPr>
                <w:rFonts w:ascii="宋体" w:hAnsi="宋体" w:cs="宋体" w:eastAsia="宋体" w:hint="default"/>
                <w:spacing w:val="-40"/>
                <w:sz w:val="15"/>
                <w:szCs w:val="15"/>
              </w:rPr>
              <w:t> </w:t>
            </w:r>
            <w:r>
              <w:rPr>
                <w:rFonts w:ascii="Arial" w:hAnsi="Arial" w:cs="Arial" w:eastAsia="Arial" w:hint="default"/>
                <w:sz w:val="15"/>
                <w:szCs w:val="15"/>
              </w:rPr>
              <w:t>231</w:t>
            </w:r>
            <w:r>
              <w:rPr>
                <w:rFonts w:ascii="Arial" w:hAnsi="Arial" w:cs="Arial" w:eastAsia="Arial" w:hint="default"/>
                <w:spacing w:val="-7"/>
                <w:sz w:val="15"/>
                <w:szCs w:val="15"/>
              </w:rPr>
              <w:t> </w:t>
            </w:r>
            <w:r>
              <w:rPr>
                <w:rFonts w:ascii="宋体" w:hAnsi="宋体" w:cs="宋体" w:eastAsia="宋体" w:hint="default"/>
                <w:sz w:val="15"/>
                <w:szCs w:val="15"/>
              </w:rPr>
              <w:t>号民事</w:t>
            </w:r>
            <w:r>
              <w:rPr>
                <w:rFonts w:ascii="宋体" w:hAnsi="宋体" w:cs="宋体" w:eastAsia="宋体" w:hint="default"/>
                <w:w w:val="100"/>
                <w:sz w:val="15"/>
                <w:szCs w:val="15"/>
              </w:rPr>
              <w:t> </w:t>
            </w:r>
            <w:r>
              <w:rPr>
                <w:rFonts w:ascii="宋体" w:hAnsi="宋体" w:cs="宋体" w:eastAsia="宋体" w:hint="default"/>
                <w:sz w:val="15"/>
                <w:szCs w:val="15"/>
              </w:rPr>
              <w:t>判决书。</w:t>
            </w:r>
          </w:p>
        </w:tc>
        <w:tc>
          <w:tcPr>
            <w:tcW w:w="285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01" w:lineRule="exact"/>
              <w:ind w:left="24" w:right="0"/>
              <w:jc w:val="left"/>
              <w:rPr>
                <w:rFonts w:ascii="宋体" w:hAnsi="宋体" w:cs="宋体" w:eastAsia="宋体" w:hint="default"/>
                <w:sz w:val="15"/>
                <w:szCs w:val="15"/>
              </w:rPr>
            </w:pPr>
            <w:r>
              <w:rPr>
                <w:rFonts w:ascii="宋体" w:hAnsi="宋体" w:cs="宋体" w:eastAsia="宋体" w:hint="default"/>
                <w:sz w:val="15"/>
                <w:szCs w:val="15"/>
              </w:rPr>
              <w:t>判决结果：被告于判决生效之日起</w:t>
            </w:r>
            <w:r>
              <w:rPr>
                <w:rFonts w:ascii="宋体" w:hAnsi="宋体" w:cs="宋体" w:eastAsia="宋体" w:hint="default"/>
                <w:spacing w:val="-38"/>
                <w:sz w:val="15"/>
                <w:szCs w:val="15"/>
              </w:rPr>
              <w:t> </w:t>
            </w:r>
            <w:r>
              <w:rPr>
                <w:rFonts w:ascii="Arial" w:hAnsi="Arial" w:cs="Arial" w:eastAsia="Arial" w:hint="default"/>
                <w:sz w:val="15"/>
                <w:szCs w:val="15"/>
              </w:rPr>
              <w:t>10</w:t>
            </w:r>
            <w:r>
              <w:rPr>
                <w:rFonts w:ascii="Arial" w:hAnsi="Arial" w:cs="Arial" w:eastAsia="Arial" w:hint="default"/>
                <w:spacing w:val="-6"/>
                <w:sz w:val="15"/>
                <w:szCs w:val="15"/>
              </w:rPr>
              <w:t> </w:t>
            </w:r>
            <w:r>
              <w:rPr>
                <w:rFonts w:ascii="宋体" w:hAnsi="宋体" w:cs="宋体" w:eastAsia="宋体" w:hint="default"/>
                <w:spacing w:val="-3"/>
                <w:sz w:val="15"/>
                <w:szCs w:val="15"/>
              </w:rPr>
              <w:t>日内</w:t>
            </w:r>
            <w:r>
              <w:rPr>
                <w:rFonts w:ascii="宋体" w:hAnsi="宋体" w:cs="宋体" w:eastAsia="宋体" w:hint="default"/>
                <w:sz w:val="15"/>
                <w:szCs w:val="15"/>
              </w:rPr>
            </w:r>
          </w:p>
          <w:p>
            <w:pPr>
              <w:pStyle w:val="TableParagraph"/>
              <w:spacing w:line="194" w:lineRule="exact" w:before="14"/>
              <w:ind w:left="24" w:right="94"/>
              <w:jc w:val="left"/>
              <w:rPr>
                <w:rFonts w:ascii="宋体" w:hAnsi="宋体" w:cs="宋体" w:eastAsia="宋体" w:hint="default"/>
                <w:sz w:val="15"/>
                <w:szCs w:val="15"/>
              </w:rPr>
            </w:pPr>
            <w:r>
              <w:rPr>
                <w:rFonts w:ascii="宋体" w:hAnsi="宋体" w:cs="宋体" w:eastAsia="宋体" w:hint="default"/>
                <w:sz w:val="15"/>
                <w:szCs w:val="15"/>
              </w:rPr>
              <w:t>给付公司借款本金</w:t>
            </w:r>
            <w:r>
              <w:rPr>
                <w:rFonts w:ascii="宋体" w:hAnsi="宋体" w:cs="宋体" w:eastAsia="宋体" w:hint="default"/>
                <w:spacing w:val="-39"/>
                <w:sz w:val="15"/>
                <w:szCs w:val="15"/>
              </w:rPr>
              <w:t> </w:t>
            </w:r>
            <w:r>
              <w:rPr>
                <w:rFonts w:ascii="Arial" w:hAnsi="Arial" w:cs="Arial" w:eastAsia="Arial" w:hint="default"/>
                <w:sz w:val="15"/>
                <w:szCs w:val="15"/>
              </w:rPr>
              <w:t>100</w:t>
            </w:r>
            <w:r>
              <w:rPr>
                <w:rFonts w:ascii="Arial" w:hAnsi="Arial" w:cs="Arial" w:eastAsia="Arial" w:hint="default"/>
                <w:spacing w:val="-6"/>
                <w:sz w:val="15"/>
                <w:szCs w:val="15"/>
              </w:rPr>
              <w:t> </w:t>
            </w:r>
            <w:r>
              <w:rPr>
                <w:rFonts w:ascii="宋体" w:hAnsi="宋体" w:cs="宋体" w:eastAsia="宋体" w:hint="default"/>
                <w:sz w:val="15"/>
                <w:szCs w:val="15"/>
              </w:rPr>
              <w:t>万元并按银行同期</w:t>
            </w:r>
            <w:r>
              <w:rPr>
                <w:rFonts w:ascii="宋体" w:hAnsi="宋体" w:cs="宋体" w:eastAsia="宋体" w:hint="default"/>
                <w:w w:val="100"/>
                <w:sz w:val="15"/>
                <w:szCs w:val="15"/>
              </w:rPr>
              <w:t> </w:t>
            </w:r>
            <w:r>
              <w:rPr>
                <w:rFonts w:ascii="宋体" w:hAnsi="宋体" w:cs="宋体" w:eastAsia="宋体" w:hint="default"/>
                <w:sz w:val="15"/>
                <w:szCs w:val="15"/>
              </w:rPr>
              <w:t>贷款利率分期支付相应利息。</w:t>
            </w:r>
          </w:p>
        </w:tc>
        <w:tc>
          <w:tcPr>
            <w:tcW w:w="152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74"/>
              <w:ind w:left="21" w:right="24"/>
              <w:jc w:val="left"/>
              <w:rPr>
                <w:rFonts w:ascii="宋体" w:hAnsi="宋体" w:cs="宋体" w:eastAsia="宋体" w:hint="default"/>
                <w:sz w:val="15"/>
                <w:szCs w:val="15"/>
              </w:rPr>
            </w:pPr>
            <w:r>
              <w:rPr>
                <w:rFonts w:ascii="宋体" w:hAnsi="宋体" w:cs="宋体" w:eastAsia="宋体" w:hint="default"/>
                <w:spacing w:val="-4"/>
                <w:sz w:val="15"/>
                <w:szCs w:val="15"/>
              </w:rPr>
              <w:t>一审判决生效后，被告</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z w:val="15"/>
                <w:szCs w:val="15"/>
              </w:rPr>
              <w:t>未能如期履行给付义</w:t>
            </w:r>
            <w:r>
              <w:rPr>
                <w:rFonts w:ascii="宋体" w:hAnsi="宋体" w:cs="宋体" w:eastAsia="宋体" w:hint="default"/>
                <w:w w:val="100"/>
                <w:sz w:val="15"/>
                <w:szCs w:val="15"/>
              </w:rPr>
              <w:t> </w:t>
            </w:r>
            <w:r>
              <w:rPr>
                <w:rFonts w:ascii="宋体" w:hAnsi="宋体" w:cs="宋体" w:eastAsia="宋体" w:hint="default"/>
                <w:spacing w:val="-4"/>
                <w:sz w:val="15"/>
                <w:szCs w:val="15"/>
              </w:rPr>
              <w:t>务，公司向法院申请强</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pacing w:val="-4"/>
                <w:sz w:val="15"/>
                <w:szCs w:val="15"/>
              </w:rPr>
              <w:t>制执行，查封了益源康</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pacing w:val="-4"/>
                <w:sz w:val="15"/>
                <w:szCs w:val="15"/>
              </w:rPr>
              <w:t>公司机器设备一套，查</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封到期后对机器设备</w:t>
            </w:r>
            <w:r>
              <w:rPr>
                <w:rFonts w:ascii="宋体" w:hAnsi="宋体" w:cs="宋体" w:eastAsia="宋体" w:hint="default"/>
                <w:w w:val="100"/>
                <w:sz w:val="15"/>
                <w:szCs w:val="15"/>
              </w:rPr>
              <w:t> </w:t>
            </w:r>
            <w:r>
              <w:rPr>
                <w:rFonts w:ascii="宋体" w:hAnsi="宋体" w:cs="宋体" w:eastAsia="宋体" w:hint="default"/>
                <w:spacing w:val="-4"/>
                <w:sz w:val="15"/>
                <w:szCs w:val="15"/>
              </w:rPr>
              <w:t>申请续封，仍处于执行</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阶段。</w:t>
            </w:r>
          </w:p>
        </w:tc>
      </w:tr>
      <w:tr>
        <w:trPr>
          <w:trHeight w:val="362" w:hRule="exact"/>
        </w:trPr>
        <w:tc>
          <w:tcPr>
            <w:tcW w:w="612"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50"/>
              <w:ind w:left="28" w:right="0"/>
              <w:jc w:val="left"/>
              <w:rPr>
                <w:rFonts w:ascii="宋体" w:hAnsi="宋体" w:cs="宋体" w:eastAsia="宋体" w:hint="default"/>
                <w:sz w:val="15"/>
                <w:szCs w:val="15"/>
              </w:rPr>
            </w:pPr>
            <w:r>
              <w:rPr>
                <w:rFonts w:ascii="宋体" w:hAnsi="宋体" w:cs="宋体" w:eastAsia="宋体" w:hint="default"/>
                <w:sz w:val="15"/>
                <w:szCs w:val="15"/>
              </w:rPr>
              <w:t>北大荒</w:t>
            </w:r>
          </w:p>
        </w:tc>
        <w:tc>
          <w:tcPr>
            <w:tcW w:w="646"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0"/>
              <w:ind w:left="21" w:right="0"/>
              <w:jc w:val="left"/>
              <w:rPr>
                <w:rFonts w:ascii="宋体" w:hAnsi="宋体" w:cs="宋体" w:eastAsia="宋体" w:hint="default"/>
                <w:sz w:val="15"/>
                <w:szCs w:val="15"/>
              </w:rPr>
            </w:pPr>
            <w:r>
              <w:rPr>
                <w:rFonts w:ascii="宋体" w:hAnsi="宋体" w:cs="宋体" w:eastAsia="宋体" w:hint="default"/>
                <w:sz w:val="15"/>
                <w:szCs w:val="15"/>
              </w:rPr>
              <w:t>邹平汇</w:t>
            </w:r>
          </w:p>
        </w:tc>
        <w:tc>
          <w:tcPr>
            <w:tcW w:w="794" w:type="dxa"/>
            <w:tcBorders>
              <w:top w:val="single" w:sz="4" w:space="0" w:color="41B7EE"/>
              <w:left w:val="single" w:sz="4" w:space="0" w:color="41B7EE"/>
              <w:bottom w:val="single" w:sz="8" w:space="0" w:color="41B7EE"/>
              <w:right w:val="single" w:sz="4" w:space="0" w:color="41B7EE"/>
            </w:tcBorders>
          </w:tcPr>
          <w:p>
            <w:pPr/>
          </w:p>
        </w:tc>
        <w:tc>
          <w:tcPr>
            <w:tcW w:w="600" w:type="dxa"/>
            <w:tcBorders>
              <w:top w:val="single" w:sz="4" w:space="0" w:color="41B7EE"/>
              <w:left w:val="single" w:sz="4" w:space="0" w:color="41B7EE"/>
              <w:bottom w:val="single" w:sz="8" w:space="0" w:color="41B7EE"/>
              <w:right w:val="single" w:sz="4" w:space="0" w:color="41B7EE"/>
            </w:tcBorders>
          </w:tcPr>
          <w:p>
            <w:pPr/>
          </w:p>
        </w:tc>
        <w:tc>
          <w:tcPr>
            <w:tcW w:w="2273"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0"/>
              <w:ind w:left="23" w:right="0"/>
              <w:jc w:val="left"/>
              <w:rPr>
                <w:rFonts w:ascii="宋体" w:hAnsi="宋体" w:cs="宋体" w:eastAsia="宋体" w:hint="default"/>
                <w:sz w:val="15"/>
                <w:szCs w:val="15"/>
              </w:rPr>
            </w:pPr>
            <w:r>
              <w:rPr>
                <w:rFonts w:ascii="宋体" w:hAnsi="宋体" w:cs="宋体" w:eastAsia="宋体" w:hint="default"/>
                <w:sz w:val="15"/>
                <w:szCs w:val="15"/>
              </w:rPr>
              <w:t>公司于</w:t>
            </w:r>
            <w:r>
              <w:rPr>
                <w:rFonts w:ascii="宋体" w:hAnsi="宋体" w:cs="宋体" w:eastAsia="宋体" w:hint="default"/>
                <w:spacing w:val="-51"/>
                <w:sz w:val="15"/>
                <w:szCs w:val="15"/>
              </w:rPr>
              <w:t> </w:t>
            </w:r>
            <w:r>
              <w:rPr>
                <w:rFonts w:ascii="Arial" w:hAnsi="Arial" w:cs="Arial" w:eastAsia="Arial" w:hint="default"/>
                <w:sz w:val="15"/>
                <w:szCs w:val="15"/>
              </w:rPr>
              <w:t>2012</w:t>
            </w:r>
            <w:r>
              <w:rPr>
                <w:rFonts w:ascii="Arial" w:hAnsi="Arial" w:cs="Arial" w:eastAsia="Arial" w:hint="default"/>
                <w:spacing w:val="-18"/>
                <w:sz w:val="15"/>
                <w:szCs w:val="15"/>
              </w:rPr>
              <w:t> </w:t>
            </w:r>
            <w:r>
              <w:rPr>
                <w:rFonts w:ascii="宋体" w:hAnsi="宋体" w:cs="宋体" w:eastAsia="宋体" w:hint="default"/>
                <w:sz w:val="15"/>
                <w:szCs w:val="15"/>
              </w:rPr>
              <w:t>年</w:t>
            </w:r>
            <w:r>
              <w:rPr>
                <w:rFonts w:ascii="宋体" w:hAnsi="宋体" w:cs="宋体" w:eastAsia="宋体" w:hint="default"/>
                <w:spacing w:val="-48"/>
                <w:sz w:val="15"/>
                <w:szCs w:val="15"/>
              </w:rPr>
              <w:t> </w:t>
            </w:r>
            <w:r>
              <w:rPr>
                <w:rFonts w:ascii="Arial" w:hAnsi="Arial" w:cs="Arial" w:eastAsia="Arial" w:hint="default"/>
                <w:sz w:val="15"/>
                <w:szCs w:val="15"/>
              </w:rPr>
              <w:t>3</w:t>
            </w:r>
            <w:r>
              <w:rPr>
                <w:rFonts w:ascii="Arial" w:hAnsi="Arial" w:cs="Arial" w:eastAsia="Arial" w:hint="default"/>
                <w:spacing w:val="-15"/>
                <w:sz w:val="15"/>
                <w:szCs w:val="15"/>
              </w:rPr>
              <w:t> </w:t>
            </w:r>
            <w:r>
              <w:rPr>
                <w:rFonts w:ascii="宋体" w:hAnsi="宋体" w:cs="宋体" w:eastAsia="宋体" w:hint="default"/>
                <w:sz w:val="15"/>
                <w:szCs w:val="15"/>
              </w:rPr>
              <w:t>月份</w:t>
            </w:r>
            <w:r>
              <w:rPr>
                <w:rFonts w:ascii="Arial" w:hAnsi="Arial" w:cs="Arial" w:eastAsia="Arial" w:hint="default"/>
                <w:sz w:val="15"/>
                <w:szCs w:val="15"/>
              </w:rPr>
              <w:t>,</w:t>
            </w:r>
            <w:r>
              <w:rPr>
                <w:rFonts w:ascii="宋体" w:hAnsi="宋体" w:cs="宋体" w:eastAsia="宋体" w:hint="default"/>
                <w:sz w:val="15"/>
                <w:szCs w:val="15"/>
              </w:rPr>
              <w:t>与邹平汇超</w:t>
            </w:r>
          </w:p>
        </w:tc>
        <w:tc>
          <w:tcPr>
            <w:tcW w:w="1358"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82"/>
              <w:ind w:right="19"/>
              <w:jc w:val="right"/>
              <w:rPr>
                <w:rFonts w:ascii="Arial" w:hAnsi="Arial" w:cs="Arial" w:eastAsia="Arial" w:hint="default"/>
                <w:sz w:val="15"/>
                <w:szCs w:val="15"/>
              </w:rPr>
            </w:pPr>
            <w:r>
              <w:rPr>
                <w:rFonts w:ascii="Arial"/>
                <w:spacing w:val="-1"/>
                <w:sz w:val="15"/>
              </w:rPr>
              <w:t>890,000</w:t>
            </w:r>
          </w:p>
        </w:tc>
        <w:tc>
          <w:tcPr>
            <w:tcW w:w="838" w:type="dxa"/>
            <w:tcBorders>
              <w:top w:val="single" w:sz="4" w:space="0" w:color="41B7EE"/>
              <w:left w:val="single" w:sz="4" w:space="0" w:color="41B7EE"/>
              <w:bottom w:val="single" w:sz="8" w:space="0" w:color="41B7EE"/>
              <w:right w:val="single" w:sz="4" w:space="0" w:color="41B7EE"/>
            </w:tcBorders>
          </w:tcPr>
          <w:p>
            <w:pPr/>
          </w:p>
        </w:tc>
        <w:tc>
          <w:tcPr>
            <w:tcW w:w="2422"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0"/>
              <w:ind w:left="23" w:right="0"/>
              <w:jc w:val="left"/>
              <w:rPr>
                <w:rFonts w:ascii="宋体" w:hAnsi="宋体" w:cs="宋体" w:eastAsia="宋体" w:hint="default"/>
                <w:sz w:val="15"/>
                <w:szCs w:val="15"/>
              </w:rPr>
            </w:pPr>
            <w:r>
              <w:rPr>
                <w:rFonts w:ascii="宋体" w:hAnsi="宋体" w:cs="宋体" w:eastAsia="宋体" w:hint="default"/>
                <w:sz w:val="15"/>
                <w:szCs w:val="15"/>
              </w:rPr>
              <w:t>绥化农垦法院于</w:t>
            </w:r>
            <w:r>
              <w:rPr>
                <w:rFonts w:ascii="宋体" w:hAnsi="宋体" w:cs="宋体" w:eastAsia="宋体" w:hint="default"/>
                <w:spacing w:val="-40"/>
                <w:sz w:val="15"/>
                <w:szCs w:val="15"/>
              </w:rPr>
              <w:t> </w:t>
            </w:r>
            <w:r>
              <w:rPr>
                <w:rFonts w:ascii="Arial" w:hAnsi="Arial" w:cs="Arial" w:eastAsia="Arial" w:hint="default"/>
                <w:sz w:val="15"/>
                <w:szCs w:val="15"/>
              </w:rPr>
              <w:t>2013</w:t>
            </w:r>
            <w:r>
              <w:rPr>
                <w:rFonts w:ascii="Arial" w:hAnsi="Arial" w:cs="Arial" w:eastAsia="Arial" w:hint="default"/>
                <w:spacing w:val="-8"/>
                <w:sz w:val="15"/>
                <w:szCs w:val="15"/>
              </w:rPr>
              <w:t>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Arial" w:hAnsi="Arial" w:cs="Arial" w:eastAsia="Arial" w:hint="default"/>
                <w:sz w:val="15"/>
                <w:szCs w:val="15"/>
              </w:rPr>
              <w:t>7</w:t>
            </w:r>
            <w:r>
              <w:rPr>
                <w:rFonts w:ascii="Arial" w:hAnsi="Arial" w:cs="Arial" w:eastAsia="Arial" w:hint="default"/>
                <w:spacing w:val="-8"/>
                <w:sz w:val="15"/>
                <w:szCs w:val="15"/>
              </w:rPr>
              <w:t> </w:t>
            </w:r>
            <w:r>
              <w:rPr>
                <w:rFonts w:ascii="宋体" w:hAnsi="宋体" w:cs="宋体" w:eastAsia="宋体" w:hint="default"/>
                <w:sz w:val="15"/>
                <w:szCs w:val="15"/>
              </w:rPr>
              <w:t>月</w:t>
            </w:r>
            <w:r>
              <w:rPr>
                <w:rFonts w:ascii="宋体" w:hAnsi="宋体" w:cs="宋体" w:eastAsia="宋体" w:hint="default"/>
                <w:spacing w:val="-41"/>
                <w:sz w:val="15"/>
                <w:szCs w:val="15"/>
              </w:rPr>
              <w:t> </w:t>
            </w:r>
            <w:r>
              <w:rPr>
                <w:rFonts w:ascii="Arial" w:hAnsi="Arial" w:cs="Arial" w:eastAsia="Arial" w:hint="default"/>
                <w:sz w:val="15"/>
                <w:szCs w:val="15"/>
              </w:rPr>
              <w:t>26</w:t>
            </w:r>
            <w:r>
              <w:rPr>
                <w:rFonts w:ascii="Arial" w:hAnsi="Arial" w:cs="Arial" w:eastAsia="Arial" w:hint="default"/>
                <w:spacing w:val="-8"/>
                <w:sz w:val="15"/>
                <w:szCs w:val="15"/>
              </w:rPr>
              <w:t> </w:t>
            </w:r>
            <w:r>
              <w:rPr>
                <w:rFonts w:ascii="宋体" w:hAnsi="宋体" w:cs="宋体" w:eastAsia="宋体" w:hint="default"/>
                <w:spacing w:val="-3"/>
                <w:sz w:val="15"/>
                <w:szCs w:val="15"/>
              </w:rPr>
              <w:t>日</w:t>
            </w:r>
            <w:r>
              <w:rPr>
                <w:rFonts w:ascii="宋体" w:hAnsi="宋体" w:cs="宋体" w:eastAsia="宋体" w:hint="default"/>
                <w:sz w:val="15"/>
                <w:szCs w:val="15"/>
              </w:rPr>
            </w:r>
          </w:p>
        </w:tc>
        <w:tc>
          <w:tcPr>
            <w:tcW w:w="2859"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0"/>
              <w:ind w:left="-104" w:right="18"/>
              <w:jc w:val="center"/>
              <w:rPr>
                <w:rFonts w:ascii="宋体" w:hAnsi="宋体" w:cs="宋体" w:eastAsia="宋体" w:hint="default"/>
                <w:sz w:val="15"/>
                <w:szCs w:val="15"/>
              </w:rPr>
            </w:pPr>
            <w:r>
              <w:rPr>
                <w:rFonts w:ascii="宋体" w:hAnsi="宋体" w:cs="宋体" w:eastAsia="宋体" w:hint="default"/>
                <w:spacing w:val="-5"/>
                <w:sz w:val="15"/>
                <w:szCs w:val="15"/>
              </w:rPr>
              <w:t>、一审判决：驳回公司诉讼请求。案件受理费</w:t>
            </w:r>
          </w:p>
        </w:tc>
        <w:tc>
          <w:tcPr>
            <w:tcW w:w="1529"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50"/>
              <w:ind w:left="21" w:right="0"/>
              <w:jc w:val="left"/>
              <w:rPr>
                <w:rFonts w:ascii="宋体" w:hAnsi="宋体" w:cs="宋体" w:eastAsia="宋体" w:hint="default"/>
                <w:sz w:val="15"/>
                <w:szCs w:val="15"/>
              </w:rPr>
            </w:pPr>
            <w:r>
              <w:rPr>
                <w:rFonts w:ascii="宋体" w:hAnsi="宋体" w:cs="宋体" w:eastAsia="宋体" w:hint="default"/>
                <w:spacing w:val="-4"/>
                <w:sz w:val="15"/>
                <w:szCs w:val="15"/>
              </w:rPr>
              <w:t>判决生效后，公司向法</w:t>
            </w:r>
          </w:p>
        </w:tc>
      </w:tr>
    </w:tbl>
    <w:p>
      <w:pPr>
        <w:spacing w:line="240" w:lineRule="auto" w:before="3"/>
        <w:rPr>
          <w:rFonts w:ascii="Times New Roman" w:hAnsi="Times New Roman" w:cs="Times New Roman" w:eastAsia="Times New Roman" w:hint="default"/>
          <w:sz w:val="3"/>
          <w:szCs w:val="3"/>
        </w:rPr>
      </w:pPr>
    </w:p>
    <w:p>
      <w:pPr>
        <w:spacing w:line="20" w:lineRule="exact"/>
        <w:ind w:left="10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7.55pt;height:1pt;mso-position-horizontal-relative:char;mso-position-vertical-relative:line" coordorigin="0,0" coordsize="13951,20">
            <v:group style="position:absolute;left:10;top:10;width:608;height:2" coordorigin="10,10" coordsize="608,2">
              <v:shape style="position:absolute;left:10;top:10;width:608;height:2" coordorigin="10,10" coordsize="608,0" path="m10,10l617,10e" filled="false" stroked="true" strokeweight=".96002pt" strokecolor="#41b7ee">
                <v:path arrowok="t"/>
              </v:shape>
            </v:group>
            <v:group style="position:absolute;left:617;top:10;width:58;height:2" coordorigin="617,10" coordsize="58,2">
              <v:shape style="position:absolute;left:617;top:10;width:58;height:2" coordorigin="617,10" coordsize="58,0" path="m617,10l675,10e" filled="false" stroked="true" strokeweight=".96002pt" strokecolor="#41b7ee">
                <v:path arrowok="t"/>
              </v:shape>
            </v:group>
            <v:group style="position:absolute;left:675;top:10;width:588;height:2" coordorigin="675,10" coordsize="588,2">
              <v:shape style="position:absolute;left:675;top:10;width:588;height:2" coordorigin="675,10" coordsize="588,0" path="m675,10l1263,10e" filled="false" stroked="true" strokeweight=".96002pt" strokecolor="#41b7ee">
                <v:path arrowok="t"/>
              </v:shape>
            </v:group>
            <v:group style="position:absolute;left:1263;top:10;width:58;height:2" coordorigin="1263,10" coordsize="58,2">
              <v:shape style="position:absolute;left:1263;top:10;width:58;height:2" coordorigin="1263,10" coordsize="58,0" path="m1263,10l1320,10e" filled="false" stroked="true" strokeweight=".96002pt" strokecolor="#41b7ee">
                <v:path arrowok="t"/>
              </v:shape>
            </v:group>
            <v:group style="position:absolute;left:1320;top:10;width:737;height:2" coordorigin="1320,10" coordsize="737,2">
              <v:shape style="position:absolute;left:1320;top:10;width:737;height:2" coordorigin="1320,10" coordsize="737,0" path="m1320,10l2057,10e" filled="false" stroked="true" strokeweight=".96002pt" strokecolor="#41b7ee">
                <v:path arrowok="t"/>
              </v:shape>
            </v:group>
            <v:group style="position:absolute;left:2057;top:10;width:58;height:2" coordorigin="2057,10" coordsize="58,2">
              <v:shape style="position:absolute;left:2057;top:10;width:58;height:2" coordorigin="2057,10" coordsize="58,0" path="m2057,10l2115,10e" filled="false" stroked="true" strokeweight=".96002pt" strokecolor="#41b7ee">
                <v:path arrowok="t"/>
              </v:shape>
            </v:group>
            <v:group style="position:absolute;left:2115;top:10;width:543;height:2" coordorigin="2115,10" coordsize="543,2">
              <v:shape style="position:absolute;left:2115;top:10;width:543;height:2" coordorigin="2115,10" coordsize="543,0" path="m2115,10l2657,10e" filled="false" stroked="true" strokeweight=".96002pt" strokecolor="#41b7ee">
                <v:path arrowok="t"/>
              </v:shape>
            </v:group>
            <v:group style="position:absolute;left:2657;top:10;width:58;height:2" coordorigin="2657,10" coordsize="58,2">
              <v:shape style="position:absolute;left:2657;top:10;width:58;height:2" coordorigin="2657,10" coordsize="58,0" path="m2657,10l2715,10e" filled="false" stroked="true" strokeweight=".96002pt" strokecolor="#41b7ee">
                <v:path arrowok="t"/>
              </v:shape>
            </v:group>
            <v:group style="position:absolute;left:2715;top:10;width:2216;height:2" coordorigin="2715,10" coordsize="2216,2">
              <v:shape style="position:absolute;left:2715;top:10;width:2216;height:2" coordorigin="2715,10" coordsize="2216,0" path="m2715,10l4930,10e" filled="false" stroked="true" strokeweight=".96002pt" strokecolor="#41b7ee">
                <v:path arrowok="t"/>
              </v:shape>
            </v:group>
            <v:group style="position:absolute;left:4931;top:10;width:58;height:2" coordorigin="4931,10" coordsize="58,2">
              <v:shape style="position:absolute;left:4931;top:10;width:58;height:2" coordorigin="4931,10" coordsize="58,0" path="m4931,10l4988,10e" filled="false" stroked="true" strokeweight=".96002pt" strokecolor="#41b7ee">
                <v:path arrowok="t"/>
              </v:shape>
            </v:group>
            <v:group style="position:absolute;left:4988;top:10;width:1301;height:2" coordorigin="4988,10" coordsize="1301,2">
              <v:shape style="position:absolute;left:4988;top:10;width:1301;height:2" coordorigin="4988,10" coordsize="1301,0" path="m4988,10l6289,10e" filled="false" stroked="true" strokeweight=".96002pt" strokecolor="#41b7ee">
                <v:path arrowok="t"/>
              </v:shape>
            </v:group>
            <v:group style="position:absolute;left:6289;top:10;width:58;height:2" coordorigin="6289,10" coordsize="58,2">
              <v:shape style="position:absolute;left:6289;top:10;width:58;height:2" coordorigin="6289,10" coordsize="58,0" path="m6289,10l6347,10e" filled="false" stroked="true" strokeweight=".96002pt" strokecolor="#41b7ee">
                <v:path arrowok="t"/>
              </v:shape>
            </v:group>
            <v:group style="position:absolute;left:6347;top:10;width:780;height:2" coordorigin="6347,10" coordsize="780,2">
              <v:shape style="position:absolute;left:6347;top:10;width:780;height:2" coordorigin="6347,10" coordsize="780,0" path="m6347,10l7127,10e" filled="false" stroked="true" strokeweight=".96002pt" strokecolor="#41b7ee">
                <v:path arrowok="t"/>
              </v:shape>
            </v:group>
            <v:group style="position:absolute;left:7127;top:10;width:58;height:2" coordorigin="7127,10" coordsize="58,2">
              <v:shape style="position:absolute;left:7127;top:10;width:58;height:2" coordorigin="7127,10" coordsize="58,0" path="m7127,10l7184,10e" filled="false" stroked="true" strokeweight=".96002pt" strokecolor="#41b7ee">
                <v:path arrowok="t"/>
              </v:shape>
            </v:group>
            <v:group style="position:absolute;left:7184;top:10;width:2365;height:2" coordorigin="7184,10" coordsize="2365,2">
              <v:shape style="position:absolute;left:7184;top:10;width:2365;height:2" coordorigin="7184,10" coordsize="2365,0" path="m7184,10l9549,10e" filled="false" stroked="true" strokeweight=".96002pt" strokecolor="#41b7ee">
                <v:path arrowok="t"/>
              </v:shape>
            </v:group>
            <v:group style="position:absolute;left:9549;top:10;width:58;height:2" coordorigin="9549,10" coordsize="58,2">
              <v:shape style="position:absolute;left:9549;top:10;width:58;height:2" coordorigin="9549,10" coordsize="58,0" path="m9549,10l9606,10e" filled="false" stroked="true" strokeweight=".96002pt" strokecolor="#41b7ee">
                <v:path arrowok="t"/>
              </v:shape>
            </v:group>
            <v:group style="position:absolute;left:9606;top:10;width:2802;height:2" coordorigin="9606,10" coordsize="2802,2">
              <v:shape style="position:absolute;left:9606;top:10;width:2802;height:2" coordorigin="9606,10" coordsize="2802,0" path="m9606,10l12407,10e" filled="false" stroked="true" strokeweight=".96002pt" strokecolor="#41b7ee">
                <v:path arrowok="t"/>
              </v:shape>
            </v:group>
            <v:group style="position:absolute;left:12408;top:10;width:58;height:2" coordorigin="12408,10" coordsize="58,2">
              <v:shape style="position:absolute;left:12408;top:10;width:58;height:2" coordorigin="12408,10" coordsize="58,0" path="m12408,10l12465,10e" filled="false" stroked="true" strokeweight=".96002pt" strokecolor="#41b7ee">
                <v:path arrowok="t"/>
              </v:shape>
            </v:group>
            <v:group style="position:absolute;left:12465;top:10;width:1476;height:2" coordorigin="12465,10" coordsize="1476,2">
              <v:shape style="position:absolute;left:12465;top:10;width:1476;height:2" coordorigin="12465,10" coordsize="1476,0" path="m12465,10l13941,10e" filled="false" stroked="true" strokeweight=".96002pt" strokecolor="#41b7ee">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footerReference w:type="default" r:id="rId21"/>
          <w:pgSz w:w="16840" w:h="11910" w:orient="landscape"/>
          <w:pgMar w:footer="1195" w:header="825" w:top="1360" w:bottom="1380" w:left="1300" w:right="1360"/>
          <w:pgNumType w:start="31"/>
        </w:sectPr>
      </w:pPr>
    </w:p>
    <w:p>
      <w:pPr>
        <w:spacing w:line="240" w:lineRule="auto" w:before="0"/>
        <w:rPr>
          <w:rFonts w:ascii="Times New Roman" w:hAnsi="Times New Roman" w:cs="Times New Roman" w:eastAsia="Times New Roman" w:hint="default"/>
          <w:sz w:val="20"/>
          <w:szCs w:val="20"/>
        </w:rPr>
      </w:pPr>
      <w:r>
        <w:rPr/>
        <w:pict>
          <v:group style="position:absolute;margin-left:70.080002pt;margin-top:89.900009pt;width:697.55pt;height:187.85pt;mso-position-horizontal-relative:page;mso-position-vertical-relative:page;z-index:-944080" coordorigin="1402,1798" coordsize="13951,3757">
            <v:group style="position:absolute;left:6342;top:1858;width:1349;height:3697" coordorigin="6342,1858" coordsize="1349,3697">
              <v:shape style="position:absolute;left:6342;top:1858;width:1349;height:3697" coordorigin="6342,1858" coordsize="1349,3697" path="m6342,5555l7691,5555,7691,1858,6342,1858,6342,5555xe" filled="true" fillcolor="#ffffff" stroked="false">
                <v:path arrowok="t"/>
                <v:fill type="solid"/>
              </v:shape>
            </v:group>
            <v:group style="position:absolute;left:1411;top:1808;width:608;height:2" coordorigin="1411,1808" coordsize="608,2">
              <v:shape style="position:absolute;left:1411;top:1808;width:608;height:2" coordorigin="1411,1808" coordsize="608,0" path="m1411,1808l2019,1808e" filled="false" stroked="true" strokeweight=".96pt" strokecolor="#41b7ee">
                <v:path arrowok="t"/>
              </v:shape>
            </v:group>
            <v:group style="position:absolute;left:2019;top:1808;width:58;height:2" coordorigin="2019,1808" coordsize="58,2">
              <v:shape style="position:absolute;left:2019;top:1808;width:58;height:2" coordorigin="2019,1808" coordsize="58,0" path="m2019,1808l2076,1808e" filled="false" stroked="true" strokeweight=".96pt" strokecolor="#41b7ee">
                <v:path arrowok="t"/>
              </v:shape>
            </v:group>
            <v:group style="position:absolute;left:2076;top:1808;width:588;height:2" coordorigin="2076,1808" coordsize="588,2">
              <v:shape style="position:absolute;left:2076;top:1808;width:588;height:2" coordorigin="2076,1808" coordsize="588,0" path="m2076,1808l2664,1808e" filled="false" stroked="true" strokeweight=".96pt" strokecolor="#41b7ee">
                <v:path arrowok="t"/>
              </v:shape>
            </v:group>
            <v:group style="position:absolute;left:2664;top:1808;width:58;height:2" coordorigin="2664,1808" coordsize="58,2">
              <v:shape style="position:absolute;left:2664;top:1808;width:58;height:2" coordorigin="2664,1808" coordsize="58,0" path="m2664,1808l2722,1808e" filled="false" stroked="true" strokeweight=".96pt" strokecolor="#41b7ee">
                <v:path arrowok="t"/>
              </v:shape>
            </v:group>
            <v:group style="position:absolute;left:2722;top:1808;width:737;height:2" coordorigin="2722,1808" coordsize="737,2">
              <v:shape style="position:absolute;left:2722;top:1808;width:737;height:2" coordorigin="2722,1808" coordsize="737,0" path="m2722,1808l3459,1808e" filled="false" stroked="true" strokeweight=".96pt" strokecolor="#41b7ee">
                <v:path arrowok="t"/>
              </v:shape>
            </v:group>
            <v:group style="position:absolute;left:3459;top:1808;width:58;height:2" coordorigin="3459,1808" coordsize="58,2">
              <v:shape style="position:absolute;left:3459;top:1808;width:58;height:2" coordorigin="3459,1808" coordsize="58,0" path="m3459,1808l3516,1808e" filled="false" stroked="true" strokeweight=".96pt" strokecolor="#41b7ee">
                <v:path arrowok="t"/>
              </v:shape>
            </v:group>
            <v:group style="position:absolute;left:3516;top:1808;width:543;height:2" coordorigin="3516,1808" coordsize="543,2">
              <v:shape style="position:absolute;left:3516;top:1808;width:543;height:2" coordorigin="3516,1808" coordsize="543,0" path="m3516,1808l4059,1808e" filled="false" stroked="true" strokeweight=".96pt" strokecolor="#41b7ee">
                <v:path arrowok="t"/>
              </v:shape>
            </v:group>
            <v:group style="position:absolute;left:4059;top:1808;width:58;height:2" coordorigin="4059,1808" coordsize="58,2">
              <v:shape style="position:absolute;left:4059;top:1808;width:58;height:2" coordorigin="4059,1808" coordsize="58,0" path="m4059,1808l4116,1808e" filled="false" stroked="true" strokeweight=".96pt" strokecolor="#41b7ee">
                <v:path arrowok="t"/>
              </v:shape>
            </v:group>
            <v:group style="position:absolute;left:4116;top:1808;width:2216;height:2" coordorigin="4116,1808" coordsize="2216,2">
              <v:shape style="position:absolute;left:4116;top:1808;width:2216;height:2" coordorigin="4116,1808" coordsize="2216,0" path="m4116,1808l6332,1808e" filled="false" stroked="true" strokeweight=".96pt" strokecolor="#41b7ee">
                <v:path arrowok="t"/>
              </v:shape>
            </v:group>
            <v:group style="position:absolute;left:6332;top:1808;width:58;height:2" coordorigin="6332,1808" coordsize="58,2">
              <v:shape style="position:absolute;left:6332;top:1808;width:58;height:2" coordorigin="6332,1808" coordsize="58,0" path="m6332,1808l6390,1808e" filled="false" stroked="true" strokeweight=".96pt" strokecolor="#41b7ee">
                <v:path arrowok="t"/>
              </v:shape>
            </v:group>
            <v:group style="position:absolute;left:6390;top:1808;width:1301;height:2" coordorigin="6390,1808" coordsize="1301,2">
              <v:shape style="position:absolute;left:6390;top:1808;width:1301;height:2" coordorigin="6390,1808" coordsize="1301,0" path="m6390,1808l7691,1808e" filled="false" stroked="true" strokeweight=".96pt" strokecolor="#41b7ee">
                <v:path arrowok="t"/>
              </v:shape>
            </v:group>
            <v:group style="position:absolute;left:7691;top:1808;width:58;height:2" coordorigin="7691,1808" coordsize="58,2">
              <v:shape style="position:absolute;left:7691;top:1808;width:58;height:2" coordorigin="7691,1808" coordsize="58,0" path="m7691,1808l7748,1808e" filled="false" stroked="true" strokeweight=".96pt" strokecolor="#41b7ee">
                <v:path arrowok="t"/>
              </v:shape>
            </v:group>
            <v:group style="position:absolute;left:7748;top:1808;width:780;height:2" coordorigin="7748,1808" coordsize="780,2">
              <v:shape style="position:absolute;left:7748;top:1808;width:780;height:2" coordorigin="7748,1808" coordsize="780,0" path="m7748,1808l8528,1808e" filled="false" stroked="true" strokeweight=".96pt" strokecolor="#41b7ee">
                <v:path arrowok="t"/>
              </v:shape>
            </v:group>
            <v:group style="position:absolute;left:8528;top:1808;width:58;height:2" coordorigin="8528,1808" coordsize="58,2">
              <v:shape style="position:absolute;left:8528;top:1808;width:58;height:2" coordorigin="8528,1808" coordsize="58,0" path="m8528,1808l8586,1808e" filled="false" stroked="true" strokeweight=".96pt" strokecolor="#41b7ee">
                <v:path arrowok="t"/>
              </v:shape>
            </v:group>
            <v:group style="position:absolute;left:8586;top:1808;width:2365;height:2" coordorigin="8586,1808" coordsize="2365,2">
              <v:shape style="position:absolute;left:8586;top:1808;width:2365;height:2" coordorigin="8586,1808" coordsize="2365,0" path="m8586,1808l10950,1808e" filled="false" stroked="true" strokeweight=".96pt" strokecolor="#41b7ee">
                <v:path arrowok="t"/>
              </v:shape>
            </v:group>
            <v:group style="position:absolute;left:10950;top:1808;width:58;height:2" coordorigin="10950,1808" coordsize="58,2">
              <v:shape style="position:absolute;left:10950;top:1808;width:58;height:2" coordorigin="10950,1808" coordsize="58,0" path="m10950,1808l11008,1808e" filled="false" stroked="true" strokeweight=".96pt" strokecolor="#41b7ee">
                <v:path arrowok="t"/>
              </v:shape>
            </v:group>
            <v:group style="position:absolute;left:11008;top:1808;width:2802;height:2" coordorigin="11008,1808" coordsize="2802,2">
              <v:shape style="position:absolute;left:11008;top:1808;width:2802;height:2" coordorigin="11008,1808" coordsize="2802,0" path="m11008,1808l13809,1808e" filled="false" stroked="true" strokeweight=".96pt" strokecolor="#41b7ee">
                <v:path arrowok="t"/>
              </v:shape>
            </v:group>
            <v:group style="position:absolute;left:13809;top:1808;width:58;height:2" coordorigin="13809,1808" coordsize="58,2">
              <v:shape style="position:absolute;left:13809;top:1808;width:58;height:2" coordorigin="13809,1808" coordsize="58,0" path="m13809,1808l13867,1808e" filled="false" stroked="true" strokeweight=".96pt" strokecolor="#41b7ee">
                <v:path arrowok="t"/>
              </v:shape>
            </v:group>
            <v:group style="position:absolute;left:13867;top:1808;width:1476;height:2" coordorigin="13867,1808" coordsize="1476,2">
              <v:shape style="position:absolute;left:13867;top:1808;width:1476;height:2" coordorigin="13867,1808" coordsize="1476,0" path="m13867,1808l15343,1808e" filled="false" stroked="true" strokeweight=".96pt" strokecolor="#41b7ee">
                <v:path arrowok="t"/>
              </v:shape>
            </v:group>
            <w10:wrap type="none"/>
          </v:group>
        </w:pict>
      </w:r>
      <w:r>
        <w:rPr/>
        <w:pict>
          <v:group style="position:absolute;margin-left:692.02002pt;margin-top:326.830017pt;width:73.7pt;height:9.75pt;mso-position-horizontal-relative:page;mso-position-vertical-relative:page;z-index:-944056" coordorigin="13840,6537" coordsize="1474,195">
            <v:shape style="position:absolute;left:13840;top:6537;width:1474;height:195" coordorigin="13840,6537" coordsize="1474,195" path="m13840,6731l15314,6731,15314,6537,13840,6537,13840,6731xe" filled="true" fillcolor="#ffffff" stroked="false">
              <v:path arrowok="t"/>
              <v:fill type="solid"/>
            </v:shape>
            <w10:wrap type="none"/>
          </v:group>
        </w:pict>
      </w:r>
      <w:r>
        <w:rPr/>
        <w:pict>
          <v:group style="position:absolute;margin-left:549.190002pt;margin-top:366.309998pt;width:140.1pt;height:19.45pt;mso-position-horizontal-relative:page;mso-position-vertical-relative:page;z-index:-944032" coordorigin="10984,7326" coordsize="2802,389">
            <v:group style="position:absolute;left:10984;top:7326;width:2802;height:195" coordorigin="10984,7326" coordsize="2802,195">
              <v:shape style="position:absolute;left:10984;top:7326;width:2802;height:195" coordorigin="10984,7326" coordsize="2802,195" path="m10984,7521l13785,7521,13785,7326,10984,7326,10984,7521xe" filled="true" fillcolor="#ffffff" stroked="false">
                <v:path arrowok="t"/>
                <v:fill type="solid"/>
              </v:shape>
            </v:group>
            <v:group style="position:absolute;left:10984;top:7521;width:2802;height:195" coordorigin="10984,7521" coordsize="2802,195">
              <v:shape style="position:absolute;left:10984;top:7521;width:2802;height:195" coordorigin="10984,7521" coordsize="2802,195" path="m10984,7715l13785,7715,13785,7521,10984,7521,10984,7715xe" filled="true" fillcolor="#ffffff" stroked="false">
                <v:path arrowok="t"/>
                <v:fill type="solid"/>
              </v:shape>
            </v:group>
            <w10:wrap type="none"/>
          </v:group>
        </w:pict>
      </w:r>
    </w:p>
    <w:p>
      <w:pPr>
        <w:spacing w:line="240" w:lineRule="auto" w:before="6"/>
        <w:rPr>
          <w:rFonts w:ascii="Times New Roman" w:hAnsi="Times New Roman" w:cs="Times New Roman" w:eastAsia="Times New Roman"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612"/>
        <w:gridCol w:w="646"/>
        <w:gridCol w:w="794"/>
        <w:gridCol w:w="600"/>
        <w:gridCol w:w="2273"/>
        <w:gridCol w:w="1358"/>
        <w:gridCol w:w="838"/>
        <w:gridCol w:w="2422"/>
        <w:gridCol w:w="2870"/>
        <w:gridCol w:w="1518"/>
      </w:tblGrid>
      <w:tr>
        <w:trPr>
          <w:trHeight w:val="3713" w:hRule="exact"/>
        </w:trPr>
        <w:tc>
          <w:tcPr>
            <w:tcW w:w="612" w:type="dxa"/>
            <w:tcBorders>
              <w:top w:val="single" w:sz="8" w:space="0" w:color="41B7EE"/>
              <w:left w:val="nil" w:sz="6" w:space="0" w:color="auto"/>
              <w:bottom w:val="single" w:sz="4" w:space="0" w:color="41B7EE"/>
              <w:right w:val="single" w:sz="4" w:space="0" w:color="41B7EE"/>
            </w:tcBorders>
          </w:tcPr>
          <w:p>
            <w:pPr>
              <w:pStyle w:val="TableParagraph"/>
              <w:spacing w:line="174" w:lineRule="exact"/>
              <w:ind w:left="28" w:right="0"/>
              <w:jc w:val="left"/>
              <w:rPr>
                <w:rFonts w:ascii="宋体" w:hAnsi="宋体" w:cs="宋体" w:eastAsia="宋体" w:hint="default"/>
                <w:sz w:val="15"/>
                <w:szCs w:val="15"/>
              </w:rPr>
            </w:pPr>
            <w:r>
              <w:rPr>
                <w:rFonts w:ascii="宋体" w:hAnsi="宋体" w:cs="宋体" w:eastAsia="宋体" w:hint="default"/>
                <w:sz w:val="15"/>
                <w:szCs w:val="15"/>
              </w:rPr>
              <w:t>龙垦麦</w:t>
            </w:r>
          </w:p>
          <w:p>
            <w:pPr>
              <w:pStyle w:val="TableParagraph"/>
              <w:spacing w:line="240" w:lineRule="auto"/>
              <w:ind w:left="28" w:right="123"/>
              <w:jc w:val="left"/>
              <w:rPr>
                <w:rFonts w:ascii="宋体" w:hAnsi="宋体" w:cs="宋体" w:eastAsia="宋体" w:hint="default"/>
                <w:sz w:val="15"/>
                <w:szCs w:val="15"/>
              </w:rPr>
            </w:pPr>
            <w:r>
              <w:rPr>
                <w:rFonts w:ascii="宋体" w:hAnsi="宋体" w:cs="宋体" w:eastAsia="宋体" w:hint="default"/>
                <w:sz w:val="15"/>
                <w:szCs w:val="15"/>
              </w:rPr>
              <w:t>芽有限</w:t>
            </w:r>
            <w:r>
              <w:rPr>
                <w:rFonts w:ascii="宋体" w:hAnsi="宋体" w:cs="宋体" w:eastAsia="宋体" w:hint="default"/>
                <w:spacing w:val="-72"/>
                <w:sz w:val="15"/>
                <w:szCs w:val="15"/>
              </w:rPr>
              <w:t> </w:t>
            </w:r>
            <w:r>
              <w:rPr>
                <w:rFonts w:ascii="宋体" w:hAnsi="宋体" w:cs="宋体" w:eastAsia="宋体" w:hint="default"/>
                <w:sz w:val="15"/>
                <w:szCs w:val="15"/>
              </w:rPr>
              <w:t>公司</w:t>
            </w:r>
          </w:p>
        </w:tc>
        <w:tc>
          <w:tcPr>
            <w:tcW w:w="646" w:type="dxa"/>
            <w:tcBorders>
              <w:top w:val="single" w:sz="8" w:space="0" w:color="41B7EE"/>
              <w:left w:val="single" w:sz="4" w:space="0" w:color="41B7EE"/>
              <w:bottom w:val="single" w:sz="4" w:space="0" w:color="41B7EE"/>
              <w:right w:val="single" w:sz="4" w:space="0" w:color="41B7EE"/>
            </w:tcBorders>
          </w:tcPr>
          <w:p>
            <w:pPr>
              <w:pStyle w:val="TableParagraph"/>
              <w:spacing w:line="174" w:lineRule="exact"/>
              <w:ind w:left="21" w:right="0"/>
              <w:jc w:val="both"/>
              <w:rPr>
                <w:rFonts w:ascii="宋体" w:hAnsi="宋体" w:cs="宋体" w:eastAsia="宋体" w:hint="default"/>
                <w:sz w:val="15"/>
                <w:szCs w:val="15"/>
              </w:rPr>
            </w:pPr>
            <w:r>
              <w:rPr>
                <w:rFonts w:ascii="宋体" w:hAnsi="宋体" w:cs="宋体" w:eastAsia="宋体" w:hint="default"/>
                <w:sz w:val="15"/>
                <w:szCs w:val="15"/>
              </w:rPr>
              <w:t>超保温</w:t>
            </w:r>
          </w:p>
          <w:p>
            <w:pPr>
              <w:pStyle w:val="TableParagraph"/>
              <w:spacing w:line="240" w:lineRule="auto"/>
              <w:ind w:left="21" w:right="158"/>
              <w:jc w:val="both"/>
              <w:rPr>
                <w:rFonts w:ascii="宋体" w:hAnsi="宋体" w:cs="宋体" w:eastAsia="宋体" w:hint="default"/>
                <w:sz w:val="15"/>
                <w:szCs w:val="15"/>
              </w:rPr>
            </w:pPr>
            <w:r>
              <w:rPr>
                <w:rFonts w:ascii="宋体" w:hAnsi="宋体" w:cs="宋体" w:eastAsia="宋体" w:hint="default"/>
                <w:sz w:val="15"/>
                <w:szCs w:val="15"/>
              </w:rPr>
              <w:t>节能科</w:t>
            </w:r>
            <w:r>
              <w:rPr>
                <w:rFonts w:ascii="宋体" w:hAnsi="宋体" w:cs="宋体" w:eastAsia="宋体" w:hint="default"/>
                <w:spacing w:val="-72"/>
                <w:sz w:val="15"/>
                <w:szCs w:val="15"/>
              </w:rPr>
              <w:t> </w:t>
            </w:r>
            <w:r>
              <w:rPr>
                <w:rFonts w:ascii="宋体" w:hAnsi="宋体" w:cs="宋体" w:eastAsia="宋体" w:hint="default"/>
                <w:sz w:val="15"/>
                <w:szCs w:val="15"/>
              </w:rPr>
              <w:t>技有限</w:t>
            </w:r>
            <w:r>
              <w:rPr>
                <w:rFonts w:ascii="宋体" w:hAnsi="宋体" w:cs="宋体" w:eastAsia="宋体" w:hint="default"/>
                <w:spacing w:val="-72"/>
                <w:sz w:val="15"/>
                <w:szCs w:val="15"/>
              </w:rPr>
              <w:t> </w:t>
            </w:r>
            <w:r>
              <w:rPr>
                <w:rFonts w:ascii="宋体" w:hAnsi="宋体" w:cs="宋体" w:eastAsia="宋体" w:hint="default"/>
                <w:sz w:val="15"/>
                <w:szCs w:val="15"/>
              </w:rPr>
              <w:t>公司</w:t>
            </w:r>
          </w:p>
        </w:tc>
        <w:tc>
          <w:tcPr>
            <w:tcW w:w="794" w:type="dxa"/>
            <w:tcBorders>
              <w:top w:val="single" w:sz="8" w:space="0" w:color="41B7EE"/>
              <w:left w:val="single" w:sz="4" w:space="0" w:color="41B7EE"/>
              <w:bottom w:val="single" w:sz="4" w:space="0" w:color="41B7EE"/>
              <w:right w:val="single" w:sz="4" w:space="0" w:color="41B7EE"/>
            </w:tcBorders>
          </w:tcPr>
          <w:p>
            <w:pPr/>
          </w:p>
        </w:tc>
        <w:tc>
          <w:tcPr>
            <w:tcW w:w="600" w:type="dxa"/>
            <w:tcBorders>
              <w:top w:val="single" w:sz="8" w:space="0" w:color="41B7EE"/>
              <w:left w:val="single" w:sz="4" w:space="0" w:color="41B7EE"/>
              <w:bottom w:val="single" w:sz="4" w:space="0" w:color="41B7EE"/>
              <w:right w:val="single" w:sz="4" w:space="0" w:color="41B7EE"/>
            </w:tcBorders>
          </w:tcPr>
          <w:p>
            <w:pPr/>
          </w:p>
        </w:tc>
        <w:tc>
          <w:tcPr>
            <w:tcW w:w="2273" w:type="dxa"/>
            <w:tcBorders>
              <w:top w:val="single" w:sz="8" w:space="0" w:color="41B7EE"/>
              <w:left w:val="single" w:sz="4" w:space="0" w:color="41B7EE"/>
              <w:bottom w:val="single" w:sz="4" w:space="0" w:color="41B7EE"/>
              <w:right w:val="single" w:sz="4" w:space="0" w:color="41B7EE"/>
            </w:tcBorders>
          </w:tcPr>
          <w:p>
            <w:pPr>
              <w:pStyle w:val="TableParagraph"/>
              <w:spacing w:line="174" w:lineRule="exact"/>
              <w:ind w:left="23" w:right="0"/>
              <w:jc w:val="left"/>
              <w:rPr>
                <w:rFonts w:ascii="宋体" w:hAnsi="宋体" w:cs="宋体" w:eastAsia="宋体" w:hint="default"/>
                <w:sz w:val="15"/>
                <w:szCs w:val="15"/>
              </w:rPr>
            </w:pPr>
            <w:r>
              <w:rPr>
                <w:rFonts w:ascii="宋体" w:hAnsi="宋体" w:cs="宋体" w:eastAsia="宋体" w:hint="default"/>
                <w:spacing w:val="-4"/>
                <w:sz w:val="15"/>
                <w:szCs w:val="15"/>
              </w:rPr>
              <w:t>保温节能科技有限公司签订《水泥</w:t>
            </w:r>
          </w:p>
          <w:p>
            <w:pPr>
              <w:pStyle w:val="TableParagraph"/>
              <w:spacing w:line="194" w:lineRule="exact" w:before="19"/>
              <w:ind w:left="23" w:right="19"/>
              <w:jc w:val="both"/>
              <w:rPr>
                <w:rFonts w:ascii="宋体" w:hAnsi="宋体" w:cs="宋体" w:eastAsia="宋体" w:hint="default"/>
                <w:sz w:val="15"/>
                <w:szCs w:val="15"/>
              </w:rPr>
            </w:pPr>
            <w:r>
              <w:rPr>
                <w:rFonts w:ascii="宋体" w:hAnsi="宋体" w:cs="宋体" w:eastAsia="宋体" w:hint="default"/>
                <w:sz w:val="15"/>
                <w:szCs w:val="15"/>
              </w:rPr>
              <w:t>基泡沫保温板生产技术及设备转</w:t>
            </w:r>
            <w:r>
              <w:rPr>
                <w:rFonts w:ascii="宋体" w:hAnsi="宋体" w:cs="宋体" w:eastAsia="宋体" w:hint="default"/>
                <w:w w:val="100"/>
                <w:sz w:val="15"/>
                <w:szCs w:val="15"/>
              </w:rPr>
              <w:t> </w:t>
            </w:r>
            <w:r>
              <w:rPr>
                <w:rFonts w:ascii="宋体" w:hAnsi="宋体" w:cs="宋体" w:eastAsia="宋体" w:hint="default"/>
                <w:spacing w:val="-1"/>
                <w:w w:val="100"/>
                <w:sz w:val="15"/>
                <w:szCs w:val="15"/>
              </w:rPr>
              <w:t>让合同</w:t>
            </w:r>
            <w:r>
              <w:rPr>
                <w:rFonts w:ascii="宋体" w:hAnsi="宋体" w:cs="宋体" w:eastAsia="宋体" w:hint="default"/>
                <w:spacing w:val="-37"/>
                <w:w w:val="100"/>
                <w:sz w:val="15"/>
                <w:szCs w:val="15"/>
              </w:rPr>
              <w:t> </w:t>
            </w:r>
            <w:r>
              <w:rPr>
                <w:rFonts w:ascii="Arial" w:hAnsi="Arial" w:cs="Arial" w:eastAsia="Arial" w:hint="default"/>
                <w:spacing w:val="-16"/>
                <w:w w:val="100"/>
                <w:sz w:val="15"/>
                <w:szCs w:val="15"/>
              </w:rPr>
              <w:t>B</w:t>
            </w:r>
            <w:r>
              <w:rPr>
                <w:rFonts w:ascii="宋体" w:hAnsi="宋体" w:cs="宋体" w:eastAsia="宋体" w:hint="default"/>
                <w:spacing w:val="-16"/>
                <w:w w:val="100"/>
                <w:sz w:val="15"/>
                <w:szCs w:val="15"/>
              </w:rPr>
              <w:t>》，总合同款金额</w:t>
            </w:r>
            <w:r>
              <w:rPr>
                <w:rFonts w:ascii="宋体" w:hAnsi="宋体" w:cs="宋体" w:eastAsia="宋体" w:hint="default"/>
                <w:spacing w:val="-36"/>
                <w:w w:val="100"/>
                <w:sz w:val="15"/>
                <w:szCs w:val="15"/>
              </w:rPr>
              <w:t> </w:t>
            </w:r>
            <w:r>
              <w:rPr>
                <w:rFonts w:ascii="Arial" w:hAnsi="Arial" w:cs="Arial" w:eastAsia="Arial" w:hint="default"/>
                <w:spacing w:val="-1"/>
                <w:w w:val="100"/>
                <w:sz w:val="15"/>
                <w:szCs w:val="15"/>
              </w:rPr>
              <w:t>178</w:t>
            </w:r>
            <w:r>
              <w:rPr>
                <w:rFonts w:ascii="Arial" w:hAnsi="Arial" w:cs="Arial" w:eastAsia="Arial" w:hint="default"/>
                <w:spacing w:val="-4"/>
                <w:w w:val="100"/>
                <w:sz w:val="15"/>
                <w:szCs w:val="15"/>
              </w:rPr>
              <w:t> </w:t>
            </w:r>
            <w:r>
              <w:rPr>
                <w:rFonts w:ascii="宋体" w:hAnsi="宋体" w:cs="宋体" w:eastAsia="宋体" w:hint="default"/>
                <w:spacing w:val="-3"/>
                <w:w w:val="100"/>
                <w:sz w:val="15"/>
                <w:szCs w:val="15"/>
              </w:rPr>
              <w:t>万</w:t>
            </w:r>
            <w:r>
              <w:rPr>
                <w:rFonts w:ascii="宋体" w:hAnsi="宋体" w:cs="宋体" w:eastAsia="宋体" w:hint="default"/>
                <w:spacing w:val="-73"/>
                <w:w w:val="100"/>
                <w:sz w:val="15"/>
                <w:szCs w:val="15"/>
              </w:rPr>
              <w:t> </w:t>
            </w:r>
            <w:r>
              <w:rPr>
                <w:rFonts w:ascii="宋体" w:hAnsi="宋体" w:cs="宋体" w:eastAsia="宋体" w:hint="default"/>
                <w:sz w:val="15"/>
                <w:szCs w:val="15"/>
              </w:rPr>
              <w:t>公司于</w:t>
            </w:r>
            <w:r>
              <w:rPr>
                <w:rFonts w:ascii="宋体" w:hAnsi="宋体" w:cs="宋体" w:eastAsia="宋体" w:hint="default"/>
                <w:spacing w:val="-43"/>
                <w:sz w:val="15"/>
                <w:szCs w:val="15"/>
              </w:rPr>
              <w:t> </w:t>
            </w:r>
            <w:r>
              <w:rPr>
                <w:rFonts w:ascii="Arial" w:hAnsi="Arial" w:cs="Arial" w:eastAsia="Arial" w:hint="default"/>
                <w:sz w:val="15"/>
                <w:szCs w:val="15"/>
              </w:rPr>
              <w:t>3</w:t>
            </w:r>
            <w:r>
              <w:rPr>
                <w:rFonts w:ascii="Arial" w:hAnsi="Arial" w:cs="Arial" w:eastAsia="Arial" w:hint="default"/>
                <w:spacing w:val="-12"/>
                <w:sz w:val="15"/>
                <w:szCs w:val="15"/>
              </w:rPr>
              <w:t> </w:t>
            </w:r>
            <w:r>
              <w:rPr>
                <w:rFonts w:ascii="宋体" w:hAnsi="宋体" w:cs="宋体" w:eastAsia="宋体" w:hint="default"/>
                <w:sz w:val="15"/>
                <w:szCs w:val="15"/>
              </w:rPr>
              <w:t>月</w:t>
            </w:r>
            <w:r>
              <w:rPr>
                <w:rFonts w:ascii="宋体" w:hAnsi="宋体" w:cs="宋体" w:eastAsia="宋体" w:hint="default"/>
                <w:spacing w:val="-43"/>
                <w:sz w:val="15"/>
                <w:szCs w:val="15"/>
              </w:rPr>
              <w:t> </w:t>
            </w:r>
            <w:r>
              <w:rPr>
                <w:rFonts w:ascii="Arial" w:hAnsi="Arial" w:cs="Arial" w:eastAsia="Arial" w:hint="default"/>
                <w:sz w:val="15"/>
                <w:szCs w:val="15"/>
              </w:rPr>
              <w:t>26</w:t>
            </w:r>
            <w:r>
              <w:rPr>
                <w:rFonts w:ascii="Arial" w:hAnsi="Arial" w:cs="Arial" w:eastAsia="Arial" w:hint="default"/>
                <w:spacing w:val="-10"/>
                <w:sz w:val="15"/>
                <w:szCs w:val="15"/>
              </w:rPr>
              <w:t> </w:t>
            </w:r>
            <w:r>
              <w:rPr>
                <w:rFonts w:ascii="宋体" w:hAnsi="宋体" w:cs="宋体" w:eastAsia="宋体" w:hint="default"/>
                <w:sz w:val="15"/>
                <w:szCs w:val="15"/>
              </w:rPr>
              <w:t>日先支付</w:t>
            </w:r>
            <w:r>
              <w:rPr>
                <w:rFonts w:ascii="宋体" w:hAnsi="宋体" w:cs="宋体" w:eastAsia="宋体" w:hint="default"/>
                <w:spacing w:val="-42"/>
                <w:sz w:val="15"/>
                <w:szCs w:val="15"/>
              </w:rPr>
              <w:t> </w:t>
            </w:r>
            <w:r>
              <w:rPr>
                <w:rFonts w:ascii="Arial" w:hAnsi="Arial" w:cs="Arial" w:eastAsia="Arial" w:hint="default"/>
                <w:sz w:val="15"/>
                <w:szCs w:val="15"/>
              </w:rPr>
              <w:t>50%</w:t>
            </w:r>
            <w:r>
              <w:rPr>
                <w:rFonts w:ascii="宋体" w:hAnsi="宋体" w:cs="宋体" w:eastAsia="宋体" w:hint="default"/>
                <w:sz w:val="15"/>
                <w:szCs w:val="15"/>
              </w:rPr>
              <w:t>转让</w:t>
            </w:r>
          </w:p>
          <w:p>
            <w:pPr>
              <w:pStyle w:val="TableParagraph"/>
              <w:spacing w:line="181" w:lineRule="exact"/>
              <w:ind w:left="23" w:right="0"/>
              <w:jc w:val="left"/>
              <w:rPr>
                <w:rFonts w:ascii="宋体" w:hAnsi="宋体" w:cs="宋体" w:eastAsia="宋体" w:hint="default"/>
                <w:sz w:val="15"/>
                <w:szCs w:val="15"/>
              </w:rPr>
            </w:pPr>
            <w:r>
              <w:rPr>
                <w:rFonts w:ascii="宋体" w:hAnsi="宋体" w:cs="宋体" w:eastAsia="宋体" w:hint="default"/>
                <w:sz w:val="15"/>
                <w:szCs w:val="15"/>
              </w:rPr>
              <w:t>款</w:t>
            </w:r>
            <w:r>
              <w:rPr>
                <w:rFonts w:ascii="宋体" w:hAnsi="宋体" w:cs="宋体" w:eastAsia="宋体" w:hint="default"/>
                <w:spacing w:val="-39"/>
                <w:sz w:val="15"/>
                <w:szCs w:val="15"/>
              </w:rPr>
              <w:t> </w:t>
            </w:r>
            <w:r>
              <w:rPr>
                <w:rFonts w:ascii="Arial" w:hAnsi="Arial" w:cs="Arial" w:eastAsia="Arial" w:hint="default"/>
                <w:sz w:val="15"/>
                <w:szCs w:val="15"/>
              </w:rPr>
              <w:t>89</w:t>
            </w:r>
            <w:r>
              <w:rPr>
                <w:rFonts w:ascii="Arial" w:hAnsi="Arial" w:cs="Arial" w:eastAsia="Arial" w:hint="default"/>
                <w:spacing w:val="-6"/>
                <w:sz w:val="15"/>
                <w:szCs w:val="15"/>
              </w:rPr>
              <w:t> </w:t>
            </w:r>
            <w:r>
              <w:rPr>
                <w:rFonts w:ascii="宋体" w:hAnsi="宋体" w:cs="宋体" w:eastAsia="宋体" w:hint="default"/>
                <w:sz w:val="15"/>
                <w:szCs w:val="15"/>
              </w:rPr>
              <w:t>万元，因我方股份公司未批</w:t>
            </w:r>
          </w:p>
          <w:p>
            <w:pPr>
              <w:pStyle w:val="TableParagraph"/>
              <w:spacing w:line="194" w:lineRule="exact" w:before="13"/>
              <w:ind w:left="23" w:right="34"/>
              <w:jc w:val="left"/>
              <w:rPr>
                <w:rFonts w:ascii="宋体" w:hAnsi="宋体" w:cs="宋体" w:eastAsia="宋体" w:hint="default"/>
                <w:sz w:val="15"/>
                <w:szCs w:val="15"/>
              </w:rPr>
            </w:pPr>
            <w:r>
              <w:rPr>
                <w:rFonts w:ascii="宋体" w:hAnsi="宋体" w:cs="宋体" w:eastAsia="宋体" w:hint="default"/>
                <w:sz w:val="15"/>
                <w:szCs w:val="15"/>
              </w:rPr>
              <w:t>准此项目，我方于</w:t>
            </w:r>
            <w:r>
              <w:rPr>
                <w:rFonts w:ascii="宋体" w:hAnsi="宋体" w:cs="宋体" w:eastAsia="宋体" w:hint="default"/>
                <w:spacing w:val="-39"/>
                <w:sz w:val="15"/>
                <w:szCs w:val="15"/>
              </w:rPr>
              <w:t> </w:t>
            </w:r>
            <w:r>
              <w:rPr>
                <w:rFonts w:ascii="Arial" w:hAnsi="Arial" w:cs="Arial" w:eastAsia="Arial" w:hint="default"/>
                <w:sz w:val="15"/>
                <w:szCs w:val="15"/>
              </w:rPr>
              <w:t>3</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29</w:t>
            </w:r>
            <w:r>
              <w:rPr>
                <w:rFonts w:ascii="Arial" w:hAnsi="Arial" w:cs="Arial" w:eastAsia="Arial" w:hint="default"/>
                <w:spacing w:val="-4"/>
                <w:sz w:val="15"/>
                <w:szCs w:val="15"/>
              </w:rPr>
              <w:t> </w:t>
            </w:r>
            <w:r>
              <w:rPr>
                <w:rFonts w:ascii="宋体" w:hAnsi="宋体" w:cs="宋体" w:eastAsia="宋体" w:hint="default"/>
                <w:sz w:val="15"/>
                <w:szCs w:val="15"/>
              </w:rPr>
              <w:t>日单方</w:t>
            </w:r>
            <w:r>
              <w:rPr>
                <w:rFonts w:ascii="宋体" w:hAnsi="宋体" w:cs="宋体" w:eastAsia="宋体" w:hint="default"/>
                <w:w w:val="100"/>
                <w:sz w:val="15"/>
                <w:szCs w:val="15"/>
              </w:rPr>
              <w:t> </w:t>
            </w:r>
            <w:r>
              <w:rPr>
                <w:rFonts w:ascii="宋体" w:hAnsi="宋体" w:cs="宋体" w:eastAsia="宋体" w:hint="default"/>
                <w:sz w:val="15"/>
                <w:szCs w:val="15"/>
              </w:rPr>
              <w:t>提出让其暂停项目，并要求其退</w:t>
            </w:r>
            <w:r>
              <w:rPr>
                <w:rFonts w:ascii="宋体" w:hAnsi="宋体" w:cs="宋体" w:eastAsia="宋体" w:hint="default"/>
                <w:w w:val="100"/>
                <w:sz w:val="15"/>
                <w:szCs w:val="15"/>
              </w:rPr>
              <w:t> </w:t>
            </w:r>
            <w:r>
              <w:rPr>
                <w:rFonts w:ascii="宋体" w:hAnsi="宋体" w:cs="宋体" w:eastAsia="宋体" w:hint="default"/>
                <w:sz w:val="15"/>
                <w:szCs w:val="15"/>
              </w:rPr>
              <w:t>款，该公司认为其已造成损失</w:t>
            </w:r>
            <w:r>
              <w:rPr>
                <w:rFonts w:ascii="宋体" w:hAnsi="宋体" w:cs="宋体" w:eastAsia="宋体" w:hint="default"/>
                <w:spacing w:val="-38"/>
                <w:sz w:val="15"/>
                <w:szCs w:val="15"/>
              </w:rPr>
              <w:t> </w:t>
            </w:r>
            <w:r>
              <w:rPr>
                <w:rFonts w:ascii="Arial" w:hAnsi="Arial" w:cs="Arial" w:eastAsia="Arial" w:hint="default"/>
                <w:sz w:val="15"/>
                <w:szCs w:val="15"/>
              </w:rPr>
              <w:t>20</w:t>
            </w:r>
            <w:r>
              <w:rPr>
                <w:rFonts w:ascii="Arial" w:hAnsi="Arial" w:cs="Arial" w:eastAsia="Arial" w:hint="default"/>
                <w:spacing w:val="-1"/>
                <w:w w:val="100"/>
                <w:sz w:val="15"/>
                <w:szCs w:val="15"/>
              </w:rPr>
              <w:t> </w:t>
            </w:r>
            <w:r>
              <w:rPr>
                <w:rFonts w:ascii="宋体" w:hAnsi="宋体" w:cs="宋体" w:eastAsia="宋体" w:hint="default"/>
                <w:sz w:val="15"/>
                <w:szCs w:val="15"/>
              </w:rPr>
              <w:t>余万元不予退款。</w:t>
            </w:r>
          </w:p>
        </w:tc>
        <w:tc>
          <w:tcPr>
            <w:tcW w:w="1358"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6" w:right="0"/>
              <w:jc w:val="left"/>
              <w:rPr>
                <w:rFonts w:ascii="宋体" w:hAnsi="宋体" w:cs="宋体" w:eastAsia="宋体" w:hint="default"/>
                <w:sz w:val="15"/>
                <w:szCs w:val="15"/>
              </w:rPr>
            </w:pPr>
            <w:r>
              <w:rPr>
                <w:rFonts w:ascii="宋体" w:hAnsi="宋体" w:cs="宋体" w:eastAsia="宋体" w:hint="default"/>
                <w:spacing w:val="-3"/>
                <w:w w:val="100"/>
                <w:sz w:val="15"/>
                <w:szCs w:val="15"/>
              </w:rPr>
              <w:t>，</w:t>
            </w:r>
            <w:r>
              <w:rPr>
                <w:rFonts w:ascii="宋体" w:hAnsi="宋体" w:cs="宋体" w:eastAsia="宋体" w:hint="default"/>
                <w:w w:val="100"/>
                <w:sz w:val="15"/>
                <w:szCs w:val="15"/>
              </w:rPr>
            </w:r>
          </w:p>
        </w:tc>
        <w:tc>
          <w:tcPr>
            <w:tcW w:w="838" w:type="dxa"/>
            <w:tcBorders>
              <w:top w:val="single" w:sz="8" w:space="0" w:color="41B7EE"/>
              <w:left w:val="single" w:sz="4" w:space="0" w:color="41B7EE"/>
              <w:bottom w:val="single" w:sz="4" w:space="0" w:color="41B7EE"/>
              <w:right w:val="single" w:sz="4" w:space="0" w:color="41B7EE"/>
            </w:tcBorders>
          </w:tcPr>
          <w:p>
            <w:pPr/>
          </w:p>
        </w:tc>
        <w:tc>
          <w:tcPr>
            <w:tcW w:w="2422" w:type="dxa"/>
            <w:tcBorders>
              <w:top w:val="single" w:sz="8" w:space="0" w:color="41B7EE"/>
              <w:left w:val="single" w:sz="4" w:space="0" w:color="41B7EE"/>
              <w:bottom w:val="single" w:sz="4" w:space="0" w:color="41B7EE"/>
              <w:right w:val="single" w:sz="4" w:space="0" w:color="41B7EE"/>
            </w:tcBorders>
          </w:tcPr>
          <w:p>
            <w:pPr>
              <w:pStyle w:val="TableParagraph"/>
              <w:spacing w:line="179" w:lineRule="exact"/>
              <w:ind w:left="23" w:right="0"/>
              <w:jc w:val="left"/>
              <w:rPr>
                <w:rFonts w:ascii="Arial" w:hAnsi="Arial" w:cs="Arial" w:eastAsia="Arial" w:hint="default"/>
                <w:sz w:val="15"/>
                <w:szCs w:val="15"/>
              </w:rPr>
            </w:pPr>
            <w:r>
              <w:rPr>
                <w:rFonts w:ascii="Arial" w:hAnsi="Arial" w:cs="Arial" w:eastAsia="Arial" w:hint="default"/>
                <w:w w:val="100"/>
                <w:sz w:val="15"/>
                <w:szCs w:val="15"/>
              </w:rPr>
              <w:t>9</w:t>
            </w:r>
            <w:r>
              <w:rPr>
                <w:rFonts w:ascii="Arial" w:hAnsi="Arial" w:cs="Arial" w:eastAsia="Arial" w:hint="default"/>
                <w:spacing w:val="-6"/>
                <w:sz w:val="15"/>
                <w:szCs w:val="15"/>
              </w:rPr>
              <w:t> </w:t>
            </w:r>
            <w:r>
              <w:rPr>
                <w:rFonts w:ascii="宋体" w:hAnsi="宋体" w:cs="宋体" w:eastAsia="宋体" w:hint="default"/>
                <w:w w:val="100"/>
                <w:sz w:val="15"/>
                <w:szCs w:val="15"/>
              </w:rPr>
              <w:t>月</w:t>
            </w:r>
            <w:r>
              <w:rPr>
                <w:rFonts w:ascii="宋体" w:hAnsi="宋体" w:cs="宋体" w:eastAsia="宋体" w:hint="default"/>
                <w:spacing w:val="-39"/>
                <w:sz w:val="15"/>
                <w:szCs w:val="15"/>
              </w:rPr>
              <w:t> </w:t>
            </w:r>
            <w:r>
              <w:rPr>
                <w:rFonts w:ascii="Arial" w:hAnsi="Arial" w:cs="Arial" w:eastAsia="Arial" w:hint="default"/>
                <w:spacing w:val="-1"/>
                <w:w w:val="100"/>
                <w:sz w:val="15"/>
                <w:szCs w:val="15"/>
              </w:rPr>
              <w:t>1</w:t>
            </w:r>
            <w:r>
              <w:rPr>
                <w:rFonts w:ascii="Arial" w:hAnsi="Arial" w:cs="Arial" w:eastAsia="Arial" w:hint="default"/>
                <w:w w:val="100"/>
                <w:sz w:val="15"/>
                <w:szCs w:val="15"/>
              </w:rPr>
              <w:t>7</w:t>
            </w:r>
            <w:r>
              <w:rPr>
                <w:rFonts w:ascii="Arial" w:hAnsi="Arial" w:cs="Arial" w:eastAsia="Arial" w:hint="default"/>
                <w:spacing w:val="-6"/>
                <w:sz w:val="15"/>
                <w:szCs w:val="15"/>
              </w:rPr>
              <w:t> </w:t>
            </w:r>
            <w:r>
              <w:rPr>
                <w:rFonts w:ascii="宋体" w:hAnsi="宋体" w:cs="宋体" w:eastAsia="宋体" w:hint="default"/>
                <w:w w:val="100"/>
                <w:sz w:val="15"/>
                <w:szCs w:val="15"/>
              </w:rPr>
              <w:t>日</w:t>
            </w:r>
            <w:r>
              <w:rPr>
                <w:rFonts w:ascii="宋体" w:hAnsi="宋体" w:cs="宋体" w:eastAsia="宋体" w:hint="default"/>
                <w:spacing w:val="-3"/>
                <w:w w:val="100"/>
                <w:sz w:val="15"/>
                <w:szCs w:val="15"/>
              </w:rPr>
              <w:t>两</w:t>
            </w:r>
            <w:r>
              <w:rPr>
                <w:rFonts w:ascii="宋体" w:hAnsi="宋体" w:cs="宋体" w:eastAsia="宋体" w:hint="default"/>
                <w:w w:val="100"/>
                <w:sz w:val="15"/>
                <w:szCs w:val="15"/>
              </w:rPr>
              <w:t>次</w:t>
            </w:r>
            <w:r>
              <w:rPr>
                <w:rFonts w:ascii="宋体" w:hAnsi="宋体" w:cs="宋体" w:eastAsia="宋体" w:hint="default"/>
                <w:spacing w:val="-3"/>
                <w:w w:val="100"/>
                <w:sz w:val="15"/>
                <w:szCs w:val="15"/>
              </w:rPr>
              <w:t>开庭</w:t>
            </w:r>
            <w:r>
              <w:rPr>
                <w:rFonts w:ascii="宋体" w:hAnsi="宋体" w:cs="宋体" w:eastAsia="宋体" w:hint="default"/>
                <w:spacing w:val="-75"/>
                <w:w w:val="100"/>
                <w:sz w:val="15"/>
                <w:szCs w:val="15"/>
              </w:rPr>
              <w:t>。</w:t>
            </w:r>
            <w:r>
              <w:rPr>
                <w:rFonts w:ascii="Arial" w:hAnsi="Arial" w:cs="Arial" w:eastAsia="Arial" w:hint="default"/>
                <w:spacing w:val="-1"/>
                <w:w w:val="100"/>
                <w:sz w:val="15"/>
                <w:szCs w:val="15"/>
              </w:rPr>
              <w:t>201</w:t>
            </w:r>
            <w:r>
              <w:rPr>
                <w:rFonts w:ascii="Arial" w:hAnsi="Arial" w:cs="Arial" w:eastAsia="Arial" w:hint="default"/>
                <w:w w:val="100"/>
                <w:sz w:val="15"/>
                <w:szCs w:val="15"/>
              </w:rPr>
              <w:t>3</w:t>
            </w:r>
            <w:r>
              <w:rPr>
                <w:rFonts w:ascii="Arial" w:hAnsi="Arial" w:cs="Arial" w:eastAsia="Arial" w:hint="default"/>
                <w:spacing w:val="-6"/>
                <w:sz w:val="15"/>
                <w:szCs w:val="15"/>
              </w:rPr>
              <w:t> </w:t>
            </w:r>
            <w:r>
              <w:rPr>
                <w:rFonts w:ascii="宋体" w:hAnsi="宋体" w:cs="宋体" w:eastAsia="宋体" w:hint="default"/>
                <w:w w:val="100"/>
                <w:sz w:val="15"/>
                <w:szCs w:val="15"/>
              </w:rPr>
              <w:t>年</w:t>
            </w:r>
            <w:r>
              <w:rPr>
                <w:rFonts w:ascii="宋体" w:hAnsi="宋体" w:cs="宋体" w:eastAsia="宋体" w:hint="default"/>
                <w:spacing w:val="-42"/>
                <w:sz w:val="15"/>
                <w:szCs w:val="15"/>
              </w:rPr>
              <w:t> </w:t>
            </w:r>
            <w:r>
              <w:rPr>
                <w:rFonts w:ascii="Arial" w:hAnsi="Arial" w:cs="Arial" w:eastAsia="Arial" w:hint="default"/>
                <w:spacing w:val="-1"/>
                <w:w w:val="100"/>
                <w:sz w:val="15"/>
                <w:szCs w:val="15"/>
              </w:rPr>
              <w:t>1</w:t>
            </w:r>
            <w:r>
              <w:rPr>
                <w:rFonts w:ascii="Arial" w:hAnsi="Arial" w:cs="Arial" w:eastAsia="Arial" w:hint="default"/>
                <w:w w:val="100"/>
                <w:sz w:val="15"/>
                <w:szCs w:val="15"/>
              </w:rPr>
              <w:t>1</w:t>
            </w:r>
            <w:r>
              <w:rPr>
                <w:rFonts w:ascii="Arial" w:hAnsi="Arial" w:cs="Arial" w:eastAsia="Arial" w:hint="default"/>
                <w:spacing w:val="-6"/>
                <w:sz w:val="15"/>
                <w:szCs w:val="15"/>
              </w:rPr>
              <w:t> </w:t>
            </w:r>
            <w:r>
              <w:rPr>
                <w:rFonts w:ascii="宋体" w:hAnsi="宋体" w:cs="宋体" w:eastAsia="宋体" w:hint="default"/>
                <w:w w:val="100"/>
                <w:sz w:val="15"/>
                <w:szCs w:val="15"/>
              </w:rPr>
              <w:t>月</w:t>
            </w:r>
            <w:r>
              <w:rPr>
                <w:rFonts w:ascii="宋体" w:hAnsi="宋体" w:cs="宋体" w:eastAsia="宋体" w:hint="default"/>
                <w:spacing w:val="-39"/>
                <w:sz w:val="15"/>
                <w:szCs w:val="15"/>
              </w:rPr>
              <w:t> </w:t>
            </w:r>
            <w:r>
              <w:rPr>
                <w:rFonts w:ascii="Arial" w:hAnsi="Arial" w:cs="Arial" w:eastAsia="Arial" w:hint="default"/>
                <w:w w:val="100"/>
                <w:sz w:val="15"/>
                <w:szCs w:val="15"/>
              </w:rPr>
              <w:t>5</w:t>
            </w:r>
          </w:p>
          <w:p>
            <w:pPr>
              <w:pStyle w:val="TableParagraph"/>
              <w:spacing w:line="194" w:lineRule="exact" w:before="13"/>
              <w:ind w:left="23" w:right="17"/>
              <w:jc w:val="left"/>
              <w:rPr>
                <w:rFonts w:ascii="宋体" w:hAnsi="宋体" w:cs="宋体" w:eastAsia="宋体" w:hint="default"/>
                <w:sz w:val="15"/>
                <w:szCs w:val="15"/>
              </w:rPr>
            </w:pPr>
            <w:r>
              <w:rPr>
                <w:rFonts w:ascii="宋体" w:hAnsi="宋体" w:cs="宋体" w:eastAsia="宋体" w:hint="default"/>
                <w:sz w:val="15"/>
                <w:szCs w:val="15"/>
              </w:rPr>
              <w:t>日作出（</w:t>
            </w:r>
            <w:r>
              <w:rPr>
                <w:rFonts w:ascii="Arial" w:hAnsi="Arial" w:cs="Arial" w:eastAsia="Arial" w:hint="default"/>
                <w:sz w:val="15"/>
                <w:szCs w:val="15"/>
              </w:rPr>
              <w:t>2013</w:t>
            </w:r>
            <w:r>
              <w:rPr>
                <w:rFonts w:ascii="宋体" w:hAnsi="宋体" w:cs="宋体" w:eastAsia="宋体" w:hint="default"/>
                <w:sz w:val="15"/>
                <w:szCs w:val="15"/>
              </w:rPr>
              <w:t>）绥商初字第</w:t>
            </w:r>
            <w:r>
              <w:rPr>
                <w:rFonts w:ascii="宋体" w:hAnsi="宋体" w:cs="宋体" w:eastAsia="宋体" w:hint="default"/>
                <w:spacing w:val="-40"/>
                <w:sz w:val="15"/>
                <w:szCs w:val="15"/>
              </w:rPr>
              <w:t> </w:t>
            </w:r>
            <w:r>
              <w:rPr>
                <w:rFonts w:ascii="Arial" w:hAnsi="Arial" w:cs="Arial" w:eastAsia="Arial" w:hint="default"/>
                <w:sz w:val="15"/>
                <w:szCs w:val="15"/>
              </w:rPr>
              <w:t>134</w:t>
            </w:r>
            <w:r>
              <w:rPr>
                <w:rFonts w:ascii="Arial" w:hAnsi="Arial" w:cs="Arial" w:eastAsia="Arial" w:hint="default"/>
                <w:spacing w:val="-7"/>
                <w:sz w:val="15"/>
                <w:szCs w:val="15"/>
              </w:rPr>
              <w:t> </w:t>
            </w:r>
            <w:r>
              <w:rPr>
                <w:rFonts w:ascii="宋体" w:hAnsi="宋体" w:cs="宋体" w:eastAsia="宋体" w:hint="default"/>
                <w:sz w:val="15"/>
                <w:szCs w:val="15"/>
              </w:rPr>
              <w:t>号</w:t>
            </w:r>
            <w:r>
              <w:rPr>
                <w:rFonts w:ascii="宋体" w:hAnsi="宋体" w:cs="宋体" w:eastAsia="宋体" w:hint="default"/>
                <w:w w:val="100"/>
                <w:sz w:val="15"/>
                <w:szCs w:val="15"/>
              </w:rPr>
              <w:t> </w:t>
            </w:r>
            <w:r>
              <w:rPr>
                <w:rFonts w:ascii="宋体" w:hAnsi="宋体" w:cs="宋体" w:eastAsia="宋体" w:hint="default"/>
                <w:spacing w:val="-4"/>
                <w:sz w:val="15"/>
                <w:szCs w:val="15"/>
              </w:rPr>
              <w:t>判决书。公司不服一审判决，向农垦</w:t>
            </w:r>
            <w:r>
              <w:rPr>
                <w:rFonts w:ascii="宋体" w:hAnsi="宋体" w:cs="宋体" w:eastAsia="宋体" w:hint="default"/>
                <w:spacing w:val="-47"/>
                <w:sz w:val="15"/>
                <w:szCs w:val="15"/>
              </w:rPr>
              <w:t> </w:t>
            </w:r>
            <w:r>
              <w:rPr>
                <w:rFonts w:ascii="宋体" w:hAnsi="宋体" w:cs="宋体" w:eastAsia="宋体" w:hint="default"/>
                <w:spacing w:val="-47"/>
                <w:sz w:val="15"/>
                <w:szCs w:val="15"/>
              </w:rPr>
            </w:r>
            <w:r>
              <w:rPr>
                <w:rFonts w:ascii="宋体" w:hAnsi="宋体" w:cs="宋体" w:eastAsia="宋体" w:hint="default"/>
                <w:sz w:val="15"/>
                <w:szCs w:val="15"/>
              </w:rPr>
              <w:t>中院提起上诉，农垦中院经审理于</w:t>
            </w:r>
            <w:r>
              <w:rPr>
                <w:rFonts w:ascii="宋体" w:hAnsi="宋体" w:cs="宋体" w:eastAsia="宋体" w:hint="default"/>
                <w:w w:val="100"/>
                <w:sz w:val="15"/>
                <w:szCs w:val="15"/>
              </w:rPr>
              <w:t> </w:t>
            </w:r>
            <w:r>
              <w:rPr>
                <w:rFonts w:ascii="Arial" w:hAnsi="Arial" w:cs="Arial" w:eastAsia="Arial" w:hint="default"/>
                <w:sz w:val="15"/>
                <w:szCs w:val="15"/>
              </w:rPr>
              <w:t>2014</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Arial" w:hAnsi="Arial" w:cs="Arial" w:eastAsia="Arial" w:hint="default"/>
                <w:sz w:val="15"/>
                <w:szCs w:val="15"/>
              </w:rPr>
              <w:t>4</w:t>
            </w:r>
            <w:r>
              <w:rPr>
                <w:rFonts w:ascii="Arial" w:hAnsi="Arial" w:cs="Arial" w:eastAsia="Arial"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29</w:t>
            </w:r>
            <w:r>
              <w:rPr>
                <w:rFonts w:ascii="Arial" w:hAnsi="Arial" w:cs="Arial" w:eastAsia="Arial" w:hint="default"/>
                <w:spacing w:val="-5"/>
                <w:sz w:val="15"/>
                <w:szCs w:val="15"/>
              </w:rPr>
              <w:t> </w:t>
            </w:r>
            <w:r>
              <w:rPr>
                <w:rFonts w:ascii="宋体" w:hAnsi="宋体" w:cs="宋体" w:eastAsia="宋体" w:hint="default"/>
                <w:sz w:val="15"/>
                <w:szCs w:val="15"/>
              </w:rPr>
              <w:t>日作出〔</w:t>
            </w:r>
            <w:r>
              <w:rPr>
                <w:rFonts w:ascii="Arial" w:hAnsi="Arial" w:cs="Arial" w:eastAsia="Arial" w:hint="default"/>
                <w:sz w:val="15"/>
                <w:szCs w:val="15"/>
              </w:rPr>
              <w:t>2014</w:t>
            </w:r>
            <w:r>
              <w:rPr>
                <w:rFonts w:ascii="宋体" w:hAnsi="宋体" w:cs="宋体" w:eastAsia="宋体" w:hint="default"/>
                <w:sz w:val="15"/>
                <w:szCs w:val="15"/>
              </w:rPr>
              <w:t>〕垦</w:t>
            </w:r>
          </w:p>
          <w:p>
            <w:pPr>
              <w:pStyle w:val="TableParagraph"/>
              <w:spacing w:line="181" w:lineRule="exact"/>
              <w:ind w:left="23" w:right="0"/>
              <w:jc w:val="left"/>
              <w:rPr>
                <w:rFonts w:ascii="宋体" w:hAnsi="宋体" w:cs="宋体" w:eastAsia="宋体" w:hint="default"/>
                <w:sz w:val="15"/>
                <w:szCs w:val="15"/>
              </w:rPr>
            </w:pPr>
            <w:r>
              <w:rPr>
                <w:rFonts w:ascii="宋体" w:hAnsi="宋体" w:cs="宋体" w:eastAsia="宋体" w:hint="default"/>
                <w:sz w:val="15"/>
                <w:szCs w:val="15"/>
              </w:rPr>
              <w:t>商终字第</w:t>
            </w:r>
            <w:r>
              <w:rPr>
                <w:rFonts w:ascii="宋体" w:hAnsi="宋体" w:cs="宋体" w:eastAsia="宋体" w:hint="default"/>
                <w:spacing w:val="-38"/>
                <w:sz w:val="15"/>
                <w:szCs w:val="15"/>
              </w:rPr>
              <w:t> </w:t>
            </w:r>
            <w:r>
              <w:rPr>
                <w:rFonts w:ascii="Arial" w:hAnsi="Arial" w:cs="Arial" w:eastAsia="Arial" w:hint="default"/>
                <w:sz w:val="15"/>
                <w:szCs w:val="15"/>
              </w:rPr>
              <w:t>16</w:t>
            </w:r>
            <w:r>
              <w:rPr>
                <w:rFonts w:ascii="Arial" w:hAnsi="Arial" w:cs="Arial" w:eastAsia="Arial" w:hint="default"/>
                <w:spacing w:val="-5"/>
                <w:sz w:val="15"/>
                <w:szCs w:val="15"/>
              </w:rPr>
              <w:t> </w:t>
            </w:r>
            <w:r>
              <w:rPr>
                <w:rFonts w:ascii="宋体" w:hAnsi="宋体" w:cs="宋体" w:eastAsia="宋体" w:hint="default"/>
                <w:sz w:val="15"/>
                <w:szCs w:val="15"/>
              </w:rPr>
              <w:t>号民事裁定书。绥化农</w:t>
            </w:r>
          </w:p>
          <w:p>
            <w:pPr>
              <w:pStyle w:val="TableParagraph"/>
              <w:spacing w:line="194" w:lineRule="exact"/>
              <w:ind w:left="23" w:right="0"/>
              <w:jc w:val="left"/>
              <w:rPr>
                <w:rFonts w:ascii="Arial" w:hAnsi="Arial" w:cs="Arial" w:eastAsia="Arial" w:hint="default"/>
                <w:sz w:val="15"/>
                <w:szCs w:val="15"/>
              </w:rPr>
            </w:pPr>
            <w:r>
              <w:rPr>
                <w:rFonts w:ascii="宋体" w:hAnsi="宋体" w:cs="宋体" w:eastAsia="宋体" w:hint="default"/>
                <w:sz w:val="15"/>
                <w:szCs w:val="15"/>
              </w:rPr>
              <w:t>垦法院于</w:t>
            </w:r>
            <w:r>
              <w:rPr>
                <w:rFonts w:ascii="宋体" w:hAnsi="宋体" w:cs="宋体" w:eastAsia="宋体" w:hint="default"/>
                <w:spacing w:val="-39"/>
                <w:sz w:val="15"/>
                <w:szCs w:val="15"/>
              </w:rPr>
              <w:t> </w:t>
            </w:r>
            <w:r>
              <w:rPr>
                <w:rFonts w:ascii="Arial" w:hAnsi="Arial" w:cs="Arial" w:eastAsia="Arial" w:hint="default"/>
                <w:sz w:val="15"/>
                <w:szCs w:val="15"/>
              </w:rPr>
              <w:t>2014</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w:hAnsi="Arial" w:cs="Arial" w:eastAsia="Arial" w:hint="default"/>
                <w:sz w:val="15"/>
                <w:szCs w:val="15"/>
              </w:rPr>
              <w:t>12</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Arial" w:hAnsi="Arial" w:cs="Arial" w:eastAsia="Arial" w:hint="default"/>
                <w:sz w:val="15"/>
                <w:szCs w:val="15"/>
              </w:rPr>
              <w:t>4</w:t>
            </w:r>
            <w:r>
              <w:rPr>
                <w:rFonts w:ascii="Arial" w:hAnsi="Arial" w:cs="Arial" w:eastAsia="Arial" w:hint="default"/>
                <w:spacing w:val="-4"/>
                <w:sz w:val="15"/>
                <w:szCs w:val="15"/>
              </w:rPr>
              <w:t> </w:t>
            </w:r>
            <w:r>
              <w:rPr>
                <w:rFonts w:ascii="宋体" w:hAnsi="宋体" w:cs="宋体" w:eastAsia="宋体" w:hint="default"/>
                <w:sz w:val="15"/>
                <w:szCs w:val="15"/>
              </w:rPr>
              <w:t>日、</w:t>
            </w:r>
            <w:r>
              <w:rPr>
                <w:rFonts w:ascii="Arial" w:hAnsi="Arial" w:cs="Arial" w:eastAsia="Arial" w:hint="default"/>
                <w:sz w:val="15"/>
                <w:szCs w:val="15"/>
              </w:rPr>
              <w:t>2015</w:t>
            </w:r>
          </w:p>
          <w:p>
            <w:pPr>
              <w:pStyle w:val="TableParagraph"/>
              <w:spacing w:line="194" w:lineRule="exact"/>
              <w:ind w:left="23" w:right="0"/>
              <w:jc w:val="left"/>
              <w:rPr>
                <w:rFonts w:ascii="宋体" w:hAnsi="宋体" w:cs="宋体" w:eastAsia="宋体" w:hint="default"/>
                <w:sz w:val="15"/>
                <w:szCs w:val="15"/>
              </w:rPr>
            </w:pP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w:hAnsi="Arial" w:cs="Arial" w:eastAsia="Arial" w:hint="default"/>
                <w:sz w:val="15"/>
                <w:szCs w:val="15"/>
              </w:rPr>
              <w:t>1</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Arial" w:hAnsi="Arial" w:cs="Arial" w:eastAsia="Arial" w:hint="default"/>
                <w:sz w:val="15"/>
                <w:szCs w:val="15"/>
              </w:rPr>
              <w:t>8</w:t>
            </w:r>
            <w:r>
              <w:rPr>
                <w:rFonts w:ascii="Arial" w:hAnsi="Arial" w:cs="Arial" w:eastAsia="Arial" w:hint="default"/>
                <w:spacing w:val="-4"/>
                <w:sz w:val="15"/>
                <w:szCs w:val="15"/>
              </w:rPr>
              <w:t> </w:t>
            </w:r>
            <w:r>
              <w:rPr>
                <w:rFonts w:ascii="宋体" w:hAnsi="宋体" w:cs="宋体" w:eastAsia="宋体" w:hint="default"/>
                <w:sz w:val="15"/>
                <w:szCs w:val="15"/>
              </w:rPr>
              <w:t>日两次开庭审理本案，于</w:t>
            </w:r>
          </w:p>
          <w:p>
            <w:pPr>
              <w:pStyle w:val="TableParagraph"/>
              <w:spacing w:line="194" w:lineRule="exact"/>
              <w:ind w:left="23" w:right="0"/>
              <w:jc w:val="left"/>
              <w:rPr>
                <w:rFonts w:ascii="宋体" w:hAnsi="宋体" w:cs="宋体" w:eastAsia="宋体" w:hint="default"/>
                <w:sz w:val="15"/>
                <w:szCs w:val="15"/>
              </w:rPr>
            </w:pPr>
            <w:r>
              <w:rPr>
                <w:rFonts w:ascii="Arial" w:hAnsi="Arial" w:cs="Arial" w:eastAsia="Arial" w:hint="default"/>
                <w:sz w:val="15"/>
                <w:szCs w:val="15"/>
              </w:rPr>
              <w:t>2015</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Arial" w:hAnsi="Arial" w:cs="Arial" w:eastAsia="Arial" w:hint="default"/>
                <w:sz w:val="15"/>
                <w:szCs w:val="15"/>
              </w:rPr>
              <w:t>7</w:t>
            </w:r>
            <w:r>
              <w:rPr>
                <w:rFonts w:ascii="Arial" w:hAnsi="Arial" w:cs="Arial" w:eastAsia="Arial"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15</w:t>
            </w:r>
            <w:r>
              <w:rPr>
                <w:rFonts w:ascii="Arial" w:hAnsi="Arial" w:cs="Arial" w:eastAsia="Arial" w:hint="default"/>
                <w:spacing w:val="-5"/>
                <w:sz w:val="15"/>
                <w:szCs w:val="15"/>
              </w:rPr>
              <w:t> </w:t>
            </w:r>
            <w:r>
              <w:rPr>
                <w:rFonts w:ascii="宋体" w:hAnsi="宋体" w:cs="宋体" w:eastAsia="宋体" w:hint="default"/>
                <w:sz w:val="15"/>
                <w:szCs w:val="15"/>
              </w:rPr>
              <w:t>日作出〔</w:t>
            </w:r>
            <w:r>
              <w:rPr>
                <w:rFonts w:ascii="Arial" w:hAnsi="Arial" w:cs="Arial" w:eastAsia="Arial" w:hint="default"/>
                <w:sz w:val="15"/>
                <w:szCs w:val="15"/>
              </w:rPr>
              <w:t>2014</w:t>
            </w:r>
            <w:r>
              <w:rPr>
                <w:rFonts w:ascii="宋体" w:hAnsi="宋体" w:cs="宋体" w:eastAsia="宋体" w:hint="default"/>
                <w:sz w:val="15"/>
                <w:szCs w:val="15"/>
              </w:rPr>
              <w:t>〕绥</w:t>
            </w:r>
          </w:p>
          <w:p>
            <w:pPr>
              <w:pStyle w:val="TableParagraph"/>
              <w:spacing w:line="232" w:lineRule="auto"/>
              <w:ind w:left="23" w:right="17"/>
              <w:jc w:val="both"/>
              <w:rPr>
                <w:rFonts w:ascii="宋体" w:hAnsi="宋体" w:cs="宋体" w:eastAsia="宋体" w:hint="default"/>
                <w:sz w:val="15"/>
                <w:szCs w:val="15"/>
              </w:rPr>
            </w:pPr>
            <w:r>
              <w:rPr>
                <w:rFonts w:ascii="宋体" w:hAnsi="宋体" w:cs="宋体" w:eastAsia="宋体" w:hint="default"/>
                <w:spacing w:val="-1"/>
                <w:w w:val="100"/>
                <w:sz w:val="15"/>
                <w:szCs w:val="15"/>
              </w:rPr>
              <w:t>商初字第</w:t>
            </w:r>
            <w:r>
              <w:rPr>
                <w:rFonts w:ascii="宋体" w:hAnsi="宋体" w:cs="宋体" w:eastAsia="宋体" w:hint="default"/>
                <w:spacing w:val="-36"/>
                <w:w w:val="100"/>
                <w:sz w:val="15"/>
                <w:szCs w:val="15"/>
              </w:rPr>
              <w:t> </w:t>
            </w:r>
            <w:r>
              <w:rPr>
                <w:rFonts w:ascii="Arial" w:hAnsi="Arial" w:cs="Arial" w:eastAsia="Arial" w:hint="default"/>
                <w:spacing w:val="-1"/>
                <w:w w:val="100"/>
                <w:sz w:val="15"/>
                <w:szCs w:val="15"/>
              </w:rPr>
              <w:t>295</w:t>
            </w:r>
            <w:r>
              <w:rPr>
                <w:rFonts w:ascii="Arial" w:hAnsi="Arial" w:cs="Arial" w:eastAsia="Arial" w:hint="default"/>
                <w:spacing w:val="-3"/>
                <w:w w:val="100"/>
                <w:sz w:val="15"/>
                <w:szCs w:val="15"/>
              </w:rPr>
              <w:t> </w:t>
            </w:r>
            <w:r>
              <w:rPr>
                <w:rFonts w:ascii="宋体" w:hAnsi="宋体" w:cs="宋体" w:eastAsia="宋体" w:hint="default"/>
                <w:spacing w:val="-8"/>
                <w:w w:val="100"/>
                <w:sz w:val="15"/>
                <w:szCs w:val="15"/>
              </w:rPr>
              <w:t>号民事判决书。邹平汇</w:t>
            </w:r>
            <w:r>
              <w:rPr>
                <w:rFonts w:ascii="宋体" w:hAnsi="宋体" w:cs="宋体" w:eastAsia="宋体" w:hint="default"/>
                <w:w w:val="100"/>
                <w:sz w:val="15"/>
                <w:szCs w:val="15"/>
              </w:rPr>
              <w:t> </w:t>
            </w:r>
            <w:r>
              <w:rPr>
                <w:rFonts w:ascii="宋体" w:hAnsi="宋体" w:cs="宋体" w:eastAsia="宋体" w:hint="default"/>
                <w:spacing w:val="-4"/>
                <w:sz w:val="15"/>
                <w:szCs w:val="15"/>
              </w:rPr>
              <w:t>超公司不服该发回重审一审判决，于</w:t>
            </w:r>
            <w:r>
              <w:rPr>
                <w:rFonts w:ascii="宋体" w:hAnsi="宋体" w:cs="宋体" w:eastAsia="宋体" w:hint="default"/>
                <w:spacing w:val="-47"/>
                <w:sz w:val="15"/>
                <w:szCs w:val="15"/>
              </w:rPr>
              <w:t> </w:t>
            </w:r>
            <w:r>
              <w:rPr>
                <w:rFonts w:ascii="宋体" w:hAnsi="宋体" w:cs="宋体" w:eastAsia="宋体" w:hint="default"/>
                <w:spacing w:val="-47"/>
                <w:sz w:val="15"/>
                <w:szCs w:val="15"/>
              </w:rPr>
            </w:r>
            <w:r>
              <w:rPr>
                <w:rFonts w:ascii="Arial" w:hAnsi="Arial" w:cs="Arial" w:eastAsia="Arial" w:hint="default"/>
                <w:sz w:val="15"/>
                <w:szCs w:val="15"/>
              </w:rPr>
              <w:t>2015</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w:hAnsi="Arial" w:cs="Arial" w:eastAsia="Arial" w:hint="default"/>
                <w:sz w:val="15"/>
                <w:szCs w:val="15"/>
              </w:rPr>
              <w:t>10</w:t>
            </w:r>
            <w:r>
              <w:rPr>
                <w:rFonts w:ascii="Arial" w:hAnsi="Arial" w:cs="Arial" w:eastAsia="Arial"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19</w:t>
            </w:r>
            <w:r>
              <w:rPr>
                <w:rFonts w:ascii="Arial" w:hAnsi="Arial" w:cs="Arial" w:eastAsia="Arial" w:hint="default"/>
                <w:spacing w:val="-5"/>
                <w:sz w:val="15"/>
                <w:szCs w:val="15"/>
              </w:rPr>
              <w:t> </w:t>
            </w:r>
            <w:r>
              <w:rPr>
                <w:rFonts w:ascii="宋体" w:hAnsi="宋体" w:cs="宋体" w:eastAsia="宋体" w:hint="default"/>
                <w:sz w:val="15"/>
                <w:szCs w:val="15"/>
              </w:rPr>
              <w:t>日向农垦中院提起</w:t>
            </w:r>
          </w:p>
          <w:p>
            <w:pPr>
              <w:pStyle w:val="TableParagraph"/>
              <w:spacing w:line="189" w:lineRule="exact"/>
              <w:ind w:left="23" w:right="0"/>
              <w:jc w:val="left"/>
              <w:rPr>
                <w:rFonts w:ascii="Arial" w:hAnsi="Arial" w:cs="Arial" w:eastAsia="Arial" w:hint="default"/>
                <w:sz w:val="15"/>
                <w:szCs w:val="15"/>
              </w:rPr>
            </w:pPr>
            <w:r>
              <w:rPr>
                <w:rFonts w:ascii="宋体" w:hAnsi="宋体" w:cs="宋体" w:eastAsia="宋体" w:hint="default"/>
                <w:sz w:val="15"/>
                <w:szCs w:val="15"/>
              </w:rPr>
              <w:t>上诉，农垦中院经审理于</w:t>
            </w:r>
            <w:r>
              <w:rPr>
                <w:rFonts w:ascii="宋体" w:hAnsi="宋体" w:cs="宋体" w:eastAsia="宋体" w:hint="default"/>
                <w:spacing w:val="-38"/>
                <w:sz w:val="15"/>
                <w:szCs w:val="15"/>
              </w:rPr>
              <w:t> </w:t>
            </w:r>
            <w:r>
              <w:rPr>
                <w:rFonts w:ascii="Arial" w:hAnsi="Arial" w:cs="Arial" w:eastAsia="Arial" w:hint="default"/>
                <w:sz w:val="15"/>
                <w:szCs w:val="15"/>
              </w:rPr>
              <w:t>2016</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w:hAnsi="Arial" w:cs="Arial" w:eastAsia="Arial" w:hint="default"/>
                <w:sz w:val="15"/>
                <w:szCs w:val="15"/>
              </w:rPr>
              <w:t>2</w:t>
            </w:r>
          </w:p>
          <w:p>
            <w:pPr>
              <w:pStyle w:val="TableParagraph"/>
              <w:spacing w:line="196" w:lineRule="exact"/>
              <w:ind w:left="23" w:right="0"/>
              <w:jc w:val="left"/>
              <w:rPr>
                <w:rFonts w:ascii="Arial" w:hAnsi="Arial" w:cs="Arial" w:eastAsia="Arial"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Arial" w:hAnsi="Arial" w:cs="Arial" w:eastAsia="Arial" w:hint="default"/>
                <w:sz w:val="15"/>
                <w:szCs w:val="15"/>
              </w:rPr>
              <w:t>23</w:t>
            </w:r>
            <w:r>
              <w:rPr>
                <w:rFonts w:ascii="Arial" w:hAnsi="Arial" w:cs="Arial" w:eastAsia="Arial" w:hint="default"/>
                <w:spacing w:val="-6"/>
                <w:sz w:val="15"/>
                <w:szCs w:val="15"/>
              </w:rPr>
              <w:t> </w:t>
            </w:r>
            <w:r>
              <w:rPr>
                <w:rFonts w:ascii="宋体" w:hAnsi="宋体" w:cs="宋体" w:eastAsia="宋体" w:hint="default"/>
                <w:sz w:val="15"/>
                <w:szCs w:val="15"/>
              </w:rPr>
              <w:t>日作出〔</w:t>
            </w:r>
            <w:r>
              <w:rPr>
                <w:rFonts w:ascii="Arial" w:hAnsi="Arial" w:cs="Arial" w:eastAsia="Arial" w:hint="default"/>
                <w:sz w:val="15"/>
                <w:szCs w:val="15"/>
              </w:rPr>
              <w:t>2016</w:t>
            </w:r>
            <w:r>
              <w:rPr>
                <w:rFonts w:ascii="宋体" w:hAnsi="宋体" w:cs="宋体" w:eastAsia="宋体" w:hint="default"/>
                <w:sz w:val="15"/>
                <w:szCs w:val="15"/>
              </w:rPr>
              <w:t>〕黑</w:t>
            </w:r>
            <w:r>
              <w:rPr>
                <w:rFonts w:ascii="宋体" w:hAnsi="宋体" w:cs="宋体" w:eastAsia="宋体" w:hint="default"/>
                <w:spacing w:val="-41"/>
                <w:sz w:val="15"/>
                <w:szCs w:val="15"/>
              </w:rPr>
              <w:t> </w:t>
            </w:r>
            <w:r>
              <w:rPr>
                <w:rFonts w:ascii="Arial" w:hAnsi="Arial" w:cs="Arial" w:eastAsia="Arial" w:hint="default"/>
                <w:sz w:val="15"/>
                <w:szCs w:val="15"/>
              </w:rPr>
              <w:t>81</w:t>
            </w:r>
            <w:r>
              <w:rPr>
                <w:rFonts w:ascii="Arial" w:hAnsi="Arial" w:cs="Arial" w:eastAsia="Arial" w:hint="default"/>
                <w:spacing w:val="-8"/>
                <w:sz w:val="15"/>
                <w:szCs w:val="15"/>
              </w:rPr>
              <w:t> </w:t>
            </w:r>
            <w:r>
              <w:rPr>
                <w:rFonts w:ascii="宋体" w:hAnsi="宋体" w:cs="宋体" w:eastAsia="宋体" w:hint="default"/>
                <w:sz w:val="15"/>
                <w:szCs w:val="15"/>
              </w:rPr>
              <w:t>民终</w:t>
            </w:r>
            <w:r>
              <w:rPr>
                <w:rFonts w:ascii="宋体" w:hAnsi="宋体" w:cs="宋体" w:eastAsia="宋体" w:hint="default"/>
                <w:spacing w:val="-39"/>
                <w:sz w:val="15"/>
                <w:szCs w:val="15"/>
              </w:rPr>
              <w:t> </w:t>
            </w:r>
            <w:r>
              <w:rPr>
                <w:rFonts w:ascii="Arial" w:hAnsi="Arial" w:cs="Arial" w:eastAsia="Arial" w:hint="default"/>
                <w:sz w:val="15"/>
                <w:szCs w:val="15"/>
              </w:rPr>
              <w:t>21</w:t>
            </w:r>
          </w:p>
          <w:p>
            <w:pPr>
              <w:pStyle w:val="TableParagraph"/>
              <w:spacing w:line="191" w:lineRule="exact"/>
              <w:ind w:left="23" w:right="0"/>
              <w:jc w:val="left"/>
              <w:rPr>
                <w:rFonts w:ascii="宋体" w:hAnsi="宋体" w:cs="宋体" w:eastAsia="宋体" w:hint="default"/>
                <w:sz w:val="15"/>
                <w:szCs w:val="15"/>
              </w:rPr>
            </w:pPr>
            <w:r>
              <w:rPr>
                <w:rFonts w:ascii="宋体" w:hAnsi="宋体" w:cs="宋体" w:eastAsia="宋体" w:hint="default"/>
                <w:sz w:val="15"/>
                <w:szCs w:val="15"/>
              </w:rPr>
              <w:t>号民事判决书。</w:t>
            </w:r>
          </w:p>
        </w:tc>
        <w:tc>
          <w:tcPr>
            <w:tcW w:w="2870" w:type="dxa"/>
            <w:tcBorders>
              <w:top w:val="single" w:sz="8" w:space="0" w:color="41B7EE"/>
              <w:left w:val="single" w:sz="4" w:space="0" w:color="41B7EE"/>
              <w:bottom w:val="single" w:sz="4" w:space="0" w:color="41B7EE"/>
              <w:right w:val="single" w:sz="9" w:space="0" w:color="FFFFFF"/>
            </w:tcBorders>
          </w:tcPr>
          <w:p>
            <w:pPr>
              <w:pStyle w:val="TableParagraph"/>
              <w:spacing w:line="174" w:lineRule="exact"/>
              <w:ind w:left="24" w:right="0"/>
              <w:jc w:val="left"/>
              <w:rPr>
                <w:rFonts w:ascii="宋体" w:hAnsi="宋体" w:cs="宋体" w:eastAsia="宋体" w:hint="default"/>
                <w:sz w:val="15"/>
                <w:szCs w:val="15"/>
              </w:rPr>
            </w:pPr>
            <w:r>
              <w:rPr>
                <w:rFonts w:ascii="宋体" w:hAnsi="宋体" w:cs="宋体" w:eastAsia="宋体" w:hint="default"/>
                <w:spacing w:val="-4"/>
                <w:sz w:val="15"/>
                <w:szCs w:val="15"/>
              </w:rPr>
              <w:t>由原告负担。再审判决：撤销一审判决，发</w:t>
            </w:r>
          </w:p>
          <w:p>
            <w:pPr>
              <w:pStyle w:val="TableParagraph"/>
              <w:spacing w:line="200" w:lineRule="exact"/>
              <w:ind w:left="24" w:right="0"/>
              <w:jc w:val="left"/>
              <w:rPr>
                <w:rFonts w:ascii="Arial" w:hAnsi="Arial" w:cs="Arial" w:eastAsia="Arial" w:hint="default"/>
                <w:sz w:val="15"/>
                <w:szCs w:val="15"/>
              </w:rPr>
            </w:pPr>
            <w:r>
              <w:rPr>
                <w:rFonts w:ascii="宋体" w:hAnsi="宋体" w:cs="宋体" w:eastAsia="宋体" w:hint="default"/>
                <w:sz w:val="15"/>
                <w:szCs w:val="15"/>
              </w:rPr>
              <w:t>回重审。再审判决：解除双方于</w:t>
            </w:r>
            <w:r>
              <w:rPr>
                <w:rFonts w:ascii="宋体" w:hAnsi="宋体" w:cs="宋体" w:eastAsia="宋体" w:hint="default"/>
                <w:spacing w:val="-39"/>
                <w:sz w:val="15"/>
                <w:szCs w:val="15"/>
              </w:rPr>
              <w:t> </w:t>
            </w:r>
            <w:r>
              <w:rPr>
                <w:rFonts w:ascii="Arial" w:hAnsi="Arial" w:cs="Arial" w:eastAsia="Arial" w:hint="default"/>
                <w:sz w:val="15"/>
                <w:szCs w:val="15"/>
              </w:rPr>
              <w:t>2012</w:t>
            </w:r>
            <w:r>
              <w:rPr>
                <w:rFonts w:ascii="Arial" w:hAnsi="Arial" w:cs="Arial" w:eastAsia="Arial" w:hint="default"/>
                <w:spacing w:val="-4"/>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3</w:t>
            </w:r>
          </w:p>
          <w:p>
            <w:pPr>
              <w:pStyle w:val="TableParagraph"/>
              <w:spacing w:line="194" w:lineRule="exact"/>
              <w:ind w:left="24"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Arial" w:hAnsi="Arial" w:cs="Arial" w:eastAsia="Arial" w:hint="default"/>
                <w:sz w:val="15"/>
                <w:szCs w:val="15"/>
              </w:rPr>
              <w:t>15</w:t>
            </w:r>
            <w:r>
              <w:rPr>
                <w:rFonts w:ascii="Arial" w:hAnsi="Arial" w:cs="Arial" w:eastAsia="Arial" w:hint="default"/>
                <w:spacing w:val="-6"/>
                <w:sz w:val="15"/>
                <w:szCs w:val="15"/>
              </w:rPr>
              <w:t> </w:t>
            </w:r>
            <w:r>
              <w:rPr>
                <w:rFonts w:ascii="宋体" w:hAnsi="宋体" w:cs="宋体" w:eastAsia="宋体" w:hint="default"/>
                <w:sz w:val="15"/>
                <w:szCs w:val="15"/>
              </w:rPr>
              <w:t>日签订的《转让合同（</w:t>
            </w:r>
            <w:r>
              <w:rPr>
                <w:rFonts w:ascii="Arial" w:hAnsi="Arial" w:cs="Arial" w:eastAsia="Arial" w:hint="default"/>
                <w:sz w:val="15"/>
                <w:szCs w:val="15"/>
              </w:rPr>
              <w:t>B</w:t>
            </w:r>
            <w:r>
              <w:rPr>
                <w:rFonts w:ascii="宋体" w:hAnsi="宋体" w:cs="宋体" w:eastAsia="宋体" w:hint="default"/>
                <w:sz w:val="15"/>
                <w:szCs w:val="15"/>
              </w:rPr>
              <w:t>）》，邹平</w:t>
            </w:r>
          </w:p>
          <w:p>
            <w:pPr>
              <w:pStyle w:val="TableParagraph"/>
              <w:spacing w:line="194" w:lineRule="exact" w:before="13"/>
              <w:ind w:left="24" w:right="-21"/>
              <w:jc w:val="left"/>
              <w:rPr>
                <w:rFonts w:ascii="宋体" w:hAnsi="宋体" w:cs="宋体" w:eastAsia="宋体" w:hint="default"/>
                <w:sz w:val="15"/>
                <w:szCs w:val="15"/>
              </w:rPr>
            </w:pPr>
            <w:r>
              <w:rPr>
                <w:rFonts w:ascii="宋体" w:hAnsi="宋体" w:cs="宋体" w:eastAsia="宋体" w:hint="default"/>
                <w:spacing w:val="-2"/>
                <w:w w:val="100"/>
                <w:sz w:val="15"/>
                <w:szCs w:val="15"/>
              </w:rPr>
              <w:t>汇超公司返还公司转让费</w:t>
            </w:r>
            <w:r>
              <w:rPr>
                <w:rFonts w:ascii="宋体" w:hAnsi="宋体" w:cs="宋体" w:eastAsia="宋体" w:hint="default"/>
                <w:spacing w:val="-35"/>
                <w:w w:val="100"/>
                <w:sz w:val="15"/>
                <w:szCs w:val="15"/>
              </w:rPr>
              <w:t> </w:t>
            </w:r>
            <w:r>
              <w:rPr>
                <w:rFonts w:ascii="Arial" w:hAnsi="Arial" w:cs="Arial" w:eastAsia="Arial" w:hint="default"/>
                <w:spacing w:val="-1"/>
                <w:w w:val="100"/>
                <w:sz w:val="15"/>
                <w:szCs w:val="15"/>
              </w:rPr>
              <w:t>777,500</w:t>
            </w:r>
            <w:r>
              <w:rPr>
                <w:rFonts w:ascii="Arial" w:hAnsi="Arial" w:cs="Arial" w:eastAsia="Arial" w:hint="default"/>
                <w:spacing w:val="-5"/>
                <w:w w:val="100"/>
                <w:sz w:val="15"/>
                <w:szCs w:val="15"/>
              </w:rPr>
              <w:t> </w:t>
            </w:r>
            <w:r>
              <w:rPr>
                <w:rFonts w:ascii="宋体" w:hAnsi="宋体" w:cs="宋体" w:eastAsia="宋体" w:hint="default"/>
                <w:spacing w:val="-18"/>
                <w:w w:val="100"/>
                <w:sz w:val="15"/>
                <w:szCs w:val="15"/>
              </w:rPr>
              <w:t>元。终审</w:t>
            </w:r>
            <w:r>
              <w:rPr>
                <w:rFonts w:ascii="宋体" w:hAnsi="宋体" w:cs="宋体" w:eastAsia="宋体" w:hint="default"/>
                <w:spacing w:val="-72"/>
                <w:w w:val="100"/>
                <w:sz w:val="15"/>
                <w:szCs w:val="15"/>
              </w:rPr>
              <w:t> </w:t>
            </w:r>
            <w:r>
              <w:rPr>
                <w:rFonts w:ascii="宋体" w:hAnsi="宋体" w:cs="宋体" w:eastAsia="宋体" w:hint="default"/>
                <w:spacing w:val="-72"/>
                <w:w w:val="100"/>
                <w:sz w:val="15"/>
                <w:szCs w:val="15"/>
              </w:rPr>
            </w:r>
            <w:r>
              <w:rPr>
                <w:rFonts w:ascii="宋体" w:hAnsi="宋体" w:cs="宋体" w:eastAsia="宋体" w:hint="default"/>
                <w:spacing w:val="-2"/>
                <w:sz w:val="15"/>
                <w:szCs w:val="15"/>
              </w:rPr>
              <w:t>判决：驳回邹平汇超公司上诉，维持原判。</w:t>
            </w:r>
          </w:p>
        </w:tc>
        <w:tc>
          <w:tcPr>
            <w:tcW w:w="1518" w:type="dxa"/>
            <w:tcBorders>
              <w:top w:val="single" w:sz="8" w:space="0" w:color="41B7EE"/>
              <w:left w:val="single" w:sz="9" w:space="0" w:color="FFFFFF"/>
              <w:bottom w:val="single" w:sz="4" w:space="0" w:color="41B7EE"/>
              <w:right w:val="nil" w:sz="6" w:space="0" w:color="auto"/>
            </w:tcBorders>
          </w:tcPr>
          <w:p>
            <w:pPr>
              <w:pStyle w:val="TableParagraph"/>
              <w:spacing w:line="174" w:lineRule="exact"/>
              <w:ind w:left="4" w:right="0"/>
              <w:jc w:val="left"/>
              <w:rPr>
                <w:rFonts w:ascii="宋体" w:hAnsi="宋体" w:cs="宋体" w:eastAsia="宋体" w:hint="default"/>
                <w:sz w:val="15"/>
                <w:szCs w:val="15"/>
              </w:rPr>
            </w:pPr>
            <w:r>
              <w:rPr>
                <w:rFonts w:ascii="宋体" w:hAnsi="宋体" w:cs="宋体" w:eastAsia="宋体" w:hint="default"/>
                <w:spacing w:val="-4"/>
                <w:sz w:val="15"/>
                <w:szCs w:val="15"/>
              </w:rPr>
              <w:t>院申请强制执行，因另</w:t>
            </w:r>
          </w:p>
          <w:p>
            <w:pPr>
              <w:pStyle w:val="TableParagraph"/>
              <w:spacing w:line="240" w:lineRule="auto"/>
              <w:ind w:left="4" w:right="-15"/>
              <w:jc w:val="left"/>
              <w:rPr>
                <w:rFonts w:ascii="宋体" w:hAnsi="宋体" w:cs="宋体" w:eastAsia="宋体" w:hint="default"/>
                <w:sz w:val="15"/>
                <w:szCs w:val="15"/>
              </w:rPr>
            </w:pPr>
            <w:r>
              <w:rPr>
                <w:rFonts w:ascii="宋体" w:hAnsi="宋体" w:cs="宋体" w:eastAsia="宋体" w:hint="default"/>
                <w:sz w:val="15"/>
                <w:szCs w:val="15"/>
              </w:rPr>
              <w:t>案公司欠付邹平汇超</w:t>
            </w:r>
            <w:r>
              <w:rPr>
                <w:rFonts w:ascii="宋体" w:hAnsi="宋体" w:cs="宋体" w:eastAsia="宋体" w:hint="default"/>
                <w:w w:val="100"/>
                <w:sz w:val="15"/>
                <w:szCs w:val="15"/>
              </w:rPr>
              <w:t> </w:t>
            </w:r>
            <w:r>
              <w:rPr>
                <w:rFonts w:ascii="宋体" w:hAnsi="宋体" w:cs="宋体" w:eastAsia="宋体" w:hint="default"/>
                <w:sz w:val="15"/>
                <w:szCs w:val="15"/>
              </w:rPr>
              <w:t>公司欠款</w:t>
            </w:r>
            <w:r>
              <w:rPr>
                <w:rFonts w:ascii="宋体" w:hAnsi="宋体" w:cs="宋体" w:eastAsia="宋体" w:hint="default"/>
                <w:spacing w:val="-38"/>
                <w:sz w:val="15"/>
                <w:szCs w:val="15"/>
              </w:rPr>
              <w:t> </w:t>
            </w:r>
            <w:r>
              <w:rPr>
                <w:rFonts w:ascii="Arial" w:hAnsi="Arial" w:cs="Arial" w:eastAsia="Arial" w:hint="default"/>
                <w:sz w:val="15"/>
                <w:szCs w:val="15"/>
              </w:rPr>
              <w:t>403,690</w:t>
            </w:r>
            <w:r>
              <w:rPr>
                <w:rFonts w:ascii="Arial" w:hAnsi="Arial" w:cs="Arial" w:eastAsia="Arial" w:hint="default"/>
                <w:spacing w:val="-3"/>
                <w:sz w:val="15"/>
                <w:szCs w:val="15"/>
              </w:rPr>
              <w:t> </w:t>
            </w:r>
            <w:r>
              <w:rPr>
                <w:rFonts w:ascii="宋体" w:hAnsi="宋体" w:cs="宋体" w:eastAsia="宋体" w:hint="default"/>
                <w:spacing w:val="-3"/>
                <w:sz w:val="15"/>
                <w:szCs w:val="15"/>
              </w:rPr>
              <w:t>元。</w:t>
            </w:r>
            <w:r>
              <w:rPr>
                <w:rFonts w:ascii="宋体" w:hAnsi="宋体" w:cs="宋体" w:eastAsia="宋体" w:hint="default"/>
                <w:sz w:val="15"/>
                <w:szCs w:val="15"/>
              </w:rPr>
            </w:r>
          </w:p>
          <w:p>
            <w:pPr>
              <w:pStyle w:val="TableParagraph"/>
              <w:spacing w:line="188" w:lineRule="exact"/>
              <w:ind w:left="4" w:right="0"/>
              <w:jc w:val="left"/>
              <w:rPr>
                <w:rFonts w:ascii="宋体" w:hAnsi="宋体" w:cs="宋体" w:eastAsia="宋体" w:hint="default"/>
                <w:sz w:val="15"/>
                <w:szCs w:val="15"/>
              </w:rPr>
            </w:pPr>
            <w:r>
              <w:rPr>
                <w:rFonts w:ascii="Arial" w:hAnsi="Arial" w:cs="Arial" w:eastAsia="Arial" w:hint="default"/>
                <w:sz w:val="15"/>
                <w:szCs w:val="15"/>
              </w:rPr>
              <w:t>2016</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4</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16</w:t>
            </w:r>
            <w:r>
              <w:rPr>
                <w:rFonts w:ascii="Arial" w:hAnsi="Arial" w:cs="Arial" w:eastAsia="Arial" w:hint="default"/>
                <w:spacing w:val="-4"/>
                <w:sz w:val="15"/>
                <w:szCs w:val="15"/>
              </w:rPr>
              <w:t> </w:t>
            </w:r>
            <w:r>
              <w:rPr>
                <w:rFonts w:ascii="宋体" w:hAnsi="宋体" w:cs="宋体" w:eastAsia="宋体" w:hint="default"/>
                <w:spacing w:val="-17"/>
                <w:sz w:val="15"/>
                <w:szCs w:val="15"/>
              </w:rPr>
              <w:t>日，法</w:t>
            </w:r>
          </w:p>
          <w:p>
            <w:pPr>
              <w:pStyle w:val="TableParagraph"/>
              <w:spacing w:line="194" w:lineRule="exact"/>
              <w:ind w:left="4" w:right="0"/>
              <w:jc w:val="left"/>
              <w:rPr>
                <w:rFonts w:ascii="Arial" w:hAnsi="Arial" w:cs="Arial" w:eastAsia="Arial" w:hint="default"/>
                <w:sz w:val="15"/>
                <w:szCs w:val="15"/>
              </w:rPr>
            </w:pPr>
            <w:r>
              <w:rPr>
                <w:rFonts w:ascii="宋体" w:hAnsi="宋体" w:cs="宋体" w:eastAsia="宋体" w:hint="default"/>
                <w:w w:val="100"/>
                <w:sz w:val="15"/>
                <w:szCs w:val="15"/>
              </w:rPr>
              <w:t>院作</w:t>
            </w:r>
            <w:r>
              <w:rPr>
                <w:rFonts w:ascii="宋体" w:hAnsi="宋体" w:cs="宋体" w:eastAsia="宋体" w:hint="default"/>
                <w:spacing w:val="-68"/>
                <w:w w:val="100"/>
                <w:sz w:val="15"/>
                <w:szCs w:val="15"/>
              </w:rPr>
              <w:t>出</w:t>
            </w:r>
            <w:r>
              <w:rPr>
                <w:rFonts w:ascii="宋体" w:hAnsi="宋体" w:cs="宋体" w:eastAsia="宋体" w:hint="default"/>
                <w:spacing w:val="-1"/>
                <w:w w:val="100"/>
                <w:sz w:val="15"/>
                <w:szCs w:val="15"/>
              </w:rPr>
              <w:t>（</w:t>
            </w:r>
            <w:r>
              <w:rPr>
                <w:rFonts w:ascii="Arial" w:hAnsi="Arial" w:cs="Arial" w:eastAsia="Arial" w:hint="default"/>
                <w:spacing w:val="-3"/>
                <w:w w:val="100"/>
                <w:sz w:val="15"/>
                <w:szCs w:val="15"/>
              </w:rPr>
              <w:t>2</w:t>
            </w:r>
            <w:r>
              <w:rPr>
                <w:rFonts w:ascii="Arial" w:hAnsi="Arial" w:cs="Arial" w:eastAsia="Arial" w:hint="default"/>
                <w:w w:val="100"/>
                <w:sz w:val="15"/>
                <w:szCs w:val="15"/>
              </w:rPr>
              <w:t>01</w:t>
            </w:r>
            <w:r>
              <w:rPr>
                <w:rFonts w:ascii="Arial" w:hAnsi="Arial" w:cs="Arial" w:eastAsia="Arial" w:hint="default"/>
                <w:spacing w:val="-3"/>
                <w:w w:val="100"/>
                <w:sz w:val="15"/>
                <w:szCs w:val="15"/>
              </w:rPr>
              <w:t>6</w:t>
            </w:r>
            <w:r>
              <w:rPr>
                <w:rFonts w:ascii="宋体" w:hAnsi="宋体" w:cs="宋体" w:eastAsia="宋体" w:hint="default"/>
                <w:spacing w:val="-68"/>
                <w:w w:val="100"/>
                <w:sz w:val="15"/>
                <w:szCs w:val="15"/>
              </w:rPr>
              <w:t>）</w:t>
            </w:r>
            <w:r>
              <w:rPr>
                <w:rFonts w:ascii="宋体" w:hAnsi="宋体" w:cs="宋体" w:eastAsia="宋体" w:hint="default"/>
                <w:w w:val="100"/>
                <w:sz w:val="15"/>
                <w:szCs w:val="15"/>
              </w:rPr>
              <w:t>黑</w:t>
            </w:r>
            <w:r>
              <w:rPr>
                <w:rFonts w:ascii="宋体" w:hAnsi="宋体" w:cs="宋体" w:eastAsia="宋体" w:hint="default"/>
                <w:spacing w:val="-37"/>
                <w:sz w:val="15"/>
                <w:szCs w:val="15"/>
              </w:rPr>
              <w:t> </w:t>
            </w:r>
            <w:r>
              <w:rPr>
                <w:rFonts w:ascii="Arial" w:hAnsi="Arial" w:cs="Arial" w:eastAsia="Arial" w:hint="default"/>
                <w:w w:val="100"/>
                <w:sz w:val="15"/>
                <w:szCs w:val="15"/>
              </w:rPr>
              <w:t>8</w:t>
            </w:r>
            <w:r>
              <w:rPr>
                <w:rFonts w:ascii="Arial" w:hAnsi="Arial" w:cs="Arial" w:eastAsia="Arial" w:hint="default"/>
                <w:spacing w:val="-3"/>
                <w:w w:val="100"/>
                <w:sz w:val="15"/>
                <w:szCs w:val="15"/>
              </w:rPr>
              <w:t>1</w:t>
            </w:r>
            <w:r>
              <w:rPr>
                <w:rFonts w:ascii="Arial" w:hAnsi="Arial" w:cs="Arial" w:eastAsia="Arial" w:hint="default"/>
                <w:w w:val="100"/>
                <w:sz w:val="15"/>
                <w:szCs w:val="15"/>
              </w:rPr>
              <w:t>05</w:t>
            </w:r>
          </w:p>
          <w:p>
            <w:pPr>
              <w:pStyle w:val="TableParagraph"/>
              <w:spacing w:line="194" w:lineRule="exact" w:before="13"/>
              <w:ind w:left="4" w:right="-24"/>
              <w:jc w:val="left"/>
              <w:rPr>
                <w:rFonts w:ascii="宋体" w:hAnsi="宋体" w:cs="宋体" w:eastAsia="宋体" w:hint="default"/>
                <w:sz w:val="15"/>
                <w:szCs w:val="15"/>
              </w:rPr>
            </w:pPr>
            <w:r>
              <w:rPr>
                <w:rFonts w:ascii="宋体" w:hAnsi="宋体" w:cs="宋体" w:eastAsia="宋体" w:hint="default"/>
                <w:sz w:val="15"/>
                <w:szCs w:val="15"/>
              </w:rPr>
              <w:t>执</w:t>
            </w:r>
            <w:r>
              <w:rPr>
                <w:rFonts w:ascii="宋体" w:hAnsi="宋体" w:cs="宋体" w:eastAsia="宋体" w:hint="default"/>
                <w:spacing w:val="-39"/>
                <w:sz w:val="15"/>
                <w:szCs w:val="15"/>
              </w:rPr>
              <w:t> </w:t>
            </w:r>
            <w:r>
              <w:rPr>
                <w:rFonts w:ascii="Arial" w:hAnsi="Arial" w:cs="Arial" w:eastAsia="Arial" w:hint="default"/>
                <w:sz w:val="15"/>
                <w:szCs w:val="15"/>
              </w:rPr>
              <w:t>108</w:t>
            </w:r>
            <w:r>
              <w:rPr>
                <w:rFonts w:ascii="Arial" w:hAnsi="Arial" w:cs="Arial" w:eastAsia="Arial" w:hint="default"/>
                <w:spacing w:val="-6"/>
                <w:sz w:val="15"/>
                <w:szCs w:val="15"/>
              </w:rPr>
              <w:t> </w:t>
            </w:r>
            <w:r>
              <w:rPr>
                <w:rFonts w:ascii="宋体" w:hAnsi="宋体" w:cs="宋体" w:eastAsia="宋体" w:hint="default"/>
                <w:sz w:val="15"/>
                <w:szCs w:val="15"/>
              </w:rPr>
              <w:t>号执行裁定书，</w:t>
            </w:r>
            <w:r>
              <w:rPr>
                <w:rFonts w:ascii="宋体" w:hAnsi="宋体" w:cs="宋体" w:eastAsia="宋体" w:hint="default"/>
                <w:w w:val="100"/>
                <w:sz w:val="15"/>
                <w:szCs w:val="15"/>
              </w:rPr>
              <w:t> </w:t>
            </w:r>
            <w:r>
              <w:rPr>
                <w:rFonts w:ascii="宋体" w:hAnsi="宋体" w:cs="宋体" w:eastAsia="宋体" w:hint="default"/>
                <w:sz w:val="15"/>
                <w:szCs w:val="15"/>
              </w:rPr>
              <w:t>公司欠付邹平汇超公</w:t>
            </w:r>
            <w:r>
              <w:rPr>
                <w:rFonts w:ascii="宋体" w:hAnsi="宋体" w:cs="宋体" w:eastAsia="宋体" w:hint="default"/>
                <w:w w:val="100"/>
                <w:sz w:val="15"/>
                <w:szCs w:val="15"/>
              </w:rPr>
              <w:t> </w:t>
            </w:r>
            <w:r>
              <w:rPr>
                <w:rFonts w:ascii="宋体" w:hAnsi="宋体" w:cs="宋体" w:eastAsia="宋体" w:hint="default"/>
                <w:sz w:val="15"/>
                <w:szCs w:val="15"/>
              </w:rPr>
              <w:t>司的</w:t>
            </w:r>
            <w:r>
              <w:rPr>
                <w:rFonts w:ascii="宋体" w:hAnsi="宋体" w:cs="宋体" w:eastAsia="宋体" w:hint="default"/>
                <w:spacing w:val="-47"/>
                <w:sz w:val="15"/>
                <w:szCs w:val="15"/>
              </w:rPr>
              <w:t> </w:t>
            </w:r>
            <w:r>
              <w:rPr>
                <w:rFonts w:ascii="Arial" w:hAnsi="Arial" w:cs="Arial" w:eastAsia="Arial" w:hint="default"/>
                <w:sz w:val="15"/>
                <w:szCs w:val="15"/>
              </w:rPr>
              <w:t>453,435.7</w:t>
            </w:r>
            <w:r>
              <w:rPr>
                <w:rFonts w:ascii="Arial" w:hAnsi="Arial" w:cs="Arial" w:eastAsia="Arial" w:hint="default"/>
                <w:spacing w:val="-16"/>
                <w:sz w:val="15"/>
                <w:szCs w:val="15"/>
              </w:rPr>
              <w:t> </w:t>
            </w:r>
            <w:r>
              <w:rPr>
                <w:rFonts w:ascii="宋体" w:hAnsi="宋体" w:cs="宋体" w:eastAsia="宋体" w:hint="default"/>
                <w:sz w:val="15"/>
                <w:szCs w:val="15"/>
              </w:rPr>
              <w:t>元从被</w:t>
            </w:r>
          </w:p>
          <w:p>
            <w:pPr>
              <w:pStyle w:val="TableParagraph"/>
              <w:spacing w:line="194" w:lineRule="exact"/>
              <w:ind w:left="4" w:right="43"/>
              <w:jc w:val="left"/>
              <w:rPr>
                <w:rFonts w:ascii="宋体" w:hAnsi="宋体" w:cs="宋体" w:eastAsia="宋体" w:hint="default"/>
                <w:sz w:val="15"/>
                <w:szCs w:val="15"/>
              </w:rPr>
            </w:pPr>
            <w:r>
              <w:rPr>
                <w:rFonts w:ascii="宋体" w:hAnsi="宋体" w:cs="宋体" w:eastAsia="宋体" w:hint="default"/>
                <w:sz w:val="15"/>
                <w:szCs w:val="15"/>
              </w:rPr>
              <w:t>执行欠款</w:t>
            </w:r>
            <w:r>
              <w:rPr>
                <w:rFonts w:ascii="宋体" w:hAnsi="宋体" w:cs="宋体" w:eastAsia="宋体" w:hint="default"/>
                <w:spacing w:val="-39"/>
                <w:sz w:val="15"/>
                <w:szCs w:val="15"/>
              </w:rPr>
              <w:t> </w:t>
            </w:r>
            <w:r>
              <w:rPr>
                <w:rFonts w:ascii="Arial" w:hAnsi="Arial" w:cs="Arial" w:eastAsia="Arial" w:hint="default"/>
                <w:sz w:val="15"/>
                <w:szCs w:val="15"/>
              </w:rPr>
              <w:t>828,081</w:t>
            </w:r>
            <w:r>
              <w:rPr>
                <w:rFonts w:ascii="Arial" w:hAnsi="Arial" w:cs="Arial" w:eastAsia="Arial" w:hint="default"/>
                <w:spacing w:val="-4"/>
                <w:sz w:val="15"/>
                <w:szCs w:val="15"/>
              </w:rPr>
              <w:t> </w:t>
            </w:r>
            <w:r>
              <w:rPr>
                <w:rFonts w:ascii="宋体" w:hAnsi="宋体" w:cs="宋体" w:eastAsia="宋体" w:hint="default"/>
                <w:sz w:val="15"/>
                <w:szCs w:val="15"/>
              </w:rPr>
              <w:t>中</w:t>
            </w:r>
            <w:r>
              <w:rPr>
                <w:rFonts w:ascii="宋体" w:hAnsi="宋体" w:cs="宋体" w:eastAsia="宋体" w:hint="default"/>
                <w:w w:val="100"/>
                <w:sz w:val="15"/>
                <w:szCs w:val="15"/>
              </w:rPr>
              <w:t> </w:t>
            </w:r>
            <w:r>
              <w:rPr>
                <w:rFonts w:ascii="宋体" w:hAnsi="宋体" w:cs="宋体" w:eastAsia="宋体" w:hint="default"/>
                <w:sz w:val="15"/>
                <w:szCs w:val="15"/>
              </w:rPr>
              <w:t>扣除，剩余欠款本金</w:t>
            </w:r>
          </w:p>
          <w:p>
            <w:pPr>
              <w:pStyle w:val="TableParagraph"/>
              <w:spacing w:line="194" w:lineRule="exact" w:before="1"/>
              <w:ind w:left="4" w:right="0"/>
              <w:jc w:val="left"/>
              <w:rPr>
                <w:rFonts w:ascii="宋体" w:hAnsi="宋体" w:cs="宋体" w:eastAsia="宋体" w:hint="default"/>
                <w:sz w:val="15"/>
                <w:szCs w:val="15"/>
              </w:rPr>
            </w:pPr>
            <w:r>
              <w:rPr>
                <w:rFonts w:ascii="Arial" w:hAnsi="Arial" w:cs="Arial" w:eastAsia="Arial" w:hint="default"/>
                <w:sz w:val="15"/>
                <w:szCs w:val="15"/>
              </w:rPr>
              <w:t>374,645.3</w:t>
            </w:r>
            <w:r>
              <w:rPr>
                <w:rFonts w:ascii="Arial" w:hAnsi="Arial" w:cs="Arial" w:eastAsia="Arial" w:hint="default"/>
                <w:spacing w:val="-6"/>
                <w:sz w:val="15"/>
                <w:szCs w:val="15"/>
              </w:rPr>
              <w:t> </w:t>
            </w:r>
            <w:r>
              <w:rPr>
                <w:rFonts w:ascii="宋体" w:hAnsi="宋体" w:cs="宋体" w:eastAsia="宋体" w:hint="default"/>
                <w:sz w:val="15"/>
                <w:szCs w:val="15"/>
              </w:rPr>
              <w:t>元邹平汇超</w:t>
            </w:r>
            <w:r>
              <w:rPr>
                <w:rFonts w:ascii="宋体" w:hAnsi="宋体" w:cs="宋体" w:eastAsia="宋体" w:hint="default"/>
                <w:w w:val="100"/>
                <w:sz w:val="15"/>
                <w:szCs w:val="15"/>
              </w:rPr>
              <w:t> </w:t>
            </w:r>
            <w:r>
              <w:rPr>
                <w:rFonts w:ascii="宋体" w:hAnsi="宋体" w:cs="宋体" w:eastAsia="宋体" w:hint="default"/>
                <w:spacing w:val="-2"/>
                <w:sz w:val="15"/>
                <w:szCs w:val="15"/>
              </w:rPr>
              <w:t>公司应立即给付公司，</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截止目前公司已执行</w:t>
            </w:r>
            <w:r>
              <w:rPr>
                <w:rFonts w:ascii="宋体" w:hAnsi="宋体" w:cs="宋体" w:eastAsia="宋体" w:hint="default"/>
                <w:w w:val="100"/>
                <w:sz w:val="15"/>
                <w:szCs w:val="15"/>
              </w:rPr>
              <w:t> </w:t>
            </w:r>
            <w:r>
              <w:rPr>
                <w:rFonts w:ascii="宋体" w:hAnsi="宋体" w:cs="宋体" w:eastAsia="宋体" w:hint="default"/>
                <w:sz w:val="15"/>
                <w:szCs w:val="15"/>
              </w:rPr>
              <w:t>回款</w:t>
            </w:r>
            <w:r>
              <w:rPr>
                <w:rFonts w:ascii="宋体" w:hAnsi="宋体" w:cs="宋体" w:eastAsia="宋体" w:hint="default"/>
                <w:spacing w:val="-40"/>
                <w:sz w:val="15"/>
                <w:szCs w:val="15"/>
              </w:rPr>
              <w:t> </w:t>
            </w:r>
            <w:r>
              <w:rPr>
                <w:rFonts w:ascii="Arial" w:hAnsi="Arial" w:cs="Arial" w:eastAsia="Arial" w:hint="default"/>
                <w:sz w:val="15"/>
                <w:szCs w:val="15"/>
              </w:rPr>
              <w:t>47,690</w:t>
            </w:r>
            <w:r>
              <w:rPr>
                <w:rFonts w:ascii="Arial" w:hAnsi="Arial" w:cs="Arial" w:eastAsia="Arial" w:hint="default"/>
                <w:spacing w:val="-5"/>
                <w:sz w:val="15"/>
                <w:szCs w:val="15"/>
              </w:rPr>
              <w:t> </w:t>
            </w:r>
            <w:r>
              <w:rPr>
                <w:rFonts w:ascii="宋体" w:hAnsi="宋体" w:cs="宋体" w:eastAsia="宋体" w:hint="default"/>
                <w:sz w:val="15"/>
                <w:szCs w:val="15"/>
              </w:rPr>
              <w:t>元。由于</w:t>
            </w:r>
          </w:p>
          <w:p>
            <w:pPr>
              <w:pStyle w:val="TableParagraph"/>
              <w:spacing w:line="194" w:lineRule="exact" w:before="2"/>
              <w:ind w:left="4" w:right="24"/>
              <w:jc w:val="left"/>
              <w:rPr>
                <w:rFonts w:ascii="宋体" w:hAnsi="宋体" w:cs="宋体" w:eastAsia="宋体" w:hint="default"/>
                <w:sz w:val="15"/>
                <w:szCs w:val="15"/>
              </w:rPr>
            </w:pPr>
            <w:r>
              <w:rPr>
                <w:rFonts w:ascii="宋体" w:hAnsi="宋体" w:cs="宋体" w:eastAsia="宋体" w:hint="default"/>
                <w:sz w:val="15"/>
                <w:szCs w:val="15"/>
              </w:rPr>
              <w:t>找不到被执行人也无</w:t>
            </w:r>
            <w:r>
              <w:rPr>
                <w:rFonts w:ascii="宋体" w:hAnsi="宋体" w:cs="宋体" w:eastAsia="宋体" w:hint="default"/>
                <w:w w:val="100"/>
                <w:sz w:val="15"/>
                <w:szCs w:val="15"/>
              </w:rPr>
              <w:t> </w:t>
            </w:r>
            <w:r>
              <w:rPr>
                <w:rFonts w:ascii="宋体" w:hAnsi="宋体" w:cs="宋体" w:eastAsia="宋体" w:hint="default"/>
                <w:sz w:val="15"/>
                <w:szCs w:val="15"/>
              </w:rPr>
              <w:t>可供执行财产，</w:t>
            </w:r>
            <w:r>
              <w:rPr>
                <w:rFonts w:ascii="Arial" w:hAnsi="Arial" w:cs="Arial" w:eastAsia="Arial" w:hint="default"/>
                <w:sz w:val="15"/>
                <w:szCs w:val="15"/>
              </w:rPr>
              <w:t>2016</w:t>
            </w:r>
            <w:r>
              <w:rPr>
                <w:rFonts w:ascii="Arial" w:hAnsi="Arial" w:cs="Arial" w:eastAsia="Arial" w:hint="default"/>
                <w:spacing w:val="-1"/>
                <w:w w:val="100"/>
                <w:sz w:val="15"/>
                <w:szCs w:val="15"/>
              </w:rPr>
              <w:t> </w:t>
            </w:r>
            <w:r>
              <w:rPr>
                <w:rFonts w:ascii="宋体" w:hAnsi="宋体" w:cs="宋体" w:eastAsia="宋体" w:hint="default"/>
                <w:spacing w:val="-4"/>
                <w:sz w:val="15"/>
                <w:szCs w:val="15"/>
              </w:rPr>
              <w:t>年已终结本次执行。待</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被执行人有可供执行</w:t>
            </w:r>
            <w:r>
              <w:rPr>
                <w:rFonts w:ascii="宋体" w:hAnsi="宋体" w:cs="宋体" w:eastAsia="宋体" w:hint="default"/>
                <w:w w:val="100"/>
                <w:sz w:val="15"/>
                <w:szCs w:val="15"/>
              </w:rPr>
              <w:t> </w:t>
            </w:r>
            <w:r>
              <w:rPr>
                <w:rFonts w:ascii="宋体" w:hAnsi="宋体" w:cs="宋体" w:eastAsia="宋体" w:hint="default"/>
                <w:sz w:val="15"/>
                <w:szCs w:val="15"/>
              </w:rPr>
              <w:t>财产再恢复执行。</w:t>
            </w:r>
          </w:p>
        </w:tc>
      </w:tr>
      <w:tr>
        <w:trPr>
          <w:trHeight w:val="1760" w:hRule="exact"/>
        </w:trPr>
        <w:tc>
          <w:tcPr>
            <w:tcW w:w="612" w:type="dxa"/>
            <w:tcBorders>
              <w:top w:val="single" w:sz="4" w:space="0" w:color="41B7EE"/>
              <w:left w:val="nil" w:sz="6" w:space="0" w:color="auto"/>
              <w:bottom w:val="single" w:sz="4"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left="28" w:right="123"/>
              <w:jc w:val="both"/>
              <w:rPr>
                <w:rFonts w:ascii="宋体" w:hAnsi="宋体" w:cs="宋体" w:eastAsia="宋体" w:hint="default"/>
                <w:sz w:val="15"/>
                <w:szCs w:val="15"/>
              </w:rPr>
            </w:pPr>
            <w:r>
              <w:rPr>
                <w:rFonts w:ascii="宋体" w:hAnsi="宋体" w:cs="宋体" w:eastAsia="宋体" w:hint="default"/>
                <w:sz w:val="15"/>
                <w:szCs w:val="15"/>
              </w:rPr>
              <w:t>北大荒</w:t>
            </w:r>
            <w:r>
              <w:rPr>
                <w:rFonts w:ascii="宋体" w:hAnsi="宋体" w:cs="宋体" w:eastAsia="宋体" w:hint="default"/>
                <w:spacing w:val="-72"/>
                <w:sz w:val="15"/>
                <w:szCs w:val="15"/>
              </w:rPr>
              <w:t> </w:t>
            </w:r>
            <w:r>
              <w:rPr>
                <w:rFonts w:ascii="宋体" w:hAnsi="宋体" w:cs="宋体" w:eastAsia="宋体" w:hint="default"/>
                <w:sz w:val="15"/>
                <w:szCs w:val="15"/>
              </w:rPr>
              <w:t>龙垦麦</w:t>
            </w:r>
            <w:r>
              <w:rPr>
                <w:rFonts w:ascii="宋体" w:hAnsi="宋体" w:cs="宋体" w:eastAsia="宋体" w:hint="default"/>
                <w:spacing w:val="-72"/>
                <w:sz w:val="15"/>
                <w:szCs w:val="15"/>
              </w:rPr>
              <w:t> </w:t>
            </w:r>
            <w:r>
              <w:rPr>
                <w:rFonts w:ascii="宋体" w:hAnsi="宋体" w:cs="宋体" w:eastAsia="宋体" w:hint="default"/>
                <w:sz w:val="15"/>
                <w:szCs w:val="15"/>
              </w:rPr>
              <w:t>芽有限</w:t>
            </w:r>
            <w:r>
              <w:rPr>
                <w:rFonts w:ascii="宋体" w:hAnsi="宋体" w:cs="宋体" w:eastAsia="宋体" w:hint="default"/>
                <w:spacing w:val="-72"/>
                <w:sz w:val="15"/>
                <w:szCs w:val="15"/>
              </w:rPr>
              <w:t> </w:t>
            </w:r>
            <w:r>
              <w:rPr>
                <w:rFonts w:ascii="宋体" w:hAnsi="宋体" w:cs="宋体" w:eastAsia="宋体" w:hint="default"/>
                <w:sz w:val="15"/>
                <w:szCs w:val="15"/>
              </w:rPr>
              <w:t>公司</w:t>
            </w:r>
          </w:p>
        </w:tc>
        <w:tc>
          <w:tcPr>
            <w:tcW w:w="64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21" w:right="158"/>
              <w:jc w:val="both"/>
              <w:rPr>
                <w:rFonts w:ascii="宋体" w:hAnsi="宋体" w:cs="宋体" w:eastAsia="宋体" w:hint="default"/>
                <w:sz w:val="15"/>
                <w:szCs w:val="15"/>
              </w:rPr>
            </w:pPr>
            <w:r>
              <w:rPr>
                <w:rFonts w:ascii="宋体" w:hAnsi="宋体" w:cs="宋体" w:eastAsia="宋体" w:hint="default"/>
                <w:sz w:val="15"/>
                <w:szCs w:val="15"/>
              </w:rPr>
              <w:t>黑龙江</w:t>
            </w:r>
            <w:r>
              <w:rPr>
                <w:rFonts w:ascii="宋体" w:hAnsi="宋体" w:cs="宋体" w:eastAsia="宋体" w:hint="default"/>
                <w:spacing w:val="-72"/>
                <w:sz w:val="15"/>
                <w:szCs w:val="15"/>
              </w:rPr>
              <w:t> </w:t>
            </w:r>
            <w:r>
              <w:rPr>
                <w:rFonts w:ascii="宋体" w:hAnsi="宋体" w:cs="宋体" w:eastAsia="宋体" w:hint="default"/>
                <w:sz w:val="15"/>
                <w:szCs w:val="15"/>
              </w:rPr>
              <w:t>省康尔</w:t>
            </w:r>
            <w:r>
              <w:rPr>
                <w:rFonts w:ascii="宋体" w:hAnsi="宋体" w:cs="宋体" w:eastAsia="宋体" w:hint="default"/>
                <w:spacing w:val="-72"/>
                <w:sz w:val="15"/>
                <w:szCs w:val="15"/>
              </w:rPr>
              <w:t> </w:t>
            </w:r>
            <w:r>
              <w:rPr>
                <w:rFonts w:ascii="宋体" w:hAnsi="宋体" w:cs="宋体" w:eastAsia="宋体" w:hint="default"/>
                <w:sz w:val="15"/>
                <w:szCs w:val="15"/>
              </w:rPr>
              <w:t>麦动物</w:t>
            </w:r>
            <w:r>
              <w:rPr>
                <w:rFonts w:ascii="宋体" w:hAnsi="宋体" w:cs="宋体" w:eastAsia="宋体" w:hint="default"/>
                <w:spacing w:val="-72"/>
                <w:sz w:val="15"/>
                <w:szCs w:val="15"/>
              </w:rPr>
              <w:t> </w:t>
            </w:r>
            <w:r>
              <w:rPr>
                <w:rFonts w:ascii="宋体" w:hAnsi="宋体" w:cs="宋体" w:eastAsia="宋体" w:hint="default"/>
                <w:sz w:val="15"/>
                <w:szCs w:val="15"/>
              </w:rPr>
              <w:t>营养科</w:t>
            </w:r>
            <w:r>
              <w:rPr>
                <w:rFonts w:ascii="宋体" w:hAnsi="宋体" w:cs="宋体" w:eastAsia="宋体" w:hint="default"/>
                <w:spacing w:val="-72"/>
                <w:sz w:val="15"/>
                <w:szCs w:val="15"/>
              </w:rPr>
              <w:t> </w:t>
            </w:r>
            <w:r>
              <w:rPr>
                <w:rFonts w:ascii="宋体" w:hAnsi="宋体" w:cs="宋体" w:eastAsia="宋体" w:hint="default"/>
                <w:sz w:val="15"/>
                <w:szCs w:val="15"/>
              </w:rPr>
              <w:t>技有限</w:t>
            </w:r>
            <w:r>
              <w:rPr>
                <w:rFonts w:ascii="宋体" w:hAnsi="宋体" w:cs="宋体" w:eastAsia="宋体" w:hint="default"/>
                <w:spacing w:val="-72"/>
                <w:sz w:val="15"/>
                <w:szCs w:val="15"/>
              </w:rPr>
              <w:t> </w:t>
            </w:r>
            <w:r>
              <w:rPr>
                <w:rFonts w:ascii="宋体" w:hAnsi="宋体" w:cs="宋体" w:eastAsia="宋体" w:hint="default"/>
                <w:sz w:val="15"/>
                <w:szCs w:val="15"/>
              </w:rPr>
              <w:t>公司</w:t>
            </w:r>
          </w:p>
        </w:tc>
        <w:tc>
          <w:tcPr>
            <w:tcW w:w="7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left="24" w:right="0"/>
              <w:jc w:val="left"/>
              <w:rPr>
                <w:rFonts w:ascii="宋体" w:hAnsi="宋体" w:cs="宋体" w:eastAsia="宋体" w:hint="default"/>
                <w:sz w:val="15"/>
                <w:szCs w:val="15"/>
              </w:rPr>
            </w:pPr>
            <w:r>
              <w:rPr>
                <w:rFonts w:ascii="宋体"/>
                <w:w w:val="100"/>
                <w:sz w:val="15"/>
              </w:rPr>
              <w:t> </w:t>
            </w:r>
          </w:p>
        </w:tc>
        <w:tc>
          <w:tcPr>
            <w:tcW w:w="60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0"/>
              <w:ind w:left="23" w:right="0"/>
              <w:jc w:val="left"/>
              <w:rPr>
                <w:rFonts w:ascii="宋体" w:hAnsi="宋体" w:cs="宋体" w:eastAsia="宋体" w:hint="default"/>
                <w:sz w:val="15"/>
                <w:szCs w:val="15"/>
              </w:rPr>
            </w:pPr>
            <w:r>
              <w:rPr>
                <w:rFonts w:ascii="宋体" w:hAnsi="宋体" w:cs="宋体" w:eastAsia="宋体" w:hint="default"/>
                <w:sz w:val="15"/>
                <w:szCs w:val="15"/>
              </w:rPr>
              <w:t>诉讼</w:t>
            </w:r>
          </w:p>
        </w:tc>
        <w:tc>
          <w:tcPr>
            <w:tcW w:w="227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32" w:lineRule="auto" w:before="100"/>
              <w:ind w:left="23" w:right="20"/>
              <w:jc w:val="left"/>
              <w:rPr>
                <w:rFonts w:ascii="宋体" w:hAnsi="宋体" w:cs="宋体" w:eastAsia="宋体" w:hint="default"/>
                <w:sz w:val="15"/>
                <w:szCs w:val="15"/>
              </w:rPr>
            </w:pPr>
            <w:r>
              <w:rPr>
                <w:rFonts w:ascii="宋体" w:hAnsi="宋体" w:cs="宋体" w:eastAsia="宋体" w:hint="default"/>
                <w:sz w:val="15"/>
                <w:szCs w:val="15"/>
              </w:rPr>
              <w:t>公司与其进行大麦种植合作，因</w:t>
            </w:r>
            <w:r>
              <w:rPr>
                <w:rFonts w:ascii="宋体" w:hAnsi="宋体" w:cs="宋体" w:eastAsia="宋体" w:hint="default"/>
                <w:w w:val="100"/>
                <w:sz w:val="15"/>
                <w:szCs w:val="15"/>
              </w:rPr>
              <w:t> </w:t>
            </w:r>
            <w:r>
              <w:rPr>
                <w:rFonts w:ascii="Arial" w:hAnsi="Arial" w:cs="Arial" w:eastAsia="Arial" w:hint="default"/>
                <w:sz w:val="15"/>
                <w:szCs w:val="15"/>
              </w:rPr>
              <w:t>2012</w:t>
            </w:r>
            <w:r>
              <w:rPr>
                <w:rFonts w:ascii="Arial" w:hAnsi="Arial" w:cs="Arial" w:eastAsia="Arial" w:hint="default"/>
                <w:spacing w:val="-7"/>
                <w:sz w:val="15"/>
                <w:szCs w:val="15"/>
              </w:rPr>
              <w:t> </w:t>
            </w:r>
            <w:r>
              <w:rPr>
                <w:rFonts w:ascii="宋体" w:hAnsi="宋体" w:cs="宋体" w:eastAsia="宋体" w:hint="default"/>
                <w:sz w:val="15"/>
                <w:szCs w:val="15"/>
              </w:rPr>
              <w:t>年自然状况影响其农业受</w:t>
            </w:r>
            <w:r>
              <w:rPr>
                <w:rFonts w:ascii="宋体" w:hAnsi="宋体" w:cs="宋体" w:eastAsia="宋体" w:hint="default"/>
                <w:w w:val="100"/>
                <w:sz w:val="15"/>
                <w:szCs w:val="15"/>
              </w:rPr>
              <w:t> </w:t>
            </w:r>
            <w:r>
              <w:rPr>
                <w:rFonts w:ascii="宋体" w:hAnsi="宋体" w:cs="宋体" w:eastAsia="宋体" w:hint="default"/>
                <w:spacing w:val="-4"/>
                <w:sz w:val="15"/>
                <w:szCs w:val="15"/>
              </w:rPr>
              <w:t>灾，导致大麦减产，无法偿还大麦</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种植款项共计</w:t>
            </w:r>
            <w:r>
              <w:rPr>
                <w:rFonts w:ascii="宋体" w:hAnsi="宋体" w:cs="宋体" w:eastAsia="宋体" w:hint="default"/>
                <w:spacing w:val="-39"/>
                <w:sz w:val="15"/>
                <w:szCs w:val="15"/>
              </w:rPr>
              <w:t> </w:t>
            </w:r>
            <w:r>
              <w:rPr>
                <w:rFonts w:ascii="Arial" w:hAnsi="Arial" w:cs="Arial" w:eastAsia="Arial" w:hint="default"/>
                <w:sz w:val="15"/>
                <w:szCs w:val="15"/>
              </w:rPr>
              <w:t>841</w:t>
            </w:r>
            <w:r>
              <w:rPr>
                <w:rFonts w:ascii="Arial" w:hAnsi="Arial" w:cs="Arial" w:eastAsia="Arial" w:hint="default"/>
                <w:spacing w:val="-6"/>
                <w:sz w:val="15"/>
                <w:szCs w:val="15"/>
              </w:rPr>
              <w:t> </w:t>
            </w:r>
            <w:r>
              <w:rPr>
                <w:rFonts w:ascii="宋体" w:hAnsi="宋体" w:cs="宋体" w:eastAsia="宋体" w:hint="default"/>
                <w:sz w:val="15"/>
                <w:szCs w:val="15"/>
              </w:rPr>
              <w:t>万元。</w:t>
            </w:r>
          </w:p>
        </w:tc>
        <w:tc>
          <w:tcPr>
            <w:tcW w:w="135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right="19"/>
              <w:jc w:val="right"/>
              <w:rPr>
                <w:rFonts w:ascii="Arial" w:hAnsi="Arial" w:cs="Arial" w:eastAsia="Arial" w:hint="default"/>
                <w:sz w:val="15"/>
                <w:szCs w:val="15"/>
              </w:rPr>
            </w:pPr>
            <w:r>
              <w:rPr>
                <w:rFonts w:ascii="Arial"/>
                <w:spacing w:val="-1"/>
                <w:sz w:val="15"/>
              </w:rPr>
              <w:t>8,410,000</w:t>
            </w:r>
          </w:p>
        </w:tc>
        <w:tc>
          <w:tcPr>
            <w:tcW w:w="838" w:type="dxa"/>
            <w:tcBorders>
              <w:top w:val="single" w:sz="4" w:space="0" w:color="41B7EE"/>
              <w:left w:val="single" w:sz="4" w:space="0" w:color="41B7EE"/>
              <w:bottom w:val="single" w:sz="4" w:space="0" w:color="41B7EE"/>
              <w:right w:val="single" w:sz="4" w:space="0" w:color="41B7EE"/>
            </w:tcBorders>
          </w:tcPr>
          <w:p>
            <w:pPr/>
          </w:p>
        </w:tc>
        <w:tc>
          <w:tcPr>
            <w:tcW w:w="242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194" w:lineRule="exact"/>
              <w:ind w:left="23" w:right="17"/>
              <w:jc w:val="left"/>
              <w:rPr>
                <w:rFonts w:ascii="宋体" w:hAnsi="宋体" w:cs="宋体" w:eastAsia="宋体" w:hint="default"/>
                <w:sz w:val="15"/>
                <w:szCs w:val="15"/>
              </w:rPr>
            </w:pPr>
            <w:r>
              <w:rPr>
                <w:rFonts w:ascii="宋体" w:hAnsi="宋体" w:cs="宋体" w:eastAsia="宋体" w:hint="default"/>
                <w:spacing w:val="-5"/>
                <w:sz w:val="15"/>
                <w:szCs w:val="15"/>
              </w:rPr>
              <w:t>农垦中院经审理作出（</w:t>
            </w:r>
            <w:r>
              <w:rPr>
                <w:rFonts w:ascii="Arial" w:hAnsi="Arial" w:cs="Arial" w:eastAsia="Arial" w:hint="default"/>
                <w:spacing w:val="-5"/>
                <w:sz w:val="15"/>
                <w:szCs w:val="15"/>
              </w:rPr>
              <w:t>2013</w:t>
            </w:r>
            <w:r>
              <w:rPr>
                <w:rFonts w:ascii="宋体" w:hAnsi="宋体" w:cs="宋体" w:eastAsia="宋体" w:hint="default"/>
                <w:spacing w:val="-5"/>
                <w:sz w:val="15"/>
                <w:szCs w:val="15"/>
              </w:rPr>
              <w:t>）垦民初</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z w:val="15"/>
                <w:szCs w:val="15"/>
              </w:rPr>
              <w:t>字第</w:t>
            </w:r>
            <w:r>
              <w:rPr>
                <w:rFonts w:ascii="宋体" w:hAnsi="宋体" w:cs="宋体" w:eastAsia="宋体" w:hint="default"/>
                <w:spacing w:val="-38"/>
                <w:sz w:val="15"/>
                <w:szCs w:val="15"/>
              </w:rPr>
              <w:t> </w:t>
            </w:r>
            <w:r>
              <w:rPr>
                <w:rFonts w:ascii="Arial" w:hAnsi="Arial" w:cs="Arial" w:eastAsia="Arial" w:hint="default"/>
                <w:sz w:val="15"/>
                <w:szCs w:val="15"/>
              </w:rPr>
              <w:t>12</w:t>
            </w:r>
            <w:r>
              <w:rPr>
                <w:rFonts w:ascii="Arial" w:hAnsi="Arial" w:cs="Arial" w:eastAsia="Arial" w:hint="default"/>
                <w:spacing w:val="-5"/>
                <w:sz w:val="15"/>
                <w:szCs w:val="15"/>
              </w:rPr>
              <w:t> </w:t>
            </w:r>
            <w:r>
              <w:rPr>
                <w:rFonts w:ascii="宋体" w:hAnsi="宋体" w:cs="宋体" w:eastAsia="宋体" w:hint="default"/>
                <w:sz w:val="15"/>
                <w:szCs w:val="15"/>
              </w:rPr>
              <w:t>号民事判决书。被告上诉至</w:t>
            </w:r>
          </w:p>
          <w:p>
            <w:pPr>
              <w:pStyle w:val="TableParagraph"/>
              <w:spacing w:line="181" w:lineRule="exact"/>
              <w:ind w:left="23" w:right="0"/>
              <w:jc w:val="left"/>
              <w:rPr>
                <w:rFonts w:ascii="Arial" w:hAnsi="Arial" w:cs="Arial" w:eastAsia="Arial" w:hint="default"/>
                <w:sz w:val="15"/>
                <w:szCs w:val="15"/>
              </w:rPr>
            </w:pPr>
            <w:r>
              <w:rPr>
                <w:rFonts w:ascii="宋体" w:hAnsi="宋体" w:cs="宋体" w:eastAsia="宋体" w:hint="default"/>
                <w:sz w:val="15"/>
                <w:szCs w:val="15"/>
              </w:rPr>
              <w:t>黑龙江省高级人民法院，</w:t>
            </w:r>
            <w:r>
              <w:rPr>
                <w:rFonts w:ascii="Arial" w:hAnsi="Arial" w:cs="Arial" w:eastAsia="Arial" w:hint="default"/>
                <w:sz w:val="15"/>
                <w:szCs w:val="15"/>
              </w:rPr>
              <w:t>2014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Arial" w:hAnsi="Arial" w:cs="Arial" w:eastAsia="Arial" w:hint="default"/>
                <w:sz w:val="15"/>
                <w:szCs w:val="15"/>
              </w:rPr>
              <w:t>1</w:t>
            </w:r>
          </w:p>
          <w:p>
            <w:pPr>
              <w:pStyle w:val="TableParagraph"/>
              <w:spacing w:line="194" w:lineRule="exact" w:before="13"/>
              <w:ind w:left="23" w:right="62"/>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7</w:t>
            </w:r>
            <w:r>
              <w:rPr>
                <w:rFonts w:ascii="Arial" w:hAnsi="Arial" w:cs="Arial" w:eastAsia="Arial" w:hint="default"/>
                <w:spacing w:val="-6"/>
                <w:sz w:val="15"/>
                <w:szCs w:val="15"/>
              </w:rPr>
              <w:t> </w:t>
            </w:r>
            <w:r>
              <w:rPr>
                <w:rFonts w:ascii="宋体" w:hAnsi="宋体" w:cs="宋体" w:eastAsia="宋体" w:hint="default"/>
                <w:sz w:val="15"/>
                <w:szCs w:val="15"/>
              </w:rPr>
              <w:t>日省高院开庭审理。</w:t>
            </w:r>
            <w:r>
              <w:rPr>
                <w:rFonts w:ascii="Arial" w:hAnsi="Arial" w:cs="Arial" w:eastAsia="Arial" w:hint="default"/>
                <w:sz w:val="15"/>
                <w:szCs w:val="15"/>
              </w:rPr>
              <w:t>2</w:t>
            </w:r>
            <w:r>
              <w:rPr>
                <w:rFonts w:ascii="Arial" w:hAnsi="Arial" w:cs="Arial" w:eastAsia="Arial" w:hint="default"/>
                <w:spacing w:val="-4"/>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Arial" w:hAnsi="Arial" w:cs="Arial" w:eastAsia="Arial" w:hint="default"/>
                <w:sz w:val="15"/>
                <w:szCs w:val="15"/>
              </w:rPr>
              <w:t>17</w:t>
            </w:r>
            <w:r>
              <w:rPr>
                <w:rFonts w:ascii="Arial" w:hAnsi="Arial" w:cs="Arial" w:eastAsia="Arial" w:hint="default"/>
                <w:spacing w:val="-6"/>
                <w:sz w:val="15"/>
                <w:szCs w:val="15"/>
              </w:rPr>
              <w:t> </w:t>
            </w:r>
            <w:r>
              <w:rPr>
                <w:rFonts w:ascii="宋体" w:hAnsi="宋体" w:cs="宋体" w:eastAsia="宋体" w:hint="default"/>
                <w:sz w:val="15"/>
                <w:szCs w:val="15"/>
              </w:rPr>
              <w:t>日</w:t>
            </w:r>
            <w:r>
              <w:rPr>
                <w:rFonts w:ascii="宋体" w:hAnsi="宋体" w:cs="宋体" w:eastAsia="宋体" w:hint="default"/>
                <w:w w:val="100"/>
                <w:sz w:val="15"/>
                <w:szCs w:val="15"/>
              </w:rPr>
              <w:t> </w:t>
            </w:r>
            <w:r>
              <w:rPr>
                <w:rFonts w:ascii="宋体" w:hAnsi="宋体" w:cs="宋体" w:eastAsia="宋体" w:hint="default"/>
                <w:sz w:val="15"/>
                <w:szCs w:val="15"/>
              </w:rPr>
              <w:t>高院作出判决。</w:t>
            </w:r>
          </w:p>
        </w:tc>
        <w:tc>
          <w:tcPr>
            <w:tcW w:w="2870" w:type="dxa"/>
            <w:tcBorders>
              <w:top w:val="single" w:sz="4" w:space="0" w:color="41B7EE"/>
              <w:left w:val="single" w:sz="4" w:space="0" w:color="41B7EE"/>
              <w:bottom w:val="single" w:sz="4" w:space="0" w:color="41B7EE"/>
              <w:right w:val="single" w:sz="9" w:space="0" w:color="FFFFFF"/>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01" w:lineRule="exact"/>
              <w:ind w:left="24" w:right="0"/>
              <w:jc w:val="left"/>
              <w:rPr>
                <w:rFonts w:ascii="宋体" w:hAnsi="宋体" w:cs="宋体" w:eastAsia="宋体" w:hint="default"/>
                <w:sz w:val="15"/>
                <w:szCs w:val="15"/>
              </w:rPr>
            </w:pPr>
            <w:r>
              <w:rPr>
                <w:rFonts w:ascii="宋体" w:hAnsi="宋体" w:cs="宋体" w:eastAsia="宋体" w:hint="default"/>
                <w:w w:val="100"/>
                <w:sz w:val="15"/>
                <w:szCs w:val="15"/>
              </w:rPr>
              <w:t>一审</w:t>
            </w:r>
            <w:r>
              <w:rPr>
                <w:rFonts w:ascii="宋体" w:hAnsi="宋体" w:cs="宋体" w:eastAsia="宋体" w:hint="default"/>
                <w:spacing w:val="-3"/>
                <w:w w:val="100"/>
                <w:sz w:val="15"/>
                <w:szCs w:val="15"/>
              </w:rPr>
              <w:t>判</w:t>
            </w:r>
            <w:r>
              <w:rPr>
                <w:rFonts w:ascii="宋体" w:hAnsi="宋体" w:cs="宋体" w:eastAsia="宋体" w:hint="default"/>
                <w:w w:val="100"/>
                <w:sz w:val="15"/>
                <w:szCs w:val="15"/>
              </w:rPr>
              <w:t>决</w:t>
            </w:r>
            <w:r>
              <w:rPr>
                <w:rFonts w:ascii="宋体" w:hAnsi="宋体" w:cs="宋体" w:eastAsia="宋体" w:hint="default"/>
                <w:spacing w:val="-77"/>
                <w:w w:val="100"/>
                <w:sz w:val="15"/>
                <w:szCs w:val="15"/>
              </w:rPr>
              <w:t>：</w:t>
            </w:r>
            <w:r>
              <w:rPr>
                <w:rFonts w:ascii="宋体" w:hAnsi="宋体" w:cs="宋体" w:eastAsia="宋体" w:hint="default"/>
                <w:w w:val="100"/>
                <w:sz w:val="15"/>
                <w:szCs w:val="15"/>
              </w:rPr>
              <w:t>被</w:t>
            </w:r>
            <w:r>
              <w:rPr>
                <w:rFonts w:ascii="宋体" w:hAnsi="宋体" w:cs="宋体" w:eastAsia="宋体" w:hint="default"/>
                <w:spacing w:val="-3"/>
                <w:w w:val="100"/>
                <w:sz w:val="15"/>
                <w:szCs w:val="15"/>
              </w:rPr>
              <w:t>告</w:t>
            </w:r>
            <w:r>
              <w:rPr>
                <w:rFonts w:ascii="宋体" w:hAnsi="宋体" w:cs="宋体" w:eastAsia="宋体" w:hint="default"/>
                <w:w w:val="100"/>
                <w:sz w:val="15"/>
                <w:szCs w:val="15"/>
              </w:rPr>
              <w:t>给</w:t>
            </w:r>
            <w:r>
              <w:rPr>
                <w:rFonts w:ascii="宋体" w:hAnsi="宋体" w:cs="宋体" w:eastAsia="宋体" w:hint="default"/>
                <w:spacing w:val="-3"/>
                <w:w w:val="100"/>
                <w:sz w:val="15"/>
                <w:szCs w:val="15"/>
              </w:rPr>
              <w:t>付</w:t>
            </w:r>
            <w:r>
              <w:rPr>
                <w:rFonts w:ascii="宋体" w:hAnsi="宋体" w:cs="宋体" w:eastAsia="宋体" w:hint="default"/>
                <w:w w:val="100"/>
                <w:sz w:val="15"/>
                <w:szCs w:val="15"/>
              </w:rPr>
              <w:t>原</w:t>
            </w:r>
            <w:r>
              <w:rPr>
                <w:rFonts w:ascii="宋体" w:hAnsi="宋体" w:cs="宋体" w:eastAsia="宋体" w:hint="default"/>
                <w:spacing w:val="-3"/>
                <w:w w:val="100"/>
                <w:sz w:val="15"/>
                <w:szCs w:val="15"/>
              </w:rPr>
              <w:t>告</w:t>
            </w:r>
            <w:r>
              <w:rPr>
                <w:rFonts w:ascii="宋体" w:hAnsi="宋体" w:cs="宋体" w:eastAsia="宋体" w:hint="default"/>
                <w:w w:val="100"/>
                <w:sz w:val="15"/>
                <w:szCs w:val="15"/>
              </w:rPr>
              <w:t>大</w:t>
            </w:r>
            <w:r>
              <w:rPr>
                <w:rFonts w:ascii="宋体" w:hAnsi="宋体" w:cs="宋体" w:eastAsia="宋体" w:hint="default"/>
                <w:spacing w:val="-3"/>
                <w:w w:val="100"/>
                <w:sz w:val="15"/>
                <w:szCs w:val="15"/>
              </w:rPr>
              <w:t>麦</w:t>
            </w:r>
            <w:r>
              <w:rPr>
                <w:rFonts w:ascii="宋体" w:hAnsi="宋体" w:cs="宋体" w:eastAsia="宋体" w:hint="default"/>
                <w:w w:val="100"/>
                <w:sz w:val="15"/>
                <w:szCs w:val="15"/>
              </w:rPr>
              <w:t>款</w:t>
            </w:r>
            <w:r>
              <w:rPr>
                <w:rFonts w:ascii="宋体" w:hAnsi="宋体" w:cs="宋体" w:eastAsia="宋体" w:hint="default"/>
                <w:spacing w:val="-36"/>
                <w:sz w:val="15"/>
                <w:szCs w:val="15"/>
              </w:rPr>
              <w:t> </w:t>
            </w:r>
            <w:r>
              <w:rPr>
                <w:rFonts w:ascii="Arial" w:hAnsi="Arial" w:cs="Arial" w:eastAsia="Arial" w:hint="default"/>
                <w:spacing w:val="-3"/>
                <w:w w:val="100"/>
                <w:sz w:val="15"/>
                <w:szCs w:val="15"/>
              </w:rPr>
              <w:t>8</w:t>
            </w:r>
            <w:r>
              <w:rPr>
                <w:rFonts w:ascii="Arial" w:hAnsi="Arial" w:cs="Arial" w:eastAsia="Arial" w:hint="default"/>
                <w:w w:val="100"/>
                <w:sz w:val="15"/>
                <w:szCs w:val="15"/>
              </w:rPr>
              <w:t>41</w:t>
            </w:r>
            <w:r>
              <w:rPr>
                <w:rFonts w:ascii="Arial" w:hAnsi="Arial" w:cs="Arial" w:eastAsia="Arial" w:hint="default"/>
                <w:spacing w:val="-6"/>
                <w:sz w:val="15"/>
                <w:szCs w:val="15"/>
              </w:rPr>
              <w:t> </w:t>
            </w:r>
            <w:r>
              <w:rPr>
                <w:rFonts w:ascii="宋体" w:hAnsi="宋体" w:cs="宋体" w:eastAsia="宋体" w:hint="default"/>
                <w:w w:val="100"/>
                <w:sz w:val="15"/>
                <w:szCs w:val="15"/>
              </w:rPr>
              <w:t>万元及</w:t>
            </w:r>
          </w:p>
          <w:p>
            <w:pPr>
              <w:pStyle w:val="TableParagraph"/>
              <w:spacing w:line="232" w:lineRule="auto"/>
              <w:ind w:left="24" w:right="-27"/>
              <w:jc w:val="left"/>
              <w:rPr>
                <w:rFonts w:ascii="宋体" w:hAnsi="宋体" w:cs="宋体" w:eastAsia="宋体" w:hint="default"/>
                <w:sz w:val="15"/>
                <w:szCs w:val="15"/>
              </w:rPr>
            </w:pPr>
            <w:r>
              <w:rPr>
                <w:rFonts w:ascii="宋体" w:hAnsi="宋体" w:cs="宋体" w:eastAsia="宋体" w:hint="default"/>
                <w:sz w:val="15"/>
                <w:szCs w:val="15"/>
              </w:rPr>
              <w:t>利息</w:t>
            </w:r>
            <w:r>
              <w:rPr>
                <w:rFonts w:ascii="Arial" w:hAnsi="Arial" w:cs="Arial" w:eastAsia="Arial" w:hint="default"/>
                <w:sz w:val="15"/>
                <w:szCs w:val="15"/>
              </w:rPr>
              <w:t>-2012</w:t>
            </w:r>
            <w:r>
              <w:rPr>
                <w:rFonts w:ascii="Arial" w:hAnsi="Arial" w:cs="Arial" w:eastAsia="Arial" w:hint="default"/>
                <w:spacing w:val="-2"/>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w:hAnsi="Arial" w:cs="Arial" w:eastAsia="Arial" w:hint="default"/>
                <w:sz w:val="15"/>
                <w:szCs w:val="15"/>
              </w:rPr>
              <w:t>12</w:t>
            </w:r>
            <w:r>
              <w:rPr>
                <w:rFonts w:ascii="Arial" w:hAnsi="Arial" w:cs="Arial" w:eastAsia="Arial" w:hint="default"/>
                <w:spacing w:val="-4"/>
                <w:sz w:val="15"/>
                <w:szCs w:val="15"/>
              </w:rPr>
              <w:t> </w:t>
            </w:r>
            <w:r>
              <w:rPr>
                <w:rFonts w:ascii="宋体" w:hAnsi="宋体" w:cs="宋体" w:eastAsia="宋体" w:hint="default"/>
                <w:sz w:val="15"/>
                <w:szCs w:val="15"/>
              </w:rPr>
              <w:t>月</w:t>
            </w:r>
            <w:r>
              <w:rPr>
                <w:rFonts w:ascii="宋体" w:hAnsi="宋体" w:cs="宋体" w:eastAsia="宋体" w:hint="default"/>
                <w:spacing w:val="-34"/>
                <w:sz w:val="15"/>
                <w:szCs w:val="15"/>
              </w:rPr>
              <w:t> </w:t>
            </w:r>
            <w:r>
              <w:rPr>
                <w:rFonts w:ascii="Arial" w:hAnsi="Arial" w:cs="Arial" w:eastAsia="Arial" w:hint="default"/>
                <w:sz w:val="15"/>
                <w:szCs w:val="15"/>
              </w:rPr>
              <w:t>31</w:t>
            </w:r>
            <w:r>
              <w:rPr>
                <w:rFonts w:ascii="Arial" w:hAnsi="Arial" w:cs="Arial" w:eastAsia="Arial" w:hint="default"/>
                <w:spacing w:val="-2"/>
                <w:sz w:val="15"/>
                <w:szCs w:val="15"/>
              </w:rPr>
              <w:t> </w:t>
            </w:r>
            <w:r>
              <w:rPr>
                <w:rFonts w:ascii="宋体" w:hAnsi="宋体" w:cs="宋体" w:eastAsia="宋体" w:hint="default"/>
                <w:spacing w:val="-8"/>
                <w:sz w:val="15"/>
                <w:szCs w:val="15"/>
              </w:rPr>
              <w:t>日至实际给付日；未</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pacing w:val="-4"/>
                <w:sz w:val="15"/>
                <w:szCs w:val="15"/>
              </w:rPr>
              <w:t>按判决指定期限给付利息加倍；案件受理费</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pacing w:val="-9"/>
                <w:sz w:val="15"/>
                <w:szCs w:val="15"/>
              </w:rPr>
              <w:t>被告承担。二审判决：驳回上诉，维持原判，</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案件受理费</w:t>
            </w:r>
            <w:r>
              <w:rPr>
                <w:rFonts w:ascii="宋体" w:hAnsi="宋体" w:cs="宋体" w:eastAsia="宋体" w:hint="default"/>
                <w:spacing w:val="-39"/>
                <w:sz w:val="15"/>
                <w:szCs w:val="15"/>
              </w:rPr>
              <w:t> </w:t>
            </w:r>
            <w:r>
              <w:rPr>
                <w:rFonts w:ascii="Arial" w:hAnsi="Arial" w:cs="Arial" w:eastAsia="Arial" w:hint="default"/>
                <w:sz w:val="15"/>
                <w:szCs w:val="15"/>
              </w:rPr>
              <w:t>70,679</w:t>
            </w:r>
            <w:r>
              <w:rPr>
                <w:rFonts w:ascii="Arial" w:hAnsi="Arial" w:cs="Arial" w:eastAsia="Arial" w:hint="default"/>
                <w:spacing w:val="-7"/>
                <w:sz w:val="15"/>
                <w:szCs w:val="15"/>
              </w:rPr>
              <w:t> </w:t>
            </w:r>
            <w:r>
              <w:rPr>
                <w:rFonts w:ascii="宋体" w:hAnsi="宋体" w:cs="宋体" w:eastAsia="宋体" w:hint="default"/>
                <w:sz w:val="15"/>
                <w:szCs w:val="15"/>
              </w:rPr>
              <w:t>元由康尔麦负担。</w:t>
            </w:r>
          </w:p>
        </w:tc>
        <w:tc>
          <w:tcPr>
            <w:tcW w:w="1518" w:type="dxa"/>
            <w:tcBorders>
              <w:top w:val="single" w:sz="4" w:space="0" w:color="41B7EE"/>
              <w:left w:val="single" w:sz="9" w:space="0" w:color="FFFFFF"/>
              <w:bottom w:val="single" w:sz="4" w:space="0" w:color="41B7EE"/>
              <w:right w:val="nil" w:sz="6" w:space="0" w:color="auto"/>
            </w:tcBorders>
          </w:tcPr>
          <w:p>
            <w:pPr>
              <w:pStyle w:val="TableParagraph"/>
              <w:spacing w:line="171" w:lineRule="exact"/>
              <w:ind w:left="4" w:right="0"/>
              <w:jc w:val="left"/>
              <w:rPr>
                <w:rFonts w:ascii="宋体" w:hAnsi="宋体" w:cs="宋体" w:eastAsia="宋体" w:hint="default"/>
                <w:sz w:val="15"/>
                <w:szCs w:val="15"/>
              </w:rPr>
            </w:pPr>
            <w:r>
              <w:rPr>
                <w:rFonts w:ascii="宋体" w:hAnsi="宋体" w:cs="宋体" w:eastAsia="宋体" w:hint="default"/>
                <w:spacing w:val="-4"/>
                <w:sz w:val="15"/>
                <w:szCs w:val="15"/>
              </w:rPr>
              <w:t>判决生效后，被告未能</w:t>
            </w:r>
          </w:p>
          <w:p>
            <w:pPr>
              <w:pStyle w:val="TableParagraph"/>
              <w:spacing w:line="235" w:lineRule="auto" w:before="2"/>
              <w:ind w:left="4" w:right="24"/>
              <w:jc w:val="left"/>
              <w:rPr>
                <w:rFonts w:ascii="宋体" w:hAnsi="宋体" w:cs="宋体" w:eastAsia="宋体" w:hint="default"/>
                <w:sz w:val="15"/>
                <w:szCs w:val="15"/>
              </w:rPr>
            </w:pPr>
            <w:r>
              <w:rPr>
                <w:rFonts w:ascii="宋体" w:hAnsi="宋体" w:cs="宋体" w:eastAsia="宋体" w:hint="default"/>
                <w:spacing w:val="-4"/>
                <w:sz w:val="15"/>
                <w:szCs w:val="15"/>
              </w:rPr>
              <w:t>履行还款义务，公司向</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pacing w:val="-4"/>
                <w:sz w:val="15"/>
                <w:szCs w:val="15"/>
              </w:rPr>
              <w:t>法院申请强制执行，被</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告偿还欠款</w:t>
            </w:r>
            <w:r>
              <w:rPr>
                <w:rFonts w:ascii="宋体" w:hAnsi="宋体" w:cs="宋体" w:eastAsia="宋体" w:hint="default"/>
                <w:spacing w:val="-38"/>
                <w:sz w:val="15"/>
                <w:szCs w:val="15"/>
              </w:rPr>
              <w:t> </w:t>
            </w:r>
            <w:r>
              <w:rPr>
                <w:rFonts w:ascii="Arial" w:hAnsi="Arial" w:cs="Arial" w:eastAsia="Arial" w:hint="default"/>
                <w:sz w:val="15"/>
                <w:szCs w:val="15"/>
              </w:rPr>
              <w:t>21</w:t>
            </w:r>
            <w:r>
              <w:rPr>
                <w:rFonts w:ascii="Arial" w:hAnsi="Arial" w:cs="Arial" w:eastAsia="Arial" w:hint="default"/>
                <w:spacing w:val="-5"/>
                <w:sz w:val="15"/>
                <w:szCs w:val="15"/>
              </w:rPr>
              <w:t> </w:t>
            </w:r>
            <w:r>
              <w:rPr>
                <w:rFonts w:ascii="宋体" w:hAnsi="宋体" w:cs="宋体" w:eastAsia="宋体" w:hint="default"/>
                <w:sz w:val="15"/>
                <w:szCs w:val="15"/>
              </w:rPr>
              <w:t>万元，</w:t>
            </w:r>
            <w:r>
              <w:rPr>
                <w:rFonts w:ascii="宋体" w:hAnsi="宋体" w:cs="宋体" w:eastAsia="宋体" w:hint="default"/>
                <w:w w:val="100"/>
                <w:sz w:val="15"/>
                <w:szCs w:val="15"/>
              </w:rPr>
              <w:t> </w:t>
            </w:r>
            <w:r>
              <w:rPr>
                <w:rFonts w:ascii="宋体" w:hAnsi="宋体" w:cs="宋体" w:eastAsia="宋体" w:hint="default"/>
                <w:sz w:val="15"/>
                <w:szCs w:val="15"/>
              </w:rPr>
              <w:t>剩余款项无可供执行</w:t>
            </w:r>
            <w:r>
              <w:rPr>
                <w:rFonts w:ascii="宋体" w:hAnsi="宋体" w:cs="宋体" w:eastAsia="宋体" w:hint="default"/>
                <w:w w:val="100"/>
                <w:sz w:val="15"/>
                <w:szCs w:val="15"/>
              </w:rPr>
              <w:t> </w:t>
            </w:r>
            <w:r>
              <w:rPr>
                <w:rFonts w:ascii="宋体" w:hAnsi="宋体" w:cs="宋体" w:eastAsia="宋体" w:hint="default"/>
                <w:spacing w:val="-4"/>
                <w:sz w:val="15"/>
                <w:szCs w:val="15"/>
              </w:rPr>
              <w:t>财产，现法院已终结本</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pacing w:val="-4"/>
                <w:sz w:val="15"/>
                <w:szCs w:val="15"/>
              </w:rPr>
              <w:t>次执行。待被执行人有</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z w:val="15"/>
                <w:szCs w:val="15"/>
              </w:rPr>
              <w:t>可供执行财产再恢复</w:t>
            </w:r>
            <w:r>
              <w:rPr>
                <w:rFonts w:ascii="宋体" w:hAnsi="宋体" w:cs="宋体" w:eastAsia="宋体" w:hint="default"/>
                <w:w w:val="100"/>
                <w:sz w:val="15"/>
                <w:szCs w:val="15"/>
              </w:rPr>
              <w:t> </w:t>
            </w:r>
            <w:r>
              <w:rPr>
                <w:rFonts w:ascii="宋体" w:hAnsi="宋体" w:cs="宋体" w:eastAsia="宋体" w:hint="default"/>
                <w:sz w:val="15"/>
                <w:szCs w:val="15"/>
              </w:rPr>
              <w:t>执行。</w:t>
            </w:r>
          </w:p>
        </w:tc>
      </w:tr>
      <w:tr>
        <w:trPr>
          <w:trHeight w:val="3109" w:hRule="exact"/>
        </w:trPr>
        <w:tc>
          <w:tcPr>
            <w:tcW w:w="612" w:type="dxa"/>
            <w:tcBorders>
              <w:top w:val="single" w:sz="4" w:space="0" w:color="41B7EE"/>
              <w:left w:val="nil" w:sz="6" w:space="0" w:color="auto"/>
              <w:bottom w:val="single" w:sz="8"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8" w:right="123"/>
              <w:jc w:val="both"/>
              <w:rPr>
                <w:rFonts w:ascii="宋体" w:hAnsi="宋体" w:cs="宋体" w:eastAsia="宋体" w:hint="default"/>
                <w:sz w:val="15"/>
                <w:szCs w:val="15"/>
              </w:rPr>
            </w:pPr>
            <w:r>
              <w:rPr>
                <w:rFonts w:ascii="宋体" w:hAnsi="宋体" w:cs="宋体" w:eastAsia="宋体" w:hint="default"/>
                <w:sz w:val="15"/>
                <w:szCs w:val="15"/>
              </w:rPr>
              <w:t>北大荒</w:t>
            </w:r>
            <w:r>
              <w:rPr>
                <w:rFonts w:ascii="宋体" w:hAnsi="宋体" w:cs="宋体" w:eastAsia="宋体" w:hint="default"/>
                <w:spacing w:val="-72"/>
                <w:sz w:val="15"/>
                <w:szCs w:val="15"/>
              </w:rPr>
              <w:t> </w:t>
            </w:r>
            <w:r>
              <w:rPr>
                <w:rFonts w:ascii="宋体" w:hAnsi="宋体" w:cs="宋体" w:eastAsia="宋体" w:hint="default"/>
                <w:sz w:val="15"/>
                <w:szCs w:val="15"/>
              </w:rPr>
              <w:t>鑫亚经</w:t>
            </w:r>
            <w:r>
              <w:rPr>
                <w:rFonts w:ascii="宋体" w:hAnsi="宋体" w:cs="宋体" w:eastAsia="宋体" w:hint="default"/>
                <w:spacing w:val="-72"/>
                <w:sz w:val="15"/>
                <w:szCs w:val="15"/>
              </w:rPr>
              <w:t> </w:t>
            </w:r>
            <w:r>
              <w:rPr>
                <w:rFonts w:ascii="宋体" w:hAnsi="宋体" w:cs="宋体" w:eastAsia="宋体" w:hint="default"/>
                <w:sz w:val="15"/>
                <w:szCs w:val="15"/>
              </w:rPr>
              <w:t>贸有限</w:t>
            </w:r>
            <w:r>
              <w:rPr>
                <w:rFonts w:ascii="宋体" w:hAnsi="宋体" w:cs="宋体" w:eastAsia="宋体" w:hint="default"/>
                <w:spacing w:val="-72"/>
                <w:sz w:val="15"/>
                <w:szCs w:val="15"/>
              </w:rPr>
              <w:t> </w:t>
            </w:r>
            <w:r>
              <w:rPr>
                <w:rFonts w:ascii="宋体" w:hAnsi="宋体" w:cs="宋体" w:eastAsia="宋体" w:hint="default"/>
                <w:sz w:val="15"/>
                <w:szCs w:val="15"/>
              </w:rPr>
              <w:t>责任公</w:t>
            </w:r>
            <w:r>
              <w:rPr>
                <w:rFonts w:ascii="宋体" w:hAnsi="宋体" w:cs="宋体" w:eastAsia="宋体" w:hint="default"/>
                <w:spacing w:val="-72"/>
                <w:sz w:val="15"/>
                <w:szCs w:val="15"/>
              </w:rPr>
              <w:t> </w:t>
            </w:r>
            <w:r>
              <w:rPr>
                <w:rFonts w:ascii="宋体" w:hAnsi="宋体" w:cs="宋体" w:eastAsia="宋体" w:hint="default"/>
                <w:sz w:val="15"/>
                <w:szCs w:val="15"/>
              </w:rPr>
              <w:t>司</w:t>
            </w:r>
          </w:p>
        </w:tc>
        <w:tc>
          <w:tcPr>
            <w:tcW w:w="646"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0"/>
              <w:ind w:left="21" w:right="19"/>
              <w:jc w:val="left"/>
              <w:rPr>
                <w:rFonts w:ascii="宋体" w:hAnsi="宋体" w:cs="宋体" w:eastAsia="宋体" w:hint="default"/>
                <w:sz w:val="15"/>
                <w:szCs w:val="15"/>
              </w:rPr>
            </w:pPr>
            <w:r>
              <w:rPr>
                <w:rFonts w:ascii="宋体" w:hAnsi="宋体" w:cs="宋体" w:eastAsia="宋体" w:hint="default"/>
                <w:sz w:val="15"/>
                <w:szCs w:val="15"/>
              </w:rPr>
              <w:t>九三圣</w:t>
            </w:r>
            <w:r>
              <w:rPr>
                <w:rFonts w:ascii="宋体" w:hAnsi="宋体" w:cs="宋体" w:eastAsia="宋体" w:hint="default"/>
                <w:spacing w:val="-72"/>
                <w:sz w:val="15"/>
                <w:szCs w:val="15"/>
              </w:rPr>
              <w:t> </w:t>
            </w:r>
            <w:r>
              <w:rPr>
                <w:rFonts w:ascii="宋体" w:hAnsi="宋体" w:cs="宋体" w:eastAsia="宋体" w:hint="default"/>
                <w:sz w:val="15"/>
                <w:szCs w:val="15"/>
              </w:rPr>
              <w:t>龙亚麻</w:t>
            </w:r>
            <w:r>
              <w:rPr>
                <w:rFonts w:ascii="宋体" w:hAnsi="宋体" w:cs="宋体" w:eastAsia="宋体" w:hint="default"/>
                <w:spacing w:val="-72"/>
                <w:sz w:val="15"/>
                <w:szCs w:val="15"/>
              </w:rPr>
              <w:t> </w:t>
            </w:r>
            <w:r>
              <w:rPr>
                <w:rFonts w:ascii="宋体" w:hAnsi="宋体" w:cs="宋体" w:eastAsia="宋体" w:hint="default"/>
                <w:sz w:val="15"/>
                <w:szCs w:val="15"/>
              </w:rPr>
              <w:t>产业公</w:t>
            </w:r>
            <w:r>
              <w:rPr>
                <w:rFonts w:ascii="宋体" w:hAnsi="宋体" w:cs="宋体" w:eastAsia="宋体" w:hint="default"/>
                <w:spacing w:val="-72"/>
                <w:sz w:val="15"/>
                <w:szCs w:val="15"/>
              </w:rPr>
              <w:t> </w:t>
            </w:r>
            <w:r>
              <w:rPr>
                <w:rFonts w:ascii="宋体" w:hAnsi="宋体" w:cs="宋体" w:eastAsia="宋体" w:hint="default"/>
                <w:spacing w:val="-4"/>
                <w:sz w:val="15"/>
                <w:szCs w:val="15"/>
              </w:rPr>
              <w:t>司、北大</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荒青枫</w:t>
            </w:r>
            <w:r>
              <w:rPr>
                <w:rFonts w:ascii="宋体" w:hAnsi="宋体" w:cs="宋体" w:eastAsia="宋体" w:hint="default"/>
                <w:spacing w:val="-72"/>
                <w:sz w:val="15"/>
                <w:szCs w:val="15"/>
              </w:rPr>
              <w:t> </w:t>
            </w:r>
            <w:r>
              <w:rPr>
                <w:rFonts w:ascii="宋体" w:hAnsi="宋体" w:cs="宋体" w:eastAsia="宋体" w:hint="default"/>
                <w:sz w:val="15"/>
                <w:szCs w:val="15"/>
              </w:rPr>
              <w:t>亚麻纺</w:t>
            </w:r>
            <w:r>
              <w:rPr>
                <w:rFonts w:ascii="宋体" w:hAnsi="宋体" w:cs="宋体" w:eastAsia="宋体" w:hint="default"/>
                <w:spacing w:val="-72"/>
                <w:sz w:val="15"/>
                <w:szCs w:val="15"/>
              </w:rPr>
              <w:t> </w:t>
            </w:r>
            <w:r>
              <w:rPr>
                <w:rFonts w:ascii="宋体" w:hAnsi="宋体" w:cs="宋体" w:eastAsia="宋体" w:hint="default"/>
                <w:sz w:val="15"/>
                <w:szCs w:val="15"/>
              </w:rPr>
              <w:t>织有限</w:t>
            </w:r>
            <w:r>
              <w:rPr>
                <w:rFonts w:ascii="宋体" w:hAnsi="宋体" w:cs="宋体" w:eastAsia="宋体" w:hint="default"/>
                <w:spacing w:val="-72"/>
                <w:sz w:val="15"/>
                <w:szCs w:val="15"/>
              </w:rPr>
              <w:t> </w:t>
            </w:r>
            <w:r>
              <w:rPr>
                <w:rFonts w:ascii="宋体" w:hAnsi="宋体" w:cs="宋体" w:eastAsia="宋体" w:hint="default"/>
                <w:sz w:val="15"/>
                <w:szCs w:val="15"/>
              </w:rPr>
              <w:t>公司</w:t>
            </w:r>
          </w:p>
        </w:tc>
        <w:tc>
          <w:tcPr>
            <w:tcW w:w="794"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1"/>
                <w:szCs w:val="11"/>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600"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1"/>
                <w:szCs w:val="11"/>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诉讼</w:t>
            </w:r>
          </w:p>
        </w:tc>
        <w:tc>
          <w:tcPr>
            <w:tcW w:w="2273"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35" w:lineRule="auto" w:before="101"/>
              <w:ind w:left="23" w:right="-14"/>
              <w:jc w:val="left"/>
              <w:rPr>
                <w:rFonts w:ascii="宋体" w:hAnsi="宋体" w:cs="宋体" w:eastAsia="宋体" w:hint="default"/>
                <w:sz w:val="15"/>
                <w:szCs w:val="15"/>
              </w:rPr>
            </w:pPr>
            <w:r>
              <w:rPr>
                <w:rFonts w:ascii="Arial" w:hAnsi="Arial" w:cs="Arial" w:eastAsia="Arial" w:hint="default"/>
                <w:spacing w:val="-1"/>
                <w:w w:val="100"/>
                <w:sz w:val="15"/>
                <w:szCs w:val="15"/>
              </w:rPr>
              <w:t>2012</w:t>
            </w:r>
            <w:r>
              <w:rPr>
                <w:rFonts w:ascii="Arial" w:hAnsi="Arial" w:cs="Arial" w:eastAsia="Arial" w:hint="default"/>
                <w:spacing w:val="-6"/>
                <w:w w:val="100"/>
                <w:sz w:val="15"/>
                <w:szCs w:val="15"/>
              </w:rPr>
              <w:t> </w:t>
            </w:r>
            <w:r>
              <w:rPr>
                <w:rFonts w:ascii="宋体" w:hAnsi="宋体" w:cs="宋体" w:eastAsia="宋体" w:hint="default"/>
                <w:w w:val="100"/>
                <w:sz w:val="15"/>
                <w:szCs w:val="15"/>
              </w:rPr>
              <w:t>年</w:t>
            </w:r>
            <w:r>
              <w:rPr>
                <w:rFonts w:ascii="宋体" w:hAnsi="宋体" w:cs="宋体" w:eastAsia="宋体" w:hint="default"/>
                <w:spacing w:val="-39"/>
                <w:w w:val="100"/>
                <w:sz w:val="15"/>
                <w:szCs w:val="15"/>
              </w:rPr>
              <w:t> </w:t>
            </w:r>
            <w:r>
              <w:rPr>
                <w:rFonts w:ascii="Arial" w:hAnsi="Arial" w:cs="Arial" w:eastAsia="Arial" w:hint="default"/>
                <w:w w:val="100"/>
                <w:sz w:val="15"/>
                <w:szCs w:val="15"/>
              </w:rPr>
              <w:t>5</w:t>
            </w:r>
            <w:r>
              <w:rPr>
                <w:rFonts w:ascii="Arial" w:hAnsi="Arial" w:cs="Arial" w:eastAsia="Arial" w:hint="default"/>
                <w:spacing w:val="-6"/>
                <w:w w:val="100"/>
                <w:sz w:val="15"/>
                <w:szCs w:val="15"/>
              </w:rPr>
              <w:t> </w:t>
            </w:r>
            <w:r>
              <w:rPr>
                <w:rFonts w:ascii="宋体" w:hAnsi="宋体" w:cs="宋体" w:eastAsia="宋体" w:hint="default"/>
                <w:w w:val="100"/>
                <w:sz w:val="15"/>
                <w:szCs w:val="15"/>
              </w:rPr>
              <w:t>月</w:t>
            </w:r>
            <w:r>
              <w:rPr>
                <w:rFonts w:ascii="宋体" w:hAnsi="宋体" w:cs="宋体" w:eastAsia="宋体" w:hint="default"/>
                <w:spacing w:val="-37"/>
                <w:w w:val="100"/>
                <w:sz w:val="15"/>
                <w:szCs w:val="15"/>
              </w:rPr>
              <w:t> </w:t>
            </w:r>
            <w:r>
              <w:rPr>
                <w:rFonts w:ascii="Arial" w:hAnsi="Arial" w:cs="Arial" w:eastAsia="Arial" w:hint="default"/>
                <w:spacing w:val="-2"/>
                <w:w w:val="100"/>
                <w:sz w:val="15"/>
                <w:szCs w:val="15"/>
              </w:rPr>
              <w:t>15</w:t>
            </w:r>
            <w:r>
              <w:rPr>
                <w:rFonts w:ascii="Arial" w:hAnsi="Arial" w:cs="Arial" w:eastAsia="Arial" w:hint="default"/>
                <w:spacing w:val="-4"/>
                <w:w w:val="100"/>
                <w:sz w:val="15"/>
                <w:szCs w:val="15"/>
              </w:rPr>
              <w:t> </w:t>
            </w:r>
            <w:r>
              <w:rPr>
                <w:rFonts w:ascii="宋体" w:hAnsi="宋体" w:cs="宋体" w:eastAsia="宋体" w:hint="default"/>
                <w:spacing w:val="-9"/>
                <w:w w:val="100"/>
                <w:sz w:val="15"/>
                <w:szCs w:val="15"/>
              </w:rPr>
              <w:t>日，鑫亚公司与九</w:t>
            </w:r>
            <w:r>
              <w:rPr>
                <w:rFonts w:ascii="宋体" w:hAnsi="宋体" w:cs="宋体" w:eastAsia="宋体" w:hint="default"/>
                <w:w w:val="100"/>
                <w:sz w:val="15"/>
                <w:szCs w:val="15"/>
              </w:rPr>
              <w:t> </w:t>
            </w:r>
            <w:r>
              <w:rPr>
                <w:rFonts w:ascii="宋体" w:hAnsi="宋体" w:cs="宋体" w:eastAsia="宋体" w:hint="default"/>
                <w:spacing w:val="-4"/>
                <w:sz w:val="15"/>
                <w:szCs w:val="15"/>
              </w:rPr>
              <w:t>三公司、青枫公司签订《亚麻纱加</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4"/>
                <w:sz w:val="15"/>
                <w:szCs w:val="15"/>
              </w:rPr>
              <w:t>工合同》，约定九三公司为公司代</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4"/>
                <w:sz w:val="15"/>
                <w:szCs w:val="15"/>
              </w:rPr>
              <w:t>加工亚麻原料。合同签订后，鑫亚</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公司向九三公司交付亚麻原料</w:t>
            </w:r>
            <w:r>
              <w:rPr>
                <w:rFonts w:ascii="宋体" w:hAnsi="宋体" w:cs="宋体" w:eastAsia="宋体" w:hint="default"/>
                <w:w w:val="100"/>
                <w:sz w:val="15"/>
                <w:szCs w:val="15"/>
              </w:rPr>
              <w:t> </w:t>
            </w:r>
            <w:r>
              <w:rPr>
                <w:rFonts w:ascii="Arial" w:hAnsi="Arial" w:cs="Arial" w:eastAsia="Arial" w:hint="default"/>
                <w:sz w:val="15"/>
                <w:szCs w:val="15"/>
              </w:rPr>
              <w:t>2292.3</w:t>
            </w:r>
            <w:r>
              <w:rPr>
                <w:rFonts w:ascii="Arial" w:hAnsi="Arial" w:cs="Arial" w:eastAsia="Arial" w:hint="default"/>
                <w:spacing w:val="-7"/>
                <w:sz w:val="15"/>
                <w:szCs w:val="15"/>
              </w:rPr>
              <w:t> </w:t>
            </w:r>
            <w:r>
              <w:rPr>
                <w:rFonts w:ascii="宋体" w:hAnsi="宋体" w:cs="宋体" w:eastAsia="宋体" w:hint="default"/>
                <w:sz w:val="15"/>
                <w:szCs w:val="15"/>
              </w:rPr>
              <w:t>吨。但九三公司未按合同</w:t>
            </w:r>
            <w:r>
              <w:rPr>
                <w:rFonts w:ascii="宋体" w:hAnsi="宋体" w:cs="宋体" w:eastAsia="宋体" w:hint="default"/>
                <w:w w:val="100"/>
                <w:sz w:val="15"/>
                <w:szCs w:val="15"/>
              </w:rPr>
              <w:t> </w:t>
            </w:r>
            <w:r>
              <w:rPr>
                <w:rFonts w:ascii="宋体" w:hAnsi="宋体" w:cs="宋体" w:eastAsia="宋体" w:hint="default"/>
                <w:spacing w:val="-4"/>
                <w:sz w:val="15"/>
                <w:szCs w:val="15"/>
              </w:rPr>
              <w:t>约定向鑫亚公司报告加工进度，并</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pacing w:val="-4"/>
                <w:sz w:val="15"/>
                <w:szCs w:val="15"/>
              </w:rPr>
              <w:t>拒绝交付产成品。合同同时约定青</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枫公司对九三公司的加工行为负</w:t>
            </w:r>
            <w:r>
              <w:rPr>
                <w:rFonts w:ascii="宋体" w:hAnsi="宋体" w:cs="宋体" w:eastAsia="宋体" w:hint="default"/>
                <w:w w:val="100"/>
                <w:sz w:val="15"/>
                <w:szCs w:val="15"/>
              </w:rPr>
              <w:t> </w:t>
            </w:r>
            <w:r>
              <w:rPr>
                <w:rFonts w:ascii="宋体" w:hAnsi="宋体" w:cs="宋体" w:eastAsia="宋体" w:hint="default"/>
                <w:spacing w:val="-4"/>
                <w:sz w:val="15"/>
                <w:szCs w:val="15"/>
              </w:rPr>
              <w:t>有下达生产计划、监管交付、质量</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4"/>
                <w:sz w:val="15"/>
                <w:szCs w:val="15"/>
              </w:rPr>
              <w:t>验收、负责统计保管和生产跟单等</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pacing w:val="-2"/>
                <w:sz w:val="15"/>
                <w:szCs w:val="15"/>
              </w:rPr>
              <w:t>责任。因二被告未履行合同义务，</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故鑫亚公司向法院提起诉讼。</w:t>
            </w:r>
          </w:p>
        </w:tc>
        <w:tc>
          <w:tcPr>
            <w:tcW w:w="1358"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Arial" w:hAnsi="Arial" w:cs="Arial" w:eastAsia="Arial" w:hint="default"/>
                <w:sz w:val="15"/>
                <w:szCs w:val="15"/>
              </w:rPr>
            </w:pPr>
            <w:r>
              <w:rPr>
                <w:rFonts w:ascii="Arial"/>
                <w:spacing w:val="-1"/>
                <w:sz w:val="15"/>
              </w:rPr>
              <w:t>65,014,251.7</w:t>
            </w:r>
          </w:p>
        </w:tc>
        <w:tc>
          <w:tcPr>
            <w:tcW w:w="838"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1"/>
                <w:szCs w:val="11"/>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2422" w:type="dxa"/>
            <w:tcBorders>
              <w:top w:val="single" w:sz="4" w:space="0" w:color="41B7EE"/>
              <w:left w:val="single" w:sz="4" w:space="0" w:color="41B7EE"/>
              <w:bottom w:val="single" w:sz="8" w:space="0" w:color="41B7EE"/>
              <w:right w:val="single" w:sz="13" w:space="0" w:color="FFFFFF"/>
            </w:tcBorders>
          </w:tcPr>
          <w:p>
            <w:pPr>
              <w:pStyle w:val="TableParagraph"/>
              <w:spacing w:line="201" w:lineRule="exact" w:before="65"/>
              <w:ind w:left="23" w:right="0"/>
              <w:jc w:val="both"/>
              <w:rPr>
                <w:rFonts w:ascii="宋体" w:hAnsi="宋体" w:cs="宋体" w:eastAsia="宋体" w:hint="default"/>
                <w:sz w:val="15"/>
                <w:szCs w:val="15"/>
              </w:rPr>
            </w:pPr>
            <w:r>
              <w:rPr>
                <w:rFonts w:ascii="宋体" w:hAnsi="宋体" w:cs="宋体" w:eastAsia="宋体" w:hint="default"/>
                <w:sz w:val="15"/>
                <w:szCs w:val="15"/>
              </w:rPr>
              <w:t>法院于</w:t>
            </w:r>
            <w:r>
              <w:rPr>
                <w:rFonts w:ascii="宋体" w:hAnsi="宋体" w:cs="宋体" w:eastAsia="宋体" w:hint="default"/>
                <w:spacing w:val="-40"/>
                <w:sz w:val="15"/>
                <w:szCs w:val="15"/>
              </w:rPr>
              <w:t> </w:t>
            </w:r>
            <w:r>
              <w:rPr>
                <w:rFonts w:ascii="Arial" w:hAnsi="Arial" w:cs="Arial" w:eastAsia="Arial" w:hint="default"/>
                <w:sz w:val="15"/>
                <w:szCs w:val="15"/>
              </w:rPr>
              <w:t>2016</w:t>
            </w:r>
            <w:r>
              <w:rPr>
                <w:rFonts w:ascii="Arial" w:hAnsi="Arial" w:cs="Arial" w:eastAsia="Arial" w:hint="default"/>
                <w:spacing w:val="-8"/>
                <w:sz w:val="15"/>
                <w:szCs w:val="15"/>
              </w:rPr>
              <w:t>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Arial" w:hAnsi="Arial" w:cs="Arial" w:eastAsia="Arial" w:hint="default"/>
                <w:sz w:val="15"/>
                <w:szCs w:val="15"/>
              </w:rPr>
              <w:t>1</w:t>
            </w:r>
            <w:r>
              <w:rPr>
                <w:rFonts w:ascii="Arial" w:hAnsi="Arial" w:cs="Arial" w:eastAsia="Arial" w:hint="default"/>
                <w:spacing w:val="-8"/>
                <w:sz w:val="15"/>
                <w:szCs w:val="15"/>
              </w:rPr>
              <w:t> </w:t>
            </w:r>
            <w:r>
              <w:rPr>
                <w:rFonts w:ascii="宋体" w:hAnsi="宋体" w:cs="宋体" w:eastAsia="宋体" w:hint="default"/>
                <w:sz w:val="15"/>
                <w:szCs w:val="15"/>
              </w:rPr>
              <w:t>月</w:t>
            </w:r>
            <w:r>
              <w:rPr>
                <w:rFonts w:ascii="宋体" w:hAnsi="宋体" w:cs="宋体" w:eastAsia="宋体" w:hint="default"/>
                <w:spacing w:val="-41"/>
                <w:sz w:val="15"/>
                <w:szCs w:val="15"/>
              </w:rPr>
              <w:t> </w:t>
            </w:r>
            <w:r>
              <w:rPr>
                <w:rFonts w:ascii="Arial" w:hAnsi="Arial" w:cs="Arial" w:eastAsia="Arial" w:hint="default"/>
                <w:sz w:val="15"/>
                <w:szCs w:val="15"/>
              </w:rPr>
              <w:t>19</w:t>
            </w:r>
            <w:r>
              <w:rPr>
                <w:rFonts w:ascii="Arial" w:hAnsi="Arial" w:cs="Arial" w:eastAsia="Arial" w:hint="default"/>
                <w:spacing w:val="-8"/>
                <w:sz w:val="15"/>
                <w:szCs w:val="15"/>
              </w:rPr>
              <w:t> </w:t>
            </w:r>
            <w:r>
              <w:rPr>
                <w:rFonts w:ascii="宋体" w:hAnsi="宋体" w:cs="宋体" w:eastAsia="宋体" w:hint="default"/>
                <w:sz w:val="15"/>
                <w:szCs w:val="15"/>
              </w:rPr>
              <w:t>日受理本案</w:t>
            </w:r>
          </w:p>
          <w:p>
            <w:pPr>
              <w:pStyle w:val="TableParagraph"/>
              <w:spacing w:line="194" w:lineRule="exact" w:before="13"/>
              <w:ind w:left="23" w:right="5"/>
              <w:jc w:val="both"/>
              <w:rPr>
                <w:rFonts w:ascii="宋体" w:hAnsi="宋体" w:cs="宋体" w:eastAsia="宋体" w:hint="default"/>
                <w:sz w:val="15"/>
                <w:szCs w:val="15"/>
              </w:rPr>
            </w:pPr>
            <w:r>
              <w:rPr>
                <w:rFonts w:ascii="宋体" w:hAnsi="宋体" w:cs="宋体" w:eastAsia="宋体" w:hint="default"/>
                <w:spacing w:val="-3"/>
                <w:sz w:val="15"/>
                <w:szCs w:val="15"/>
              </w:rPr>
              <w:t>案号为〔</w:t>
            </w:r>
            <w:r>
              <w:rPr>
                <w:rFonts w:ascii="Arial" w:hAnsi="Arial" w:cs="Arial" w:eastAsia="Arial" w:hint="default"/>
                <w:spacing w:val="-3"/>
                <w:sz w:val="15"/>
                <w:szCs w:val="15"/>
              </w:rPr>
              <w:t>2016</w:t>
            </w:r>
            <w:r>
              <w:rPr>
                <w:rFonts w:ascii="宋体" w:hAnsi="宋体" w:cs="宋体" w:eastAsia="宋体" w:hint="default"/>
                <w:spacing w:val="-3"/>
                <w:sz w:val="15"/>
                <w:szCs w:val="15"/>
              </w:rPr>
              <w:t>〕黑</w:t>
            </w:r>
            <w:r>
              <w:rPr>
                <w:rFonts w:ascii="宋体" w:hAnsi="宋体" w:cs="宋体" w:eastAsia="宋体" w:hint="default"/>
                <w:spacing w:val="-35"/>
                <w:sz w:val="15"/>
                <w:szCs w:val="15"/>
              </w:rPr>
              <w:t> </w:t>
            </w:r>
            <w:r>
              <w:rPr>
                <w:rFonts w:ascii="Arial" w:hAnsi="Arial" w:cs="Arial" w:eastAsia="Arial" w:hint="default"/>
                <w:sz w:val="15"/>
                <w:szCs w:val="15"/>
              </w:rPr>
              <w:t>81</w:t>
            </w:r>
            <w:r>
              <w:rPr>
                <w:rFonts w:ascii="Arial" w:hAnsi="Arial" w:cs="Arial" w:eastAsia="Arial" w:hint="default"/>
                <w:spacing w:val="-2"/>
                <w:sz w:val="15"/>
                <w:szCs w:val="15"/>
              </w:rPr>
              <w:t> </w:t>
            </w:r>
            <w:r>
              <w:rPr>
                <w:rFonts w:ascii="宋体" w:hAnsi="宋体" w:cs="宋体" w:eastAsia="宋体" w:hint="default"/>
                <w:sz w:val="15"/>
                <w:szCs w:val="15"/>
              </w:rPr>
              <w:t>民初</w:t>
            </w:r>
            <w:r>
              <w:rPr>
                <w:rFonts w:ascii="宋体" w:hAnsi="宋体" w:cs="宋体" w:eastAsia="宋体" w:hint="default"/>
                <w:spacing w:val="-35"/>
                <w:sz w:val="15"/>
                <w:szCs w:val="15"/>
              </w:rPr>
              <w:t> </w:t>
            </w:r>
            <w:r>
              <w:rPr>
                <w:rFonts w:ascii="Arial" w:hAnsi="Arial" w:cs="Arial" w:eastAsia="Arial" w:hint="default"/>
                <w:sz w:val="15"/>
                <w:szCs w:val="15"/>
              </w:rPr>
              <w:t>3</w:t>
            </w:r>
            <w:r>
              <w:rPr>
                <w:rFonts w:ascii="Arial" w:hAnsi="Arial" w:cs="Arial" w:eastAsia="Arial" w:hint="default"/>
                <w:spacing w:val="-2"/>
                <w:sz w:val="15"/>
                <w:szCs w:val="15"/>
              </w:rPr>
              <w:t> </w:t>
            </w:r>
            <w:r>
              <w:rPr>
                <w:rFonts w:ascii="宋体" w:hAnsi="宋体" w:cs="宋体" w:eastAsia="宋体" w:hint="default"/>
                <w:spacing w:val="-3"/>
                <w:sz w:val="15"/>
                <w:szCs w:val="15"/>
              </w:rPr>
              <w:t>号，法</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pacing w:val="-4"/>
                <w:sz w:val="15"/>
                <w:szCs w:val="15"/>
              </w:rPr>
              <w:t>院向被告送达起诉材料后，青枫公司</w:t>
            </w:r>
            <w:r>
              <w:rPr>
                <w:rFonts w:ascii="宋体" w:hAnsi="宋体" w:cs="宋体" w:eastAsia="宋体" w:hint="default"/>
                <w:spacing w:val="-46"/>
                <w:sz w:val="15"/>
                <w:szCs w:val="15"/>
              </w:rPr>
              <w:t> </w:t>
            </w:r>
            <w:r>
              <w:rPr>
                <w:rFonts w:ascii="宋体" w:hAnsi="宋体" w:cs="宋体" w:eastAsia="宋体" w:hint="default"/>
                <w:spacing w:val="-46"/>
                <w:sz w:val="15"/>
                <w:szCs w:val="15"/>
              </w:rPr>
            </w:r>
            <w:r>
              <w:rPr>
                <w:rFonts w:ascii="宋体" w:hAnsi="宋体" w:cs="宋体" w:eastAsia="宋体" w:hint="default"/>
                <w:spacing w:val="-4"/>
                <w:sz w:val="15"/>
                <w:szCs w:val="15"/>
              </w:rPr>
              <w:t>提起管辖权异议，法院经审查裁定予</w:t>
            </w:r>
            <w:r>
              <w:rPr>
                <w:rFonts w:ascii="宋体" w:hAnsi="宋体" w:cs="宋体" w:eastAsia="宋体" w:hint="default"/>
                <w:spacing w:val="-46"/>
                <w:sz w:val="15"/>
                <w:szCs w:val="15"/>
              </w:rPr>
              <w:t> </w:t>
            </w:r>
            <w:r>
              <w:rPr>
                <w:rFonts w:ascii="宋体" w:hAnsi="宋体" w:cs="宋体" w:eastAsia="宋体" w:hint="default"/>
                <w:spacing w:val="-46"/>
                <w:sz w:val="15"/>
                <w:szCs w:val="15"/>
              </w:rPr>
            </w:r>
            <w:r>
              <w:rPr>
                <w:rFonts w:ascii="宋体" w:hAnsi="宋体" w:cs="宋体" w:eastAsia="宋体" w:hint="default"/>
                <w:spacing w:val="-4"/>
                <w:sz w:val="15"/>
                <w:szCs w:val="15"/>
              </w:rPr>
              <w:t>以驳回，青枫公司不服一审裁定，向</w:t>
            </w:r>
            <w:r>
              <w:rPr>
                <w:rFonts w:ascii="宋体" w:hAnsi="宋体" w:cs="宋体" w:eastAsia="宋体" w:hint="default"/>
                <w:spacing w:val="-47"/>
                <w:sz w:val="15"/>
                <w:szCs w:val="15"/>
              </w:rPr>
              <w:t> </w:t>
            </w:r>
            <w:r>
              <w:rPr>
                <w:rFonts w:ascii="宋体" w:hAnsi="宋体" w:cs="宋体" w:eastAsia="宋体" w:hint="default"/>
                <w:spacing w:val="-47"/>
                <w:sz w:val="15"/>
                <w:szCs w:val="15"/>
              </w:rPr>
            </w:r>
            <w:r>
              <w:rPr>
                <w:rFonts w:ascii="宋体" w:hAnsi="宋体" w:cs="宋体" w:eastAsia="宋体" w:hint="default"/>
                <w:spacing w:val="-4"/>
                <w:sz w:val="15"/>
                <w:szCs w:val="15"/>
              </w:rPr>
              <w:t>黑龙江省高院提起上诉，黑龙江省高</w:t>
            </w:r>
            <w:r>
              <w:rPr>
                <w:rFonts w:ascii="宋体" w:hAnsi="宋体" w:cs="宋体" w:eastAsia="宋体" w:hint="default"/>
                <w:spacing w:val="-47"/>
                <w:sz w:val="15"/>
                <w:szCs w:val="15"/>
              </w:rPr>
              <w:t> </w:t>
            </w:r>
            <w:r>
              <w:rPr>
                <w:rFonts w:ascii="宋体" w:hAnsi="宋体" w:cs="宋体" w:eastAsia="宋体" w:hint="default"/>
                <w:spacing w:val="-47"/>
                <w:sz w:val="15"/>
                <w:szCs w:val="15"/>
              </w:rPr>
            </w:r>
            <w:r>
              <w:rPr>
                <w:rFonts w:ascii="宋体" w:hAnsi="宋体" w:cs="宋体" w:eastAsia="宋体" w:hint="default"/>
                <w:spacing w:val="-4"/>
                <w:sz w:val="15"/>
                <w:szCs w:val="15"/>
              </w:rPr>
              <w:t>院二审裁定驳回青枫公司上诉。农垦</w:t>
            </w:r>
            <w:r>
              <w:rPr>
                <w:rFonts w:ascii="宋体" w:hAnsi="宋体" w:cs="宋体" w:eastAsia="宋体" w:hint="default"/>
                <w:spacing w:val="-46"/>
                <w:sz w:val="15"/>
                <w:szCs w:val="15"/>
              </w:rPr>
              <w:t> </w:t>
            </w:r>
            <w:r>
              <w:rPr>
                <w:rFonts w:ascii="宋体" w:hAnsi="宋体" w:cs="宋体" w:eastAsia="宋体" w:hint="default"/>
                <w:spacing w:val="-46"/>
                <w:sz w:val="15"/>
                <w:szCs w:val="15"/>
              </w:rPr>
            </w:r>
            <w:r>
              <w:rPr>
                <w:rFonts w:ascii="宋体" w:hAnsi="宋体" w:cs="宋体" w:eastAsia="宋体" w:hint="default"/>
                <w:sz w:val="15"/>
                <w:szCs w:val="15"/>
              </w:rPr>
              <w:t>中院于</w:t>
            </w:r>
            <w:r>
              <w:rPr>
                <w:rFonts w:ascii="宋体" w:hAnsi="宋体" w:cs="宋体" w:eastAsia="宋体" w:hint="default"/>
                <w:spacing w:val="-38"/>
                <w:sz w:val="15"/>
                <w:szCs w:val="15"/>
              </w:rPr>
              <w:t> </w:t>
            </w:r>
            <w:r>
              <w:rPr>
                <w:rFonts w:ascii="Arial" w:hAnsi="Arial" w:cs="Arial" w:eastAsia="Arial" w:hint="default"/>
                <w:sz w:val="15"/>
                <w:szCs w:val="15"/>
              </w:rPr>
              <w:t>2016</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w:hAnsi="Arial" w:cs="Arial" w:eastAsia="Arial" w:hint="default"/>
                <w:sz w:val="15"/>
                <w:szCs w:val="15"/>
              </w:rPr>
              <w:t>11</w:t>
            </w:r>
            <w:r>
              <w:rPr>
                <w:rFonts w:ascii="Arial" w:hAnsi="Arial" w:cs="Arial" w:eastAsia="Arial"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21</w:t>
            </w:r>
            <w:r>
              <w:rPr>
                <w:rFonts w:ascii="Arial" w:hAnsi="Arial" w:cs="Arial" w:eastAsia="Arial" w:hint="default"/>
                <w:spacing w:val="-5"/>
                <w:sz w:val="15"/>
                <w:szCs w:val="15"/>
              </w:rPr>
              <w:t> </w:t>
            </w:r>
            <w:r>
              <w:rPr>
                <w:rFonts w:ascii="宋体" w:hAnsi="宋体" w:cs="宋体" w:eastAsia="宋体" w:hint="default"/>
                <w:sz w:val="15"/>
                <w:szCs w:val="15"/>
              </w:rPr>
              <w:t>日至</w:t>
            </w:r>
            <w:r>
              <w:rPr>
                <w:rFonts w:ascii="宋体" w:hAnsi="宋体" w:cs="宋体" w:eastAsia="宋体" w:hint="default"/>
                <w:spacing w:val="-38"/>
                <w:sz w:val="15"/>
                <w:szCs w:val="15"/>
              </w:rPr>
              <w:t> </w:t>
            </w:r>
            <w:r>
              <w:rPr>
                <w:rFonts w:ascii="Arial" w:hAnsi="Arial" w:cs="Arial" w:eastAsia="Arial" w:hint="default"/>
                <w:sz w:val="15"/>
                <w:szCs w:val="15"/>
              </w:rPr>
              <w:t>25</w:t>
            </w:r>
            <w:r>
              <w:rPr>
                <w:rFonts w:ascii="Arial" w:hAnsi="Arial" w:cs="Arial" w:eastAsia="Arial" w:hint="default"/>
                <w:spacing w:val="-5"/>
                <w:sz w:val="15"/>
                <w:szCs w:val="15"/>
              </w:rPr>
              <w:t> </w:t>
            </w:r>
            <w:r>
              <w:rPr>
                <w:rFonts w:ascii="宋体" w:hAnsi="宋体" w:cs="宋体" w:eastAsia="宋体" w:hint="default"/>
                <w:sz w:val="15"/>
                <w:szCs w:val="15"/>
              </w:rPr>
              <w:t>日</w:t>
            </w:r>
          </w:p>
          <w:p>
            <w:pPr>
              <w:pStyle w:val="TableParagraph"/>
              <w:spacing w:line="182" w:lineRule="exact"/>
              <w:ind w:left="23" w:right="0"/>
              <w:jc w:val="both"/>
              <w:rPr>
                <w:rFonts w:ascii="宋体" w:hAnsi="宋体" w:cs="宋体" w:eastAsia="宋体" w:hint="default"/>
                <w:sz w:val="15"/>
                <w:szCs w:val="15"/>
              </w:rPr>
            </w:pPr>
            <w:r>
              <w:rPr>
                <w:rFonts w:ascii="宋体" w:hAnsi="宋体" w:cs="宋体" w:eastAsia="宋体" w:hint="default"/>
                <w:sz w:val="15"/>
                <w:szCs w:val="15"/>
              </w:rPr>
              <w:t>开庭审理了本案，于</w:t>
            </w:r>
            <w:r>
              <w:rPr>
                <w:rFonts w:ascii="宋体" w:hAnsi="宋体" w:cs="宋体" w:eastAsia="宋体" w:hint="default"/>
                <w:spacing w:val="-38"/>
                <w:sz w:val="15"/>
                <w:szCs w:val="15"/>
              </w:rPr>
              <w:t> </w:t>
            </w:r>
            <w:r>
              <w:rPr>
                <w:rFonts w:ascii="Arial" w:hAnsi="Arial" w:cs="Arial" w:eastAsia="Arial" w:hint="default"/>
                <w:sz w:val="15"/>
                <w:szCs w:val="15"/>
              </w:rPr>
              <w:t>2017</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w:hAnsi="Arial" w:cs="Arial" w:eastAsia="Arial" w:hint="default"/>
                <w:sz w:val="15"/>
                <w:szCs w:val="15"/>
              </w:rPr>
              <w:t>12</w:t>
            </w:r>
            <w:r>
              <w:rPr>
                <w:rFonts w:ascii="Arial" w:hAnsi="Arial" w:cs="Arial" w:eastAsia="Arial" w:hint="default"/>
                <w:spacing w:val="-5"/>
                <w:sz w:val="15"/>
                <w:szCs w:val="15"/>
              </w:rPr>
              <w:t> </w:t>
            </w:r>
            <w:r>
              <w:rPr>
                <w:rFonts w:ascii="宋体" w:hAnsi="宋体" w:cs="宋体" w:eastAsia="宋体" w:hint="default"/>
                <w:sz w:val="15"/>
                <w:szCs w:val="15"/>
              </w:rPr>
              <w:t>月</w:t>
            </w:r>
          </w:p>
          <w:p>
            <w:pPr>
              <w:pStyle w:val="TableParagraph"/>
              <w:spacing w:line="194" w:lineRule="exact" w:before="13"/>
              <w:ind w:left="23" w:right="5"/>
              <w:jc w:val="both"/>
              <w:rPr>
                <w:rFonts w:ascii="宋体" w:hAnsi="宋体" w:cs="宋体" w:eastAsia="宋体" w:hint="default"/>
                <w:sz w:val="15"/>
                <w:szCs w:val="15"/>
              </w:rPr>
            </w:pPr>
            <w:r>
              <w:rPr>
                <w:rFonts w:ascii="Arial" w:hAnsi="Arial" w:cs="Arial" w:eastAsia="Arial" w:hint="default"/>
                <w:sz w:val="15"/>
                <w:szCs w:val="15"/>
              </w:rPr>
              <w:t>11 </w:t>
            </w:r>
            <w:r>
              <w:rPr>
                <w:rFonts w:ascii="宋体" w:hAnsi="宋体" w:cs="宋体" w:eastAsia="宋体" w:hint="default"/>
                <w:spacing w:val="-9"/>
                <w:sz w:val="15"/>
                <w:szCs w:val="15"/>
              </w:rPr>
              <w:t>日作出（</w:t>
            </w:r>
            <w:r>
              <w:rPr>
                <w:rFonts w:ascii="Arial" w:hAnsi="Arial" w:cs="Arial" w:eastAsia="Arial" w:hint="default"/>
                <w:spacing w:val="-9"/>
                <w:sz w:val="15"/>
                <w:szCs w:val="15"/>
              </w:rPr>
              <w:t>2016</w:t>
            </w:r>
            <w:r>
              <w:rPr>
                <w:rFonts w:ascii="宋体" w:hAnsi="宋体" w:cs="宋体" w:eastAsia="宋体" w:hint="default"/>
                <w:spacing w:val="-9"/>
                <w:sz w:val="15"/>
                <w:szCs w:val="15"/>
              </w:rPr>
              <w:t>）黑</w:t>
            </w:r>
            <w:r>
              <w:rPr>
                <w:rFonts w:ascii="宋体" w:hAnsi="宋体" w:cs="宋体" w:eastAsia="宋体" w:hint="default"/>
                <w:spacing w:val="-36"/>
                <w:sz w:val="15"/>
                <w:szCs w:val="15"/>
              </w:rPr>
              <w:t> </w:t>
            </w:r>
            <w:r>
              <w:rPr>
                <w:rFonts w:ascii="Arial" w:hAnsi="Arial" w:cs="Arial" w:eastAsia="Arial" w:hint="default"/>
                <w:sz w:val="15"/>
                <w:szCs w:val="15"/>
              </w:rPr>
              <w:t>81</w:t>
            </w:r>
            <w:r>
              <w:rPr>
                <w:rFonts w:ascii="Arial" w:hAnsi="Arial" w:cs="Arial" w:eastAsia="Arial" w:hint="default"/>
                <w:spacing w:val="-3"/>
                <w:sz w:val="15"/>
                <w:szCs w:val="15"/>
              </w:rPr>
              <w:t> </w:t>
            </w:r>
            <w:r>
              <w:rPr>
                <w:rFonts w:ascii="宋体" w:hAnsi="宋体" w:cs="宋体" w:eastAsia="宋体" w:hint="default"/>
                <w:sz w:val="15"/>
                <w:szCs w:val="15"/>
              </w:rPr>
              <w:t>民初</w:t>
            </w:r>
            <w:r>
              <w:rPr>
                <w:rFonts w:ascii="宋体" w:hAnsi="宋体" w:cs="宋体" w:eastAsia="宋体" w:hint="default"/>
                <w:spacing w:val="-36"/>
                <w:sz w:val="15"/>
                <w:szCs w:val="15"/>
              </w:rPr>
              <w:t> </w:t>
            </w:r>
            <w:r>
              <w:rPr>
                <w:rFonts w:ascii="Arial" w:hAnsi="Arial" w:cs="Arial" w:eastAsia="Arial" w:hint="default"/>
                <w:sz w:val="15"/>
                <w:szCs w:val="15"/>
              </w:rPr>
              <w:t>3</w:t>
            </w:r>
            <w:r>
              <w:rPr>
                <w:rFonts w:ascii="Arial" w:hAnsi="Arial" w:cs="Arial" w:eastAsia="Arial" w:hint="default"/>
                <w:spacing w:val="-3"/>
                <w:sz w:val="15"/>
                <w:szCs w:val="15"/>
              </w:rPr>
              <w:t> </w:t>
            </w:r>
            <w:r>
              <w:rPr>
                <w:rFonts w:ascii="宋体" w:hAnsi="宋体" w:cs="宋体" w:eastAsia="宋体" w:hint="default"/>
                <w:sz w:val="15"/>
                <w:szCs w:val="15"/>
              </w:rPr>
              <w:t>号判</w:t>
            </w:r>
            <w:r>
              <w:rPr>
                <w:rFonts w:ascii="宋体" w:hAnsi="宋体" w:cs="宋体" w:eastAsia="宋体" w:hint="default"/>
                <w:spacing w:val="-73"/>
                <w:sz w:val="15"/>
                <w:szCs w:val="15"/>
              </w:rPr>
              <w:t> </w:t>
            </w:r>
            <w:r>
              <w:rPr>
                <w:rFonts w:ascii="宋体" w:hAnsi="宋体" w:cs="宋体" w:eastAsia="宋体" w:hint="default"/>
                <w:spacing w:val="-4"/>
                <w:sz w:val="15"/>
                <w:szCs w:val="15"/>
              </w:rPr>
              <w:t>决书。鑫亚公司已向黑龙江省高级人</w:t>
            </w:r>
            <w:r>
              <w:rPr>
                <w:rFonts w:ascii="宋体" w:hAnsi="宋体" w:cs="宋体" w:eastAsia="宋体" w:hint="default"/>
                <w:spacing w:val="-47"/>
                <w:sz w:val="15"/>
                <w:szCs w:val="15"/>
              </w:rPr>
              <w:t> </w:t>
            </w:r>
            <w:r>
              <w:rPr>
                <w:rFonts w:ascii="宋体" w:hAnsi="宋体" w:cs="宋体" w:eastAsia="宋体" w:hint="default"/>
                <w:spacing w:val="-47"/>
                <w:sz w:val="15"/>
                <w:szCs w:val="15"/>
              </w:rPr>
            </w:r>
            <w:r>
              <w:rPr>
                <w:rFonts w:ascii="宋体" w:hAnsi="宋体" w:cs="宋体" w:eastAsia="宋体" w:hint="default"/>
                <w:sz w:val="15"/>
                <w:szCs w:val="15"/>
              </w:rPr>
              <w:t>民法院提起上诉，并于</w:t>
            </w:r>
            <w:r>
              <w:rPr>
                <w:rFonts w:ascii="宋体" w:hAnsi="宋体" w:cs="宋体" w:eastAsia="宋体" w:hint="default"/>
                <w:spacing w:val="-38"/>
                <w:sz w:val="15"/>
                <w:szCs w:val="15"/>
              </w:rPr>
              <w:t> </w:t>
            </w:r>
            <w:r>
              <w:rPr>
                <w:rFonts w:ascii="Arial" w:hAnsi="Arial" w:cs="Arial" w:eastAsia="Arial" w:hint="default"/>
                <w:sz w:val="15"/>
                <w:szCs w:val="15"/>
              </w:rPr>
              <w:t>2018</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Arial" w:hAnsi="Arial" w:cs="Arial" w:eastAsia="Arial" w:hint="default"/>
                <w:sz w:val="15"/>
                <w:szCs w:val="15"/>
              </w:rPr>
              <w:t>5</w:t>
            </w:r>
            <w:r>
              <w:rPr>
                <w:rFonts w:ascii="Arial" w:hAnsi="Arial" w:cs="Arial" w:eastAsia="Arial" w:hint="default"/>
                <w:spacing w:val="-5"/>
                <w:sz w:val="15"/>
                <w:szCs w:val="15"/>
              </w:rPr>
              <w:t> </w:t>
            </w:r>
            <w:r>
              <w:rPr>
                <w:rFonts w:ascii="宋体" w:hAnsi="宋体" w:cs="宋体" w:eastAsia="宋体" w:hint="default"/>
                <w:sz w:val="15"/>
                <w:szCs w:val="15"/>
              </w:rPr>
              <w:t>月</w:t>
            </w:r>
          </w:p>
          <w:p>
            <w:pPr>
              <w:pStyle w:val="TableParagraph"/>
              <w:spacing w:line="194" w:lineRule="exact"/>
              <w:ind w:left="23" w:right="5"/>
              <w:jc w:val="left"/>
              <w:rPr>
                <w:rFonts w:ascii="宋体" w:hAnsi="宋体" w:cs="宋体" w:eastAsia="宋体" w:hint="default"/>
                <w:sz w:val="15"/>
                <w:szCs w:val="15"/>
              </w:rPr>
            </w:pPr>
            <w:r>
              <w:rPr>
                <w:rFonts w:ascii="Arial" w:hAnsi="Arial" w:cs="Arial" w:eastAsia="Arial" w:hint="default"/>
                <w:sz w:val="15"/>
                <w:szCs w:val="15"/>
              </w:rPr>
              <w:t>2</w:t>
            </w:r>
            <w:r>
              <w:rPr>
                <w:rFonts w:ascii="Arial" w:hAnsi="Arial" w:cs="Arial" w:eastAsia="Arial" w:hint="default"/>
                <w:spacing w:val="-11"/>
                <w:sz w:val="15"/>
                <w:szCs w:val="15"/>
              </w:rPr>
              <w:t> </w:t>
            </w:r>
            <w:r>
              <w:rPr>
                <w:rFonts w:ascii="宋体" w:hAnsi="宋体" w:cs="宋体" w:eastAsia="宋体" w:hint="default"/>
                <w:sz w:val="15"/>
                <w:szCs w:val="15"/>
              </w:rPr>
              <w:t>日收到黑龙江省高级人民法院二审</w:t>
            </w:r>
            <w:r>
              <w:rPr>
                <w:rFonts w:ascii="宋体" w:hAnsi="宋体" w:cs="宋体" w:eastAsia="宋体" w:hint="default"/>
                <w:w w:val="100"/>
                <w:sz w:val="15"/>
                <w:szCs w:val="15"/>
              </w:rPr>
              <w:t> </w:t>
            </w:r>
            <w:r>
              <w:rPr>
                <w:rFonts w:ascii="宋体" w:hAnsi="宋体" w:cs="宋体" w:eastAsia="宋体" w:hint="default"/>
                <w:sz w:val="15"/>
                <w:szCs w:val="15"/>
              </w:rPr>
              <w:t>传票，此案案号为（</w:t>
            </w:r>
            <w:r>
              <w:rPr>
                <w:rFonts w:ascii="Arial" w:hAnsi="Arial" w:cs="Arial" w:eastAsia="Arial" w:hint="default"/>
                <w:sz w:val="15"/>
                <w:szCs w:val="15"/>
              </w:rPr>
              <w:t>2018</w:t>
            </w:r>
            <w:r>
              <w:rPr>
                <w:rFonts w:ascii="宋体" w:hAnsi="宋体" w:cs="宋体" w:eastAsia="宋体" w:hint="default"/>
                <w:sz w:val="15"/>
                <w:szCs w:val="15"/>
              </w:rPr>
              <w:t>）黑民终</w:t>
            </w:r>
            <w:r>
              <w:rPr>
                <w:rFonts w:ascii="宋体" w:hAnsi="宋体" w:cs="宋体" w:eastAsia="宋体" w:hint="default"/>
                <w:w w:val="100"/>
                <w:sz w:val="15"/>
                <w:szCs w:val="15"/>
              </w:rPr>
              <w:t> </w:t>
            </w:r>
            <w:r>
              <w:rPr>
                <w:rFonts w:ascii="Arial" w:hAnsi="Arial" w:cs="Arial" w:eastAsia="Arial" w:hint="default"/>
                <w:sz w:val="15"/>
                <w:szCs w:val="15"/>
              </w:rPr>
              <w:t>364</w:t>
            </w:r>
            <w:r>
              <w:rPr>
                <w:rFonts w:ascii="Arial" w:hAnsi="Arial" w:cs="Arial" w:eastAsia="Arial" w:hint="default"/>
                <w:spacing w:val="-6"/>
                <w:sz w:val="15"/>
                <w:szCs w:val="15"/>
              </w:rPr>
              <w:t> </w:t>
            </w:r>
            <w:r>
              <w:rPr>
                <w:rFonts w:ascii="宋体" w:hAnsi="宋体" w:cs="宋体" w:eastAsia="宋体" w:hint="default"/>
                <w:sz w:val="15"/>
                <w:szCs w:val="15"/>
              </w:rPr>
              <w:t>号，并于</w:t>
            </w:r>
            <w:r>
              <w:rPr>
                <w:rFonts w:ascii="宋体" w:hAnsi="宋体" w:cs="宋体" w:eastAsia="宋体" w:hint="default"/>
                <w:spacing w:val="-39"/>
                <w:sz w:val="15"/>
                <w:szCs w:val="15"/>
              </w:rPr>
              <w:t> </w:t>
            </w:r>
            <w:r>
              <w:rPr>
                <w:rFonts w:ascii="Arial" w:hAnsi="Arial" w:cs="Arial" w:eastAsia="Arial" w:hint="default"/>
                <w:sz w:val="15"/>
                <w:szCs w:val="15"/>
              </w:rPr>
              <w:t>2018</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w:hAnsi="Arial" w:cs="Arial" w:eastAsia="Arial" w:hint="default"/>
                <w:sz w:val="15"/>
                <w:szCs w:val="15"/>
              </w:rPr>
              <w:t>5</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16</w:t>
            </w:r>
            <w:r>
              <w:rPr>
                <w:rFonts w:ascii="Arial" w:hAnsi="Arial" w:cs="Arial" w:eastAsia="Arial" w:hint="default"/>
                <w:spacing w:val="-4"/>
                <w:sz w:val="15"/>
                <w:szCs w:val="15"/>
              </w:rPr>
              <w:t> </w:t>
            </w:r>
            <w:r>
              <w:rPr>
                <w:rFonts w:ascii="宋体" w:hAnsi="宋体" w:cs="宋体" w:eastAsia="宋体" w:hint="default"/>
                <w:spacing w:val="-3"/>
                <w:sz w:val="15"/>
                <w:szCs w:val="15"/>
              </w:rPr>
              <w:t>日开</w:t>
            </w:r>
            <w:r>
              <w:rPr>
                <w:rFonts w:ascii="宋体" w:hAnsi="宋体" w:cs="宋体" w:eastAsia="宋体" w:hint="default"/>
                <w:sz w:val="15"/>
                <w:szCs w:val="15"/>
              </w:rPr>
            </w:r>
          </w:p>
        </w:tc>
        <w:tc>
          <w:tcPr>
            <w:tcW w:w="2870" w:type="dxa"/>
            <w:tcBorders>
              <w:top w:val="single" w:sz="4" w:space="0" w:color="41B7EE"/>
              <w:left w:val="single" w:sz="13" w:space="0" w:color="FFFFFF"/>
              <w:bottom w:val="single" w:sz="8" w:space="0" w:color="41B7EE"/>
              <w:right w:val="single" w:sz="4" w:space="0" w:color="41B7EE"/>
            </w:tcBorders>
          </w:tcPr>
          <w:p>
            <w:pPr>
              <w:pStyle w:val="TableParagraph"/>
              <w:spacing w:line="125" w:lineRule="exact"/>
              <w:ind w:left="12" w:right="0"/>
              <w:jc w:val="left"/>
              <w:rPr>
                <w:rFonts w:ascii="宋体" w:hAnsi="宋体" w:cs="宋体" w:eastAsia="宋体" w:hint="default"/>
                <w:sz w:val="15"/>
                <w:szCs w:val="15"/>
              </w:rPr>
            </w:pPr>
            <w:r>
              <w:rPr>
                <w:rFonts w:ascii="宋体" w:hAnsi="宋体" w:cs="宋体" w:eastAsia="宋体" w:hint="default"/>
                <w:sz w:val="15"/>
                <w:szCs w:val="15"/>
              </w:rPr>
              <w:t>一审判决：</w:t>
            </w:r>
            <w:r>
              <w:rPr>
                <w:rFonts w:ascii="Arial" w:hAnsi="Arial" w:cs="Arial" w:eastAsia="Arial" w:hint="default"/>
                <w:sz w:val="15"/>
                <w:szCs w:val="15"/>
              </w:rPr>
              <w:t>1</w:t>
            </w:r>
            <w:r>
              <w:rPr>
                <w:rFonts w:ascii="宋体" w:hAnsi="宋体" w:cs="宋体" w:eastAsia="宋体" w:hint="default"/>
                <w:sz w:val="15"/>
                <w:szCs w:val="15"/>
              </w:rPr>
              <w:t>、九三公司、青枫公司于本判</w:t>
            </w:r>
          </w:p>
          <w:p>
            <w:pPr>
              <w:pStyle w:val="TableParagraph"/>
              <w:spacing w:line="92" w:lineRule="exact"/>
              <w:ind w:left="-118" w:right="0"/>
              <w:jc w:val="left"/>
              <w:rPr>
                <w:rFonts w:ascii="宋体" w:hAnsi="宋体" w:cs="宋体" w:eastAsia="宋体" w:hint="default"/>
                <w:sz w:val="15"/>
                <w:szCs w:val="15"/>
              </w:rPr>
            </w:pPr>
            <w:r>
              <w:rPr>
                <w:rFonts w:ascii="宋体" w:hAnsi="宋体" w:cs="宋体" w:eastAsia="宋体" w:hint="default"/>
                <w:w w:val="100"/>
                <w:sz w:val="15"/>
                <w:szCs w:val="15"/>
              </w:rPr>
              <w:t>，</w:t>
            </w:r>
          </w:p>
          <w:p>
            <w:pPr>
              <w:pStyle w:val="TableParagraph"/>
              <w:spacing w:line="157" w:lineRule="exact"/>
              <w:ind w:left="12" w:right="0"/>
              <w:jc w:val="left"/>
              <w:rPr>
                <w:rFonts w:ascii="宋体" w:hAnsi="宋体" w:cs="宋体" w:eastAsia="宋体" w:hint="default"/>
                <w:sz w:val="15"/>
                <w:szCs w:val="15"/>
              </w:rPr>
            </w:pPr>
            <w:r>
              <w:rPr>
                <w:rFonts w:ascii="宋体" w:hAnsi="宋体" w:cs="宋体" w:eastAsia="宋体" w:hint="default"/>
                <w:w w:val="100"/>
                <w:sz w:val="15"/>
                <w:szCs w:val="15"/>
              </w:rPr>
              <w:t>决生</w:t>
            </w:r>
            <w:r>
              <w:rPr>
                <w:rFonts w:ascii="宋体" w:hAnsi="宋体" w:cs="宋体" w:eastAsia="宋体" w:hint="default"/>
                <w:spacing w:val="-3"/>
                <w:w w:val="100"/>
                <w:sz w:val="15"/>
                <w:szCs w:val="15"/>
              </w:rPr>
              <w:t>效</w:t>
            </w:r>
            <w:r>
              <w:rPr>
                <w:rFonts w:ascii="宋体" w:hAnsi="宋体" w:cs="宋体" w:eastAsia="宋体" w:hint="default"/>
                <w:w w:val="100"/>
                <w:sz w:val="15"/>
                <w:szCs w:val="15"/>
              </w:rPr>
              <w:t>之</w:t>
            </w:r>
            <w:r>
              <w:rPr>
                <w:rFonts w:ascii="宋体" w:hAnsi="宋体" w:cs="宋体" w:eastAsia="宋体" w:hint="default"/>
                <w:spacing w:val="-3"/>
                <w:w w:val="100"/>
                <w:sz w:val="15"/>
                <w:szCs w:val="15"/>
              </w:rPr>
              <w:t>日</w:t>
            </w:r>
            <w:r>
              <w:rPr>
                <w:rFonts w:ascii="宋体" w:hAnsi="宋体" w:cs="宋体" w:eastAsia="宋体" w:hint="default"/>
                <w:w w:val="100"/>
                <w:sz w:val="15"/>
                <w:szCs w:val="15"/>
              </w:rPr>
              <w:t>起</w:t>
            </w:r>
            <w:r>
              <w:rPr>
                <w:rFonts w:ascii="宋体" w:hAnsi="宋体" w:cs="宋体" w:eastAsia="宋体" w:hint="default"/>
                <w:spacing w:val="-3"/>
                <w:w w:val="100"/>
                <w:sz w:val="15"/>
                <w:szCs w:val="15"/>
              </w:rPr>
              <w:t>十</w:t>
            </w:r>
            <w:r>
              <w:rPr>
                <w:rFonts w:ascii="宋体" w:hAnsi="宋体" w:cs="宋体" w:eastAsia="宋体" w:hint="default"/>
                <w:w w:val="100"/>
                <w:sz w:val="15"/>
                <w:szCs w:val="15"/>
              </w:rPr>
              <w:t>日</w:t>
            </w:r>
            <w:r>
              <w:rPr>
                <w:rFonts w:ascii="宋体" w:hAnsi="宋体" w:cs="宋体" w:eastAsia="宋体" w:hint="default"/>
                <w:spacing w:val="-3"/>
                <w:w w:val="100"/>
                <w:sz w:val="15"/>
                <w:szCs w:val="15"/>
              </w:rPr>
              <w:t>内按</w:t>
            </w:r>
            <w:r>
              <w:rPr>
                <w:rFonts w:ascii="宋体" w:hAnsi="宋体" w:cs="宋体" w:eastAsia="宋体" w:hint="default"/>
                <w:w w:val="100"/>
                <w:sz w:val="15"/>
                <w:szCs w:val="15"/>
              </w:rPr>
              <w:t>照</w:t>
            </w:r>
            <w:r>
              <w:rPr>
                <w:rFonts w:ascii="宋体" w:hAnsi="宋体" w:cs="宋体" w:eastAsia="宋体" w:hint="default"/>
                <w:spacing w:val="-36"/>
                <w:sz w:val="15"/>
                <w:szCs w:val="15"/>
              </w:rPr>
              <w:t> </w:t>
            </w:r>
            <w:r>
              <w:rPr>
                <w:rFonts w:ascii="Arial" w:hAnsi="Arial" w:cs="Arial" w:eastAsia="Arial" w:hint="default"/>
                <w:w w:val="100"/>
                <w:sz w:val="15"/>
                <w:szCs w:val="15"/>
              </w:rPr>
              <w:t>0</w:t>
            </w:r>
            <w:r>
              <w:rPr>
                <w:rFonts w:ascii="Arial" w:hAnsi="Arial" w:cs="Arial" w:eastAsia="Arial" w:hint="default"/>
                <w:spacing w:val="-3"/>
                <w:w w:val="100"/>
                <w:sz w:val="15"/>
                <w:szCs w:val="15"/>
              </w:rPr>
              <w:t>5</w:t>
            </w:r>
            <w:r>
              <w:rPr>
                <w:rFonts w:ascii="Arial" w:hAnsi="Arial" w:cs="Arial" w:eastAsia="Arial" w:hint="default"/>
                <w:w w:val="100"/>
                <w:sz w:val="15"/>
                <w:szCs w:val="15"/>
              </w:rPr>
              <w:t>9</w:t>
            </w:r>
            <w:r>
              <w:rPr>
                <w:rFonts w:ascii="Arial" w:hAnsi="Arial" w:cs="Arial" w:eastAsia="Arial" w:hint="default"/>
                <w:spacing w:val="-4"/>
                <w:sz w:val="15"/>
                <w:szCs w:val="15"/>
              </w:rPr>
              <w:t> </w:t>
            </w:r>
            <w:r>
              <w:rPr>
                <w:rFonts w:ascii="宋体" w:hAnsi="宋体" w:cs="宋体" w:eastAsia="宋体" w:hint="default"/>
                <w:spacing w:val="-77"/>
                <w:w w:val="100"/>
                <w:sz w:val="15"/>
                <w:szCs w:val="15"/>
              </w:rPr>
              <w:t>号</w:t>
            </w:r>
            <w:r>
              <w:rPr>
                <w:rFonts w:ascii="宋体" w:hAnsi="宋体" w:cs="宋体" w:eastAsia="宋体" w:hint="default"/>
                <w:w w:val="100"/>
                <w:sz w:val="15"/>
                <w:szCs w:val="15"/>
              </w:rPr>
              <w:t>《</w:t>
            </w:r>
            <w:r>
              <w:rPr>
                <w:rFonts w:ascii="宋体" w:hAnsi="宋体" w:cs="宋体" w:eastAsia="宋体" w:hint="default"/>
                <w:spacing w:val="-3"/>
                <w:w w:val="100"/>
                <w:sz w:val="15"/>
                <w:szCs w:val="15"/>
              </w:rPr>
              <w:t>亚</w:t>
            </w:r>
            <w:r>
              <w:rPr>
                <w:rFonts w:ascii="宋体" w:hAnsi="宋体" w:cs="宋体" w:eastAsia="宋体" w:hint="default"/>
                <w:w w:val="100"/>
                <w:sz w:val="15"/>
                <w:szCs w:val="15"/>
              </w:rPr>
              <w:t>麻纱加</w:t>
            </w:r>
          </w:p>
          <w:p>
            <w:pPr>
              <w:pStyle w:val="TableParagraph"/>
              <w:spacing w:line="190" w:lineRule="exact"/>
              <w:ind w:left="12" w:right="0"/>
              <w:jc w:val="left"/>
              <w:rPr>
                <w:rFonts w:ascii="宋体" w:hAnsi="宋体" w:cs="宋体" w:eastAsia="宋体" w:hint="default"/>
                <w:sz w:val="15"/>
                <w:szCs w:val="15"/>
              </w:rPr>
            </w:pPr>
            <w:r>
              <w:rPr>
                <w:rFonts w:ascii="宋体" w:hAnsi="宋体" w:cs="宋体" w:eastAsia="宋体" w:hint="default"/>
                <w:sz w:val="15"/>
                <w:szCs w:val="15"/>
              </w:rPr>
              <w:t>工合同》及</w:t>
            </w:r>
          </w:p>
          <w:p>
            <w:pPr>
              <w:pStyle w:val="TableParagraph"/>
              <w:spacing w:line="163" w:lineRule="exact" w:before="18"/>
              <w:ind w:left="12" w:right="0"/>
              <w:jc w:val="left"/>
              <w:rPr>
                <w:rFonts w:ascii="Arial" w:hAnsi="Arial" w:cs="Arial" w:eastAsia="Arial" w:hint="default"/>
                <w:sz w:val="15"/>
                <w:szCs w:val="15"/>
              </w:rPr>
            </w:pPr>
            <w:r>
              <w:rPr>
                <w:rFonts w:ascii="Arial"/>
                <w:sz w:val="15"/>
              </w:rPr>
              <w:t>XY-SLYMQFYM20120731-JGHT-GJ-110</w:t>
            </w:r>
          </w:p>
          <w:p>
            <w:pPr>
              <w:pStyle w:val="TableParagraph"/>
              <w:spacing w:line="194" w:lineRule="exact" w:before="10"/>
              <w:ind w:left="12" w:right="28"/>
              <w:jc w:val="left"/>
              <w:rPr>
                <w:rFonts w:ascii="宋体" w:hAnsi="宋体" w:cs="宋体" w:eastAsia="宋体" w:hint="default"/>
                <w:sz w:val="15"/>
                <w:szCs w:val="15"/>
              </w:rPr>
            </w:pPr>
            <w:r>
              <w:rPr>
                <w:rFonts w:ascii="宋体" w:hAnsi="宋体" w:cs="宋体" w:eastAsia="宋体" w:hint="default"/>
                <w:spacing w:val="-4"/>
                <w:sz w:val="15"/>
                <w:szCs w:val="15"/>
              </w:rPr>
              <w:t>号《亚麻加工合同》的约定给付鑫亚公司已</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加工完成的亚麻纱及亚麻布；</w:t>
            </w:r>
            <w:r>
              <w:rPr>
                <w:rFonts w:ascii="Arial" w:hAnsi="Arial" w:cs="Arial" w:eastAsia="Arial" w:hint="default"/>
                <w:sz w:val="15"/>
                <w:szCs w:val="15"/>
              </w:rPr>
              <w:t>2</w:t>
            </w:r>
            <w:r>
              <w:rPr>
                <w:rFonts w:ascii="宋体" w:hAnsi="宋体" w:cs="宋体" w:eastAsia="宋体" w:hint="default"/>
                <w:sz w:val="15"/>
                <w:szCs w:val="15"/>
              </w:rPr>
              <w:t>、驳回鑫亚</w:t>
            </w:r>
            <w:r>
              <w:rPr>
                <w:rFonts w:ascii="宋体" w:hAnsi="宋体" w:cs="宋体" w:eastAsia="宋体" w:hint="default"/>
                <w:w w:val="100"/>
                <w:sz w:val="15"/>
                <w:szCs w:val="15"/>
              </w:rPr>
              <w:t> </w:t>
            </w:r>
            <w:r>
              <w:rPr>
                <w:rFonts w:ascii="宋体" w:hAnsi="宋体" w:cs="宋体" w:eastAsia="宋体" w:hint="default"/>
                <w:sz w:val="15"/>
                <w:szCs w:val="15"/>
              </w:rPr>
              <w:t>公司的其他诉讼请求。案件受理费</w:t>
            </w:r>
            <w:r>
              <w:rPr>
                <w:rFonts w:ascii="宋体" w:hAnsi="宋体" w:cs="宋体" w:eastAsia="宋体" w:hint="default"/>
                <w:w w:val="100"/>
                <w:sz w:val="15"/>
                <w:szCs w:val="15"/>
              </w:rPr>
              <w:t> </w:t>
            </w:r>
            <w:r>
              <w:rPr>
                <w:rFonts w:ascii="Arial" w:hAnsi="Arial" w:cs="Arial" w:eastAsia="Arial" w:hint="default"/>
                <w:sz w:val="15"/>
                <w:szCs w:val="15"/>
              </w:rPr>
              <w:t>366,871.00</w:t>
            </w:r>
            <w:r>
              <w:rPr>
                <w:rFonts w:ascii="Arial" w:hAnsi="Arial" w:cs="Arial" w:eastAsia="Arial" w:hint="default"/>
                <w:spacing w:val="-7"/>
                <w:sz w:val="15"/>
                <w:szCs w:val="15"/>
              </w:rPr>
              <w:t> </w:t>
            </w:r>
            <w:r>
              <w:rPr>
                <w:rFonts w:ascii="宋体" w:hAnsi="宋体" w:cs="宋体" w:eastAsia="宋体" w:hint="default"/>
                <w:sz w:val="15"/>
                <w:szCs w:val="15"/>
              </w:rPr>
              <w:t>元，由鑫亚公司负担</w:t>
            </w:r>
          </w:p>
          <w:p>
            <w:pPr>
              <w:pStyle w:val="TableParagraph"/>
              <w:spacing w:line="181" w:lineRule="exact"/>
              <w:ind w:left="12" w:right="0"/>
              <w:jc w:val="left"/>
              <w:rPr>
                <w:rFonts w:ascii="宋体" w:hAnsi="宋体" w:cs="宋体" w:eastAsia="宋体" w:hint="default"/>
                <w:sz w:val="15"/>
                <w:szCs w:val="15"/>
              </w:rPr>
            </w:pPr>
            <w:r>
              <w:rPr>
                <w:rFonts w:ascii="Arial" w:hAnsi="Arial" w:cs="Arial" w:eastAsia="Arial" w:hint="default"/>
                <w:sz w:val="15"/>
                <w:szCs w:val="15"/>
              </w:rPr>
              <w:t>183,435.50</w:t>
            </w:r>
            <w:r>
              <w:rPr>
                <w:rFonts w:ascii="Arial" w:hAnsi="Arial" w:cs="Arial" w:eastAsia="Arial" w:hint="default"/>
                <w:spacing w:val="-8"/>
                <w:sz w:val="15"/>
                <w:szCs w:val="15"/>
              </w:rPr>
              <w:t> </w:t>
            </w:r>
            <w:r>
              <w:rPr>
                <w:rFonts w:ascii="宋体" w:hAnsi="宋体" w:cs="宋体" w:eastAsia="宋体" w:hint="default"/>
                <w:sz w:val="15"/>
                <w:szCs w:val="15"/>
              </w:rPr>
              <w:t>元，九三公司、青枫公司负担</w:t>
            </w:r>
          </w:p>
          <w:p>
            <w:pPr>
              <w:pStyle w:val="TableParagraph"/>
              <w:spacing w:line="195" w:lineRule="exact"/>
              <w:ind w:left="12" w:right="0"/>
              <w:jc w:val="left"/>
              <w:rPr>
                <w:rFonts w:ascii="宋体" w:hAnsi="宋体" w:cs="宋体" w:eastAsia="宋体" w:hint="default"/>
                <w:sz w:val="15"/>
                <w:szCs w:val="15"/>
              </w:rPr>
            </w:pPr>
            <w:r>
              <w:rPr>
                <w:rFonts w:ascii="Arial" w:hAnsi="Arial" w:cs="Arial" w:eastAsia="Arial" w:hint="default"/>
                <w:sz w:val="15"/>
                <w:szCs w:val="15"/>
              </w:rPr>
              <w:t>183,435.50</w:t>
            </w:r>
            <w:r>
              <w:rPr>
                <w:rFonts w:ascii="Arial" w:hAnsi="Arial" w:cs="Arial" w:eastAsia="Arial" w:hint="default"/>
                <w:spacing w:val="-3"/>
                <w:sz w:val="15"/>
                <w:szCs w:val="15"/>
              </w:rPr>
              <w:t> </w:t>
            </w:r>
            <w:r>
              <w:rPr>
                <w:rFonts w:ascii="宋体" w:hAnsi="宋体" w:cs="宋体" w:eastAsia="宋体" w:hint="default"/>
                <w:spacing w:val="-3"/>
                <w:sz w:val="15"/>
                <w:szCs w:val="15"/>
              </w:rPr>
              <w:t>元。</w:t>
            </w:r>
            <w:r>
              <w:rPr>
                <w:rFonts w:ascii="宋体" w:hAnsi="宋体" w:cs="宋体" w:eastAsia="宋体" w:hint="default"/>
                <w:sz w:val="15"/>
                <w:szCs w:val="15"/>
              </w:rPr>
            </w:r>
          </w:p>
          <w:p>
            <w:pPr>
              <w:pStyle w:val="TableParagraph"/>
              <w:spacing w:line="189" w:lineRule="exact"/>
              <w:ind w:left="12" w:right="0"/>
              <w:jc w:val="left"/>
              <w:rPr>
                <w:rFonts w:ascii="宋体" w:hAnsi="宋体" w:cs="宋体" w:eastAsia="宋体" w:hint="default"/>
                <w:sz w:val="15"/>
                <w:szCs w:val="15"/>
              </w:rPr>
            </w:pPr>
            <w:r>
              <w:rPr>
                <w:rFonts w:ascii="宋体" w:hAnsi="宋体" w:cs="宋体" w:eastAsia="宋体" w:hint="default"/>
                <w:spacing w:val="-4"/>
                <w:sz w:val="15"/>
                <w:szCs w:val="15"/>
              </w:rPr>
              <w:t>二审判决：一、撤销黑龙江省农垦中级法院</w:t>
            </w:r>
          </w:p>
          <w:p>
            <w:pPr>
              <w:pStyle w:val="TableParagraph"/>
              <w:spacing w:line="194" w:lineRule="exact" w:before="19"/>
              <w:ind w:left="12" w:right="31"/>
              <w:jc w:val="left"/>
              <w:rPr>
                <w:rFonts w:ascii="宋体" w:hAnsi="宋体" w:cs="宋体" w:eastAsia="宋体" w:hint="default"/>
                <w:sz w:val="15"/>
                <w:szCs w:val="15"/>
              </w:rPr>
            </w:pPr>
            <w:r>
              <w:rPr>
                <w:rFonts w:ascii="宋体" w:hAnsi="宋体" w:cs="宋体" w:eastAsia="宋体" w:hint="default"/>
                <w:sz w:val="15"/>
                <w:szCs w:val="15"/>
              </w:rPr>
              <w:t>（</w:t>
            </w:r>
            <w:r>
              <w:rPr>
                <w:rFonts w:ascii="Arial" w:hAnsi="Arial" w:cs="Arial" w:eastAsia="Arial" w:hint="default"/>
                <w:sz w:val="15"/>
                <w:szCs w:val="15"/>
              </w:rPr>
              <w:t>2016)</w:t>
            </w:r>
            <w:r>
              <w:rPr>
                <w:rFonts w:ascii="宋体" w:hAnsi="宋体" w:cs="宋体" w:eastAsia="宋体" w:hint="default"/>
                <w:sz w:val="15"/>
                <w:szCs w:val="15"/>
              </w:rPr>
              <w:t>黑</w:t>
            </w:r>
            <w:r>
              <w:rPr>
                <w:rFonts w:ascii="宋体" w:hAnsi="宋体" w:cs="宋体" w:eastAsia="宋体" w:hint="default"/>
                <w:spacing w:val="-38"/>
                <w:sz w:val="15"/>
                <w:szCs w:val="15"/>
              </w:rPr>
              <w:t> </w:t>
            </w:r>
            <w:r>
              <w:rPr>
                <w:rFonts w:ascii="Arial" w:hAnsi="Arial" w:cs="Arial" w:eastAsia="Arial" w:hint="default"/>
                <w:sz w:val="15"/>
                <w:szCs w:val="15"/>
              </w:rPr>
              <w:t>81</w:t>
            </w:r>
            <w:r>
              <w:rPr>
                <w:rFonts w:ascii="Arial" w:hAnsi="Arial" w:cs="Arial" w:eastAsia="Arial" w:hint="default"/>
                <w:spacing w:val="-7"/>
                <w:sz w:val="15"/>
                <w:szCs w:val="15"/>
              </w:rPr>
              <w:t> </w:t>
            </w:r>
            <w:r>
              <w:rPr>
                <w:rFonts w:ascii="宋体" w:hAnsi="宋体" w:cs="宋体" w:eastAsia="宋体" w:hint="default"/>
                <w:sz w:val="15"/>
                <w:szCs w:val="15"/>
              </w:rPr>
              <w:t>民初</w:t>
            </w:r>
            <w:r>
              <w:rPr>
                <w:rFonts w:ascii="宋体" w:hAnsi="宋体" w:cs="宋体" w:eastAsia="宋体" w:hint="default"/>
                <w:spacing w:val="-37"/>
                <w:sz w:val="15"/>
                <w:szCs w:val="15"/>
              </w:rPr>
              <w:t> </w:t>
            </w:r>
            <w:r>
              <w:rPr>
                <w:rFonts w:ascii="Arial" w:hAnsi="Arial" w:cs="Arial" w:eastAsia="Arial" w:hint="default"/>
                <w:sz w:val="15"/>
                <w:szCs w:val="15"/>
              </w:rPr>
              <w:t>3</w:t>
            </w:r>
            <w:r>
              <w:rPr>
                <w:rFonts w:ascii="Arial" w:hAnsi="Arial" w:cs="Arial" w:eastAsia="Arial" w:hint="default"/>
                <w:spacing w:val="-7"/>
                <w:sz w:val="15"/>
                <w:szCs w:val="15"/>
              </w:rPr>
              <w:t> </w:t>
            </w:r>
            <w:r>
              <w:rPr>
                <w:rFonts w:ascii="宋体" w:hAnsi="宋体" w:cs="宋体" w:eastAsia="宋体" w:hint="default"/>
                <w:sz w:val="15"/>
                <w:szCs w:val="15"/>
              </w:rPr>
              <w:t>号民事判决；二、黑</w:t>
            </w:r>
            <w:r>
              <w:rPr>
                <w:rFonts w:ascii="宋体" w:hAnsi="宋体" w:cs="宋体" w:eastAsia="宋体" w:hint="default"/>
                <w:w w:val="100"/>
                <w:sz w:val="15"/>
                <w:szCs w:val="15"/>
              </w:rPr>
              <w:t> </w:t>
            </w:r>
            <w:r>
              <w:rPr>
                <w:rFonts w:ascii="宋体" w:hAnsi="宋体" w:cs="宋体" w:eastAsia="宋体" w:hint="default"/>
                <w:spacing w:val="-4"/>
                <w:sz w:val="15"/>
                <w:szCs w:val="15"/>
              </w:rPr>
              <w:t>龙江农垦九三圣龙亚麻产业有限公司、北大</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荒青枫亚麻纺织有限公司于本判决送达之</w:t>
            </w:r>
            <w:r>
              <w:rPr>
                <w:rFonts w:ascii="宋体" w:hAnsi="宋体" w:cs="宋体" w:eastAsia="宋体" w:hint="default"/>
                <w:w w:val="100"/>
                <w:sz w:val="15"/>
                <w:szCs w:val="15"/>
              </w:rPr>
              <w:t> </w:t>
            </w:r>
            <w:r>
              <w:rPr>
                <w:rFonts w:ascii="宋体" w:hAnsi="宋体" w:cs="宋体" w:eastAsia="宋体" w:hint="default"/>
                <w:sz w:val="15"/>
                <w:szCs w:val="15"/>
              </w:rPr>
              <w:t>日起六十日内给付北大荒鑫亚经贸有限责</w:t>
            </w:r>
            <w:r>
              <w:rPr>
                <w:rFonts w:ascii="宋体" w:hAnsi="宋体" w:cs="宋体" w:eastAsia="宋体" w:hint="default"/>
                <w:w w:val="100"/>
                <w:sz w:val="15"/>
                <w:szCs w:val="15"/>
              </w:rPr>
              <w:t> </w:t>
            </w:r>
            <w:r>
              <w:rPr>
                <w:rFonts w:ascii="宋体" w:hAnsi="宋体" w:cs="宋体" w:eastAsia="宋体" w:hint="default"/>
                <w:sz w:val="15"/>
                <w:szCs w:val="15"/>
              </w:rPr>
              <w:t>任公司已加工完成的</w:t>
            </w:r>
            <w:r>
              <w:rPr>
                <w:rFonts w:ascii="宋体" w:hAnsi="宋体" w:cs="宋体" w:eastAsia="宋体" w:hint="default"/>
                <w:spacing w:val="-38"/>
                <w:sz w:val="15"/>
                <w:szCs w:val="15"/>
              </w:rPr>
              <w:t> </w:t>
            </w:r>
            <w:r>
              <w:rPr>
                <w:rFonts w:ascii="Arial" w:hAnsi="Arial" w:cs="Arial" w:eastAsia="Arial" w:hint="default"/>
                <w:sz w:val="15"/>
                <w:szCs w:val="15"/>
              </w:rPr>
              <w:t>L24N</w:t>
            </w:r>
            <w:r>
              <w:rPr>
                <w:rFonts w:ascii="Arial" w:hAnsi="Arial" w:cs="Arial" w:eastAsia="Arial" w:hint="default"/>
                <w:spacing w:val="-7"/>
                <w:sz w:val="15"/>
                <w:szCs w:val="15"/>
              </w:rPr>
              <w:t> </w:t>
            </w:r>
            <w:r>
              <w:rPr>
                <w:rFonts w:ascii="宋体" w:hAnsi="宋体" w:cs="宋体" w:eastAsia="宋体" w:hint="default"/>
                <w:sz w:val="15"/>
                <w:szCs w:val="15"/>
              </w:rPr>
              <w:t>型长麻纱</w:t>
            </w:r>
          </w:p>
        </w:tc>
        <w:tc>
          <w:tcPr>
            <w:tcW w:w="1518" w:type="dxa"/>
            <w:tcBorders>
              <w:top w:val="single" w:sz="4" w:space="0" w:color="41B7EE"/>
              <w:left w:val="single" w:sz="4" w:space="0" w:color="41B7EE"/>
              <w:bottom w:val="single" w:sz="8" w:space="0" w:color="41B7EE"/>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1"/>
                <w:szCs w:val="11"/>
              </w:rPr>
            </w:pPr>
          </w:p>
          <w:p>
            <w:pPr>
              <w:pStyle w:val="TableParagraph"/>
              <w:spacing w:line="240" w:lineRule="auto"/>
              <w:ind w:left="10" w:right="0"/>
              <w:jc w:val="left"/>
              <w:rPr>
                <w:rFonts w:ascii="宋体" w:hAnsi="宋体" w:cs="宋体" w:eastAsia="宋体" w:hint="default"/>
                <w:sz w:val="15"/>
                <w:szCs w:val="15"/>
              </w:rPr>
            </w:pPr>
            <w:r>
              <w:rPr>
                <w:rFonts w:ascii="宋体" w:hAnsi="宋体" w:cs="宋体" w:eastAsia="宋体" w:hint="default"/>
                <w:sz w:val="15"/>
                <w:szCs w:val="15"/>
              </w:rPr>
              <w:t>案件正在执行中。</w:t>
            </w:r>
          </w:p>
        </w:tc>
      </w:tr>
    </w:tbl>
    <w:p>
      <w:pPr>
        <w:spacing w:after="0" w:line="240" w:lineRule="auto"/>
        <w:jc w:val="left"/>
        <w:rPr>
          <w:rFonts w:ascii="宋体" w:hAnsi="宋体" w:cs="宋体" w:eastAsia="宋体" w:hint="default"/>
          <w:sz w:val="15"/>
          <w:szCs w:val="15"/>
        </w:rPr>
        <w:sectPr>
          <w:pgSz w:w="16840" w:h="11910" w:orient="landscape"/>
          <w:pgMar w:header="825" w:footer="1195" w:top="1360" w:bottom="1460" w:left="1300" w:right="1360"/>
        </w:sectPr>
      </w:pPr>
    </w:p>
    <w:p>
      <w:pPr>
        <w:spacing w:line="240" w:lineRule="auto" w:before="0"/>
        <w:rPr>
          <w:rFonts w:ascii="Times New Roman" w:hAnsi="Times New Roman" w:cs="Times New Roman" w:eastAsia="Times New Roman" w:hint="default"/>
          <w:sz w:val="20"/>
          <w:szCs w:val="20"/>
        </w:rPr>
      </w:pPr>
      <w:r>
        <w:rPr/>
        <w:pict>
          <v:shape style="position:absolute;margin-left:678.095459pt;margin-top:229.610001pt;width:89.05pt;height:131.3pt;mso-position-horizontal-relative:page;mso-position-vertical-relative:page;z-index:-943984" type="#_x0000_t202" filled="false" stroked="false">
            <v:textbox inset="0,0,0,0">
              <w:txbxContent>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3"/>
                    <w:rPr>
                      <w:rFonts w:ascii="Times New Roman" w:hAnsi="Times New Roman" w:cs="Times New Roman" w:eastAsia="Times New Roman" w:hint="default"/>
                      <w:sz w:val="18"/>
                      <w:szCs w:val="18"/>
                    </w:rPr>
                  </w:pPr>
                </w:p>
                <w:p>
                  <w:pPr>
                    <w:spacing w:before="0"/>
                    <w:ind w:left="0" w:right="0" w:firstLine="0"/>
                    <w:jc w:val="left"/>
                    <w:rPr>
                      <w:rFonts w:ascii="宋体" w:hAnsi="宋体" w:cs="宋体" w:eastAsia="宋体" w:hint="default"/>
                      <w:sz w:val="15"/>
                      <w:szCs w:val="15"/>
                    </w:rPr>
                  </w:pPr>
                  <w:r>
                    <w:rPr>
                      <w:rFonts w:ascii="宋体" w:hAnsi="宋体" w:cs="宋体" w:eastAsia="宋体" w:hint="default"/>
                      <w:sz w:val="15"/>
                      <w:szCs w:val="15"/>
                    </w:rPr>
                    <w:t>一、</w:t>
                  </w:r>
                </w:p>
              </w:txbxContent>
            </v:textbox>
            <w10:wrap type="none"/>
          </v:shape>
        </w:pict>
      </w:r>
      <w:r>
        <w:rPr/>
        <w:pict>
          <v:group style="position:absolute;margin-left:549.190002pt;margin-top:229.610001pt;width:217.95pt;height:131.3pt;mso-position-horizontal-relative:page;mso-position-vertical-relative:page;z-index:-943960" coordorigin="10984,4592" coordsize="4359,2626">
            <v:group style="position:absolute;left:10984;top:5564;width:2802;height:195" coordorigin="10984,5564" coordsize="2802,195">
              <v:shape style="position:absolute;left:10984;top:5564;width:2802;height:195" coordorigin="10984,5564" coordsize="2802,195" path="m10984,5759l13785,5759,13785,5564,10984,5564,10984,5759xe" filled="true" fillcolor="#ffffff" stroked="false">
                <v:path arrowok="t"/>
                <v:fill type="solid"/>
              </v:shape>
            </v:group>
            <v:group style="position:absolute;left:10984;top:5759;width:2802;height:195" coordorigin="10984,5759" coordsize="2802,195">
              <v:shape style="position:absolute;left:10984;top:5759;width:2802;height:195" coordorigin="10984,5759" coordsize="2802,195" path="m10984,5953l13785,5953,13785,5759,10984,5759,10984,5953xe" filled="true" fillcolor="#ffffff" stroked="false">
                <v:path arrowok="t"/>
                <v:fill type="solid"/>
              </v:shape>
            </v:group>
            <v:group style="position:absolute;left:13819;top:4592;width:1524;height:2626" coordorigin="13819,4592" coordsize="1524,2626">
              <v:shape style="position:absolute;left:13819;top:4592;width:1524;height:2626" coordorigin="13819,4592" coordsize="1524,2626" path="m13819,7218l15343,7218,15343,4592,13819,4592,13819,7218xe" filled="true" fillcolor="#ffffff" stroked="false">
                <v:path arrowok="t"/>
                <v:fill type="solid"/>
              </v:shape>
            </v:group>
            <w10:wrap type="none"/>
          </v:group>
        </w:pict>
      </w:r>
      <w:r>
        <w:rPr/>
        <w:pict>
          <v:group style="position:absolute;margin-left:549.190002pt;margin-top:506.256012pt;width:140.1pt;height:9.75pt;mso-position-horizontal-relative:page;mso-position-vertical-relative:page;z-index:-943936" coordorigin="10984,10125" coordsize="2802,195">
            <v:shape style="position:absolute;left:10984;top:10125;width:2802;height:195" coordorigin="10984,10125" coordsize="2802,195" path="m10984,10320l13785,10320,13785,10125,10984,10125,10984,10320xe" filled="true" fillcolor="#ffffff" stroked="false">
              <v:path arrowok="t"/>
              <v:fill type="solid"/>
            </v:shape>
            <w10:wrap type="none"/>
          </v:group>
        </w:pict>
      </w:r>
    </w:p>
    <w:p>
      <w:pPr>
        <w:spacing w:line="240" w:lineRule="auto" w:before="2"/>
        <w:rPr>
          <w:rFonts w:ascii="Times New Roman" w:hAnsi="Times New Roman" w:cs="Times New Roman" w:eastAsia="Times New Roman" w:hint="default"/>
          <w:sz w:val="17"/>
          <w:szCs w:val="17"/>
        </w:rPr>
      </w:pPr>
    </w:p>
    <w:p>
      <w:pPr>
        <w:spacing w:line="20" w:lineRule="exact"/>
        <w:ind w:left="10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7.55pt;height:1pt;mso-position-horizontal-relative:char;mso-position-vertical-relative:line" coordorigin="0,0" coordsize="13951,20">
            <v:group style="position:absolute;left:10;top:10;width:608;height:2" coordorigin="10,10" coordsize="608,2">
              <v:shape style="position:absolute;left:10;top:10;width:608;height:2" coordorigin="10,10" coordsize="608,0" path="m10,10l617,10e" filled="false" stroked="true" strokeweight=".96pt" strokecolor="#41b7ee">
                <v:path arrowok="t"/>
              </v:shape>
            </v:group>
            <v:group style="position:absolute;left:617;top:10;width:58;height:2" coordorigin="617,10" coordsize="58,2">
              <v:shape style="position:absolute;left:617;top:10;width:58;height:2" coordorigin="617,10" coordsize="58,0" path="m617,10l675,10e" filled="false" stroked="true" strokeweight=".96pt" strokecolor="#41b7ee">
                <v:path arrowok="t"/>
              </v:shape>
            </v:group>
            <v:group style="position:absolute;left:675;top:10;width:588;height:2" coordorigin="675,10" coordsize="588,2">
              <v:shape style="position:absolute;left:675;top:10;width:588;height:2" coordorigin="675,10" coordsize="588,0" path="m675,10l1263,10e" filled="false" stroked="true" strokeweight=".96pt" strokecolor="#41b7ee">
                <v:path arrowok="t"/>
              </v:shape>
            </v:group>
            <v:group style="position:absolute;left:1263;top:10;width:58;height:2" coordorigin="1263,10" coordsize="58,2">
              <v:shape style="position:absolute;left:1263;top:10;width:58;height:2" coordorigin="1263,10" coordsize="58,0" path="m1263,10l1320,10e" filled="false" stroked="true" strokeweight=".96pt" strokecolor="#41b7ee">
                <v:path arrowok="t"/>
              </v:shape>
            </v:group>
            <v:group style="position:absolute;left:1320;top:10;width:737;height:2" coordorigin="1320,10" coordsize="737,2">
              <v:shape style="position:absolute;left:1320;top:10;width:737;height:2" coordorigin="1320,10" coordsize="737,0" path="m1320,10l2057,10e" filled="false" stroked="true" strokeweight=".96pt" strokecolor="#41b7ee">
                <v:path arrowok="t"/>
              </v:shape>
            </v:group>
            <v:group style="position:absolute;left:2057;top:10;width:58;height:2" coordorigin="2057,10" coordsize="58,2">
              <v:shape style="position:absolute;left:2057;top:10;width:58;height:2" coordorigin="2057,10" coordsize="58,0" path="m2057,10l2115,10e" filled="false" stroked="true" strokeweight=".96pt" strokecolor="#41b7ee">
                <v:path arrowok="t"/>
              </v:shape>
            </v:group>
            <v:group style="position:absolute;left:2115;top:10;width:543;height:2" coordorigin="2115,10" coordsize="543,2">
              <v:shape style="position:absolute;left:2115;top:10;width:543;height:2" coordorigin="2115,10" coordsize="543,0" path="m2115,10l2657,10e" filled="false" stroked="true" strokeweight=".96pt" strokecolor="#41b7ee">
                <v:path arrowok="t"/>
              </v:shape>
            </v:group>
            <v:group style="position:absolute;left:2657;top:10;width:58;height:2" coordorigin="2657,10" coordsize="58,2">
              <v:shape style="position:absolute;left:2657;top:10;width:58;height:2" coordorigin="2657,10" coordsize="58,0" path="m2657,10l2715,10e" filled="false" stroked="true" strokeweight=".96pt" strokecolor="#41b7ee">
                <v:path arrowok="t"/>
              </v:shape>
            </v:group>
            <v:group style="position:absolute;left:2715;top:10;width:2216;height:2" coordorigin="2715,10" coordsize="2216,2">
              <v:shape style="position:absolute;left:2715;top:10;width:2216;height:2" coordorigin="2715,10" coordsize="2216,0" path="m2715,10l4930,10e" filled="false" stroked="true" strokeweight=".96pt" strokecolor="#41b7ee">
                <v:path arrowok="t"/>
              </v:shape>
            </v:group>
            <v:group style="position:absolute;left:4931;top:10;width:58;height:2" coordorigin="4931,10" coordsize="58,2">
              <v:shape style="position:absolute;left:4931;top:10;width:58;height:2" coordorigin="4931,10" coordsize="58,0" path="m4931,10l4988,10e" filled="false" stroked="true" strokeweight=".96pt" strokecolor="#41b7ee">
                <v:path arrowok="t"/>
              </v:shape>
            </v:group>
            <v:group style="position:absolute;left:4988;top:10;width:1301;height:2" coordorigin="4988,10" coordsize="1301,2">
              <v:shape style="position:absolute;left:4988;top:10;width:1301;height:2" coordorigin="4988,10" coordsize="1301,0" path="m4988,10l6289,10e" filled="false" stroked="true" strokeweight=".96pt" strokecolor="#41b7ee">
                <v:path arrowok="t"/>
              </v:shape>
            </v:group>
            <v:group style="position:absolute;left:6289;top:10;width:58;height:2" coordorigin="6289,10" coordsize="58,2">
              <v:shape style="position:absolute;left:6289;top:10;width:58;height:2" coordorigin="6289,10" coordsize="58,0" path="m6289,10l6347,10e" filled="false" stroked="true" strokeweight=".96pt" strokecolor="#41b7ee">
                <v:path arrowok="t"/>
              </v:shape>
            </v:group>
            <v:group style="position:absolute;left:6347;top:10;width:780;height:2" coordorigin="6347,10" coordsize="780,2">
              <v:shape style="position:absolute;left:6347;top:10;width:780;height:2" coordorigin="6347,10" coordsize="780,0" path="m6347,10l7127,10e" filled="false" stroked="true" strokeweight=".96pt" strokecolor="#41b7ee">
                <v:path arrowok="t"/>
              </v:shape>
            </v:group>
            <v:group style="position:absolute;left:7127;top:10;width:58;height:2" coordorigin="7127,10" coordsize="58,2">
              <v:shape style="position:absolute;left:7127;top:10;width:58;height:2" coordorigin="7127,10" coordsize="58,0" path="m7127,10l7184,10e" filled="false" stroked="true" strokeweight=".96pt" strokecolor="#41b7ee">
                <v:path arrowok="t"/>
              </v:shape>
            </v:group>
            <v:group style="position:absolute;left:7184;top:10;width:2365;height:2" coordorigin="7184,10" coordsize="2365,2">
              <v:shape style="position:absolute;left:7184;top:10;width:2365;height:2" coordorigin="7184,10" coordsize="2365,0" path="m7184,10l9549,10e" filled="false" stroked="true" strokeweight=".96pt" strokecolor="#41b7ee">
                <v:path arrowok="t"/>
              </v:shape>
            </v:group>
            <v:group style="position:absolute;left:9549;top:10;width:58;height:2" coordorigin="9549,10" coordsize="58,2">
              <v:shape style="position:absolute;left:9549;top:10;width:58;height:2" coordorigin="9549,10" coordsize="58,0" path="m9549,10l9606,10e" filled="false" stroked="true" strokeweight=".96pt" strokecolor="#41b7ee">
                <v:path arrowok="t"/>
              </v:shape>
            </v:group>
            <v:group style="position:absolute;left:9606;top:10;width:2802;height:2" coordorigin="9606,10" coordsize="2802,2">
              <v:shape style="position:absolute;left:9606;top:10;width:2802;height:2" coordorigin="9606,10" coordsize="2802,0" path="m9606,10l12407,10e" filled="false" stroked="true" strokeweight=".96pt" strokecolor="#41b7ee">
                <v:path arrowok="t"/>
              </v:shape>
            </v:group>
            <v:group style="position:absolute;left:12408;top:10;width:58;height:2" coordorigin="12408,10" coordsize="58,2">
              <v:shape style="position:absolute;left:12408;top:10;width:58;height:2" coordorigin="12408,10" coordsize="58,0" path="m12408,10l12465,10e" filled="false" stroked="true" strokeweight=".96pt" strokecolor="#41b7ee">
                <v:path arrowok="t"/>
              </v:shape>
            </v:group>
            <v:group style="position:absolute;left:12465;top:10;width:1476;height:2" coordorigin="12465,10" coordsize="1476,2">
              <v:shape style="position:absolute;left:12465;top:10;width:1476;height:2" coordorigin="12465,10" coordsize="1476,0" path="m12465,10l13941,10e" filled="false" stroked="true" strokeweight=".96pt" strokecolor="#41b7ee">
                <v:path arrowok="t"/>
              </v:shape>
            </v:group>
          </v:group>
        </w:pict>
      </w:r>
      <w:r>
        <w:rPr>
          <w:rFonts w:ascii="Times New Roman" w:hAnsi="Times New Roman" w:cs="Times New Roman" w:eastAsia="Times New Roman"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612"/>
        <w:gridCol w:w="646"/>
        <w:gridCol w:w="794"/>
        <w:gridCol w:w="600"/>
        <w:gridCol w:w="2273"/>
        <w:gridCol w:w="1358"/>
        <w:gridCol w:w="838"/>
        <w:gridCol w:w="2434"/>
        <w:gridCol w:w="2847"/>
        <w:gridCol w:w="1529"/>
      </w:tblGrid>
      <w:tr>
        <w:trPr>
          <w:trHeight w:val="2741" w:hRule="exact"/>
        </w:trPr>
        <w:tc>
          <w:tcPr>
            <w:tcW w:w="612" w:type="dxa"/>
            <w:tcBorders>
              <w:top w:val="single" w:sz="8" w:space="0" w:color="41B7EE"/>
              <w:left w:val="nil" w:sz="6" w:space="0" w:color="auto"/>
              <w:bottom w:val="single" w:sz="4" w:space="0" w:color="41B7EE"/>
              <w:right w:val="single" w:sz="4" w:space="0" w:color="41B7EE"/>
            </w:tcBorders>
          </w:tcPr>
          <w:p>
            <w:pPr/>
          </w:p>
        </w:tc>
        <w:tc>
          <w:tcPr>
            <w:tcW w:w="646" w:type="dxa"/>
            <w:tcBorders>
              <w:top w:val="single" w:sz="8" w:space="0" w:color="41B7EE"/>
              <w:left w:val="single" w:sz="4" w:space="0" w:color="41B7EE"/>
              <w:bottom w:val="single" w:sz="4" w:space="0" w:color="41B7EE"/>
              <w:right w:val="single" w:sz="4" w:space="0" w:color="41B7EE"/>
            </w:tcBorders>
          </w:tcPr>
          <w:p>
            <w:pPr/>
          </w:p>
        </w:tc>
        <w:tc>
          <w:tcPr>
            <w:tcW w:w="794" w:type="dxa"/>
            <w:tcBorders>
              <w:top w:val="single" w:sz="8" w:space="0" w:color="41B7EE"/>
              <w:left w:val="single" w:sz="4" w:space="0" w:color="41B7EE"/>
              <w:bottom w:val="single" w:sz="4" w:space="0" w:color="41B7EE"/>
              <w:right w:val="single" w:sz="4" w:space="0" w:color="41B7EE"/>
            </w:tcBorders>
          </w:tcPr>
          <w:p>
            <w:pPr/>
          </w:p>
        </w:tc>
        <w:tc>
          <w:tcPr>
            <w:tcW w:w="600" w:type="dxa"/>
            <w:tcBorders>
              <w:top w:val="single" w:sz="8" w:space="0" w:color="41B7EE"/>
              <w:left w:val="single" w:sz="4" w:space="0" w:color="41B7EE"/>
              <w:bottom w:val="single" w:sz="4" w:space="0" w:color="41B7EE"/>
              <w:right w:val="single" w:sz="4" w:space="0" w:color="41B7EE"/>
            </w:tcBorders>
          </w:tcPr>
          <w:p>
            <w:pPr/>
          </w:p>
        </w:tc>
        <w:tc>
          <w:tcPr>
            <w:tcW w:w="2273" w:type="dxa"/>
            <w:tcBorders>
              <w:top w:val="single" w:sz="8" w:space="0" w:color="41B7EE"/>
              <w:left w:val="single" w:sz="4" w:space="0" w:color="41B7EE"/>
              <w:bottom w:val="single" w:sz="4" w:space="0" w:color="41B7EE"/>
              <w:right w:val="single" w:sz="4" w:space="0" w:color="41B7EE"/>
            </w:tcBorders>
          </w:tcPr>
          <w:p>
            <w:pPr/>
          </w:p>
        </w:tc>
        <w:tc>
          <w:tcPr>
            <w:tcW w:w="1358" w:type="dxa"/>
            <w:tcBorders>
              <w:top w:val="single" w:sz="8" w:space="0" w:color="41B7EE"/>
              <w:left w:val="single" w:sz="4" w:space="0" w:color="41B7EE"/>
              <w:bottom w:val="single" w:sz="4" w:space="0" w:color="41B7EE"/>
              <w:right w:val="single" w:sz="4" w:space="0" w:color="41B7EE"/>
            </w:tcBorders>
          </w:tcPr>
          <w:p>
            <w:pPr/>
          </w:p>
        </w:tc>
        <w:tc>
          <w:tcPr>
            <w:tcW w:w="838" w:type="dxa"/>
            <w:tcBorders>
              <w:top w:val="single" w:sz="8" w:space="0" w:color="41B7EE"/>
              <w:left w:val="single" w:sz="4" w:space="0" w:color="41B7EE"/>
              <w:bottom w:val="single" w:sz="4" w:space="0" w:color="41B7EE"/>
              <w:right w:val="single" w:sz="4" w:space="0" w:color="41B7EE"/>
            </w:tcBorders>
          </w:tcPr>
          <w:p>
            <w:pPr/>
          </w:p>
        </w:tc>
        <w:tc>
          <w:tcPr>
            <w:tcW w:w="2434" w:type="dxa"/>
            <w:tcBorders>
              <w:top w:val="single" w:sz="8" w:space="0" w:color="41B7EE"/>
              <w:left w:val="single" w:sz="4" w:space="0" w:color="41B7EE"/>
              <w:bottom w:val="single" w:sz="4" w:space="0" w:color="41B7EE"/>
              <w:right w:val="single" w:sz="4" w:space="0" w:color="41B7EE"/>
            </w:tcBorders>
          </w:tcPr>
          <w:p>
            <w:pPr>
              <w:pStyle w:val="TableParagraph"/>
              <w:spacing w:line="179" w:lineRule="exact"/>
              <w:ind w:left="23" w:right="0"/>
              <w:jc w:val="left"/>
              <w:rPr>
                <w:rFonts w:ascii="宋体" w:hAnsi="宋体" w:cs="宋体" w:eastAsia="宋体" w:hint="default"/>
                <w:sz w:val="15"/>
                <w:szCs w:val="15"/>
              </w:rPr>
            </w:pPr>
            <w:r>
              <w:rPr>
                <w:rFonts w:ascii="宋体" w:hAnsi="宋体" w:cs="宋体" w:eastAsia="宋体" w:hint="default"/>
                <w:sz w:val="15"/>
                <w:szCs w:val="15"/>
              </w:rPr>
              <w:t>庭，鑫亚公司于</w:t>
            </w:r>
            <w:r>
              <w:rPr>
                <w:rFonts w:ascii="宋体" w:hAnsi="宋体" w:cs="宋体" w:eastAsia="宋体" w:hint="default"/>
                <w:spacing w:val="-37"/>
                <w:sz w:val="15"/>
                <w:szCs w:val="15"/>
              </w:rPr>
              <w:t> </w:t>
            </w:r>
            <w:r>
              <w:rPr>
                <w:rFonts w:ascii="Arial" w:hAnsi="Arial" w:cs="Arial" w:eastAsia="Arial" w:hint="default"/>
                <w:sz w:val="15"/>
                <w:szCs w:val="15"/>
              </w:rPr>
              <w:t>2018</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9</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12</w:t>
            </w:r>
            <w:r>
              <w:rPr>
                <w:rFonts w:ascii="Arial" w:hAnsi="Arial" w:cs="Arial" w:eastAsia="Arial" w:hint="default"/>
                <w:spacing w:val="-6"/>
                <w:sz w:val="15"/>
                <w:szCs w:val="15"/>
              </w:rPr>
              <w:t> </w:t>
            </w:r>
            <w:r>
              <w:rPr>
                <w:rFonts w:ascii="宋体" w:hAnsi="宋体" w:cs="宋体" w:eastAsia="宋体" w:hint="default"/>
                <w:sz w:val="15"/>
                <w:szCs w:val="15"/>
              </w:rPr>
              <w:t>日</w:t>
            </w:r>
          </w:p>
          <w:p>
            <w:pPr>
              <w:pStyle w:val="TableParagraph"/>
              <w:spacing w:line="194" w:lineRule="exact" w:before="13"/>
              <w:ind w:left="23" w:right="144"/>
              <w:jc w:val="left"/>
              <w:rPr>
                <w:rFonts w:ascii="宋体" w:hAnsi="宋体" w:cs="宋体" w:eastAsia="宋体" w:hint="default"/>
                <w:sz w:val="15"/>
                <w:szCs w:val="15"/>
              </w:rPr>
            </w:pPr>
            <w:r>
              <w:rPr>
                <w:rFonts w:ascii="宋体" w:hAnsi="宋体" w:cs="宋体" w:eastAsia="宋体" w:hint="default"/>
                <w:spacing w:val="-2"/>
                <w:sz w:val="15"/>
                <w:szCs w:val="15"/>
              </w:rPr>
              <w:t>收到黑龙江省高级人民法院发来的</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民事判决书。</w:t>
            </w:r>
          </w:p>
        </w:tc>
        <w:tc>
          <w:tcPr>
            <w:tcW w:w="2847" w:type="dxa"/>
            <w:tcBorders>
              <w:top w:val="single" w:sz="8" w:space="0" w:color="41B7EE"/>
              <w:left w:val="single" w:sz="4" w:space="0" w:color="41B7EE"/>
              <w:bottom w:val="single" w:sz="4" w:space="0" w:color="41B7EE"/>
              <w:right w:val="single" w:sz="4" w:space="0" w:color="41B7EE"/>
            </w:tcBorders>
          </w:tcPr>
          <w:p>
            <w:pPr>
              <w:pStyle w:val="TableParagraph"/>
              <w:spacing w:line="179" w:lineRule="exact"/>
              <w:ind w:left="12" w:right="0"/>
              <w:jc w:val="both"/>
              <w:rPr>
                <w:rFonts w:ascii="Arial" w:hAnsi="Arial" w:cs="Arial" w:eastAsia="Arial" w:hint="default"/>
                <w:sz w:val="15"/>
                <w:szCs w:val="15"/>
              </w:rPr>
            </w:pPr>
            <w:r>
              <w:rPr>
                <w:rFonts w:ascii="Arial" w:hAnsi="Arial" w:cs="Arial" w:eastAsia="Arial" w:hint="default"/>
                <w:w w:val="100"/>
                <w:sz w:val="15"/>
                <w:szCs w:val="15"/>
              </w:rPr>
              <w:t>366</w:t>
            </w:r>
            <w:r>
              <w:rPr>
                <w:rFonts w:ascii="Arial" w:hAnsi="Arial" w:cs="Arial" w:eastAsia="Arial" w:hint="default"/>
                <w:spacing w:val="-2"/>
                <w:w w:val="100"/>
                <w:sz w:val="15"/>
                <w:szCs w:val="15"/>
              </w:rPr>
              <w:t>.</w:t>
            </w:r>
            <w:r>
              <w:rPr>
                <w:rFonts w:ascii="Arial" w:hAnsi="Arial" w:cs="Arial" w:eastAsia="Arial" w:hint="default"/>
                <w:w w:val="100"/>
                <w:sz w:val="15"/>
                <w:szCs w:val="15"/>
              </w:rPr>
              <w:t>98</w:t>
            </w:r>
            <w:r>
              <w:rPr>
                <w:rFonts w:ascii="Arial" w:hAnsi="Arial" w:cs="Arial" w:eastAsia="Arial" w:hint="default"/>
                <w:spacing w:val="-23"/>
                <w:sz w:val="15"/>
                <w:szCs w:val="15"/>
              </w:rPr>
              <w:t> </w:t>
            </w:r>
            <w:r>
              <w:rPr>
                <w:rFonts w:ascii="宋体" w:hAnsi="宋体" w:cs="宋体" w:eastAsia="宋体" w:hint="default"/>
                <w:w w:val="100"/>
                <w:sz w:val="15"/>
                <w:szCs w:val="15"/>
              </w:rPr>
              <w:t>吨</w:t>
            </w:r>
            <w:r>
              <w:rPr>
                <w:rFonts w:ascii="宋体" w:hAnsi="宋体" w:cs="宋体" w:eastAsia="宋体" w:hint="default"/>
                <w:spacing w:val="-77"/>
                <w:w w:val="100"/>
                <w:sz w:val="15"/>
                <w:szCs w:val="15"/>
              </w:rPr>
              <w:t>、</w:t>
            </w:r>
            <w:r>
              <w:rPr>
                <w:rFonts w:ascii="Arial" w:hAnsi="Arial" w:cs="Arial" w:eastAsia="Arial" w:hint="default"/>
                <w:spacing w:val="-1"/>
                <w:w w:val="100"/>
                <w:sz w:val="15"/>
                <w:szCs w:val="15"/>
              </w:rPr>
              <w:t>S20</w:t>
            </w:r>
            <w:r>
              <w:rPr>
                <w:rFonts w:ascii="Arial" w:hAnsi="Arial" w:cs="Arial" w:eastAsia="Arial" w:hint="default"/>
                <w:w w:val="100"/>
                <w:sz w:val="15"/>
                <w:szCs w:val="15"/>
              </w:rPr>
              <w:t>N</w:t>
            </w:r>
            <w:r>
              <w:rPr>
                <w:rFonts w:ascii="Arial" w:hAnsi="Arial" w:cs="Arial" w:eastAsia="Arial" w:hint="default"/>
                <w:spacing w:val="-24"/>
                <w:sz w:val="15"/>
                <w:szCs w:val="15"/>
              </w:rPr>
              <w:t> </w:t>
            </w:r>
            <w:r>
              <w:rPr>
                <w:rFonts w:ascii="宋体" w:hAnsi="宋体" w:cs="宋体" w:eastAsia="宋体" w:hint="default"/>
                <w:w w:val="100"/>
                <w:sz w:val="15"/>
                <w:szCs w:val="15"/>
              </w:rPr>
              <w:t>型</w:t>
            </w:r>
            <w:r>
              <w:rPr>
                <w:rFonts w:ascii="宋体" w:hAnsi="宋体" w:cs="宋体" w:eastAsia="宋体" w:hint="default"/>
                <w:spacing w:val="-3"/>
                <w:w w:val="100"/>
                <w:sz w:val="15"/>
                <w:szCs w:val="15"/>
              </w:rPr>
              <w:t>短麻</w:t>
            </w:r>
            <w:r>
              <w:rPr>
                <w:rFonts w:ascii="宋体" w:hAnsi="宋体" w:cs="宋体" w:eastAsia="宋体" w:hint="default"/>
                <w:w w:val="100"/>
                <w:sz w:val="15"/>
                <w:szCs w:val="15"/>
              </w:rPr>
              <w:t>纱</w:t>
            </w:r>
            <w:r>
              <w:rPr>
                <w:rFonts w:ascii="宋体" w:hAnsi="宋体" w:cs="宋体" w:eastAsia="宋体" w:hint="default"/>
                <w:spacing w:val="-53"/>
                <w:sz w:val="15"/>
                <w:szCs w:val="15"/>
              </w:rPr>
              <w:t> </w:t>
            </w:r>
            <w:r>
              <w:rPr>
                <w:rFonts w:ascii="Arial" w:hAnsi="Arial" w:cs="Arial" w:eastAsia="Arial" w:hint="default"/>
                <w:w w:val="100"/>
                <w:sz w:val="15"/>
                <w:szCs w:val="15"/>
              </w:rPr>
              <w:t>2</w:t>
            </w:r>
            <w:r>
              <w:rPr>
                <w:rFonts w:ascii="Arial" w:hAnsi="Arial" w:cs="Arial" w:eastAsia="Arial" w:hint="default"/>
                <w:spacing w:val="-3"/>
                <w:w w:val="100"/>
                <w:sz w:val="15"/>
                <w:szCs w:val="15"/>
              </w:rPr>
              <w:t>3</w:t>
            </w:r>
            <w:r>
              <w:rPr>
                <w:rFonts w:ascii="Arial" w:hAnsi="Arial" w:cs="Arial" w:eastAsia="Arial" w:hint="default"/>
                <w:spacing w:val="1"/>
                <w:w w:val="100"/>
                <w:sz w:val="15"/>
                <w:szCs w:val="15"/>
              </w:rPr>
              <w:t>.</w:t>
            </w:r>
            <w:r>
              <w:rPr>
                <w:rFonts w:ascii="Arial" w:hAnsi="Arial" w:cs="Arial" w:eastAsia="Arial" w:hint="default"/>
                <w:w w:val="100"/>
                <w:sz w:val="15"/>
                <w:szCs w:val="15"/>
              </w:rPr>
              <w:t>2</w:t>
            </w:r>
            <w:r>
              <w:rPr>
                <w:rFonts w:ascii="Arial" w:hAnsi="Arial" w:cs="Arial" w:eastAsia="Arial" w:hint="default"/>
                <w:spacing w:val="-3"/>
                <w:w w:val="100"/>
                <w:sz w:val="15"/>
                <w:szCs w:val="15"/>
              </w:rPr>
              <w:t>3</w:t>
            </w:r>
            <w:r>
              <w:rPr>
                <w:rFonts w:ascii="Arial" w:hAnsi="Arial" w:cs="Arial" w:eastAsia="Arial" w:hint="default"/>
                <w:w w:val="100"/>
                <w:sz w:val="15"/>
                <w:szCs w:val="15"/>
              </w:rPr>
              <w:t>9</w:t>
            </w:r>
            <w:r>
              <w:rPr>
                <w:rFonts w:ascii="Arial" w:hAnsi="Arial" w:cs="Arial" w:eastAsia="Arial" w:hint="default"/>
                <w:spacing w:val="-20"/>
                <w:sz w:val="15"/>
                <w:szCs w:val="15"/>
              </w:rPr>
              <w:t> </w:t>
            </w:r>
            <w:r>
              <w:rPr>
                <w:rFonts w:ascii="宋体" w:hAnsi="宋体" w:cs="宋体" w:eastAsia="宋体" w:hint="default"/>
                <w:spacing w:val="-3"/>
                <w:w w:val="100"/>
                <w:sz w:val="15"/>
                <w:szCs w:val="15"/>
              </w:rPr>
              <w:t>吨</w:t>
            </w:r>
            <w:r>
              <w:rPr>
                <w:rFonts w:ascii="宋体" w:hAnsi="宋体" w:cs="宋体" w:eastAsia="宋体" w:hint="default"/>
                <w:spacing w:val="-77"/>
                <w:w w:val="100"/>
                <w:sz w:val="15"/>
                <w:szCs w:val="15"/>
              </w:rPr>
              <w:t>、</w:t>
            </w:r>
            <w:r>
              <w:rPr>
                <w:rFonts w:ascii="Arial" w:hAnsi="Arial" w:cs="Arial" w:eastAsia="Arial" w:hint="default"/>
                <w:spacing w:val="-1"/>
                <w:w w:val="100"/>
                <w:sz w:val="15"/>
                <w:szCs w:val="15"/>
              </w:rPr>
              <w:t>S15N</w:t>
            </w:r>
            <w:r>
              <w:rPr>
                <w:rFonts w:ascii="Arial" w:hAnsi="Arial" w:cs="Arial" w:eastAsia="Arial" w:hint="default"/>
                <w:w w:val="100"/>
                <w:sz w:val="15"/>
                <w:szCs w:val="15"/>
              </w:rPr>
            </w:r>
          </w:p>
          <w:p>
            <w:pPr>
              <w:pStyle w:val="TableParagraph"/>
              <w:spacing w:line="194" w:lineRule="exact"/>
              <w:ind w:left="12" w:right="0"/>
              <w:jc w:val="both"/>
              <w:rPr>
                <w:rFonts w:ascii="宋体" w:hAnsi="宋体" w:cs="宋体" w:eastAsia="宋体" w:hint="default"/>
                <w:sz w:val="15"/>
                <w:szCs w:val="15"/>
              </w:rPr>
            </w:pPr>
            <w:r>
              <w:rPr>
                <w:rFonts w:ascii="宋体" w:hAnsi="宋体" w:cs="宋体" w:eastAsia="宋体" w:hint="default"/>
                <w:sz w:val="15"/>
                <w:szCs w:val="15"/>
              </w:rPr>
              <w:t>型短麻纱</w:t>
            </w:r>
            <w:r>
              <w:rPr>
                <w:rFonts w:ascii="宋体" w:hAnsi="宋体" w:cs="宋体" w:eastAsia="宋体" w:hint="default"/>
                <w:spacing w:val="-40"/>
                <w:sz w:val="15"/>
                <w:szCs w:val="15"/>
              </w:rPr>
              <w:t> </w:t>
            </w:r>
            <w:r>
              <w:rPr>
                <w:rFonts w:ascii="Arial" w:hAnsi="Arial" w:cs="Arial" w:eastAsia="Arial" w:hint="default"/>
                <w:sz w:val="15"/>
                <w:szCs w:val="15"/>
              </w:rPr>
              <w:t>205.2227</w:t>
            </w:r>
            <w:r>
              <w:rPr>
                <w:rFonts w:ascii="Arial" w:hAnsi="Arial" w:cs="Arial" w:eastAsia="Arial" w:hint="default"/>
                <w:spacing w:val="-7"/>
                <w:sz w:val="15"/>
                <w:szCs w:val="15"/>
              </w:rPr>
              <w:t> </w:t>
            </w:r>
            <w:r>
              <w:rPr>
                <w:rFonts w:ascii="宋体" w:hAnsi="宋体" w:cs="宋体" w:eastAsia="宋体" w:hint="default"/>
                <w:sz w:val="15"/>
                <w:szCs w:val="15"/>
              </w:rPr>
              <w:t>吨、混支纱（短麻</w:t>
            </w:r>
          </w:p>
          <w:p>
            <w:pPr>
              <w:pStyle w:val="TableParagraph"/>
              <w:spacing w:line="194" w:lineRule="exact"/>
              <w:ind w:left="12" w:right="0"/>
              <w:jc w:val="both"/>
              <w:rPr>
                <w:rFonts w:ascii="Arial" w:hAnsi="Arial" w:cs="Arial" w:eastAsia="Arial" w:hint="default"/>
                <w:sz w:val="15"/>
                <w:szCs w:val="15"/>
              </w:rPr>
            </w:pPr>
            <w:r>
              <w:rPr>
                <w:rFonts w:ascii="宋体" w:hAnsi="宋体" w:cs="宋体" w:eastAsia="宋体" w:hint="default"/>
                <w:w w:val="100"/>
                <w:sz w:val="15"/>
                <w:szCs w:val="15"/>
              </w:rPr>
              <w:t>纱</w:t>
            </w:r>
            <w:r>
              <w:rPr>
                <w:rFonts w:ascii="Arial" w:hAnsi="Arial" w:cs="Arial" w:eastAsia="Arial" w:hint="default"/>
                <w:w w:val="100"/>
                <w:sz w:val="15"/>
                <w:szCs w:val="15"/>
              </w:rPr>
              <w:t>)</w:t>
            </w:r>
            <w:r>
              <w:rPr>
                <w:rFonts w:ascii="Arial" w:hAnsi="Arial" w:cs="Arial" w:eastAsia="Arial" w:hint="default"/>
                <w:spacing w:val="-3"/>
                <w:w w:val="100"/>
                <w:sz w:val="15"/>
                <w:szCs w:val="15"/>
              </w:rPr>
              <w:t>0</w:t>
            </w:r>
            <w:r>
              <w:rPr>
                <w:rFonts w:ascii="Arial" w:hAnsi="Arial" w:cs="Arial" w:eastAsia="Arial" w:hint="default"/>
                <w:spacing w:val="1"/>
                <w:w w:val="100"/>
                <w:sz w:val="15"/>
                <w:szCs w:val="15"/>
              </w:rPr>
              <w:t>.</w:t>
            </w:r>
            <w:r>
              <w:rPr>
                <w:rFonts w:ascii="Arial" w:hAnsi="Arial" w:cs="Arial" w:eastAsia="Arial" w:hint="default"/>
                <w:w w:val="100"/>
                <w:sz w:val="15"/>
                <w:szCs w:val="15"/>
              </w:rPr>
              <w:t>3</w:t>
            </w:r>
            <w:r>
              <w:rPr>
                <w:rFonts w:ascii="Arial" w:hAnsi="Arial" w:cs="Arial" w:eastAsia="Arial" w:hint="default"/>
                <w:spacing w:val="-3"/>
                <w:w w:val="100"/>
                <w:sz w:val="15"/>
                <w:szCs w:val="15"/>
              </w:rPr>
              <w:t>7</w:t>
            </w:r>
            <w:r>
              <w:rPr>
                <w:rFonts w:ascii="Arial" w:hAnsi="Arial" w:cs="Arial" w:eastAsia="Arial" w:hint="default"/>
                <w:w w:val="100"/>
                <w:sz w:val="15"/>
                <w:szCs w:val="15"/>
              </w:rPr>
              <w:t>5</w:t>
            </w:r>
            <w:r>
              <w:rPr>
                <w:rFonts w:ascii="Arial" w:hAnsi="Arial" w:cs="Arial" w:eastAsia="Arial" w:hint="default"/>
                <w:spacing w:val="-4"/>
                <w:sz w:val="15"/>
                <w:szCs w:val="15"/>
              </w:rPr>
              <w:t> </w:t>
            </w:r>
            <w:r>
              <w:rPr>
                <w:rFonts w:ascii="宋体" w:hAnsi="宋体" w:cs="宋体" w:eastAsia="宋体" w:hint="default"/>
                <w:spacing w:val="-3"/>
                <w:w w:val="100"/>
                <w:sz w:val="15"/>
                <w:szCs w:val="15"/>
              </w:rPr>
              <w:t>吨</w:t>
            </w:r>
            <w:r>
              <w:rPr>
                <w:rFonts w:ascii="宋体" w:hAnsi="宋体" w:cs="宋体" w:eastAsia="宋体" w:hint="default"/>
                <w:spacing w:val="-63"/>
                <w:w w:val="100"/>
                <w:sz w:val="15"/>
                <w:szCs w:val="15"/>
              </w:rPr>
              <w:t>、</w:t>
            </w:r>
            <w:r>
              <w:rPr>
                <w:rFonts w:ascii="宋体" w:hAnsi="宋体" w:cs="宋体" w:eastAsia="宋体" w:hint="default"/>
                <w:spacing w:val="-3"/>
                <w:w w:val="100"/>
                <w:sz w:val="15"/>
                <w:szCs w:val="15"/>
              </w:rPr>
              <w:t>精</w:t>
            </w:r>
            <w:r>
              <w:rPr>
                <w:rFonts w:ascii="宋体" w:hAnsi="宋体" w:cs="宋体" w:eastAsia="宋体" w:hint="default"/>
                <w:w w:val="100"/>
                <w:sz w:val="15"/>
                <w:szCs w:val="15"/>
              </w:rPr>
              <w:t>络</w:t>
            </w:r>
            <w:r>
              <w:rPr>
                <w:rFonts w:ascii="宋体" w:hAnsi="宋体" w:cs="宋体" w:eastAsia="宋体" w:hint="default"/>
                <w:spacing w:val="-37"/>
                <w:sz w:val="15"/>
                <w:szCs w:val="15"/>
              </w:rPr>
              <w:t> </w:t>
            </w:r>
            <w:r>
              <w:rPr>
                <w:rFonts w:ascii="Arial" w:hAnsi="Arial" w:cs="Arial" w:eastAsia="Arial" w:hint="default"/>
                <w:spacing w:val="-3"/>
                <w:w w:val="100"/>
                <w:sz w:val="15"/>
                <w:szCs w:val="15"/>
              </w:rPr>
              <w:t>0</w:t>
            </w:r>
            <w:r>
              <w:rPr>
                <w:rFonts w:ascii="Arial" w:hAnsi="Arial" w:cs="Arial" w:eastAsia="Arial" w:hint="default"/>
                <w:spacing w:val="1"/>
                <w:w w:val="100"/>
                <w:sz w:val="15"/>
                <w:szCs w:val="15"/>
              </w:rPr>
              <w:t>.</w:t>
            </w:r>
            <w:r>
              <w:rPr>
                <w:rFonts w:ascii="Arial" w:hAnsi="Arial" w:cs="Arial" w:eastAsia="Arial" w:hint="default"/>
                <w:w w:val="100"/>
                <w:sz w:val="15"/>
                <w:szCs w:val="15"/>
              </w:rPr>
              <w:t>8</w:t>
            </w:r>
            <w:r>
              <w:rPr>
                <w:rFonts w:ascii="Arial" w:hAnsi="Arial" w:cs="Arial" w:eastAsia="Arial" w:hint="default"/>
                <w:spacing w:val="-3"/>
                <w:w w:val="100"/>
                <w:sz w:val="15"/>
                <w:szCs w:val="15"/>
              </w:rPr>
              <w:t>1</w:t>
            </w:r>
            <w:r>
              <w:rPr>
                <w:rFonts w:ascii="Arial" w:hAnsi="Arial" w:cs="Arial" w:eastAsia="Arial" w:hint="default"/>
                <w:w w:val="100"/>
                <w:sz w:val="15"/>
                <w:szCs w:val="15"/>
              </w:rPr>
              <w:t>13</w:t>
            </w:r>
            <w:r>
              <w:rPr>
                <w:rFonts w:ascii="Arial" w:hAnsi="Arial" w:cs="Arial" w:eastAsia="Arial" w:hint="default"/>
                <w:spacing w:val="-6"/>
                <w:sz w:val="15"/>
                <w:szCs w:val="15"/>
              </w:rPr>
              <w:t> </w:t>
            </w:r>
            <w:r>
              <w:rPr>
                <w:rFonts w:ascii="宋体" w:hAnsi="宋体" w:cs="宋体" w:eastAsia="宋体" w:hint="default"/>
                <w:w w:val="100"/>
                <w:sz w:val="15"/>
                <w:szCs w:val="15"/>
              </w:rPr>
              <w:t>吨</w:t>
            </w:r>
            <w:r>
              <w:rPr>
                <w:rFonts w:ascii="宋体" w:hAnsi="宋体" w:cs="宋体" w:eastAsia="宋体" w:hint="default"/>
                <w:spacing w:val="-65"/>
                <w:w w:val="100"/>
                <w:sz w:val="15"/>
                <w:szCs w:val="15"/>
              </w:rPr>
              <w:t>、</w:t>
            </w:r>
            <w:r>
              <w:rPr>
                <w:rFonts w:ascii="宋体" w:hAnsi="宋体" w:cs="宋体" w:eastAsia="宋体" w:hint="default"/>
                <w:spacing w:val="-3"/>
                <w:w w:val="100"/>
                <w:sz w:val="15"/>
                <w:szCs w:val="15"/>
              </w:rPr>
              <w:t>联</w:t>
            </w:r>
            <w:r>
              <w:rPr>
                <w:rFonts w:ascii="宋体" w:hAnsi="宋体" w:cs="宋体" w:eastAsia="宋体" w:hint="default"/>
                <w:w w:val="100"/>
                <w:sz w:val="15"/>
                <w:szCs w:val="15"/>
              </w:rPr>
              <w:t>络</w:t>
            </w:r>
            <w:r>
              <w:rPr>
                <w:rFonts w:ascii="宋体" w:hAnsi="宋体" w:cs="宋体" w:eastAsia="宋体" w:hint="default"/>
                <w:spacing w:val="-37"/>
                <w:sz w:val="15"/>
                <w:szCs w:val="15"/>
              </w:rPr>
              <w:t> </w:t>
            </w:r>
            <w:r>
              <w:rPr>
                <w:rFonts w:ascii="Arial" w:hAnsi="Arial" w:cs="Arial" w:eastAsia="Arial" w:hint="default"/>
                <w:w w:val="100"/>
                <w:sz w:val="15"/>
                <w:szCs w:val="15"/>
              </w:rPr>
              <w:t>7</w:t>
            </w:r>
            <w:r>
              <w:rPr>
                <w:rFonts w:ascii="Arial" w:hAnsi="Arial" w:cs="Arial" w:eastAsia="Arial" w:hint="default"/>
                <w:spacing w:val="-3"/>
                <w:w w:val="100"/>
                <w:sz w:val="15"/>
                <w:szCs w:val="15"/>
              </w:rPr>
              <w:t>4</w:t>
            </w:r>
            <w:r>
              <w:rPr>
                <w:rFonts w:ascii="Arial" w:hAnsi="Arial" w:cs="Arial" w:eastAsia="Arial" w:hint="default"/>
                <w:spacing w:val="1"/>
                <w:w w:val="100"/>
                <w:sz w:val="15"/>
                <w:szCs w:val="15"/>
              </w:rPr>
              <w:t>.</w:t>
            </w:r>
            <w:r>
              <w:rPr>
                <w:rFonts w:ascii="Arial" w:hAnsi="Arial" w:cs="Arial" w:eastAsia="Arial" w:hint="default"/>
                <w:w w:val="100"/>
                <w:sz w:val="15"/>
                <w:szCs w:val="15"/>
              </w:rPr>
              <w:t>12</w:t>
            </w:r>
            <w:r>
              <w:rPr>
                <w:rFonts w:ascii="Arial" w:hAnsi="Arial" w:cs="Arial" w:eastAsia="Arial" w:hint="default"/>
                <w:spacing w:val="-3"/>
                <w:w w:val="100"/>
                <w:sz w:val="15"/>
                <w:szCs w:val="15"/>
              </w:rPr>
              <w:t>2</w:t>
            </w:r>
            <w:r>
              <w:rPr>
                <w:rFonts w:ascii="Arial" w:hAnsi="Arial" w:cs="Arial" w:eastAsia="Arial" w:hint="default"/>
                <w:w w:val="100"/>
                <w:sz w:val="15"/>
                <w:szCs w:val="15"/>
              </w:rPr>
              <w:t>5</w:t>
            </w:r>
          </w:p>
          <w:p>
            <w:pPr>
              <w:pStyle w:val="TableParagraph"/>
              <w:spacing w:line="194" w:lineRule="exact" w:before="13"/>
              <w:ind w:left="12" w:right="17"/>
              <w:jc w:val="both"/>
              <w:rPr>
                <w:rFonts w:ascii="宋体" w:hAnsi="宋体" w:cs="宋体" w:eastAsia="宋体" w:hint="default"/>
                <w:sz w:val="15"/>
                <w:szCs w:val="15"/>
              </w:rPr>
            </w:pPr>
            <w:r>
              <w:rPr>
                <w:rFonts w:ascii="宋体" w:hAnsi="宋体" w:cs="宋体" w:eastAsia="宋体" w:hint="default"/>
                <w:sz w:val="15"/>
                <w:szCs w:val="15"/>
              </w:rPr>
              <w:t>吨、亚麻布</w:t>
            </w:r>
            <w:r>
              <w:rPr>
                <w:rFonts w:ascii="宋体" w:hAnsi="宋体" w:cs="宋体" w:eastAsia="宋体" w:hint="default"/>
                <w:spacing w:val="-38"/>
                <w:sz w:val="15"/>
                <w:szCs w:val="15"/>
              </w:rPr>
              <w:t> </w:t>
            </w:r>
            <w:r>
              <w:rPr>
                <w:rFonts w:ascii="Arial" w:hAnsi="Arial" w:cs="Arial" w:eastAsia="Arial" w:hint="default"/>
                <w:sz w:val="15"/>
                <w:szCs w:val="15"/>
              </w:rPr>
              <w:t>61,405.2</w:t>
            </w:r>
            <w:r>
              <w:rPr>
                <w:rFonts w:ascii="Arial" w:hAnsi="Arial" w:cs="Arial" w:eastAsia="Arial" w:hint="default"/>
                <w:spacing w:val="-4"/>
                <w:sz w:val="15"/>
                <w:szCs w:val="15"/>
              </w:rPr>
              <w:t> </w:t>
            </w:r>
            <w:r>
              <w:rPr>
                <w:rFonts w:ascii="宋体" w:hAnsi="宋体" w:cs="宋体" w:eastAsia="宋体" w:hint="default"/>
                <w:sz w:val="15"/>
                <w:szCs w:val="15"/>
              </w:rPr>
              <w:t>米。如不能给付，应</w:t>
            </w:r>
            <w:r>
              <w:rPr>
                <w:rFonts w:ascii="宋体" w:hAnsi="宋体" w:cs="宋体" w:eastAsia="宋体" w:hint="default"/>
                <w:w w:val="100"/>
                <w:sz w:val="15"/>
                <w:szCs w:val="15"/>
              </w:rPr>
              <w:t> </w:t>
            </w:r>
            <w:r>
              <w:rPr>
                <w:rFonts w:ascii="宋体" w:hAnsi="宋体" w:cs="宋体" w:eastAsia="宋体" w:hint="default"/>
                <w:sz w:val="15"/>
                <w:szCs w:val="15"/>
              </w:rPr>
              <w:t>折价</w:t>
            </w:r>
            <w:r>
              <w:rPr>
                <w:rFonts w:ascii="宋体" w:hAnsi="宋体" w:cs="宋体" w:eastAsia="宋体" w:hint="default"/>
                <w:spacing w:val="-41"/>
                <w:sz w:val="15"/>
                <w:szCs w:val="15"/>
              </w:rPr>
              <w:t> </w:t>
            </w:r>
            <w:r>
              <w:rPr>
                <w:rFonts w:ascii="Arial" w:hAnsi="Arial" w:cs="Arial" w:eastAsia="Arial" w:hint="default"/>
                <w:sz w:val="15"/>
                <w:szCs w:val="15"/>
              </w:rPr>
              <w:t>31</w:t>
            </w:r>
            <w:r>
              <w:rPr>
                <w:rFonts w:ascii="宋体" w:hAnsi="宋体" w:cs="宋体" w:eastAsia="宋体" w:hint="default"/>
                <w:sz w:val="15"/>
                <w:szCs w:val="15"/>
              </w:rPr>
              <w:t>，</w:t>
            </w:r>
            <w:r>
              <w:rPr>
                <w:rFonts w:ascii="Arial" w:hAnsi="Arial" w:cs="Arial" w:eastAsia="Arial" w:hint="default"/>
                <w:sz w:val="15"/>
                <w:szCs w:val="15"/>
              </w:rPr>
              <w:t>161</w:t>
            </w:r>
            <w:r>
              <w:rPr>
                <w:rFonts w:ascii="宋体" w:hAnsi="宋体" w:cs="宋体" w:eastAsia="宋体" w:hint="default"/>
                <w:sz w:val="15"/>
                <w:szCs w:val="15"/>
              </w:rPr>
              <w:t>，</w:t>
            </w:r>
            <w:r>
              <w:rPr>
                <w:rFonts w:ascii="Arial" w:hAnsi="Arial" w:cs="Arial" w:eastAsia="Arial" w:hint="default"/>
                <w:sz w:val="15"/>
                <w:szCs w:val="15"/>
              </w:rPr>
              <w:t>510.60</w:t>
            </w:r>
            <w:r>
              <w:rPr>
                <w:rFonts w:ascii="Arial" w:hAnsi="Arial" w:cs="Arial" w:eastAsia="Arial" w:hint="default"/>
                <w:spacing w:val="-5"/>
                <w:sz w:val="15"/>
                <w:szCs w:val="15"/>
              </w:rPr>
              <w:t> </w:t>
            </w:r>
            <w:r>
              <w:rPr>
                <w:rFonts w:ascii="宋体" w:hAnsi="宋体" w:cs="宋体" w:eastAsia="宋体" w:hint="default"/>
                <w:sz w:val="15"/>
                <w:szCs w:val="15"/>
              </w:rPr>
              <w:t>元赔偿北大荒鑫亚</w:t>
            </w:r>
            <w:r>
              <w:rPr>
                <w:rFonts w:ascii="宋体" w:hAnsi="宋体" w:cs="宋体" w:eastAsia="宋体" w:hint="default"/>
                <w:w w:val="100"/>
                <w:sz w:val="15"/>
                <w:szCs w:val="15"/>
              </w:rPr>
              <w:t> </w:t>
            </w:r>
            <w:r>
              <w:rPr>
                <w:rFonts w:ascii="宋体" w:hAnsi="宋体" w:cs="宋体" w:eastAsia="宋体" w:hint="default"/>
                <w:sz w:val="15"/>
                <w:szCs w:val="15"/>
              </w:rPr>
              <w:t>经贸有限责任公司的损失</w:t>
            </w:r>
            <w:r>
              <w:rPr>
                <w:rFonts w:ascii="Arial" w:hAnsi="Arial" w:cs="Arial" w:eastAsia="Arial" w:hint="default"/>
                <w:sz w:val="15"/>
                <w:szCs w:val="15"/>
              </w:rPr>
              <w:t>;</w:t>
            </w:r>
            <w:r>
              <w:rPr>
                <w:rFonts w:ascii="宋体" w:hAnsi="宋体" w:cs="宋体" w:eastAsia="宋体" w:hint="default"/>
                <w:sz w:val="15"/>
                <w:szCs w:val="15"/>
              </w:rPr>
              <w:t>三、驳回北大荒</w:t>
            </w:r>
            <w:r>
              <w:rPr>
                <w:rFonts w:ascii="宋体" w:hAnsi="宋体" w:cs="宋体" w:eastAsia="宋体" w:hint="default"/>
                <w:w w:val="100"/>
                <w:sz w:val="15"/>
                <w:szCs w:val="15"/>
              </w:rPr>
              <w:t> </w:t>
            </w:r>
            <w:r>
              <w:rPr>
                <w:rFonts w:ascii="宋体" w:hAnsi="宋体" w:cs="宋体" w:eastAsia="宋体" w:hint="default"/>
                <w:spacing w:val="-4"/>
                <w:sz w:val="15"/>
                <w:szCs w:val="15"/>
              </w:rPr>
              <w:t>鑫亚经贸有限责任公司的其他诉讼请求。一</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1"/>
                <w:w w:val="100"/>
                <w:sz w:val="15"/>
                <w:szCs w:val="15"/>
              </w:rPr>
              <w:t>审案件受理费</w:t>
            </w:r>
            <w:r>
              <w:rPr>
                <w:rFonts w:ascii="宋体" w:hAnsi="宋体" w:cs="宋体" w:eastAsia="宋体" w:hint="default"/>
                <w:spacing w:val="-37"/>
                <w:w w:val="100"/>
                <w:sz w:val="15"/>
                <w:szCs w:val="15"/>
              </w:rPr>
              <w:t> </w:t>
            </w:r>
            <w:r>
              <w:rPr>
                <w:rFonts w:ascii="Arial" w:hAnsi="Arial" w:cs="Arial" w:eastAsia="Arial" w:hint="default"/>
                <w:spacing w:val="-1"/>
                <w:w w:val="100"/>
                <w:sz w:val="15"/>
                <w:szCs w:val="15"/>
              </w:rPr>
              <w:t>366,871</w:t>
            </w:r>
            <w:r>
              <w:rPr>
                <w:rFonts w:ascii="Arial" w:hAnsi="Arial" w:cs="Arial" w:eastAsia="Arial" w:hint="default"/>
                <w:w w:val="100"/>
                <w:sz w:val="15"/>
                <w:szCs w:val="15"/>
              </w:rPr>
              <w:t> </w:t>
            </w:r>
            <w:r>
              <w:rPr>
                <w:rFonts w:ascii="宋体" w:hAnsi="宋体" w:cs="宋体" w:eastAsia="宋体" w:hint="default"/>
                <w:spacing w:val="-9"/>
                <w:w w:val="100"/>
                <w:sz w:val="15"/>
                <w:szCs w:val="15"/>
              </w:rPr>
              <w:t>元，由北大荒鑫亚经</w:t>
            </w:r>
          </w:p>
          <w:p>
            <w:pPr>
              <w:pStyle w:val="TableParagraph"/>
              <w:spacing w:line="194" w:lineRule="exact"/>
              <w:ind w:left="12" w:right="17"/>
              <w:jc w:val="both"/>
              <w:rPr>
                <w:rFonts w:ascii="宋体" w:hAnsi="宋体" w:cs="宋体" w:eastAsia="宋体" w:hint="default"/>
                <w:sz w:val="15"/>
                <w:szCs w:val="15"/>
              </w:rPr>
            </w:pPr>
            <w:r>
              <w:rPr>
                <w:rFonts w:ascii="宋体" w:hAnsi="宋体" w:cs="宋体" w:eastAsia="宋体" w:hint="default"/>
                <w:sz w:val="15"/>
                <w:szCs w:val="15"/>
              </w:rPr>
              <w:t>贸有限责任公司负担</w:t>
            </w:r>
            <w:r>
              <w:rPr>
                <w:rFonts w:ascii="宋体" w:hAnsi="宋体" w:cs="宋体" w:eastAsia="宋体" w:hint="default"/>
                <w:spacing w:val="-37"/>
                <w:sz w:val="15"/>
                <w:szCs w:val="15"/>
              </w:rPr>
              <w:t> </w:t>
            </w:r>
            <w:r>
              <w:rPr>
                <w:rFonts w:ascii="Arial" w:hAnsi="Arial" w:cs="Arial" w:eastAsia="Arial" w:hint="default"/>
                <w:sz w:val="15"/>
                <w:szCs w:val="15"/>
              </w:rPr>
              <w:t>183,435.50</w:t>
            </w:r>
            <w:r>
              <w:rPr>
                <w:rFonts w:ascii="Arial" w:hAnsi="Arial" w:cs="Arial" w:eastAsia="Arial" w:hint="default"/>
                <w:spacing w:val="-7"/>
                <w:sz w:val="15"/>
                <w:szCs w:val="15"/>
              </w:rPr>
              <w:t> </w:t>
            </w:r>
            <w:r>
              <w:rPr>
                <w:rFonts w:ascii="宋体" w:hAnsi="宋体" w:cs="宋体" w:eastAsia="宋体" w:hint="default"/>
                <w:sz w:val="15"/>
                <w:szCs w:val="15"/>
              </w:rPr>
              <w:t>元，黑龙</w:t>
            </w:r>
            <w:r>
              <w:rPr>
                <w:rFonts w:ascii="宋体" w:hAnsi="宋体" w:cs="宋体" w:eastAsia="宋体" w:hint="default"/>
                <w:w w:val="100"/>
                <w:sz w:val="15"/>
                <w:szCs w:val="15"/>
              </w:rPr>
              <w:t> </w:t>
            </w:r>
            <w:r>
              <w:rPr>
                <w:rFonts w:ascii="宋体" w:hAnsi="宋体" w:cs="宋体" w:eastAsia="宋体" w:hint="default"/>
                <w:spacing w:val="-4"/>
                <w:sz w:val="15"/>
                <w:szCs w:val="15"/>
              </w:rPr>
              <w:t>江农垦九三圣龙亚麻产业有限公司、北大荒</w:t>
            </w:r>
          </w:p>
          <w:p>
            <w:pPr>
              <w:pStyle w:val="TableParagraph"/>
              <w:spacing w:line="182" w:lineRule="exact"/>
              <w:ind w:left="12" w:right="0"/>
              <w:jc w:val="both"/>
              <w:rPr>
                <w:rFonts w:ascii="Arial" w:hAnsi="Arial" w:cs="Arial" w:eastAsia="Arial" w:hint="default"/>
                <w:sz w:val="15"/>
                <w:szCs w:val="15"/>
              </w:rPr>
            </w:pPr>
            <w:r>
              <w:rPr>
                <w:rFonts w:ascii="宋体" w:hAnsi="宋体" w:cs="宋体" w:eastAsia="宋体" w:hint="default"/>
                <w:sz w:val="15"/>
                <w:szCs w:val="15"/>
              </w:rPr>
              <w:t>青枫亚麻纺织有限公司负担</w:t>
            </w:r>
            <w:r>
              <w:rPr>
                <w:rFonts w:ascii="宋体" w:hAnsi="宋体" w:cs="宋体" w:eastAsia="宋体" w:hint="default"/>
                <w:spacing w:val="-41"/>
                <w:sz w:val="15"/>
                <w:szCs w:val="15"/>
              </w:rPr>
              <w:t> </w:t>
            </w:r>
            <w:r>
              <w:rPr>
                <w:rFonts w:ascii="Arial" w:hAnsi="Arial" w:cs="Arial" w:eastAsia="Arial" w:hint="default"/>
                <w:sz w:val="15"/>
                <w:szCs w:val="15"/>
              </w:rPr>
              <w:t>183,435.50</w:t>
            </w:r>
          </w:p>
          <w:p>
            <w:pPr>
              <w:pStyle w:val="TableParagraph"/>
              <w:spacing w:line="194" w:lineRule="exact" w:before="13"/>
              <w:ind w:left="12" w:right="17"/>
              <w:jc w:val="both"/>
              <w:rPr>
                <w:rFonts w:ascii="宋体" w:hAnsi="宋体" w:cs="宋体" w:eastAsia="宋体" w:hint="default"/>
                <w:sz w:val="15"/>
                <w:szCs w:val="15"/>
              </w:rPr>
            </w:pPr>
            <w:r>
              <w:rPr>
                <w:rFonts w:ascii="宋体" w:hAnsi="宋体" w:cs="宋体" w:eastAsia="宋体" w:hint="default"/>
                <w:sz w:val="15"/>
                <w:szCs w:val="15"/>
              </w:rPr>
              <w:t>元。二审案件受理费</w:t>
            </w:r>
            <w:r>
              <w:rPr>
                <w:rFonts w:ascii="宋体" w:hAnsi="宋体" w:cs="宋体" w:eastAsia="宋体" w:hint="default"/>
                <w:spacing w:val="-37"/>
                <w:sz w:val="15"/>
                <w:szCs w:val="15"/>
              </w:rPr>
              <w:t> </w:t>
            </w:r>
            <w:r>
              <w:rPr>
                <w:rFonts w:ascii="Arial" w:hAnsi="Arial" w:cs="Arial" w:eastAsia="Arial" w:hint="default"/>
                <w:sz w:val="15"/>
                <w:szCs w:val="15"/>
              </w:rPr>
              <w:t>252,050.07</w:t>
            </w:r>
            <w:r>
              <w:rPr>
                <w:rFonts w:ascii="Arial" w:hAnsi="Arial" w:cs="Arial" w:eastAsia="Arial" w:hint="default"/>
                <w:spacing w:val="-7"/>
                <w:sz w:val="15"/>
                <w:szCs w:val="15"/>
              </w:rPr>
              <w:t> </w:t>
            </w:r>
            <w:r>
              <w:rPr>
                <w:rFonts w:ascii="宋体" w:hAnsi="宋体" w:cs="宋体" w:eastAsia="宋体" w:hint="default"/>
                <w:sz w:val="15"/>
                <w:szCs w:val="15"/>
              </w:rPr>
              <w:t>元，由北</w:t>
            </w:r>
            <w:r>
              <w:rPr>
                <w:rFonts w:ascii="宋体" w:hAnsi="宋体" w:cs="宋体" w:eastAsia="宋体" w:hint="default"/>
                <w:w w:val="100"/>
                <w:sz w:val="15"/>
                <w:szCs w:val="15"/>
              </w:rPr>
              <w:t> </w:t>
            </w:r>
            <w:r>
              <w:rPr>
                <w:rFonts w:ascii="宋体" w:hAnsi="宋体" w:cs="宋体" w:eastAsia="宋体" w:hint="default"/>
                <w:spacing w:val="-4"/>
                <w:sz w:val="15"/>
                <w:szCs w:val="15"/>
              </w:rPr>
              <w:t>大荒鑫亚经贸有限责任公司负担。本判决为</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终审判决。本案已审理终结。</w:t>
            </w:r>
          </w:p>
        </w:tc>
        <w:tc>
          <w:tcPr>
            <w:tcW w:w="1529" w:type="dxa"/>
            <w:tcBorders>
              <w:top w:val="single" w:sz="8" w:space="0" w:color="41B7EE"/>
              <w:left w:val="single" w:sz="4" w:space="0" w:color="41B7EE"/>
              <w:bottom w:val="single" w:sz="4" w:space="0" w:color="41B7EE"/>
              <w:right w:val="nil" w:sz="6" w:space="0" w:color="auto"/>
            </w:tcBorders>
          </w:tcPr>
          <w:p>
            <w:pPr/>
          </w:p>
        </w:tc>
      </w:tr>
      <w:tr>
        <w:trPr>
          <w:trHeight w:val="5456" w:hRule="exact"/>
        </w:trPr>
        <w:tc>
          <w:tcPr>
            <w:tcW w:w="612" w:type="dxa"/>
            <w:tcBorders>
              <w:top w:val="single" w:sz="4" w:space="0" w:color="41B7EE"/>
              <w:left w:val="nil" w:sz="6" w:space="0" w:color="auto"/>
              <w:bottom w:val="single" w:sz="4"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28" w:right="123"/>
              <w:jc w:val="both"/>
              <w:rPr>
                <w:rFonts w:ascii="宋体" w:hAnsi="宋体" w:cs="宋体" w:eastAsia="宋体" w:hint="default"/>
                <w:sz w:val="15"/>
                <w:szCs w:val="15"/>
              </w:rPr>
            </w:pPr>
            <w:r>
              <w:rPr>
                <w:rFonts w:ascii="宋体" w:hAnsi="宋体" w:cs="宋体" w:eastAsia="宋体" w:hint="default"/>
                <w:sz w:val="15"/>
                <w:szCs w:val="15"/>
              </w:rPr>
              <w:t>北大荒</w:t>
            </w:r>
            <w:r>
              <w:rPr>
                <w:rFonts w:ascii="宋体" w:hAnsi="宋体" w:cs="宋体" w:eastAsia="宋体" w:hint="default"/>
                <w:spacing w:val="-72"/>
                <w:sz w:val="15"/>
                <w:szCs w:val="15"/>
              </w:rPr>
              <w:t> </w:t>
            </w:r>
            <w:r>
              <w:rPr>
                <w:rFonts w:ascii="宋体" w:hAnsi="宋体" w:cs="宋体" w:eastAsia="宋体" w:hint="default"/>
                <w:sz w:val="15"/>
                <w:szCs w:val="15"/>
              </w:rPr>
              <w:t>鑫亚经</w:t>
            </w:r>
            <w:r>
              <w:rPr>
                <w:rFonts w:ascii="宋体" w:hAnsi="宋体" w:cs="宋体" w:eastAsia="宋体" w:hint="default"/>
                <w:spacing w:val="-72"/>
                <w:sz w:val="15"/>
                <w:szCs w:val="15"/>
              </w:rPr>
              <w:t> </w:t>
            </w:r>
            <w:r>
              <w:rPr>
                <w:rFonts w:ascii="宋体" w:hAnsi="宋体" w:cs="宋体" w:eastAsia="宋体" w:hint="default"/>
                <w:sz w:val="15"/>
                <w:szCs w:val="15"/>
              </w:rPr>
              <w:t>贸有限</w:t>
            </w:r>
            <w:r>
              <w:rPr>
                <w:rFonts w:ascii="宋体" w:hAnsi="宋体" w:cs="宋体" w:eastAsia="宋体" w:hint="default"/>
                <w:spacing w:val="-72"/>
                <w:sz w:val="15"/>
                <w:szCs w:val="15"/>
              </w:rPr>
              <w:t> </w:t>
            </w:r>
            <w:r>
              <w:rPr>
                <w:rFonts w:ascii="宋体" w:hAnsi="宋体" w:cs="宋体" w:eastAsia="宋体" w:hint="default"/>
                <w:sz w:val="15"/>
                <w:szCs w:val="15"/>
              </w:rPr>
              <w:t>责任公</w:t>
            </w:r>
            <w:r>
              <w:rPr>
                <w:rFonts w:ascii="宋体" w:hAnsi="宋体" w:cs="宋体" w:eastAsia="宋体" w:hint="default"/>
                <w:spacing w:val="-72"/>
                <w:sz w:val="15"/>
                <w:szCs w:val="15"/>
              </w:rPr>
              <w:t> </w:t>
            </w:r>
            <w:r>
              <w:rPr>
                <w:rFonts w:ascii="宋体" w:hAnsi="宋体" w:cs="宋体" w:eastAsia="宋体" w:hint="default"/>
                <w:sz w:val="15"/>
                <w:szCs w:val="15"/>
              </w:rPr>
              <w:t>司</w:t>
            </w:r>
          </w:p>
        </w:tc>
        <w:tc>
          <w:tcPr>
            <w:tcW w:w="64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3"/>
                <w:szCs w:val="13"/>
              </w:rPr>
            </w:pPr>
          </w:p>
          <w:p>
            <w:pPr>
              <w:pStyle w:val="TableParagraph"/>
              <w:spacing w:line="240" w:lineRule="auto"/>
              <w:ind w:left="21" w:right="19"/>
              <w:jc w:val="left"/>
              <w:rPr>
                <w:rFonts w:ascii="宋体" w:hAnsi="宋体" w:cs="宋体" w:eastAsia="宋体" w:hint="default"/>
                <w:sz w:val="15"/>
                <w:szCs w:val="15"/>
              </w:rPr>
            </w:pPr>
            <w:r>
              <w:rPr>
                <w:rFonts w:ascii="宋体" w:hAnsi="宋体" w:cs="宋体" w:eastAsia="宋体" w:hint="default"/>
                <w:sz w:val="15"/>
                <w:szCs w:val="15"/>
              </w:rPr>
              <w:t>延寿志</w:t>
            </w:r>
            <w:r>
              <w:rPr>
                <w:rFonts w:ascii="宋体" w:hAnsi="宋体" w:cs="宋体" w:eastAsia="宋体" w:hint="default"/>
                <w:spacing w:val="-72"/>
                <w:sz w:val="15"/>
                <w:szCs w:val="15"/>
              </w:rPr>
              <w:t> </w:t>
            </w:r>
            <w:r>
              <w:rPr>
                <w:rFonts w:ascii="宋体" w:hAnsi="宋体" w:cs="宋体" w:eastAsia="宋体" w:hint="default"/>
                <w:sz w:val="15"/>
                <w:szCs w:val="15"/>
              </w:rPr>
              <w:t>德纺织</w:t>
            </w:r>
            <w:r>
              <w:rPr>
                <w:rFonts w:ascii="宋体" w:hAnsi="宋体" w:cs="宋体" w:eastAsia="宋体" w:hint="default"/>
                <w:spacing w:val="-72"/>
                <w:sz w:val="15"/>
                <w:szCs w:val="15"/>
              </w:rPr>
              <w:t> </w:t>
            </w:r>
            <w:r>
              <w:rPr>
                <w:rFonts w:ascii="宋体" w:hAnsi="宋体" w:cs="宋体" w:eastAsia="宋体" w:hint="default"/>
                <w:sz w:val="15"/>
                <w:szCs w:val="15"/>
              </w:rPr>
              <w:t>有限公</w:t>
            </w:r>
            <w:r>
              <w:rPr>
                <w:rFonts w:ascii="宋体" w:hAnsi="宋体" w:cs="宋体" w:eastAsia="宋体" w:hint="default"/>
                <w:spacing w:val="-72"/>
                <w:sz w:val="15"/>
                <w:szCs w:val="15"/>
              </w:rPr>
              <w:t> </w:t>
            </w:r>
            <w:r>
              <w:rPr>
                <w:rFonts w:ascii="宋体" w:hAnsi="宋体" w:cs="宋体" w:eastAsia="宋体" w:hint="default"/>
                <w:spacing w:val="-4"/>
                <w:sz w:val="15"/>
                <w:szCs w:val="15"/>
              </w:rPr>
              <w:t>司、北大</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荒青枫</w:t>
            </w:r>
            <w:r>
              <w:rPr>
                <w:rFonts w:ascii="宋体" w:hAnsi="宋体" w:cs="宋体" w:eastAsia="宋体" w:hint="default"/>
                <w:spacing w:val="-72"/>
                <w:sz w:val="15"/>
                <w:szCs w:val="15"/>
              </w:rPr>
              <w:t> </w:t>
            </w:r>
            <w:r>
              <w:rPr>
                <w:rFonts w:ascii="宋体" w:hAnsi="宋体" w:cs="宋体" w:eastAsia="宋体" w:hint="default"/>
                <w:sz w:val="15"/>
                <w:szCs w:val="15"/>
              </w:rPr>
              <w:t>亚麻纺</w:t>
            </w:r>
            <w:r>
              <w:rPr>
                <w:rFonts w:ascii="宋体" w:hAnsi="宋体" w:cs="宋体" w:eastAsia="宋体" w:hint="default"/>
                <w:spacing w:val="-72"/>
                <w:sz w:val="15"/>
                <w:szCs w:val="15"/>
              </w:rPr>
              <w:t> </w:t>
            </w:r>
            <w:r>
              <w:rPr>
                <w:rFonts w:ascii="宋体" w:hAnsi="宋体" w:cs="宋体" w:eastAsia="宋体" w:hint="default"/>
                <w:sz w:val="15"/>
                <w:szCs w:val="15"/>
              </w:rPr>
              <w:t>织有限</w:t>
            </w:r>
            <w:r>
              <w:rPr>
                <w:rFonts w:ascii="宋体" w:hAnsi="宋体" w:cs="宋体" w:eastAsia="宋体" w:hint="default"/>
                <w:spacing w:val="-72"/>
                <w:sz w:val="15"/>
                <w:szCs w:val="15"/>
              </w:rPr>
              <w:t> </w:t>
            </w:r>
            <w:r>
              <w:rPr>
                <w:rFonts w:ascii="宋体" w:hAnsi="宋体" w:cs="宋体" w:eastAsia="宋体" w:hint="default"/>
                <w:sz w:val="15"/>
                <w:szCs w:val="15"/>
              </w:rPr>
              <w:t>公司</w:t>
            </w:r>
          </w:p>
        </w:tc>
        <w:tc>
          <w:tcPr>
            <w:tcW w:w="7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60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诉讼</w:t>
            </w:r>
          </w:p>
        </w:tc>
        <w:tc>
          <w:tcPr>
            <w:tcW w:w="227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35" w:lineRule="auto"/>
              <w:ind w:left="23" w:right="19"/>
              <w:jc w:val="left"/>
              <w:rPr>
                <w:rFonts w:ascii="宋体" w:hAnsi="宋体" w:cs="宋体" w:eastAsia="宋体" w:hint="default"/>
                <w:sz w:val="15"/>
                <w:szCs w:val="15"/>
              </w:rPr>
            </w:pPr>
            <w:r>
              <w:rPr>
                <w:rFonts w:ascii="Arial" w:hAnsi="Arial" w:cs="Arial" w:eastAsia="Arial" w:hint="default"/>
                <w:spacing w:val="-1"/>
                <w:w w:val="100"/>
                <w:sz w:val="15"/>
                <w:szCs w:val="15"/>
              </w:rPr>
              <w:t>2012</w:t>
            </w:r>
            <w:r>
              <w:rPr>
                <w:rFonts w:ascii="Arial" w:hAnsi="Arial" w:cs="Arial" w:eastAsia="Arial" w:hint="default"/>
                <w:spacing w:val="-6"/>
                <w:w w:val="100"/>
                <w:sz w:val="15"/>
                <w:szCs w:val="15"/>
              </w:rPr>
              <w:t> </w:t>
            </w:r>
            <w:r>
              <w:rPr>
                <w:rFonts w:ascii="宋体" w:hAnsi="宋体" w:cs="宋体" w:eastAsia="宋体" w:hint="default"/>
                <w:w w:val="100"/>
                <w:sz w:val="15"/>
                <w:szCs w:val="15"/>
              </w:rPr>
              <w:t>年</w:t>
            </w:r>
            <w:r>
              <w:rPr>
                <w:rFonts w:ascii="宋体" w:hAnsi="宋体" w:cs="宋体" w:eastAsia="宋体" w:hint="default"/>
                <w:spacing w:val="-39"/>
                <w:w w:val="100"/>
                <w:sz w:val="15"/>
                <w:szCs w:val="15"/>
              </w:rPr>
              <w:t> </w:t>
            </w:r>
            <w:r>
              <w:rPr>
                <w:rFonts w:ascii="Arial" w:hAnsi="Arial" w:cs="Arial" w:eastAsia="Arial" w:hint="default"/>
                <w:w w:val="100"/>
                <w:sz w:val="15"/>
                <w:szCs w:val="15"/>
              </w:rPr>
              <w:t>5</w:t>
            </w:r>
            <w:r>
              <w:rPr>
                <w:rFonts w:ascii="Arial" w:hAnsi="Arial" w:cs="Arial" w:eastAsia="Arial" w:hint="default"/>
                <w:spacing w:val="-6"/>
                <w:w w:val="100"/>
                <w:sz w:val="15"/>
                <w:szCs w:val="15"/>
              </w:rPr>
              <w:t> </w:t>
            </w:r>
            <w:r>
              <w:rPr>
                <w:rFonts w:ascii="宋体" w:hAnsi="宋体" w:cs="宋体" w:eastAsia="宋体" w:hint="default"/>
                <w:w w:val="100"/>
                <w:sz w:val="15"/>
                <w:szCs w:val="15"/>
              </w:rPr>
              <w:t>月</w:t>
            </w:r>
            <w:r>
              <w:rPr>
                <w:rFonts w:ascii="宋体" w:hAnsi="宋体" w:cs="宋体" w:eastAsia="宋体" w:hint="default"/>
                <w:spacing w:val="-37"/>
                <w:w w:val="100"/>
                <w:sz w:val="15"/>
                <w:szCs w:val="15"/>
              </w:rPr>
              <w:t> </w:t>
            </w:r>
            <w:r>
              <w:rPr>
                <w:rFonts w:ascii="Arial" w:hAnsi="Arial" w:cs="Arial" w:eastAsia="Arial" w:hint="default"/>
                <w:spacing w:val="-2"/>
                <w:w w:val="100"/>
                <w:sz w:val="15"/>
                <w:szCs w:val="15"/>
              </w:rPr>
              <w:t>21</w:t>
            </w:r>
            <w:r>
              <w:rPr>
                <w:rFonts w:ascii="Arial" w:hAnsi="Arial" w:cs="Arial" w:eastAsia="Arial" w:hint="default"/>
                <w:spacing w:val="-3"/>
                <w:w w:val="100"/>
                <w:sz w:val="15"/>
                <w:szCs w:val="15"/>
              </w:rPr>
              <w:t> </w:t>
            </w:r>
            <w:r>
              <w:rPr>
                <w:rFonts w:ascii="宋体" w:hAnsi="宋体" w:cs="宋体" w:eastAsia="宋体" w:hint="default"/>
                <w:spacing w:val="-9"/>
                <w:w w:val="100"/>
                <w:sz w:val="15"/>
                <w:szCs w:val="15"/>
              </w:rPr>
              <w:t>日，鑫亚公司与志</w:t>
            </w:r>
            <w:r>
              <w:rPr>
                <w:rFonts w:ascii="宋体" w:hAnsi="宋体" w:cs="宋体" w:eastAsia="宋体" w:hint="default"/>
                <w:w w:val="100"/>
                <w:sz w:val="15"/>
                <w:szCs w:val="15"/>
              </w:rPr>
              <w:t> </w:t>
            </w:r>
            <w:r>
              <w:rPr>
                <w:rFonts w:ascii="宋体" w:hAnsi="宋体" w:cs="宋体" w:eastAsia="宋体" w:hint="default"/>
                <w:spacing w:val="-4"/>
                <w:sz w:val="15"/>
                <w:szCs w:val="15"/>
              </w:rPr>
              <w:t>德公司、青枫公司签订《亚麻纱加</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4"/>
                <w:sz w:val="15"/>
                <w:szCs w:val="15"/>
              </w:rPr>
              <w:t>工合同》，约定志德公司为鑫亚公</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4"/>
                <w:sz w:val="15"/>
                <w:szCs w:val="15"/>
              </w:rPr>
              <w:t>司加工亚麻原料。合同签订后，鑫</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亚公司向志德公司交付需加工亚</w:t>
            </w:r>
            <w:r>
              <w:rPr>
                <w:rFonts w:ascii="宋体" w:hAnsi="宋体" w:cs="宋体" w:eastAsia="宋体" w:hint="default"/>
                <w:w w:val="100"/>
                <w:sz w:val="15"/>
                <w:szCs w:val="15"/>
              </w:rPr>
              <w:t> </w:t>
            </w:r>
            <w:r>
              <w:rPr>
                <w:rFonts w:ascii="宋体" w:hAnsi="宋体" w:cs="宋体" w:eastAsia="宋体" w:hint="default"/>
                <w:sz w:val="15"/>
                <w:szCs w:val="15"/>
              </w:rPr>
              <w:t>麻原料</w:t>
            </w:r>
            <w:r>
              <w:rPr>
                <w:rFonts w:ascii="宋体" w:hAnsi="宋体" w:cs="宋体" w:eastAsia="宋体" w:hint="default"/>
                <w:spacing w:val="-43"/>
                <w:sz w:val="15"/>
                <w:szCs w:val="15"/>
              </w:rPr>
              <w:t> </w:t>
            </w:r>
            <w:r>
              <w:rPr>
                <w:rFonts w:ascii="Arial" w:hAnsi="Arial" w:cs="Arial" w:eastAsia="Arial" w:hint="default"/>
                <w:sz w:val="15"/>
                <w:szCs w:val="15"/>
              </w:rPr>
              <w:t>645.15</w:t>
            </w:r>
            <w:r>
              <w:rPr>
                <w:rFonts w:ascii="Arial" w:hAnsi="Arial" w:cs="Arial" w:eastAsia="Arial" w:hint="default"/>
                <w:spacing w:val="-12"/>
                <w:sz w:val="15"/>
                <w:szCs w:val="15"/>
              </w:rPr>
              <w:t> </w:t>
            </w:r>
            <w:r>
              <w:rPr>
                <w:rFonts w:ascii="宋体" w:hAnsi="宋体" w:cs="宋体" w:eastAsia="宋体" w:hint="default"/>
                <w:sz w:val="15"/>
                <w:szCs w:val="15"/>
              </w:rPr>
              <w:t>吨及机短麻</w:t>
            </w:r>
            <w:r>
              <w:rPr>
                <w:rFonts w:ascii="宋体" w:hAnsi="宋体" w:cs="宋体" w:eastAsia="宋体" w:hint="default"/>
                <w:spacing w:val="-42"/>
                <w:sz w:val="15"/>
                <w:szCs w:val="15"/>
              </w:rPr>
              <w:t> </w:t>
            </w:r>
            <w:r>
              <w:rPr>
                <w:rFonts w:ascii="Arial" w:hAnsi="Arial" w:cs="Arial" w:eastAsia="Arial" w:hint="default"/>
                <w:sz w:val="15"/>
                <w:szCs w:val="15"/>
              </w:rPr>
              <w:t>184.82</w:t>
            </w:r>
            <w:r>
              <w:rPr>
                <w:rFonts w:ascii="Arial" w:hAnsi="Arial" w:cs="Arial" w:eastAsia="Arial" w:hint="default"/>
                <w:w w:val="100"/>
                <w:sz w:val="15"/>
                <w:szCs w:val="15"/>
              </w:rPr>
              <w:t> </w:t>
            </w:r>
            <w:r>
              <w:rPr>
                <w:rFonts w:ascii="宋体" w:hAnsi="宋体" w:cs="宋体" w:eastAsia="宋体" w:hint="default"/>
                <w:spacing w:val="-4"/>
                <w:sz w:val="15"/>
                <w:szCs w:val="15"/>
              </w:rPr>
              <w:t>吨。但志德公司未按合同约定向鑫</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pacing w:val="-4"/>
                <w:sz w:val="15"/>
                <w:szCs w:val="15"/>
              </w:rPr>
              <w:t>亚公司报告加工进度，并拒绝交付</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pacing w:val="-4"/>
                <w:sz w:val="15"/>
                <w:szCs w:val="15"/>
              </w:rPr>
              <w:t>产成品。合同同时约定青枫公司对</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志德公司的加工行为负有下达生</w:t>
            </w:r>
            <w:r>
              <w:rPr>
                <w:rFonts w:ascii="宋体" w:hAnsi="宋体" w:cs="宋体" w:eastAsia="宋体" w:hint="default"/>
                <w:w w:val="100"/>
                <w:sz w:val="15"/>
                <w:szCs w:val="15"/>
              </w:rPr>
              <w:t> </w:t>
            </w:r>
            <w:r>
              <w:rPr>
                <w:rFonts w:ascii="宋体" w:hAnsi="宋体" w:cs="宋体" w:eastAsia="宋体" w:hint="default"/>
                <w:spacing w:val="-4"/>
                <w:sz w:val="15"/>
                <w:szCs w:val="15"/>
              </w:rPr>
              <w:t>产计划、监管交付、质量验收、负</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pacing w:val="-4"/>
                <w:sz w:val="15"/>
                <w:szCs w:val="15"/>
              </w:rPr>
              <w:t>责统计保管和生产跟单等责任。因</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pacing w:val="-4"/>
                <w:sz w:val="15"/>
                <w:szCs w:val="15"/>
              </w:rPr>
              <w:t>二被告未履行合同义务，故鑫亚公</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司向法院提起诉讼。</w:t>
            </w:r>
          </w:p>
        </w:tc>
        <w:tc>
          <w:tcPr>
            <w:tcW w:w="135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Arial" w:hAnsi="Arial" w:cs="Arial" w:eastAsia="Arial" w:hint="default"/>
                <w:sz w:val="15"/>
                <w:szCs w:val="15"/>
              </w:rPr>
            </w:pPr>
            <w:r>
              <w:rPr>
                <w:rFonts w:ascii="Arial"/>
                <w:spacing w:val="-1"/>
                <w:sz w:val="15"/>
              </w:rPr>
              <w:t>23,253,648.82</w:t>
            </w:r>
          </w:p>
        </w:tc>
        <w:tc>
          <w:tcPr>
            <w:tcW w:w="838" w:type="dxa"/>
            <w:tcBorders>
              <w:top w:val="single" w:sz="4" w:space="0" w:color="41B7EE"/>
              <w:left w:val="single" w:sz="4" w:space="0" w:color="41B7EE"/>
              <w:bottom w:val="single" w:sz="4" w:space="0" w:color="41B7EE"/>
              <w:right w:val="single" w:sz="4" w:space="0" w:color="41B7EE"/>
            </w:tcBorders>
          </w:tcPr>
          <w:p>
            <w:pPr/>
          </w:p>
        </w:tc>
        <w:tc>
          <w:tcPr>
            <w:tcW w:w="2434" w:type="dxa"/>
            <w:tcBorders>
              <w:top w:val="single" w:sz="4" w:space="0" w:color="41B7EE"/>
              <w:left w:val="single" w:sz="4" w:space="0" w:color="41B7EE"/>
              <w:bottom w:val="single" w:sz="4" w:space="0" w:color="41B7EE"/>
              <w:right w:val="single" w:sz="13" w:space="0" w:color="FFFFFF"/>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02" w:lineRule="exact" w:before="124"/>
              <w:ind w:left="23" w:right="0"/>
              <w:jc w:val="both"/>
              <w:rPr>
                <w:rFonts w:ascii="宋体" w:hAnsi="宋体" w:cs="宋体" w:eastAsia="宋体" w:hint="default"/>
                <w:sz w:val="15"/>
                <w:szCs w:val="15"/>
              </w:rPr>
            </w:pPr>
            <w:r>
              <w:rPr>
                <w:rFonts w:ascii="宋体" w:hAnsi="宋体" w:cs="宋体" w:eastAsia="宋体" w:hint="default"/>
                <w:sz w:val="15"/>
                <w:szCs w:val="15"/>
              </w:rPr>
              <w:t>法院于</w:t>
            </w:r>
            <w:r>
              <w:rPr>
                <w:rFonts w:ascii="宋体" w:hAnsi="宋体" w:cs="宋体" w:eastAsia="宋体" w:hint="default"/>
                <w:spacing w:val="-39"/>
                <w:sz w:val="15"/>
                <w:szCs w:val="15"/>
              </w:rPr>
              <w:t> </w:t>
            </w:r>
            <w:r>
              <w:rPr>
                <w:rFonts w:ascii="Arial" w:hAnsi="Arial" w:cs="Arial" w:eastAsia="Arial" w:hint="default"/>
                <w:sz w:val="15"/>
                <w:szCs w:val="15"/>
              </w:rPr>
              <w:t>2016</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Arial" w:hAnsi="Arial" w:cs="Arial" w:eastAsia="Arial" w:hint="default"/>
                <w:sz w:val="15"/>
                <w:szCs w:val="15"/>
              </w:rPr>
              <w:t>1</w:t>
            </w:r>
            <w:r>
              <w:rPr>
                <w:rFonts w:ascii="Arial" w:hAnsi="Arial" w:cs="Arial" w:eastAsia="Arial"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Arial" w:hAnsi="Arial" w:cs="Arial" w:eastAsia="Arial" w:hint="default"/>
                <w:sz w:val="15"/>
                <w:szCs w:val="15"/>
              </w:rPr>
              <w:t>19</w:t>
            </w:r>
            <w:r>
              <w:rPr>
                <w:rFonts w:ascii="Arial" w:hAnsi="Arial" w:cs="Arial" w:eastAsia="Arial" w:hint="default"/>
                <w:spacing w:val="-9"/>
                <w:sz w:val="15"/>
                <w:szCs w:val="15"/>
              </w:rPr>
              <w:t> </w:t>
            </w:r>
            <w:r>
              <w:rPr>
                <w:rFonts w:ascii="宋体" w:hAnsi="宋体" w:cs="宋体" w:eastAsia="宋体" w:hint="default"/>
                <w:sz w:val="15"/>
                <w:szCs w:val="15"/>
              </w:rPr>
              <w:t>日受理本案，</w:t>
            </w:r>
          </w:p>
          <w:p>
            <w:pPr>
              <w:pStyle w:val="TableParagraph"/>
              <w:spacing w:line="235" w:lineRule="auto"/>
              <w:ind w:left="23" w:right="17"/>
              <w:jc w:val="both"/>
              <w:rPr>
                <w:rFonts w:ascii="宋体" w:hAnsi="宋体" w:cs="宋体" w:eastAsia="宋体" w:hint="default"/>
                <w:sz w:val="15"/>
                <w:szCs w:val="15"/>
              </w:rPr>
            </w:pPr>
            <w:r>
              <w:rPr>
                <w:rFonts w:ascii="宋体" w:hAnsi="宋体" w:cs="宋体" w:eastAsia="宋体" w:hint="default"/>
                <w:spacing w:val="-3"/>
                <w:sz w:val="15"/>
                <w:szCs w:val="15"/>
              </w:rPr>
              <w:t>案号为〔</w:t>
            </w:r>
            <w:r>
              <w:rPr>
                <w:rFonts w:ascii="Arial" w:hAnsi="Arial" w:cs="Arial" w:eastAsia="Arial" w:hint="default"/>
                <w:spacing w:val="-3"/>
                <w:sz w:val="15"/>
                <w:szCs w:val="15"/>
              </w:rPr>
              <w:t>2016</w:t>
            </w:r>
            <w:r>
              <w:rPr>
                <w:rFonts w:ascii="宋体" w:hAnsi="宋体" w:cs="宋体" w:eastAsia="宋体" w:hint="default"/>
                <w:spacing w:val="-3"/>
                <w:sz w:val="15"/>
                <w:szCs w:val="15"/>
              </w:rPr>
              <w:t>〕黑</w:t>
            </w:r>
            <w:r>
              <w:rPr>
                <w:rFonts w:ascii="宋体" w:hAnsi="宋体" w:cs="宋体" w:eastAsia="宋体" w:hint="default"/>
                <w:spacing w:val="-35"/>
                <w:sz w:val="15"/>
                <w:szCs w:val="15"/>
              </w:rPr>
              <w:t> </w:t>
            </w:r>
            <w:r>
              <w:rPr>
                <w:rFonts w:ascii="Arial" w:hAnsi="Arial" w:cs="Arial" w:eastAsia="Arial" w:hint="default"/>
                <w:sz w:val="15"/>
                <w:szCs w:val="15"/>
              </w:rPr>
              <w:t>81</w:t>
            </w:r>
            <w:r>
              <w:rPr>
                <w:rFonts w:ascii="Arial" w:hAnsi="Arial" w:cs="Arial" w:eastAsia="Arial" w:hint="default"/>
                <w:spacing w:val="-2"/>
                <w:sz w:val="15"/>
                <w:szCs w:val="15"/>
              </w:rPr>
              <w:t> </w:t>
            </w:r>
            <w:r>
              <w:rPr>
                <w:rFonts w:ascii="宋体" w:hAnsi="宋体" w:cs="宋体" w:eastAsia="宋体" w:hint="default"/>
                <w:sz w:val="15"/>
                <w:szCs w:val="15"/>
              </w:rPr>
              <w:t>民初</w:t>
            </w:r>
            <w:r>
              <w:rPr>
                <w:rFonts w:ascii="宋体" w:hAnsi="宋体" w:cs="宋体" w:eastAsia="宋体" w:hint="default"/>
                <w:spacing w:val="-35"/>
                <w:sz w:val="15"/>
                <w:szCs w:val="15"/>
              </w:rPr>
              <w:t> </w:t>
            </w:r>
            <w:r>
              <w:rPr>
                <w:rFonts w:ascii="Arial" w:hAnsi="Arial" w:cs="Arial" w:eastAsia="Arial" w:hint="default"/>
                <w:sz w:val="15"/>
                <w:szCs w:val="15"/>
              </w:rPr>
              <w:t>4</w:t>
            </w:r>
            <w:r>
              <w:rPr>
                <w:rFonts w:ascii="Arial" w:hAnsi="Arial" w:cs="Arial" w:eastAsia="Arial" w:hint="default"/>
                <w:spacing w:val="-2"/>
                <w:sz w:val="15"/>
                <w:szCs w:val="15"/>
              </w:rPr>
              <w:t> </w:t>
            </w:r>
            <w:r>
              <w:rPr>
                <w:rFonts w:ascii="宋体" w:hAnsi="宋体" w:cs="宋体" w:eastAsia="宋体" w:hint="default"/>
                <w:spacing w:val="-3"/>
                <w:sz w:val="15"/>
                <w:szCs w:val="15"/>
              </w:rPr>
              <w:t>号，法</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pacing w:val="-4"/>
                <w:sz w:val="15"/>
                <w:szCs w:val="15"/>
              </w:rPr>
              <w:t>院向被告送达起诉材料后，青枫公司</w:t>
            </w:r>
            <w:r>
              <w:rPr>
                <w:rFonts w:ascii="宋体" w:hAnsi="宋体" w:cs="宋体" w:eastAsia="宋体" w:hint="default"/>
                <w:spacing w:val="-46"/>
                <w:sz w:val="15"/>
                <w:szCs w:val="15"/>
              </w:rPr>
              <w:t> </w:t>
            </w:r>
            <w:r>
              <w:rPr>
                <w:rFonts w:ascii="宋体" w:hAnsi="宋体" w:cs="宋体" w:eastAsia="宋体" w:hint="default"/>
                <w:spacing w:val="-46"/>
                <w:sz w:val="15"/>
                <w:szCs w:val="15"/>
              </w:rPr>
            </w:r>
            <w:r>
              <w:rPr>
                <w:rFonts w:ascii="宋体" w:hAnsi="宋体" w:cs="宋体" w:eastAsia="宋体" w:hint="default"/>
                <w:spacing w:val="-4"/>
                <w:sz w:val="15"/>
                <w:szCs w:val="15"/>
              </w:rPr>
              <w:t>提起管辖权异议，法院经审查予以驳</w:t>
            </w:r>
            <w:r>
              <w:rPr>
                <w:rFonts w:ascii="宋体" w:hAnsi="宋体" w:cs="宋体" w:eastAsia="宋体" w:hint="default"/>
                <w:spacing w:val="-46"/>
                <w:sz w:val="15"/>
                <w:szCs w:val="15"/>
              </w:rPr>
              <w:t> </w:t>
            </w:r>
            <w:r>
              <w:rPr>
                <w:rFonts w:ascii="宋体" w:hAnsi="宋体" w:cs="宋体" w:eastAsia="宋体" w:hint="default"/>
                <w:spacing w:val="-46"/>
                <w:sz w:val="15"/>
                <w:szCs w:val="15"/>
              </w:rPr>
            </w:r>
            <w:r>
              <w:rPr>
                <w:rFonts w:ascii="宋体" w:hAnsi="宋体" w:cs="宋体" w:eastAsia="宋体" w:hint="default"/>
                <w:spacing w:val="-4"/>
                <w:sz w:val="15"/>
                <w:szCs w:val="15"/>
              </w:rPr>
              <w:t>回，青枫公司不服一审裁定，向黑龙</w:t>
            </w:r>
            <w:r>
              <w:rPr>
                <w:rFonts w:ascii="宋体" w:hAnsi="宋体" w:cs="宋体" w:eastAsia="宋体" w:hint="default"/>
                <w:spacing w:val="-47"/>
                <w:sz w:val="15"/>
                <w:szCs w:val="15"/>
              </w:rPr>
              <w:t> </w:t>
            </w:r>
            <w:r>
              <w:rPr>
                <w:rFonts w:ascii="宋体" w:hAnsi="宋体" w:cs="宋体" w:eastAsia="宋体" w:hint="default"/>
                <w:spacing w:val="-47"/>
                <w:sz w:val="15"/>
                <w:szCs w:val="15"/>
              </w:rPr>
            </w:r>
            <w:r>
              <w:rPr>
                <w:rFonts w:ascii="宋体" w:hAnsi="宋体" w:cs="宋体" w:eastAsia="宋体" w:hint="default"/>
                <w:spacing w:val="-4"/>
                <w:sz w:val="15"/>
                <w:szCs w:val="15"/>
              </w:rPr>
              <w:t>江省高院提起上诉，黑龙江省高院二</w:t>
            </w:r>
            <w:r>
              <w:rPr>
                <w:rFonts w:ascii="宋体" w:hAnsi="宋体" w:cs="宋体" w:eastAsia="宋体" w:hint="default"/>
                <w:spacing w:val="-47"/>
                <w:sz w:val="15"/>
                <w:szCs w:val="15"/>
              </w:rPr>
              <w:t> </w:t>
            </w:r>
            <w:r>
              <w:rPr>
                <w:rFonts w:ascii="宋体" w:hAnsi="宋体" w:cs="宋体" w:eastAsia="宋体" w:hint="default"/>
                <w:spacing w:val="-47"/>
                <w:sz w:val="15"/>
                <w:szCs w:val="15"/>
              </w:rPr>
            </w:r>
            <w:r>
              <w:rPr>
                <w:rFonts w:ascii="宋体" w:hAnsi="宋体" w:cs="宋体" w:eastAsia="宋体" w:hint="default"/>
                <w:spacing w:val="-4"/>
                <w:sz w:val="15"/>
                <w:szCs w:val="15"/>
              </w:rPr>
              <w:t>审裁定驳回青枫公司上诉。农垦中院</w:t>
            </w:r>
            <w:r>
              <w:rPr>
                <w:rFonts w:ascii="宋体" w:hAnsi="宋体" w:cs="宋体" w:eastAsia="宋体" w:hint="default"/>
                <w:spacing w:val="-46"/>
                <w:sz w:val="15"/>
                <w:szCs w:val="15"/>
              </w:rPr>
              <w:t> </w:t>
            </w:r>
            <w:r>
              <w:rPr>
                <w:rFonts w:ascii="宋体" w:hAnsi="宋体" w:cs="宋体" w:eastAsia="宋体" w:hint="default"/>
                <w:spacing w:val="-46"/>
                <w:sz w:val="15"/>
                <w:szCs w:val="15"/>
              </w:rPr>
            </w:r>
            <w:r>
              <w:rPr>
                <w:rFonts w:ascii="宋体" w:hAnsi="宋体" w:cs="宋体" w:eastAsia="宋体" w:hint="default"/>
                <w:sz w:val="15"/>
                <w:szCs w:val="15"/>
              </w:rPr>
              <w:t>于</w:t>
            </w:r>
            <w:r>
              <w:rPr>
                <w:rFonts w:ascii="宋体" w:hAnsi="宋体" w:cs="宋体" w:eastAsia="宋体" w:hint="default"/>
                <w:spacing w:val="-38"/>
                <w:sz w:val="15"/>
                <w:szCs w:val="15"/>
              </w:rPr>
              <w:t> </w:t>
            </w:r>
            <w:r>
              <w:rPr>
                <w:rFonts w:ascii="Arial" w:hAnsi="Arial" w:cs="Arial" w:eastAsia="Arial" w:hint="default"/>
                <w:sz w:val="15"/>
                <w:szCs w:val="15"/>
              </w:rPr>
              <w:t>2016</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w:hAnsi="Arial" w:cs="Arial" w:eastAsia="Arial" w:hint="default"/>
                <w:sz w:val="15"/>
                <w:szCs w:val="15"/>
              </w:rPr>
              <w:t>11</w:t>
            </w:r>
            <w:r>
              <w:rPr>
                <w:rFonts w:ascii="Arial" w:hAnsi="Arial" w:cs="Arial" w:eastAsia="Arial"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21</w:t>
            </w:r>
            <w:r>
              <w:rPr>
                <w:rFonts w:ascii="Arial" w:hAnsi="Arial" w:cs="Arial" w:eastAsia="Arial" w:hint="default"/>
                <w:spacing w:val="-5"/>
                <w:sz w:val="15"/>
                <w:szCs w:val="15"/>
              </w:rPr>
              <w:t> </w:t>
            </w:r>
            <w:r>
              <w:rPr>
                <w:rFonts w:ascii="宋体" w:hAnsi="宋体" w:cs="宋体" w:eastAsia="宋体" w:hint="default"/>
                <w:sz w:val="15"/>
                <w:szCs w:val="15"/>
              </w:rPr>
              <w:t>日至</w:t>
            </w:r>
            <w:r>
              <w:rPr>
                <w:rFonts w:ascii="宋体" w:hAnsi="宋体" w:cs="宋体" w:eastAsia="宋体" w:hint="default"/>
                <w:spacing w:val="-38"/>
                <w:sz w:val="15"/>
                <w:szCs w:val="15"/>
              </w:rPr>
              <w:t> </w:t>
            </w:r>
            <w:r>
              <w:rPr>
                <w:rFonts w:ascii="Arial" w:hAnsi="Arial" w:cs="Arial" w:eastAsia="Arial" w:hint="default"/>
                <w:sz w:val="15"/>
                <w:szCs w:val="15"/>
              </w:rPr>
              <w:t>25</w:t>
            </w:r>
            <w:r>
              <w:rPr>
                <w:rFonts w:ascii="Arial" w:hAnsi="Arial" w:cs="Arial" w:eastAsia="Arial" w:hint="default"/>
                <w:spacing w:val="-5"/>
                <w:sz w:val="15"/>
                <w:szCs w:val="15"/>
              </w:rPr>
              <w:t> </w:t>
            </w:r>
            <w:r>
              <w:rPr>
                <w:rFonts w:ascii="宋体" w:hAnsi="宋体" w:cs="宋体" w:eastAsia="宋体" w:hint="default"/>
                <w:sz w:val="15"/>
                <w:szCs w:val="15"/>
              </w:rPr>
              <w:t>日开庭</w:t>
            </w:r>
          </w:p>
          <w:p>
            <w:pPr>
              <w:pStyle w:val="TableParagraph"/>
              <w:spacing w:line="189" w:lineRule="exact"/>
              <w:ind w:left="23" w:right="0"/>
              <w:jc w:val="both"/>
              <w:rPr>
                <w:rFonts w:ascii="宋体" w:hAnsi="宋体" w:cs="宋体" w:eastAsia="宋体" w:hint="default"/>
                <w:sz w:val="15"/>
                <w:szCs w:val="15"/>
              </w:rPr>
            </w:pPr>
            <w:r>
              <w:rPr>
                <w:rFonts w:ascii="宋体" w:hAnsi="宋体" w:cs="宋体" w:eastAsia="宋体" w:hint="default"/>
                <w:sz w:val="15"/>
                <w:szCs w:val="15"/>
              </w:rPr>
              <w:t>审理了本案。法院于</w:t>
            </w:r>
            <w:r>
              <w:rPr>
                <w:rFonts w:ascii="宋体" w:hAnsi="宋体" w:cs="宋体" w:eastAsia="宋体" w:hint="default"/>
                <w:spacing w:val="-38"/>
                <w:sz w:val="15"/>
                <w:szCs w:val="15"/>
              </w:rPr>
              <w:t> </w:t>
            </w:r>
            <w:r>
              <w:rPr>
                <w:rFonts w:ascii="Arial" w:hAnsi="Arial" w:cs="Arial" w:eastAsia="Arial" w:hint="default"/>
                <w:sz w:val="15"/>
                <w:szCs w:val="15"/>
              </w:rPr>
              <w:t>2017</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w:hAnsi="Arial" w:cs="Arial" w:eastAsia="Arial" w:hint="default"/>
                <w:sz w:val="15"/>
                <w:szCs w:val="15"/>
              </w:rPr>
              <w:t>12</w:t>
            </w:r>
            <w:r>
              <w:rPr>
                <w:rFonts w:ascii="Arial" w:hAnsi="Arial" w:cs="Arial" w:eastAsia="Arial" w:hint="default"/>
                <w:spacing w:val="-5"/>
                <w:sz w:val="15"/>
                <w:szCs w:val="15"/>
              </w:rPr>
              <w:t> </w:t>
            </w:r>
            <w:r>
              <w:rPr>
                <w:rFonts w:ascii="宋体" w:hAnsi="宋体" w:cs="宋体" w:eastAsia="宋体" w:hint="default"/>
                <w:sz w:val="15"/>
                <w:szCs w:val="15"/>
              </w:rPr>
              <w:t>月</w:t>
            </w:r>
          </w:p>
          <w:p>
            <w:pPr>
              <w:pStyle w:val="TableParagraph"/>
              <w:spacing w:line="194" w:lineRule="exact" w:before="13"/>
              <w:ind w:left="23" w:right="17"/>
              <w:jc w:val="both"/>
              <w:rPr>
                <w:rFonts w:ascii="宋体" w:hAnsi="宋体" w:cs="宋体" w:eastAsia="宋体" w:hint="default"/>
                <w:sz w:val="15"/>
                <w:szCs w:val="15"/>
              </w:rPr>
            </w:pPr>
            <w:r>
              <w:rPr>
                <w:rFonts w:ascii="Arial" w:hAnsi="Arial" w:cs="Arial" w:eastAsia="Arial" w:hint="default"/>
                <w:sz w:val="15"/>
                <w:szCs w:val="15"/>
              </w:rPr>
              <w:t>11 </w:t>
            </w:r>
            <w:r>
              <w:rPr>
                <w:rFonts w:ascii="宋体" w:hAnsi="宋体" w:cs="宋体" w:eastAsia="宋体" w:hint="default"/>
                <w:spacing w:val="-9"/>
                <w:sz w:val="15"/>
                <w:szCs w:val="15"/>
              </w:rPr>
              <w:t>日作出（</w:t>
            </w:r>
            <w:r>
              <w:rPr>
                <w:rFonts w:ascii="Arial" w:hAnsi="Arial" w:cs="Arial" w:eastAsia="Arial" w:hint="default"/>
                <w:spacing w:val="-9"/>
                <w:sz w:val="15"/>
                <w:szCs w:val="15"/>
              </w:rPr>
              <w:t>2016</w:t>
            </w:r>
            <w:r>
              <w:rPr>
                <w:rFonts w:ascii="宋体" w:hAnsi="宋体" w:cs="宋体" w:eastAsia="宋体" w:hint="default"/>
                <w:spacing w:val="-9"/>
                <w:sz w:val="15"/>
                <w:szCs w:val="15"/>
              </w:rPr>
              <w:t>）黑</w:t>
            </w:r>
            <w:r>
              <w:rPr>
                <w:rFonts w:ascii="宋体" w:hAnsi="宋体" w:cs="宋体" w:eastAsia="宋体" w:hint="default"/>
                <w:spacing w:val="-36"/>
                <w:sz w:val="15"/>
                <w:szCs w:val="15"/>
              </w:rPr>
              <w:t> </w:t>
            </w:r>
            <w:r>
              <w:rPr>
                <w:rFonts w:ascii="Arial" w:hAnsi="Arial" w:cs="Arial" w:eastAsia="Arial" w:hint="default"/>
                <w:sz w:val="15"/>
                <w:szCs w:val="15"/>
              </w:rPr>
              <w:t>81</w:t>
            </w:r>
            <w:r>
              <w:rPr>
                <w:rFonts w:ascii="Arial" w:hAnsi="Arial" w:cs="Arial" w:eastAsia="Arial" w:hint="default"/>
                <w:spacing w:val="-3"/>
                <w:sz w:val="15"/>
                <w:szCs w:val="15"/>
              </w:rPr>
              <w:t> </w:t>
            </w:r>
            <w:r>
              <w:rPr>
                <w:rFonts w:ascii="宋体" w:hAnsi="宋体" w:cs="宋体" w:eastAsia="宋体" w:hint="default"/>
                <w:sz w:val="15"/>
                <w:szCs w:val="15"/>
              </w:rPr>
              <w:t>民初</w:t>
            </w:r>
            <w:r>
              <w:rPr>
                <w:rFonts w:ascii="宋体" w:hAnsi="宋体" w:cs="宋体" w:eastAsia="宋体" w:hint="default"/>
                <w:spacing w:val="-36"/>
                <w:sz w:val="15"/>
                <w:szCs w:val="15"/>
              </w:rPr>
              <w:t> </w:t>
            </w:r>
            <w:r>
              <w:rPr>
                <w:rFonts w:ascii="Arial" w:hAnsi="Arial" w:cs="Arial" w:eastAsia="Arial" w:hint="default"/>
                <w:sz w:val="15"/>
                <w:szCs w:val="15"/>
              </w:rPr>
              <w:t>4</w:t>
            </w:r>
            <w:r>
              <w:rPr>
                <w:rFonts w:ascii="Arial" w:hAnsi="Arial" w:cs="Arial" w:eastAsia="Arial" w:hint="default"/>
                <w:spacing w:val="-3"/>
                <w:sz w:val="15"/>
                <w:szCs w:val="15"/>
              </w:rPr>
              <w:t> </w:t>
            </w:r>
            <w:r>
              <w:rPr>
                <w:rFonts w:ascii="宋体" w:hAnsi="宋体" w:cs="宋体" w:eastAsia="宋体" w:hint="default"/>
                <w:sz w:val="15"/>
                <w:szCs w:val="15"/>
              </w:rPr>
              <w:t>号判</w:t>
            </w:r>
            <w:r>
              <w:rPr>
                <w:rFonts w:ascii="宋体" w:hAnsi="宋体" w:cs="宋体" w:eastAsia="宋体" w:hint="default"/>
                <w:spacing w:val="-73"/>
                <w:sz w:val="15"/>
                <w:szCs w:val="15"/>
              </w:rPr>
              <w:t> </w:t>
            </w:r>
            <w:r>
              <w:rPr>
                <w:rFonts w:ascii="宋体" w:hAnsi="宋体" w:cs="宋体" w:eastAsia="宋体" w:hint="default"/>
                <w:spacing w:val="-4"/>
                <w:sz w:val="15"/>
                <w:szCs w:val="15"/>
              </w:rPr>
              <w:t>决书。鑫亚公司已向黑龙江省高级人</w:t>
            </w:r>
            <w:r>
              <w:rPr>
                <w:rFonts w:ascii="宋体" w:hAnsi="宋体" w:cs="宋体" w:eastAsia="宋体" w:hint="default"/>
                <w:spacing w:val="-47"/>
                <w:sz w:val="15"/>
                <w:szCs w:val="15"/>
              </w:rPr>
              <w:t> </w:t>
            </w:r>
            <w:r>
              <w:rPr>
                <w:rFonts w:ascii="宋体" w:hAnsi="宋体" w:cs="宋体" w:eastAsia="宋体" w:hint="default"/>
                <w:spacing w:val="-47"/>
                <w:sz w:val="15"/>
                <w:szCs w:val="15"/>
              </w:rPr>
            </w:r>
            <w:r>
              <w:rPr>
                <w:rFonts w:ascii="宋体" w:hAnsi="宋体" w:cs="宋体" w:eastAsia="宋体" w:hint="default"/>
                <w:sz w:val="15"/>
                <w:szCs w:val="15"/>
              </w:rPr>
              <w:t>民法院提起上诉，并于</w:t>
            </w:r>
            <w:r>
              <w:rPr>
                <w:rFonts w:ascii="宋体" w:hAnsi="宋体" w:cs="宋体" w:eastAsia="宋体" w:hint="default"/>
                <w:spacing w:val="-38"/>
                <w:sz w:val="15"/>
                <w:szCs w:val="15"/>
              </w:rPr>
              <w:t> </w:t>
            </w:r>
            <w:r>
              <w:rPr>
                <w:rFonts w:ascii="Arial" w:hAnsi="Arial" w:cs="Arial" w:eastAsia="Arial" w:hint="default"/>
                <w:sz w:val="15"/>
                <w:szCs w:val="15"/>
              </w:rPr>
              <w:t>2018</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Arial" w:hAnsi="Arial" w:cs="Arial" w:eastAsia="Arial" w:hint="default"/>
                <w:sz w:val="15"/>
                <w:szCs w:val="15"/>
              </w:rPr>
              <w:t>5</w:t>
            </w:r>
            <w:r>
              <w:rPr>
                <w:rFonts w:ascii="Arial" w:hAnsi="Arial" w:cs="Arial" w:eastAsia="Arial" w:hint="default"/>
                <w:spacing w:val="-5"/>
                <w:sz w:val="15"/>
                <w:szCs w:val="15"/>
              </w:rPr>
              <w:t> </w:t>
            </w:r>
            <w:r>
              <w:rPr>
                <w:rFonts w:ascii="宋体" w:hAnsi="宋体" w:cs="宋体" w:eastAsia="宋体" w:hint="default"/>
                <w:sz w:val="15"/>
                <w:szCs w:val="15"/>
              </w:rPr>
              <w:t>月</w:t>
            </w:r>
          </w:p>
          <w:p>
            <w:pPr>
              <w:pStyle w:val="TableParagraph"/>
              <w:spacing w:line="194" w:lineRule="exact"/>
              <w:ind w:left="23" w:right="17"/>
              <w:jc w:val="left"/>
              <w:rPr>
                <w:rFonts w:ascii="宋体" w:hAnsi="宋体" w:cs="宋体" w:eastAsia="宋体" w:hint="default"/>
                <w:sz w:val="15"/>
                <w:szCs w:val="15"/>
              </w:rPr>
            </w:pPr>
            <w:r>
              <w:rPr>
                <w:rFonts w:ascii="Arial" w:hAnsi="Arial" w:cs="Arial" w:eastAsia="Arial" w:hint="default"/>
                <w:sz w:val="15"/>
                <w:szCs w:val="15"/>
              </w:rPr>
              <w:t>2</w:t>
            </w:r>
            <w:r>
              <w:rPr>
                <w:rFonts w:ascii="Arial" w:hAnsi="Arial" w:cs="Arial" w:eastAsia="Arial" w:hint="default"/>
                <w:spacing w:val="-11"/>
                <w:sz w:val="15"/>
                <w:szCs w:val="15"/>
              </w:rPr>
              <w:t> </w:t>
            </w:r>
            <w:r>
              <w:rPr>
                <w:rFonts w:ascii="宋体" w:hAnsi="宋体" w:cs="宋体" w:eastAsia="宋体" w:hint="default"/>
                <w:sz w:val="15"/>
                <w:szCs w:val="15"/>
              </w:rPr>
              <w:t>日收到黑龙江省高级人民法院二审</w:t>
            </w:r>
            <w:r>
              <w:rPr>
                <w:rFonts w:ascii="宋体" w:hAnsi="宋体" w:cs="宋体" w:eastAsia="宋体" w:hint="default"/>
                <w:w w:val="100"/>
                <w:sz w:val="15"/>
                <w:szCs w:val="15"/>
              </w:rPr>
              <w:t> </w:t>
            </w:r>
            <w:r>
              <w:rPr>
                <w:rFonts w:ascii="宋体" w:hAnsi="宋体" w:cs="宋体" w:eastAsia="宋体" w:hint="default"/>
                <w:sz w:val="15"/>
                <w:szCs w:val="15"/>
              </w:rPr>
              <w:t>传票，此案案号为（</w:t>
            </w:r>
            <w:r>
              <w:rPr>
                <w:rFonts w:ascii="Arial" w:hAnsi="Arial" w:cs="Arial" w:eastAsia="Arial" w:hint="default"/>
                <w:sz w:val="15"/>
                <w:szCs w:val="15"/>
              </w:rPr>
              <w:t>2018</w:t>
            </w:r>
            <w:r>
              <w:rPr>
                <w:rFonts w:ascii="宋体" w:hAnsi="宋体" w:cs="宋体" w:eastAsia="宋体" w:hint="default"/>
                <w:sz w:val="15"/>
                <w:szCs w:val="15"/>
              </w:rPr>
              <w:t>）黑民终</w:t>
            </w:r>
            <w:r>
              <w:rPr>
                <w:rFonts w:ascii="宋体" w:hAnsi="宋体" w:cs="宋体" w:eastAsia="宋体" w:hint="default"/>
                <w:w w:val="100"/>
                <w:sz w:val="15"/>
                <w:szCs w:val="15"/>
              </w:rPr>
              <w:t> </w:t>
            </w:r>
            <w:r>
              <w:rPr>
                <w:rFonts w:ascii="Arial" w:hAnsi="Arial" w:cs="Arial" w:eastAsia="Arial" w:hint="default"/>
                <w:sz w:val="15"/>
                <w:szCs w:val="15"/>
              </w:rPr>
              <w:t>366</w:t>
            </w:r>
            <w:r>
              <w:rPr>
                <w:rFonts w:ascii="Arial" w:hAnsi="Arial" w:cs="Arial" w:eastAsia="Arial" w:hint="default"/>
                <w:spacing w:val="-6"/>
                <w:sz w:val="15"/>
                <w:szCs w:val="15"/>
              </w:rPr>
              <w:t> </w:t>
            </w:r>
            <w:r>
              <w:rPr>
                <w:rFonts w:ascii="宋体" w:hAnsi="宋体" w:cs="宋体" w:eastAsia="宋体" w:hint="default"/>
                <w:sz w:val="15"/>
                <w:szCs w:val="15"/>
              </w:rPr>
              <w:t>号，并于</w:t>
            </w:r>
            <w:r>
              <w:rPr>
                <w:rFonts w:ascii="宋体" w:hAnsi="宋体" w:cs="宋体" w:eastAsia="宋体" w:hint="default"/>
                <w:spacing w:val="-39"/>
                <w:sz w:val="15"/>
                <w:szCs w:val="15"/>
              </w:rPr>
              <w:t> </w:t>
            </w:r>
            <w:r>
              <w:rPr>
                <w:rFonts w:ascii="Arial" w:hAnsi="Arial" w:cs="Arial" w:eastAsia="Arial" w:hint="default"/>
                <w:sz w:val="15"/>
                <w:szCs w:val="15"/>
              </w:rPr>
              <w:t>2018</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w:hAnsi="Arial" w:cs="Arial" w:eastAsia="Arial" w:hint="default"/>
                <w:sz w:val="15"/>
                <w:szCs w:val="15"/>
              </w:rPr>
              <w:t>5</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15</w:t>
            </w:r>
            <w:r>
              <w:rPr>
                <w:rFonts w:ascii="Arial" w:hAnsi="Arial" w:cs="Arial" w:eastAsia="Arial" w:hint="default"/>
                <w:spacing w:val="-4"/>
                <w:sz w:val="15"/>
                <w:szCs w:val="15"/>
              </w:rPr>
              <w:t> </w:t>
            </w:r>
            <w:r>
              <w:rPr>
                <w:rFonts w:ascii="宋体" w:hAnsi="宋体" w:cs="宋体" w:eastAsia="宋体" w:hint="default"/>
                <w:spacing w:val="-3"/>
                <w:sz w:val="15"/>
                <w:szCs w:val="15"/>
              </w:rPr>
              <w:t>日开</w:t>
            </w:r>
            <w:r>
              <w:rPr>
                <w:rFonts w:ascii="宋体" w:hAnsi="宋体" w:cs="宋体" w:eastAsia="宋体" w:hint="default"/>
                <w:sz w:val="15"/>
                <w:szCs w:val="15"/>
              </w:rPr>
            </w:r>
          </w:p>
          <w:p>
            <w:pPr>
              <w:pStyle w:val="TableParagraph"/>
              <w:spacing w:line="194" w:lineRule="exact"/>
              <w:ind w:left="23" w:right="17"/>
              <w:jc w:val="both"/>
              <w:rPr>
                <w:rFonts w:ascii="宋体" w:hAnsi="宋体" w:cs="宋体" w:eastAsia="宋体" w:hint="default"/>
                <w:sz w:val="15"/>
                <w:szCs w:val="15"/>
              </w:rPr>
            </w:pPr>
            <w:r>
              <w:rPr>
                <w:rFonts w:ascii="宋体" w:hAnsi="宋体" w:cs="宋体" w:eastAsia="宋体" w:hint="default"/>
                <w:spacing w:val="-3"/>
                <w:sz w:val="15"/>
                <w:szCs w:val="15"/>
              </w:rPr>
              <w:t>庭，鑫亚公司于</w:t>
            </w:r>
            <w:r>
              <w:rPr>
                <w:rFonts w:ascii="宋体" w:hAnsi="宋体" w:cs="宋体" w:eastAsia="宋体" w:hint="default"/>
                <w:spacing w:val="-35"/>
                <w:sz w:val="15"/>
                <w:szCs w:val="15"/>
              </w:rPr>
              <w:t> </w:t>
            </w:r>
            <w:r>
              <w:rPr>
                <w:rFonts w:ascii="Arial" w:hAnsi="Arial" w:cs="Arial" w:eastAsia="Arial" w:hint="default"/>
                <w:sz w:val="15"/>
                <w:szCs w:val="15"/>
              </w:rPr>
              <w:t>2018</w:t>
            </w:r>
            <w:r>
              <w:rPr>
                <w:rFonts w:ascii="Arial" w:hAnsi="Arial" w:cs="Arial" w:eastAsia="Arial" w:hint="default"/>
                <w:spacing w:val="-4"/>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w:hAnsi="Arial" w:cs="Arial" w:eastAsia="Arial" w:hint="default"/>
                <w:sz w:val="15"/>
                <w:szCs w:val="15"/>
              </w:rPr>
              <w:t>8</w:t>
            </w:r>
            <w:r>
              <w:rPr>
                <w:rFonts w:ascii="Arial" w:hAnsi="Arial" w:cs="Arial" w:eastAsia="Arial" w:hint="default"/>
                <w:spacing w:val="-2"/>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2</w:t>
            </w:r>
            <w:r>
              <w:rPr>
                <w:rFonts w:ascii="Arial" w:hAnsi="Arial" w:cs="Arial" w:eastAsia="Arial" w:hint="default"/>
                <w:spacing w:val="-4"/>
                <w:sz w:val="15"/>
                <w:szCs w:val="15"/>
              </w:rPr>
              <w:t> </w:t>
            </w:r>
            <w:r>
              <w:rPr>
                <w:rFonts w:ascii="宋体" w:hAnsi="宋体" w:cs="宋体" w:eastAsia="宋体" w:hint="default"/>
                <w:sz w:val="15"/>
                <w:szCs w:val="15"/>
              </w:rPr>
              <w:t>日收</w:t>
            </w:r>
            <w:r>
              <w:rPr>
                <w:rFonts w:ascii="宋体" w:hAnsi="宋体" w:cs="宋体" w:eastAsia="宋体" w:hint="default"/>
                <w:w w:val="100"/>
                <w:sz w:val="15"/>
                <w:szCs w:val="15"/>
              </w:rPr>
              <w:t> </w:t>
            </w:r>
            <w:r>
              <w:rPr>
                <w:rFonts w:ascii="宋体" w:hAnsi="宋体" w:cs="宋体" w:eastAsia="宋体" w:hint="default"/>
                <w:sz w:val="15"/>
                <w:szCs w:val="15"/>
              </w:rPr>
              <w:t>到二审判决书。</w:t>
            </w:r>
          </w:p>
        </w:tc>
        <w:tc>
          <w:tcPr>
            <w:tcW w:w="2847" w:type="dxa"/>
            <w:tcBorders>
              <w:top w:val="single" w:sz="4" w:space="0" w:color="41B7EE"/>
              <w:left w:val="single" w:sz="13" w:space="0" w:color="FFFFFF"/>
              <w:bottom w:val="single" w:sz="4" w:space="0" w:color="41B7EE"/>
              <w:right w:val="single" w:sz="4" w:space="0" w:color="41B7EE"/>
            </w:tcBorders>
          </w:tcPr>
          <w:p>
            <w:pPr>
              <w:pStyle w:val="TableParagraph"/>
              <w:spacing w:line="177" w:lineRule="exact"/>
              <w:ind w:right="0"/>
              <w:jc w:val="both"/>
              <w:rPr>
                <w:rFonts w:ascii="宋体" w:hAnsi="宋体" w:cs="宋体" w:eastAsia="宋体" w:hint="default"/>
                <w:sz w:val="15"/>
                <w:szCs w:val="15"/>
              </w:rPr>
            </w:pPr>
            <w:r>
              <w:rPr>
                <w:rFonts w:ascii="宋体" w:hAnsi="宋体" w:cs="宋体" w:eastAsia="宋体" w:hint="default"/>
                <w:sz w:val="15"/>
                <w:szCs w:val="15"/>
              </w:rPr>
              <w:t>一审判决：</w:t>
            </w:r>
            <w:r>
              <w:rPr>
                <w:rFonts w:ascii="Arial" w:hAnsi="Arial" w:cs="Arial" w:eastAsia="Arial" w:hint="default"/>
                <w:sz w:val="15"/>
                <w:szCs w:val="15"/>
              </w:rPr>
              <w:t>1</w:t>
            </w:r>
            <w:r>
              <w:rPr>
                <w:rFonts w:ascii="宋体" w:hAnsi="宋体" w:cs="宋体" w:eastAsia="宋体" w:hint="default"/>
                <w:sz w:val="15"/>
                <w:szCs w:val="15"/>
              </w:rPr>
              <w:t>、志德公司、青枫公司于本判</w:t>
            </w:r>
          </w:p>
          <w:p>
            <w:pPr>
              <w:pStyle w:val="TableParagraph"/>
              <w:spacing w:line="189" w:lineRule="exact"/>
              <w:ind w:right="0"/>
              <w:jc w:val="both"/>
              <w:rPr>
                <w:rFonts w:ascii="宋体" w:hAnsi="宋体" w:cs="宋体" w:eastAsia="宋体" w:hint="default"/>
                <w:sz w:val="15"/>
                <w:szCs w:val="15"/>
              </w:rPr>
            </w:pPr>
            <w:r>
              <w:rPr>
                <w:rFonts w:ascii="宋体" w:hAnsi="宋体" w:cs="宋体" w:eastAsia="宋体" w:hint="default"/>
                <w:sz w:val="15"/>
                <w:szCs w:val="15"/>
              </w:rPr>
              <w:t>决生效之日起十日内按照</w:t>
            </w:r>
          </w:p>
          <w:p>
            <w:pPr>
              <w:pStyle w:val="TableParagraph"/>
              <w:spacing w:line="200" w:lineRule="exact"/>
              <w:ind w:right="0"/>
              <w:jc w:val="both"/>
              <w:rPr>
                <w:rFonts w:ascii="宋体" w:hAnsi="宋体" w:cs="宋体" w:eastAsia="宋体" w:hint="default"/>
                <w:sz w:val="15"/>
                <w:szCs w:val="15"/>
              </w:rPr>
            </w:pPr>
            <w:r>
              <w:rPr>
                <w:rFonts w:ascii="Arial" w:hAnsi="Arial" w:cs="Arial" w:eastAsia="Arial" w:hint="default"/>
                <w:sz w:val="15"/>
                <w:szCs w:val="15"/>
              </w:rPr>
              <w:t>XY-YSZDQFYM20120521-YMS-064</w:t>
            </w:r>
            <w:r>
              <w:rPr>
                <w:rFonts w:ascii="Arial" w:hAnsi="Arial" w:cs="Arial" w:eastAsia="Arial" w:hint="default"/>
                <w:spacing w:val="-9"/>
                <w:sz w:val="15"/>
                <w:szCs w:val="15"/>
              </w:rPr>
              <w:t> </w:t>
            </w:r>
            <w:r>
              <w:rPr>
                <w:rFonts w:ascii="宋体" w:hAnsi="宋体" w:cs="宋体" w:eastAsia="宋体" w:hint="default"/>
                <w:sz w:val="15"/>
                <w:szCs w:val="15"/>
              </w:rPr>
              <w:t>号</w:t>
            </w:r>
          </w:p>
          <w:p>
            <w:pPr>
              <w:pStyle w:val="TableParagraph"/>
              <w:spacing w:line="194" w:lineRule="exact" w:before="13"/>
              <w:ind w:right="17"/>
              <w:jc w:val="both"/>
              <w:rPr>
                <w:rFonts w:ascii="宋体" w:hAnsi="宋体" w:cs="宋体" w:eastAsia="宋体" w:hint="default"/>
                <w:sz w:val="15"/>
                <w:szCs w:val="15"/>
              </w:rPr>
            </w:pPr>
            <w:r>
              <w:rPr>
                <w:rFonts w:ascii="宋体" w:hAnsi="宋体" w:cs="宋体" w:eastAsia="宋体" w:hint="default"/>
                <w:spacing w:val="-4"/>
                <w:sz w:val="15"/>
                <w:szCs w:val="15"/>
              </w:rPr>
              <w:t>《亚麻纱加工合同》的约定给付鑫亚公司已</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加工完成的亚麻纱；</w:t>
            </w:r>
            <w:r>
              <w:rPr>
                <w:rFonts w:ascii="Arial" w:hAnsi="Arial" w:cs="Arial" w:eastAsia="Arial" w:hint="default"/>
                <w:sz w:val="15"/>
                <w:szCs w:val="15"/>
              </w:rPr>
              <w:t>2</w:t>
            </w:r>
            <w:r>
              <w:rPr>
                <w:rFonts w:ascii="宋体" w:hAnsi="宋体" w:cs="宋体" w:eastAsia="宋体" w:hint="default"/>
                <w:sz w:val="15"/>
                <w:szCs w:val="15"/>
              </w:rPr>
              <w:t>、驳回鑫亚公司的其</w:t>
            </w:r>
            <w:r>
              <w:rPr>
                <w:rFonts w:ascii="宋体" w:hAnsi="宋体" w:cs="宋体" w:eastAsia="宋体" w:hint="default"/>
                <w:w w:val="100"/>
                <w:sz w:val="15"/>
                <w:szCs w:val="15"/>
              </w:rPr>
              <w:t> </w:t>
            </w:r>
            <w:r>
              <w:rPr>
                <w:rFonts w:ascii="宋体" w:hAnsi="宋体" w:cs="宋体" w:eastAsia="宋体" w:hint="default"/>
                <w:sz w:val="15"/>
                <w:szCs w:val="15"/>
              </w:rPr>
              <w:t>他诉讼请求。案件受理费</w:t>
            </w:r>
            <w:r>
              <w:rPr>
                <w:rFonts w:ascii="宋体" w:hAnsi="宋体" w:cs="宋体" w:eastAsia="宋体" w:hint="default"/>
                <w:spacing w:val="-39"/>
                <w:sz w:val="15"/>
                <w:szCs w:val="15"/>
              </w:rPr>
              <w:t> </w:t>
            </w:r>
            <w:r>
              <w:rPr>
                <w:rFonts w:ascii="Arial" w:hAnsi="Arial" w:cs="Arial" w:eastAsia="Arial" w:hint="default"/>
                <w:sz w:val="15"/>
                <w:szCs w:val="15"/>
              </w:rPr>
              <w:t>158,050.00</w:t>
            </w:r>
            <w:r>
              <w:rPr>
                <w:rFonts w:ascii="Arial" w:hAnsi="Arial" w:cs="Arial" w:eastAsia="Arial" w:hint="default"/>
                <w:spacing w:val="-7"/>
                <w:sz w:val="15"/>
                <w:szCs w:val="15"/>
              </w:rPr>
              <w:t> </w:t>
            </w:r>
            <w:r>
              <w:rPr>
                <w:rFonts w:ascii="宋体" w:hAnsi="宋体" w:cs="宋体" w:eastAsia="宋体" w:hint="default"/>
                <w:spacing w:val="-3"/>
                <w:sz w:val="15"/>
                <w:szCs w:val="15"/>
              </w:rPr>
              <w:t>元，</w:t>
            </w:r>
            <w:r>
              <w:rPr>
                <w:rFonts w:ascii="宋体" w:hAnsi="宋体" w:cs="宋体" w:eastAsia="宋体" w:hint="default"/>
                <w:sz w:val="15"/>
                <w:szCs w:val="15"/>
              </w:rPr>
            </w:r>
          </w:p>
          <w:p>
            <w:pPr>
              <w:pStyle w:val="TableParagraph"/>
              <w:spacing w:line="181" w:lineRule="exact"/>
              <w:ind w:right="0"/>
              <w:jc w:val="both"/>
              <w:rPr>
                <w:rFonts w:ascii="宋体" w:hAnsi="宋体" w:cs="宋体" w:eastAsia="宋体" w:hint="default"/>
                <w:sz w:val="15"/>
                <w:szCs w:val="15"/>
              </w:rPr>
            </w:pPr>
            <w:r>
              <w:rPr>
                <w:rFonts w:ascii="宋体" w:hAnsi="宋体" w:cs="宋体" w:eastAsia="宋体" w:hint="default"/>
                <w:sz w:val="15"/>
                <w:szCs w:val="15"/>
              </w:rPr>
              <w:t>由鑫亚公司负担</w:t>
            </w:r>
            <w:r>
              <w:rPr>
                <w:rFonts w:ascii="宋体" w:hAnsi="宋体" w:cs="宋体" w:eastAsia="宋体" w:hint="default"/>
                <w:spacing w:val="-39"/>
                <w:sz w:val="15"/>
                <w:szCs w:val="15"/>
              </w:rPr>
              <w:t> </w:t>
            </w:r>
            <w:r>
              <w:rPr>
                <w:rFonts w:ascii="Arial" w:hAnsi="Arial" w:cs="Arial" w:eastAsia="Arial" w:hint="default"/>
                <w:sz w:val="15"/>
                <w:szCs w:val="15"/>
              </w:rPr>
              <w:t>79,025.00</w:t>
            </w:r>
            <w:r>
              <w:rPr>
                <w:rFonts w:ascii="Arial" w:hAnsi="Arial" w:cs="Arial" w:eastAsia="Arial" w:hint="default"/>
                <w:spacing w:val="-7"/>
                <w:sz w:val="15"/>
                <w:szCs w:val="15"/>
              </w:rPr>
              <w:t> </w:t>
            </w:r>
            <w:r>
              <w:rPr>
                <w:rFonts w:ascii="宋体" w:hAnsi="宋体" w:cs="宋体" w:eastAsia="宋体" w:hint="default"/>
                <w:sz w:val="15"/>
                <w:szCs w:val="15"/>
              </w:rPr>
              <w:t>元，志德公司、</w:t>
            </w:r>
          </w:p>
          <w:p>
            <w:pPr>
              <w:pStyle w:val="TableParagraph"/>
              <w:spacing w:line="194" w:lineRule="exact"/>
              <w:ind w:right="0"/>
              <w:jc w:val="both"/>
              <w:rPr>
                <w:rFonts w:ascii="宋体" w:hAnsi="宋体" w:cs="宋体" w:eastAsia="宋体" w:hint="default"/>
                <w:sz w:val="15"/>
                <w:szCs w:val="15"/>
              </w:rPr>
            </w:pPr>
            <w:r>
              <w:rPr>
                <w:rFonts w:ascii="宋体" w:hAnsi="宋体" w:cs="宋体" w:eastAsia="宋体" w:hint="default"/>
                <w:sz w:val="15"/>
                <w:szCs w:val="15"/>
              </w:rPr>
              <w:t>青枫公司负担</w:t>
            </w:r>
            <w:r>
              <w:rPr>
                <w:rFonts w:ascii="宋体" w:hAnsi="宋体" w:cs="宋体" w:eastAsia="宋体" w:hint="default"/>
                <w:spacing w:val="-34"/>
                <w:sz w:val="15"/>
                <w:szCs w:val="15"/>
              </w:rPr>
              <w:t> </w:t>
            </w:r>
            <w:r>
              <w:rPr>
                <w:rFonts w:ascii="Arial" w:hAnsi="Arial" w:cs="Arial" w:eastAsia="Arial" w:hint="default"/>
                <w:sz w:val="15"/>
                <w:szCs w:val="15"/>
              </w:rPr>
              <w:t>79,025.00</w:t>
            </w:r>
            <w:r>
              <w:rPr>
                <w:rFonts w:ascii="Arial" w:hAnsi="Arial" w:cs="Arial" w:eastAsia="Arial" w:hint="default"/>
                <w:spacing w:val="2"/>
                <w:sz w:val="15"/>
                <w:szCs w:val="15"/>
              </w:rPr>
              <w:t> </w:t>
            </w:r>
            <w:r>
              <w:rPr>
                <w:rFonts w:ascii="宋体" w:hAnsi="宋体" w:cs="宋体" w:eastAsia="宋体" w:hint="default"/>
                <w:spacing w:val="-10"/>
                <w:sz w:val="15"/>
                <w:szCs w:val="15"/>
              </w:rPr>
              <w:t>元。二审判决：</w:t>
            </w:r>
          </w:p>
          <w:p>
            <w:pPr>
              <w:pStyle w:val="TableParagraph"/>
              <w:spacing w:line="195" w:lineRule="exact"/>
              <w:ind w:right="0"/>
              <w:jc w:val="both"/>
              <w:rPr>
                <w:rFonts w:ascii="Arial" w:hAnsi="Arial" w:cs="Arial" w:eastAsia="Arial" w:hint="default"/>
                <w:sz w:val="15"/>
                <w:szCs w:val="15"/>
              </w:rPr>
            </w:pPr>
            <w:r>
              <w:rPr>
                <w:rFonts w:ascii="宋体" w:hAnsi="宋体" w:cs="宋体" w:eastAsia="宋体" w:hint="default"/>
                <w:spacing w:val="-2"/>
                <w:sz w:val="15"/>
                <w:szCs w:val="15"/>
              </w:rPr>
              <w:t>维持黑龙江省农垦中级法院（</w:t>
            </w:r>
            <w:r>
              <w:rPr>
                <w:rFonts w:ascii="Arial" w:hAnsi="Arial" w:cs="Arial" w:eastAsia="Arial" w:hint="default"/>
                <w:spacing w:val="-2"/>
                <w:sz w:val="15"/>
                <w:szCs w:val="15"/>
              </w:rPr>
              <w:t>2016)</w:t>
            </w:r>
            <w:r>
              <w:rPr>
                <w:rFonts w:ascii="宋体" w:hAnsi="宋体" w:cs="宋体" w:eastAsia="宋体" w:hint="default"/>
                <w:spacing w:val="-2"/>
                <w:sz w:val="15"/>
                <w:szCs w:val="15"/>
              </w:rPr>
              <w:t>黑 </w:t>
            </w:r>
            <w:r>
              <w:rPr>
                <w:rFonts w:ascii="Arial" w:hAnsi="Arial" w:cs="Arial" w:eastAsia="Arial" w:hint="default"/>
                <w:spacing w:val="-1"/>
                <w:sz w:val="15"/>
                <w:szCs w:val="15"/>
              </w:rPr>
              <w:t>81</w:t>
            </w:r>
            <w:r>
              <w:rPr>
                <w:rFonts w:ascii="Arial" w:hAnsi="Arial" w:cs="Arial" w:eastAsia="Arial" w:hint="default"/>
                <w:sz w:val="15"/>
                <w:szCs w:val="15"/>
              </w:rPr>
            </w:r>
          </w:p>
          <w:p>
            <w:pPr>
              <w:pStyle w:val="TableParagraph"/>
              <w:spacing w:line="195" w:lineRule="exact"/>
              <w:ind w:right="0"/>
              <w:jc w:val="both"/>
              <w:rPr>
                <w:rFonts w:ascii="宋体" w:hAnsi="宋体" w:cs="宋体" w:eastAsia="宋体" w:hint="default"/>
                <w:sz w:val="15"/>
                <w:szCs w:val="15"/>
              </w:rPr>
            </w:pPr>
            <w:r>
              <w:rPr>
                <w:rFonts w:ascii="宋体" w:hAnsi="宋体" w:cs="宋体" w:eastAsia="宋体" w:hint="default"/>
                <w:sz w:val="15"/>
                <w:szCs w:val="15"/>
              </w:rPr>
              <w:t>民初 </w:t>
            </w:r>
            <w:r>
              <w:rPr>
                <w:rFonts w:ascii="Arial" w:hAnsi="Arial" w:cs="Arial" w:eastAsia="Arial" w:hint="default"/>
                <w:sz w:val="15"/>
                <w:szCs w:val="15"/>
              </w:rPr>
              <w:t>4</w:t>
            </w:r>
            <w:r>
              <w:rPr>
                <w:rFonts w:ascii="Arial" w:hAnsi="Arial" w:cs="Arial" w:eastAsia="Arial" w:hint="default"/>
                <w:spacing w:val="-20"/>
                <w:sz w:val="15"/>
                <w:szCs w:val="15"/>
              </w:rPr>
              <w:t> </w:t>
            </w:r>
            <w:r>
              <w:rPr>
                <w:rFonts w:ascii="宋体" w:hAnsi="宋体" w:cs="宋体" w:eastAsia="宋体" w:hint="default"/>
                <w:spacing w:val="-5"/>
                <w:sz w:val="15"/>
                <w:szCs w:val="15"/>
              </w:rPr>
              <w:t>号民事判决主文第二项。二、变更黑</w:t>
            </w:r>
          </w:p>
          <w:p>
            <w:pPr>
              <w:pStyle w:val="TableParagraph"/>
              <w:spacing w:line="194" w:lineRule="exact" w:before="13"/>
              <w:ind w:right="17"/>
              <w:jc w:val="left"/>
              <w:rPr>
                <w:rFonts w:ascii="宋体" w:hAnsi="宋体" w:cs="宋体" w:eastAsia="宋体" w:hint="default"/>
                <w:sz w:val="15"/>
                <w:szCs w:val="15"/>
              </w:rPr>
            </w:pPr>
            <w:r>
              <w:rPr>
                <w:rFonts w:ascii="宋体" w:hAnsi="宋体" w:cs="宋体" w:eastAsia="宋体" w:hint="default"/>
                <w:sz w:val="15"/>
                <w:szCs w:val="15"/>
              </w:rPr>
              <w:t>龙江省农垦中级法院（</w:t>
            </w:r>
            <w:r>
              <w:rPr>
                <w:rFonts w:ascii="Arial" w:hAnsi="Arial" w:cs="Arial" w:eastAsia="Arial" w:hint="default"/>
                <w:sz w:val="15"/>
                <w:szCs w:val="15"/>
              </w:rPr>
              <w:t>2016)</w:t>
            </w:r>
            <w:r>
              <w:rPr>
                <w:rFonts w:ascii="宋体" w:hAnsi="宋体" w:cs="宋体" w:eastAsia="宋体" w:hint="default"/>
                <w:sz w:val="15"/>
                <w:szCs w:val="15"/>
              </w:rPr>
              <w:t>黑</w:t>
            </w:r>
            <w:r>
              <w:rPr>
                <w:rFonts w:ascii="宋体" w:hAnsi="宋体" w:cs="宋体" w:eastAsia="宋体" w:hint="default"/>
                <w:spacing w:val="-38"/>
                <w:sz w:val="15"/>
                <w:szCs w:val="15"/>
              </w:rPr>
              <w:t> </w:t>
            </w:r>
            <w:r>
              <w:rPr>
                <w:rFonts w:ascii="Arial" w:hAnsi="Arial" w:cs="Arial" w:eastAsia="Arial" w:hint="default"/>
                <w:sz w:val="15"/>
                <w:szCs w:val="15"/>
              </w:rPr>
              <w:t>81</w:t>
            </w:r>
            <w:r>
              <w:rPr>
                <w:rFonts w:ascii="Arial" w:hAnsi="Arial" w:cs="Arial" w:eastAsia="Arial" w:hint="default"/>
                <w:spacing w:val="-5"/>
                <w:sz w:val="15"/>
                <w:szCs w:val="15"/>
              </w:rPr>
              <w:t> </w:t>
            </w:r>
            <w:r>
              <w:rPr>
                <w:rFonts w:ascii="宋体" w:hAnsi="宋体" w:cs="宋体" w:eastAsia="宋体" w:hint="default"/>
                <w:sz w:val="15"/>
                <w:szCs w:val="15"/>
              </w:rPr>
              <w:t>民初</w:t>
            </w:r>
            <w:r>
              <w:rPr>
                <w:rFonts w:ascii="宋体" w:hAnsi="宋体" w:cs="宋体" w:eastAsia="宋体" w:hint="default"/>
                <w:spacing w:val="-38"/>
                <w:sz w:val="15"/>
                <w:szCs w:val="15"/>
              </w:rPr>
              <w:t> </w:t>
            </w:r>
            <w:r>
              <w:rPr>
                <w:rFonts w:ascii="Arial" w:hAnsi="Arial" w:cs="Arial" w:eastAsia="Arial" w:hint="default"/>
                <w:sz w:val="15"/>
                <w:szCs w:val="15"/>
              </w:rPr>
              <w:t>4</w:t>
            </w:r>
            <w:r>
              <w:rPr>
                <w:rFonts w:ascii="Arial" w:hAnsi="Arial" w:cs="Arial" w:eastAsia="Arial" w:hint="default"/>
                <w:w w:val="100"/>
                <w:sz w:val="15"/>
                <w:szCs w:val="15"/>
              </w:rPr>
              <w:t> </w:t>
            </w:r>
            <w:r>
              <w:rPr>
                <w:rFonts w:ascii="宋体" w:hAnsi="宋体" w:cs="宋体" w:eastAsia="宋体" w:hint="default"/>
                <w:sz w:val="15"/>
                <w:szCs w:val="15"/>
              </w:rPr>
              <w:t>号民事判决主文第一项为</w:t>
            </w:r>
            <w:r>
              <w:rPr>
                <w:rFonts w:ascii="Arial" w:hAnsi="Arial" w:cs="Arial" w:eastAsia="Arial" w:hint="default"/>
                <w:sz w:val="15"/>
                <w:szCs w:val="15"/>
              </w:rPr>
              <w:t>:</w:t>
            </w:r>
            <w:r>
              <w:rPr>
                <w:rFonts w:ascii="宋体" w:hAnsi="宋体" w:cs="宋体" w:eastAsia="宋体" w:hint="default"/>
                <w:sz w:val="15"/>
                <w:szCs w:val="15"/>
              </w:rPr>
              <w:t>延寿志德纺织有</w:t>
            </w:r>
            <w:r>
              <w:rPr>
                <w:rFonts w:ascii="宋体" w:hAnsi="宋体" w:cs="宋体" w:eastAsia="宋体" w:hint="default"/>
                <w:w w:val="100"/>
                <w:sz w:val="15"/>
                <w:szCs w:val="15"/>
              </w:rPr>
              <w:t> </w:t>
            </w:r>
            <w:r>
              <w:rPr>
                <w:rFonts w:ascii="宋体" w:hAnsi="宋体" w:cs="宋体" w:eastAsia="宋体" w:hint="default"/>
                <w:spacing w:val="-4"/>
                <w:sz w:val="15"/>
                <w:szCs w:val="15"/>
              </w:rPr>
              <w:t>限公司、北大荒青枫亚麻纺织有限公司于本</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判决送达之日起六十日内按照</w:t>
            </w:r>
          </w:p>
          <w:p>
            <w:pPr>
              <w:pStyle w:val="TableParagraph"/>
              <w:spacing w:line="182" w:lineRule="exact"/>
              <w:ind w:right="0"/>
              <w:jc w:val="both"/>
              <w:rPr>
                <w:rFonts w:ascii="宋体" w:hAnsi="宋体" w:cs="宋体" w:eastAsia="宋体" w:hint="default"/>
                <w:sz w:val="15"/>
                <w:szCs w:val="15"/>
              </w:rPr>
            </w:pPr>
            <w:r>
              <w:rPr>
                <w:rFonts w:ascii="Arial" w:hAnsi="Arial" w:cs="Arial" w:eastAsia="Arial" w:hint="default"/>
                <w:spacing w:val="-1"/>
                <w:sz w:val="15"/>
                <w:szCs w:val="15"/>
              </w:rPr>
              <w:t>XY-YSZDQFYM-20120521-YMS-064</w:t>
            </w:r>
            <w:r>
              <w:rPr>
                <w:rFonts w:ascii="Arial" w:hAnsi="Arial" w:cs="Arial" w:eastAsia="Arial" w:hint="default"/>
                <w:spacing w:val="18"/>
                <w:sz w:val="15"/>
                <w:szCs w:val="15"/>
              </w:rPr>
              <w:t> </w:t>
            </w:r>
            <w:r>
              <w:rPr>
                <w:rFonts w:ascii="宋体" w:hAnsi="宋体" w:cs="宋体" w:eastAsia="宋体" w:hint="default"/>
                <w:sz w:val="15"/>
                <w:szCs w:val="15"/>
              </w:rPr>
              <w:t>号</w:t>
            </w:r>
          </w:p>
          <w:p>
            <w:pPr>
              <w:pStyle w:val="TableParagraph"/>
              <w:spacing w:line="194" w:lineRule="exact" w:before="15"/>
              <w:ind w:right="17"/>
              <w:jc w:val="both"/>
              <w:rPr>
                <w:rFonts w:ascii="宋体" w:hAnsi="宋体" w:cs="宋体" w:eastAsia="宋体" w:hint="default"/>
                <w:sz w:val="15"/>
                <w:szCs w:val="15"/>
              </w:rPr>
            </w:pPr>
            <w:r>
              <w:rPr>
                <w:rFonts w:ascii="宋体" w:hAnsi="宋体" w:cs="宋体" w:eastAsia="宋体" w:hint="default"/>
                <w:spacing w:val="-4"/>
                <w:sz w:val="15"/>
                <w:szCs w:val="15"/>
              </w:rPr>
              <w:t>《亚麻纱加工合同》的约定给付北大荒鑫亚</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经贸有限责任公司已加工完成的</w:t>
            </w:r>
            <w:r>
              <w:rPr>
                <w:rFonts w:ascii="宋体" w:hAnsi="宋体" w:cs="宋体" w:eastAsia="宋体" w:hint="default"/>
                <w:spacing w:val="-40"/>
                <w:sz w:val="15"/>
                <w:szCs w:val="15"/>
              </w:rPr>
              <w:t> </w:t>
            </w:r>
            <w:r>
              <w:rPr>
                <w:rFonts w:ascii="Arial" w:hAnsi="Arial" w:cs="Arial" w:eastAsia="Arial" w:hint="default"/>
                <w:sz w:val="15"/>
                <w:szCs w:val="15"/>
              </w:rPr>
              <w:t>149.2588</w:t>
            </w:r>
            <w:r>
              <w:rPr>
                <w:rFonts w:ascii="Arial" w:hAnsi="Arial" w:cs="Arial" w:eastAsia="Arial" w:hint="default"/>
                <w:w w:val="100"/>
                <w:sz w:val="15"/>
                <w:szCs w:val="15"/>
              </w:rPr>
              <w:t> </w:t>
            </w:r>
            <w:r>
              <w:rPr>
                <w:rFonts w:ascii="宋体" w:hAnsi="宋体" w:cs="宋体" w:eastAsia="宋体" w:hint="default"/>
                <w:sz w:val="15"/>
                <w:szCs w:val="15"/>
              </w:rPr>
              <w:t>吨亚麻纱（其中</w:t>
            </w:r>
            <w:r>
              <w:rPr>
                <w:rFonts w:ascii="宋体" w:hAnsi="宋体" w:cs="宋体" w:eastAsia="宋体" w:hint="default"/>
                <w:spacing w:val="-38"/>
                <w:sz w:val="15"/>
                <w:szCs w:val="15"/>
              </w:rPr>
              <w:t> </w:t>
            </w:r>
            <w:r>
              <w:rPr>
                <w:rFonts w:ascii="Arial" w:hAnsi="Arial" w:cs="Arial" w:eastAsia="Arial" w:hint="default"/>
                <w:sz w:val="15"/>
                <w:szCs w:val="15"/>
              </w:rPr>
              <w:t>L24N</w:t>
            </w:r>
            <w:r>
              <w:rPr>
                <w:rFonts w:ascii="Arial" w:hAnsi="Arial" w:cs="Arial" w:eastAsia="Arial" w:hint="default"/>
                <w:spacing w:val="-5"/>
                <w:sz w:val="15"/>
                <w:szCs w:val="15"/>
              </w:rPr>
              <w:t> </w:t>
            </w:r>
            <w:r>
              <w:rPr>
                <w:rFonts w:ascii="宋体" w:hAnsi="宋体" w:cs="宋体" w:eastAsia="宋体" w:hint="default"/>
                <w:sz w:val="15"/>
                <w:szCs w:val="15"/>
              </w:rPr>
              <w:t>长麻纱</w:t>
            </w:r>
            <w:r>
              <w:rPr>
                <w:rFonts w:ascii="宋体" w:hAnsi="宋体" w:cs="宋体" w:eastAsia="宋体" w:hint="default"/>
                <w:spacing w:val="-38"/>
                <w:sz w:val="15"/>
                <w:szCs w:val="15"/>
              </w:rPr>
              <w:t> </w:t>
            </w:r>
            <w:r>
              <w:rPr>
                <w:rFonts w:ascii="Arial" w:hAnsi="Arial" w:cs="Arial" w:eastAsia="Arial" w:hint="default"/>
                <w:sz w:val="15"/>
                <w:szCs w:val="15"/>
              </w:rPr>
              <w:t>68.9119</w:t>
            </w:r>
            <w:r>
              <w:rPr>
                <w:rFonts w:ascii="Arial" w:hAnsi="Arial" w:cs="Arial" w:eastAsia="Arial" w:hint="default"/>
                <w:spacing w:val="-5"/>
                <w:sz w:val="15"/>
                <w:szCs w:val="15"/>
              </w:rPr>
              <w:t> </w:t>
            </w:r>
            <w:r>
              <w:rPr>
                <w:rFonts w:ascii="宋体" w:hAnsi="宋体" w:cs="宋体" w:eastAsia="宋体" w:hint="default"/>
                <w:sz w:val="15"/>
                <w:szCs w:val="15"/>
              </w:rPr>
              <w:t>吨</w:t>
            </w:r>
          </w:p>
          <w:p>
            <w:pPr>
              <w:pStyle w:val="TableParagraph"/>
              <w:spacing w:line="181" w:lineRule="exact"/>
              <w:ind w:right="0"/>
              <w:jc w:val="both"/>
              <w:rPr>
                <w:rFonts w:ascii="Arial" w:hAnsi="Arial" w:cs="Arial" w:eastAsia="Arial" w:hint="default"/>
                <w:sz w:val="15"/>
                <w:szCs w:val="15"/>
              </w:rPr>
            </w:pPr>
            <w:r>
              <w:rPr>
                <w:rFonts w:ascii="Arial" w:hAnsi="Arial" w:cs="Arial" w:eastAsia="Arial" w:hint="default"/>
                <w:sz w:val="15"/>
                <w:szCs w:val="15"/>
              </w:rPr>
              <w:t>+S15N</w:t>
            </w:r>
            <w:r>
              <w:rPr>
                <w:rFonts w:ascii="Arial" w:hAnsi="Arial" w:cs="Arial" w:eastAsia="Arial" w:hint="default"/>
                <w:spacing w:val="-6"/>
                <w:sz w:val="15"/>
                <w:szCs w:val="15"/>
              </w:rPr>
              <w:t> </w:t>
            </w:r>
            <w:r>
              <w:rPr>
                <w:rFonts w:ascii="宋体" w:hAnsi="宋体" w:cs="宋体" w:eastAsia="宋体" w:hint="default"/>
                <w:sz w:val="15"/>
                <w:szCs w:val="15"/>
              </w:rPr>
              <w:t>短麻纱</w:t>
            </w:r>
            <w:r>
              <w:rPr>
                <w:rFonts w:ascii="宋体" w:hAnsi="宋体" w:cs="宋体" w:eastAsia="宋体" w:hint="default"/>
                <w:spacing w:val="-40"/>
                <w:sz w:val="15"/>
                <w:szCs w:val="15"/>
              </w:rPr>
              <w:t> </w:t>
            </w:r>
            <w:r>
              <w:rPr>
                <w:rFonts w:ascii="Arial" w:hAnsi="Arial" w:cs="Arial" w:eastAsia="Arial" w:hint="default"/>
                <w:sz w:val="15"/>
                <w:szCs w:val="15"/>
              </w:rPr>
              <w:t>80.3469</w:t>
            </w:r>
            <w:r>
              <w:rPr>
                <w:rFonts w:ascii="Arial" w:hAnsi="Arial" w:cs="Arial" w:eastAsia="Arial" w:hint="default"/>
                <w:spacing w:val="-4"/>
                <w:sz w:val="15"/>
                <w:szCs w:val="15"/>
              </w:rPr>
              <w:t> </w:t>
            </w:r>
            <w:r>
              <w:rPr>
                <w:rFonts w:ascii="宋体" w:hAnsi="宋体" w:cs="宋体" w:eastAsia="宋体" w:hint="default"/>
                <w:sz w:val="15"/>
                <w:szCs w:val="15"/>
              </w:rPr>
              <w:t>吨</w:t>
            </w:r>
            <w:r>
              <w:rPr>
                <w:rFonts w:ascii="Arial" w:hAnsi="Arial" w:cs="Arial" w:eastAsia="Arial" w:hint="default"/>
                <w:sz w:val="15"/>
                <w:szCs w:val="15"/>
              </w:rPr>
              <w:t>)</w:t>
            </w:r>
            <w:r>
              <w:rPr>
                <w:rFonts w:ascii="宋体" w:hAnsi="宋体" w:cs="宋体" w:eastAsia="宋体" w:hint="default"/>
                <w:sz w:val="15"/>
                <w:szCs w:val="15"/>
              </w:rPr>
              <w:t>及精络</w:t>
            </w:r>
            <w:r>
              <w:rPr>
                <w:rFonts w:ascii="宋体" w:hAnsi="宋体" w:cs="宋体" w:eastAsia="宋体" w:hint="default"/>
                <w:spacing w:val="-40"/>
                <w:sz w:val="15"/>
                <w:szCs w:val="15"/>
              </w:rPr>
              <w:t> </w:t>
            </w:r>
            <w:r>
              <w:rPr>
                <w:rFonts w:ascii="Arial" w:hAnsi="Arial" w:cs="Arial" w:eastAsia="Arial" w:hint="default"/>
                <w:sz w:val="15"/>
                <w:szCs w:val="15"/>
              </w:rPr>
              <w:t>25.0681</w:t>
            </w:r>
          </w:p>
          <w:p>
            <w:pPr>
              <w:pStyle w:val="TableParagraph"/>
              <w:spacing w:line="194" w:lineRule="exact"/>
              <w:ind w:right="0"/>
              <w:jc w:val="both"/>
              <w:rPr>
                <w:rFonts w:ascii="宋体" w:hAnsi="宋体" w:cs="宋体" w:eastAsia="宋体" w:hint="default"/>
                <w:sz w:val="15"/>
                <w:szCs w:val="15"/>
              </w:rPr>
            </w:pPr>
            <w:r>
              <w:rPr>
                <w:rFonts w:ascii="宋体" w:hAnsi="宋体" w:cs="宋体" w:eastAsia="宋体" w:hint="default"/>
                <w:sz w:val="15"/>
                <w:szCs w:val="15"/>
              </w:rPr>
              <w:t>吨、联络</w:t>
            </w:r>
            <w:r>
              <w:rPr>
                <w:rFonts w:ascii="宋体" w:hAnsi="宋体" w:cs="宋体" w:eastAsia="宋体" w:hint="default"/>
                <w:spacing w:val="-40"/>
                <w:sz w:val="15"/>
                <w:szCs w:val="15"/>
              </w:rPr>
              <w:t> </w:t>
            </w:r>
            <w:r>
              <w:rPr>
                <w:rFonts w:ascii="Arial" w:hAnsi="Arial" w:cs="Arial" w:eastAsia="Arial" w:hint="default"/>
                <w:sz w:val="15"/>
                <w:szCs w:val="15"/>
              </w:rPr>
              <w:t>50.1362</w:t>
            </w:r>
            <w:r>
              <w:rPr>
                <w:rFonts w:ascii="Arial" w:hAnsi="Arial" w:cs="Arial" w:eastAsia="Arial" w:hint="default"/>
                <w:spacing w:val="-5"/>
                <w:sz w:val="15"/>
                <w:szCs w:val="15"/>
              </w:rPr>
              <w:t> </w:t>
            </w:r>
            <w:r>
              <w:rPr>
                <w:rFonts w:ascii="宋体" w:hAnsi="宋体" w:cs="宋体" w:eastAsia="宋体" w:hint="default"/>
                <w:sz w:val="15"/>
                <w:szCs w:val="15"/>
              </w:rPr>
              <w:t>吨。如不能给付应折价</w:t>
            </w:r>
          </w:p>
          <w:p>
            <w:pPr>
              <w:pStyle w:val="TableParagraph"/>
              <w:spacing w:line="194" w:lineRule="exact"/>
              <w:ind w:right="0"/>
              <w:jc w:val="both"/>
              <w:rPr>
                <w:rFonts w:ascii="宋体" w:hAnsi="宋体" w:cs="宋体" w:eastAsia="宋体" w:hint="default"/>
                <w:sz w:val="15"/>
                <w:szCs w:val="15"/>
              </w:rPr>
            </w:pPr>
            <w:r>
              <w:rPr>
                <w:rFonts w:ascii="Arial" w:hAnsi="Arial" w:cs="Arial" w:eastAsia="Arial" w:hint="default"/>
                <w:sz w:val="15"/>
                <w:szCs w:val="15"/>
              </w:rPr>
              <w:t>7,506,289.85</w:t>
            </w:r>
            <w:r>
              <w:rPr>
                <w:rFonts w:ascii="Arial" w:hAnsi="Arial" w:cs="Arial" w:eastAsia="Arial" w:hint="default"/>
                <w:spacing w:val="-8"/>
                <w:sz w:val="15"/>
                <w:szCs w:val="15"/>
              </w:rPr>
              <w:t> </w:t>
            </w:r>
            <w:r>
              <w:rPr>
                <w:rFonts w:ascii="宋体" w:hAnsi="宋体" w:cs="宋体" w:eastAsia="宋体" w:hint="default"/>
                <w:sz w:val="15"/>
                <w:szCs w:val="15"/>
              </w:rPr>
              <w:t>元赔偿北大荒鑫亚经贸有限</w:t>
            </w:r>
          </w:p>
          <w:p>
            <w:pPr>
              <w:pStyle w:val="TableParagraph"/>
              <w:spacing w:line="232" w:lineRule="auto"/>
              <w:ind w:right="19"/>
              <w:jc w:val="left"/>
              <w:rPr>
                <w:rFonts w:ascii="宋体" w:hAnsi="宋体" w:cs="宋体" w:eastAsia="宋体" w:hint="default"/>
                <w:sz w:val="15"/>
                <w:szCs w:val="15"/>
              </w:rPr>
            </w:pPr>
            <w:r>
              <w:rPr>
                <w:rFonts w:ascii="宋体" w:hAnsi="宋体" w:cs="宋体" w:eastAsia="宋体" w:hint="default"/>
                <w:spacing w:val="-4"/>
                <w:sz w:val="15"/>
                <w:szCs w:val="15"/>
              </w:rPr>
              <w:t>责任公司的损失。一审案件受理费</w:t>
            </w:r>
            <w:r>
              <w:rPr>
                <w:rFonts w:ascii="宋体" w:hAnsi="宋体" w:cs="宋体" w:eastAsia="宋体" w:hint="default"/>
                <w:spacing w:val="-22"/>
                <w:sz w:val="15"/>
                <w:szCs w:val="15"/>
              </w:rPr>
              <w:t> </w:t>
            </w:r>
            <w:r>
              <w:rPr>
                <w:rFonts w:ascii="Arial" w:hAnsi="Arial" w:cs="Arial" w:eastAsia="Arial" w:hint="default"/>
                <w:sz w:val="15"/>
                <w:szCs w:val="15"/>
              </w:rPr>
              <w:t>158,050</w:t>
            </w:r>
            <w:r>
              <w:rPr>
                <w:rFonts w:ascii="Arial" w:hAnsi="Arial" w:cs="Arial" w:eastAsia="Arial" w:hint="default"/>
                <w:spacing w:val="-31"/>
                <w:sz w:val="15"/>
                <w:szCs w:val="15"/>
              </w:rPr>
              <w:t> </w:t>
            </w:r>
            <w:r>
              <w:rPr>
                <w:rFonts w:ascii="Arial" w:hAnsi="Arial" w:cs="Arial" w:eastAsia="Arial" w:hint="default"/>
                <w:spacing w:val="-31"/>
                <w:sz w:val="15"/>
                <w:szCs w:val="15"/>
              </w:rPr>
            </w:r>
            <w:r>
              <w:rPr>
                <w:rFonts w:ascii="宋体" w:hAnsi="宋体" w:cs="宋体" w:eastAsia="宋体" w:hint="default"/>
                <w:sz w:val="15"/>
                <w:szCs w:val="15"/>
              </w:rPr>
              <w:t>元，由北大荒鑫亚经贸有限责任公司负担</w:t>
            </w:r>
            <w:r>
              <w:rPr>
                <w:rFonts w:ascii="宋体" w:hAnsi="宋体" w:cs="宋体" w:eastAsia="宋体" w:hint="default"/>
                <w:w w:val="100"/>
                <w:sz w:val="15"/>
                <w:szCs w:val="15"/>
              </w:rPr>
              <w:t> </w:t>
            </w:r>
            <w:r>
              <w:rPr>
                <w:rFonts w:ascii="Arial" w:hAnsi="Arial" w:cs="Arial" w:eastAsia="Arial" w:hint="default"/>
                <w:spacing w:val="-1"/>
                <w:sz w:val="15"/>
                <w:szCs w:val="15"/>
              </w:rPr>
              <w:t>79,025</w:t>
            </w:r>
            <w:r>
              <w:rPr>
                <w:rFonts w:ascii="Arial" w:hAnsi="Arial" w:cs="Arial" w:eastAsia="Arial" w:hint="default"/>
                <w:spacing w:val="27"/>
                <w:sz w:val="15"/>
                <w:szCs w:val="15"/>
              </w:rPr>
              <w:t> </w:t>
            </w:r>
            <w:r>
              <w:rPr>
                <w:rFonts w:ascii="宋体" w:hAnsi="宋体" w:cs="宋体" w:eastAsia="宋体" w:hint="default"/>
                <w:spacing w:val="-2"/>
                <w:sz w:val="15"/>
                <w:szCs w:val="15"/>
              </w:rPr>
              <w:t>元，延寿志德纺织有限公司、北大</w:t>
            </w:r>
          </w:p>
          <w:p>
            <w:pPr>
              <w:pStyle w:val="TableParagraph"/>
              <w:spacing w:line="189" w:lineRule="exact"/>
              <w:ind w:right="0"/>
              <w:jc w:val="both"/>
              <w:rPr>
                <w:rFonts w:ascii="宋体" w:hAnsi="宋体" w:cs="宋体" w:eastAsia="宋体" w:hint="default"/>
                <w:sz w:val="15"/>
                <w:szCs w:val="15"/>
              </w:rPr>
            </w:pPr>
            <w:r>
              <w:rPr>
                <w:rFonts w:ascii="宋体" w:hAnsi="宋体" w:cs="宋体" w:eastAsia="宋体" w:hint="default"/>
                <w:sz w:val="15"/>
                <w:szCs w:val="15"/>
              </w:rPr>
              <w:t>荒青枫亚麻纺织有限公司负担</w:t>
            </w:r>
            <w:r>
              <w:rPr>
                <w:rFonts w:ascii="宋体" w:hAnsi="宋体" w:cs="宋体" w:eastAsia="宋体" w:hint="default"/>
                <w:spacing w:val="-37"/>
                <w:sz w:val="15"/>
                <w:szCs w:val="15"/>
              </w:rPr>
              <w:t> </w:t>
            </w:r>
            <w:r>
              <w:rPr>
                <w:rFonts w:ascii="Arial" w:hAnsi="Arial" w:cs="Arial" w:eastAsia="Arial" w:hint="default"/>
                <w:sz w:val="15"/>
                <w:szCs w:val="15"/>
              </w:rPr>
              <w:t>79,025</w:t>
            </w:r>
            <w:r>
              <w:rPr>
                <w:rFonts w:ascii="Arial" w:hAnsi="Arial" w:cs="Arial" w:eastAsia="Arial" w:hint="default"/>
                <w:spacing w:val="-5"/>
                <w:sz w:val="15"/>
                <w:szCs w:val="15"/>
              </w:rPr>
              <w:t> </w:t>
            </w:r>
            <w:r>
              <w:rPr>
                <w:rFonts w:ascii="宋体" w:hAnsi="宋体" w:cs="宋体" w:eastAsia="宋体" w:hint="default"/>
                <w:spacing w:val="-3"/>
                <w:sz w:val="15"/>
                <w:szCs w:val="15"/>
              </w:rPr>
              <w:t>元。</w:t>
            </w:r>
            <w:r>
              <w:rPr>
                <w:rFonts w:ascii="宋体" w:hAnsi="宋体" w:cs="宋体" w:eastAsia="宋体" w:hint="default"/>
                <w:sz w:val="15"/>
                <w:szCs w:val="15"/>
              </w:rPr>
            </w:r>
          </w:p>
          <w:p>
            <w:pPr>
              <w:pStyle w:val="TableParagraph"/>
              <w:spacing w:line="194" w:lineRule="exact" w:before="13"/>
              <w:ind w:right="17"/>
              <w:jc w:val="both"/>
              <w:rPr>
                <w:rFonts w:ascii="宋体" w:hAnsi="宋体" w:cs="宋体" w:eastAsia="宋体" w:hint="default"/>
                <w:sz w:val="15"/>
                <w:szCs w:val="15"/>
              </w:rPr>
            </w:pPr>
            <w:r>
              <w:rPr>
                <w:rFonts w:ascii="宋体" w:hAnsi="宋体" w:cs="宋体" w:eastAsia="宋体" w:hint="default"/>
                <w:sz w:val="15"/>
                <w:szCs w:val="15"/>
              </w:rPr>
              <w:t>二审案件受理费</w:t>
            </w:r>
            <w:r>
              <w:rPr>
                <w:rFonts w:ascii="宋体" w:hAnsi="宋体" w:cs="宋体" w:eastAsia="宋体" w:hint="default"/>
                <w:spacing w:val="-34"/>
                <w:sz w:val="15"/>
                <w:szCs w:val="15"/>
              </w:rPr>
              <w:t> </w:t>
            </w:r>
            <w:r>
              <w:rPr>
                <w:rFonts w:ascii="Arial" w:hAnsi="Arial" w:cs="Arial" w:eastAsia="Arial" w:hint="default"/>
                <w:sz w:val="15"/>
                <w:szCs w:val="15"/>
              </w:rPr>
              <w:t>83,219.08</w:t>
            </w:r>
            <w:r>
              <w:rPr>
                <w:rFonts w:ascii="Arial" w:hAnsi="Arial" w:cs="Arial" w:eastAsia="Arial" w:hint="default"/>
                <w:spacing w:val="-3"/>
                <w:sz w:val="15"/>
                <w:szCs w:val="15"/>
              </w:rPr>
              <w:t> </w:t>
            </w:r>
            <w:r>
              <w:rPr>
                <w:rFonts w:ascii="宋体" w:hAnsi="宋体" w:cs="宋体" w:eastAsia="宋体" w:hint="default"/>
                <w:spacing w:val="-7"/>
                <w:sz w:val="15"/>
                <w:szCs w:val="15"/>
              </w:rPr>
              <w:t>元，由北大荒鑫</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pacing w:val="-4"/>
                <w:sz w:val="15"/>
                <w:szCs w:val="15"/>
              </w:rPr>
              <w:t>亚经贸有限责任公司负担。本判决为终审判</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决。本案已审理终结。</w:t>
            </w:r>
          </w:p>
        </w:tc>
        <w:tc>
          <w:tcPr>
            <w:tcW w:w="1529" w:type="dxa"/>
            <w:tcBorders>
              <w:top w:val="single" w:sz="4" w:space="0" w:color="41B7EE"/>
              <w:left w:val="single" w:sz="4" w:space="0" w:color="41B7EE"/>
              <w:bottom w:val="single" w:sz="4" w:space="0" w:color="41B7EE"/>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15"/>
                <w:szCs w:val="15"/>
              </w:rPr>
            </w:pPr>
            <w:r>
              <w:rPr>
                <w:rFonts w:ascii="宋体" w:hAnsi="宋体" w:cs="宋体" w:eastAsia="宋体" w:hint="default"/>
                <w:sz w:val="15"/>
                <w:szCs w:val="15"/>
              </w:rPr>
              <w:t>案件正在执行中。</w:t>
            </w:r>
          </w:p>
        </w:tc>
      </w:tr>
      <w:tr>
        <w:trPr>
          <w:trHeight w:val="365" w:hRule="exact"/>
        </w:trPr>
        <w:tc>
          <w:tcPr>
            <w:tcW w:w="612"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53"/>
              <w:ind w:left="28" w:right="0"/>
              <w:jc w:val="left"/>
              <w:rPr>
                <w:rFonts w:ascii="宋体" w:hAnsi="宋体" w:cs="宋体" w:eastAsia="宋体" w:hint="default"/>
                <w:sz w:val="15"/>
                <w:szCs w:val="15"/>
              </w:rPr>
            </w:pPr>
            <w:r>
              <w:rPr>
                <w:rFonts w:ascii="宋体" w:hAnsi="宋体" w:cs="宋体" w:eastAsia="宋体" w:hint="default"/>
                <w:sz w:val="15"/>
                <w:szCs w:val="15"/>
              </w:rPr>
              <w:t>北大荒</w:t>
            </w:r>
          </w:p>
        </w:tc>
        <w:tc>
          <w:tcPr>
            <w:tcW w:w="646"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3"/>
              <w:ind w:left="21" w:right="0"/>
              <w:jc w:val="left"/>
              <w:rPr>
                <w:rFonts w:ascii="宋体" w:hAnsi="宋体" w:cs="宋体" w:eastAsia="宋体" w:hint="default"/>
                <w:sz w:val="15"/>
                <w:szCs w:val="15"/>
              </w:rPr>
            </w:pPr>
            <w:r>
              <w:rPr>
                <w:rFonts w:ascii="宋体" w:hAnsi="宋体" w:cs="宋体" w:eastAsia="宋体" w:hint="default"/>
                <w:sz w:val="15"/>
                <w:szCs w:val="15"/>
              </w:rPr>
              <w:t>丹东市</w:t>
            </w:r>
          </w:p>
        </w:tc>
        <w:tc>
          <w:tcPr>
            <w:tcW w:w="794"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3"/>
              <w:ind w:left="24"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600"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3"/>
              <w:ind w:left="23" w:right="0"/>
              <w:jc w:val="left"/>
              <w:rPr>
                <w:rFonts w:ascii="宋体" w:hAnsi="宋体" w:cs="宋体" w:eastAsia="宋体" w:hint="default"/>
                <w:sz w:val="15"/>
                <w:szCs w:val="15"/>
              </w:rPr>
            </w:pPr>
            <w:r>
              <w:rPr>
                <w:rFonts w:ascii="宋体" w:hAnsi="宋体" w:cs="宋体" w:eastAsia="宋体" w:hint="default"/>
                <w:sz w:val="15"/>
                <w:szCs w:val="15"/>
              </w:rPr>
              <w:t>诉讼</w:t>
            </w:r>
          </w:p>
        </w:tc>
        <w:tc>
          <w:tcPr>
            <w:tcW w:w="2273"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3"/>
              <w:ind w:left="23" w:right="0"/>
              <w:jc w:val="left"/>
              <w:rPr>
                <w:rFonts w:ascii="宋体" w:hAnsi="宋体" w:cs="宋体" w:eastAsia="宋体" w:hint="default"/>
                <w:sz w:val="15"/>
                <w:szCs w:val="15"/>
              </w:rPr>
            </w:pPr>
            <w:r>
              <w:rPr>
                <w:rFonts w:ascii="Arial" w:hAnsi="Arial" w:cs="Arial" w:eastAsia="Arial" w:hint="default"/>
                <w:spacing w:val="-1"/>
                <w:w w:val="100"/>
                <w:sz w:val="15"/>
                <w:szCs w:val="15"/>
              </w:rPr>
              <w:t>201</w:t>
            </w:r>
            <w:r>
              <w:rPr>
                <w:rFonts w:ascii="Arial" w:hAnsi="Arial" w:cs="Arial" w:eastAsia="Arial" w:hint="default"/>
                <w:w w:val="100"/>
                <w:sz w:val="15"/>
                <w:szCs w:val="15"/>
              </w:rPr>
              <w:t>2</w:t>
            </w:r>
            <w:r>
              <w:rPr>
                <w:rFonts w:ascii="Arial" w:hAnsi="Arial" w:cs="Arial" w:eastAsia="Arial" w:hint="default"/>
                <w:spacing w:val="-6"/>
                <w:sz w:val="15"/>
                <w:szCs w:val="15"/>
              </w:rPr>
              <w:t> </w:t>
            </w:r>
            <w:r>
              <w:rPr>
                <w:rFonts w:ascii="宋体" w:hAnsi="宋体" w:cs="宋体" w:eastAsia="宋体" w:hint="default"/>
                <w:w w:val="100"/>
                <w:sz w:val="15"/>
                <w:szCs w:val="15"/>
              </w:rPr>
              <w:t>年</w:t>
            </w:r>
            <w:r>
              <w:rPr>
                <w:rFonts w:ascii="宋体" w:hAnsi="宋体" w:cs="宋体" w:eastAsia="宋体" w:hint="default"/>
                <w:spacing w:val="-39"/>
                <w:sz w:val="15"/>
                <w:szCs w:val="15"/>
              </w:rPr>
              <w:t> </w:t>
            </w:r>
            <w:r>
              <w:rPr>
                <w:rFonts w:ascii="Arial" w:hAnsi="Arial" w:cs="Arial" w:eastAsia="Arial" w:hint="default"/>
                <w:w w:val="100"/>
                <w:sz w:val="15"/>
                <w:szCs w:val="15"/>
              </w:rPr>
              <w:t>7</w:t>
            </w:r>
            <w:r>
              <w:rPr>
                <w:rFonts w:ascii="Arial" w:hAnsi="Arial" w:cs="Arial" w:eastAsia="Arial" w:hint="default"/>
                <w:spacing w:val="-6"/>
                <w:sz w:val="15"/>
                <w:szCs w:val="15"/>
              </w:rPr>
              <w:t> </w:t>
            </w:r>
            <w:r>
              <w:rPr>
                <w:rFonts w:ascii="宋体" w:hAnsi="宋体" w:cs="宋体" w:eastAsia="宋体" w:hint="default"/>
                <w:w w:val="100"/>
                <w:sz w:val="15"/>
                <w:szCs w:val="15"/>
              </w:rPr>
              <w:t>月</w:t>
            </w:r>
            <w:r>
              <w:rPr>
                <w:rFonts w:ascii="宋体" w:hAnsi="宋体" w:cs="宋体" w:eastAsia="宋体" w:hint="default"/>
                <w:spacing w:val="-37"/>
                <w:sz w:val="15"/>
                <w:szCs w:val="15"/>
              </w:rPr>
              <w:t> </w:t>
            </w:r>
            <w:r>
              <w:rPr>
                <w:rFonts w:ascii="Arial" w:hAnsi="Arial" w:cs="Arial" w:eastAsia="Arial" w:hint="default"/>
                <w:spacing w:val="-3"/>
                <w:w w:val="100"/>
                <w:sz w:val="15"/>
                <w:szCs w:val="15"/>
              </w:rPr>
              <w:t>3</w:t>
            </w:r>
            <w:r>
              <w:rPr>
                <w:rFonts w:ascii="Arial" w:hAnsi="Arial" w:cs="Arial" w:eastAsia="Arial" w:hint="default"/>
                <w:w w:val="100"/>
                <w:sz w:val="15"/>
                <w:szCs w:val="15"/>
              </w:rPr>
              <w:t>1</w:t>
            </w:r>
            <w:r>
              <w:rPr>
                <w:rFonts w:ascii="Arial" w:hAnsi="Arial" w:cs="Arial" w:eastAsia="Arial" w:hint="default"/>
                <w:spacing w:val="-4"/>
                <w:sz w:val="15"/>
                <w:szCs w:val="15"/>
              </w:rPr>
              <w:t> </w:t>
            </w:r>
            <w:r>
              <w:rPr>
                <w:rFonts w:ascii="宋体" w:hAnsi="宋体" w:cs="宋体" w:eastAsia="宋体" w:hint="default"/>
                <w:w w:val="100"/>
                <w:sz w:val="15"/>
                <w:szCs w:val="15"/>
              </w:rPr>
              <w:t>日</w:t>
            </w:r>
            <w:r>
              <w:rPr>
                <w:rFonts w:ascii="宋体" w:hAnsi="宋体" w:cs="宋体" w:eastAsia="宋体" w:hint="default"/>
                <w:spacing w:val="-61"/>
                <w:w w:val="100"/>
                <w:sz w:val="15"/>
                <w:szCs w:val="15"/>
              </w:rPr>
              <w:t>，</w:t>
            </w:r>
            <w:r>
              <w:rPr>
                <w:rFonts w:ascii="宋体" w:hAnsi="宋体" w:cs="宋体" w:eastAsia="宋体" w:hint="default"/>
                <w:w w:val="100"/>
                <w:sz w:val="15"/>
                <w:szCs w:val="15"/>
              </w:rPr>
              <w:t>鑫</w:t>
            </w:r>
            <w:r>
              <w:rPr>
                <w:rFonts w:ascii="宋体" w:hAnsi="宋体" w:cs="宋体" w:eastAsia="宋体" w:hint="default"/>
                <w:spacing w:val="-3"/>
                <w:w w:val="100"/>
                <w:sz w:val="15"/>
                <w:szCs w:val="15"/>
              </w:rPr>
              <w:t>亚</w:t>
            </w:r>
            <w:r>
              <w:rPr>
                <w:rFonts w:ascii="宋体" w:hAnsi="宋体" w:cs="宋体" w:eastAsia="宋体" w:hint="default"/>
                <w:w w:val="100"/>
                <w:sz w:val="15"/>
                <w:szCs w:val="15"/>
              </w:rPr>
              <w:t>公</w:t>
            </w:r>
            <w:r>
              <w:rPr>
                <w:rFonts w:ascii="宋体" w:hAnsi="宋体" w:cs="宋体" w:eastAsia="宋体" w:hint="default"/>
                <w:spacing w:val="-3"/>
                <w:w w:val="100"/>
                <w:sz w:val="15"/>
                <w:szCs w:val="15"/>
              </w:rPr>
              <w:t>司</w:t>
            </w:r>
            <w:r>
              <w:rPr>
                <w:rFonts w:ascii="宋体" w:hAnsi="宋体" w:cs="宋体" w:eastAsia="宋体" w:hint="default"/>
                <w:w w:val="100"/>
                <w:sz w:val="15"/>
                <w:szCs w:val="15"/>
              </w:rPr>
              <w:t>与前</w:t>
            </w:r>
          </w:p>
        </w:tc>
        <w:tc>
          <w:tcPr>
            <w:tcW w:w="1358"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85"/>
              <w:ind w:right="19"/>
              <w:jc w:val="right"/>
              <w:rPr>
                <w:rFonts w:ascii="Arial" w:hAnsi="Arial" w:cs="Arial" w:eastAsia="Arial" w:hint="default"/>
                <w:sz w:val="15"/>
                <w:szCs w:val="15"/>
              </w:rPr>
            </w:pPr>
            <w:r>
              <w:rPr>
                <w:rFonts w:ascii="Arial"/>
                <w:spacing w:val="-1"/>
                <w:sz w:val="15"/>
              </w:rPr>
              <w:t>34,847,760.24</w:t>
            </w:r>
          </w:p>
        </w:tc>
        <w:tc>
          <w:tcPr>
            <w:tcW w:w="838" w:type="dxa"/>
            <w:tcBorders>
              <w:top w:val="single" w:sz="4" w:space="0" w:color="41B7EE"/>
              <w:left w:val="single" w:sz="4" w:space="0" w:color="41B7EE"/>
              <w:bottom w:val="single" w:sz="8" w:space="0" w:color="41B7EE"/>
              <w:right w:val="single" w:sz="4" w:space="0" w:color="41B7EE"/>
            </w:tcBorders>
          </w:tcPr>
          <w:p>
            <w:pPr/>
          </w:p>
        </w:tc>
        <w:tc>
          <w:tcPr>
            <w:tcW w:w="2434"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3"/>
              <w:ind w:left="23" w:right="-22"/>
              <w:jc w:val="left"/>
              <w:rPr>
                <w:rFonts w:ascii="宋体" w:hAnsi="宋体" w:cs="宋体" w:eastAsia="宋体" w:hint="default"/>
                <w:sz w:val="15"/>
                <w:szCs w:val="15"/>
              </w:rPr>
            </w:pPr>
            <w:r>
              <w:rPr>
                <w:rFonts w:ascii="宋体" w:hAnsi="宋体" w:cs="宋体" w:eastAsia="宋体" w:hint="default"/>
                <w:sz w:val="15"/>
                <w:szCs w:val="15"/>
              </w:rPr>
              <w:t>法院于</w:t>
            </w:r>
            <w:r>
              <w:rPr>
                <w:rFonts w:ascii="宋体" w:hAnsi="宋体" w:cs="宋体" w:eastAsia="宋体" w:hint="default"/>
                <w:spacing w:val="-38"/>
                <w:sz w:val="15"/>
                <w:szCs w:val="15"/>
              </w:rPr>
              <w:t> </w:t>
            </w:r>
            <w:r>
              <w:rPr>
                <w:rFonts w:ascii="Arial" w:hAnsi="Arial" w:cs="Arial" w:eastAsia="Arial" w:hint="default"/>
                <w:sz w:val="15"/>
                <w:szCs w:val="15"/>
              </w:rPr>
              <w:t>2016</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1</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Arial" w:hAnsi="Arial" w:cs="Arial" w:eastAsia="Arial" w:hint="default"/>
                <w:sz w:val="15"/>
                <w:szCs w:val="15"/>
              </w:rPr>
              <w:t>19</w:t>
            </w:r>
            <w:r>
              <w:rPr>
                <w:rFonts w:ascii="Arial" w:hAnsi="Arial" w:cs="Arial" w:eastAsia="Arial" w:hint="default"/>
                <w:spacing w:val="-6"/>
                <w:sz w:val="15"/>
                <w:szCs w:val="15"/>
              </w:rPr>
              <w:t> </w:t>
            </w:r>
            <w:r>
              <w:rPr>
                <w:rFonts w:ascii="宋体" w:hAnsi="宋体" w:cs="宋体" w:eastAsia="宋体" w:hint="default"/>
                <w:spacing w:val="-6"/>
                <w:sz w:val="15"/>
                <w:szCs w:val="15"/>
              </w:rPr>
              <w:t>日受理本案，</w:t>
            </w:r>
            <w:r>
              <w:rPr>
                <w:rFonts w:ascii="宋体" w:hAnsi="宋体" w:cs="宋体" w:eastAsia="宋体" w:hint="default"/>
                <w:sz w:val="15"/>
                <w:szCs w:val="15"/>
              </w:rPr>
            </w:r>
          </w:p>
        </w:tc>
        <w:tc>
          <w:tcPr>
            <w:tcW w:w="2847"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3"/>
              <w:ind w:left="12" w:right="0"/>
              <w:jc w:val="left"/>
              <w:rPr>
                <w:rFonts w:ascii="宋体" w:hAnsi="宋体" w:cs="宋体" w:eastAsia="宋体" w:hint="default"/>
                <w:sz w:val="15"/>
                <w:szCs w:val="15"/>
              </w:rPr>
            </w:pPr>
            <w:r>
              <w:rPr>
                <w:rFonts w:ascii="宋体" w:hAnsi="宋体" w:cs="宋体" w:eastAsia="宋体" w:hint="default"/>
                <w:sz w:val="15"/>
                <w:szCs w:val="15"/>
              </w:rPr>
              <w:t>一审判决：</w:t>
            </w:r>
            <w:r>
              <w:rPr>
                <w:rFonts w:ascii="Arial" w:hAnsi="Arial" w:cs="Arial" w:eastAsia="Arial" w:hint="default"/>
                <w:sz w:val="15"/>
                <w:szCs w:val="15"/>
              </w:rPr>
              <w:t>1</w:t>
            </w:r>
            <w:r>
              <w:rPr>
                <w:rFonts w:ascii="宋体" w:hAnsi="宋体" w:cs="宋体" w:eastAsia="宋体" w:hint="default"/>
                <w:sz w:val="15"/>
                <w:szCs w:val="15"/>
              </w:rPr>
              <w:t>、青枫公司于本判决生效之日</w:t>
            </w:r>
          </w:p>
        </w:tc>
        <w:tc>
          <w:tcPr>
            <w:tcW w:w="1529"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53"/>
              <w:ind w:left="21" w:right="0"/>
              <w:jc w:val="left"/>
              <w:rPr>
                <w:rFonts w:ascii="宋体" w:hAnsi="宋体" w:cs="宋体" w:eastAsia="宋体" w:hint="default"/>
                <w:sz w:val="15"/>
                <w:szCs w:val="15"/>
              </w:rPr>
            </w:pPr>
            <w:r>
              <w:rPr>
                <w:rFonts w:ascii="宋体" w:hAnsi="宋体" w:cs="宋体" w:eastAsia="宋体" w:hint="default"/>
                <w:sz w:val="15"/>
                <w:szCs w:val="15"/>
              </w:rPr>
              <w:t>案件正在执行中。</w:t>
            </w:r>
          </w:p>
        </w:tc>
      </w:tr>
    </w:tbl>
    <w:p>
      <w:pPr>
        <w:spacing w:after="0" w:line="240" w:lineRule="auto"/>
        <w:jc w:val="left"/>
        <w:rPr>
          <w:rFonts w:ascii="宋体" w:hAnsi="宋体" w:cs="宋体" w:eastAsia="宋体" w:hint="default"/>
          <w:sz w:val="15"/>
          <w:szCs w:val="15"/>
        </w:rPr>
        <w:sectPr>
          <w:pgSz w:w="16840" w:h="11910" w:orient="landscape"/>
          <w:pgMar w:header="825" w:footer="1195" w:top="1360" w:bottom="1480" w:left="1300" w:right="13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1"/>
          <w:szCs w:val="21"/>
        </w:rPr>
      </w:pPr>
    </w:p>
    <w:p>
      <w:pPr>
        <w:spacing w:line="216" w:lineRule="auto" w:before="0"/>
        <w:ind w:left="7261" w:right="1620" w:firstLine="0"/>
        <w:jc w:val="left"/>
        <w:rPr>
          <w:rFonts w:ascii="Arial" w:hAnsi="Arial" w:cs="Arial" w:eastAsia="Arial" w:hint="default"/>
          <w:sz w:val="15"/>
          <w:szCs w:val="15"/>
        </w:rPr>
      </w:pPr>
      <w:r>
        <w:rPr>
          <w:rFonts w:ascii="宋体" w:hAnsi="宋体" w:cs="宋体" w:eastAsia="宋体" w:hint="default"/>
          <w:spacing w:val="-3"/>
          <w:sz w:val="15"/>
          <w:szCs w:val="15"/>
        </w:rPr>
        <w:t>案号为〔</w:t>
      </w:r>
      <w:r>
        <w:rPr>
          <w:rFonts w:ascii="Arial" w:hAnsi="Arial" w:cs="Arial" w:eastAsia="Arial" w:hint="default"/>
          <w:spacing w:val="-3"/>
          <w:sz w:val="15"/>
          <w:szCs w:val="15"/>
        </w:rPr>
        <w:t>2016</w:t>
      </w:r>
      <w:r>
        <w:rPr>
          <w:rFonts w:ascii="宋体" w:hAnsi="宋体" w:cs="宋体" w:eastAsia="宋体" w:hint="default"/>
          <w:spacing w:val="-3"/>
          <w:sz w:val="15"/>
          <w:szCs w:val="15"/>
        </w:rPr>
        <w:t>〕黑</w:t>
      </w:r>
      <w:r>
        <w:rPr>
          <w:rFonts w:ascii="宋体" w:hAnsi="宋体" w:cs="宋体" w:eastAsia="宋体" w:hint="default"/>
          <w:spacing w:val="-39"/>
          <w:sz w:val="15"/>
          <w:szCs w:val="15"/>
        </w:rPr>
        <w:t> </w:t>
      </w:r>
      <w:r>
        <w:rPr>
          <w:rFonts w:ascii="Arial" w:hAnsi="Arial" w:cs="Arial" w:eastAsia="Arial" w:hint="default"/>
          <w:sz w:val="15"/>
          <w:szCs w:val="15"/>
        </w:rPr>
        <w:t>81</w:t>
      </w:r>
      <w:r>
        <w:rPr>
          <w:rFonts w:ascii="Arial" w:hAnsi="Arial" w:cs="Arial" w:eastAsia="Arial" w:hint="default"/>
          <w:spacing w:val="-6"/>
          <w:sz w:val="15"/>
          <w:szCs w:val="15"/>
        </w:rPr>
        <w:t> </w:t>
      </w:r>
      <w:r>
        <w:rPr>
          <w:rFonts w:ascii="宋体" w:hAnsi="宋体" w:cs="宋体" w:eastAsia="宋体" w:hint="default"/>
          <w:sz w:val="15"/>
          <w:szCs w:val="15"/>
        </w:rPr>
        <w:t>民初</w:t>
      </w:r>
      <w:r>
        <w:rPr>
          <w:rFonts w:ascii="宋体" w:hAnsi="宋体" w:cs="宋体" w:eastAsia="宋体" w:hint="default"/>
          <w:spacing w:val="-39"/>
          <w:sz w:val="15"/>
          <w:szCs w:val="15"/>
        </w:rPr>
        <w:t> </w:t>
      </w:r>
      <w:r>
        <w:rPr>
          <w:rFonts w:ascii="Arial" w:hAnsi="Arial" w:cs="Arial" w:eastAsia="Arial" w:hint="default"/>
          <w:sz w:val="15"/>
          <w:szCs w:val="15"/>
        </w:rPr>
        <w:t>6</w:t>
      </w:r>
      <w:r>
        <w:rPr>
          <w:rFonts w:ascii="Arial" w:hAnsi="Arial" w:cs="Arial" w:eastAsia="Arial" w:hint="default"/>
          <w:spacing w:val="-6"/>
          <w:sz w:val="15"/>
          <w:szCs w:val="15"/>
        </w:rPr>
        <w:t> </w:t>
      </w:r>
      <w:r>
        <w:rPr>
          <w:rFonts w:ascii="宋体" w:hAnsi="宋体" w:cs="宋体" w:eastAsia="宋体" w:hint="default"/>
          <w:spacing w:val="-3"/>
          <w:sz w:val="15"/>
          <w:szCs w:val="15"/>
        </w:rPr>
        <w:t>号，法</w:t>
      </w:r>
      <w:r>
        <w:rPr>
          <w:rFonts w:ascii="宋体" w:hAnsi="宋体" w:cs="宋体" w:eastAsia="宋体" w:hint="default"/>
          <w:spacing w:val="-23"/>
          <w:sz w:val="15"/>
          <w:szCs w:val="15"/>
        </w:rPr>
        <w:t> </w:t>
      </w:r>
      <w:r>
        <w:rPr>
          <w:rFonts w:ascii="宋体" w:hAnsi="宋体" w:cs="宋体" w:eastAsia="宋体" w:hint="default"/>
          <w:sz w:val="15"/>
          <w:szCs w:val="15"/>
        </w:rPr>
        <w:t>起</w:t>
      </w:r>
      <w:r>
        <w:rPr>
          <w:rFonts w:ascii="宋体" w:hAnsi="宋体" w:cs="宋体" w:eastAsia="宋体" w:hint="default"/>
          <w:spacing w:val="-37"/>
          <w:sz w:val="15"/>
          <w:szCs w:val="15"/>
        </w:rPr>
        <w:t> </w:t>
      </w:r>
      <w:r>
        <w:rPr>
          <w:rFonts w:ascii="Arial" w:hAnsi="Arial" w:cs="Arial" w:eastAsia="Arial" w:hint="default"/>
          <w:sz w:val="15"/>
          <w:szCs w:val="15"/>
        </w:rPr>
        <w:t>10</w:t>
      </w:r>
      <w:r>
        <w:rPr>
          <w:rFonts w:ascii="Arial" w:hAnsi="Arial" w:cs="Arial" w:eastAsia="Arial" w:hint="default"/>
          <w:spacing w:val="-4"/>
          <w:sz w:val="15"/>
          <w:szCs w:val="15"/>
        </w:rPr>
        <w:t> </w:t>
      </w:r>
      <w:r>
        <w:rPr>
          <w:rFonts w:ascii="宋体" w:hAnsi="宋体" w:cs="宋体" w:eastAsia="宋体" w:hint="default"/>
          <w:sz w:val="15"/>
          <w:szCs w:val="15"/>
        </w:rPr>
        <w:t>日内按照</w:t>
      </w:r>
      <w:r>
        <w:rPr>
          <w:rFonts w:ascii="宋体" w:hAnsi="宋体" w:cs="宋体" w:eastAsia="宋体" w:hint="default"/>
          <w:spacing w:val="-56"/>
          <w:sz w:val="15"/>
          <w:szCs w:val="15"/>
        </w:rPr>
        <w:t> </w:t>
      </w:r>
      <w:r>
        <w:rPr>
          <w:rFonts w:ascii="宋体" w:hAnsi="宋体" w:cs="宋体" w:eastAsia="宋体" w:hint="default"/>
          <w:spacing w:val="-56"/>
          <w:sz w:val="15"/>
          <w:szCs w:val="15"/>
        </w:rPr>
      </w:r>
      <w:r>
        <w:rPr>
          <w:rFonts w:ascii="宋体" w:hAnsi="宋体" w:cs="宋体" w:eastAsia="宋体" w:hint="default"/>
          <w:spacing w:val="-4"/>
          <w:sz w:val="15"/>
          <w:szCs w:val="15"/>
        </w:rPr>
        <w:t>院向被告送达起诉材料后，青枫公司 </w:t>
      </w:r>
      <w:r>
        <w:rPr>
          <w:rFonts w:ascii="Arial" w:hAnsi="Arial" w:cs="Arial" w:eastAsia="Arial" w:hint="default"/>
          <w:position w:val="1"/>
          <w:sz w:val="15"/>
          <w:szCs w:val="15"/>
        </w:rPr>
        <w:t>XY-QYMMQFYM20120731-JGHT-GJ-111</w:t>
      </w:r>
      <w:r>
        <w:rPr>
          <w:rFonts w:ascii="Arial" w:hAnsi="Arial" w:cs="Arial" w:eastAsia="Arial" w:hint="default"/>
          <w:spacing w:val="-38"/>
          <w:position w:val="1"/>
          <w:sz w:val="15"/>
          <w:szCs w:val="15"/>
        </w:rPr>
        <w:t> </w:t>
      </w:r>
      <w:r>
        <w:rPr>
          <w:rFonts w:ascii="Arial" w:hAnsi="Arial" w:cs="Arial" w:eastAsia="Arial" w:hint="default"/>
          <w:spacing w:val="-38"/>
          <w:position w:val="1"/>
          <w:sz w:val="15"/>
          <w:szCs w:val="15"/>
        </w:rPr>
      </w:r>
      <w:r>
        <w:rPr>
          <w:rFonts w:ascii="宋体" w:hAnsi="宋体" w:cs="宋体" w:eastAsia="宋体" w:hint="default"/>
          <w:spacing w:val="-4"/>
          <w:position w:val="-1"/>
          <w:sz w:val="15"/>
          <w:szCs w:val="15"/>
        </w:rPr>
        <w:t>提起管辖权异议，法院经审查予以驳 </w:t>
      </w:r>
      <w:r>
        <w:rPr>
          <w:rFonts w:ascii="宋体" w:hAnsi="宋体" w:cs="宋体" w:eastAsia="宋体" w:hint="default"/>
          <w:spacing w:val="-4"/>
          <w:sz w:val="15"/>
          <w:szCs w:val="15"/>
        </w:rPr>
        <w:t>号《亚麻加工合同》的约定给付鑫亚公司已</w:t>
      </w:r>
      <w:r>
        <w:rPr>
          <w:rFonts w:ascii="宋体" w:hAnsi="宋体" w:cs="宋体" w:eastAsia="宋体" w:hint="default"/>
          <w:spacing w:val="-39"/>
          <w:sz w:val="15"/>
          <w:szCs w:val="15"/>
        </w:rPr>
        <w:t> </w:t>
      </w:r>
      <w:r>
        <w:rPr>
          <w:rFonts w:ascii="宋体" w:hAnsi="宋体" w:cs="宋体" w:eastAsia="宋体" w:hint="default"/>
          <w:spacing w:val="-39"/>
          <w:sz w:val="15"/>
          <w:szCs w:val="15"/>
        </w:rPr>
      </w:r>
      <w:r>
        <w:rPr>
          <w:rFonts w:ascii="宋体" w:hAnsi="宋体" w:cs="宋体" w:eastAsia="宋体" w:hint="default"/>
          <w:spacing w:val="-4"/>
          <w:position w:val="-1"/>
          <w:sz w:val="15"/>
          <w:szCs w:val="15"/>
        </w:rPr>
        <w:t>回，青枫公司不服一审裁定，向黑龙</w:t>
      </w:r>
      <w:r>
        <w:rPr>
          <w:rFonts w:ascii="宋体" w:hAnsi="宋体" w:cs="宋体" w:eastAsia="宋体" w:hint="default"/>
          <w:spacing w:val="-14"/>
          <w:position w:val="-1"/>
          <w:sz w:val="15"/>
          <w:szCs w:val="15"/>
        </w:rPr>
        <w:t> </w:t>
      </w:r>
      <w:r>
        <w:rPr>
          <w:rFonts w:ascii="宋体" w:hAnsi="宋体" w:cs="宋体" w:eastAsia="宋体" w:hint="default"/>
          <w:sz w:val="15"/>
          <w:szCs w:val="15"/>
        </w:rPr>
        <w:t>加工完成的亚麻布</w:t>
      </w:r>
      <w:r>
        <w:rPr>
          <w:rFonts w:ascii="宋体" w:hAnsi="宋体" w:cs="宋体" w:eastAsia="宋体" w:hint="default"/>
          <w:spacing w:val="-34"/>
          <w:sz w:val="15"/>
          <w:szCs w:val="15"/>
        </w:rPr>
        <w:t> </w:t>
      </w:r>
      <w:r>
        <w:rPr>
          <w:rFonts w:ascii="Arial" w:hAnsi="Arial" w:cs="Arial" w:eastAsia="Arial" w:hint="default"/>
          <w:sz w:val="15"/>
          <w:szCs w:val="15"/>
        </w:rPr>
        <w:t>501,323.765</w:t>
      </w:r>
      <w:r>
        <w:rPr>
          <w:rFonts w:ascii="Arial" w:hAnsi="Arial" w:cs="Arial" w:eastAsia="Arial" w:hint="default"/>
          <w:spacing w:val="-1"/>
          <w:sz w:val="15"/>
          <w:szCs w:val="15"/>
        </w:rPr>
        <w:t> </w:t>
      </w:r>
      <w:r>
        <w:rPr>
          <w:rFonts w:ascii="宋体" w:hAnsi="宋体" w:cs="宋体" w:eastAsia="宋体" w:hint="default"/>
          <w:sz w:val="15"/>
          <w:szCs w:val="15"/>
        </w:rPr>
        <w:t>米；</w:t>
      </w:r>
      <w:r>
        <w:rPr>
          <w:rFonts w:ascii="Arial" w:hAnsi="Arial" w:cs="Arial" w:eastAsia="Arial" w:hint="default"/>
          <w:sz w:val="15"/>
          <w:szCs w:val="15"/>
        </w:rPr>
        <w:t>2</w:t>
      </w:r>
      <w:r>
        <w:rPr>
          <w:rFonts w:ascii="宋体" w:hAnsi="宋体" w:cs="宋体" w:eastAsia="宋体" w:hint="default"/>
          <w:sz w:val="15"/>
          <w:szCs w:val="15"/>
        </w:rPr>
        <w:t>、驳</w:t>
      </w:r>
      <w:r>
        <w:rPr>
          <w:rFonts w:ascii="宋体" w:hAnsi="宋体" w:cs="宋体" w:eastAsia="宋体" w:hint="default"/>
          <w:spacing w:val="-65"/>
          <w:sz w:val="15"/>
          <w:szCs w:val="15"/>
        </w:rPr>
        <w:t> </w:t>
      </w:r>
      <w:r>
        <w:rPr>
          <w:rFonts w:ascii="宋体" w:hAnsi="宋体" w:cs="宋体" w:eastAsia="宋体" w:hint="default"/>
          <w:spacing w:val="-4"/>
          <w:position w:val="-1"/>
          <w:sz w:val="15"/>
          <w:szCs w:val="15"/>
        </w:rPr>
        <w:t>江省高院提起上诉，黑龙江省高院二 </w:t>
      </w:r>
      <w:r>
        <w:rPr>
          <w:rFonts w:ascii="宋体" w:hAnsi="宋体" w:cs="宋体" w:eastAsia="宋体" w:hint="default"/>
          <w:sz w:val="15"/>
          <w:szCs w:val="15"/>
        </w:rPr>
        <w:t>回鑫亚公司其他诉讼请求。二审判决：一、</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pacing w:val="-4"/>
          <w:position w:val="-1"/>
          <w:sz w:val="15"/>
          <w:szCs w:val="15"/>
        </w:rPr>
        <w:t>审裁定驳回青枫公司上诉。农垦中院 </w:t>
      </w:r>
      <w:r>
        <w:rPr>
          <w:rFonts w:ascii="宋体" w:hAnsi="宋体" w:cs="宋体" w:eastAsia="宋体" w:hint="default"/>
          <w:sz w:val="15"/>
          <w:szCs w:val="15"/>
        </w:rPr>
        <w:t>维持黑龙江省农垦中级法院（</w:t>
      </w:r>
      <w:r>
        <w:rPr>
          <w:rFonts w:ascii="Arial" w:hAnsi="Arial" w:cs="Arial" w:eastAsia="Arial" w:hint="default"/>
          <w:sz w:val="15"/>
          <w:szCs w:val="15"/>
        </w:rPr>
        <w:t>2016)</w:t>
      </w:r>
      <w:r>
        <w:rPr>
          <w:rFonts w:ascii="宋体" w:hAnsi="宋体" w:cs="宋体" w:eastAsia="宋体" w:hint="default"/>
          <w:sz w:val="15"/>
          <w:szCs w:val="15"/>
        </w:rPr>
        <w:t>黑</w:t>
      </w:r>
      <w:r>
        <w:rPr>
          <w:rFonts w:ascii="宋体" w:hAnsi="宋体" w:cs="宋体" w:eastAsia="宋体" w:hint="default"/>
          <w:spacing w:val="-31"/>
          <w:sz w:val="15"/>
          <w:szCs w:val="15"/>
        </w:rPr>
        <w:t> </w:t>
      </w:r>
      <w:r>
        <w:rPr>
          <w:rFonts w:ascii="Arial" w:hAnsi="Arial" w:cs="Arial" w:eastAsia="Arial" w:hint="default"/>
          <w:sz w:val="15"/>
          <w:szCs w:val="15"/>
        </w:rPr>
        <w:t>81</w:t>
      </w:r>
    </w:p>
    <w:p>
      <w:pPr>
        <w:spacing w:line="209" w:lineRule="exact" w:before="0"/>
        <w:ind w:left="7261" w:right="1620" w:firstLine="0"/>
        <w:jc w:val="left"/>
        <w:rPr>
          <w:rFonts w:ascii="宋体" w:hAnsi="宋体" w:cs="宋体" w:eastAsia="宋体" w:hint="default"/>
          <w:sz w:val="15"/>
          <w:szCs w:val="15"/>
        </w:rPr>
      </w:pPr>
      <w:r>
        <w:rPr>
          <w:rFonts w:ascii="宋体" w:hAnsi="宋体" w:cs="宋体" w:eastAsia="宋体" w:hint="default"/>
          <w:position w:val="-1"/>
          <w:sz w:val="15"/>
          <w:szCs w:val="15"/>
        </w:rPr>
        <w:t>于</w:t>
      </w:r>
      <w:r>
        <w:rPr>
          <w:rFonts w:ascii="宋体" w:hAnsi="宋体" w:cs="宋体" w:eastAsia="宋体" w:hint="default"/>
          <w:spacing w:val="-38"/>
          <w:position w:val="-1"/>
          <w:sz w:val="15"/>
          <w:szCs w:val="15"/>
        </w:rPr>
        <w:t> </w:t>
      </w:r>
      <w:r>
        <w:rPr>
          <w:rFonts w:ascii="Arial" w:hAnsi="Arial" w:cs="Arial" w:eastAsia="Arial" w:hint="default"/>
          <w:position w:val="-1"/>
          <w:sz w:val="15"/>
          <w:szCs w:val="15"/>
        </w:rPr>
        <w:t>2016</w:t>
      </w:r>
      <w:r>
        <w:rPr>
          <w:rFonts w:ascii="Arial" w:hAnsi="Arial" w:cs="Arial" w:eastAsia="Arial" w:hint="default"/>
          <w:spacing w:val="-7"/>
          <w:position w:val="-1"/>
          <w:sz w:val="15"/>
          <w:szCs w:val="15"/>
        </w:rPr>
        <w:t> </w:t>
      </w:r>
      <w:r>
        <w:rPr>
          <w:rFonts w:ascii="宋体" w:hAnsi="宋体" w:cs="宋体" w:eastAsia="宋体" w:hint="default"/>
          <w:position w:val="-1"/>
          <w:sz w:val="15"/>
          <w:szCs w:val="15"/>
        </w:rPr>
        <w:t>年</w:t>
      </w:r>
      <w:r>
        <w:rPr>
          <w:rFonts w:ascii="宋体" w:hAnsi="宋体" w:cs="宋体" w:eastAsia="宋体" w:hint="default"/>
          <w:spacing w:val="-38"/>
          <w:position w:val="-1"/>
          <w:sz w:val="15"/>
          <w:szCs w:val="15"/>
        </w:rPr>
        <w:t> </w:t>
      </w:r>
      <w:r>
        <w:rPr>
          <w:rFonts w:ascii="Arial" w:hAnsi="Arial" w:cs="Arial" w:eastAsia="Arial" w:hint="default"/>
          <w:position w:val="-1"/>
          <w:sz w:val="15"/>
          <w:szCs w:val="15"/>
        </w:rPr>
        <w:t>11</w:t>
      </w:r>
      <w:r>
        <w:rPr>
          <w:rFonts w:ascii="Arial" w:hAnsi="Arial" w:cs="Arial" w:eastAsia="Arial" w:hint="default"/>
          <w:spacing w:val="-7"/>
          <w:position w:val="-1"/>
          <w:sz w:val="15"/>
          <w:szCs w:val="15"/>
        </w:rPr>
        <w:t> </w:t>
      </w:r>
      <w:r>
        <w:rPr>
          <w:rFonts w:ascii="宋体" w:hAnsi="宋体" w:cs="宋体" w:eastAsia="宋体" w:hint="default"/>
          <w:position w:val="-1"/>
          <w:sz w:val="15"/>
          <w:szCs w:val="15"/>
        </w:rPr>
        <w:t>月</w:t>
      </w:r>
      <w:r>
        <w:rPr>
          <w:rFonts w:ascii="宋体" w:hAnsi="宋体" w:cs="宋体" w:eastAsia="宋体" w:hint="default"/>
          <w:spacing w:val="-38"/>
          <w:position w:val="-1"/>
          <w:sz w:val="15"/>
          <w:szCs w:val="15"/>
        </w:rPr>
        <w:t> </w:t>
      </w:r>
      <w:r>
        <w:rPr>
          <w:rFonts w:ascii="Arial" w:hAnsi="Arial" w:cs="Arial" w:eastAsia="Arial" w:hint="default"/>
          <w:position w:val="-1"/>
          <w:sz w:val="15"/>
          <w:szCs w:val="15"/>
        </w:rPr>
        <w:t>21</w:t>
      </w:r>
      <w:r>
        <w:rPr>
          <w:rFonts w:ascii="Arial" w:hAnsi="Arial" w:cs="Arial" w:eastAsia="Arial" w:hint="default"/>
          <w:spacing w:val="-5"/>
          <w:position w:val="-1"/>
          <w:sz w:val="15"/>
          <w:szCs w:val="15"/>
        </w:rPr>
        <w:t> </w:t>
      </w:r>
      <w:r>
        <w:rPr>
          <w:rFonts w:ascii="宋体" w:hAnsi="宋体" w:cs="宋体" w:eastAsia="宋体" w:hint="default"/>
          <w:position w:val="-1"/>
          <w:sz w:val="15"/>
          <w:szCs w:val="15"/>
        </w:rPr>
        <w:t>日至</w:t>
      </w:r>
      <w:r>
        <w:rPr>
          <w:rFonts w:ascii="宋体" w:hAnsi="宋体" w:cs="宋体" w:eastAsia="宋体" w:hint="default"/>
          <w:spacing w:val="-38"/>
          <w:position w:val="-1"/>
          <w:sz w:val="15"/>
          <w:szCs w:val="15"/>
        </w:rPr>
        <w:t> </w:t>
      </w:r>
      <w:r>
        <w:rPr>
          <w:rFonts w:ascii="Arial" w:hAnsi="Arial" w:cs="Arial" w:eastAsia="Arial" w:hint="default"/>
          <w:position w:val="-1"/>
          <w:sz w:val="15"/>
          <w:szCs w:val="15"/>
        </w:rPr>
        <w:t>25</w:t>
      </w:r>
      <w:r>
        <w:rPr>
          <w:rFonts w:ascii="Arial" w:hAnsi="Arial" w:cs="Arial" w:eastAsia="Arial" w:hint="default"/>
          <w:spacing w:val="-5"/>
          <w:position w:val="-1"/>
          <w:sz w:val="15"/>
          <w:szCs w:val="15"/>
        </w:rPr>
        <w:t> </w:t>
      </w:r>
      <w:r>
        <w:rPr>
          <w:rFonts w:ascii="宋体" w:hAnsi="宋体" w:cs="宋体" w:eastAsia="宋体" w:hint="default"/>
          <w:position w:val="-1"/>
          <w:sz w:val="15"/>
          <w:szCs w:val="15"/>
        </w:rPr>
        <w:t>日审理</w:t>
      </w:r>
      <w:r>
        <w:rPr>
          <w:rFonts w:ascii="宋体" w:hAnsi="宋体" w:cs="宋体" w:eastAsia="宋体" w:hint="default"/>
          <w:spacing w:val="8"/>
          <w:position w:val="-1"/>
          <w:sz w:val="15"/>
          <w:szCs w:val="15"/>
        </w:rPr>
        <w:t> </w:t>
      </w:r>
      <w:r>
        <w:rPr>
          <w:rFonts w:ascii="宋体" w:hAnsi="宋体" w:cs="宋体" w:eastAsia="宋体" w:hint="default"/>
          <w:sz w:val="15"/>
          <w:szCs w:val="15"/>
        </w:rPr>
        <w:t>民初</w:t>
      </w:r>
      <w:r>
        <w:rPr>
          <w:rFonts w:ascii="宋体" w:hAnsi="宋体" w:cs="宋体" w:eastAsia="宋体" w:hint="default"/>
          <w:spacing w:val="-40"/>
          <w:sz w:val="15"/>
          <w:szCs w:val="15"/>
        </w:rPr>
        <w:t> </w:t>
      </w:r>
      <w:r>
        <w:rPr>
          <w:rFonts w:ascii="Arial" w:hAnsi="Arial" w:cs="Arial" w:eastAsia="Arial" w:hint="default"/>
          <w:sz w:val="15"/>
          <w:szCs w:val="15"/>
        </w:rPr>
        <w:t>6</w:t>
      </w:r>
      <w:r>
        <w:rPr>
          <w:rFonts w:ascii="Arial" w:hAnsi="Arial" w:cs="Arial" w:eastAsia="Arial" w:hint="default"/>
          <w:spacing w:val="-5"/>
          <w:sz w:val="15"/>
          <w:szCs w:val="15"/>
        </w:rPr>
        <w:t> </w:t>
      </w:r>
      <w:r>
        <w:rPr>
          <w:rFonts w:ascii="宋体" w:hAnsi="宋体" w:cs="宋体" w:eastAsia="宋体" w:hint="default"/>
          <w:sz w:val="15"/>
          <w:szCs w:val="15"/>
        </w:rPr>
        <w:t>号民事判决主文第二项</w:t>
      </w:r>
      <w:r>
        <w:rPr>
          <w:rFonts w:ascii="Arial" w:hAnsi="Arial" w:cs="Arial" w:eastAsia="Arial" w:hint="default"/>
          <w:sz w:val="15"/>
          <w:szCs w:val="15"/>
        </w:rPr>
        <w:t>;</w:t>
      </w:r>
      <w:r>
        <w:rPr>
          <w:rFonts w:ascii="宋体" w:hAnsi="宋体" w:cs="宋体" w:eastAsia="宋体" w:hint="default"/>
          <w:sz w:val="15"/>
          <w:szCs w:val="15"/>
        </w:rPr>
        <w:t>二、变更黑</w:t>
      </w:r>
    </w:p>
    <w:p>
      <w:pPr>
        <w:spacing w:after="0" w:line="209" w:lineRule="exact"/>
        <w:jc w:val="left"/>
        <w:rPr>
          <w:rFonts w:ascii="宋体" w:hAnsi="宋体" w:cs="宋体" w:eastAsia="宋体" w:hint="default"/>
          <w:sz w:val="15"/>
          <w:szCs w:val="15"/>
        </w:rPr>
        <w:sectPr>
          <w:pgSz w:w="16840" w:h="11910" w:orient="landscape"/>
          <w:pgMar w:header="825" w:footer="1195" w:top="1360" w:bottom="1380" w:left="1300" w:right="1380"/>
        </w:sectPr>
      </w:pPr>
    </w:p>
    <w:p>
      <w:pPr>
        <w:spacing w:line="185" w:lineRule="exact" w:before="0"/>
        <w:ind w:left="0" w:right="0" w:firstLine="0"/>
        <w:jc w:val="right"/>
        <w:rPr>
          <w:rFonts w:ascii="宋体" w:hAnsi="宋体" w:cs="宋体" w:eastAsia="宋体" w:hint="default"/>
          <w:sz w:val="15"/>
          <w:szCs w:val="15"/>
        </w:rPr>
      </w:pPr>
      <w:r>
        <w:rPr>
          <w:rFonts w:ascii="宋体" w:hAnsi="宋体" w:cs="宋体" w:eastAsia="宋体" w:hint="default"/>
          <w:spacing w:val="-2"/>
          <w:sz w:val="15"/>
          <w:szCs w:val="15"/>
        </w:rPr>
        <w:t>本案，黑龙江省农垦中级法院于</w:t>
      </w:r>
    </w:p>
    <w:p>
      <w:pPr>
        <w:spacing w:line="174" w:lineRule="exact" w:before="0"/>
        <w:ind w:left="279" w:right="0" w:firstLine="0"/>
        <w:jc w:val="left"/>
        <w:rPr>
          <w:rFonts w:ascii="Arial" w:hAnsi="Arial" w:cs="Arial" w:eastAsia="Arial" w:hint="default"/>
          <w:sz w:val="15"/>
          <w:szCs w:val="15"/>
        </w:rPr>
      </w:pPr>
      <w:r>
        <w:rPr/>
        <w:br w:type="column"/>
      </w:r>
      <w:r>
        <w:rPr>
          <w:rFonts w:ascii="宋体" w:hAnsi="宋体" w:cs="宋体" w:eastAsia="宋体" w:hint="default"/>
          <w:sz w:val="15"/>
          <w:szCs w:val="15"/>
        </w:rPr>
        <w:t>龙江省农垦中级法院（</w:t>
      </w:r>
      <w:r>
        <w:rPr>
          <w:rFonts w:ascii="Arial" w:hAnsi="Arial" w:cs="Arial" w:eastAsia="Arial" w:hint="default"/>
          <w:sz w:val="15"/>
          <w:szCs w:val="15"/>
        </w:rPr>
        <w:t>2016)</w:t>
      </w:r>
      <w:r>
        <w:rPr>
          <w:rFonts w:ascii="宋体" w:hAnsi="宋体" w:cs="宋体" w:eastAsia="宋体" w:hint="default"/>
          <w:sz w:val="15"/>
          <w:szCs w:val="15"/>
        </w:rPr>
        <w:t>黑</w:t>
      </w:r>
      <w:r>
        <w:rPr>
          <w:rFonts w:ascii="宋体" w:hAnsi="宋体" w:cs="宋体" w:eastAsia="宋体" w:hint="default"/>
          <w:spacing w:val="-38"/>
          <w:sz w:val="15"/>
          <w:szCs w:val="15"/>
        </w:rPr>
        <w:t> </w:t>
      </w:r>
      <w:r>
        <w:rPr>
          <w:rFonts w:ascii="Arial" w:hAnsi="Arial" w:cs="Arial" w:eastAsia="Arial" w:hint="default"/>
          <w:sz w:val="15"/>
          <w:szCs w:val="15"/>
        </w:rPr>
        <w:t>81</w:t>
      </w:r>
      <w:r>
        <w:rPr>
          <w:rFonts w:ascii="Arial" w:hAnsi="Arial" w:cs="Arial" w:eastAsia="Arial" w:hint="default"/>
          <w:spacing w:val="-5"/>
          <w:sz w:val="15"/>
          <w:szCs w:val="15"/>
        </w:rPr>
        <w:t> </w:t>
      </w:r>
      <w:r>
        <w:rPr>
          <w:rFonts w:ascii="宋体" w:hAnsi="宋体" w:cs="宋体" w:eastAsia="宋体" w:hint="default"/>
          <w:sz w:val="15"/>
          <w:szCs w:val="15"/>
        </w:rPr>
        <w:t>民初</w:t>
      </w:r>
      <w:r>
        <w:rPr>
          <w:rFonts w:ascii="宋体" w:hAnsi="宋体" w:cs="宋体" w:eastAsia="宋体" w:hint="default"/>
          <w:spacing w:val="-38"/>
          <w:sz w:val="15"/>
          <w:szCs w:val="15"/>
        </w:rPr>
        <w:t> </w:t>
      </w:r>
      <w:r>
        <w:rPr>
          <w:rFonts w:ascii="Arial" w:hAnsi="Arial" w:cs="Arial" w:eastAsia="Arial" w:hint="default"/>
          <w:sz w:val="15"/>
          <w:szCs w:val="15"/>
        </w:rPr>
        <w:t>6</w:t>
      </w:r>
    </w:p>
    <w:p>
      <w:pPr>
        <w:spacing w:after="0" w:line="174" w:lineRule="exact"/>
        <w:jc w:val="left"/>
        <w:rPr>
          <w:rFonts w:ascii="Arial" w:hAnsi="Arial" w:cs="Arial" w:eastAsia="Arial" w:hint="default"/>
          <w:sz w:val="15"/>
          <w:szCs w:val="15"/>
        </w:rPr>
        <w:sectPr>
          <w:type w:val="continuous"/>
          <w:pgSz w:w="16840" w:h="11910" w:orient="landscape"/>
          <w:pgMar w:top="1360" w:bottom="1380" w:left="1300" w:right="1380"/>
          <w:cols w:num="2" w:equalWidth="0">
            <w:col w:w="9365" w:space="40"/>
            <w:col w:w="4755"/>
          </w:cols>
        </w:sectPr>
      </w:pPr>
    </w:p>
    <w:p>
      <w:pPr>
        <w:spacing w:line="205" w:lineRule="exact" w:before="0"/>
        <w:ind w:left="7261" w:right="1620" w:firstLine="0"/>
        <w:jc w:val="left"/>
        <w:rPr>
          <w:rFonts w:ascii="宋体" w:hAnsi="宋体" w:cs="宋体" w:eastAsia="宋体" w:hint="default"/>
          <w:sz w:val="15"/>
          <w:szCs w:val="15"/>
        </w:rPr>
      </w:pPr>
      <w:r>
        <w:rPr>
          <w:rFonts w:ascii="Arial" w:hAnsi="Arial" w:cs="Arial" w:eastAsia="Arial" w:hint="default"/>
          <w:sz w:val="15"/>
          <w:szCs w:val="15"/>
        </w:rPr>
        <w:t>2017</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w:hAnsi="Arial" w:cs="Arial" w:eastAsia="Arial" w:hint="default"/>
          <w:sz w:val="15"/>
          <w:szCs w:val="15"/>
        </w:rPr>
        <w:t>12</w:t>
      </w:r>
      <w:r>
        <w:rPr>
          <w:rFonts w:ascii="Arial" w:hAnsi="Arial" w:cs="Arial" w:eastAsia="Arial"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11</w:t>
      </w:r>
      <w:r>
        <w:rPr>
          <w:rFonts w:ascii="Arial" w:hAnsi="Arial" w:cs="Arial" w:eastAsia="Arial" w:hint="default"/>
          <w:spacing w:val="-5"/>
          <w:sz w:val="15"/>
          <w:szCs w:val="15"/>
        </w:rPr>
        <w:t> </w:t>
      </w:r>
      <w:r>
        <w:rPr>
          <w:rFonts w:ascii="宋体" w:hAnsi="宋体" w:cs="宋体" w:eastAsia="宋体" w:hint="default"/>
          <w:sz w:val="15"/>
          <w:szCs w:val="15"/>
        </w:rPr>
        <w:t>日作出</w:t>
      </w:r>
      <w:r>
        <w:rPr>
          <w:rFonts w:ascii="宋体" w:hAnsi="宋体" w:cs="宋体" w:eastAsia="宋体" w:hint="default"/>
          <w:spacing w:val="-3"/>
          <w:sz w:val="15"/>
          <w:szCs w:val="15"/>
        </w:rPr>
        <w:t> </w:t>
      </w:r>
      <w:r>
        <w:rPr>
          <w:rFonts w:ascii="宋体" w:hAnsi="宋体" w:cs="宋体" w:eastAsia="宋体" w:hint="default"/>
          <w:sz w:val="15"/>
          <w:szCs w:val="15"/>
        </w:rPr>
        <w:t>（</w:t>
      </w:r>
      <w:r>
        <w:rPr>
          <w:rFonts w:ascii="Arial" w:hAnsi="Arial" w:cs="Arial" w:eastAsia="Arial" w:hint="default"/>
          <w:sz w:val="15"/>
          <w:szCs w:val="15"/>
        </w:rPr>
        <w:t>2016)</w:t>
      </w:r>
      <w:r>
        <w:rPr>
          <w:rFonts w:ascii="宋体" w:hAnsi="宋体" w:cs="宋体" w:eastAsia="宋体" w:hint="default"/>
          <w:sz w:val="15"/>
          <w:szCs w:val="15"/>
        </w:rPr>
        <w:t>黑</w:t>
      </w:r>
      <w:r>
        <w:rPr>
          <w:rFonts w:ascii="宋体" w:hAnsi="宋体" w:cs="宋体" w:eastAsia="宋体" w:hint="default"/>
          <w:spacing w:val="-21"/>
          <w:sz w:val="15"/>
          <w:szCs w:val="15"/>
        </w:rPr>
        <w:t> </w:t>
      </w:r>
      <w:r>
        <w:rPr>
          <w:rFonts w:ascii="宋体" w:hAnsi="宋体" w:cs="宋体" w:eastAsia="宋体" w:hint="default"/>
          <w:position w:val="2"/>
          <w:sz w:val="15"/>
          <w:szCs w:val="15"/>
        </w:rPr>
        <w:t>号民享判决主文第一项为</w:t>
      </w:r>
      <w:r>
        <w:rPr>
          <w:rFonts w:ascii="Arial" w:hAnsi="Arial" w:cs="Arial" w:eastAsia="Arial" w:hint="default"/>
          <w:position w:val="2"/>
          <w:sz w:val="15"/>
          <w:szCs w:val="15"/>
        </w:rPr>
        <w:t>:</w:t>
      </w:r>
      <w:r>
        <w:rPr>
          <w:rFonts w:ascii="宋体" w:hAnsi="宋体" w:cs="宋体" w:eastAsia="宋体" w:hint="default"/>
          <w:position w:val="2"/>
          <w:sz w:val="15"/>
          <w:szCs w:val="15"/>
        </w:rPr>
        <w:t>北大荒青枫亚麻</w:t>
      </w:r>
      <w:r>
        <w:rPr>
          <w:rFonts w:ascii="宋体" w:hAnsi="宋体" w:cs="宋体" w:eastAsia="宋体" w:hint="default"/>
          <w:sz w:val="15"/>
          <w:szCs w:val="15"/>
        </w:rPr>
      </w:r>
    </w:p>
    <w:p>
      <w:pPr>
        <w:spacing w:after="0" w:line="205" w:lineRule="exact"/>
        <w:jc w:val="left"/>
        <w:rPr>
          <w:rFonts w:ascii="宋体" w:hAnsi="宋体" w:cs="宋体" w:eastAsia="宋体" w:hint="default"/>
          <w:sz w:val="15"/>
          <w:szCs w:val="15"/>
        </w:rPr>
        <w:sectPr>
          <w:type w:val="continuous"/>
          <w:pgSz w:w="16840" w:h="11910" w:orient="landscape"/>
          <w:pgMar w:top="1360" w:bottom="1380" w:left="1300" w:right="1380"/>
        </w:sectPr>
      </w:pPr>
    </w:p>
    <w:p>
      <w:pPr>
        <w:spacing w:line="194" w:lineRule="exact" w:before="0"/>
        <w:ind w:left="0" w:right="0" w:firstLine="0"/>
        <w:jc w:val="right"/>
        <w:rPr>
          <w:rFonts w:ascii="宋体" w:hAnsi="宋体" w:cs="宋体" w:eastAsia="宋体" w:hint="default"/>
          <w:sz w:val="15"/>
          <w:szCs w:val="15"/>
        </w:rPr>
      </w:pPr>
      <w:r>
        <w:rPr>
          <w:rFonts w:ascii="Arial" w:hAnsi="Arial" w:cs="Arial" w:eastAsia="Arial" w:hint="default"/>
          <w:sz w:val="15"/>
          <w:szCs w:val="15"/>
        </w:rPr>
        <w:t>81</w:t>
      </w:r>
      <w:r>
        <w:rPr>
          <w:rFonts w:ascii="Arial" w:hAnsi="Arial" w:cs="Arial" w:eastAsia="Arial" w:hint="default"/>
          <w:spacing w:val="-4"/>
          <w:sz w:val="15"/>
          <w:szCs w:val="15"/>
        </w:rPr>
        <w:t> </w:t>
      </w:r>
      <w:r>
        <w:rPr>
          <w:rFonts w:ascii="宋体" w:hAnsi="宋体" w:cs="宋体" w:eastAsia="宋体" w:hint="default"/>
          <w:sz w:val="15"/>
          <w:szCs w:val="15"/>
        </w:rPr>
        <w:t>民初</w:t>
      </w:r>
      <w:r>
        <w:rPr>
          <w:rFonts w:ascii="宋体" w:hAnsi="宋体" w:cs="宋体" w:eastAsia="宋体" w:hint="default"/>
          <w:spacing w:val="-40"/>
          <w:sz w:val="15"/>
          <w:szCs w:val="15"/>
        </w:rPr>
        <w:t> </w:t>
      </w:r>
      <w:r>
        <w:rPr>
          <w:rFonts w:ascii="Arial" w:hAnsi="Arial" w:cs="Arial" w:eastAsia="Arial" w:hint="default"/>
          <w:sz w:val="15"/>
          <w:szCs w:val="15"/>
        </w:rPr>
        <w:t>6</w:t>
      </w:r>
      <w:r>
        <w:rPr>
          <w:rFonts w:ascii="Arial" w:hAnsi="Arial" w:cs="Arial" w:eastAsia="Arial" w:hint="default"/>
          <w:spacing w:val="-5"/>
          <w:sz w:val="15"/>
          <w:szCs w:val="15"/>
        </w:rPr>
        <w:t> </w:t>
      </w:r>
      <w:r>
        <w:rPr>
          <w:rFonts w:ascii="宋体" w:hAnsi="宋体" w:cs="宋体" w:eastAsia="宋体" w:hint="default"/>
          <w:sz w:val="15"/>
          <w:szCs w:val="15"/>
        </w:rPr>
        <w:t>号判决书。鑫亚公司已向</w:t>
      </w:r>
    </w:p>
    <w:p>
      <w:pPr>
        <w:spacing w:line="162" w:lineRule="exact" w:before="0"/>
        <w:ind w:left="65"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纺织有限公司于本判决送达之日起六十日</w:t>
      </w:r>
    </w:p>
    <w:p>
      <w:pPr>
        <w:spacing w:after="0" w:line="162" w:lineRule="exact"/>
        <w:jc w:val="left"/>
        <w:rPr>
          <w:rFonts w:ascii="宋体" w:hAnsi="宋体" w:cs="宋体" w:eastAsia="宋体" w:hint="default"/>
          <w:sz w:val="15"/>
          <w:szCs w:val="15"/>
        </w:rPr>
        <w:sectPr>
          <w:type w:val="continuous"/>
          <w:pgSz w:w="16840" w:h="11910" w:orient="landscape"/>
          <w:pgMar w:top="1360" w:bottom="1380" w:left="1300" w:right="1380"/>
          <w:cols w:num="2" w:equalWidth="0">
            <w:col w:w="9579" w:space="40"/>
            <w:col w:w="4541"/>
          </w:cols>
        </w:sectPr>
      </w:pPr>
    </w:p>
    <w:p>
      <w:pPr>
        <w:spacing w:line="172" w:lineRule="exact" w:before="0"/>
        <w:ind w:left="7261" w:right="1620" w:firstLine="0"/>
        <w:jc w:val="left"/>
        <w:rPr>
          <w:rFonts w:ascii="宋体" w:hAnsi="宋体" w:cs="宋体" w:eastAsia="宋体" w:hint="default"/>
          <w:sz w:val="15"/>
          <w:szCs w:val="15"/>
        </w:rPr>
      </w:pPr>
      <w:r>
        <w:rPr>
          <w:rFonts w:ascii="宋体" w:hAnsi="宋体" w:cs="宋体" w:eastAsia="宋体" w:hint="default"/>
          <w:spacing w:val="-4"/>
          <w:position w:val="-1"/>
          <w:sz w:val="15"/>
          <w:szCs w:val="15"/>
        </w:rPr>
        <w:t>黑龙江省高级人民法院提起上诉，并 </w:t>
      </w:r>
      <w:r>
        <w:rPr>
          <w:rFonts w:ascii="宋体" w:hAnsi="宋体" w:cs="宋体" w:eastAsia="宋体" w:hint="default"/>
          <w:spacing w:val="-4"/>
          <w:sz w:val="15"/>
          <w:szCs w:val="15"/>
        </w:rPr>
        <w:t>内按照《</w:t>
      </w:r>
      <w:r>
        <w:rPr>
          <w:rFonts w:ascii="Arial" w:hAnsi="Arial" w:cs="Arial" w:eastAsia="Arial" w:hint="default"/>
          <w:spacing w:val="-4"/>
          <w:sz w:val="15"/>
          <w:szCs w:val="15"/>
        </w:rPr>
        <w:t>111 </w:t>
      </w:r>
      <w:r>
        <w:rPr>
          <w:rFonts w:ascii="Arial" w:hAnsi="Arial" w:cs="Arial" w:eastAsia="Arial" w:hint="default"/>
          <w:spacing w:val="-2"/>
          <w:sz w:val="15"/>
          <w:szCs w:val="15"/>
        </w:rPr>
        <w:t> </w:t>
      </w:r>
      <w:r>
        <w:rPr>
          <w:rFonts w:ascii="宋体" w:hAnsi="宋体" w:cs="宋体" w:eastAsia="宋体" w:hint="default"/>
          <w:spacing w:val="-3"/>
          <w:sz w:val="15"/>
          <w:szCs w:val="15"/>
        </w:rPr>
        <w:t>号亚麻布加工合同》的约定给</w:t>
      </w:r>
    </w:p>
    <w:p>
      <w:pPr>
        <w:spacing w:line="216" w:lineRule="exact" w:before="0"/>
        <w:ind w:left="7261" w:right="1620" w:firstLine="0"/>
        <w:jc w:val="left"/>
        <w:rPr>
          <w:rFonts w:ascii="宋体" w:hAnsi="宋体" w:cs="宋体" w:eastAsia="宋体" w:hint="default"/>
          <w:sz w:val="15"/>
          <w:szCs w:val="15"/>
        </w:rPr>
      </w:pPr>
      <w:r>
        <w:rPr>
          <w:rFonts w:ascii="宋体" w:hAnsi="宋体" w:cs="宋体" w:eastAsia="宋体" w:hint="default"/>
          <w:position w:val="-1"/>
          <w:sz w:val="15"/>
          <w:szCs w:val="15"/>
        </w:rPr>
        <w:t>于</w:t>
      </w:r>
      <w:r>
        <w:rPr>
          <w:rFonts w:ascii="宋体" w:hAnsi="宋体" w:cs="宋体" w:eastAsia="宋体" w:hint="default"/>
          <w:spacing w:val="-39"/>
          <w:position w:val="-1"/>
          <w:sz w:val="15"/>
          <w:szCs w:val="15"/>
        </w:rPr>
        <w:t> </w:t>
      </w:r>
      <w:r>
        <w:rPr>
          <w:rFonts w:ascii="Arial" w:hAnsi="Arial" w:cs="Arial" w:eastAsia="Arial" w:hint="default"/>
          <w:position w:val="-1"/>
          <w:sz w:val="15"/>
          <w:szCs w:val="15"/>
        </w:rPr>
        <w:t>2018</w:t>
      </w:r>
      <w:r>
        <w:rPr>
          <w:rFonts w:ascii="Arial" w:hAnsi="Arial" w:cs="Arial" w:eastAsia="Arial" w:hint="default"/>
          <w:spacing w:val="-6"/>
          <w:position w:val="-1"/>
          <w:sz w:val="15"/>
          <w:szCs w:val="15"/>
        </w:rPr>
        <w:t> </w:t>
      </w:r>
      <w:r>
        <w:rPr>
          <w:rFonts w:ascii="宋体" w:hAnsi="宋体" w:cs="宋体" w:eastAsia="宋体" w:hint="default"/>
          <w:position w:val="-1"/>
          <w:sz w:val="15"/>
          <w:szCs w:val="15"/>
        </w:rPr>
        <w:t>年</w:t>
      </w:r>
      <w:r>
        <w:rPr>
          <w:rFonts w:ascii="宋体" w:hAnsi="宋体" w:cs="宋体" w:eastAsia="宋体" w:hint="default"/>
          <w:spacing w:val="-39"/>
          <w:position w:val="-1"/>
          <w:sz w:val="15"/>
          <w:szCs w:val="15"/>
        </w:rPr>
        <w:t> </w:t>
      </w:r>
      <w:r>
        <w:rPr>
          <w:rFonts w:ascii="Arial" w:hAnsi="Arial" w:cs="Arial" w:eastAsia="Arial" w:hint="default"/>
          <w:position w:val="-1"/>
          <w:sz w:val="15"/>
          <w:szCs w:val="15"/>
        </w:rPr>
        <w:t>5</w:t>
      </w:r>
      <w:r>
        <w:rPr>
          <w:rFonts w:ascii="Arial" w:hAnsi="Arial" w:cs="Arial" w:eastAsia="Arial" w:hint="default"/>
          <w:spacing w:val="-9"/>
          <w:position w:val="-1"/>
          <w:sz w:val="15"/>
          <w:szCs w:val="15"/>
        </w:rPr>
        <w:t> </w:t>
      </w:r>
      <w:r>
        <w:rPr>
          <w:rFonts w:ascii="宋体" w:hAnsi="宋体" w:cs="宋体" w:eastAsia="宋体" w:hint="default"/>
          <w:position w:val="-1"/>
          <w:sz w:val="15"/>
          <w:szCs w:val="15"/>
        </w:rPr>
        <w:t>月</w:t>
      </w:r>
      <w:r>
        <w:rPr>
          <w:rFonts w:ascii="宋体" w:hAnsi="宋体" w:cs="宋体" w:eastAsia="宋体" w:hint="default"/>
          <w:spacing w:val="-39"/>
          <w:position w:val="-1"/>
          <w:sz w:val="15"/>
          <w:szCs w:val="15"/>
        </w:rPr>
        <w:t> </w:t>
      </w:r>
      <w:r>
        <w:rPr>
          <w:rFonts w:ascii="Arial" w:hAnsi="Arial" w:cs="Arial" w:eastAsia="Arial" w:hint="default"/>
          <w:position w:val="-1"/>
          <w:sz w:val="15"/>
          <w:szCs w:val="15"/>
        </w:rPr>
        <w:t>2</w:t>
      </w:r>
      <w:r>
        <w:rPr>
          <w:rFonts w:ascii="Arial" w:hAnsi="Arial" w:cs="Arial" w:eastAsia="Arial" w:hint="default"/>
          <w:spacing w:val="-9"/>
          <w:position w:val="-1"/>
          <w:sz w:val="15"/>
          <w:szCs w:val="15"/>
        </w:rPr>
        <w:t> </w:t>
      </w:r>
      <w:r>
        <w:rPr>
          <w:rFonts w:ascii="宋体" w:hAnsi="宋体" w:cs="宋体" w:eastAsia="宋体" w:hint="default"/>
          <w:position w:val="-1"/>
          <w:sz w:val="15"/>
          <w:szCs w:val="15"/>
        </w:rPr>
        <w:t>日收到黑龙江省高</w:t>
      </w:r>
      <w:r>
        <w:rPr>
          <w:rFonts w:ascii="宋体" w:hAnsi="宋体" w:cs="宋体" w:eastAsia="宋体" w:hint="default"/>
          <w:spacing w:val="-23"/>
          <w:position w:val="-1"/>
          <w:sz w:val="15"/>
          <w:szCs w:val="15"/>
        </w:rPr>
        <w:t> </w:t>
      </w:r>
      <w:r>
        <w:rPr>
          <w:rFonts w:ascii="宋体" w:hAnsi="宋体" w:cs="宋体" w:eastAsia="宋体" w:hint="default"/>
          <w:sz w:val="15"/>
          <w:szCs w:val="15"/>
        </w:rPr>
        <w:t>付北大荒鑫亚经贸有限责任公司已加工完</w:t>
      </w:r>
    </w:p>
    <w:p>
      <w:pPr>
        <w:spacing w:after="0" w:line="216" w:lineRule="exact"/>
        <w:jc w:val="left"/>
        <w:rPr>
          <w:rFonts w:ascii="宋体" w:hAnsi="宋体" w:cs="宋体" w:eastAsia="宋体" w:hint="default"/>
          <w:sz w:val="15"/>
          <w:szCs w:val="15"/>
        </w:rPr>
        <w:sectPr>
          <w:type w:val="continuous"/>
          <w:pgSz w:w="16840" w:h="11910" w:orient="landscape"/>
          <w:pgMar w:top="1360" w:bottom="1380" w:left="1300" w:right="1380"/>
        </w:sectPr>
      </w:pPr>
    </w:p>
    <w:p>
      <w:pPr>
        <w:spacing w:line="185" w:lineRule="exact" w:before="0"/>
        <w:ind w:left="0" w:right="0" w:firstLine="0"/>
        <w:jc w:val="right"/>
        <w:rPr>
          <w:rFonts w:ascii="宋体" w:hAnsi="宋体" w:cs="宋体" w:eastAsia="宋体" w:hint="default"/>
          <w:sz w:val="15"/>
          <w:szCs w:val="15"/>
        </w:rPr>
      </w:pPr>
      <w:r>
        <w:rPr>
          <w:rFonts w:ascii="宋体" w:hAnsi="宋体" w:cs="宋体" w:eastAsia="宋体" w:hint="default"/>
          <w:spacing w:val="-2"/>
          <w:sz w:val="15"/>
          <w:szCs w:val="15"/>
        </w:rPr>
        <w:t>级人民法院二审传票，此案案号为</w:t>
      </w:r>
    </w:p>
    <w:p>
      <w:pPr>
        <w:spacing w:line="174" w:lineRule="exact" w:before="0"/>
        <w:ind w:left="128"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成的亚麻布</w:t>
      </w:r>
      <w:r>
        <w:rPr>
          <w:rFonts w:ascii="宋体" w:hAnsi="宋体" w:cs="宋体" w:eastAsia="宋体" w:hint="default"/>
          <w:spacing w:val="-37"/>
          <w:sz w:val="15"/>
          <w:szCs w:val="15"/>
        </w:rPr>
        <w:t> </w:t>
      </w:r>
      <w:r>
        <w:rPr>
          <w:rFonts w:ascii="Arial" w:hAnsi="Arial" w:cs="Arial" w:eastAsia="Arial" w:hint="default"/>
          <w:sz w:val="15"/>
          <w:szCs w:val="15"/>
        </w:rPr>
        <w:t>501</w:t>
      </w:r>
      <w:r>
        <w:rPr>
          <w:rFonts w:ascii="宋体" w:hAnsi="宋体" w:cs="宋体" w:eastAsia="宋体" w:hint="default"/>
          <w:sz w:val="15"/>
          <w:szCs w:val="15"/>
        </w:rPr>
        <w:t>，</w:t>
      </w:r>
      <w:r>
        <w:rPr>
          <w:rFonts w:ascii="Arial" w:hAnsi="Arial" w:cs="Arial" w:eastAsia="Arial" w:hint="default"/>
          <w:sz w:val="15"/>
          <w:szCs w:val="15"/>
        </w:rPr>
        <w:t>323.765</w:t>
      </w:r>
      <w:r>
        <w:rPr>
          <w:rFonts w:ascii="Arial" w:hAnsi="Arial" w:cs="Arial" w:eastAsia="Arial" w:hint="default"/>
          <w:spacing w:val="-6"/>
          <w:sz w:val="15"/>
          <w:szCs w:val="15"/>
        </w:rPr>
        <w:t> </w:t>
      </w:r>
      <w:r>
        <w:rPr>
          <w:rFonts w:ascii="宋体" w:hAnsi="宋体" w:cs="宋体" w:eastAsia="宋体" w:hint="default"/>
          <w:sz w:val="15"/>
          <w:szCs w:val="15"/>
        </w:rPr>
        <w:t>米，其中</w:t>
      </w:r>
    </w:p>
    <w:p>
      <w:pPr>
        <w:spacing w:after="0" w:line="174" w:lineRule="exact"/>
        <w:jc w:val="left"/>
        <w:rPr>
          <w:rFonts w:ascii="宋体" w:hAnsi="宋体" w:cs="宋体" w:eastAsia="宋体" w:hint="default"/>
          <w:sz w:val="15"/>
          <w:szCs w:val="15"/>
        </w:rPr>
        <w:sectPr>
          <w:type w:val="continuous"/>
          <w:pgSz w:w="16840" w:h="11910" w:orient="landscape"/>
          <w:pgMar w:top="1360" w:bottom="1380" w:left="1300" w:right="1380"/>
          <w:cols w:num="2" w:equalWidth="0">
            <w:col w:w="9516" w:space="40"/>
            <w:col w:w="4604"/>
          </w:cols>
        </w:sectPr>
      </w:pPr>
    </w:p>
    <w:p>
      <w:pPr>
        <w:spacing w:line="187" w:lineRule="exact" w:before="0"/>
        <w:ind w:left="7261" w:right="1620" w:firstLine="0"/>
        <w:jc w:val="left"/>
        <w:rPr>
          <w:rFonts w:ascii="宋体" w:hAnsi="宋体" w:cs="宋体" w:eastAsia="宋体" w:hint="default"/>
          <w:sz w:val="15"/>
          <w:szCs w:val="15"/>
        </w:rPr>
      </w:pPr>
      <w:r>
        <w:rPr>
          <w:rFonts w:ascii="宋体" w:hAnsi="宋体" w:cs="宋体" w:eastAsia="宋体" w:hint="default"/>
          <w:spacing w:val="-3"/>
          <w:position w:val="-1"/>
          <w:sz w:val="15"/>
          <w:szCs w:val="15"/>
        </w:rPr>
        <w:t>（</w:t>
      </w:r>
      <w:r>
        <w:rPr>
          <w:rFonts w:ascii="Arial" w:hAnsi="Arial" w:cs="Arial" w:eastAsia="Arial" w:hint="default"/>
          <w:spacing w:val="-3"/>
          <w:position w:val="-1"/>
          <w:sz w:val="15"/>
          <w:szCs w:val="15"/>
        </w:rPr>
        <w:t>2018</w:t>
      </w:r>
      <w:r>
        <w:rPr>
          <w:rFonts w:ascii="宋体" w:hAnsi="宋体" w:cs="宋体" w:eastAsia="宋体" w:hint="default"/>
          <w:spacing w:val="-3"/>
          <w:position w:val="-1"/>
          <w:sz w:val="15"/>
          <w:szCs w:val="15"/>
        </w:rPr>
        <w:t>）黑民终</w:t>
      </w:r>
      <w:r>
        <w:rPr>
          <w:rFonts w:ascii="宋体" w:hAnsi="宋体" w:cs="宋体" w:eastAsia="宋体" w:hint="default"/>
          <w:spacing w:val="-35"/>
          <w:position w:val="-1"/>
          <w:sz w:val="15"/>
          <w:szCs w:val="15"/>
        </w:rPr>
        <w:t> </w:t>
      </w:r>
      <w:r>
        <w:rPr>
          <w:rFonts w:ascii="Arial" w:hAnsi="Arial" w:cs="Arial" w:eastAsia="Arial" w:hint="default"/>
          <w:position w:val="-1"/>
          <w:sz w:val="15"/>
          <w:szCs w:val="15"/>
        </w:rPr>
        <w:t>365</w:t>
      </w:r>
      <w:r>
        <w:rPr>
          <w:rFonts w:ascii="Arial" w:hAnsi="Arial" w:cs="Arial" w:eastAsia="Arial" w:hint="default"/>
          <w:spacing w:val="-2"/>
          <w:position w:val="-1"/>
          <w:sz w:val="15"/>
          <w:szCs w:val="15"/>
        </w:rPr>
        <w:t> </w:t>
      </w:r>
      <w:r>
        <w:rPr>
          <w:rFonts w:ascii="宋体" w:hAnsi="宋体" w:cs="宋体" w:eastAsia="宋体" w:hint="default"/>
          <w:spacing w:val="-4"/>
          <w:position w:val="-1"/>
          <w:sz w:val="15"/>
          <w:szCs w:val="15"/>
        </w:rPr>
        <w:t>号，并于</w:t>
      </w:r>
      <w:r>
        <w:rPr>
          <w:rFonts w:ascii="宋体" w:hAnsi="宋体" w:cs="宋体" w:eastAsia="宋体" w:hint="default"/>
          <w:spacing w:val="-35"/>
          <w:position w:val="-1"/>
          <w:sz w:val="15"/>
          <w:szCs w:val="15"/>
        </w:rPr>
        <w:t> </w:t>
      </w:r>
      <w:r>
        <w:rPr>
          <w:rFonts w:ascii="Arial" w:hAnsi="Arial" w:cs="Arial" w:eastAsia="Arial" w:hint="default"/>
          <w:position w:val="-1"/>
          <w:sz w:val="15"/>
          <w:szCs w:val="15"/>
        </w:rPr>
        <w:t>2018</w:t>
      </w:r>
      <w:r>
        <w:rPr>
          <w:rFonts w:ascii="Arial" w:hAnsi="Arial" w:cs="Arial" w:eastAsia="Arial" w:hint="default"/>
          <w:spacing w:val="12"/>
          <w:position w:val="-1"/>
          <w:sz w:val="15"/>
          <w:szCs w:val="15"/>
        </w:rPr>
        <w:t> </w:t>
      </w:r>
      <w:r>
        <w:rPr>
          <w:rFonts w:ascii="Arial" w:hAnsi="Arial" w:cs="Arial" w:eastAsia="Arial" w:hint="default"/>
          <w:sz w:val="15"/>
          <w:szCs w:val="15"/>
        </w:rPr>
        <w:t>101-50x54-63</w:t>
      </w:r>
      <w:r>
        <w:rPr>
          <w:rFonts w:ascii="Arial" w:hAnsi="Arial" w:cs="Arial" w:eastAsia="Arial" w:hint="default"/>
          <w:spacing w:val="-2"/>
          <w:sz w:val="15"/>
          <w:szCs w:val="15"/>
        </w:rPr>
        <w:t> </w:t>
      </w:r>
      <w:r>
        <w:rPr>
          <w:rFonts w:ascii="宋体" w:hAnsi="宋体" w:cs="宋体" w:eastAsia="宋体" w:hint="default"/>
          <w:sz w:val="15"/>
          <w:szCs w:val="15"/>
        </w:rPr>
        <w:t>规格</w:t>
      </w:r>
      <w:r>
        <w:rPr>
          <w:rFonts w:ascii="宋体" w:hAnsi="宋体" w:cs="宋体" w:eastAsia="宋体" w:hint="default"/>
          <w:spacing w:val="-34"/>
          <w:sz w:val="15"/>
          <w:szCs w:val="15"/>
        </w:rPr>
        <w:t> </w:t>
      </w:r>
      <w:r>
        <w:rPr>
          <w:rFonts w:ascii="Arial" w:hAnsi="Arial" w:cs="Arial" w:eastAsia="Arial" w:hint="default"/>
          <w:sz w:val="15"/>
          <w:szCs w:val="15"/>
        </w:rPr>
        <w:t>461,407,795</w:t>
      </w:r>
      <w:r>
        <w:rPr>
          <w:rFonts w:ascii="Arial" w:hAnsi="Arial" w:cs="Arial" w:eastAsia="Arial" w:hint="default"/>
          <w:spacing w:val="-2"/>
          <w:sz w:val="15"/>
          <w:szCs w:val="15"/>
        </w:rPr>
        <w:t> </w:t>
      </w:r>
      <w:r>
        <w:rPr>
          <w:rFonts w:ascii="宋体" w:hAnsi="宋体" w:cs="宋体" w:eastAsia="宋体" w:hint="default"/>
          <w:spacing w:val="-3"/>
          <w:sz w:val="15"/>
          <w:szCs w:val="15"/>
        </w:rPr>
        <w:t>米，</w:t>
      </w:r>
      <w:r>
        <w:rPr>
          <w:rFonts w:ascii="宋体" w:hAnsi="宋体" w:cs="宋体" w:eastAsia="宋体" w:hint="default"/>
          <w:sz w:val="15"/>
          <w:szCs w:val="15"/>
        </w:rPr>
      </w:r>
    </w:p>
    <w:p>
      <w:pPr>
        <w:spacing w:line="194" w:lineRule="exact" w:before="3"/>
        <w:ind w:left="7261" w:right="1620" w:firstLine="0"/>
        <w:jc w:val="left"/>
        <w:rPr>
          <w:rFonts w:ascii="宋体" w:hAnsi="宋体" w:cs="宋体" w:eastAsia="宋体" w:hint="default"/>
          <w:sz w:val="15"/>
          <w:szCs w:val="15"/>
        </w:rPr>
      </w:pPr>
      <w:r>
        <w:rPr>
          <w:rFonts w:ascii="宋体" w:hAnsi="宋体" w:cs="宋体" w:eastAsia="宋体" w:hint="default"/>
          <w:position w:val="-1"/>
          <w:sz w:val="15"/>
          <w:szCs w:val="15"/>
        </w:rPr>
        <w:t>年</w:t>
      </w:r>
      <w:r>
        <w:rPr>
          <w:rFonts w:ascii="宋体" w:hAnsi="宋体" w:cs="宋体" w:eastAsia="宋体" w:hint="default"/>
          <w:spacing w:val="-38"/>
          <w:position w:val="-1"/>
          <w:sz w:val="15"/>
          <w:szCs w:val="15"/>
        </w:rPr>
        <w:t> </w:t>
      </w:r>
      <w:r>
        <w:rPr>
          <w:rFonts w:ascii="Arial" w:hAnsi="Arial" w:cs="Arial" w:eastAsia="Arial" w:hint="default"/>
          <w:position w:val="-1"/>
          <w:sz w:val="15"/>
          <w:szCs w:val="15"/>
        </w:rPr>
        <w:t>5</w:t>
      </w:r>
      <w:r>
        <w:rPr>
          <w:rFonts w:ascii="Arial" w:hAnsi="Arial" w:cs="Arial" w:eastAsia="Arial" w:hint="default"/>
          <w:spacing w:val="-7"/>
          <w:position w:val="-1"/>
          <w:sz w:val="15"/>
          <w:szCs w:val="15"/>
        </w:rPr>
        <w:t> </w:t>
      </w:r>
      <w:r>
        <w:rPr>
          <w:rFonts w:ascii="宋体" w:hAnsi="宋体" w:cs="宋体" w:eastAsia="宋体" w:hint="default"/>
          <w:position w:val="-1"/>
          <w:sz w:val="15"/>
          <w:szCs w:val="15"/>
        </w:rPr>
        <w:t>月</w:t>
      </w:r>
      <w:r>
        <w:rPr>
          <w:rFonts w:ascii="宋体" w:hAnsi="宋体" w:cs="宋体" w:eastAsia="宋体" w:hint="default"/>
          <w:spacing w:val="-40"/>
          <w:position w:val="-1"/>
          <w:sz w:val="15"/>
          <w:szCs w:val="15"/>
        </w:rPr>
        <w:t> </w:t>
      </w:r>
      <w:r>
        <w:rPr>
          <w:rFonts w:ascii="Arial" w:hAnsi="Arial" w:cs="Arial" w:eastAsia="Arial" w:hint="default"/>
          <w:position w:val="-1"/>
          <w:sz w:val="15"/>
          <w:szCs w:val="15"/>
        </w:rPr>
        <w:t>14</w:t>
      </w:r>
      <w:r>
        <w:rPr>
          <w:rFonts w:ascii="Arial" w:hAnsi="Arial" w:cs="Arial" w:eastAsia="Arial" w:hint="default"/>
          <w:spacing w:val="-7"/>
          <w:position w:val="-1"/>
          <w:sz w:val="15"/>
          <w:szCs w:val="15"/>
        </w:rPr>
        <w:t> </w:t>
      </w:r>
      <w:r>
        <w:rPr>
          <w:rFonts w:ascii="宋体" w:hAnsi="宋体" w:cs="宋体" w:eastAsia="宋体" w:hint="default"/>
          <w:position w:val="-1"/>
          <w:sz w:val="15"/>
          <w:szCs w:val="15"/>
        </w:rPr>
        <w:t>日开庭，</w:t>
      </w:r>
      <w:r>
        <w:rPr>
          <w:rFonts w:ascii="Arial" w:hAnsi="Arial" w:cs="Arial" w:eastAsia="Arial" w:hint="default"/>
          <w:position w:val="-1"/>
          <w:sz w:val="15"/>
          <w:szCs w:val="15"/>
        </w:rPr>
        <w:t>2018</w:t>
      </w:r>
      <w:r>
        <w:rPr>
          <w:rFonts w:ascii="Arial" w:hAnsi="Arial" w:cs="Arial" w:eastAsia="Arial" w:hint="default"/>
          <w:spacing w:val="-5"/>
          <w:position w:val="-1"/>
          <w:sz w:val="15"/>
          <w:szCs w:val="15"/>
        </w:rPr>
        <w:t> </w:t>
      </w:r>
      <w:r>
        <w:rPr>
          <w:rFonts w:ascii="宋体" w:hAnsi="宋体" w:cs="宋体" w:eastAsia="宋体" w:hint="default"/>
          <w:position w:val="-1"/>
          <w:sz w:val="15"/>
          <w:szCs w:val="15"/>
        </w:rPr>
        <w:t>年</w:t>
      </w:r>
      <w:r>
        <w:rPr>
          <w:rFonts w:ascii="宋体" w:hAnsi="宋体" w:cs="宋体" w:eastAsia="宋体" w:hint="default"/>
          <w:spacing w:val="-40"/>
          <w:position w:val="-1"/>
          <w:sz w:val="15"/>
          <w:szCs w:val="15"/>
        </w:rPr>
        <w:t> </w:t>
      </w:r>
      <w:r>
        <w:rPr>
          <w:rFonts w:ascii="Arial" w:hAnsi="Arial" w:cs="Arial" w:eastAsia="Arial" w:hint="default"/>
          <w:position w:val="-1"/>
          <w:sz w:val="15"/>
          <w:szCs w:val="15"/>
        </w:rPr>
        <w:t>7</w:t>
      </w:r>
      <w:r>
        <w:rPr>
          <w:rFonts w:ascii="Arial" w:hAnsi="Arial" w:cs="Arial" w:eastAsia="Arial" w:hint="default"/>
          <w:spacing w:val="-7"/>
          <w:position w:val="-1"/>
          <w:sz w:val="15"/>
          <w:szCs w:val="15"/>
        </w:rPr>
        <w:t> </w:t>
      </w:r>
      <w:r>
        <w:rPr>
          <w:rFonts w:ascii="宋体" w:hAnsi="宋体" w:cs="宋体" w:eastAsia="宋体" w:hint="default"/>
          <w:position w:val="-1"/>
          <w:sz w:val="15"/>
          <w:szCs w:val="15"/>
        </w:rPr>
        <w:t>月</w:t>
      </w:r>
      <w:r>
        <w:rPr>
          <w:rFonts w:ascii="宋体" w:hAnsi="宋体" w:cs="宋体" w:eastAsia="宋体" w:hint="default"/>
          <w:spacing w:val="-38"/>
          <w:position w:val="-1"/>
          <w:sz w:val="15"/>
          <w:szCs w:val="15"/>
        </w:rPr>
        <w:t> </w:t>
      </w:r>
      <w:r>
        <w:rPr>
          <w:rFonts w:ascii="Arial" w:hAnsi="Arial" w:cs="Arial" w:eastAsia="Arial" w:hint="default"/>
          <w:position w:val="-1"/>
          <w:sz w:val="15"/>
          <w:szCs w:val="15"/>
        </w:rPr>
        <w:t>27</w:t>
      </w:r>
      <w:r>
        <w:rPr>
          <w:rFonts w:ascii="Arial" w:hAnsi="Arial" w:cs="Arial" w:eastAsia="Arial" w:hint="default"/>
          <w:spacing w:val="41"/>
          <w:position w:val="-1"/>
          <w:sz w:val="15"/>
          <w:szCs w:val="15"/>
        </w:rPr>
        <w:t> </w:t>
      </w:r>
      <w:r>
        <w:rPr>
          <w:rFonts w:ascii="Arial" w:hAnsi="Arial" w:cs="Arial" w:eastAsia="Arial" w:hint="default"/>
          <w:sz w:val="15"/>
          <w:szCs w:val="15"/>
        </w:rPr>
        <w:t>2020-48x45-63</w:t>
      </w:r>
      <w:r>
        <w:rPr>
          <w:rFonts w:ascii="Arial" w:hAnsi="Arial" w:cs="Arial" w:eastAsia="Arial" w:hint="default"/>
          <w:spacing w:val="-5"/>
          <w:sz w:val="15"/>
          <w:szCs w:val="15"/>
        </w:rPr>
        <w:t> </w:t>
      </w:r>
      <w:r>
        <w:rPr>
          <w:rFonts w:ascii="宋体" w:hAnsi="宋体" w:cs="宋体" w:eastAsia="宋体" w:hint="default"/>
          <w:sz w:val="15"/>
          <w:szCs w:val="15"/>
        </w:rPr>
        <w:t>规格</w:t>
      </w:r>
      <w:r>
        <w:rPr>
          <w:rFonts w:ascii="宋体" w:hAnsi="宋体" w:cs="宋体" w:eastAsia="宋体" w:hint="default"/>
          <w:spacing w:val="-37"/>
          <w:sz w:val="15"/>
          <w:szCs w:val="15"/>
        </w:rPr>
        <w:t> </w:t>
      </w:r>
      <w:r>
        <w:rPr>
          <w:rFonts w:ascii="Arial" w:hAnsi="Arial" w:cs="Arial" w:eastAsia="Arial" w:hint="default"/>
          <w:sz w:val="15"/>
          <w:szCs w:val="15"/>
        </w:rPr>
        <w:t>39</w:t>
      </w:r>
      <w:r>
        <w:rPr>
          <w:rFonts w:ascii="宋体" w:hAnsi="宋体" w:cs="宋体" w:eastAsia="宋体" w:hint="default"/>
          <w:sz w:val="15"/>
          <w:szCs w:val="15"/>
        </w:rPr>
        <w:t>，</w:t>
      </w:r>
      <w:r>
        <w:rPr>
          <w:rFonts w:ascii="Arial" w:hAnsi="Arial" w:cs="Arial" w:eastAsia="Arial" w:hint="default"/>
          <w:sz w:val="15"/>
          <w:szCs w:val="15"/>
        </w:rPr>
        <w:t>915.97</w:t>
      </w:r>
      <w:r>
        <w:rPr>
          <w:rFonts w:ascii="Arial" w:hAnsi="Arial" w:cs="Arial" w:eastAsia="Arial" w:hint="default"/>
          <w:spacing w:val="-7"/>
          <w:sz w:val="15"/>
          <w:szCs w:val="15"/>
        </w:rPr>
        <w:t> </w:t>
      </w:r>
      <w:r>
        <w:rPr>
          <w:rFonts w:ascii="宋体" w:hAnsi="宋体" w:cs="宋体" w:eastAsia="宋体" w:hint="default"/>
          <w:sz w:val="15"/>
          <w:szCs w:val="15"/>
        </w:rPr>
        <w:t>米。如不</w:t>
      </w:r>
      <w:r>
        <w:rPr>
          <w:rFonts w:ascii="宋体" w:hAnsi="宋体" w:cs="宋体" w:eastAsia="宋体" w:hint="default"/>
          <w:w w:val="100"/>
          <w:sz w:val="15"/>
          <w:szCs w:val="15"/>
        </w:rPr>
        <w:t> </w:t>
      </w:r>
      <w:r>
        <w:rPr>
          <w:rFonts w:ascii="宋体" w:hAnsi="宋体" w:cs="宋体" w:eastAsia="宋体" w:hint="default"/>
          <w:spacing w:val="-4"/>
          <w:position w:val="-1"/>
          <w:sz w:val="15"/>
          <w:szCs w:val="15"/>
        </w:rPr>
        <w:t>日，鑫亚公司收到黑龙江省高级人民</w:t>
      </w:r>
      <w:r>
        <w:rPr>
          <w:rFonts w:ascii="宋体" w:hAnsi="宋体" w:cs="宋体" w:eastAsia="宋体" w:hint="default"/>
          <w:spacing w:val="-9"/>
          <w:position w:val="-1"/>
          <w:sz w:val="15"/>
          <w:szCs w:val="15"/>
        </w:rPr>
        <w:t> </w:t>
      </w:r>
      <w:r>
        <w:rPr>
          <w:rFonts w:ascii="宋体" w:hAnsi="宋体" w:cs="宋体" w:eastAsia="宋体" w:hint="default"/>
          <w:sz w:val="15"/>
          <w:szCs w:val="15"/>
        </w:rPr>
        <w:t>能给付应折价</w:t>
      </w:r>
      <w:r>
        <w:rPr>
          <w:rFonts w:ascii="宋体" w:hAnsi="宋体" w:cs="宋体" w:eastAsia="宋体" w:hint="default"/>
          <w:spacing w:val="-31"/>
          <w:sz w:val="15"/>
          <w:szCs w:val="15"/>
        </w:rPr>
        <w:t> </w:t>
      </w:r>
      <w:r>
        <w:rPr>
          <w:rFonts w:ascii="Arial" w:hAnsi="Arial" w:cs="Arial" w:eastAsia="Arial" w:hint="default"/>
          <w:sz w:val="15"/>
          <w:szCs w:val="15"/>
        </w:rPr>
        <w:t>9009,857.18</w:t>
      </w:r>
      <w:r>
        <w:rPr>
          <w:rFonts w:ascii="Arial" w:hAnsi="Arial" w:cs="Arial" w:eastAsia="Arial" w:hint="default"/>
          <w:spacing w:val="4"/>
          <w:sz w:val="15"/>
          <w:szCs w:val="15"/>
        </w:rPr>
        <w:t> </w:t>
      </w:r>
      <w:r>
        <w:rPr>
          <w:rFonts w:ascii="宋体" w:hAnsi="宋体" w:cs="宋体" w:eastAsia="宋体" w:hint="default"/>
          <w:sz w:val="15"/>
          <w:szCs w:val="15"/>
        </w:rPr>
        <w:t>元赔偿鑫亚公</w:t>
      </w:r>
    </w:p>
    <w:p>
      <w:pPr>
        <w:spacing w:after="0" w:line="194" w:lineRule="exact"/>
        <w:jc w:val="left"/>
        <w:rPr>
          <w:rFonts w:ascii="宋体" w:hAnsi="宋体" w:cs="宋体" w:eastAsia="宋体" w:hint="default"/>
          <w:sz w:val="15"/>
          <w:szCs w:val="15"/>
        </w:rPr>
        <w:sectPr>
          <w:type w:val="continuous"/>
          <w:pgSz w:w="16840" w:h="11910" w:orient="landscape"/>
          <w:pgMar w:top="1360" w:bottom="1380" w:left="1300" w:right="1380"/>
        </w:sectPr>
      </w:pPr>
    </w:p>
    <w:p>
      <w:pPr>
        <w:spacing w:before="4"/>
        <w:ind w:left="0" w:right="1090" w:firstLine="0"/>
        <w:jc w:val="right"/>
        <w:rPr>
          <w:rFonts w:ascii="宋体" w:hAnsi="宋体" w:cs="宋体" w:eastAsia="宋体" w:hint="default"/>
          <w:sz w:val="15"/>
          <w:szCs w:val="15"/>
        </w:rPr>
      </w:pPr>
      <w:r>
        <w:rPr>
          <w:rFonts w:ascii="宋体" w:hAnsi="宋体" w:cs="宋体" w:eastAsia="宋体" w:hint="default"/>
          <w:spacing w:val="-2"/>
          <w:sz w:val="15"/>
          <w:szCs w:val="15"/>
        </w:rPr>
        <w:t>法院二审判决书。</w:t>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7"/>
        <w:rPr>
          <w:rFonts w:ascii="宋体" w:hAnsi="宋体" w:cs="宋体" w:eastAsia="宋体" w:hint="default"/>
          <w:sz w:val="11"/>
          <w:szCs w:val="11"/>
        </w:rPr>
      </w:pPr>
    </w:p>
    <w:p>
      <w:pPr>
        <w:spacing w:line="45" w:lineRule="exact" w:before="0"/>
        <w:ind w:left="0" w:right="0" w:firstLine="0"/>
        <w:jc w:val="right"/>
        <w:rPr>
          <w:rFonts w:ascii="宋体" w:hAnsi="宋体" w:cs="宋体" w:eastAsia="宋体" w:hint="default"/>
          <w:sz w:val="15"/>
          <w:szCs w:val="15"/>
        </w:rPr>
      </w:pPr>
      <w:r>
        <w:rPr>
          <w:rFonts w:ascii="宋体" w:hAnsi="宋体" w:cs="宋体" w:eastAsia="宋体" w:hint="default"/>
          <w:sz w:val="15"/>
          <w:szCs w:val="15"/>
        </w:rPr>
        <w:t>法院于</w:t>
      </w:r>
      <w:r>
        <w:rPr>
          <w:rFonts w:ascii="宋体" w:hAnsi="宋体" w:cs="宋体" w:eastAsia="宋体" w:hint="default"/>
          <w:spacing w:val="-40"/>
          <w:sz w:val="15"/>
          <w:szCs w:val="15"/>
        </w:rPr>
        <w:t> </w:t>
      </w:r>
      <w:r>
        <w:rPr>
          <w:rFonts w:ascii="Arial" w:hAnsi="Arial" w:cs="Arial" w:eastAsia="Arial" w:hint="default"/>
          <w:sz w:val="15"/>
          <w:szCs w:val="15"/>
        </w:rPr>
        <w:t>2016</w:t>
      </w:r>
      <w:r>
        <w:rPr>
          <w:rFonts w:ascii="Arial" w:hAnsi="Arial" w:cs="Arial" w:eastAsia="Arial" w:hint="default"/>
          <w:spacing w:val="-8"/>
          <w:sz w:val="15"/>
          <w:szCs w:val="15"/>
        </w:rPr>
        <w:t>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Arial" w:hAnsi="Arial" w:cs="Arial" w:eastAsia="Arial" w:hint="default"/>
          <w:sz w:val="15"/>
          <w:szCs w:val="15"/>
        </w:rPr>
        <w:t>1</w:t>
      </w:r>
      <w:r>
        <w:rPr>
          <w:rFonts w:ascii="Arial" w:hAnsi="Arial" w:cs="Arial" w:eastAsia="Arial" w:hint="default"/>
          <w:spacing w:val="-8"/>
          <w:sz w:val="15"/>
          <w:szCs w:val="15"/>
        </w:rPr>
        <w:t> </w:t>
      </w:r>
      <w:r>
        <w:rPr>
          <w:rFonts w:ascii="宋体" w:hAnsi="宋体" w:cs="宋体" w:eastAsia="宋体" w:hint="default"/>
          <w:sz w:val="15"/>
          <w:szCs w:val="15"/>
        </w:rPr>
        <w:t>月</w:t>
      </w:r>
      <w:r>
        <w:rPr>
          <w:rFonts w:ascii="宋体" w:hAnsi="宋体" w:cs="宋体" w:eastAsia="宋体" w:hint="default"/>
          <w:spacing w:val="-41"/>
          <w:sz w:val="15"/>
          <w:szCs w:val="15"/>
        </w:rPr>
        <w:t> </w:t>
      </w:r>
      <w:r>
        <w:rPr>
          <w:rFonts w:ascii="Arial" w:hAnsi="Arial" w:cs="Arial" w:eastAsia="Arial" w:hint="default"/>
          <w:sz w:val="15"/>
          <w:szCs w:val="15"/>
        </w:rPr>
        <w:t>19</w:t>
      </w:r>
      <w:r>
        <w:rPr>
          <w:rFonts w:ascii="Arial" w:hAnsi="Arial" w:cs="Arial" w:eastAsia="Arial" w:hint="default"/>
          <w:spacing w:val="-8"/>
          <w:sz w:val="15"/>
          <w:szCs w:val="15"/>
        </w:rPr>
        <w:t> </w:t>
      </w:r>
      <w:r>
        <w:rPr>
          <w:rFonts w:ascii="宋体" w:hAnsi="宋体" w:cs="宋体" w:eastAsia="宋体" w:hint="default"/>
          <w:sz w:val="15"/>
          <w:szCs w:val="15"/>
        </w:rPr>
        <w:t>日受理本案</w:t>
      </w:r>
    </w:p>
    <w:p>
      <w:pPr>
        <w:spacing w:line="194" w:lineRule="exact" w:before="0"/>
        <w:ind w:left="87" w:right="1657" w:firstLine="0"/>
        <w:jc w:val="left"/>
        <w:rPr>
          <w:rFonts w:ascii="宋体" w:hAnsi="宋体" w:cs="宋体" w:eastAsia="宋体" w:hint="default"/>
          <w:sz w:val="15"/>
          <w:szCs w:val="15"/>
        </w:rPr>
      </w:pPr>
      <w:r>
        <w:rPr>
          <w:spacing w:val="-4"/>
        </w:rPr>
        <w:br w:type="column"/>
      </w:r>
      <w:r>
        <w:rPr>
          <w:rFonts w:ascii="宋体" w:hAnsi="宋体" w:cs="宋体" w:eastAsia="宋体" w:hint="default"/>
          <w:spacing w:val="-4"/>
          <w:sz w:val="15"/>
          <w:szCs w:val="15"/>
        </w:rPr>
        <w:t>司的损失。一审案件受理费 </w:t>
      </w:r>
      <w:r>
        <w:rPr>
          <w:rFonts w:ascii="Arial" w:hAnsi="Arial" w:cs="Arial" w:eastAsia="Arial" w:hint="default"/>
          <w:sz w:val="15"/>
          <w:szCs w:val="15"/>
        </w:rPr>
        <w:t>216,000</w:t>
      </w:r>
      <w:r>
        <w:rPr>
          <w:rFonts w:ascii="Arial" w:hAnsi="Arial" w:cs="Arial" w:eastAsia="Arial" w:hint="default"/>
          <w:spacing w:val="-24"/>
          <w:sz w:val="15"/>
          <w:szCs w:val="15"/>
        </w:rPr>
        <w:t> </w:t>
      </w:r>
      <w:r>
        <w:rPr>
          <w:rFonts w:ascii="宋体" w:hAnsi="宋体" w:cs="宋体" w:eastAsia="宋体" w:hint="default"/>
          <w:spacing w:val="-12"/>
          <w:sz w:val="15"/>
          <w:szCs w:val="15"/>
        </w:rPr>
        <w:t>元，由</w:t>
      </w:r>
      <w:r>
        <w:rPr>
          <w:rFonts w:ascii="宋体" w:hAnsi="宋体" w:cs="宋体" w:eastAsia="宋体" w:hint="default"/>
          <w:w w:val="100"/>
          <w:sz w:val="15"/>
          <w:szCs w:val="15"/>
        </w:rPr>
        <w:t> </w:t>
      </w:r>
      <w:r>
        <w:rPr>
          <w:rFonts w:ascii="宋体" w:hAnsi="宋体" w:cs="宋体" w:eastAsia="宋体" w:hint="default"/>
          <w:sz w:val="15"/>
          <w:szCs w:val="15"/>
        </w:rPr>
        <w:t>北大荒鑫亚经贸有限责任公司负担</w:t>
      </w:r>
    </w:p>
    <w:p>
      <w:pPr>
        <w:spacing w:line="183" w:lineRule="exact" w:before="0"/>
        <w:ind w:left="87" w:right="0" w:firstLine="0"/>
        <w:jc w:val="left"/>
        <w:rPr>
          <w:rFonts w:ascii="宋体" w:hAnsi="宋体" w:cs="宋体" w:eastAsia="宋体" w:hint="default"/>
          <w:sz w:val="15"/>
          <w:szCs w:val="15"/>
        </w:rPr>
      </w:pPr>
      <w:r>
        <w:rPr>
          <w:rFonts w:ascii="Arial" w:hAnsi="Arial" w:cs="Arial" w:eastAsia="Arial" w:hint="default"/>
          <w:sz w:val="15"/>
          <w:szCs w:val="15"/>
        </w:rPr>
        <w:t>108,000</w:t>
      </w:r>
      <w:r>
        <w:rPr>
          <w:rFonts w:ascii="Arial" w:hAnsi="Arial" w:cs="Arial" w:eastAsia="Arial" w:hint="default"/>
          <w:spacing w:val="26"/>
          <w:sz w:val="15"/>
          <w:szCs w:val="15"/>
        </w:rPr>
        <w:t> </w:t>
      </w:r>
      <w:r>
        <w:rPr>
          <w:rFonts w:ascii="宋体" w:hAnsi="宋体" w:cs="宋体" w:eastAsia="宋体" w:hint="default"/>
          <w:spacing w:val="-4"/>
          <w:sz w:val="15"/>
          <w:szCs w:val="15"/>
        </w:rPr>
        <w:t>元，北大荒青枫亚麻纺织有限公司</w:t>
      </w:r>
    </w:p>
    <w:p>
      <w:pPr>
        <w:spacing w:line="194" w:lineRule="exact" w:before="0"/>
        <w:ind w:left="87" w:right="1657" w:firstLine="0"/>
        <w:jc w:val="left"/>
        <w:rPr>
          <w:rFonts w:ascii="宋体" w:hAnsi="宋体" w:cs="宋体" w:eastAsia="宋体" w:hint="default"/>
          <w:sz w:val="15"/>
          <w:szCs w:val="15"/>
        </w:rPr>
      </w:pPr>
      <w:r>
        <w:rPr>
          <w:rFonts w:ascii="宋体" w:hAnsi="宋体" w:cs="宋体" w:eastAsia="宋体" w:hint="default"/>
          <w:sz w:val="15"/>
          <w:szCs w:val="15"/>
        </w:rPr>
        <w:t>负担</w:t>
      </w:r>
      <w:r>
        <w:rPr>
          <w:rFonts w:ascii="宋体" w:hAnsi="宋体" w:cs="宋体" w:eastAsia="宋体" w:hint="default"/>
          <w:spacing w:val="-39"/>
          <w:sz w:val="15"/>
          <w:szCs w:val="15"/>
        </w:rPr>
        <w:t> </w:t>
      </w:r>
      <w:r>
        <w:rPr>
          <w:rFonts w:ascii="Arial" w:hAnsi="Arial" w:cs="Arial" w:eastAsia="Arial" w:hint="default"/>
          <w:sz w:val="15"/>
          <w:szCs w:val="15"/>
        </w:rPr>
        <w:t>108,000</w:t>
      </w:r>
      <w:r>
        <w:rPr>
          <w:rFonts w:ascii="Arial" w:hAnsi="Arial" w:cs="Arial" w:eastAsia="Arial" w:hint="default"/>
          <w:spacing w:val="-4"/>
          <w:sz w:val="15"/>
          <w:szCs w:val="15"/>
        </w:rPr>
        <w:t> </w:t>
      </w:r>
      <w:r>
        <w:rPr>
          <w:rFonts w:ascii="宋体" w:hAnsi="宋体" w:cs="宋体" w:eastAsia="宋体" w:hint="default"/>
          <w:sz w:val="15"/>
          <w:szCs w:val="15"/>
        </w:rPr>
        <w:t>元。二审案件受理费</w:t>
      </w:r>
    </w:p>
    <w:p>
      <w:pPr>
        <w:spacing w:line="235" w:lineRule="auto" w:before="0"/>
        <w:ind w:left="87" w:right="1654" w:firstLine="0"/>
        <w:jc w:val="left"/>
        <w:rPr>
          <w:rFonts w:ascii="宋体" w:hAnsi="宋体" w:cs="宋体" w:eastAsia="宋体" w:hint="default"/>
          <w:sz w:val="15"/>
          <w:szCs w:val="15"/>
        </w:rPr>
      </w:pPr>
      <w:r>
        <w:rPr>
          <w:rFonts w:ascii="Arial" w:hAnsi="Arial" w:cs="Arial" w:eastAsia="Arial" w:hint="default"/>
          <w:sz w:val="15"/>
          <w:szCs w:val="15"/>
        </w:rPr>
        <w:t>74,966.79</w:t>
      </w:r>
      <w:r>
        <w:rPr>
          <w:rFonts w:ascii="Arial" w:hAnsi="Arial" w:cs="Arial" w:eastAsia="Arial" w:hint="default"/>
          <w:spacing w:val="-9"/>
          <w:sz w:val="15"/>
          <w:szCs w:val="15"/>
        </w:rPr>
        <w:t> </w:t>
      </w:r>
      <w:r>
        <w:rPr>
          <w:rFonts w:ascii="宋体" w:hAnsi="宋体" w:cs="宋体" w:eastAsia="宋体" w:hint="default"/>
          <w:sz w:val="15"/>
          <w:szCs w:val="15"/>
        </w:rPr>
        <w:t>元，由北大荒鑫亚经贸有限责任</w:t>
      </w:r>
      <w:r>
        <w:rPr>
          <w:rFonts w:ascii="宋体" w:hAnsi="宋体" w:cs="宋体" w:eastAsia="宋体" w:hint="default"/>
          <w:w w:val="100"/>
          <w:sz w:val="15"/>
          <w:szCs w:val="15"/>
        </w:rPr>
        <w:t> </w:t>
      </w:r>
      <w:r>
        <w:rPr>
          <w:rFonts w:ascii="宋体" w:hAnsi="宋体" w:cs="宋体" w:eastAsia="宋体" w:hint="default"/>
          <w:spacing w:val="-4"/>
          <w:sz w:val="15"/>
          <w:szCs w:val="15"/>
        </w:rPr>
        <w:t>公司负担。本判决为终审判决。本案已审理</w:t>
      </w:r>
      <w:r>
        <w:rPr>
          <w:rFonts w:ascii="宋体" w:hAnsi="宋体" w:cs="宋体" w:eastAsia="宋体" w:hint="default"/>
          <w:spacing w:val="-50"/>
          <w:sz w:val="15"/>
          <w:szCs w:val="15"/>
        </w:rPr>
        <w:t> </w:t>
      </w:r>
      <w:r>
        <w:rPr>
          <w:rFonts w:ascii="宋体" w:hAnsi="宋体" w:cs="宋体" w:eastAsia="宋体" w:hint="default"/>
          <w:spacing w:val="-50"/>
          <w:sz w:val="15"/>
          <w:szCs w:val="15"/>
        </w:rPr>
      </w:r>
      <w:r>
        <w:rPr>
          <w:rFonts w:ascii="宋体" w:hAnsi="宋体" w:cs="宋体" w:eastAsia="宋体" w:hint="default"/>
          <w:sz w:val="15"/>
          <w:szCs w:val="15"/>
        </w:rPr>
        <w:t>终结。</w:t>
      </w:r>
      <w:r>
        <w:rPr>
          <w:rFonts w:ascii="宋体" w:hAnsi="宋体" w:cs="宋体" w:eastAsia="宋体" w:hint="default"/>
          <w:spacing w:val="-72"/>
          <w:sz w:val="15"/>
          <w:szCs w:val="15"/>
        </w:rPr>
        <w:t> </w:t>
      </w:r>
      <w:r>
        <w:rPr>
          <w:rFonts w:ascii="宋体" w:hAnsi="宋体" w:cs="宋体" w:eastAsia="宋体" w:hint="default"/>
          <w:spacing w:val="-2"/>
          <w:sz w:val="15"/>
          <w:szCs w:val="15"/>
        </w:rPr>
        <w:t>一审判决：</w:t>
      </w:r>
      <w:r>
        <w:rPr>
          <w:rFonts w:ascii="Arial" w:hAnsi="Arial" w:cs="Arial" w:eastAsia="Arial" w:hint="default"/>
          <w:spacing w:val="-2"/>
          <w:sz w:val="15"/>
          <w:szCs w:val="15"/>
        </w:rPr>
        <w:t>1</w:t>
      </w:r>
      <w:r>
        <w:rPr>
          <w:rFonts w:ascii="宋体" w:hAnsi="宋体" w:cs="宋体" w:eastAsia="宋体" w:hint="default"/>
          <w:spacing w:val="-2"/>
          <w:sz w:val="15"/>
          <w:szCs w:val="15"/>
        </w:rPr>
        <w:t>、青枫公司于本判决生效之日</w:t>
      </w:r>
      <w:r>
        <w:rPr>
          <w:rFonts w:ascii="宋体" w:hAnsi="宋体" w:cs="宋体" w:eastAsia="宋体" w:hint="default"/>
          <w:spacing w:val="-40"/>
          <w:sz w:val="15"/>
          <w:szCs w:val="15"/>
        </w:rPr>
        <w:t> </w:t>
      </w:r>
      <w:r>
        <w:rPr>
          <w:rFonts w:ascii="宋体" w:hAnsi="宋体" w:cs="宋体" w:eastAsia="宋体" w:hint="default"/>
          <w:spacing w:val="-40"/>
          <w:sz w:val="15"/>
          <w:szCs w:val="15"/>
        </w:rPr>
      </w:r>
      <w:r>
        <w:rPr>
          <w:rFonts w:ascii="宋体" w:hAnsi="宋体" w:cs="宋体" w:eastAsia="宋体" w:hint="default"/>
          <w:sz w:val="15"/>
          <w:szCs w:val="15"/>
        </w:rPr>
        <w:t>起</w:t>
      </w:r>
      <w:r>
        <w:rPr>
          <w:rFonts w:ascii="宋体" w:hAnsi="宋体" w:cs="宋体" w:eastAsia="宋体" w:hint="default"/>
          <w:spacing w:val="-38"/>
          <w:sz w:val="15"/>
          <w:szCs w:val="15"/>
        </w:rPr>
        <w:t> </w:t>
      </w:r>
      <w:r>
        <w:rPr>
          <w:rFonts w:ascii="Arial" w:hAnsi="Arial" w:cs="Arial" w:eastAsia="Arial" w:hint="default"/>
          <w:sz w:val="15"/>
          <w:szCs w:val="15"/>
        </w:rPr>
        <w:t>10</w:t>
      </w:r>
      <w:r>
        <w:rPr>
          <w:rFonts w:ascii="Arial" w:hAnsi="Arial" w:cs="Arial" w:eastAsia="Arial" w:hint="default"/>
          <w:spacing w:val="-5"/>
          <w:sz w:val="15"/>
          <w:szCs w:val="15"/>
        </w:rPr>
        <w:t> </w:t>
      </w:r>
      <w:r>
        <w:rPr>
          <w:rFonts w:ascii="宋体" w:hAnsi="宋体" w:cs="宋体" w:eastAsia="宋体" w:hint="default"/>
          <w:sz w:val="15"/>
          <w:szCs w:val="15"/>
        </w:rPr>
        <w:t>日内按照</w:t>
      </w:r>
    </w:p>
    <w:p>
      <w:pPr>
        <w:spacing w:after="0" w:line="235" w:lineRule="auto"/>
        <w:jc w:val="left"/>
        <w:rPr>
          <w:rFonts w:ascii="宋体" w:hAnsi="宋体" w:cs="宋体" w:eastAsia="宋体" w:hint="default"/>
          <w:sz w:val="15"/>
          <w:szCs w:val="15"/>
        </w:rPr>
        <w:sectPr>
          <w:type w:val="continuous"/>
          <w:pgSz w:w="16840" w:h="11910" w:orient="landscape"/>
          <w:pgMar w:top="1360" w:bottom="1380" w:left="1300" w:right="1380"/>
          <w:cols w:num="2" w:equalWidth="0">
            <w:col w:w="9557" w:space="40"/>
            <w:col w:w="4563"/>
          </w:cols>
        </w:sectPr>
      </w:pPr>
    </w:p>
    <w:p>
      <w:pPr>
        <w:spacing w:line="42" w:lineRule="exact" w:before="0"/>
        <w:ind w:left="0" w:right="4451" w:firstLine="0"/>
        <w:jc w:val="right"/>
        <w:rPr>
          <w:rFonts w:ascii="宋体" w:hAnsi="宋体" w:cs="宋体" w:eastAsia="宋体" w:hint="default"/>
          <w:sz w:val="15"/>
          <w:szCs w:val="15"/>
        </w:rPr>
      </w:pPr>
      <w:r>
        <w:rPr>
          <w:rFonts w:ascii="宋体" w:hAnsi="宋体" w:cs="宋体" w:eastAsia="宋体" w:hint="default"/>
          <w:w w:val="100"/>
          <w:sz w:val="15"/>
          <w:szCs w:val="15"/>
        </w:rPr>
        <w:t>，</w:t>
      </w:r>
    </w:p>
    <w:p>
      <w:pPr>
        <w:spacing w:line="178" w:lineRule="exact" w:before="0"/>
        <w:ind w:left="7261" w:right="1620" w:firstLine="0"/>
        <w:jc w:val="left"/>
        <w:rPr>
          <w:rFonts w:ascii="Arial" w:hAnsi="Arial" w:cs="Arial" w:eastAsia="Arial" w:hint="default"/>
          <w:sz w:val="15"/>
          <w:szCs w:val="15"/>
        </w:rPr>
      </w:pPr>
      <w:r>
        <w:rPr>
          <w:rFonts w:ascii="宋体" w:hAnsi="宋体" w:cs="宋体" w:eastAsia="宋体" w:hint="default"/>
          <w:spacing w:val="-3"/>
          <w:position w:val="-9"/>
          <w:sz w:val="15"/>
          <w:szCs w:val="15"/>
        </w:rPr>
        <w:t>案号为〔</w:t>
      </w:r>
      <w:r>
        <w:rPr>
          <w:rFonts w:ascii="Arial" w:hAnsi="Arial" w:cs="Arial" w:eastAsia="Arial" w:hint="default"/>
          <w:spacing w:val="-3"/>
          <w:position w:val="-9"/>
          <w:sz w:val="15"/>
          <w:szCs w:val="15"/>
        </w:rPr>
        <w:t>2016</w:t>
      </w:r>
      <w:r>
        <w:rPr>
          <w:rFonts w:ascii="宋体" w:hAnsi="宋体" w:cs="宋体" w:eastAsia="宋体" w:hint="default"/>
          <w:spacing w:val="-3"/>
          <w:position w:val="-9"/>
          <w:sz w:val="15"/>
          <w:szCs w:val="15"/>
        </w:rPr>
        <w:t>〕黑</w:t>
      </w:r>
      <w:r>
        <w:rPr>
          <w:rFonts w:ascii="宋体" w:hAnsi="宋体" w:cs="宋体" w:eastAsia="宋体" w:hint="default"/>
          <w:spacing w:val="-37"/>
          <w:position w:val="-9"/>
          <w:sz w:val="15"/>
          <w:szCs w:val="15"/>
        </w:rPr>
        <w:t> </w:t>
      </w:r>
      <w:r>
        <w:rPr>
          <w:rFonts w:ascii="Arial" w:hAnsi="Arial" w:cs="Arial" w:eastAsia="Arial" w:hint="default"/>
          <w:position w:val="-9"/>
          <w:sz w:val="15"/>
          <w:szCs w:val="15"/>
        </w:rPr>
        <w:t>81</w:t>
      </w:r>
      <w:r>
        <w:rPr>
          <w:rFonts w:ascii="Arial" w:hAnsi="Arial" w:cs="Arial" w:eastAsia="Arial" w:hint="default"/>
          <w:spacing w:val="-4"/>
          <w:position w:val="-9"/>
          <w:sz w:val="15"/>
          <w:szCs w:val="15"/>
        </w:rPr>
        <w:t> </w:t>
      </w:r>
      <w:r>
        <w:rPr>
          <w:rFonts w:ascii="宋体" w:hAnsi="宋体" w:cs="宋体" w:eastAsia="宋体" w:hint="default"/>
          <w:position w:val="-9"/>
          <w:sz w:val="15"/>
          <w:szCs w:val="15"/>
        </w:rPr>
        <w:t>民初</w:t>
      </w:r>
      <w:r>
        <w:rPr>
          <w:rFonts w:ascii="宋体" w:hAnsi="宋体" w:cs="宋体" w:eastAsia="宋体" w:hint="default"/>
          <w:spacing w:val="-37"/>
          <w:position w:val="-9"/>
          <w:sz w:val="15"/>
          <w:szCs w:val="15"/>
        </w:rPr>
        <w:t> </w:t>
      </w:r>
      <w:r>
        <w:rPr>
          <w:rFonts w:ascii="Arial" w:hAnsi="Arial" w:cs="Arial" w:eastAsia="Arial" w:hint="default"/>
          <w:position w:val="-9"/>
          <w:sz w:val="15"/>
          <w:szCs w:val="15"/>
        </w:rPr>
        <w:t>7</w:t>
      </w:r>
      <w:r>
        <w:rPr>
          <w:rFonts w:ascii="Arial" w:hAnsi="Arial" w:cs="Arial" w:eastAsia="Arial" w:hint="default"/>
          <w:spacing w:val="-4"/>
          <w:position w:val="-9"/>
          <w:sz w:val="15"/>
          <w:szCs w:val="15"/>
        </w:rPr>
        <w:t> </w:t>
      </w:r>
      <w:r>
        <w:rPr>
          <w:rFonts w:ascii="宋体" w:hAnsi="宋体" w:cs="宋体" w:eastAsia="宋体" w:hint="default"/>
          <w:spacing w:val="-3"/>
          <w:position w:val="-9"/>
          <w:sz w:val="15"/>
          <w:szCs w:val="15"/>
        </w:rPr>
        <w:t>号，法</w:t>
      </w:r>
      <w:r>
        <w:rPr>
          <w:rFonts w:ascii="宋体" w:hAnsi="宋体" w:cs="宋体" w:eastAsia="宋体" w:hint="default"/>
          <w:spacing w:val="-20"/>
          <w:position w:val="-9"/>
          <w:sz w:val="15"/>
          <w:szCs w:val="15"/>
        </w:rPr>
        <w:t> </w:t>
      </w:r>
      <w:r>
        <w:rPr>
          <w:rFonts w:ascii="Arial" w:hAnsi="Arial" w:cs="Arial" w:eastAsia="Arial" w:hint="default"/>
          <w:sz w:val="15"/>
          <w:szCs w:val="15"/>
        </w:rPr>
        <w:t>XY-TAZYQFYM20120731-JGHT-GJ-112</w:t>
      </w:r>
    </w:p>
    <w:p>
      <w:pPr>
        <w:spacing w:line="151" w:lineRule="auto" w:before="5"/>
        <w:ind w:left="7261" w:right="1607" w:firstLine="2422"/>
        <w:jc w:val="left"/>
        <w:rPr>
          <w:rFonts w:ascii="Arial" w:hAnsi="Arial" w:cs="Arial" w:eastAsia="Arial" w:hint="default"/>
          <w:sz w:val="15"/>
          <w:szCs w:val="15"/>
        </w:rPr>
      </w:pPr>
      <w:r>
        <w:rPr>
          <w:rFonts w:ascii="宋体" w:hAnsi="宋体" w:cs="宋体" w:eastAsia="宋体" w:hint="default"/>
          <w:spacing w:val="-4"/>
          <w:sz w:val="15"/>
          <w:szCs w:val="15"/>
        </w:rPr>
        <w:t>号《亚麻加工合同》的约定给付鑫亚经贸公</w:t>
      </w:r>
      <w:r>
        <w:rPr>
          <w:rFonts w:ascii="宋体" w:hAnsi="宋体" w:cs="宋体" w:eastAsia="宋体" w:hint="default"/>
          <w:w w:val="100"/>
          <w:sz w:val="15"/>
          <w:szCs w:val="15"/>
        </w:rPr>
        <w:t> </w:t>
      </w:r>
      <w:r>
        <w:rPr>
          <w:rFonts w:ascii="宋体" w:hAnsi="宋体" w:cs="宋体" w:eastAsia="宋体" w:hint="default"/>
          <w:spacing w:val="-4"/>
          <w:position w:val="9"/>
          <w:sz w:val="15"/>
          <w:szCs w:val="15"/>
        </w:rPr>
        <w:t>院向被告送达起诉材料后，青枫公司</w:t>
      </w:r>
      <w:r>
        <w:rPr>
          <w:rFonts w:ascii="宋体" w:hAnsi="宋体" w:cs="宋体" w:eastAsia="宋体" w:hint="default"/>
          <w:spacing w:val="-11"/>
          <w:position w:val="9"/>
          <w:sz w:val="15"/>
          <w:szCs w:val="15"/>
        </w:rPr>
        <w:t> </w:t>
      </w:r>
      <w:r>
        <w:rPr>
          <w:rFonts w:ascii="宋体" w:hAnsi="宋体" w:cs="宋体" w:eastAsia="宋体" w:hint="default"/>
          <w:sz w:val="15"/>
          <w:szCs w:val="15"/>
        </w:rPr>
        <w:t>司已加工完成的亚麻布</w:t>
      </w:r>
      <w:r>
        <w:rPr>
          <w:rFonts w:ascii="宋体" w:hAnsi="宋体" w:cs="宋体" w:eastAsia="宋体" w:hint="default"/>
          <w:spacing w:val="-32"/>
          <w:sz w:val="15"/>
          <w:szCs w:val="15"/>
        </w:rPr>
        <w:t> </w:t>
      </w:r>
      <w:r>
        <w:rPr>
          <w:rFonts w:ascii="Arial" w:hAnsi="Arial" w:cs="Arial" w:eastAsia="Arial" w:hint="default"/>
          <w:sz w:val="15"/>
          <w:szCs w:val="15"/>
        </w:rPr>
        <w:t>260,486.22</w:t>
      </w:r>
      <w:r>
        <w:rPr>
          <w:rFonts w:ascii="Arial" w:hAnsi="Arial" w:cs="Arial" w:eastAsia="Arial" w:hint="default"/>
          <w:spacing w:val="1"/>
          <w:sz w:val="15"/>
          <w:szCs w:val="15"/>
        </w:rPr>
        <w:t> </w:t>
      </w:r>
      <w:r>
        <w:rPr>
          <w:rFonts w:ascii="宋体" w:hAnsi="宋体" w:cs="宋体" w:eastAsia="宋体" w:hint="default"/>
          <w:sz w:val="15"/>
          <w:szCs w:val="15"/>
        </w:rPr>
        <w:t>米；</w:t>
      </w:r>
      <w:r>
        <w:rPr>
          <w:rFonts w:ascii="Arial" w:hAnsi="Arial" w:cs="Arial" w:eastAsia="Arial" w:hint="default"/>
          <w:sz w:val="15"/>
          <w:szCs w:val="15"/>
        </w:rPr>
        <w:t>2</w:t>
      </w:r>
      <w:r>
        <w:rPr>
          <w:rFonts w:ascii="宋体" w:hAnsi="宋体" w:cs="宋体" w:eastAsia="宋体" w:hint="default"/>
          <w:sz w:val="15"/>
          <w:szCs w:val="15"/>
        </w:rPr>
        <w:t>、</w:t>
      </w:r>
      <w:r>
        <w:rPr>
          <w:rFonts w:ascii="宋体" w:hAnsi="宋体" w:cs="宋体" w:eastAsia="宋体" w:hint="default"/>
          <w:spacing w:val="-73"/>
          <w:sz w:val="15"/>
          <w:szCs w:val="15"/>
        </w:rPr>
        <w:t> </w:t>
      </w:r>
      <w:r>
        <w:rPr>
          <w:rFonts w:ascii="宋体" w:hAnsi="宋体" w:cs="宋体" w:eastAsia="宋体" w:hint="default"/>
          <w:spacing w:val="-4"/>
          <w:position w:val="9"/>
          <w:sz w:val="15"/>
          <w:szCs w:val="15"/>
        </w:rPr>
        <w:t>提起管辖权异议，法院经审查予以驳 </w:t>
      </w:r>
      <w:r>
        <w:rPr>
          <w:rFonts w:ascii="宋体" w:hAnsi="宋体" w:cs="宋体" w:eastAsia="宋体" w:hint="default"/>
          <w:sz w:val="15"/>
          <w:szCs w:val="15"/>
        </w:rPr>
        <w:t>驳回鑫亚公司其他诉讼请求。二审判决：</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4"/>
          <w:position w:val="9"/>
          <w:sz w:val="15"/>
          <w:szCs w:val="15"/>
        </w:rPr>
        <w:t>回，青枫公司不服一审裁定，向黑龙 </w:t>
      </w:r>
      <w:r>
        <w:rPr>
          <w:rFonts w:ascii="宋体" w:hAnsi="宋体" w:cs="宋体" w:eastAsia="宋体" w:hint="default"/>
          <w:sz w:val="15"/>
          <w:szCs w:val="15"/>
        </w:rPr>
        <w:t>（一</w:t>
      </w:r>
      <w:r>
        <w:rPr>
          <w:rFonts w:ascii="Arial" w:hAnsi="Arial" w:cs="Arial" w:eastAsia="Arial" w:hint="default"/>
          <w:sz w:val="15"/>
          <w:szCs w:val="15"/>
        </w:rPr>
        <w:t>)</w:t>
      </w:r>
      <w:r>
        <w:rPr>
          <w:rFonts w:ascii="宋体" w:hAnsi="宋体" w:cs="宋体" w:eastAsia="宋体" w:hint="default"/>
          <w:sz w:val="15"/>
          <w:szCs w:val="15"/>
        </w:rPr>
        <w:t>维持黑龙江省农垦中级法院（</w:t>
      </w:r>
      <w:r>
        <w:rPr>
          <w:rFonts w:ascii="Arial" w:hAnsi="Arial" w:cs="Arial" w:eastAsia="Arial" w:hint="default"/>
          <w:sz w:val="15"/>
          <w:szCs w:val="15"/>
        </w:rPr>
        <w:t>2016)</w:t>
      </w:r>
      <w:r>
        <w:rPr>
          <w:rFonts w:ascii="Arial" w:hAnsi="Arial" w:cs="Arial" w:eastAsia="Arial" w:hint="default"/>
          <w:spacing w:val="-33"/>
          <w:sz w:val="15"/>
          <w:szCs w:val="15"/>
        </w:rPr>
        <w:t> </w:t>
      </w:r>
      <w:r>
        <w:rPr>
          <w:rFonts w:ascii="Arial" w:hAnsi="Arial" w:cs="Arial" w:eastAsia="Arial" w:hint="default"/>
          <w:spacing w:val="-33"/>
          <w:sz w:val="15"/>
          <w:szCs w:val="15"/>
        </w:rPr>
      </w:r>
      <w:r>
        <w:rPr>
          <w:rFonts w:ascii="宋体" w:hAnsi="宋体" w:cs="宋体" w:eastAsia="宋体" w:hint="default"/>
          <w:spacing w:val="-4"/>
          <w:position w:val="9"/>
          <w:sz w:val="15"/>
          <w:szCs w:val="15"/>
        </w:rPr>
        <w:t>江省高院提起上诉，黑龙江省高院二</w:t>
      </w:r>
      <w:r>
        <w:rPr>
          <w:rFonts w:ascii="宋体" w:hAnsi="宋体" w:cs="宋体" w:eastAsia="宋体" w:hint="default"/>
          <w:spacing w:val="-11"/>
          <w:position w:val="9"/>
          <w:sz w:val="15"/>
          <w:szCs w:val="15"/>
        </w:rPr>
        <w:t> </w:t>
      </w:r>
      <w:r>
        <w:rPr>
          <w:rFonts w:ascii="宋体" w:hAnsi="宋体" w:cs="宋体" w:eastAsia="宋体" w:hint="default"/>
          <w:sz w:val="15"/>
          <w:szCs w:val="15"/>
        </w:rPr>
        <w:t>黑</w:t>
      </w:r>
      <w:r>
        <w:rPr>
          <w:rFonts w:ascii="宋体" w:hAnsi="宋体" w:cs="宋体" w:eastAsia="宋体" w:hint="default"/>
          <w:spacing w:val="-29"/>
          <w:sz w:val="15"/>
          <w:szCs w:val="15"/>
        </w:rPr>
        <w:t> </w:t>
      </w:r>
      <w:r>
        <w:rPr>
          <w:rFonts w:ascii="Arial" w:hAnsi="Arial" w:cs="Arial" w:eastAsia="Arial" w:hint="default"/>
          <w:sz w:val="15"/>
          <w:szCs w:val="15"/>
        </w:rPr>
        <w:t>81</w:t>
      </w:r>
      <w:r>
        <w:rPr>
          <w:rFonts w:ascii="Arial" w:hAnsi="Arial" w:cs="Arial" w:eastAsia="Arial" w:hint="default"/>
          <w:spacing w:val="4"/>
          <w:sz w:val="15"/>
          <w:szCs w:val="15"/>
        </w:rPr>
        <w:t> </w:t>
      </w:r>
      <w:r>
        <w:rPr>
          <w:rFonts w:ascii="宋体" w:hAnsi="宋体" w:cs="宋体" w:eastAsia="宋体" w:hint="default"/>
          <w:sz w:val="15"/>
          <w:szCs w:val="15"/>
        </w:rPr>
        <w:t>民初</w:t>
      </w:r>
      <w:r>
        <w:rPr>
          <w:rFonts w:ascii="宋体" w:hAnsi="宋体" w:cs="宋体" w:eastAsia="宋体" w:hint="default"/>
          <w:spacing w:val="-31"/>
          <w:sz w:val="15"/>
          <w:szCs w:val="15"/>
        </w:rPr>
        <w:t> </w:t>
      </w:r>
      <w:r>
        <w:rPr>
          <w:rFonts w:ascii="Arial" w:hAnsi="Arial" w:cs="Arial" w:eastAsia="Arial" w:hint="default"/>
          <w:sz w:val="15"/>
          <w:szCs w:val="15"/>
        </w:rPr>
        <w:t>7</w:t>
      </w:r>
      <w:r>
        <w:rPr>
          <w:rFonts w:ascii="Arial" w:hAnsi="Arial" w:cs="Arial" w:eastAsia="Arial" w:hint="default"/>
          <w:spacing w:val="4"/>
          <w:sz w:val="15"/>
          <w:szCs w:val="15"/>
        </w:rPr>
        <w:t> </w:t>
      </w:r>
      <w:r>
        <w:rPr>
          <w:rFonts w:ascii="宋体" w:hAnsi="宋体" w:cs="宋体" w:eastAsia="宋体" w:hint="default"/>
          <w:spacing w:val="-5"/>
          <w:sz w:val="15"/>
          <w:szCs w:val="15"/>
        </w:rPr>
        <w:t>号民事判决主文第二项。（二</w:t>
      </w:r>
      <w:r>
        <w:rPr>
          <w:rFonts w:ascii="Arial" w:hAnsi="Arial" w:cs="Arial" w:eastAsia="Arial" w:hint="default"/>
          <w:spacing w:val="-5"/>
          <w:sz w:val="15"/>
          <w:szCs w:val="15"/>
        </w:rPr>
        <w:t>)</w:t>
      </w:r>
    </w:p>
    <w:p>
      <w:pPr>
        <w:spacing w:line="157" w:lineRule="exact" w:before="0"/>
        <w:ind w:left="7261" w:right="1620" w:firstLine="0"/>
        <w:jc w:val="left"/>
        <w:rPr>
          <w:rFonts w:ascii="Arial" w:hAnsi="Arial" w:cs="Arial" w:eastAsia="Arial" w:hint="default"/>
          <w:sz w:val="15"/>
          <w:szCs w:val="15"/>
        </w:rPr>
      </w:pPr>
      <w:r>
        <w:rPr>
          <w:rFonts w:ascii="宋体" w:hAnsi="宋体" w:cs="宋体" w:eastAsia="宋体" w:hint="default"/>
          <w:spacing w:val="-4"/>
          <w:position w:val="9"/>
          <w:sz w:val="15"/>
          <w:szCs w:val="15"/>
        </w:rPr>
        <w:t>审裁定驳回青枫公司上诉。农垦中院 </w:t>
      </w:r>
      <w:r>
        <w:rPr>
          <w:rFonts w:ascii="宋体" w:hAnsi="宋体" w:cs="宋体" w:eastAsia="宋体" w:hint="default"/>
          <w:sz w:val="15"/>
          <w:szCs w:val="15"/>
        </w:rPr>
        <w:t>变更黑龙江省农垦中级法院（</w:t>
      </w:r>
      <w:r>
        <w:rPr>
          <w:rFonts w:ascii="Arial" w:hAnsi="Arial" w:cs="Arial" w:eastAsia="Arial" w:hint="default"/>
          <w:sz w:val="15"/>
          <w:szCs w:val="15"/>
        </w:rPr>
        <w:t>2016)</w:t>
      </w:r>
      <w:r>
        <w:rPr>
          <w:rFonts w:ascii="宋体" w:hAnsi="宋体" w:cs="宋体" w:eastAsia="宋体" w:hint="default"/>
          <w:sz w:val="15"/>
          <w:szCs w:val="15"/>
        </w:rPr>
        <w:t>黑</w:t>
      </w:r>
      <w:r>
        <w:rPr>
          <w:rFonts w:ascii="宋体" w:hAnsi="宋体" w:cs="宋体" w:eastAsia="宋体" w:hint="default"/>
          <w:spacing w:val="-31"/>
          <w:sz w:val="15"/>
          <w:szCs w:val="15"/>
        </w:rPr>
        <w:t> </w:t>
      </w:r>
      <w:r>
        <w:rPr>
          <w:rFonts w:ascii="Arial" w:hAnsi="Arial" w:cs="Arial" w:eastAsia="Arial" w:hint="default"/>
          <w:sz w:val="15"/>
          <w:szCs w:val="15"/>
        </w:rPr>
        <w:t>81</w:t>
      </w:r>
    </w:p>
    <w:p>
      <w:pPr>
        <w:spacing w:line="82" w:lineRule="exact" w:before="0"/>
        <w:ind w:left="7261" w:right="1620" w:firstLine="0"/>
        <w:jc w:val="left"/>
        <w:rPr>
          <w:rFonts w:ascii="宋体" w:hAnsi="宋体" w:cs="宋体" w:eastAsia="宋体" w:hint="default"/>
          <w:sz w:val="15"/>
          <w:szCs w:val="15"/>
        </w:rPr>
      </w:pPr>
      <w:r>
        <w:rPr>
          <w:rFonts w:ascii="宋体" w:hAnsi="宋体" w:cs="宋体" w:eastAsia="宋体" w:hint="default"/>
          <w:sz w:val="15"/>
          <w:szCs w:val="15"/>
        </w:rPr>
        <w:t>于</w:t>
      </w:r>
      <w:r>
        <w:rPr>
          <w:rFonts w:ascii="宋体" w:hAnsi="宋体" w:cs="宋体" w:eastAsia="宋体" w:hint="default"/>
          <w:spacing w:val="-38"/>
          <w:sz w:val="15"/>
          <w:szCs w:val="15"/>
        </w:rPr>
        <w:t> </w:t>
      </w:r>
      <w:r>
        <w:rPr>
          <w:rFonts w:ascii="Arial" w:hAnsi="Arial" w:cs="Arial" w:eastAsia="Arial" w:hint="default"/>
          <w:sz w:val="15"/>
          <w:szCs w:val="15"/>
        </w:rPr>
        <w:t>2016</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w:hAnsi="Arial" w:cs="Arial" w:eastAsia="Arial" w:hint="default"/>
          <w:sz w:val="15"/>
          <w:szCs w:val="15"/>
        </w:rPr>
        <w:t>11</w:t>
      </w:r>
      <w:r>
        <w:rPr>
          <w:rFonts w:ascii="Arial" w:hAnsi="Arial" w:cs="Arial" w:eastAsia="Arial"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21</w:t>
      </w:r>
      <w:r>
        <w:rPr>
          <w:rFonts w:ascii="Arial" w:hAnsi="Arial" w:cs="Arial" w:eastAsia="Arial" w:hint="default"/>
          <w:spacing w:val="-5"/>
          <w:sz w:val="15"/>
          <w:szCs w:val="15"/>
        </w:rPr>
        <w:t> </w:t>
      </w:r>
      <w:r>
        <w:rPr>
          <w:rFonts w:ascii="宋体" w:hAnsi="宋体" w:cs="宋体" w:eastAsia="宋体" w:hint="default"/>
          <w:sz w:val="15"/>
          <w:szCs w:val="15"/>
        </w:rPr>
        <w:t>日至</w:t>
      </w:r>
      <w:r>
        <w:rPr>
          <w:rFonts w:ascii="宋体" w:hAnsi="宋体" w:cs="宋体" w:eastAsia="宋体" w:hint="default"/>
          <w:spacing w:val="-38"/>
          <w:sz w:val="15"/>
          <w:szCs w:val="15"/>
        </w:rPr>
        <w:t> </w:t>
      </w:r>
      <w:r>
        <w:rPr>
          <w:rFonts w:ascii="Arial" w:hAnsi="Arial" w:cs="Arial" w:eastAsia="Arial" w:hint="default"/>
          <w:sz w:val="15"/>
          <w:szCs w:val="15"/>
        </w:rPr>
        <w:t>25</w:t>
      </w:r>
      <w:r>
        <w:rPr>
          <w:rFonts w:ascii="Arial" w:hAnsi="Arial" w:cs="Arial" w:eastAsia="Arial" w:hint="default"/>
          <w:spacing w:val="-5"/>
          <w:sz w:val="15"/>
          <w:szCs w:val="15"/>
        </w:rPr>
        <w:t> </w:t>
      </w:r>
      <w:r>
        <w:rPr>
          <w:rFonts w:ascii="宋体" w:hAnsi="宋体" w:cs="宋体" w:eastAsia="宋体" w:hint="default"/>
          <w:sz w:val="15"/>
          <w:szCs w:val="15"/>
        </w:rPr>
        <w:t>日审理</w:t>
      </w:r>
    </w:p>
    <w:p>
      <w:pPr>
        <w:spacing w:after="0" w:line="82" w:lineRule="exact"/>
        <w:jc w:val="left"/>
        <w:rPr>
          <w:rFonts w:ascii="宋体" w:hAnsi="宋体" w:cs="宋体" w:eastAsia="宋体" w:hint="default"/>
          <w:sz w:val="15"/>
          <w:szCs w:val="15"/>
        </w:rPr>
        <w:sectPr>
          <w:type w:val="continuous"/>
          <w:pgSz w:w="16840" w:h="11910" w:orient="landscape"/>
          <w:pgMar w:top="1360" w:bottom="1380" w:left="1300" w:right="1380"/>
        </w:sectPr>
      </w:pPr>
    </w:p>
    <w:p>
      <w:pPr>
        <w:spacing w:line="195" w:lineRule="exact" w:before="62"/>
        <w:ind w:left="0" w:right="212" w:firstLine="0"/>
        <w:jc w:val="right"/>
        <w:rPr>
          <w:rFonts w:ascii="宋体" w:hAnsi="宋体" w:cs="宋体" w:eastAsia="宋体" w:hint="default"/>
          <w:sz w:val="15"/>
          <w:szCs w:val="15"/>
        </w:rPr>
      </w:pPr>
      <w:r>
        <w:rPr>
          <w:rFonts w:ascii="宋体" w:hAnsi="宋体" w:cs="宋体" w:eastAsia="宋体" w:hint="default"/>
          <w:spacing w:val="-2"/>
          <w:sz w:val="15"/>
          <w:szCs w:val="15"/>
        </w:rPr>
        <w:t>本案。黑龙江省农垦中级法院于</w:t>
      </w:r>
    </w:p>
    <w:p>
      <w:pPr>
        <w:spacing w:line="201" w:lineRule="exact" w:before="0"/>
        <w:ind w:left="0" w:right="21" w:firstLine="0"/>
        <w:jc w:val="right"/>
        <w:rPr>
          <w:rFonts w:ascii="宋体" w:hAnsi="宋体" w:cs="宋体" w:eastAsia="宋体" w:hint="default"/>
          <w:sz w:val="15"/>
          <w:szCs w:val="15"/>
        </w:rPr>
      </w:pPr>
      <w:r>
        <w:rPr>
          <w:rFonts w:ascii="Arial" w:hAnsi="Arial" w:cs="Arial" w:eastAsia="Arial" w:hint="default"/>
          <w:sz w:val="15"/>
          <w:szCs w:val="15"/>
        </w:rPr>
        <w:t>2017</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w:hAnsi="Arial" w:cs="Arial" w:eastAsia="Arial" w:hint="default"/>
          <w:sz w:val="15"/>
          <w:szCs w:val="15"/>
        </w:rPr>
        <w:t>12</w:t>
      </w:r>
      <w:r>
        <w:rPr>
          <w:rFonts w:ascii="Arial" w:hAnsi="Arial" w:cs="Arial" w:eastAsia="Arial"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11</w:t>
      </w:r>
      <w:r>
        <w:rPr>
          <w:rFonts w:ascii="Arial" w:hAnsi="Arial" w:cs="Arial" w:eastAsia="Arial" w:hint="default"/>
          <w:spacing w:val="-5"/>
          <w:sz w:val="15"/>
          <w:szCs w:val="15"/>
        </w:rPr>
        <w:t> </w:t>
      </w:r>
      <w:r>
        <w:rPr>
          <w:rFonts w:ascii="宋体" w:hAnsi="宋体" w:cs="宋体" w:eastAsia="宋体" w:hint="default"/>
          <w:sz w:val="15"/>
          <w:szCs w:val="15"/>
        </w:rPr>
        <w:t>日作出（</w:t>
      </w:r>
      <w:r>
        <w:rPr>
          <w:rFonts w:ascii="Arial" w:hAnsi="Arial" w:cs="Arial" w:eastAsia="Arial" w:hint="default"/>
          <w:sz w:val="15"/>
          <w:szCs w:val="15"/>
        </w:rPr>
        <w:t>2016)</w:t>
      </w:r>
      <w:r>
        <w:rPr>
          <w:rFonts w:ascii="宋体" w:hAnsi="宋体" w:cs="宋体" w:eastAsia="宋体" w:hint="default"/>
          <w:sz w:val="15"/>
          <w:szCs w:val="15"/>
        </w:rPr>
        <w:t>黑</w:t>
      </w:r>
    </w:p>
    <w:p>
      <w:pPr>
        <w:spacing w:line="202" w:lineRule="exact" w:before="0"/>
        <w:ind w:left="0" w:right="0" w:firstLine="0"/>
        <w:jc w:val="right"/>
        <w:rPr>
          <w:rFonts w:ascii="宋体" w:hAnsi="宋体" w:cs="宋体" w:eastAsia="宋体" w:hint="default"/>
          <w:sz w:val="15"/>
          <w:szCs w:val="15"/>
        </w:rPr>
      </w:pPr>
      <w:r>
        <w:rPr>
          <w:rFonts w:ascii="Arial" w:hAnsi="Arial" w:cs="Arial" w:eastAsia="Arial" w:hint="default"/>
          <w:sz w:val="15"/>
          <w:szCs w:val="15"/>
        </w:rPr>
        <w:t>81</w:t>
      </w:r>
      <w:r>
        <w:rPr>
          <w:rFonts w:ascii="Arial" w:hAnsi="Arial" w:cs="Arial" w:eastAsia="Arial" w:hint="default"/>
          <w:spacing w:val="-4"/>
          <w:sz w:val="15"/>
          <w:szCs w:val="15"/>
        </w:rPr>
        <w:t> </w:t>
      </w:r>
      <w:r>
        <w:rPr>
          <w:rFonts w:ascii="宋体" w:hAnsi="宋体" w:cs="宋体" w:eastAsia="宋体" w:hint="default"/>
          <w:sz w:val="15"/>
          <w:szCs w:val="15"/>
        </w:rPr>
        <w:t>民初</w:t>
      </w:r>
      <w:r>
        <w:rPr>
          <w:rFonts w:ascii="宋体" w:hAnsi="宋体" w:cs="宋体" w:eastAsia="宋体" w:hint="default"/>
          <w:spacing w:val="-40"/>
          <w:sz w:val="15"/>
          <w:szCs w:val="15"/>
        </w:rPr>
        <w:t> </w:t>
      </w:r>
      <w:r>
        <w:rPr>
          <w:rFonts w:ascii="Arial" w:hAnsi="Arial" w:cs="Arial" w:eastAsia="Arial" w:hint="default"/>
          <w:sz w:val="15"/>
          <w:szCs w:val="15"/>
        </w:rPr>
        <w:t>7</w:t>
      </w:r>
      <w:r>
        <w:rPr>
          <w:rFonts w:ascii="Arial" w:hAnsi="Arial" w:cs="Arial" w:eastAsia="Arial" w:hint="default"/>
          <w:spacing w:val="-5"/>
          <w:sz w:val="15"/>
          <w:szCs w:val="15"/>
        </w:rPr>
        <w:t> </w:t>
      </w:r>
      <w:r>
        <w:rPr>
          <w:rFonts w:ascii="宋体" w:hAnsi="宋体" w:cs="宋体" w:eastAsia="宋体" w:hint="default"/>
          <w:sz w:val="15"/>
          <w:szCs w:val="15"/>
        </w:rPr>
        <w:t>号判决书。鑫亚公司已向</w:t>
      </w:r>
    </w:p>
    <w:p>
      <w:pPr>
        <w:spacing w:line="155" w:lineRule="exact" w:before="0"/>
        <w:ind w:left="65" w:right="-10" w:firstLine="0"/>
        <w:jc w:val="left"/>
        <w:rPr>
          <w:rFonts w:ascii="宋体" w:hAnsi="宋体" w:cs="宋体" w:eastAsia="宋体" w:hint="default"/>
          <w:sz w:val="15"/>
          <w:szCs w:val="15"/>
        </w:rPr>
      </w:pPr>
      <w:r>
        <w:rPr/>
        <w:br w:type="column"/>
      </w:r>
      <w:r>
        <w:rPr>
          <w:rFonts w:ascii="宋体" w:hAnsi="宋体" w:cs="宋体" w:eastAsia="宋体" w:hint="default"/>
          <w:sz w:val="15"/>
          <w:szCs w:val="15"/>
        </w:rPr>
        <w:t>民初</w:t>
      </w:r>
      <w:r>
        <w:rPr>
          <w:rFonts w:ascii="宋体" w:hAnsi="宋体" w:cs="宋体" w:eastAsia="宋体" w:hint="default"/>
          <w:spacing w:val="-40"/>
          <w:sz w:val="15"/>
          <w:szCs w:val="15"/>
        </w:rPr>
        <w:t> </w:t>
      </w:r>
      <w:r>
        <w:rPr>
          <w:rFonts w:ascii="Arial" w:hAnsi="Arial" w:cs="Arial" w:eastAsia="Arial" w:hint="default"/>
          <w:sz w:val="15"/>
          <w:szCs w:val="15"/>
        </w:rPr>
        <w:t>7</w:t>
      </w:r>
      <w:r>
        <w:rPr>
          <w:rFonts w:ascii="Arial" w:hAnsi="Arial" w:cs="Arial" w:eastAsia="Arial" w:hint="default"/>
          <w:spacing w:val="-5"/>
          <w:sz w:val="15"/>
          <w:szCs w:val="15"/>
        </w:rPr>
        <w:t> </w:t>
      </w:r>
      <w:r>
        <w:rPr>
          <w:rFonts w:ascii="宋体" w:hAnsi="宋体" w:cs="宋体" w:eastAsia="宋体" w:hint="default"/>
          <w:sz w:val="15"/>
          <w:szCs w:val="15"/>
        </w:rPr>
        <w:t>号民事判决主文第一项为</w:t>
      </w:r>
      <w:r>
        <w:rPr>
          <w:rFonts w:ascii="Arial" w:hAnsi="Arial" w:cs="Arial" w:eastAsia="Arial" w:hint="default"/>
          <w:sz w:val="15"/>
          <w:szCs w:val="15"/>
        </w:rPr>
        <w:t>:</w:t>
      </w:r>
      <w:r>
        <w:rPr>
          <w:rFonts w:ascii="宋体" w:hAnsi="宋体" w:cs="宋体" w:eastAsia="宋体" w:hint="default"/>
          <w:sz w:val="15"/>
          <w:szCs w:val="15"/>
        </w:rPr>
        <w:t>北大荒青</w:t>
      </w:r>
    </w:p>
    <w:p>
      <w:pPr>
        <w:spacing w:line="194" w:lineRule="exact" w:before="13"/>
        <w:ind w:left="65" w:right="-10" w:firstLine="0"/>
        <w:jc w:val="left"/>
        <w:rPr>
          <w:rFonts w:ascii="宋体" w:hAnsi="宋体" w:cs="宋体" w:eastAsia="宋体" w:hint="default"/>
          <w:sz w:val="15"/>
          <w:szCs w:val="15"/>
        </w:rPr>
      </w:pPr>
      <w:r>
        <w:rPr>
          <w:rFonts w:ascii="宋体" w:hAnsi="宋体" w:cs="宋体" w:eastAsia="宋体" w:hint="default"/>
          <w:sz w:val="15"/>
          <w:szCs w:val="15"/>
        </w:rPr>
        <w:t>枫亚麻纺织有限公司于本判决送达之日起</w:t>
      </w:r>
      <w:r>
        <w:rPr>
          <w:rFonts w:ascii="宋体" w:hAnsi="宋体" w:cs="宋体" w:eastAsia="宋体" w:hint="default"/>
          <w:w w:val="100"/>
          <w:sz w:val="15"/>
          <w:szCs w:val="15"/>
        </w:rPr>
        <w:t> </w:t>
      </w:r>
      <w:r>
        <w:rPr>
          <w:rFonts w:ascii="宋体" w:hAnsi="宋体" w:cs="宋体" w:eastAsia="宋体" w:hint="default"/>
          <w:spacing w:val="-3"/>
          <w:sz w:val="15"/>
          <w:szCs w:val="15"/>
        </w:rPr>
        <w:t>六十日内按照《</w:t>
      </w:r>
      <w:r>
        <w:rPr>
          <w:rFonts w:ascii="Arial" w:hAnsi="Arial" w:cs="Arial" w:eastAsia="Arial" w:hint="default"/>
          <w:spacing w:val="-3"/>
          <w:sz w:val="15"/>
          <w:szCs w:val="15"/>
        </w:rPr>
        <w:t>112</w:t>
      </w:r>
      <w:r>
        <w:rPr>
          <w:rFonts w:ascii="Arial" w:hAnsi="Arial" w:cs="Arial" w:eastAsia="Arial" w:hint="default"/>
          <w:spacing w:val="14"/>
          <w:sz w:val="15"/>
          <w:szCs w:val="15"/>
        </w:rPr>
        <w:t> </w:t>
      </w:r>
      <w:r>
        <w:rPr>
          <w:rFonts w:ascii="宋体" w:hAnsi="宋体" w:cs="宋体" w:eastAsia="宋体" w:hint="default"/>
          <w:spacing w:val="-3"/>
          <w:sz w:val="15"/>
          <w:szCs w:val="15"/>
        </w:rPr>
        <w:t>号加工合同》的约定给</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付北大荒鑫亚经贸有限责任公司已加工完</w:t>
      </w:r>
    </w:p>
    <w:p>
      <w:pPr>
        <w:spacing w:line="240" w:lineRule="auto" w:before="4"/>
        <w:rPr>
          <w:rFonts w:ascii="宋体" w:hAnsi="宋体" w:cs="宋体" w:eastAsia="宋体" w:hint="default"/>
          <w:sz w:val="12"/>
          <w:szCs w:val="12"/>
        </w:rPr>
      </w:pPr>
      <w:r>
        <w:rPr/>
        <w:br w:type="column"/>
      </w:r>
      <w:r>
        <w:rPr>
          <w:rFonts w:ascii="宋体"/>
          <w:sz w:val="12"/>
        </w:rPr>
      </w:r>
    </w:p>
    <w:p>
      <w:pPr>
        <w:spacing w:before="0"/>
        <w:ind w:left="10" w:right="0" w:firstLine="0"/>
        <w:jc w:val="left"/>
        <w:rPr>
          <w:rFonts w:ascii="宋体" w:hAnsi="宋体" w:cs="宋体" w:eastAsia="宋体" w:hint="default"/>
          <w:sz w:val="15"/>
          <w:szCs w:val="15"/>
        </w:rPr>
      </w:pPr>
      <w:r>
        <w:rPr>
          <w:rFonts w:ascii="宋体" w:hAnsi="宋体" w:cs="宋体" w:eastAsia="宋体" w:hint="default"/>
          <w:sz w:val="15"/>
          <w:szCs w:val="15"/>
        </w:rPr>
        <w:t>案件正在执行中。</w:t>
      </w:r>
    </w:p>
    <w:p>
      <w:pPr>
        <w:spacing w:after="0"/>
        <w:jc w:val="left"/>
        <w:rPr>
          <w:rFonts w:ascii="宋体" w:hAnsi="宋体" w:cs="宋体" w:eastAsia="宋体" w:hint="default"/>
          <w:sz w:val="15"/>
          <w:szCs w:val="15"/>
        </w:rPr>
        <w:sectPr>
          <w:type w:val="continuous"/>
          <w:pgSz w:w="16840" w:h="11910" w:orient="landscape"/>
          <w:pgMar w:top="1360" w:bottom="1380" w:left="1300" w:right="1380"/>
          <w:cols w:num="3" w:equalWidth="0">
            <w:col w:w="9579" w:space="40"/>
            <w:col w:w="2872" w:space="40"/>
            <w:col w:w="1629"/>
          </w:cols>
        </w:sectPr>
      </w:pPr>
    </w:p>
    <w:p>
      <w:pPr>
        <w:spacing w:line="139" w:lineRule="exact" w:before="0"/>
        <w:ind w:left="7261" w:right="1620" w:firstLine="0"/>
        <w:jc w:val="left"/>
        <w:rPr>
          <w:rFonts w:ascii="宋体" w:hAnsi="宋体" w:cs="宋体" w:eastAsia="宋体" w:hint="default"/>
          <w:sz w:val="15"/>
          <w:szCs w:val="15"/>
        </w:rPr>
      </w:pPr>
      <w:r>
        <w:rPr>
          <w:rFonts w:ascii="宋体" w:hAnsi="宋体" w:cs="宋体" w:eastAsia="宋体" w:hint="default"/>
          <w:spacing w:val="-4"/>
          <w:position w:val="9"/>
          <w:sz w:val="15"/>
          <w:szCs w:val="15"/>
        </w:rPr>
        <w:t>黑龙江省高级人民法院提起上诉，并</w:t>
      </w:r>
      <w:r>
        <w:rPr>
          <w:rFonts w:ascii="宋体" w:hAnsi="宋体" w:cs="宋体" w:eastAsia="宋体" w:hint="default"/>
          <w:spacing w:val="-11"/>
          <w:position w:val="9"/>
          <w:sz w:val="15"/>
          <w:szCs w:val="15"/>
        </w:rPr>
        <w:t> </w:t>
      </w:r>
      <w:r>
        <w:rPr>
          <w:rFonts w:ascii="宋体" w:hAnsi="宋体" w:cs="宋体" w:eastAsia="宋体" w:hint="default"/>
          <w:sz w:val="15"/>
          <w:szCs w:val="15"/>
        </w:rPr>
        <w:t>成的亚麻布</w:t>
      </w:r>
      <w:r>
        <w:rPr>
          <w:rFonts w:ascii="宋体" w:hAnsi="宋体" w:cs="宋体" w:eastAsia="宋体" w:hint="default"/>
          <w:spacing w:val="-29"/>
          <w:sz w:val="15"/>
          <w:szCs w:val="15"/>
        </w:rPr>
        <w:t> </w:t>
      </w:r>
      <w:r>
        <w:rPr>
          <w:rFonts w:ascii="Arial" w:hAnsi="Arial" w:cs="Arial" w:eastAsia="Arial" w:hint="default"/>
          <w:sz w:val="15"/>
          <w:szCs w:val="15"/>
        </w:rPr>
        <w:t>260</w:t>
      </w:r>
      <w:r>
        <w:rPr>
          <w:rFonts w:ascii="宋体" w:hAnsi="宋体" w:cs="宋体" w:eastAsia="宋体" w:hint="default"/>
          <w:sz w:val="15"/>
          <w:szCs w:val="15"/>
        </w:rPr>
        <w:t>，</w:t>
      </w:r>
      <w:r>
        <w:rPr>
          <w:rFonts w:ascii="Arial" w:hAnsi="Arial" w:cs="Arial" w:eastAsia="Arial" w:hint="default"/>
          <w:sz w:val="15"/>
          <w:szCs w:val="15"/>
        </w:rPr>
        <w:t>486.22</w:t>
      </w:r>
      <w:r>
        <w:rPr>
          <w:rFonts w:ascii="Arial" w:hAnsi="Arial" w:cs="Arial" w:eastAsia="Arial" w:hint="default"/>
          <w:spacing w:val="1"/>
          <w:sz w:val="15"/>
          <w:szCs w:val="15"/>
        </w:rPr>
        <w:t> </w:t>
      </w:r>
      <w:r>
        <w:rPr>
          <w:rFonts w:ascii="宋体" w:hAnsi="宋体" w:cs="宋体" w:eastAsia="宋体" w:hint="default"/>
          <w:sz w:val="15"/>
          <w:szCs w:val="15"/>
        </w:rPr>
        <w:t>米，其中</w:t>
      </w:r>
    </w:p>
    <w:p>
      <w:pPr>
        <w:spacing w:line="192" w:lineRule="exact" w:before="0"/>
        <w:ind w:left="7261" w:right="0" w:firstLine="0"/>
        <w:jc w:val="left"/>
        <w:rPr>
          <w:rFonts w:ascii="宋体" w:hAnsi="宋体" w:cs="宋体" w:eastAsia="宋体" w:hint="default"/>
          <w:sz w:val="15"/>
          <w:szCs w:val="15"/>
        </w:rPr>
      </w:pPr>
      <w:r>
        <w:rPr>
          <w:rFonts w:ascii="宋体" w:hAnsi="宋体" w:cs="宋体" w:eastAsia="宋体" w:hint="default"/>
          <w:w w:val="100"/>
          <w:position w:val="9"/>
          <w:sz w:val="15"/>
          <w:szCs w:val="15"/>
        </w:rPr>
        <w:t>于</w:t>
      </w:r>
      <w:r>
        <w:rPr>
          <w:rFonts w:ascii="宋体" w:hAnsi="宋体" w:cs="宋体" w:eastAsia="宋体" w:hint="default"/>
          <w:spacing w:val="-39"/>
          <w:position w:val="9"/>
          <w:sz w:val="15"/>
          <w:szCs w:val="15"/>
        </w:rPr>
        <w:t> </w:t>
      </w:r>
      <w:r>
        <w:rPr>
          <w:rFonts w:ascii="Arial" w:hAnsi="Arial" w:cs="Arial" w:eastAsia="Arial" w:hint="default"/>
          <w:w w:val="100"/>
          <w:position w:val="9"/>
          <w:sz w:val="15"/>
          <w:szCs w:val="15"/>
        </w:rPr>
        <w:t>20</w:t>
      </w:r>
      <w:r>
        <w:rPr>
          <w:rFonts w:ascii="Arial" w:hAnsi="Arial" w:cs="Arial" w:eastAsia="Arial" w:hint="default"/>
          <w:spacing w:val="-3"/>
          <w:w w:val="100"/>
          <w:position w:val="9"/>
          <w:sz w:val="15"/>
          <w:szCs w:val="15"/>
        </w:rPr>
        <w:t>1</w:t>
      </w:r>
      <w:r>
        <w:rPr>
          <w:rFonts w:ascii="Arial" w:hAnsi="Arial" w:cs="Arial" w:eastAsia="Arial" w:hint="default"/>
          <w:w w:val="100"/>
          <w:position w:val="9"/>
          <w:sz w:val="15"/>
          <w:szCs w:val="15"/>
        </w:rPr>
        <w:t>8</w:t>
      </w:r>
      <w:r>
        <w:rPr>
          <w:rFonts w:ascii="Arial" w:hAnsi="Arial" w:cs="Arial" w:eastAsia="Arial" w:hint="default"/>
          <w:spacing w:val="-6"/>
          <w:position w:val="9"/>
          <w:sz w:val="15"/>
          <w:szCs w:val="15"/>
        </w:rPr>
        <w:t> </w:t>
      </w:r>
      <w:r>
        <w:rPr>
          <w:rFonts w:ascii="宋体" w:hAnsi="宋体" w:cs="宋体" w:eastAsia="宋体" w:hint="default"/>
          <w:w w:val="100"/>
          <w:position w:val="9"/>
          <w:sz w:val="15"/>
          <w:szCs w:val="15"/>
        </w:rPr>
        <w:t>年</w:t>
      </w:r>
      <w:r>
        <w:rPr>
          <w:rFonts w:ascii="宋体" w:hAnsi="宋体" w:cs="宋体" w:eastAsia="宋体" w:hint="default"/>
          <w:spacing w:val="-39"/>
          <w:position w:val="9"/>
          <w:sz w:val="15"/>
          <w:szCs w:val="15"/>
        </w:rPr>
        <w:t> </w:t>
      </w:r>
      <w:r>
        <w:rPr>
          <w:rFonts w:ascii="Arial" w:hAnsi="Arial" w:cs="Arial" w:eastAsia="Arial" w:hint="default"/>
          <w:w w:val="100"/>
          <w:position w:val="9"/>
          <w:sz w:val="15"/>
          <w:szCs w:val="15"/>
        </w:rPr>
        <w:t>5</w:t>
      </w:r>
      <w:r>
        <w:rPr>
          <w:rFonts w:ascii="Arial" w:hAnsi="Arial" w:cs="Arial" w:eastAsia="Arial" w:hint="default"/>
          <w:spacing w:val="-9"/>
          <w:position w:val="9"/>
          <w:sz w:val="15"/>
          <w:szCs w:val="15"/>
        </w:rPr>
        <w:t> </w:t>
      </w:r>
      <w:r>
        <w:rPr>
          <w:rFonts w:ascii="宋体" w:hAnsi="宋体" w:cs="宋体" w:eastAsia="宋体" w:hint="default"/>
          <w:w w:val="100"/>
          <w:position w:val="9"/>
          <w:sz w:val="15"/>
          <w:szCs w:val="15"/>
        </w:rPr>
        <w:t>月</w:t>
      </w:r>
      <w:r>
        <w:rPr>
          <w:rFonts w:ascii="宋体" w:hAnsi="宋体" w:cs="宋体" w:eastAsia="宋体" w:hint="default"/>
          <w:spacing w:val="-39"/>
          <w:position w:val="9"/>
          <w:sz w:val="15"/>
          <w:szCs w:val="15"/>
        </w:rPr>
        <w:t> </w:t>
      </w:r>
      <w:r>
        <w:rPr>
          <w:rFonts w:ascii="Arial" w:hAnsi="Arial" w:cs="Arial" w:eastAsia="Arial" w:hint="default"/>
          <w:w w:val="100"/>
          <w:position w:val="9"/>
          <w:sz w:val="15"/>
          <w:szCs w:val="15"/>
        </w:rPr>
        <w:t>2</w:t>
      </w:r>
      <w:r>
        <w:rPr>
          <w:rFonts w:ascii="Arial" w:hAnsi="Arial" w:cs="Arial" w:eastAsia="Arial" w:hint="default"/>
          <w:spacing w:val="-9"/>
          <w:position w:val="9"/>
          <w:sz w:val="15"/>
          <w:szCs w:val="15"/>
        </w:rPr>
        <w:t> </w:t>
      </w:r>
      <w:r>
        <w:rPr>
          <w:rFonts w:ascii="宋体" w:hAnsi="宋体" w:cs="宋体" w:eastAsia="宋体" w:hint="default"/>
          <w:w w:val="100"/>
          <w:position w:val="9"/>
          <w:sz w:val="15"/>
          <w:szCs w:val="15"/>
        </w:rPr>
        <w:t>日</w:t>
      </w:r>
      <w:r>
        <w:rPr>
          <w:rFonts w:ascii="宋体" w:hAnsi="宋体" w:cs="宋体" w:eastAsia="宋体" w:hint="default"/>
          <w:spacing w:val="-3"/>
          <w:w w:val="100"/>
          <w:position w:val="9"/>
          <w:sz w:val="15"/>
          <w:szCs w:val="15"/>
        </w:rPr>
        <w:t>收</w:t>
      </w:r>
      <w:r>
        <w:rPr>
          <w:rFonts w:ascii="宋体" w:hAnsi="宋体" w:cs="宋体" w:eastAsia="宋体" w:hint="default"/>
          <w:w w:val="100"/>
          <w:position w:val="9"/>
          <w:sz w:val="15"/>
          <w:szCs w:val="15"/>
        </w:rPr>
        <w:t>到</w:t>
      </w:r>
      <w:r>
        <w:rPr>
          <w:rFonts w:ascii="宋体" w:hAnsi="宋体" w:cs="宋体" w:eastAsia="宋体" w:hint="default"/>
          <w:spacing w:val="-3"/>
          <w:w w:val="100"/>
          <w:position w:val="9"/>
          <w:sz w:val="15"/>
          <w:szCs w:val="15"/>
        </w:rPr>
        <w:t>黑</w:t>
      </w:r>
      <w:r>
        <w:rPr>
          <w:rFonts w:ascii="宋体" w:hAnsi="宋体" w:cs="宋体" w:eastAsia="宋体" w:hint="default"/>
          <w:w w:val="100"/>
          <w:position w:val="9"/>
          <w:sz w:val="15"/>
          <w:szCs w:val="15"/>
        </w:rPr>
        <w:t>龙</w:t>
      </w:r>
      <w:r>
        <w:rPr>
          <w:rFonts w:ascii="宋体" w:hAnsi="宋体" w:cs="宋体" w:eastAsia="宋体" w:hint="default"/>
          <w:spacing w:val="-3"/>
          <w:w w:val="100"/>
          <w:position w:val="9"/>
          <w:sz w:val="15"/>
          <w:szCs w:val="15"/>
        </w:rPr>
        <w:t>江</w:t>
      </w:r>
      <w:r>
        <w:rPr>
          <w:rFonts w:ascii="宋体" w:hAnsi="宋体" w:cs="宋体" w:eastAsia="宋体" w:hint="default"/>
          <w:w w:val="100"/>
          <w:position w:val="9"/>
          <w:sz w:val="15"/>
          <w:szCs w:val="15"/>
        </w:rPr>
        <w:t>省高</w:t>
      </w:r>
      <w:r>
        <w:rPr>
          <w:rFonts w:ascii="宋体" w:hAnsi="宋体" w:cs="宋体" w:eastAsia="宋体" w:hint="default"/>
          <w:spacing w:val="-23"/>
          <w:position w:val="9"/>
          <w:sz w:val="15"/>
          <w:szCs w:val="15"/>
        </w:rPr>
        <w:t> </w:t>
      </w:r>
      <w:r>
        <w:rPr>
          <w:rFonts w:ascii="Arial" w:hAnsi="Arial" w:cs="Arial" w:eastAsia="Arial" w:hint="default"/>
          <w:spacing w:val="-1"/>
          <w:w w:val="100"/>
          <w:sz w:val="15"/>
          <w:szCs w:val="15"/>
        </w:rPr>
        <w:t>101</w:t>
      </w:r>
      <w:r>
        <w:rPr>
          <w:rFonts w:ascii="Arial" w:hAnsi="Arial" w:cs="Arial" w:eastAsia="Arial" w:hint="default"/>
          <w:w w:val="100"/>
          <w:sz w:val="15"/>
          <w:szCs w:val="15"/>
        </w:rPr>
        <w:t>-</w:t>
      </w:r>
      <w:r>
        <w:rPr>
          <w:rFonts w:ascii="Arial" w:hAnsi="Arial" w:cs="Arial" w:eastAsia="Arial" w:hint="default"/>
          <w:w w:val="100"/>
          <w:sz w:val="15"/>
          <w:szCs w:val="15"/>
        </w:rPr>
        <w:t>5</w:t>
      </w:r>
      <w:r>
        <w:rPr>
          <w:rFonts w:ascii="Arial" w:hAnsi="Arial" w:cs="Arial" w:eastAsia="Arial" w:hint="default"/>
          <w:spacing w:val="-3"/>
          <w:w w:val="100"/>
          <w:sz w:val="15"/>
          <w:szCs w:val="15"/>
        </w:rPr>
        <w:t>0</w:t>
      </w:r>
      <w:r>
        <w:rPr>
          <w:rFonts w:ascii="Arial" w:hAnsi="Arial" w:cs="Arial" w:eastAsia="Arial" w:hint="default"/>
          <w:w w:val="100"/>
          <w:sz w:val="15"/>
          <w:szCs w:val="15"/>
        </w:rPr>
        <w:t>×</w:t>
      </w:r>
      <w:r>
        <w:rPr>
          <w:rFonts w:ascii="Arial" w:hAnsi="Arial" w:cs="Arial" w:eastAsia="Arial" w:hint="default"/>
          <w:w w:val="100"/>
          <w:sz w:val="15"/>
          <w:szCs w:val="15"/>
        </w:rPr>
        <w:t>5</w:t>
      </w:r>
      <w:r>
        <w:rPr>
          <w:rFonts w:ascii="Arial" w:hAnsi="Arial" w:cs="Arial" w:eastAsia="Arial" w:hint="default"/>
          <w:spacing w:val="-3"/>
          <w:w w:val="100"/>
          <w:sz w:val="15"/>
          <w:szCs w:val="15"/>
        </w:rPr>
        <w:t>4</w:t>
      </w:r>
      <w:r>
        <w:rPr>
          <w:rFonts w:ascii="Arial" w:hAnsi="Arial" w:cs="Arial" w:eastAsia="Arial" w:hint="default"/>
          <w:w w:val="100"/>
          <w:sz w:val="15"/>
          <w:szCs w:val="15"/>
        </w:rPr>
        <w:t>-</w:t>
      </w:r>
      <w:r>
        <w:rPr>
          <w:rFonts w:ascii="Arial" w:hAnsi="Arial" w:cs="Arial" w:eastAsia="Arial" w:hint="default"/>
          <w:spacing w:val="-1"/>
          <w:w w:val="100"/>
          <w:sz w:val="15"/>
          <w:szCs w:val="15"/>
        </w:rPr>
        <w:t>6</w:t>
      </w:r>
      <w:r>
        <w:rPr>
          <w:rFonts w:ascii="Arial" w:hAnsi="Arial" w:cs="Arial" w:eastAsia="Arial" w:hint="default"/>
          <w:w w:val="100"/>
          <w:sz w:val="15"/>
          <w:szCs w:val="15"/>
        </w:rPr>
        <w:t>3</w:t>
      </w:r>
      <w:r>
        <w:rPr>
          <w:rFonts w:ascii="Arial" w:hAnsi="Arial" w:cs="Arial" w:eastAsia="Arial" w:hint="default"/>
          <w:spacing w:val="-9"/>
          <w:sz w:val="15"/>
          <w:szCs w:val="15"/>
        </w:rPr>
        <w:t> </w:t>
      </w:r>
      <w:r>
        <w:rPr>
          <w:rFonts w:ascii="宋体" w:hAnsi="宋体" w:cs="宋体" w:eastAsia="宋体" w:hint="default"/>
          <w:spacing w:val="-3"/>
          <w:w w:val="100"/>
          <w:sz w:val="15"/>
          <w:szCs w:val="15"/>
        </w:rPr>
        <w:t>规</w:t>
      </w:r>
      <w:r>
        <w:rPr>
          <w:rFonts w:ascii="宋体" w:hAnsi="宋体" w:cs="宋体" w:eastAsia="宋体" w:hint="default"/>
          <w:w w:val="100"/>
          <w:sz w:val="15"/>
          <w:szCs w:val="15"/>
        </w:rPr>
        <w:t>格</w:t>
      </w:r>
      <w:r>
        <w:rPr>
          <w:rFonts w:ascii="宋体" w:hAnsi="宋体" w:cs="宋体" w:eastAsia="宋体" w:hint="default"/>
          <w:spacing w:val="-3"/>
          <w:w w:val="100"/>
          <w:sz w:val="15"/>
          <w:szCs w:val="15"/>
        </w:rPr>
        <w:t>亚</w:t>
      </w:r>
      <w:r>
        <w:rPr>
          <w:rFonts w:ascii="宋体" w:hAnsi="宋体" w:cs="宋体" w:eastAsia="宋体" w:hint="default"/>
          <w:w w:val="100"/>
          <w:sz w:val="15"/>
          <w:szCs w:val="15"/>
        </w:rPr>
        <w:t>麻布</w:t>
      </w:r>
      <w:r>
        <w:rPr>
          <w:rFonts w:ascii="宋体" w:hAnsi="宋体" w:cs="宋体" w:eastAsia="宋体" w:hint="default"/>
          <w:spacing w:val="-41"/>
          <w:sz w:val="15"/>
          <w:szCs w:val="15"/>
        </w:rPr>
        <w:t> </w:t>
      </w:r>
      <w:r>
        <w:rPr>
          <w:rFonts w:ascii="Arial" w:hAnsi="Arial" w:cs="Arial" w:eastAsia="Arial" w:hint="default"/>
          <w:spacing w:val="-1"/>
          <w:w w:val="100"/>
          <w:sz w:val="15"/>
          <w:szCs w:val="15"/>
        </w:rPr>
        <w:t>10</w:t>
      </w:r>
      <w:r>
        <w:rPr>
          <w:rFonts w:ascii="Arial" w:hAnsi="Arial" w:cs="Arial" w:eastAsia="Arial" w:hint="default"/>
          <w:spacing w:val="-3"/>
          <w:w w:val="100"/>
          <w:sz w:val="15"/>
          <w:szCs w:val="15"/>
        </w:rPr>
        <w:t>2</w:t>
      </w:r>
      <w:r>
        <w:rPr>
          <w:rFonts w:ascii="宋体" w:hAnsi="宋体" w:cs="宋体" w:eastAsia="宋体" w:hint="default"/>
          <w:spacing w:val="-75"/>
          <w:w w:val="100"/>
          <w:sz w:val="15"/>
          <w:szCs w:val="15"/>
        </w:rPr>
        <w:t>，</w:t>
      </w:r>
      <w:r>
        <w:rPr>
          <w:rFonts w:ascii="Arial" w:hAnsi="Arial" w:cs="Arial" w:eastAsia="Arial" w:hint="default"/>
          <w:spacing w:val="-3"/>
          <w:w w:val="100"/>
          <w:sz w:val="15"/>
          <w:szCs w:val="15"/>
        </w:rPr>
        <w:t>7</w:t>
      </w:r>
      <w:r>
        <w:rPr>
          <w:rFonts w:ascii="Arial" w:hAnsi="Arial" w:cs="Arial" w:eastAsia="Arial" w:hint="default"/>
          <w:w w:val="100"/>
          <w:sz w:val="15"/>
          <w:szCs w:val="15"/>
        </w:rPr>
        <w:t>3</w:t>
      </w:r>
      <w:r>
        <w:rPr>
          <w:rFonts w:ascii="Arial" w:hAnsi="Arial" w:cs="Arial" w:eastAsia="Arial" w:hint="default"/>
          <w:spacing w:val="-3"/>
          <w:w w:val="100"/>
          <w:sz w:val="15"/>
          <w:szCs w:val="15"/>
        </w:rPr>
        <w:t>1</w:t>
      </w:r>
      <w:r>
        <w:rPr>
          <w:rFonts w:ascii="Arial" w:hAnsi="Arial" w:cs="Arial" w:eastAsia="Arial" w:hint="default"/>
          <w:spacing w:val="-2"/>
          <w:w w:val="100"/>
          <w:sz w:val="15"/>
          <w:szCs w:val="15"/>
        </w:rPr>
        <w:t>.</w:t>
      </w:r>
      <w:r>
        <w:rPr>
          <w:rFonts w:ascii="Arial" w:hAnsi="Arial" w:cs="Arial" w:eastAsia="Arial" w:hint="default"/>
          <w:w w:val="100"/>
          <w:sz w:val="15"/>
          <w:szCs w:val="15"/>
        </w:rPr>
        <w:t>23</w:t>
      </w:r>
      <w:r>
        <w:rPr>
          <w:rFonts w:ascii="Arial" w:hAnsi="Arial" w:cs="Arial" w:eastAsia="Arial" w:hint="default"/>
          <w:spacing w:val="-9"/>
          <w:sz w:val="15"/>
          <w:szCs w:val="15"/>
        </w:rPr>
        <w:t> </w:t>
      </w:r>
      <w:r>
        <w:rPr>
          <w:rFonts w:ascii="宋体" w:hAnsi="宋体" w:cs="宋体" w:eastAsia="宋体" w:hint="default"/>
          <w:w w:val="100"/>
          <w:sz w:val="15"/>
          <w:szCs w:val="15"/>
        </w:rPr>
        <w:t>米、</w:t>
      </w:r>
    </w:p>
    <w:p>
      <w:pPr>
        <w:spacing w:after="0" w:line="192" w:lineRule="exact"/>
        <w:jc w:val="left"/>
        <w:rPr>
          <w:rFonts w:ascii="宋体" w:hAnsi="宋体" w:cs="宋体" w:eastAsia="宋体" w:hint="default"/>
          <w:sz w:val="15"/>
          <w:szCs w:val="15"/>
        </w:rPr>
        <w:sectPr>
          <w:type w:val="continuous"/>
          <w:pgSz w:w="16840" w:h="11910" w:orient="landscape"/>
          <w:pgMar w:top="1360" w:bottom="1380" w:left="1300" w:right="1380"/>
        </w:sectPr>
      </w:pPr>
    </w:p>
    <w:p>
      <w:pPr>
        <w:spacing w:line="151" w:lineRule="exact" w:before="0"/>
        <w:ind w:left="0" w:right="0" w:firstLine="0"/>
        <w:jc w:val="right"/>
        <w:rPr>
          <w:rFonts w:ascii="宋体" w:hAnsi="宋体" w:cs="宋体" w:eastAsia="宋体" w:hint="default"/>
          <w:sz w:val="15"/>
          <w:szCs w:val="15"/>
        </w:rPr>
      </w:pPr>
      <w:r>
        <w:rPr>
          <w:rFonts w:ascii="宋体" w:hAnsi="宋体" w:cs="宋体" w:eastAsia="宋体" w:hint="default"/>
          <w:spacing w:val="-2"/>
          <w:sz w:val="15"/>
          <w:szCs w:val="15"/>
        </w:rPr>
        <w:t>级人民法院二审传票，此案案号为</w:t>
      </w:r>
    </w:p>
    <w:p>
      <w:pPr>
        <w:spacing w:line="153" w:lineRule="exact" w:before="41"/>
        <w:ind w:left="128" w:right="0" w:firstLine="0"/>
        <w:jc w:val="left"/>
        <w:rPr>
          <w:rFonts w:ascii="宋体" w:hAnsi="宋体" w:cs="宋体" w:eastAsia="宋体" w:hint="default"/>
          <w:sz w:val="15"/>
          <w:szCs w:val="15"/>
        </w:rPr>
      </w:pPr>
      <w:r>
        <w:rPr/>
        <w:br w:type="column"/>
      </w:r>
      <w:r>
        <w:rPr>
          <w:rFonts w:ascii="Arial" w:hAnsi="Arial" w:cs="Arial" w:eastAsia="Arial" w:hint="default"/>
          <w:spacing w:val="-1"/>
          <w:w w:val="100"/>
          <w:sz w:val="15"/>
          <w:szCs w:val="15"/>
        </w:rPr>
        <w:t>2008</w:t>
      </w:r>
      <w:r>
        <w:rPr>
          <w:rFonts w:ascii="Arial" w:hAnsi="Arial" w:cs="Arial" w:eastAsia="Arial" w:hint="default"/>
          <w:w w:val="100"/>
          <w:sz w:val="15"/>
          <w:szCs w:val="15"/>
        </w:rPr>
        <w:t>-</w:t>
      </w:r>
      <w:r>
        <w:rPr>
          <w:rFonts w:ascii="Arial" w:hAnsi="Arial" w:cs="Arial" w:eastAsia="Arial" w:hint="default"/>
          <w:spacing w:val="-3"/>
          <w:w w:val="100"/>
          <w:sz w:val="15"/>
          <w:szCs w:val="15"/>
        </w:rPr>
        <w:t>4</w:t>
      </w:r>
      <w:r>
        <w:rPr>
          <w:rFonts w:ascii="Arial" w:hAnsi="Arial" w:cs="Arial" w:eastAsia="Arial" w:hint="default"/>
          <w:w w:val="100"/>
          <w:sz w:val="15"/>
          <w:szCs w:val="15"/>
        </w:rPr>
        <w:t>2</w:t>
      </w:r>
      <w:r>
        <w:rPr>
          <w:rFonts w:ascii="Arial" w:hAnsi="Arial" w:cs="Arial" w:eastAsia="Arial" w:hint="default"/>
          <w:w w:val="100"/>
          <w:sz w:val="15"/>
          <w:szCs w:val="15"/>
        </w:rPr>
        <w:t>×</w:t>
      </w:r>
      <w:r>
        <w:rPr>
          <w:rFonts w:ascii="Arial" w:hAnsi="Arial" w:cs="Arial" w:eastAsia="Arial" w:hint="default"/>
          <w:spacing w:val="-3"/>
          <w:w w:val="100"/>
          <w:sz w:val="15"/>
          <w:szCs w:val="15"/>
        </w:rPr>
        <w:t>4</w:t>
      </w:r>
      <w:r>
        <w:rPr>
          <w:rFonts w:ascii="Arial" w:hAnsi="Arial" w:cs="Arial" w:eastAsia="Arial" w:hint="default"/>
          <w:spacing w:val="-1"/>
          <w:w w:val="100"/>
          <w:sz w:val="15"/>
          <w:szCs w:val="15"/>
        </w:rPr>
        <w:t>3</w:t>
      </w:r>
      <w:r>
        <w:rPr>
          <w:rFonts w:ascii="Arial" w:hAnsi="Arial" w:cs="Arial" w:eastAsia="Arial" w:hint="default"/>
          <w:w w:val="100"/>
          <w:sz w:val="15"/>
          <w:szCs w:val="15"/>
        </w:rPr>
        <w:t>-</w:t>
      </w:r>
      <w:r>
        <w:rPr>
          <w:rFonts w:ascii="Arial" w:hAnsi="Arial" w:cs="Arial" w:eastAsia="Arial" w:hint="default"/>
          <w:spacing w:val="-1"/>
          <w:w w:val="100"/>
          <w:sz w:val="15"/>
          <w:szCs w:val="15"/>
        </w:rPr>
        <w:t>6</w:t>
      </w:r>
      <w:r>
        <w:rPr>
          <w:rFonts w:ascii="Arial" w:hAnsi="Arial" w:cs="Arial" w:eastAsia="Arial" w:hint="default"/>
          <w:w w:val="100"/>
          <w:sz w:val="15"/>
          <w:szCs w:val="15"/>
        </w:rPr>
        <w:t>3</w:t>
      </w:r>
      <w:r>
        <w:rPr>
          <w:rFonts w:ascii="Arial" w:hAnsi="Arial" w:cs="Arial" w:eastAsia="Arial" w:hint="default"/>
          <w:spacing w:val="-9"/>
          <w:sz w:val="15"/>
          <w:szCs w:val="15"/>
        </w:rPr>
        <w:t> </w:t>
      </w:r>
      <w:r>
        <w:rPr>
          <w:rFonts w:ascii="宋体" w:hAnsi="宋体" w:cs="宋体" w:eastAsia="宋体" w:hint="default"/>
          <w:spacing w:val="-3"/>
          <w:w w:val="100"/>
          <w:sz w:val="15"/>
          <w:szCs w:val="15"/>
        </w:rPr>
        <w:t>规</w:t>
      </w:r>
      <w:r>
        <w:rPr>
          <w:rFonts w:ascii="宋体" w:hAnsi="宋体" w:cs="宋体" w:eastAsia="宋体" w:hint="default"/>
          <w:w w:val="100"/>
          <w:sz w:val="15"/>
          <w:szCs w:val="15"/>
        </w:rPr>
        <w:t>格</w:t>
      </w:r>
      <w:r>
        <w:rPr>
          <w:rFonts w:ascii="宋体" w:hAnsi="宋体" w:cs="宋体" w:eastAsia="宋体" w:hint="default"/>
          <w:spacing w:val="-3"/>
          <w:w w:val="100"/>
          <w:sz w:val="15"/>
          <w:szCs w:val="15"/>
        </w:rPr>
        <w:t>亚</w:t>
      </w:r>
      <w:r>
        <w:rPr>
          <w:rFonts w:ascii="宋体" w:hAnsi="宋体" w:cs="宋体" w:eastAsia="宋体" w:hint="default"/>
          <w:w w:val="100"/>
          <w:sz w:val="15"/>
          <w:szCs w:val="15"/>
        </w:rPr>
        <w:t>麻布</w:t>
      </w:r>
      <w:r>
        <w:rPr>
          <w:rFonts w:ascii="宋体" w:hAnsi="宋体" w:cs="宋体" w:eastAsia="宋体" w:hint="default"/>
          <w:spacing w:val="-41"/>
          <w:sz w:val="15"/>
          <w:szCs w:val="15"/>
        </w:rPr>
        <w:t> </w:t>
      </w:r>
      <w:r>
        <w:rPr>
          <w:rFonts w:ascii="Arial" w:hAnsi="Arial" w:cs="Arial" w:eastAsia="Arial" w:hint="default"/>
          <w:spacing w:val="-1"/>
          <w:w w:val="100"/>
          <w:sz w:val="15"/>
          <w:szCs w:val="15"/>
        </w:rPr>
        <w:t>8</w:t>
      </w:r>
      <w:r>
        <w:rPr>
          <w:rFonts w:ascii="Arial" w:hAnsi="Arial" w:cs="Arial" w:eastAsia="Arial" w:hint="default"/>
          <w:spacing w:val="-3"/>
          <w:w w:val="100"/>
          <w:sz w:val="15"/>
          <w:szCs w:val="15"/>
        </w:rPr>
        <w:t>1</w:t>
      </w:r>
      <w:r>
        <w:rPr>
          <w:rFonts w:ascii="宋体" w:hAnsi="宋体" w:cs="宋体" w:eastAsia="宋体" w:hint="default"/>
          <w:spacing w:val="-75"/>
          <w:w w:val="100"/>
          <w:sz w:val="15"/>
          <w:szCs w:val="15"/>
        </w:rPr>
        <w:t>，</w:t>
      </w:r>
      <w:r>
        <w:rPr>
          <w:rFonts w:ascii="Arial" w:hAnsi="Arial" w:cs="Arial" w:eastAsia="Arial" w:hint="default"/>
          <w:spacing w:val="-3"/>
          <w:w w:val="100"/>
          <w:sz w:val="15"/>
          <w:szCs w:val="15"/>
        </w:rPr>
        <w:t>0</w:t>
      </w:r>
      <w:r>
        <w:rPr>
          <w:rFonts w:ascii="Arial" w:hAnsi="Arial" w:cs="Arial" w:eastAsia="Arial" w:hint="default"/>
          <w:w w:val="100"/>
          <w:sz w:val="15"/>
          <w:szCs w:val="15"/>
        </w:rPr>
        <w:t>8</w:t>
      </w:r>
      <w:r>
        <w:rPr>
          <w:rFonts w:ascii="Arial" w:hAnsi="Arial" w:cs="Arial" w:eastAsia="Arial" w:hint="default"/>
          <w:spacing w:val="-3"/>
          <w:w w:val="100"/>
          <w:sz w:val="15"/>
          <w:szCs w:val="15"/>
        </w:rPr>
        <w:t>1</w:t>
      </w:r>
      <w:r>
        <w:rPr>
          <w:rFonts w:ascii="Arial" w:hAnsi="Arial" w:cs="Arial" w:eastAsia="Arial" w:hint="default"/>
          <w:spacing w:val="-2"/>
          <w:w w:val="100"/>
          <w:sz w:val="15"/>
          <w:szCs w:val="15"/>
        </w:rPr>
        <w:t>.</w:t>
      </w:r>
      <w:r>
        <w:rPr>
          <w:rFonts w:ascii="Arial" w:hAnsi="Arial" w:cs="Arial" w:eastAsia="Arial" w:hint="default"/>
          <w:w w:val="100"/>
          <w:sz w:val="15"/>
          <w:szCs w:val="15"/>
        </w:rPr>
        <w:t>08</w:t>
      </w:r>
      <w:r>
        <w:rPr>
          <w:rFonts w:ascii="Arial" w:hAnsi="Arial" w:cs="Arial" w:eastAsia="Arial" w:hint="default"/>
          <w:spacing w:val="-9"/>
          <w:sz w:val="15"/>
          <w:szCs w:val="15"/>
        </w:rPr>
        <w:t> </w:t>
      </w:r>
      <w:r>
        <w:rPr>
          <w:rFonts w:ascii="宋体" w:hAnsi="宋体" w:cs="宋体" w:eastAsia="宋体" w:hint="default"/>
          <w:w w:val="100"/>
          <w:sz w:val="15"/>
          <w:szCs w:val="15"/>
        </w:rPr>
        <w:t>米、</w:t>
      </w:r>
    </w:p>
    <w:p>
      <w:pPr>
        <w:spacing w:after="0" w:line="153" w:lineRule="exact"/>
        <w:jc w:val="left"/>
        <w:rPr>
          <w:rFonts w:ascii="宋体" w:hAnsi="宋体" w:cs="宋体" w:eastAsia="宋体" w:hint="default"/>
          <w:sz w:val="15"/>
          <w:szCs w:val="15"/>
        </w:rPr>
        <w:sectPr>
          <w:type w:val="continuous"/>
          <w:pgSz w:w="16840" w:h="11910" w:orient="landscape"/>
          <w:pgMar w:top="1360" w:bottom="1380" w:left="1300" w:right="1380"/>
          <w:cols w:num="2" w:equalWidth="0">
            <w:col w:w="9516" w:space="40"/>
            <w:col w:w="4604"/>
          </w:cols>
        </w:sectPr>
      </w:pPr>
    </w:p>
    <w:p>
      <w:pPr>
        <w:spacing w:line="197" w:lineRule="exact" w:before="0"/>
        <w:ind w:left="7261" w:right="0" w:firstLine="0"/>
        <w:jc w:val="left"/>
        <w:rPr>
          <w:rFonts w:ascii="宋体" w:hAnsi="宋体" w:cs="宋体" w:eastAsia="宋体" w:hint="default"/>
          <w:sz w:val="15"/>
          <w:szCs w:val="15"/>
        </w:rPr>
      </w:pPr>
      <w:r>
        <w:rPr>
          <w:rFonts w:ascii="宋体" w:hAnsi="宋体" w:cs="宋体" w:eastAsia="宋体" w:hint="default"/>
          <w:w w:val="100"/>
          <w:position w:val="9"/>
          <w:sz w:val="15"/>
          <w:szCs w:val="15"/>
        </w:rPr>
        <w:t>（</w:t>
      </w:r>
      <w:r>
        <w:rPr>
          <w:rFonts w:ascii="Arial" w:hAnsi="Arial" w:cs="Arial" w:eastAsia="Arial" w:hint="default"/>
          <w:spacing w:val="-1"/>
          <w:w w:val="100"/>
          <w:position w:val="9"/>
          <w:sz w:val="15"/>
          <w:szCs w:val="15"/>
        </w:rPr>
        <w:t>201</w:t>
      </w:r>
      <w:r>
        <w:rPr>
          <w:rFonts w:ascii="Arial" w:hAnsi="Arial" w:cs="Arial" w:eastAsia="Arial" w:hint="default"/>
          <w:spacing w:val="-3"/>
          <w:w w:val="100"/>
          <w:position w:val="9"/>
          <w:sz w:val="15"/>
          <w:szCs w:val="15"/>
        </w:rPr>
        <w:t>8</w:t>
      </w:r>
      <w:r>
        <w:rPr>
          <w:rFonts w:ascii="宋体" w:hAnsi="宋体" w:cs="宋体" w:eastAsia="宋体" w:hint="default"/>
          <w:spacing w:val="-8"/>
          <w:w w:val="100"/>
          <w:position w:val="9"/>
          <w:sz w:val="15"/>
          <w:szCs w:val="15"/>
        </w:rPr>
        <w:t>）</w:t>
      </w:r>
      <w:r>
        <w:rPr>
          <w:rFonts w:ascii="宋体" w:hAnsi="宋体" w:cs="宋体" w:eastAsia="宋体" w:hint="default"/>
          <w:spacing w:val="-3"/>
          <w:w w:val="100"/>
          <w:position w:val="9"/>
          <w:sz w:val="15"/>
          <w:szCs w:val="15"/>
        </w:rPr>
        <w:t>黑民</w:t>
      </w:r>
      <w:r>
        <w:rPr>
          <w:rFonts w:ascii="宋体" w:hAnsi="宋体" w:cs="宋体" w:eastAsia="宋体" w:hint="default"/>
          <w:w w:val="100"/>
          <w:position w:val="9"/>
          <w:sz w:val="15"/>
          <w:szCs w:val="15"/>
        </w:rPr>
        <w:t>终</w:t>
      </w:r>
      <w:r>
        <w:rPr>
          <w:rFonts w:ascii="宋体" w:hAnsi="宋体" w:cs="宋体" w:eastAsia="宋体" w:hint="default"/>
          <w:spacing w:val="-37"/>
          <w:position w:val="9"/>
          <w:sz w:val="15"/>
          <w:szCs w:val="15"/>
        </w:rPr>
        <w:t> </w:t>
      </w:r>
      <w:r>
        <w:rPr>
          <w:rFonts w:ascii="Arial" w:hAnsi="Arial" w:cs="Arial" w:eastAsia="Arial" w:hint="default"/>
          <w:w w:val="100"/>
          <w:position w:val="9"/>
          <w:sz w:val="15"/>
          <w:szCs w:val="15"/>
        </w:rPr>
        <w:t>3</w:t>
      </w:r>
      <w:r>
        <w:rPr>
          <w:rFonts w:ascii="Arial" w:hAnsi="Arial" w:cs="Arial" w:eastAsia="Arial" w:hint="default"/>
          <w:spacing w:val="-3"/>
          <w:w w:val="100"/>
          <w:position w:val="9"/>
          <w:sz w:val="15"/>
          <w:szCs w:val="15"/>
        </w:rPr>
        <w:t>6</w:t>
      </w:r>
      <w:r>
        <w:rPr>
          <w:rFonts w:ascii="Arial" w:hAnsi="Arial" w:cs="Arial" w:eastAsia="Arial" w:hint="default"/>
          <w:w w:val="100"/>
          <w:position w:val="9"/>
          <w:sz w:val="15"/>
          <w:szCs w:val="15"/>
        </w:rPr>
        <w:t>3</w:t>
      </w:r>
      <w:r>
        <w:rPr>
          <w:rFonts w:ascii="Arial" w:hAnsi="Arial" w:cs="Arial" w:eastAsia="Arial" w:hint="default"/>
          <w:spacing w:val="-4"/>
          <w:position w:val="9"/>
          <w:sz w:val="15"/>
          <w:szCs w:val="15"/>
        </w:rPr>
        <w:t> </w:t>
      </w:r>
      <w:r>
        <w:rPr>
          <w:rFonts w:ascii="宋体" w:hAnsi="宋体" w:cs="宋体" w:eastAsia="宋体" w:hint="default"/>
          <w:spacing w:val="-3"/>
          <w:w w:val="100"/>
          <w:position w:val="9"/>
          <w:sz w:val="15"/>
          <w:szCs w:val="15"/>
        </w:rPr>
        <w:t>号</w:t>
      </w:r>
      <w:r>
        <w:rPr>
          <w:rFonts w:ascii="宋体" w:hAnsi="宋体" w:cs="宋体" w:eastAsia="宋体" w:hint="default"/>
          <w:spacing w:val="-8"/>
          <w:w w:val="100"/>
          <w:position w:val="9"/>
          <w:sz w:val="15"/>
          <w:szCs w:val="15"/>
        </w:rPr>
        <w:t>，</w:t>
      </w:r>
      <w:r>
        <w:rPr>
          <w:rFonts w:ascii="宋体" w:hAnsi="宋体" w:cs="宋体" w:eastAsia="宋体" w:hint="default"/>
          <w:spacing w:val="-3"/>
          <w:w w:val="100"/>
          <w:position w:val="9"/>
          <w:sz w:val="15"/>
          <w:szCs w:val="15"/>
        </w:rPr>
        <w:t>并</w:t>
      </w:r>
      <w:r>
        <w:rPr>
          <w:rFonts w:ascii="宋体" w:hAnsi="宋体" w:cs="宋体" w:eastAsia="宋体" w:hint="default"/>
          <w:w w:val="100"/>
          <w:position w:val="9"/>
          <w:sz w:val="15"/>
          <w:szCs w:val="15"/>
        </w:rPr>
        <w:t>于</w:t>
      </w:r>
      <w:r>
        <w:rPr>
          <w:rFonts w:ascii="宋体" w:hAnsi="宋体" w:cs="宋体" w:eastAsia="宋体" w:hint="default"/>
          <w:spacing w:val="-37"/>
          <w:position w:val="9"/>
          <w:sz w:val="15"/>
          <w:szCs w:val="15"/>
        </w:rPr>
        <w:t> </w:t>
      </w:r>
      <w:r>
        <w:rPr>
          <w:rFonts w:ascii="Arial" w:hAnsi="Arial" w:cs="Arial" w:eastAsia="Arial" w:hint="default"/>
          <w:spacing w:val="-3"/>
          <w:w w:val="100"/>
          <w:position w:val="9"/>
          <w:sz w:val="15"/>
          <w:szCs w:val="15"/>
        </w:rPr>
        <w:t>2</w:t>
      </w:r>
      <w:r>
        <w:rPr>
          <w:rFonts w:ascii="Arial" w:hAnsi="Arial" w:cs="Arial" w:eastAsia="Arial" w:hint="default"/>
          <w:w w:val="100"/>
          <w:position w:val="9"/>
          <w:sz w:val="15"/>
          <w:szCs w:val="15"/>
        </w:rPr>
        <w:t>018</w:t>
      </w:r>
      <w:r>
        <w:rPr>
          <w:rFonts w:ascii="Arial" w:hAnsi="Arial" w:cs="Arial" w:eastAsia="Arial" w:hint="default"/>
          <w:spacing w:val="10"/>
          <w:position w:val="9"/>
          <w:sz w:val="15"/>
          <w:szCs w:val="15"/>
        </w:rPr>
        <w:t> </w:t>
      </w:r>
      <w:r>
        <w:rPr>
          <w:rFonts w:ascii="Arial" w:hAnsi="Arial" w:cs="Arial" w:eastAsia="Arial" w:hint="default"/>
          <w:spacing w:val="-1"/>
          <w:w w:val="100"/>
          <w:sz w:val="15"/>
          <w:szCs w:val="15"/>
        </w:rPr>
        <w:t>2020</w:t>
      </w:r>
      <w:r>
        <w:rPr>
          <w:rFonts w:ascii="Arial" w:hAnsi="Arial" w:cs="Arial" w:eastAsia="Arial" w:hint="default"/>
          <w:w w:val="100"/>
          <w:sz w:val="15"/>
          <w:szCs w:val="15"/>
        </w:rPr>
        <w:t>-</w:t>
      </w:r>
      <w:r>
        <w:rPr>
          <w:rFonts w:ascii="Arial" w:hAnsi="Arial" w:cs="Arial" w:eastAsia="Arial" w:hint="default"/>
          <w:spacing w:val="-3"/>
          <w:w w:val="100"/>
          <w:sz w:val="15"/>
          <w:szCs w:val="15"/>
        </w:rPr>
        <w:t>4</w:t>
      </w:r>
      <w:r>
        <w:rPr>
          <w:rFonts w:ascii="Arial" w:hAnsi="Arial" w:cs="Arial" w:eastAsia="Arial" w:hint="default"/>
          <w:w w:val="100"/>
          <w:sz w:val="15"/>
          <w:szCs w:val="15"/>
        </w:rPr>
        <w:t>8</w:t>
      </w:r>
      <w:r>
        <w:rPr>
          <w:rFonts w:ascii="Arial" w:hAnsi="Arial" w:cs="Arial" w:eastAsia="Arial" w:hint="default"/>
          <w:w w:val="100"/>
          <w:sz w:val="15"/>
          <w:szCs w:val="15"/>
        </w:rPr>
        <w:t>×</w:t>
      </w:r>
      <w:r>
        <w:rPr>
          <w:rFonts w:ascii="Arial" w:hAnsi="Arial" w:cs="Arial" w:eastAsia="Arial" w:hint="default"/>
          <w:spacing w:val="-3"/>
          <w:w w:val="100"/>
          <w:sz w:val="15"/>
          <w:szCs w:val="15"/>
        </w:rPr>
        <w:t>4</w:t>
      </w:r>
      <w:r>
        <w:rPr>
          <w:rFonts w:ascii="Arial" w:hAnsi="Arial" w:cs="Arial" w:eastAsia="Arial" w:hint="default"/>
          <w:spacing w:val="-1"/>
          <w:w w:val="100"/>
          <w:sz w:val="15"/>
          <w:szCs w:val="15"/>
        </w:rPr>
        <w:t>6</w:t>
      </w:r>
      <w:r>
        <w:rPr>
          <w:rFonts w:ascii="Arial" w:hAnsi="Arial" w:cs="Arial" w:eastAsia="Arial" w:hint="default"/>
          <w:w w:val="100"/>
          <w:sz w:val="15"/>
          <w:szCs w:val="15"/>
        </w:rPr>
        <w:t>-</w:t>
      </w:r>
      <w:r>
        <w:rPr>
          <w:rFonts w:ascii="Arial" w:hAnsi="Arial" w:cs="Arial" w:eastAsia="Arial" w:hint="default"/>
          <w:spacing w:val="-1"/>
          <w:w w:val="100"/>
          <w:sz w:val="15"/>
          <w:szCs w:val="15"/>
        </w:rPr>
        <w:t>6</w:t>
      </w:r>
      <w:r>
        <w:rPr>
          <w:rFonts w:ascii="Arial" w:hAnsi="Arial" w:cs="Arial" w:eastAsia="Arial" w:hint="default"/>
          <w:w w:val="100"/>
          <w:sz w:val="15"/>
          <w:szCs w:val="15"/>
        </w:rPr>
        <w:t>3</w:t>
      </w:r>
      <w:r>
        <w:rPr>
          <w:rFonts w:ascii="Arial" w:hAnsi="Arial" w:cs="Arial" w:eastAsia="Arial" w:hint="default"/>
          <w:spacing w:val="-9"/>
          <w:sz w:val="15"/>
          <w:szCs w:val="15"/>
        </w:rPr>
        <w:t> </w:t>
      </w:r>
      <w:r>
        <w:rPr>
          <w:rFonts w:ascii="宋体" w:hAnsi="宋体" w:cs="宋体" w:eastAsia="宋体" w:hint="default"/>
          <w:spacing w:val="-3"/>
          <w:w w:val="100"/>
          <w:sz w:val="15"/>
          <w:szCs w:val="15"/>
        </w:rPr>
        <w:t>规</w:t>
      </w:r>
      <w:r>
        <w:rPr>
          <w:rFonts w:ascii="宋体" w:hAnsi="宋体" w:cs="宋体" w:eastAsia="宋体" w:hint="default"/>
          <w:w w:val="100"/>
          <w:sz w:val="15"/>
          <w:szCs w:val="15"/>
        </w:rPr>
        <w:t>格</w:t>
      </w:r>
      <w:r>
        <w:rPr>
          <w:rFonts w:ascii="宋体" w:hAnsi="宋体" w:cs="宋体" w:eastAsia="宋体" w:hint="default"/>
          <w:spacing w:val="-3"/>
          <w:w w:val="100"/>
          <w:sz w:val="15"/>
          <w:szCs w:val="15"/>
        </w:rPr>
        <w:t>亚</w:t>
      </w:r>
      <w:r>
        <w:rPr>
          <w:rFonts w:ascii="宋体" w:hAnsi="宋体" w:cs="宋体" w:eastAsia="宋体" w:hint="default"/>
          <w:w w:val="100"/>
          <w:sz w:val="15"/>
          <w:szCs w:val="15"/>
        </w:rPr>
        <w:t>麻布</w:t>
      </w:r>
      <w:r>
        <w:rPr>
          <w:rFonts w:ascii="宋体" w:hAnsi="宋体" w:cs="宋体" w:eastAsia="宋体" w:hint="default"/>
          <w:spacing w:val="-41"/>
          <w:sz w:val="15"/>
          <w:szCs w:val="15"/>
        </w:rPr>
        <w:t> </w:t>
      </w:r>
      <w:r>
        <w:rPr>
          <w:rFonts w:ascii="Arial" w:hAnsi="Arial" w:cs="Arial" w:eastAsia="Arial" w:hint="default"/>
          <w:spacing w:val="-1"/>
          <w:w w:val="100"/>
          <w:sz w:val="15"/>
          <w:szCs w:val="15"/>
        </w:rPr>
        <w:t>2</w:t>
      </w:r>
      <w:r>
        <w:rPr>
          <w:rFonts w:ascii="Arial" w:hAnsi="Arial" w:cs="Arial" w:eastAsia="Arial" w:hint="default"/>
          <w:spacing w:val="-3"/>
          <w:w w:val="100"/>
          <w:sz w:val="15"/>
          <w:szCs w:val="15"/>
        </w:rPr>
        <w:t>0</w:t>
      </w:r>
      <w:r>
        <w:rPr>
          <w:rFonts w:ascii="宋体" w:hAnsi="宋体" w:cs="宋体" w:eastAsia="宋体" w:hint="default"/>
          <w:spacing w:val="-75"/>
          <w:w w:val="100"/>
          <w:sz w:val="15"/>
          <w:szCs w:val="15"/>
        </w:rPr>
        <w:t>，</w:t>
      </w:r>
      <w:r>
        <w:rPr>
          <w:rFonts w:ascii="Arial" w:hAnsi="Arial" w:cs="Arial" w:eastAsia="Arial" w:hint="default"/>
          <w:spacing w:val="-3"/>
          <w:w w:val="100"/>
          <w:sz w:val="15"/>
          <w:szCs w:val="15"/>
        </w:rPr>
        <w:t>1</w:t>
      </w:r>
      <w:r>
        <w:rPr>
          <w:rFonts w:ascii="Arial" w:hAnsi="Arial" w:cs="Arial" w:eastAsia="Arial" w:hint="default"/>
          <w:w w:val="100"/>
          <w:sz w:val="15"/>
          <w:szCs w:val="15"/>
        </w:rPr>
        <w:t>0</w:t>
      </w:r>
      <w:r>
        <w:rPr>
          <w:rFonts w:ascii="Arial" w:hAnsi="Arial" w:cs="Arial" w:eastAsia="Arial" w:hint="default"/>
          <w:spacing w:val="-3"/>
          <w:w w:val="100"/>
          <w:sz w:val="15"/>
          <w:szCs w:val="15"/>
        </w:rPr>
        <w:t>4</w:t>
      </w:r>
      <w:r>
        <w:rPr>
          <w:rFonts w:ascii="Arial" w:hAnsi="Arial" w:cs="Arial" w:eastAsia="Arial" w:hint="default"/>
          <w:spacing w:val="-2"/>
          <w:w w:val="100"/>
          <w:sz w:val="15"/>
          <w:szCs w:val="15"/>
        </w:rPr>
        <w:t>.</w:t>
      </w:r>
      <w:r>
        <w:rPr>
          <w:rFonts w:ascii="Arial" w:hAnsi="Arial" w:cs="Arial" w:eastAsia="Arial" w:hint="default"/>
          <w:w w:val="100"/>
          <w:sz w:val="15"/>
          <w:szCs w:val="15"/>
        </w:rPr>
        <w:t>37</w:t>
      </w:r>
      <w:r>
        <w:rPr>
          <w:rFonts w:ascii="Arial" w:hAnsi="Arial" w:cs="Arial" w:eastAsia="Arial" w:hint="default"/>
          <w:spacing w:val="-9"/>
          <w:sz w:val="15"/>
          <w:szCs w:val="15"/>
        </w:rPr>
        <w:t> </w:t>
      </w:r>
      <w:r>
        <w:rPr>
          <w:rFonts w:ascii="宋体" w:hAnsi="宋体" w:cs="宋体" w:eastAsia="宋体" w:hint="default"/>
          <w:w w:val="100"/>
          <w:sz w:val="15"/>
          <w:szCs w:val="15"/>
        </w:rPr>
        <w:t>米、</w:t>
      </w:r>
    </w:p>
    <w:p>
      <w:pPr>
        <w:spacing w:line="194" w:lineRule="exact" w:before="0"/>
        <w:ind w:left="7261" w:right="1620" w:firstLine="0"/>
        <w:jc w:val="left"/>
        <w:rPr>
          <w:rFonts w:ascii="Arial" w:hAnsi="Arial" w:cs="Arial" w:eastAsia="Arial" w:hint="default"/>
          <w:sz w:val="15"/>
          <w:szCs w:val="15"/>
        </w:rPr>
      </w:pPr>
      <w:r>
        <w:rPr>
          <w:rFonts w:ascii="宋体" w:hAnsi="宋体" w:cs="宋体" w:eastAsia="宋体" w:hint="default"/>
          <w:w w:val="100"/>
          <w:position w:val="9"/>
          <w:sz w:val="15"/>
          <w:szCs w:val="15"/>
        </w:rPr>
        <w:t>年</w:t>
      </w:r>
      <w:r>
        <w:rPr>
          <w:rFonts w:ascii="宋体" w:hAnsi="宋体" w:cs="宋体" w:eastAsia="宋体" w:hint="default"/>
          <w:spacing w:val="-37"/>
          <w:position w:val="9"/>
          <w:sz w:val="15"/>
          <w:szCs w:val="15"/>
        </w:rPr>
        <w:t> </w:t>
      </w:r>
      <w:r>
        <w:rPr>
          <w:rFonts w:ascii="Arial" w:hAnsi="Arial" w:cs="Arial" w:eastAsia="Arial" w:hint="default"/>
          <w:w w:val="100"/>
          <w:position w:val="9"/>
          <w:sz w:val="15"/>
          <w:szCs w:val="15"/>
        </w:rPr>
        <w:t>5</w:t>
      </w:r>
      <w:r>
        <w:rPr>
          <w:rFonts w:ascii="Arial" w:hAnsi="Arial" w:cs="Arial" w:eastAsia="Arial" w:hint="default"/>
          <w:spacing w:val="-6"/>
          <w:position w:val="9"/>
          <w:sz w:val="15"/>
          <w:szCs w:val="15"/>
        </w:rPr>
        <w:t> </w:t>
      </w:r>
      <w:r>
        <w:rPr>
          <w:rFonts w:ascii="宋体" w:hAnsi="宋体" w:cs="宋体" w:eastAsia="宋体" w:hint="default"/>
          <w:w w:val="100"/>
          <w:position w:val="9"/>
          <w:sz w:val="15"/>
          <w:szCs w:val="15"/>
        </w:rPr>
        <w:t>月</w:t>
      </w:r>
      <w:r>
        <w:rPr>
          <w:rFonts w:ascii="宋体" w:hAnsi="宋体" w:cs="宋体" w:eastAsia="宋体" w:hint="default"/>
          <w:spacing w:val="-39"/>
          <w:position w:val="9"/>
          <w:sz w:val="15"/>
          <w:szCs w:val="15"/>
        </w:rPr>
        <w:t> </w:t>
      </w:r>
      <w:r>
        <w:rPr>
          <w:rFonts w:ascii="Arial" w:hAnsi="Arial" w:cs="Arial" w:eastAsia="Arial" w:hint="default"/>
          <w:spacing w:val="-1"/>
          <w:w w:val="100"/>
          <w:position w:val="9"/>
          <w:sz w:val="15"/>
          <w:szCs w:val="15"/>
        </w:rPr>
        <w:t>1</w:t>
      </w:r>
      <w:r>
        <w:rPr>
          <w:rFonts w:ascii="Arial" w:hAnsi="Arial" w:cs="Arial" w:eastAsia="Arial" w:hint="default"/>
          <w:w w:val="100"/>
          <w:position w:val="9"/>
          <w:sz w:val="15"/>
          <w:szCs w:val="15"/>
        </w:rPr>
        <w:t>4</w:t>
      </w:r>
      <w:r>
        <w:rPr>
          <w:rFonts w:ascii="Arial" w:hAnsi="Arial" w:cs="Arial" w:eastAsia="Arial" w:hint="default"/>
          <w:spacing w:val="-6"/>
          <w:position w:val="9"/>
          <w:sz w:val="15"/>
          <w:szCs w:val="15"/>
        </w:rPr>
        <w:t> </w:t>
      </w:r>
      <w:r>
        <w:rPr>
          <w:rFonts w:ascii="宋体" w:hAnsi="宋体" w:cs="宋体" w:eastAsia="宋体" w:hint="default"/>
          <w:w w:val="100"/>
          <w:position w:val="9"/>
          <w:sz w:val="15"/>
          <w:szCs w:val="15"/>
        </w:rPr>
        <w:t>日</w:t>
      </w:r>
      <w:r>
        <w:rPr>
          <w:rFonts w:ascii="宋体" w:hAnsi="宋体" w:cs="宋体" w:eastAsia="宋体" w:hint="default"/>
          <w:spacing w:val="-3"/>
          <w:w w:val="100"/>
          <w:position w:val="9"/>
          <w:sz w:val="15"/>
          <w:szCs w:val="15"/>
        </w:rPr>
        <w:t>开</w:t>
      </w:r>
      <w:r>
        <w:rPr>
          <w:rFonts w:ascii="宋体" w:hAnsi="宋体" w:cs="宋体" w:eastAsia="宋体" w:hint="default"/>
          <w:w w:val="100"/>
          <w:position w:val="9"/>
          <w:sz w:val="15"/>
          <w:szCs w:val="15"/>
        </w:rPr>
        <w:t>庭，</w:t>
      </w:r>
      <w:r>
        <w:rPr>
          <w:rFonts w:ascii="Arial" w:hAnsi="Arial" w:cs="Arial" w:eastAsia="Arial" w:hint="default"/>
          <w:spacing w:val="-3"/>
          <w:w w:val="100"/>
          <w:position w:val="9"/>
          <w:sz w:val="15"/>
          <w:szCs w:val="15"/>
        </w:rPr>
        <w:t>2</w:t>
      </w:r>
      <w:r>
        <w:rPr>
          <w:rFonts w:ascii="Arial" w:hAnsi="Arial" w:cs="Arial" w:eastAsia="Arial" w:hint="default"/>
          <w:w w:val="100"/>
          <w:position w:val="9"/>
          <w:sz w:val="15"/>
          <w:szCs w:val="15"/>
        </w:rPr>
        <w:t>0</w:t>
      </w:r>
      <w:r>
        <w:rPr>
          <w:rFonts w:ascii="Arial" w:hAnsi="Arial" w:cs="Arial" w:eastAsia="Arial" w:hint="default"/>
          <w:spacing w:val="-3"/>
          <w:w w:val="100"/>
          <w:position w:val="9"/>
          <w:sz w:val="15"/>
          <w:szCs w:val="15"/>
        </w:rPr>
        <w:t>1</w:t>
      </w:r>
      <w:r>
        <w:rPr>
          <w:rFonts w:ascii="Arial" w:hAnsi="Arial" w:cs="Arial" w:eastAsia="Arial" w:hint="default"/>
          <w:w w:val="100"/>
          <w:position w:val="9"/>
          <w:sz w:val="15"/>
          <w:szCs w:val="15"/>
        </w:rPr>
        <w:t>8</w:t>
      </w:r>
      <w:r>
        <w:rPr>
          <w:rFonts w:ascii="Arial" w:hAnsi="Arial" w:cs="Arial" w:eastAsia="Arial" w:hint="default"/>
          <w:spacing w:val="-4"/>
          <w:position w:val="9"/>
          <w:sz w:val="15"/>
          <w:szCs w:val="15"/>
        </w:rPr>
        <w:t> </w:t>
      </w:r>
      <w:r>
        <w:rPr>
          <w:rFonts w:ascii="宋体" w:hAnsi="宋体" w:cs="宋体" w:eastAsia="宋体" w:hint="default"/>
          <w:w w:val="100"/>
          <w:position w:val="9"/>
          <w:sz w:val="15"/>
          <w:szCs w:val="15"/>
        </w:rPr>
        <w:t>年</w:t>
      </w:r>
      <w:r>
        <w:rPr>
          <w:rFonts w:ascii="宋体" w:hAnsi="宋体" w:cs="宋体" w:eastAsia="宋体" w:hint="default"/>
          <w:spacing w:val="-39"/>
          <w:position w:val="9"/>
          <w:sz w:val="15"/>
          <w:szCs w:val="15"/>
        </w:rPr>
        <w:t> </w:t>
      </w:r>
      <w:r>
        <w:rPr>
          <w:rFonts w:ascii="Arial" w:hAnsi="Arial" w:cs="Arial" w:eastAsia="Arial" w:hint="default"/>
          <w:w w:val="100"/>
          <w:position w:val="9"/>
          <w:sz w:val="15"/>
          <w:szCs w:val="15"/>
        </w:rPr>
        <w:t>7</w:t>
      </w:r>
      <w:r>
        <w:rPr>
          <w:rFonts w:ascii="Arial" w:hAnsi="Arial" w:cs="Arial" w:eastAsia="Arial" w:hint="default"/>
          <w:spacing w:val="-6"/>
          <w:position w:val="9"/>
          <w:sz w:val="15"/>
          <w:szCs w:val="15"/>
        </w:rPr>
        <w:t> </w:t>
      </w:r>
      <w:r>
        <w:rPr>
          <w:rFonts w:ascii="宋体" w:hAnsi="宋体" w:cs="宋体" w:eastAsia="宋体" w:hint="default"/>
          <w:w w:val="100"/>
          <w:position w:val="9"/>
          <w:sz w:val="15"/>
          <w:szCs w:val="15"/>
        </w:rPr>
        <w:t>月</w:t>
      </w:r>
      <w:r>
        <w:rPr>
          <w:rFonts w:ascii="宋体" w:hAnsi="宋体" w:cs="宋体" w:eastAsia="宋体" w:hint="default"/>
          <w:spacing w:val="-37"/>
          <w:position w:val="9"/>
          <w:sz w:val="15"/>
          <w:szCs w:val="15"/>
        </w:rPr>
        <w:t> </w:t>
      </w:r>
      <w:r>
        <w:rPr>
          <w:rFonts w:ascii="Arial" w:hAnsi="Arial" w:cs="Arial" w:eastAsia="Arial" w:hint="default"/>
          <w:spacing w:val="-1"/>
          <w:w w:val="100"/>
          <w:position w:val="9"/>
          <w:sz w:val="15"/>
          <w:szCs w:val="15"/>
        </w:rPr>
        <w:t>2</w:t>
      </w:r>
      <w:r>
        <w:rPr>
          <w:rFonts w:ascii="Arial" w:hAnsi="Arial" w:cs="Arial" w:eastAsia="Arial" w:hint="default"/>
          <w:w w:val="100"/>
          <w:position w:val="9"/>
          <w:sz w:val="15"/>
          <w:szCs w:val="15"/>
        </w:rPr>
        <w:t>7</w:t>
      </w:r>
      <w:r>
        <w:rPr>
          <w:rFonts w:ascii="Arial" w:hAnsi="Arial" w:cs="Arial" w:eastAsia="Arial" w:hint="default"/>
          <w:position w:val="9"/>
          <w:sz w:val="15"/>
          <w:szCs w:val="15"/>
        </w:rPr>
        <w:t>  </w:t>
      </w:r>
      <w:r>
        <w:rPr>
          <w:rFonts w:ascii="Arial" w:hAnsi="Arial" w:cs="Arial" w:eastAsia="Arial" w:hint="default"/>
          <w:spacing w:val="-1"/>
          <w:w w:val="100"/>
          <w:sz w:val="15"/>
          <w:szCs w:val="15"/>
        </w:rPr>
        <w:t>2020</w:t>
      </w:r>
      <w:r>
        <w:rPr>
          <w:rFonts w:ascii="Arial" w:hAnsi="Arial" w:cs="Arial" w:eastAsia="Arial" w:hint="default"/>
          <w:w w:val="100"/>
          <w:sz w:val="15"/>
          <w:szCs w:val="15"/>
        </w:rPr>
        <w:t>-</w:t>
      </w:r>
      <w:r>
        <w:rPr>
          <w:rFonts w:ascii="Arial" w:hAnsi="Arial" w:cs="Arial" w:eastAsia="Arial" w:hint="default"/>
          <w:spacing w:val="-3"/>
          <w:w w:val="100"/>
          <w:sz w:val="15"/>
          <w:szCs w:val="15"/>
        </w:rPr>
        <w:t>4</w:t>
      </w:r>
      <w:r>
        <w:rPr>
          <w:rFonts w:ascii="Arial" w:hAnsi="Arial" w:cs="Arial" w:eastAsia="Arial" w:hint="default"/>
          <w:w w:val="100"/>
          <w:sz w:val="15"/>
          <w:szCs w:val="15"/>
        </w:rPr>
        <w:t>8</w:t>
      </w:r>
      <w:r>
        <w:rPr>
          <w:rFonts w:ascii="Arial" w:hAnsi="Arial" w:cs="Arial" w:eastAsia="Arial" w:hint="default"/>
          <w:w w:val="100"/>
          <w:sz w:val="15"/>
          <w:szCs w:val="15"/>
        </w:rPr>
        <w:t>×</w:t>
      </w:r>
      <w:r>
        <w:rPr>
          <w:rFonts w:ascii="Arial" w:hAnsi="Arial" w:cs="Arial" w:eastAsia="Arial" w:hint="default"/>
          <w:spacing w:val="-3"/>
          <w:w w:val="100"/>
          <w:sz w:val="15"/>
          <w:szCs w:val="15"/>
        </w:rPr>
        <w:t>4</w:t>
      </w:r>
      <w:r>
        <w:rPr>
          <w:rFonts w:ascii="Arial" w:hAnsi="Arial" w:cs="Arial" w:eastAsia="Arial" w:hint="default"/>
          <w:spacing w:val="-1"/>
          <w:w w:val="100"/>
          <w:sz w:val="15"/>
          <w:szCs w:val="15"/>
        </w:rPr>
        <w:t>5</w:t>
      </w:r>
      <w:r>
        <w:rPr>
          <w:rFonts w:ascii="Arial" w:hAnsi="Arial" w:cs="Arial" w:eastAsia="Arial" w:hint="default"/>
          <w:w w:val="100"/>
          <w:sz w:val="15"/>
          <w:szCs w:val="15"/>
        </w:rPr>
        <w:t>-</w:t>
      </w:r>
      <w:r>
        <w:rPr>
          <w:rFonts w:ascii="Arial" w:hAnsi="Arial" w:cs="Arial" w:eastAsia="Arial" w:hint="default"/>
          <w:w w:val="100"/>
          <w:sz w:val="15"/>
          <w:szCs w:val="15"/>
        </w:rPr>
        <w:t>6</w:t>
      </w:r>
      <w:r>
        <w:rPr>
          <w:rFonts w:ascii="Arial" w:hAnsi="Arial" w:cs="Arial" w:eastAsia="Arial" w:hint="default"/>
          <w:spacing w:val="-3"/>
          <w:w w:val="100"/>
          <w:sz w:val="15"/>
          <w:szCs w:val="15"/>
        </w:rPr>
        <w:t>1</w:t>
      </w:r>
      <w:r>
        <w:rPr>
          <w:rFonts w:ascii="Arial" w:hAnsi="Arial" w:cs="Arial" w:eastAsia="Arial" w:hint="default"/>
          <w:spacing w:val="1"/>
          <w:w w:val="100"/>
          <w:sz w:val="15"/>
          <w:szCs w:val="15"/>
        </w:rPr>
        <w:t>.</w:t>
      </w:r>
      <w:r>
        <w:rPr>
          <w:rFonts w:ascii="Arial" w:hAnsi="Arial" w:cs="Arial" w:eastAsia="Arial" w:hint="default"/>
          <w:w w:val="100"/>
          <w:sz w:val="15"/>
          <w:szCs w:val="15"/>
        </w:rPr>
        <w:t>5</w:t>
      </w:r>
      <w:r>
        <w:rPr>
          <w:rFonts w:ascii="Arial" w:hAnsi="Arial" w:cs="Arial" w:eastAsia="Arial" w:hint="default"/>
          <w:spacing w:val="-16"/>
          <w:sz w:val="15"/>
          <w:szCs w:val="15"/>
        </w:rPr>
        <w:t> </w:t>
      </w:r>
      <w:r>
        <w:rPr>
          <w:rFonts w:ascii="宋体" w:hAnsi="宋体" w:cs="宋体" w:eastAsia="宋体" w:hint="default"/>
          <w:spacing w:val="-3"/>
          <w:w w:val="100"/>
          <w:sz w:val="15"/>
          <w:szCs w:val="15"/>
        </w:rPr>
        <w:t>原</w:t>
      </w:r>
      <w:r>
        <w:rPr>
          <w:rFonts w:ascii="宋体" w:hAnsi="宋体" w:cs="宋体" w:eastAsia="宋体" w:hint="default"/>
          <w:w w:val="100"/>
          <w:sz w:val="15"/>
          <w:szCs w:val="15"/>
        </w:rPr>
        <w:t>规</w:t>
      </w:r>
      <w:r>
        <w:rPr>
          <w:rFonts w:ascii="宋体" w:hAnsi="宋体" w:cs="宋体" w:eastAsia="宋体" w:hint="default"/>
          <w:spacing w:val="-3"/>
          <w:w w:val="100"/>
          <w:sz w:val="15"/>
          <w:szCs w:val="15"/>
        </w:rPr>
        <w:t>格</w:t>
      </w:r>
      <w:r>
        <w:rPr>
          <w:rFonts w:ascii="宋体" w:hAnsi="宋体" w:cs="宋体" w:eastAsia="宋体" w:hint="default"/>
          <w:w w:val="100"/>
          <w:sz w:val="15"/>
          <w:szCs w:val="15"/>
        </w:rPr>
        <w:t>亚</w:t>
      </w:r>
      <w:r>
        <w:rPr>
          <w:rFonts w:ascii="宋体" w:hAnsi="宋体" w:cs="宋体" w:eastAsia="宋体" w:hint="default"/>
          <w:spacing w:val="-3"/>
          <w:w w:val="100"/>
          <w:sz w:val="15"/>
          <w:szCs w:val="15"/>
        </w:rPr>
        <w:t>麻</w:t>
      </w:r>
      <w:r>
        <w:rPr>
          <w:rFonts w:ascii="宋体" w:hAnsi="宋体" w:cs="宋体" w:eastAsia="宋体" w:hint="default"/>
          <w:w w:val="100"/>
          <w:sz w:val="15"/>
          <w:szCs w:val="15"/>
        </w:rPr>
        <w:t>布</w:t>
      </w:r>
      <w:r>
        <w:rPr>
          <w:rFonts w:ascii="宋体" w:hAnsi="宋体" w:cs="宋体" w:eastAsia="宋体" w:hint="default"/>
          <w:spacing w:val="-48"/>
          <w:sz w:val="15"/>
          <w:szCs w:val="15"/>
        </w:rPr>
        <w:t> </w:t>
      </w:r>
      <w:r>
        <w:rPr>
          <w:rFonts w:ascii="Arial" w:hAnsi="Arial" w:cs="Arial" w:eastAsia="Arial" w:hint="default"/>
          <w:spacing w:val="-1"/>
          <w:w w:val="100"/>
          <w:sz w:val="15"/>
          <w:szCs w:val="15"/>
        </w:rPr>
        <w:t>5</w:t>
      </w:r>
      <w:r>
        <w:rPr>
          <w:rFonts w:ascii="Arial" w:hAnsi="Arial" w:cs="Arial" w:eastAsia="Arial" w:hint="default"/>
          <w:spacing w:val="-3"/>
          <w:w w:val="100"/>
          <w:sz w:val="15"/>
          <w:szCs w:val="15"/>
        </w:rPr>
        <w:t>6</w:t>
      </w:r>
      <w:r>
        <w:rPr>
          <w:rFonts w:ascii="宋体" w:hAnsi="宋体" w:cs="宋体" w:eastAsia="宋体" w:hint="default"/>
          <w:spacing w:val="-75"/>
          <w:w w:val="100"/>
          <w:sz w:val="15"/>
          <w:szCs w:val="15"/>
        </w:rPr>
        <w:t>，</w:t>
      </w:r>
      <w:r>
        <w:rPr>
          <w:rFonts w:ascii="Arial" w:hAnsi="Arial" w:cs="Arial" w:eastAsia="Arial" w:hint="default"/>
          <w:spacing w:val="-3"/>
          <w:w w:val="100"/>
          <w:sz w:val="15"/>
          <w:szCs w:val="15"/>
        </w:rPr>
        <w:t>5</w:t>
      </w:r>
      <w:r>
        <w:rPr>
          <w:rFonts w:ascii="Arial" w:hAnsi="Arial" w:cs="Arial" w:eastAsia="Arial" w:hint="default"/>
          <w:w w:val="100"/>
          <w:sz w:val="15"/>
          <w:szCs w:val="15"/>
        </w:rPr>
        <w:t>69.</w:t>
      </w:r>
      <w:r>
        <w:rPr>
          <w:rFonts w:ascii="Arial" w:hAnsi="Arial" w:cs="Arial" w:eastAsia="Arial" w:hint="default"/>
          <w:spacing w:val="-3"/>
          <w:w w:val="100"/>
          <w:sz w:val="15"/>
          <w:szCs w:val="15"/>
        </w:rPr>
        <w:t>5</w:t>
      </w:r>
      <w:r>
        <w:rPr>
          <w:rFonts w:ascii="Arial" w:hAnsi="Arial" w:cs="Arial" w:eastAsia="Arial" w:hint="default"/>
          <w:w w:val="100"/>
          <w:sz w:val="15"/>
          <w:szCs w:val="15"/>
        </w:rPr>
        <w:t>4</w:t>
      </w:r>
    </w:p>
    <w:p>
      <w:pPr>
        <w:spacing w:line="192" w:lineRule="exact" w:before="0"/>
        <w:ind w:left="7261" w:right="1620" w:firstLine="0"/>
        <w:jc w:val="left"/>
        <w:rPr>
          <w:rFonts w:ascii="宋体" w:hAnsi="宋体" w:cs="宋体" w:eastAsia="宋体" w:hint="default"/>
          <w:sz w:val="15"/>
          <w:szCs w:val="15"/>
        </w:rPr>
      </w:pPr>
      <w:r>
        <w:rPr>
          <w:rFonts w:ascii="宋体" w:hAnsi="宋体" w:cs="宋体" w:eastAsia="宋体" w:hint="default"/>
          <w:spacing w:val="-4"/>
          <w:position w:val="9"/>
          <w:sz w:val="15"/>
          <w:szCs w:val="15"/>
        </w:rPr>
        <w:t>日，鑫亚公司收到黑龙江省高级人民</w:t>
      </w:r>
      <w:r>
        <w:rPr>
          <w:rFonts w:ascii="宋体" w:hAnsi="宋体" w:cs="宋体" w:eastAsia="宋体" w:hint="default"/>
          <w:spacing w:val="-19"/>
          <w:position w:val="9"/>
          <w:sz w:val="15"/>
          <w:szCs w:val="15"/>
        </w:rPr>
        <w:t> </w:t>
      </w:r>
      <w:r>
        <w:rPr>
          <w:rFonts w:ascii="宋体" w:hAnsi="宋体" w:cs="宋体" w:eastAsia="宋体" w:hint="default"/>
          <w:sz w:val="15"/>
          <w:szCs w:val="15"/>
        </w:rPr>
        <w:t>米。如不能给付应折价</w:t>
      </w:r>
      <w:r>
        <w:rPr>
          <w:rFonts w:ascii="宋体" w:hAnsi="宋体" w:cs="宋体" w:eastAsia="宋体" w:hint="default"/>
          <w:spacing w:val="-34"/>
          <w:sz w:val="15"/>
          <w:szCs w:val="15"/>
        </w:rPr>
        <w:t> </w:t>
      </w:r>
      <w:r>
        <w:rPr>
          <w:rFonts w:ascii="Arial" w:hAnsi="Arial" w:cs="Arial" w:eastAsia="Arial" w:hint="default"/>
          <w:sz w:val="15"/>
          <w:szCs w:val="15"/>
        </w:rPr>
        <w:t>4</w:t>
      </w:r>
      <w:r>
        <w:rPr>
          <w:rFonts w:ascii="宋体" w:hAnsi="宋体" w:cs="宋体" w:eastAsia="宋体" w:hint="default"/>
          <w:sz w:val="15"/>
          <w:szCs w:val="15"/>
        </w:rPr>
        <w:t>，</w:t>
      </w:r>
      <w:r>
        <w:rPr>
          <w:rFonts w:ascii="Arial" w:hAnsi="Arial" w:cs="Arial" w:eastAsia="Arial" w:hint="default"/>
          <w:sz w:val="15"/>
          <w:szCs w:val="15"/>
        </w:rPr>
        <w:t>679</w:t>
      </w:r>
      <w:r>
        <w:rPr>
          <w:rFonts w:ascii="宋体" w:hAnsi="宋体" w:cs="宋体" w:eastAsia="宋体" w:hint="default"/>
          <w:sz w:val="15"/>
          <w:szCs w:val="15"/>
        </w:rPr>
        <w:t>，</w:t>
      </w:r>
      <w:r>
        <w:rPr>
          <w:rFonts w:ascii="Arial" w:hAnsi="Arial" w:cs="Arial" w:eastAsia="Arial" w:hint="default"/>
          <w:sz w:val="15"/>
          <w:szCs w:val="15"/>
        </w:rPr>
        <w:t>542.05</w:t>
      </w:r>
      <w:r>
        <w:rPr>
          <w:rFonts w:ascii="Arial" w:hAnsi="Arial" w:cs="Arial" w:eastAsia="Arial" w:hint="default"/>
          <w:spacing w:val="-2"/>
          <w:sz w:val="15"/>
          <w:szCs w:val="15"/>
        </w:rPr>
        <w:t> </w:t>
      </w:r>
      <w:r>
        <w:rPr>
          <w:rFonts w:ascii="宋体" w:hAnsi="宋体" w:cs="宋体" w:eastAsia="宋体" w:hint="default"/>
          <w:sz w:val="15"/>
          <w:szCs w:val="15"/>
        </w:rPr>
        <w:t>元</w:t>
      </w:r>
    </w:p>
    <w:p>
      <w:pPr>
        <w:spacing w:after="0" w:line="192" w:lineRule="exact"/>
        <w:jc w:val="left"/>
        <w:rPr>
          <w:rFonts w:ascii="宋体" w:hAnsi="宋体" w:cs="宋体" w:eastAsia="宋体" w:hint="default"/>
          <w:sz w:val="15"/>
          <w:szCs w:val="15"/>
        </w:rPr>
        <w:sectPr>
          <w:type w:val="continuous"/>
          <w:pgSz w:w="16840" w:h="11910" w:orient="landscape"/>
          <w:pgMar w:top="1360" w:bottom="1380" w:left="1300" w:right="1380"/>
        </w:sectPr>
      </w:pPr>
    </w:p>
    <w:p>
      <w:pPr>
        <w:spacing w:line="151" w:lineRule="exact" w:before="0"/>
        <w:ind w:left="0" w:right="0" w:firstLine="0"/>
        <w:jc w:val="right"/>
        <w:rPr>
          <w:rFonts w:ascii="宋体" w:hAnsi="宋体" w:cs="宋体" w:eastAsia="宋体" w:hint="default"/>
          <w:sz w:val="15"/>
          <w:szCs w:val="15"/>
        </w:rPr>
      </w:pPr>
      <w:r>
        <w:rPr/>
        <w:pict>
          <v:group style="position:absolute;margin-left:70.079987pt;margin-top:89.900009pt;width:697.55pt;height:430.4pt;mso-position-horizontal-relative:page;mso-position-vertical-relative:page;z-index:-943912" coordorigin="1402,1798" coordsize="13951,8608">
            <v:group style="position:absolute;left:1411;top:1808;width:608;height:2" coordorigin="1411,1808" coordsize="608,2">
              <v:shape style="position:absolute;left:1411;top:1808;width:608;height:2" coordorigin="1411,1808" coordsize="608,0" path="m1411,1808l2019,1808e" filled="false" stroked="true" strokeweight=".96pt" strokecolor="#41b7ee">
                <v:path arrowok="t"/>
              </v:shape>
            </v:group>
            <v:group style="position:absolute;left:1411;top:1846;width:608;height:2" coordorigin="1411,1846" coordsize="608,2">
              <v:shape style="position:absolute;left:1411;top:1846;width:608;height:2" coordorigin="1411,1846" coordsize="608,0" path="m1411,1846l2019,1846e" filled="false" stroked="true" strokeweight=".96001pt" strokecolor="#41b7ee">
                <v:path arrowok="t"/>
              </v:shape>
            </v:group>
            <v:group style="position:absolute;left:2019;top:1808;width:58;height:2" coordorigin="2019,1808" coordsize="58,2">
              <v:shape style="position:absolute;left:2019;top:1808;width:58;height:2" coordorigin="2019,1808" coordsize="58,0" path="m2019,1808l2076,1808e" filled="false" stroked="true" strokeweight=".96pt" strokecolor="#41b7ee">
                <v:path arrowok="t"/>
              </v:shape>
            </v:group>
            <v:group style="position:absolute;left:2019;top:1846;width:58;height:2" coordorigin="2019,1846" coordsize="58,2">
              <v:shape style="position:absolute;left:2019;top:1846;width:58;height:2" coordorigin="2019,1846" coordsize="58,0" path="m2019,1846l2076,1846e" filled="false" stroked="true" strokeweight=".96001pt" strokecolor="#41b7ee">
                <v:path arrowok="t"/>
              </v:shape>
            </v:group>
            <v:group style="position:absolute;left:2076;top:1808;width:588;height:2" coordorigin="2076,1808" coordsize="588,2">
              <v:shape style="position:absolute;left:2076;top:1808;width:588;height:2" coordorigin="2076,1808" coordsize="588,0" path="m2076,1808l2664,1808e" filled="false" stroked="true" strokeweight=".96pt" strokecolor="#41b7ee">
                <v:path arrowok="t"/>
              </v:shape>
            </v:group>
            <v:group style="position:absolute;left:2076;top:1846;width:588;height:2" coordorigin="2076,1846" coordsize="588,2">
              <v:shape style="position:absolute;left:2076;top:1846;width:588;height:2" coordorigin="2076,1846" coordsize="588,0" path="m2076,1846l2664,1846e" filled="false" stroked="true" strokeweight=".96001pt" strokecolor="#41b7ee">
                <v:path arrowok="t"/>
              </v:shape>
            </v:group>
            <v:group style="position:absolute;left:2664;top:1808;width:58;height:2" coordorigin="2664,1808" coordsize="58,2">
              <v:shape style="position:absolute;left:2664;top:1808;width:58;height:2" coordorigin="2664,1808" coordsize="58,0" path="m2664,1808l2722,1808e" filled="false" stroked="true" strokeweight=".96pt" strokecolor="#41b7ee">
                <v:path arrowok="t"/>
              </v:shape>
            </v:group>
            <v:group style="position:absolute;left:2664;top:1846;width:58;height:2" coordorigin="2664,1846" coordsize="58,2">
              <v:shape style="position:absolute;left:2664;top:1846;width:58;height:2" coordorigin="2664,1846" coordsize="58,0" path="m2664,1846l2722,1846e" filled="false" stroked="true" strokeweight=".96001pt" strokecolor="#41b7ee">
                <v:path arrowok="t"/>
              </v:shape>
            </v:group>
            <v:group style="position:absolute;left:2722;top:1808;width:737;height:2" coordorigin="2722,1808" coordsize="737,2">
              <v:shape style="position:absolute;left:2722;top:1808;width:737;height:2" coordorigin="2722,1808" coordsize="737,0" path="m2722,1808l3459,1808e" filled="false" stroked="true" strokeweight=".96pt" strokecolor="#41b7ee">
                <v:path arrowok="t"/>
              </v:shape>
            </v:group>
            <v:group style="position:absolute;left:2722;top:1846;width:737;height:2" coordorigin="2722,1846" coordsize="737,2">
              <v:shape style="position:absolute;left:2722;top:1846;width:737;height:2" coordorigin="2722,1846" coordsize="737,0" path="m2722,1846l3459,1846e" filled="false" stroked="true" strokeweight=".96001pt" strokecolor="#41b7ee">
                <v:path arrowok="t"/>
              </v:shape>
            </v:group>
            <v:group style="position:absolute;left:3459;top:1808;width:58;height:2" coordorigin="3459,1808" coordsize="58,2">
              <v:shape style="position:absolute;left:3459;top:1808;width:58;height:2" coordorigin="3459,1808" coordsize="58,0" path="m3459,1808l3516,1808e" filled="false" stroked="true" strokeweight=".96pt" strokecolor="#41b7ee">
                <v:path arrowok="t"/>
              </v:shape>
            </v:group>
            <v:group style="position:absolute;left:3459;top:1846;width:58;height:2" coordorigin="3459,1846" coordsize="58,2">
              <v:shape style="position:absolute;left:3459;top:1846;width:58;height:2" coordorigin="3459,1846" coordsize="58,0" path="m3459,1846l3516,1846e" filled="false" stroked="true" strokeweight=".96001pt" strokecolor="#41b7ee">
                <v:path arrowok="t"/>
              </v:shape>
            </v:group>
            <v:group style="position:absolute;left:3516;top:1808;width:543;height:2" coordorigin="3516,1808" coordsize="543,2">
              <v:shape style="position:absolute;left:3516;top:1808;width:543;height:2" coordorigin="3516,1808" coordsize="543,0" path="m3516,1808l4059,1808e" filled="false" stroked="true" strokeweight=".96pt" strokecolor="#41b7ee">
                <v:path arrowok="t"/>
              </v:shape>
            </v:group>
            <v:group style="position:absolute;left:3516;top:1846;width:543;height:2" coordorigin="3516,1846" coordsize="543,2">
              <v:shape style="position:absolute;left:3516;top:1846;width:543;height:2" coordorigin="3516,1846" coordsize="543,0" path="m3516,1846l4059,1846e" filled="false" stroked="true" strokeweight=".96001pt" strokecolor="#41b7ee">
                <v:path arrowok="t"/>
              </v:shape>
            </v:group>
            <v:group style="position:absolute;left:4059;top:1808;width:58;height:2" coordorigin="4059,1808" coordsize="58,2">
              <v:shape style="position:absolute;left:4059;top:1808;width:58;height:2" coordorigin="4059,1808" coordsize="58,0" path="m4059,1808l4116,1808e" filled="false" stroked="true" strokeweight=".96pt" strokecolor="#41b7ee">
                <v:path arrowok="t"/>
              </v:shape>
            </v:group>
            <v:group style="position:absolute;left:4059;top:1846;width:58;height:2" coordorigin="4059,1846" coordsize="58,2">
              <v:shape style="position:absolute;left:4059;top:1846;width:58;height:2" coordorigin="4059,1846" coordsize="58,0" path="m4059,1846l4116,1846e" filled="false" stroked="true" strokeweight=".96001pt" strokecolor="#41b7ee">
                <v:path arrowok="t"/>
              </v:shape>
            </v:group>
            <v:group style="position:absolute;left:4116;top:1808;width:2216;height:2" coordorigin="4116,1808" coordsize="2216,2">
              <v:shape style="position:absolute;left:4116;top:1808;width:2216;height:2" coordorigin="4116,1808" coordsize="2216,0" path="m4116,1808l6332,1808e" filled="false" stroked="true" strokeweight=".96pt" strokecolor="#41b7ee">
                <v:path arrowok="t"/>
              </v:shape>
            </v:group>
            <v:group style="position:absolute;left:4116;top:1846;width:2216;height:2" coordorigin="4116,1846" coordsize="2216,2">
              <v:shape style="position:absolute;left:4116;top:1846;width:2216;height:2" coordorigin="4116,1846" coordsize="2216,0" path="m4116,1846l6332,1846e" filled="false" stroked="true" strokeweight=".96001pt" strokecolor="#41b7ee">
                <v:path arrowok="t"/>
              </v:shape>
            </v:group>
            <v:group style="position:absolute;left:6332;top:1808;width:58;height:2" coordorigin="6332,1808" coordsize="58,2">
              <v:shape style="position:absolute;left:6332;top:1808;width:58;height:2" coordorigin="6332,1808" coordsize="58,0" path="m6332,1808l6390,1808e" filled="false" stroked="true" strokeweight=".96pt" strokecolor="#41b7ee">
                <v:path arrowok="t"/>
              </v:shape>
            </v:group>
            <v:group style="position:absolute;left:6332;top:1846;width:58;height:2" coordorigin="6332,1846" coordsize="58,2">
              <v:shape style="position:absolute;left:6332;top:1846;width:58;height:2" coordorigin="6332,1846" coordsize="58,0" path="m6332,1846l6390,1846e" filled="false" stroked="true" strokeweight=".96001pt" strokecolor="#41b7ee">
                <v:path arrowok="t"/>
              </v:shape>
            </v:group>
            <v:group style="position:absolute;left:6390;top:1808;width:1301;height:2" coordorigin="6390,1808" coordsize="1301,2">
              <v:shape style="position:absolute;left:6390;top:1808;width:1301;height:2" coordorigin="6390,1808" coordsize="1301,0" path="m6390,1808l7691,1808e" filled="false" stroked="true" strokeweight=".96pt" strokecolor="#41b7ee">
                <v:path arrowok="t"/>
              </v:shape>
            </v:group>
            <v:group style="position:absolute;left:6390;top:1846;width:1301;height:2" coordorigin="6390,1846" coordsize="1301,2">
              <v:shape style="position:absolute;left:6390;top:1846;width:1301;height:2" coordorigin="6390,1846" coordsize="1301,0" path="m6390,1846l7691,1846e" filled="false" stroked="true" strokeweight=".96001pt" strokecolor="#41b7ee">
                <v:path arrowok="t"/>
              </v:shape>
            </v:group>
            <v:group style="position:absolute;left:7691;top:1808;width:58;height:2" coordorigin="7691,1808" coordsize="58,2">
              <v:shape style="position:absolute;left:7691;top:1808;width:58;height:2" coordorigin="7691,1808" coordsize="58,0" path="m7691,1808l7748,1808e" filled="false" stroked="true" strokeweight=".96pt" strokecolor="#41b7ee">
                <v:path arrowok="t"/>
              </v:shape>
            </v:group>
            <v:group style="position:absolute;left:7691;top:1846;width:58;height:2" coordorigin="7691,1846" coordsize="58,2">
              <v:shape style="position:absolute;left:7691;top:1846;width:58;height:2" coordorigin="7691,1846" coordsize="58,0" path="m7691,1846l7748,1846e" filled="false" stroked="true" strokeweight=".96001pt" strokecolor="#41b7ee">
                <v:path arrowok="t"/>
              </v:shape>
            </v:group>
            <v:group style="position:absolute;left:7748;top:1808;width:780;height:2" coordorigin="7748,1808" coordsize="780,2">
              <v:shape style="position:absolute;left:7748;top:1808;width:780;height:2" coordorigin="7748,1808" coordsize="780,0" path="m7748,1808l8528,1808e" filled="false" stroked="true" strokeweight=".96pt" strokecolor="#41b7ee">
                <v:path arrowok="t"/>
              </v:shape>
            </v:group>
            <v:group style="position:absolute;left:7748;top:1846;width:780;height:2" coordorigin="7748,1846" coordsize="780,2">
              <v:shape style="position:absolute;left:7748;top:1846;width:780;height:2" coordorigin="7748,1846" coordsize="780,0" path="m7748,1846l8528,1846e" filled="false" stroked="true" strokeweight=".96001pt" strokecolor="#41b7ee">
                <v:path arrowok="t"/>
              </v:shape>
            </v:group>
            <v:group style="position:absolute;left:8528;top:1808;width:58;height:2" coordorigin="8528,1808" coordsize="58,2">
              <v:shape style="position:absolute;left:8528;top:1808;width:58;height:2" coordorigin="8528,1808" coordsize="58,0" path="m8528,1808l8586,1808e" filled="false" stroked="true" strokeweight=".96pt" strokecolor="#41b7ee">
                <v:path arrowok="t"/>
              </v:shape>
            </v:group>
            <v:group style="position:absolute;left:8528;top:1846;width:58;height:2" coordorigin="8528,1846" coordsize="58,2">
              <v:shape style="position:absolute;left:8528;top:1846;width:58;height:2" coordorigin="8528,1846" coordsize="58,0" path="m8528,1846l8586,1846e" filled="false" stroked="true" strokeweight=".96001pt" strokecolor="#41b7ee">
                <v:path arrowok="t"/>
              </v:shape>
            </v:group>
            <v:group style="position:absolute;left:8586;top:1808;width:2365;height:2" coordorigin="8586,1808" coordsize="2365,2">
              <v:shape style="position:absolute;left:8586;top:1808;width:2365;height:2" coordorigin="8586,1808" coordsize="2365,0" path="m8586,1808l10950,1808e" filled="false" stroked="true" strokeweight=".96pt" strokecolor="#41b7ee">
                <v:path arrowok="t"/>
              </v:shape>
            </v:group>
            <v:group style="position:absolute;left:8586;top:1846;width:2365;height:2" coordorigin="8586,1846" coordsize="2365,2">
              <v:shape style="position:absolute;left:8586;top:1846;width:2365;height:2" coordorigin="8586,1846" coordsize="2365,0" path="m8586,1846l10950,1846e" filled="false" stroked="true" strokeweight=".96001pt" strokecolor="#41b7ee">
                <v:path arrowok="t"/>
              </v:shape>
            </v:group>
            <v:group style="position:absolute;left:10950;top:1808;width:58;height:2" coordorigin="10950,1808" coordsize="58,2">
              <v:shape style="position:absolute;left:10950;top:1808;width:58;height:2" coordorigin="10950,1808" coordsize="58,0" path="m10950,1808l11008,1808e" filled="false" stroked="true" strokeweight=".96pt" strokecolor="#41b7ee">
                <v:path arrowok="t"/>
              </v:shape>
            </v:group>
            <v:group style="position:absolute;left:10950;top:1846;width:58;height:2" coordorigin="10950,1846" coordsize="58,2">
              <v:shape style="position:absolute;left:10950;top:1846;width:58;height:2" coordorigin="10950,1846" coordsize="58,0" path="m10950,1846l11008,1846e" filled="false" stroked="true" strokeweight=".96001pt" strokecolor="#41b7ee">
                <v:path arrowok="t"/>
              </v:shape>
            </v:group>
            <v:group style="position:absolute;left:11008;top:1808;width:2802;height:2" coordorigin="11008,1808" coordsize="2802,2">
              <v:shape style="position:absolute;left:11008;top:1808;width:2802;height:2" coordorigin="11008,1808" coordsize="2802,0" path="m11008,1808l13809,1808e" filled="false" stroked="true" strokeweight=".96pt" strokecolor="#41b7ee">
                <v:path arrowok="t"/>
              </v:shape>
            </v:group>
            <v:group style="position:absolute;left:11008;top:1846;width:2802;height:2" coordorigin="11008,1846" coordsize="2802,2">
              <v:shape style="position:absolute;left:11008;top:1846;width:2802;height:2" coordorigin="11008,1846" coordsize="2802,0" path="m11008,1846l13809,1846e" filled="false" stroked="true" strokeweight=".96001pt" strokecolor="#41b7ee">
                <v:path arrowok="t"/>
              </v:shape>
            </v:group>
            <v:group style="position:absolute;left:13809;top:1808;width:58;height:2" coordorigin="13809,1808" coordsize="58,2">
              <v:shape style="position:absolute;left:13809;top:1808;width:58;height:2" coordorigin="13809,1808" coordsize="58,0" path="m13809,1808l13867,1808e" filled="false" stroked="true" strokeweight=".96pt" strokecolor="#41b7ee">
                <v:path arrowok="t"/>
              </v:shape>
            </v:group>
            <v:group style="position:absolute;left:13809;top:1846;width:58;height:2" coordorigin="13809,1846" coordsize="58,2">
              <v:shape style="position:absolute;left:13809;top:1846;width:58;height:2" coordorigin="13809,1846" coordsize="58,0" path="m13809,1846l13867,1846e" filled="false" stroked="true" strokeweight=".96001pt" strokecolor="#41b7ee">
                <v:path arrowok="t"/>
              </v:shape>
            </v:group>
            <v:group style="position:absolute;left:13867;top:1808;width:1476;height:2" coordorigin="13867,1808" coordsize="1476,2">
              <v:shape style="position:absolute;left:13867;top:1808;width:1476;height:2" coordorigin="13867,1808" coordsize="1476,0" path="m13867,1808l15343,1808e" filled="false" stroked="true" strokeweight=".96pt" strokecolor="#41b7ee">
                <v:path arrowok="t"/>
              </v:shape>
            </v:group>
            <v:group style="position:absolute;left:13867;top:1846;width:1476;height:2" coordorigin="13867,1846" coordsize="1476,2">
              <v:shape style="position:absolute;left:13867;top:1846;width:1476;height:2" coordorigin="13867,1846" coordsize="1476,0" path="m13867,1846l15343,1846e" filled="false" stroked="true" strokeweight=".96001pt" strokecolor="#41b7ee">
                <v:path arrowok="t"/>
              </v:shape>
            </v:group>
            <v:group style="position:absolute;left:10972;top:6320;width:2;height:4065" coordorigin="10972,6320" coordsize="2,4065">
              <v:shape style="position:absolute;left:10972;top:6320;width:2;height:4065" coordorigin="10972,6320" coordsize="0,4065" path="m10972,6320l10972,10384e" filled="false" stroked="true" strokeweight="1.2pt" strokecolor="#ffffff">
                <v:path arrowok="t"/>
              </v:shape>
            </v:group>
            <v:group style="position:absolute;left:10984;top:6515;width:2802;height:195" coordorigin="10984,6515" coordsize="2802,195">
              <v:shape style="position:absolute;left:10984;top:6515;width:2802;height:195" coordorigin="10984,6515" coordsize="2802,195" path="m10984,6709l13785,6709,13785,6515,10984,6515,10984,6709xe" filled="true" fillcolor="#ffffff" stroked="false">
                <v:path arrowok="t"/>
                <v:fill type="solid"/>
              </v:shape>
            </v:group>
            <v:group style="position:absolute;left:10984;top:6709;width:2802;height:173" coordorigin="10984,6709" coordsize="2802,173">
              <v:shape style="position:absolute;left:10984;top:6709;width:2802;height:173" coordorigin="10984,6709" coordsize="2802,173" path="m10984,6882l13785,6882,13785,6709,10984,6709,10984,6882xe" filled="true" fillcolor="#ffffff" stroked="false">
                <v:path arrowok="t"/>
                <v:fill type="solid"/>
              </v:shape>
            </v:group>
            <v:group style="position:absolute;left:13819;top:6320;width:1524;height:1935" coordorigin="13819,6320" coordsize="1524,1935">
              <v:shape style="position:absolute;left:13819;top:6320;width:1524;height:1935" coordorigin="13819,6320" coordsize="1524,1935" path="m13819,8255l15343,8255,15343,6320,13819,6320,13819,8255xe" filled="true" fillcolor="#ffffff" stroked="false">
                <v:path arrowok="t"/>
                <v:fill type="solid"/>
              </v:shape>
            </v:group>
            <v:group style="position:absolute;left:13819;top:8449;width:1524;height:1935" coordorigin="13819,8449" coordsize="1524,1935">
              <v:shape style="position:absolute;left:13819;top:8449;width:1524;height:1935" coordorigin="13819,8449" coordsize="1524,1935" path="m13819,10384l15343,10384,15343,8449,13819,8449,13819,10384xe" filled="true" fillcolor="#ffffff" stroked="false">
                <v:path arrowok="t"/>
                <v:fill type="solid"/>
              </v:shape>
            </v:group>
            <v:group style="position:absolute;left:1411;top:6315;width:608;height:2" coordorigin="1411,6315" coordsize="608,2">
              <v:shape style="position:absolute;left:1411;top:6315;width:608;height:2" coordorigin="1411,6315" coordsize="608,0" path="m1411,6315l2019,6315e" filled="false" stroked="true" strokeweight=".47998pt" strokecolor="#41b7ee">
                <v:path arrowok="t"/>
              </v:shape>
            </v:group>
            <v:group style="position:absolute;left:2028;top:6315;width:636;height:2" coordorigin="2028,6315" coordsize="636,2">
              <v:shape style="position:absolute;left:2028;top:6315;width:636;height:2" coordorigin="2028,6315" coordsize="636,0" path="m2028,6315l2664,6315e" filled="false" stroked="true" strokeweight=".47998pt" strokecolor="#41b7ee">
                <v:path arrowok="t"/>
              </v:shape>
            </v:group>
            <v:group style="position:absolute;left:2674;top:6315;width:785;height:2" coordorigin="2674,6315" coordsize="785,2">
              <v:shape style="position:absolute;left:2674;top:6315;width:785;height:2" coordorigin="2674,6315" coordsize="785,0" path="m2674,6315l3459,6315e" filled="false" stroked="true" strokeweight=".47998pt" strokecolor="#41b7ee">
                <v:path arrowok="t"/>
              </v:shape>
            </v:group>
            <v:group style="position:absolute;left:3468;top:6315;width:591;height:2" coordorigin="3468,6315" coordsize="591,2">
              <v:shape style="position:absolute;left:3468;top:6315;width:591;height:2" coordorigin="3468,6315" coordsize="591,0" path="m3468,6315l4059,6315e" filled="false" stroked="true" strokeweight=".47998pt" strokecolor="#41b7ee">
                <v:path arrowok="t"/>
              </v:shape>
            </v:group>
            <v:group style="position:absolute;left:4068;top:6315;width:2264;height:2" coordorigin="4068,6315" coordsize="2264,2">
              <v:shape style="position:absolute;left:4068;top:6315;width:2264;height:2" coordorigin="4068,6315" coordsize="2264,0" path="m4068,6315l6332,6315e" filled="false" stroked="true" strokeweight=".47998pt" strokecolor="#41b7ee">
                <v:path arrowok="t"/>
              </v:shape>
            </v:group>
            <v:group style="position:absolute;left:6342;top:6315;width:1349;height:2" coordorigin="6342,6315" coordsize="1349,2">
              <v:shape style="position:absolute;left:6342;top:6315;width:1349;height:2" coordorigin="6342,6315" coordsize="1349,0" path="m6342,6315l7691,6315e" filled="false" stroked="true" strokeweight=".47998pt" strokecolor="#41b7ee">
                <v:path arrowok="t"/>
              </v:shape>
            </v:group>
            <v:group style="position:absolute;left:7700;top:6315;width:828;height:2" coordorigin="7700,6315" coordsize="828,2">
              <v:shape style="position:absolute;left:7700;top:6315;width:828;height:2" coordorigin="7700,6315" coordsize="828,0" path="m7700,6315l8528,6315e" filled="false" stroked="true" strokeweight=".47998pt" strokecolor="#41b7ee">
                <v:path arrowok="t"/>
              </v:shape>
            </v:group>
            <v:group style="position:absolute;left:8538;top:6315;width:2413;height:2" coordorigin="8538,6315" coordsize="2413,2">
              <v:shape style="position:absolute;left:8538;top:6315;width:2413;height:2" coordorigin="8538,6315" coordsize="2413,0" path="m8538,6315l10950,6315e" filled="false" stroked="true" strokeweight=".47998pt" strokecolor="#41b7ee">
                <v:path arrowok="t"/>
              </v:shape>
            </v:group>
            <v:group style="position:absolute;left:10960;top:6315;width:2850;height:2" coordorigin="10960,6315" coordsize="2850,2">
              <v:shape style="position:absolute;left:10960;top:6315;width:2850;height:2" coordorigin="10960,6315" coordsize="2850,0" path="m10960,6315l13809,6315e" filled="false" stroked="true" strokeweight=".47998pt" strokecolor="#41b7ee">
                <v:path arrowok="t"/>
              </v:shape>
            </v:group>
            <v:group style="position:absolute;left:13819;top:6315;width:1524;height:2" coordorigin="13819,6315" coordsize="1524,2">
              <v:shape style="position:absolute;left:13819;top:6315;width:1524;height:2" coordorigin="13819,6315" coordsize="1524,0" path="m13819,6315l15343,6315e" filled="false" stroked="true" strokeweight=".47998pt" strokecolor="#41b7ee">
                <v:path arrowok="t"/>
              </v:shape>
            </v:group>
            <v:group style="position:absolute;left:1411;top:10396;width:608;height:2" coordorigin="1411,10396" coordsize="608,2">
              <v:shape style="position:absolute;left:1411;top:10396;width:608;height:2" coordorigin="1411,10396" coordsize="608,0" path="m1411,10396l2019,10396e" filled="false" stroked="true" strokeweight=".96002pt" strokecolor="#41b7ee">
                <v:path arrowok="t"/>
              </v:shape>
            </v:group>
            <v:group style="position:absolute;left:2019;top:10396;width:58;height:2" coordorigin="2019,10396" coordsize="58,2">
              <v:shape style="position:absolute;left:2019;top:10396;width:58;height:2" coordorigin="2019,10396" coordsize="58,0" path="m2019,10396l2076,10396e" filled="false" stroked="true" strokeweight=".96002pt" strokecolor="#41b7ee">
                <v:path arrowok="t"/>
              </v:shape>
            </v:group>
            <v:group style="position:absolute;left:2076;top:10396;width:588;height:2" coordorigin="2076,10396" coordsize="588,2">
              <v:shape style="position:absolute;left:2076;top:10396;width:588;height:2" coordorigin="2076,10396" coordsize="588,0" path="m2076,10396l2664,10396e" filled="false" stroked="true" strokeweight=".96002pt" strokecolor="#41b7ee">
                <v:path arrowok="t"/>
              </v:shape>
            </v:group>
            <v:group style="position:absolute;left:2669;top:1856;width:2;height:8532" coordorigin="2669,1856" coordsize="2,8532">
              <v:shape style="position:absolute;left:2669;top:1856;width:2;height:8532" coordorigin="2669,1856" coordsize="0,8532" path="m2669,1856l2669,10387e" filled="false" stroked="true" strokeweight=".48pt" strokecolor="#41b7ee">
                <v:path arrowok="t"/>
              </v:shape>
            </v:group>
            <v:group style="position:absolute;left:2664;top:10396;width:58;height:2" coordorigin="2664,10396" coordsize="58,2">
              <v:shape style="position:absolute;left:2664;top:10396;width:58;height:2" coordorigin="2664,10396" coordsize="58,0" path="m2664,10396l2722,10396e" filled="false" stroked="true" strokeweight=".96002pt" strokecolor="#41b7ee">
                <v:path arrowok="t"/>
              </v:shape>
            </v:group>
            <v:group style="position:absolute;left:2722;top:10396;width:737;height:2" coordorigin="2722,10396" coordsize="737,2">
              <v:shape style="position:absolute;left:2722;top:10396;width:737;height:2" coordorigin="2722,10396" coordsize="737,0" path="m2722,10396l3459,10396e" filled="false" stroked="true" strokeweight=".96002pt" strokecolor="#41b7ee">
                <v:path arrowok="t"/>
              </v:shape>
            </v:group>
            <v:group style="position:absolute;left:3459;top:10396;width:58;height:2" coordorigin="3459,10396" coordsize="58,2">
              <v:shape style="position:absolute;left:3459;top:10396;width:58;height:2" coordorigin="3459,10396" coordsize="58,0" path="m3459,10396l3516,10396e" filled="false" stroked="true" strokeweight=".96002pt" strokecolor="#41b7ee">
                <v:path arrowok="t"/>
              </v:shape>
            </v:group>
            <v:group style="position:absolute;left:3516;top:10396;width:543;height:2" coordorigin="3516,10396" coordsize="543,2">
              <v:shape style="position:absolute;left:3516;top:10396;width:543;height:2" coordorigin="3516,10396" coordsize="543,0" path="m3516,10396l4059,10396e" filled="false" stroked="true" strokeweight=".96002pt" strokecolor="#41b7ee">
                <v:path arrowok="t"/>
              </v:shape>
            </v:group>
            <v:group style="position:absolute;left:4059;top:10396;width:58;height:2" coordorigin="4059,10396" coordsize="58,2">
              <v:shape style="position:absolute;left:4059;top:10396;width:58;height:2" coordorigin="4059,10396" coordsize="58,0" path="m4059,10396l4116,10396e" filled="false" stroked="true" strokeweight=".96002pt" strokecolor="#41b7ee">
                <v:path arrowok="t"/>
              </v:shape>
            </v:group>
            <v:group style="position:absolute;left:6342;top:8437;width:1349;height:1947" coordorigin="6342,8437" coordsize="1349,1947">
              <v:shape style="position:absolute;left:6342;top:8437;width:1349;height:1947" coordorigin="6342,8437" coordsize="1349,1947" path="m6342,10384l7691,10384,7691,8437,6342,8437,6342,10384xe" filled="true" fillcolor="#ffffff" stroked="false">
                <v:path arrowok="t"/>
                <v:fill type="solid"/>
              </v:shape>
            </v:group>
            <v:group style="position:absolute;left:4116;top:10396;width:2216;height:2" coordorigin="4116,10396" coordsize="2216,2">
              <v:shape style="position:absolute;left:4116;top:10396;width:2216;height:2" coordorigin="4116,10396" coordsize="2216,0" path="m4116,10396l6332,10396e" filled="false" stroked="true" strokeweight=".96002pt" strokecolor="#41b7ee">
                <v:path arrowok="t"/>
              </v:shape>
            </v:group>
            <v:group style="position:absolute;left:6337;top:1856;width:2;height:8532" coordorigin="6337,1856" coordsize="2,8532">
              <v:shape style="position:absolute;left:6337;top:1856;width:2;height:8532" coordorigin="6337,1856" coordsize="0,8532" path="m6337,1856l6337,10387e" filled="false" stroked="true" strokeweight=".48001pt" strokecolor="#41b7ee">
                <v:path arrowok="t"/>
              </v:shape>
            </v:group>
            <v:group style="position:absolute;left:6332;top:10396;width:58;height:2" coordorigin="6332,10396" coordsize="58,2">
              <v:shape style="position:absolute;left:6332;top:10396;width:58;height:2" coordorigin="6332,10396" coordsize="58,0" path="m6332,10396l6390,10396e" filled="false" stroked="true" strokeweight=".96002pt" strokecolor="#41b7ee">
                <v:path arrowok="t"/>
              </v:shape>
            </v:group>
            <v:group style="position:absolute;left:6390;top:10396;width:1301;height:2" coordorigin="6390,10396" coordsize="1301,2">
              <v:shape style="position:absolute;left:6390;top:10396;width:1301;height:2" coordorigin="6390,10396" coordsize="1301,0" path="m6390,10396l7691,10396e" filled="false" stroked="true" strokeweight=".96002pt" strokecolor="#41b7ee">
                <v:path arrowok="t"/>
              </v:shape>
            </v:group>
            <v:group style="position:absolute;left:7691;top:10396;width:58;height:2" coordorigin="7691,10396" coordsize="58,2">
              <v:shape style="position:absolute;left:7691;top:10396;width:58;height:2" coordorigin="7691,10396" coordsize="58,0" path="m7691,10396l7748,10396e" filled="false" stroked="true" strokeweight=".96002pt" strokecolor="#41b7ee">
                <v:path arrowok="t"/>
              </v:shape>
            </v:group>
            <v:group style="position:absolute;left:7748;top:10396;width:780;height:2" coordorigin="7748,10396" coordsize="780,2">
              <v:shape style="position:absolute;left:7748;top:10396;width:780;height:2" coordorigin="7748,10396" coordsize="780,0" path="m7748,10396l8528,10396e" filled="false" stroked="true" strokeweight=".96002pt" strokecolor="#41b7ee">
                <v:path arrowok="t"/>
              </v:shape>
            </v:group>
            <v:group style="position:absolute;left:8533;top:1856;width:2;height:8532" coordorigin="8533,1856" coordsize="2,8532">
              <v:shape style="position:absolute;left:8533;top:1856;width:2;height:8532" coordorigin="8533,1856" coordsize="0,8532" path="m8533,1856l8533,10387e" filled="false" stroked="true" strokeweight=".48001pt" strokecolor="#41b7ee">
                <v:path arrowok="t"/>
              </v:shape>
            </v:group>
            <v:group style="position:absolute;left:8528;top:10396;width:58;height:2" coordorigin="8528,10396" coordsize="58,2">
              <v:shape style="position:absolute;left:8528;top:10396;width:58;height:2" coordorigin="8528,10396" coordsize="58,0" path="m8528,10396l8586,10396e" filled="false" stroked="true" strokeweight=".96002pt" strokecolor="#41b7ee">
                <v:path arrowok="t"/>
              </v:shape>
            </v:group>
            <v:group style="position:absolute;left:8586;top:10396;width:2365;height:2" coordorigin="8586,10396" coordsize="2365,2">
              <v:shape style="position:absolute;left:8586;top:10396;width:2365;height:2" coordorigin="8586,10396" coordsize="2365,0" path="m8586,10396l10950,10396e" filled="false" stroked="true" strokeweight=".96002pt" strokecolor="#41b7ee">
                <v:path arrowok="t"/>
              </v:shape>
            </v:group>
            <v:group style="position:absolute;left:10955;top:1856;width:2;height:8532" coordorigin="10955,1856" coordsize="2,8532">
              <v:shape style="position:absolute;left:10955;top:1856;width:2;height:8532" coordorigin="10955,1856" coordsize="0,8532" path="m10955,1856l10955,10387e" filled="false" stroked="true" strokeweight=".47998pt" strokecolor="#41b7ee">
                <v:path arrowok="t"/>
              </v:shape>
            </v:group>
            <v:group style="position:absolute;left:10950;top:10396;width:58;height:2" coordorigin="10950,10396" coordsize="58,2">
              <v:shape style="position:absolute;left:10950;top:10396;width:58;height:2" coordorigin="10950,10396" coordsize="58,0" path="m10950,10396l11008,10396e" filled="false" stroked="true" strokeweight=".96002pt" strokecolor="#41b7ee">
                <v:path arrowok="t"/>
              </v:shape>
            </v:group>
            <v:group style="position:absolute;left:11008;top:10396;width:2802;height:2" coordorigin="11008,10396" coordsize="2802,2">
              <v:shape style="position:absolute;left:11008;top:10396;width:2802;height:2" coordorigin="11008,10396" coordsize="2802,0" path="m11008,10396l13809,10396e" filled="false" stroked="true" strokeweight=".96002pt" strokecolor="#41b7ee">
                <v:path arrowok="t"/>
              </v:shape>
            </v:group>
            <v:group style="position:absolute;left:13814;top:1856;width:2;height:8532" coordorigin="13814,1856" coordsize="2,8532">
              <v:shape style="position:absolute;left:13814;top:1856;width:2;height:8532" coordorigin="13814,1856" coordsize="0,8532" path="m13814,1856l13814,10387e" filled="false" stroked="true" strokeweight=".48004pt" strokecolor="#41b7ee">
                <v:path arrowok="t"/>
              </v:shape>
            </v:group>
            <v:group style="position:absolute;left:13809;top:10396;width:58;height:2" coordorigin="13809,10396" coordsize="58,2">
              <v:shape style="position:absolute;left:13809;top:10396;width:58;height:2" coordorigin="13809,10396" coordsize="58,0" path="m13809,10396l13867,10396e" filled="false" stroked="true" strokeweight=".96002pt" strokecolor="#41b7ee">
                <v:path arrowok="t"/>
              </v:shape>
            </v:group>
            <v:group style="position:absolute;left:13867;top:10396;width:1476;height:2" coordorigin="13867,10396" coordsize="1476,2">
              <v:shape style="position:absolute;left:13867;top:10396;width:1476;height:2" coordorigin="13867,10396" coordsize="1476,0" path="m13867,10396l15343,10396e" filled="false" stroked="true" strokeweight=".96002pt" strokecolor="#41b7ee">
                <v:path arrowok="t"/>
              </v:shape>
            </v:group>
            <w10:wrap type="none"/>
          </v:group>
        </w:pict>
      </w:r>
      <w:r>
        <w:rPr/>
        <w:pict>
          <v:shape style="position:absolute;margin-left:70.559998pt;margin-top:92.300003pt;width:314.45pt;height:427.55pt;mso-position-horizontal-relative:page;mso-position-vertical-relative:page;z-index:2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12"/>
                    <w:gridCol w:w="1440"/>
                    <w:gridCol w:w="600"/>
                    <w:gridCol w:w="3632"/>
                  </w:tblGrid>
                  <w:tr>
                    <w:trPr>
                      <w:trHeight w:val="4856" w:hRule="exact"/>
                    </w:trPr>
                    <w:tc>
                      <w:tcPr>
                        <w:tcW w:w="612" w:type="dxa"/>
                        <w:tcBorders>
                          <w:top w:val="nil" w:sz="6" w:space="0" w:color="auto"/>
                          <w:left w:val="nil" w:sz="6" w:space="0" w:color="auto"/>
                          <w:bottom w:val="nil" w:sz="6" w:space="0" w:color="auto"/>
                          <w:right w:val="single" w:sz="4" w:space="0" w:color="41B7EE"/>
                        </w:tcBorders>
                      </w:tcPr>
                      <w:p>
                        <w:pPr>
                          <w:pStyle w:val="TableParagraph"/>
                          <w:spacing w:line="194" w:lineRule="exact" w:before="8"/>
                          <w:ind w:left="28" w:right="123"/>
                          <w:jc w:val="both"/>
                          <w:rPr>
                            <w:rFonts w:ascii="宋体" w:hAnsi="宋体" w:cs="宋体" w:eastAsia="宋体" w:hint="default"/>
                            <w:sz w:val="15"/>
                            <w:szCs w:val="15"/>
                          </w:rPr>
                        </w:pPr>
                        <w:r>
                          <w:rPr>
                            <w:rFonts w:ascii="宋体" w:hAnsi="宋体" w:cs="宋体" w:eastAsia="宋体" w:hint="default"/>
                            <w:sz w:val="15"/>
                            <w:szCs w:val="15"/>
                          </w:rPr>
                          <w:t>鑫亚经</w:t>
                        </w:r>
                        <w:r>
                          <w:rPr>
                            <w:rFonts w:ascii="宋体" w:hAnsi="宋体" w:cs="宋体" w:eastAsia="宋体" w:hint="default"/>
                            <w:spacing w:val="-72"/>
                            <w:sz w:val="15"/>
                            <w:szCs w:val="15"/>
                          </w:rPr>
                          <w:t> </w:t>
                        </w:r>
                        <w:r>
                          <w:rPr>
                            <w:rFonts w:ascii="宋体" w:hAnsi="宋体" w:cs="宋体" w:eastAsia="宋体" w:hint="default"/>
                            <w:sz w:val="15"/>
                            <w:szCs w:val="15"/>
                          </w:rPr>
                          <w:t>贸有限</w:t>
                        </w:r>
                        <w:r>
                          <w:rPr>
                            <w:rFonts w:ascii="宋体" w:hAnsi="宋体" w:cs="宋体" w:eastAsia="宋体" w:hint="default"/>
                            <w:spacing w:val="-72"/>
                            <w:sz w:val="15"/>
                            <w:szCs w:val="15"/>
                          </w:rPr>
                          <w:t> </w:t>
                        </w:r>
                        <w:r>
                          <w:rPr>
                            <w:rFonts w:ascii="宋体" w:hAnsi="宋体" w:cs="宋体" w:eastAsia="宋体" w:hint="default"/>
                            <w:sz w:val="15"/>
                            <w:szCs w:val="15"/>
                          </w:rPr>
                          <w:t>责任公</w:t>
                        </w:r>
                        <w:r>
                          <w:rPr>
                            <w:rFonts w:ascii="宋体" w:hAnsi="宋体" w:cs="宋体" w:eastAsia="宋体" w:hint="default"/>
                            <w:spacing w:val="-72"/>
                            <w:sz w:val="15"/>
                            <w:szCs w:val="15"/>
                          </w:rPr>
                          <w:t> </w:t>
                        </w:r>
                        <w:r>
                          <w:rPr>
                            <w:rFonts w:ascii="宋体" w:hAnsi="宋体" w:cs="宋体" w:eastAsia="宋体" w:hint="default"/>
                            <w:sz w:val="15"/>
                            <w:szCs w:val="15"/>
                          </w:rPr>
                          <w:t>司</w:t>
                        </w:r>
                      </w:p>
                    </w:tc>
                    <w:tc>
                      <w:tcPr>
                        <w:tcW w:w="1440" w:type="dxa"/>
                        <w:tcBorders>
                          <w:top w:val="nil" w:sz="6" w:space="0" w:color="auto"/>
                          <w:left w:val="single" w:sz="4" w:space="0" w:color="41B7EE"/>
                          <w:bottom w:val="nil" w:sz="6" w:space="0" w:color="auto"/>
                          <w:right w:val="single" w:sz="4" w:space="0" w:color="41B7EE"/>
                        </w:tcBorders>
                      </w:tcPr>
                      <w:p>
                        <w:pPr>
                          <w:pStyle w:val="TableParagraph"/>
                          <w:spacing w:line="194" w:lineRule="exact" w:before="8"/>
                          <w:ind w:left="21" w:right="813"/>
                          <w:jc w:val="left"/>
                          <w:rPr>
                            <w:rFonts w:ascii="宋体" w:hAnsi="宋体" w:cs="宋体" w:eastAsia="宋体" w:hint="default"/>
                            <w:sz w:val="15"/>
                            <w:szCs w:val="15"/>
                          </w:rPr>
                        </w:pPr>
                        <w:r>
                          <w:rPr>
                            <w:rFonts w:ascii="宋体" w:hAnsi="宋体" w:cs="宋体" w:eastAsia="宋体" w:hint="default"/>
                            <w:sz w:val="15"/>
                            <w:szCs w:val="15"/>
                          </w:rPr>
                          <w:t>前阳棉</w:t>
                        </w:r>
                        <w:r>
                          <w:rPr>
                            <w:rFonts w:ascii="宋体" w:hAnsi="宋体" w:cs="宋体" w:eastAsia="宋体" w:hint="default"/>
                            <w:spacing w:val="-72"/>
                            <w:sz w:val="15"/>
                            <w:szCs w:val="15"/>
                          </w:rPr>
                          <w:t> </w:t>
                        </w:r>
                        <w:r>
                          <w:rPr>
                            <w:rFonts w:ascii="宋体" w:hAnsi="宋体" w:cs="宋体" w:eastAsia="宋体" w:hint="default"/>
                            <w:sz w:val="15"/>
                            <w:szCs w:val="15"/>
                          </w:rPr>
                          <w:t>麻纺织</w:t>
                        </w:r>
                        <w:r>
                          <w:rPr>
                            <w:rFonts w:ascii="宋体" w:hAnsi="宋体" w:cs="宋体" w:eastAsia="宋体" w:hint="default"/>
                            <w:spacing w:val="-72"/>
                            <w:sz w:val="15"/>
                            <w:szCs w:val="15"/>
                          </w:rPr>
                          <w:t> </w:t>
                        </w:r>
                        <w:r>
                          <w:rPr>
                            <w:rFonts w:ascii="宋体" w:hAnsi="宋体" w:cs="宋体" w:eastAsia="宋体" w:hint="default"/>
                            <w:spacing w:val="-4"/>
                            <w:sz w:val="15"/>
                            <w:szCs w:val="15"/>
                          </w:rPr>
                          <w:t>厂、青枫</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亚麻公</w:t>
                        </w:r>
                        <w:r>
                          <w:rPr>
                            <w:rFonts w:ascii="宋体" w:hAnsi="宋体" w:cs="宋体" w:eastAsia="宋体" w:hint="default"/>
                            <w:spacing w:val="-72"/>
                            <w:sz w:val="15"/>
                            <w:szCs w:val="15"/>
                          </w:rPr>
                          <w:t> </w:t>
                        </w:r>
                        <w:r>
                          <w:rPr>
                            <w:rFonts w:ascii="宋体" w:hAnsi="宋体" w:cs="宋体" w:eastAsia="宋体" w:hint="default"/>
                            <w:sz w:val="15"/>
                            <w:szCs w:val="15"/>
                          </w:rPr>
                          <w:t>司</w:t>
                        </w:r>
                      </w:p>
                    </w:tc>
                    <w:tc>
                      <w:tcPr>
                        <w:tcW w:w="600" w:type="dxa"/>
                        <w:tcBorders>
                          <w:top w:val="nil" w:sz="6" w:space="0" w:color="auto"/>
                          <w:left w:val="single" w:sz="4" w:space="0" w:color="41B7EE"/>
                          <w:bottom w:val="nil" w:sz="6" w:space="0" w:color="auto"/>
                          <w:right w:val="single" w:sz="4" w:space="0" w:color="41B7EE"/>
                        </w:tcBorders>
                      </w:tcPr>
                      <w:p>
                        <w:pPr/>
                      </w:p>
                    </w:tc>
                    <w:tc>
                      <w:tcPr>
                        <w:tcW w:w="3632" w:type="dxa"/>
                        <w:tcBorders>
                          <w:top w:val="nil" w:sz="6" w:space="0" w:color="auto"/>
                          <w:left w:val="single" w:sz="4" w:space="0" w:color="41B7EE"/>
                          <w:bottom w:val="nil" w:sz="6" w:space="0" w:color="auto"/>
                          <w:right w:val="single" w:sz="4" w:space="0" w:color="41B7EE"/>
                        </w:tcBorders>
                      </w:tcPr>
                      <w:p>
                        <w:pPr>
                          <w:pStyle w:val="TableParagraph"/>
                          <w:spacing w:line="194" w:lineRule="exact" w:before="8"/>
                          <w:ind w:left="23" w:right="1378"/>
                          <w:jc w:val="left"/>
                          <w:rPr>
                            <w:rFonts w:ascii="宋体" w:hAnsi="宋体" w:cs="宋体" w:eastAsia="宋体" w:hint="default"/>
                            <w:sz w:val="15"/>
                            <w:szCs w:val="15"/>
                          </w:rPr>
                        </w:pPr>
                        <w:r>
                          <w:rPr>
                            <w:rFonts w:ascii="宋体" w:hAnsi="宋体" w:cs="宋体" w:eastAsia="宋体" w:hint="default"/>
                            <w:spacing w:val="-4"/>
                            <w:sz w:val="15"/>
                            <w:szCs w:val="15"/>
                          </w:rPr>
                          <w:t>阳纺织厂、青枫公司签订《亚麻布</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4"/>
                            <w:sz w:val="15"/>
                            <w:szCs w:val="15"/>
                          </w:rPr>
                          <w:t>加工合同》，约定前阳纺织厂为公</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4"/>
                            <w:sz w:val="15"/>
                            <w:szCs w:val="15"/>
                          </w:rPr>
                          <w:t>司加工亚麻坯布。合同签订后，公</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司向前阳纺织厂交付长麻纱原料</w:t>
                        </w:r>
                        <w:r>
                          <w:rPr>
                            <w:rFonts w:ascii="宋体" w:hAnsi="宋体" w:cs="宋体" w:eastAsia="宋体" w:hint="default"/>
                            <w:w w:val="100"/>
                            <w:sz w:val="15"/>
                            <w:szCs w:val="15"/>
                          </w:rPr>
                          <w:t> </w:t>
                        </w:r>
                        <w:r>
                          <w:rPr>
                            <w:rFonts w:ascii="Arial" w:hAnsi="Arial" w:cs="Arial" w:eastAsia="Arial" w:hint="default"/>
                            <w:sz w:val="15"/>
                            <w:szCs w:val="15"/>
                          </w:rPr>
                          <w:t>161.04723</w:t>
                        </w:r>
                        <w:r>
                          <w:rPr>
                            <w:rFonts w:ascii="Arial" w:hAnsi="Arial" w:cs="Arial" w:eastAsia="Arial" w:hint="default"/>
                            <w:spacing w:val="-5"/>
                            <w:sz w:val="15"/>
                            <w:szCs w:val="15"/>
                          </w:rPr>
                          <w:t> </w:t>
                        </w:r>
                        <w:r>
                          <w:rPr>
                            <w:rFonts w:ascii="宋体" w:hAnsi="宋体" w:cs="宋体" w:eastAsia="宋体" w:hint="default"/>
                            <w:sz w:val="15"/>
                            <w:szCs w:val="15"/>
                          </w:rPr>
                          <w:t>吨、短麻纱原料</w:t>
                        </w:r>
                      </w:p>
                      <w:p>
                        <w:pPr>
                          <w:pStyle w:val="TableParagraph"/>
                          <w:spacing w:line="181" w:lineRule="exact"/>
                          <w:ind w:left="23" w:right="0"/>
                          <w:jc w:val="left"/>
                          <w:rPr>
                            <w:rFonts w:ascii="宋体" w:hAnsi="宋体" w:cs="宋体" w:eastAsia="宋体" w:hint="default"/>
                            <w:sz w:val="15"/>
                            <w:szCs w:val="15"/>
                          </w:rPr>
                        </w:pPr>
                        <w:r>
                          <w:rPr>
                            <w:rFonts w:ascii="Arial" w:hAnsi="Arial" w:cs="Arial" w:eastAsia="Arial" w:hint="default"/>
                            <w:sz w:val="15"/>
                            <w:szCs w:val="15"/>
                          </w:rPr>
                          <w:t>56.4135</w:t>
                        </w:r>
                        <w:r>
                          <w:rPr>
                            <w:rFonts w:ascii="Arial" w:hAnsi="Arial" w:cs="Arial" w:eastAsia="Arial" w:hint="default"/>
                            <w:spacing w:val="-6"/>
                            <w:sz w:val="15"/>
                            <w:szCs w:val="15"/>
                          </w:rPr>
                          <w:t> </w:t>
                        </w:r>
                        <w:r>
                          <w:rPr>
                            <w:rFonts w:ascii="宋体" w:hAnsi="宋体" w:cs="宋体" w:eastAsia="宋体" w:hint="default"/>
                            <w:sz w:val="15"/>
                            <w:szCs w:val="15"/>
                          </w:rPr>
                          <w:t>吨</w:t>
                        </w:r>
                        <w:r>
                          <w:rPr>
                            <w:rFonts w:ascii="Arial" w:hAnsi="Arial" w:cs="Arial" w:eastAsia="Arial" w:hint="default"/>
                            <w:sz w:val="15"/>
                            <w:szCs w:val="15"/>
                          </w:rPr>
                          <w:t>,</w:t>
                        </w:r>
                        <w:r>
                          <w:rPr>
                            <w:rFonts w:ascii="宋体" w:hAnsi="宋体" w:cs="宋体" w:eastAsia="宋体" w:hint="default"/>
                            <w:sz w:val="15"/>
                            <w:szCs w:val="15"/>
                          </w:rPr>
                          <w:t>共计</w:t>
                        </w:r>
                        <w:r>
                          <w:rPr>
                            <w:rFonts w:ascii="宋体" w:hAnsi="宋体" w:cs="宋体" w:eastAsia="宋体" w:hint="default"/>
                            <w:spacing w:val="-37"/>
                            <w:sz w:val="15"/>
                            <w:szCs w:val="15"/>
                          </w:rPr>
                          <w:t> </w:t>
                        </w:r>
                        <w:r>
                          <w:rPr>
                            <w:rFonts w:ascii="Arial" w:hAnsi="Arial" w:cs="Arial" w:eastAsia="Arial" w:hint="default"/>
                            <w:sz w:val="15"/>
                            <w:szCs w:val="15"/>
                          </w:rPr>
                          <w:t>217.46073</w:t>
                        </w:r>
                        <w:r>
                          <w:rPr>
                            <w:rFonts w:ascii="Arial" w:hAnsi="Arial" w:cs="Arial" w:eastAsia="Arial" w:hint="default"/>
                            <w:spacing w:val="-3"/>
                            <w:sz w:val="15"/>
                            <w:szCs w:val="15"/>
                          </w:rPr>
                          <w:t> </w:t>
                        </w:r>
                        <w:r>
                          <w:rPr>
                            <w:rFonts w:ascii="宋体" w:hAnsi="宋体" w:cs="宋体" w:eastAsia="宋体" w:hint="default"/>
                            <w:spacing w:val="-3"/>
                            <w:sz w:val="15"/>
                            <w:szCs w:val="15"/>
                          </w:rPr>
                          <w:t>吨。</w:t>
                        </w:r>
                        <w:r>
                          <w:rPr>
                            <w:rFonts w:ascii="宋体" w:hAnsi="宋体" w:cs="宋体" w:eastAsia="宋体" w:hint="default"/>
                            <w:sz w:val="15"/>
                            <w:szCs w:val="15"/>
                          </w:rPr>
                        </w:r>
                      </w:p>
                      <w:p>
                        <w:pPr>
                          <w:pStyle w:val="TableParagraph"/>
                          <w:spacing w:line="235" w:lineRule="auto"/>
                          <w:ind w:left="23" w:right="1342"/>
                          <w:jc w:val="left"/>
                          <w:rPr>
                            <w:rFonts w:ascii="宋体" w:hAnsi="宋体" w:cs="宋体" w:eastAsia="宋体" w:hint="default"/>
                            <w:sz w:val="15"/>
                            <w:szCs w:val="15"/>
                          </w:rPr>
                        </w:pPr>
                        <w:r>
                          <w:rPr>
                            <w:rFonts w:ascii="宋体" w:hAnsi="宋体" w:cs="宋体" w:eastAsia="宋体" w:hint="default"/>
                            <w:sz w:val="15"/>
                            <w:szCs w:val="15"/>
                          </w:rPr>
                          <w:t>但前阳纺织厂未按合同约定向鑫</w:t>
                        </w:r>
                        <w:r>
                          <w:rPr>
                            <w:rFonts w:ascii="宋体" w:hAnsi="宋体" w:cs="宋体" w:eastAsia="宋体" w:hint="default"/>
                            <w:w w:val="100"/>
                            <w:sz w:val="15"/>
                            <w:szCs w:val="15"/>
                          </w:rPr>
                          <w:t> </w:t>
                        </w:r>
                        <w:r>
                          <w:rPr>
                            <w:rFonts w:ascii="宋体" w:hAnsi="宋体" w:cs="宋体" w:eastAsia="宋体" w:hint="default"/>
                            <w:spacing w:val="-4"/>
                            <w:sz w:val="15"/>
                            <w:szCs w:val="15"/>
                          </w:rPr>
                          <w:t>亚公司报告加工进度，也未按合同</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约定在鑫亚公司和青枫公司共同</w:t>
                        </w:r>
                        <w:r>
                          <w:rPr>
                            <w:rFonts w:ascii="宋体" w:hAnsi="宋体" w:cs="宋体" w:eastAsia="宋体" w:hint="default"/>
                            <w:w w:val="100"/>
                            <w:sz w:val="15"/>
                            <w:szCs w:val="15"/>
                          </w:rPr>
                          <w:t> </w:t>
                        </w:r>
                        <w:r>
                          <w:rPr>
                            <w:rFonts w:ascii="宋体" w:hAnsi="宋体" w:cs="宋体" w:eastAsia="宋体" w:hint="default"/>
                            <w:spacing w:val="-6"/>
                            <w:w w:val="100"/>
                            <w:sz w:val="15"/>
                            <w:szCs w:val="15"/>
                          </w:rPr>
                          <w:t>签章后办理产成品出库手续，</w:t>
                        </w:r>
                        <w:r>
                          <w:rPr>
                            <w:rFonts w:ascii="Arial" w:hAnsi="Arial" w:cs="Arial" w:eastAsia="Arial" w:hint="default"/>
                            <w:spacing w:val="-6"/>
                            <w:w w:val="100"/>
                            <w:sz w:val="15"/>
                            <w:szCs w:val="15"/>
                          </w:rPr>
                          <w:t>2013</w:t>
                        </w:r>
                        <w:r>
                          <w:rPr>
                            <w:rFonts w:ascii="Arial" w:hAnsi="Arial" w:cs="Arial" w:eastAsia="Arial" w:hint="default"/>
                            <w:spacing w:val="-27"/>
                            <w:w w:val="100"/>
                            <w:sz w:val="15"/>
                            <w:szCs w:val="15"/>
                          </w:rPr>
                          <w:t> </w:t>
                        </w:r>
                        <w:r>
                          <w:rPr>
                            <w:rFonts w:ascii="Arial" w:hAnsi="Arial" w:cs="Arial" w:eastAsia="Arial" w:hint="default"/>
                            <w:spacing w:val="-27"/>
                            <w:w w:val="100"/>
                            <w:sz w:val="15"/>
                            <w:szCs w:val="15"/>
                          </w:rPr>
                        </w:r>
                        <w:r>
                          <w:rPr>
                            <w:rFonts w:ascii="宋体" w:hAnsi="宋体" w:cs="宋体" w:eastAsia="宋体" w:hint="default"/>
                            <w:w w:val="100"/>
                            <w:sz w:val="15"/>
                            <w:szCs w:val="15"/>
                          </w:rPr>
                          <w:t>年</w:t>
                        </w:r>
                        <w:r>
                          <w:rPr>
                            <w:rFonts w:ascii="宋体" w:hAnsi="宋体" w:cs="宋体" w:eastAsia="宋体" w:hint="default"/>
                            <w:spacing w:val="-56"/>
                            <w:w w:val="100"/>
                            <w:sz w:val="15"/>
                            <w:szCs w:val="15"/>
                          </w:rPr>
                          <w:t> </w:t>
                        </w:r>
                        <w:r>
                          <w:rPr>
                            <w:rFonts w:ascii="Arial" w:hAnsi="Arial" w:cs="Arial" w:eastAsia="Arial" w:hint="default"/>
                            <w:spacing w:val="-1"/>
                            <w:w w:val="100"/>
                            <w:sz w:val="15"/>
                            <w:szCs w:val="15"/>
                          </w:rPr>
                          <w:t>10</w:t>
                        </w:r>
                        <w:r>
                          <w:rPr>
                            <w:rFonts w:ascii="Arial" w:hAnsi="Arial" w:cs="Arial" w:eastAsia="Arial" w:hint="default"/>
                            <w:spacing w:val="-23"/>
                            <w:w w:val="100"/>
                            <w:sz w:val="15"/>
                            <w:szCs w:val="15"/>
                          </w:rPr>
                          <w:t> </w:t>
                        </w:r>
                        <w:r>
                          <w:rPr>
                            <w:rFonts w:ascii="宋体" w:hAnsi="宋体" w:cs="宋体" w:eastAsia="宋体" w:hint="default"/>
                            <w:w w:val="100"/>
                            <w:sz w:val="15"/>
                            <w:szCs w:val="15"/>
                          </w:rPr>
                          <w:t>月</w:t>
                        </w:r>
                        <w:r>
                          <w:rPr>
                            <w:rFonts w:ascii="宋体" w:hAnsi="宋体" w:cs="宋体" w:eastAsia="宋体" w:hint="default"/>
                            <w:spacing w:val="-56"/>
                            <w:w w:val="100"/>
                            <w:sz w:val="15"/>
                            <w:szCs w:val="15"/>
                          </w:rPr>
                          <w:t> </w:t>
                        </w:r>
                        <w:r>
                          <w:rPr>
                            <w:rFonts w:ascii="Arial" w:hAnsi="Arial" w:cs="Arial" w:eastAsia="Arial" w:hint="default"/>
                            <w:spacing w:val="-1"/>
                            <w:w w:val="100"/>
                            <w:sz w:val="15"/>
                            <w:szCs w:val="15"/>
                          </w:rPr>
                          <w:t>15</w:t>
                        </w:r>
                        <w:r>
                          <w:rPr>
                            <w:rFonts w:ascii="Arial" w:hAnsi="Arial" w:cs="Arial" w:eastAsia="Arial" w:hint="default"/>
                            <w:spacing w:val="-23"/>
                            <w:w w:val="100"/>
                            <w:sz w:val="15"/>
                            <w:szCs w:val="15"/>
                          </w:rPr>
                          <w:t> </w:t>
                        </w:r>
                        <w:r>
                          <w:rPr>
                            <w:rFonts w:ascii="宋体" w:hAnsi="宋体" w:cs="宋体" w:eastAsia="宋体" w:hint="default"/>
                            <w:spacing w:val="-15"/>
                            <w:w w:val="100"/>
                            <w:sz w:val="15"/>
                            <w:szCs w:val="15"/>
                          </w:rPr>
                          <w:t>日，前阳纺织厂出具《说</w:t>
                        </w:r>
                        <w:r>
                          <w:rPr>
                            <w:rFonts w:ascii="宋体" w:hAnsi="宋体" w:cs="宋体" w:eastAsia="宋体" w:hint="default"/>
                            <w:w w:val="100"/>
                            <w:sz w:val="15"/>
                            <w:szCs w:val="15"/>
                          </w:rPr>
                          <w:t> </w:t>
                        </w:r>
                        <w:r>
                          <w:rPr>
                            <w:rFonts w:ascii="宋体" w:hAnsi="宋体" w:cs="宋体" w:eastAsia="宋体" w:hint="default"/>
                            <w:spacing w:val="-2"/>
                            <w:sz w:val="15"/>
                            <w:szCs w:val="15"/>
                          </w:rPr>
                          <w:t>明》，主张其已向青枫公司交货，</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pacing w:val="-4"/>
                            <w:sz w:val="15"/>
                            <w:szCs w:val="15"/>
                          </w:rPr>
                          <w:t>然青枫公司对此不认可；因合同约</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定青枫公司对加工行为负有提请</w:t>
                        </w:r>
                        <w:r>
                          <w:rPr>
                            <w:rFonts w:ascii="宋体" w:hAnsi="宋体" w:cs="宋体" w:eastAsia="宋体" w:hint="default"/>
                            <w:w w:val="100"/>
                            <w:sz w:val="15"/>
                            <w:szCs w:val="15"/>
                          </w:rPr>
                          <w:t> </w:t>
                        </w:r>
                        <w:r>
                          <w:rPr>
                            <w:rFonts w:ascii="宋体" w:hAnsi="宋体" w:cs="宋体" w:eastAsia="宋体" w:hint="default"/>
                            <w:spacing w:val="-4"/>
                            <w:sz w:val="15"/>
                            <w:szCs w:val="15"/>
                          </w:rPr>
                          <w:t>亚麻纱运输计划、监管交付、质量</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4"/>
                            <w:sz w:val="15"/>
                            <w:szCs w:val="15"/>
                          </w:rPr>
                          <w:t>验收等责任，鑫亚公司多次向二被</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pacing w:val="-2"/>
                            <w:sz w:val="15"/>
                            <w:szCs w:val="15"/>
                          </w:rPr>
                          <w:t>告催要，但至今未收到加工产品，</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故公司向法院提起诉讼。</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5"/>
                            <w:szCs w:val="15"/>
                          </w:rPr>
                        </w:pPr>
                        <w:r>
                          <w:rPr>
                            <w:rFonts w:ascii="Arial" w:hAnsi="Arial" w:cs="Arial" w:eastAsia="Arial" w:hint="default"/>
                            <w:spacing w:val="-1"/>
                            <w:w w:val="100"/>
                            <w:sz w:val="15"/>
                            <w:szCs w:val="15"/>
                          </w:rPr>
                          <w:t>201</w:t>
                        </w:r>
                        <w:r>
                          <w:rPr>
                            <w:rFonts w:ascii="Arial" w:hAnsi="Arial" w:cs="Arial" w:eastAsia="Arial" w:hint="default"/>
                            <w:w w:val="100"/>
                            <w:sz w:val="15"/>
                            <w:szCs w:val="15"/>
                          </w:rPr>
                          <w:t>2</w:t>
                        </w:r>
                        <w:r>
                          <w:rPr>
                            <w:rFonts w:ascii="Arial" w:hAnsi="Arial" w:cs="Arial" w:eastAsia="Arial" w:hint="default"/>
                            <w:spacing w:val="-6"/>
                            <w:sz w:val="15"/>
                            <w:szCs w:val="15"/>
                          </w:rPr>
                          <w:t> </w:t>
                        </w:r>
                        <w:r>
                          <w:rPr>
                            <w:rFonts w:ascii="宋体" w:hAnsi="宋体" w:cs="宋体" w:eastAsia="宋体" w:hint="default"/>
                            <w:w w:val="100"/>
                            <w:sz w:val="15"/>
                            <w:szCs w:val="15"/>
                          </w:rPr>
                          <w:t>年</w:t>
                        </w:r>
                        <w:r>
                          <w:rPr>
                            <w:rFonts w:ascii="宋体" w:hAnsi="宋体" w:cs="宋体" w:eastAsia="宋体" w:hint="default"/>
                            <w:spacing w:val="-39"/>
                            <w:sz w:val="15"/>
                            <w:szCs w:val="15"/>
                          </w:rPr>
                          <w:t> </w:t>
                        </w:r>
                        <w:r>
                          <w:rPr>
                            <w:rFonts w:ascii="Arial" w:hAnsi="Arial" w:cs="Arial" w:eastAsia="Arial" w:hint="default"/>
                            <w:w w:val="100"/>
                            <w:sz w:val="15"/>
                            <w:szCs w:val="15"/>
                          </w:rPr>
                          <w:t>7</w:t>
                        </w:r>
                        <w:r>
                          <w:rPr>
                            <w:rFonts w:ascii="Arial" w:hAnsi="Arial" w:cs="Arial" w:eastAsia="Arial" w:hint="default"/>
                            <w:spacing w:val="-6"/>
                            <w:sz w:val="15"/>
                            <w:szCs w:val="15"/>
                          </w:rPr>
                          <w:t> </w:t>
                        </w:r>
                        <w:r>
                          <w:rPr>
                            <w:rFonts w:ascii="宋体" w:hAnsi="宋体" w:cs="宋体" w:eastAsia="宋体" w:hint="default"/>
                            <w:w w:val="100"/>
                            <w:sz w:val="15"/>
                            <w:szCs w:val="15"/>
                          </w:rPr>
                          <w:t>月</w:t>
                        </w:r>
                        <w:r>
                          <w:rPr>
                            <w:rFonts w:ascii="宋体" w:hAnsi="宋体" w:cs="宋体" w:eastAsia="宋体" w:hint="default"/>
                            <w:spacing w:val="-37"/>
                            <w:sz w:val="15"/>
                            <w:szCs w:val="15"/>
                          </w:rPr>
                          <w:t> </w:t>
                        </w:r>
                        <w:r>
                          <w:rPr>
                            <w:rFonts w:ascii="Arial" w:hAnsi="Arial" w:cs="Arial" w:eastAsia="Arial" w:hint="default"/>
                            <w:spacing w:val="-3"/>
                            <w:w w:val="100"/>
                            <w:sz w:val="15"/>
                            <w:szCs w:val="15"/>
                          </w:rPr>
                          <w:t>3</w:t>
                        </w:r>
                        <w:r>
                          <w:rPr>
                            <w:rFonts w:ascii="Arial" w:hAnsi="Arial" w:cs="Arial" w:eastAsia="Arial" w:hint="default"/>
                            <w:w w:val="100"/>
                            <w:sz w:val="15"/>
                            <w:szCs w:val="15"/>
                          </w:rPr>
                          <w:t>1</w:t>
                        </w:r>
                        <w:r>
                          <w:rPr>
                            <w:rFonts w:ascii="Arial" w:hAnsi="Arial" w:cs="Arial" w:eastAsia="Arial" w:hint="default"/>
                            <w:spacing w:val="-4"/>
                            <w:sz w:val="15"/>
                            <w:szCs w:val="15"/>
                          </w:rPr>
                          <w:t> </w:t>
                        </w:r>
                        <w:r>
                          <w:rPr>
                            <w:rFonts w:ascii="宋体" w:hAnsi="宋体" w:cs="宋体" w:eastAsia="宋体" w:hint="default"/>
                            <w:w w:val="100"/>
                            <w:sz w:val="15"/>
                            <w:szCs w:val="15"/>
                          </w:rPr>
                          <w:t>日</w:t>
                        </w:r>
                        <w:r>
                          <w:rPr>
                            <w:rFonts w:ascii="宋体" w:hAnsi="宋体" w:cs="宋体" w:eastAsia="宋体" w:hint="default"/>
                            <w:spacing w:val="-61"/>
                            <w:w w:val="100"/>
                            <w:sz w:val="15"/>
                            <w:szCs w:val="15"/>
                          </w:rPr>
                          <w:t>，</w:t>
                        </w:r>
                        <w:r>
                          <w:rPr>
                            <w:rFonts w:ascii="宋体" w:hAnsi="宋体" w:cs="宋体" w:eastAsia="宋体" w:hint="default"/>
                            <w:w w:val="100"/>
                            <w:sz w:val="15"/>
                            <w:szCs w:val="15"/>
                          </w:rPr>
                          <w:t>鑫</w:t>
                        </w:r>
                        <w:r>
                          <w:rPr>
                            <w:rFonts w:ascii="宋体" w:hAnsi="宋体" w:cs="宋体" w:eastAsia="宋体" w:hint="default"/>
                            <w:spacing w:val="-3"/>
                            <w:w w:val="100"/>
                            <w:sz w:val="15"/>
                            <w:szCs w:val="15"/>
                          </w:rPr>
                          <w:t>亚</w:t>
                        </w:r>
                        <w:r>
                          <w:rPr>
                            <w:rFonts w:ascii="宋体" w:hAnsi="宋体" w:cs="宋体" w:eastAsia="宋体" w:hint="default"/>
                            <w:w w:val="100"/>
                            <w:sz w:val="15"/>
                            <w:szCs w:val="15"/>
                          </w:rPr>
                          <w:t>公</w:t>
                        </w:r>
                        <w:r>
                          <w:rPr>
                            <w:rFonts w:ascii="宋体" w:hAnsi="宋体" w:cs="宋体" w:eastAsia="宋体" w:hint="default"/>
                            <w:spacing w:val="-3"/>
                            <w:w w:val="100"/>
                            <w:sz w:val="15"/>
                            <w:szCs w:val="15"/>
                          </w:rPr>
                          <w:t>司</w:t>
                        </w:r>
                        <w:r>
                          <w:rPr>
                            <w:rFonts w:ascii="宋体" w:hAnsi="宋体" w:cs="宋体" w:eastAsia="宋体" w:hint="default"/>
                            <w:w w:val="100"/>
                            <w:sz w:val="15"/>
                            <w:szCs w:val="15"/>
                          </w:rPr>
                          <w:t>与祝</w:t>
                        </w:r>
                      </w:p>
                    </w:tc>
                  </w:tr>
                  <w:tr>
                    <w:trPr>
                      <w:trHeight w:val="192" w:hRule="exact"/>
                    </w:trPr>
                    <w:tc>
                      <w:tcPr>
                        <w:tcW w:w="612" w:type="dxa"/>
                        <w:tcBorders>
                          <w:top w:val="nil" w:sz="6" w:space="0" w:color="auto"/>
                          <w:left w:val="nil" w:sz="6" w:space="0" w:color="auto"/>
                          <w:bottom w:val="nil" w:sz="6" w:space="0" w:color="auto"/>
                          <w:right w:val="single" w:sz="4" w:space="0" w:color="41B7EE"/>
                        </w:tcBorders>
                      </w:tcPr>
                      <w:p>
                        <w:pPr/>
                      </w:p>
                    </w:tc>
                    <w:tc>
                      <w:tcPr>
                        <w:tcW w:w="1440" w:type="dxa"/>
                        <w:tcBorders>
                          <w:top w:val="nil" w:sz="6" w:space="0" w:color="auto"/>
                          <w:left w:val="single" w:sz="4" w:space="0" w:color="41B7EE"/>
                          <w:bottom w:val="nil" w:sz="6" w:space="0" w:color="auto"/>
                          <w:right w:val="single" w:sz="4" w:space="0" w:color="41B7EE"/>
                        </w:tcBorders>
                      </w:tcPr>
                      <w:p>
                        <w:pPr/>
                      </w:p>
                    </w:tc>
                    <w:tc>
                      <w:tcPr>
                        <w:tcW w:w="600" w:type="dxa"/>
                        <w:tcBorders>
                          <w:top w:val="nil" w:sz="6" w:space="0" w:color="auto"/>
                          <w:left w:val="single" w:sz="4" w:space="0" w:color="41B7EE"/>
                          <w:bottom w:val="nil" w:sz="6" w:space="0" w:color="auto"/>
                          <w:right w:val="single" w:sz="4" w:space="0" w:color="41B7EE"/>
                        </w:tcBorders>
                      </w:tcPr>
                      <w:p>
                        <w:pPr/>
                      </w:p>
                    </w:tc>
                    <w:tc>
                      <w:tcPr>
                        <w:tcW w:w="3632" w:type="dxa"/>
                        <w:tcBorders>
                          <w:top w:val="nil" w:sz="6" w:space="0" w:color="auto"/>
                          <w:left w:val="single" w:sz="4" w:space="0" w:color="41B7EE"/>
                          <w:bottom w:val="nil" w:sz="6" w:space="0" w:color="auto"/>
                          <w:right w:val="single" w:sz="4" w:space="0" w:color="41B7EE"/>
                        </w:tcBorders>
                      </w:tcPr>
                      <w:p>
                        <w:pPr>
                          <w:pStyle w:val="TableParagraph"/>
                          <w:spacing w:line="170" w:lineRule="exact"/>
                          <w:ind w:left="23" w:right="0"/>
                          <w:jc w:val="left"/>
                          <w:rPr>
                            <w:rFonts w:ascii="宋体" w:hAnsi="宋体" w:cs="宋体" w:eastAsia="宋体" w:hint="default"/>
                            <w:sz w:val="15"/>
                            <w:szCs w:val="15"/>
                          </w:rPr>
                        </w:pPr>
                        <w:r>
                          <w:rPr>
                            <w:rFonts w:ascii="宋体" w:hAnsi="宋体" w:cs="宋体" w:eastAsia="宋体" w:hint="default"/>
                            <w:spacing w:val="-4"/>
                            <w:sz w:val="15"/>
                            <w:szCs w:val="15"/>
                          </w:rPr>
                          <w:t>阳公司、青枫公司签订《亚麻布加</w:t>
                        </w:r>
                      </w:p>
                    </w:tc>
                  </w:tr>
                  <w:tr>
                    <w:trPr>
                      <w:trHeight w:val="194" w:hRule="exact"/>
                    </w:trPr>
                    <w:tc>
                      <w:tcPr>
                        <w:tcW w:w="612" w:type="dxa"/>
                        <w:tcBorders>
                          <w:top w:val="nil" w:sz="6" w:space="0" w:color="auto"/>
                          <w:left w:val="nil" w:sz="6" w:space="0" w:color="auto"/>
                          <w:bottom w:val="nil" w:sz="6" w:space="0" w:color="auto"/>
                          <w:right w:val="single" w:sz="4" w:space="0" w:color="41B7EE"/>
                        </w:tcBorders>
                      </w:tcPr>
                      <w:p>
                        <w:pPr/>
                      </w:p>
                    </w:tc>
                    <w:tc>
                      <w:tcPr>
                        <w:tcW w:w="1440" w:type="dxa"/>
                        <w:tcBorders>
                          <w:top w:val="nil" w:sz="6" w:space="0" w:color="auto"/>
                          <w:left w:val="single" w:sz="4" w:space="0" w:color="41B7EE"/>
                          <w:bottom w:val="nil" w:sz="6" w:space="0" w:color="auto"/>
                          <w:right w:val="single" w:sz="4" w:space="0" w:color="41B7EE"/>
                        </w:tcBorders>
                      </w:tcPr>
                      <w:p>
                        <w:pPr/>
                      </w:p>
                    </w:tc>
                    <w:tc>
                      <w:tcPr>
                        <w:tcW w:w="600" w:type="dxa"/>
                        <w:tcBorders>
                          <w:top w:val="nil" w:sz="6" w:space="0" w:color="auto"/>
                          <w:left w:val="single" w:sz="4" w:space="0" w:color="41B7EE"/>
                          <w:bottom w:val="nil" w:sz="6" w:space="0" w:color="auto"/>
                          <w:right w:val="single" w:sz="4" w:space="0" w:color="41B7EE"/>
                        </w:tcBorders>
                      </w:tcPr>
                      <w:p>
                        <w:pPr/>
                      </w:p>
                    </w:tc>
                    <w:tc>
                      <w:tcPr>
                        <w:tcW w:w="3632" w:type="dxa"/>
                        <w:tcBorders>
                          <w:top w:val="nil" w:sz="6" w:space="0" w:color="auto"/>
                          <w:left w:val="single" w:sz="4" w:space="0" w:color="41B7EE"/>
                          <w:bottom w:val="nil" w:sz="6" w:space="0" w:color="auto"/>
                          <w:right w:val="single" w:sz="4" w:space="0" w:color="41B7EE"/>
                        </w:tcBorders>
                      </w:tcPr>
                      <w:p>
                        <w:pPr>
                          <w:pStyle w:val="TableParagraph"/>
                          <w:spacing w:line="173" w:lineRule="exact"/>
                          <w:ind w:left="23" w:right="0"/>
                          <w:jc w:val="left"/>
                          <w:rPr>
                            <w:rFonts w:ascii="宋体" w:hAnsi="宋体" w:cs="宋体" w:eastAsia="宋体" w:hint="default"/>
                            <w:sz w:val="15"/>
                            <w:szCs w:val="15"/>
                          </w:rPr>
                        </w:pPr>
                        <w:r>
                          <w:rPr>
                            <w:rFonts w:ascii="宋体" w:hAnsi="宋体" w:cs="宋体" w:eastAsia="宋体" w:hint="default"/>
                            <w:spacing w:val="-4"/>
                            <w:sz w:val="15"/>
                            <w:szCs w:val="15"/>
                          </w:rPr>
                          <w:t>工合同》，约定祝阳公司为鑫亚公</w:t>
                        </w:r>
                      </w:p>
                    </w:tc>
                  </w:tr>
                  <w:tr>
                    <w:trPr>
                      <w:trHeight w:val="194" w:hRule="exact"/>
                    </w:trPr>
                    <w:tc>
                      <w:tcPr>
                        <w:tcW w:w="612" w:type="dxa"/>
                        <w:tcBorders>
                          <w:top w:val="nil" w:sz="6" w:space="0" w:color="auto"/>
                          <w:left w:val="nil" w:sz="6" w:space="0" w:color="auto"/>
                          <w:bottom w:val="nil" w:sz="6" w:space="0" w:color="auto"/>
                          <w:right w:val="single" w:sz="4" w:space="0" w:color="41B7EE"/>
                        </w:tcBorders>
                      </w:tcPr>
                      <w:p>
                        <w:pPr/>
                      </w:p>
                    </w:tc>
                    <w:tc>
                      <w:tcPr>
                        <w:tcW w:w="1440" w:type="dxa"/>
                        <w:tcBorders>
                          <w:top w:val="nil" w:sz="6" w:space="0" w:color="auto"/>
                          <w:left w:val="single" w:sz="4" w:space="0" w:color="41B7EE"/>
                          <w:bottom w:val="nil" w:sz="6" w:space="0" w:color="auto"/>
                          <w:right w:val="single" w:sz="4" w:space="0" w:color="41B7EE"/>
                        </w:tcBorders>
                      </w:tcPr>
                      <w:p>
                        <w:pPr/>
                      </w:p>
                    </w:tc>
                    <w:tc>
                      <w:tcPr>
                        <w:tcW w:w="600" w:type="dxa"/>
                        <w:tcBorders>
                          <w:top w:val="nil" w:sz="6" w:space="0" w:color="auto"/>
                          <w:left w:val="single" w:sz="4" w:space="0" w:color="41B7EE"/>
                          <w:bottom w:val="nil" w:sz="6" w:space="0" w:color="auto"/>
                          <w:right w:val="single" w:sz="4" w:space="0" w:color="41B7EE"/>
                        </w:tcBorders>
                      </w:tcPr>
                      <w:p>
                        <w:pPr/>
                      </w:p>
                    </w:tc>
                    <w:tc>
                      <w:tcPr>
                        <w:tcW w:w="3632" w:type="dxa"/>
                        <w:tcBorders>
                          <w:top w:val="nil" w:sz="6" w:space="0" w:color="auto"/>
                          <w:left w:val="single" w:sz="4" w:space="0" w:color="41B7EE"/>
                          <w:bottom w:val="nil" w:sz="6" w:space="0" w:color="auto"/>
                          <w:right w:val="single" w:sz="4" w:space="0" w:color="41B7EE"/>
                        </w:tcBorders>
                      </w:tcPr>
                      <w:p>
                        <w:pPr>
                          <w:pStyle w:val="TableParagraph"/>
                          <w:spacing w:line="173" w:lineRule="exact"/>
                          <w:ind w:left="23" w:right="0"/>
                          <w:jc w:val="left"/>
                          <w:rPr>
                            <w:rFonts w:ascii="宋体" w:hAnsi="宋体" w:cs="宋体" w:eastAsia="宋体" w:hint="default"/>
                            <w:sz w:val="15"/>
                            <w:szCs w:val="15"/>
                          </w:rPr>
                        </w:pPr>
                        <w:r>
                          <w:rPr>
                            <w:rFonts w:ascii="宋体" w:hAnsi="宋体" w:cs="宋体" w:eastAsia="宋体" w:hint="default"/>
                            <w:spacing w:val="-4"/>
                            <w:sz w:val="15"/>
                            <w:szCs w:val="15"/>
                          </w:rPr>
                          <w:t>司加工亚麻坯布。合同签订后，鑫</w:t>
                        </w:r>
                      </w:p>
                    </w:tc>
                  </w:tr>
                  <w:tr>
                    <w:trPr>
                      <w:trHeight w:val="194" w:hRule="exact"/>
                    </w:trPr>
                    <w:tc>
                      <w:tcPr>
                        <w:tcW w:w="612" w:type="dxa"/>
                        <w:tcBorders>
                          <w:top w:val="nil" w:sz="6" w:space="0" w:color="auto"/>
                          <w:left w:val="nil" w:sz="6" w:space="0" w:color="auto"/>
                          <w:bottom w:val="nil" w:sz="6" w:space="0" w:color="auto"/>
                          <w:right w:val="single" w:sz="4" w:space="0" w:color="41B7EE"/>
                        </w:tcBorders>
                      </w:tcPr>
                      <w:p>
                        <w:pPr/>
                      </w:p>
                    </w:tc>
                    <w:tc>
                      <w:tcPr>
                        <w:tcW w:w="1440" w:type="dxa"/>
                        <w:tcBorders>
                          <w:top w:val="nil" w:sz="6" w:space="0" w:color="auto"/>
                          <w:left w:val="single" w:sz="4" w:space="0" w:color="41B7EE"/>
                          <w:bottom w:val="nil" w:sz="6" w:space="0" w:color="auto"/>
                          <w:right w:val="single" w:sz="4" w:space="0" w:color="41B7EE"/>
                        </w:tcBorders>
                      </w:tcPr>
                      <w:p>
                        <w:pPr/>
                      </w:p>
                    </w:tc>
                    <w:tc>
                      <w:tcPr>
                        <w:tcW w:w="600" w:type="dxa"/>
                        <w:tcBorders>
                          <w:top w:val="nil" w:sz="6" w:space="0" w:color="auto"/>
                          <w:left w:val="single" w:sz="4" w:space="0" w:color="41B7EE"/>
                          <w:bottom w:val="nil" w:sz="6" w:space="0" w:color="auto"/>
                          <w:right w:val="single" w:sz="4" w:space="0" w:color="41B7EE"/>
                        </w:tcBorders>
                      </w:tcPr>
                      <w:p>
                        <w:pPr/>
                      </w:p>
                    </w:tc>
                    <w:tc>
                      <w:tcPr>
                        <w:tcW w:w="3632" w:type="dxa"/>
                        <w:tcBorders>
                          <w:top w:val="nil" w:sz="6" w:space="0" w:color="auto"/>
                          <w:left w:val="single" w:sz="4" w:space="0" w:color="41B7EE"/>
                          <w:bottom w:val="nil" w:sz="6" w:space="0" w:color="auto"/>
                          <w:right w:val="single" w:sz="4" w:space="0" w:color="41B7EE"/>
                        </w:tcBorders>
                      </w:tcPr>
                      <w:p>
                        <w:pPr>
                          <w:pStyle w:val="TableParagraph"/>
                          <w:spacing w:line="173" w:lineRule="exact"/>
                          <w:ind w:left="23" w:right="0"/>
                          <w:jc w:val="left"/>
                          <w:rPr>
                            <w:rFonts w:ascii="宋体" w:hAnsi="宋体" w:cs="宋体" w:eastAsia="宋体" w:hint="default"/>
                            <w:sz w:val="15"/>
                            <w:szCs w:val="15"/>
                          </w:rPr>
                        </w:pPr>
                        <w:r>
                          <w:rPr>
                            <w:rFonts w:ascii="宋体" w:hAnsi="宋体" w:cs="宋体" w:eastAsia="宋体" w:hint="default"/>
                            <w:sz w:val="15"/>
                            <w:szCs w:val="15"/>
                          </w:rPr>
                          <w:t>亚公司向祝阳公司交付长麻纱原</w:t>
                        </w:r>
                      </w:p>
                    </w:tc>
                  </w:tr>
                  <w:tr>
                    <w:trPr>
                      <w:trHeight w:val="198" w:hRule="exact"/>
                    </w:trPr>
                    <w:tc>
                      <w:tcPr>
                        <w:tcW w:w="612" w:type="dxa"/>
                        <w:tcBorders>
                          <w:top w:val="nil" w:sz="6" w:space="0" w:color="auto"/>
                          <w:left w:val="nil" w:sz="6" w:space="0" w:color="auto"/>
                          <w:bottom w:val="nil" w:sz="6" w:space="0" w:color="auto"/>
                          <w:right w:val="single" w:sz="4" w:space="0" w:color="41B7EE"/>
                        </w:tcBorders>
                      </w:tcPr>
                      <w:p>
                        <w:pPr/>
                      </w:p>
                    </w:tc>
                    <w:tc>
                      <w:tcPr>
                        <w:tcW w:w="1440" w:type="dxa"/>
                        <w:tcBorders>
                          <w:top w:val="nil" w:sz="6" w:space="0" w:color="auto"/>
                          <w:left w:val="single" w:sz="4" w:space="0" w:color="41B7EE"/>
                          <w:bottom w:val="nil" w:sz="6" w:space="0" w:color="auto"/>
                          <w:right w:val="single" w:sz="4" w:space="0" w:color="41B7EE"/>
                        </w:tcBorders>
                      </w:tcPr>
                      <w:p>
                        <w:pPr>
                          <w:pStyle w:val="TableParagraph"/>
                          <w:spacing w:line="173" w:lineRule="exact"/>
                          <w:ind w:left="21" w:right="0"/>
                          <w:jc w:val="left"/>
                          <w:rPr>
                            <w:rFonts w:ascii="宋体" w:hAnsi="宋体" w:cs="宋体" w:eastAsia="宋体" w:hint="default"/>
                            <w:sz w:val="15"/>
                            <w:szCs w:val="15"/>
                          </w:rPr>
                        </w:pPr>
                        <w:r>
                          <w:rPr>
                            <w:rFonts w:ascii="宋体" w:hAnsi="宋体" w:cs="宋体" w:eastAsia="宋体" w:hint="default"/>
                            <w:sz w:val="15"/>
                            <w:szCs w:val="15"/>
                          </w:rPr>
                          <w:t>泰安祝</w:t>
                        </w:r>
                      </w:p>
                    </w:tc>
                    <w:tc>
                      <w:tcPr>
                        <w:tcW w:w="600" w:type="dxa"/>
                        <w:tcBorders>
                          <w:top w:val="nil" w:sz="6" w:space="0" w:color="auto"/>
                          <w:left w:val="single" w:sz="4" w:space="0" w:color="41B7EE"/>
                          <w:bottom w:val="nil" w:sz="6" w:space="0" w:color="auto"/>
                          <w:right w:val="single" w:sz="4" w:space="0" w:color="41B7EE"/>
                        </w:tcBorders>
                      </w:tcPr>
                      <w:p>
                        <w:pPr/>
                      </w:p>
                    </w:tc>
                    <w:tc>
                      <w:tcPr>
                        <w:tcW w:w="3632" w:type="dxa"/>
                        <w:tcBorders>
                          <w:top w:val="nil" w:sz="6" w:space="0" w:color="auto"/>
                          <w:left w:val="single" w:sz="4" w:space="0" w:color="41B7EE"/>
                          <w:bottom w:val="nil" w:sz="6" w:space="0" w:color="auto"/>
                          <w:right w:val="single" w:sz="4" w:space="0" w:color="41B7EE"/>
                        </w:tcBorders>
                      </w:tcPr>
                      <w:p>
                        <w:pPr>
                          <w:pStyle w:val="TableParagraph"/>
                          <w:spacing w:line="183" w:lineRule="exact"/>
                          <w:ind w:left="23" w:right="0"/>
                          <w:jc w:val="left"/>
                          <w:rPr>
                            <w:rFonts w:ascii="Arial" w:hAnsi="Arial" w:cs="Arial" w:eastAsia="Arial" w:hint="default"/>
                            <w:sz w:val="15"/>
                            <w:szCs w:val="15"/>
                          </w:rPr>
                        </w:pPr>
                        <w:r>
                          <w:rPr>
                            <w:rFonts w:ascii="宋体" w:hAnsi="宋体" w:cs="宋体" w:eastAsia="宋体" w:hint="default"/>
                            <w:sz w:val="15"/>
                            <w:szCs w:val="15"/>
                          </w:rPr>
                          <w:t>料</w:t>
                        </w:r>
                        <w:r>
                          <w:rPr>
                            <w:rFonts w:ascii="宋体" w:hAnsi="宋体" w:cs="宋体" w:eastAsia="宋体" w:hint="default"/>
                            <w:spacing w:val="-37"/>
                            <w:sz w:val="15"/>
                            <w:szCs w:val="15"/>
                          </w:rPr>
                          <w:t> </w:t>
                        </w:r>
                        <w:r>
                          <w:rPr>
                            <w:rFonts w:ascii="Arial" w:hAnsi="Arial" w:cs="Arial" w:eastAsia="Arial" w:hint="default"/>
                            <w:sz w:val="15"/>
                            <w:szCs w:val="15"/>
                          </w:rPr>
                          <w:t>41.075</w:t>
                        </w:r>
                        <w:r>
                          <w:rPr>
                            <w:rFonts w:ascii="Arial" w:hAnsi="Arial" w:cs="Arial" w:eastAsia="Arial" w:hint="default"/>
                            <w:spacing w:val="-6"/>
                            <w:sz w:val="15"/>
                            <w:szCs w:val="15"/>
                          </w:rPr>
                          <w:t> </w:t>
                        </w:r>
                        <w:r>
                          <w:rPr>
                            <w:rFonts w:ascii="宋体" w:hAnsi="宋体" w:cs="宋体" w:eastAsia="宋体" w:hint="default"/>
                            <w:sz w:val="15"/>
                            <w:szCs w:val="15"/>
                          </w:rPr>
                          <w:t>吨，短麻纱原料</w:t>
                        </w:r>
                        <w:r>
                          <w:rPr>
                            <w:rFonts w:ascii="宋体" w:hAnsi="宋体" w:cs="宋体" w:eastAsia="宋体" w:hint="default"/>
                            <w:spacing w:val="-36"/>
                            <w:sz w:val="15"/>
                            <w:szCs w:val="15"/>
                          </w:rPr>
                          <w:t> </w:t>
                        </w:r>
                        <w:r>
                          <w:rPr>
                            <w:rFonts w:ascii="Arial" w:hAnsi="Arial" w:cs="Arial" w:eastAsia="Arial" w:hint="default"/>
                            <w:sz w:val="15"/>
                            <w:szCs w:val="15"/>
                          </w:rPr>
                          <w:t>55.75</w:t>
                        </w:r>
                      </w:p>
                    </w:tc>
                  </w:tr>
                  <w:tr>
                    <w:trPr>
                      <w:trHeight w:val="194" w:hRule="exact"/>
                    </w:trPr>
                    <w:tc>
                      <w:tcPr>
                        <w:tcW w:w="612" w:type="dxa"/>
                        <w:tcBorders>
                          <w:top w:val="nil" w:sz="6" w:space="0" w:color="auto"/>
                          <w:left w:val="nil" w:sz="6" w:space="0" w:color="auto"/>
                          <w:bottom w:val="nil" w:sz="6" w:space="0" w:color="auto"/>
                          <w:right w:val="single" w:sz="4" w:space="0" w:color="41B7EE"/>
                        </w:tcBorders>
                      </w:tcPr>
                      <w:p>
                        <w:pPr/>
                      </w:p>
                    </w:tc>
                    <w:tc>
                      <w:tcPr>
                        <w:tcW w:w="1440" w:type="dxa"/>
                        <w:tcBorders>
                          <w:top w:val="nil" w:sz="6" w:space="0" w:color="auto"/>
                          <w:left w:val="single" w:sz="4" w:space="0" w:color="41B7EE"/>
                          <w:bottom w:val="nil" w:sz="6" w:space="0" w:color="auto"/>
                          <w:right w:val="single" w:sz="4" w:space="0" w:color="41B7EE"/>
                        </w:tcBorders>
                      </w:tcPr>
                      <w:p>
                        <w:pPr>
                          <w:pStyle w:val="TableParagraph"/>
                          <w:spacing w:line="169" w:lineRule="exact"/>
                          <w:ind w:left="21" w:right="0"/>
                          <w:jc w:val="left"/>
                          <w:rPr>
                            <w:rFonts w:ascii="宋体" w:hAnsi="宋体" w:cs="宋体" w:eastAsia="宋体" w:hint="default"/>
                            <w:sz w:val="15"/>
                            <w:szCs w:val="15"/>
                          </w:rPr>
                        </w:pPr>
                        <w:r>
                          <w:rPr>
                            <w:rFonts w:ascii="宋体" w:hAnsi="宋体" w:cs="宋体" w:eastAsia="宋体" w:hint="default"/>
                            <w:sz w:val="15"/>
                            <w:szCs w:val="15"/>
                          </w:rPr>
                          <w:t>阳林泰</w:t>
                        </w:r>
                      </w:p>
                    </w:tc>
                    <w:tc>
                      <w:tcPr>
                        <w:tcW w:w="600" w:type="dxa"/>
                        <w:tcBorders>
                          <w:top w:val="nil" w:sz="6" w:space="0" w:color="auto"/>
                          <w:left w:val="single" w:sz="4" w:space="0" w:color="41B7EE"/>
                          <w:bottom w:val="nil" w:sz="6" w:space="0" w:color="auto"/>
                          <w:right w:val="single" w:sz="4" w:space="0" w:color="41B7EE"/>
                        </w:tcBorders>
                      </w:tcPr>
                      <w:p>
                        <w:pPr/>
                      </w:p>
                    </w:tc>
                    <w:tc>
                      <w:tcPr>
                        <w:tcW w:w="3632" w:type="dxa"/>
                        <w:tcBorders>
                          <w:top w:val="nil" w:sz="6" w:space="0" w:color="auto"/>
                          <w:left w:val="single" w:sz="4" w:space="0" w:color="41B7EE"/>
                          <w:bottom w:val="nil" w:sz="6" w:space="0" w:color="auto"/>
                          <w:right w:val="single" w:sz="4" w:space="0" w:color="41B7EE"/>
                        </w:tcBorders>
                      </w:tcPr>
                      <w:p>
                        <w:pPr>
                          <w:pStyle w:val="TableParagraph"/>
                          <w:spacing w:line="180" w:lineRule="exact"/>
                          <w:ind w:left="23" w:right="0"/>
                          <w:jc w:val="left"/>
                          <w:rPr>
                            <w:rFonts w:ascii="宋体" w:hAnsi="宋体" w:cs="宋体" w:eastAsia="宋体" w:hint="default"/>
                            <w:sz w:val="15"/>
                            <w:szCs w:val="15"/>
                          </w:rPr>
                        </w:pPr>
                        <w:r>
                          <w:rPr>
                            <w:rFonts w:ascii="宋体" w:hAnsi="宋体" w:cs="宋体" w:eastAsia="宋体" w:hint="default"/>
                            <w:sz w:val="15"/>
                            <w:szCs w:val="15"/>
                          </w:rPr>
                          <w:t>吨</w:t>
                        </w:r>
                        <w:r>
                          <w:rPr>
                            <w:rFonts w:ascii="Arial" w:hAnsi="Arial" w:cs="Arial" w:eastAsia="Arial" w:hint="default"/>
                            <w:sz w:val="15"/>
                            <w:szCs w:val="15"/>
                          </w:rPr>
                          <w:t>,</w:t>
                        </w:r>
                        <w:r>
                          <w:rPr>
                            <w:rFonts w:ascii="宋体" w:hAnsi="宋体" w:cs="宋体" w:eastAsia="宋体" w:hint="default"/>
                            <w:sz w:val="15"/>
                            <w:szCs w:val="15"/>
                          </w:rPr>
                          <w:t>共计</w:t>
                        </w:r>
                        <w:r>
                          <w:rPr>
                            <w:rFonts w:ascii="宋体" w:hAnsi="宋体" w:cs="宋体" w:eastAsia="宋体" w:hint="default"/>
                            <w:spacing w:val="-33"/>
                            <w:sz w:val="15"/>
                            <w:szCs w:val="15"/>
                          </w:rPr>
                          <w:t> </w:t>
                        </w:r>
                        <w:r>
                          <w:rPr>
                            <w:rFonts w:ascii="Arial" w:hAnsi="Arial" w:cs="Arial" w:eastAsia="Arial" w:hint="default"/>
                            <w:sz w:val="15"/>
                            <w:szCs w:val="15"/>
                          </w:rPr>
                          <w:t>96.825</w:t>
                        </w:r>
                        <w:r>
                          <w:rPr>
                            <w:rFonts w:ascii="Arial" w:hAnsi="Arial" w:cs="Arial" w:eastAsia="Arial" w:hint="default"/>
                            <w:spacing w:val="2"/>
                            <w:sz w:val="15"/>
                            <w:szCs w:val="15"/>
                          </w:rPr>
                          <w:t> </w:t>
                        </w:r>
                        <w:r>
                          <w:rPr>
                            <w:rFonts w:ascii="宋体" w:hAnsi="宋体" w:cs="宋体" w:eastAsia="宋体" w:hint="default"/>
                            <w:spacing w:val="-3"/>
                            <w:sz w:val="15"/>
                            <w:szCs w:val="15"/>
                          </w:rPr>
                          <w:t>吨。但祝阳公司未</w:t>
                        </w:r>
                      </w:p>
                    </w:tc>
                  </w:tr>
                  <w:tr>
                    <w:trPr>
                      <w:trHeight w:val="191" w:hRule="exact"/>
                    </w:trPr>
                    <w:tc>
                      <w:tcPr>
                        <w:tcW w:w="612" w:type="dxa"/>
                        <w:tcBorders>
                          <w:top w:val="nil" w:sz="6" w:space="0" w:color="auto"/>
                          <w:left w:val="nil" w:sz="6" w:space="0" w:color="auto"/>
                          <w:bottom w:val="nil" w:sz="6" w:space="0" w:color="auto"/>
                          <w:right w:val="single" w:sz="4" w:space="0" w:color="41B7EE"/>
                        </w:tcBorders>
                      </w:tcPr>
                      <w:p>
                        <w:pPr>
                          <w:pStyle w:val="TableParagraph"/>
                          <w:spacing w:line="169" w:lineRule="exact"/>
                          <w:ind w:left="28" w:right="0"/>
                          <w:jc w:val="left"/>
                          <w:rPr>
                            <w:rFonts w:ascii="宋体" w:hAnsi="宋体" w:cs="宋体" w:eastAsia="宋体" w:hint="default"/>
                            <w:sz w:val="15"/>
                            <w:szCs w:val="15"/>
                          </w:rPr>
                        </w:pPr>
                        <w:r>
                          <w:rPr>
                            <w:rFonts w:ascii="宋体" w:hAnsi="宋体" w:cs="宋体" w:eastAsia="宋体" w:hint="default"/>
                            <w:sz w:val="15"/>
                            <w:szCs w:val="15"/>
                          </w:rPr>
                          <w:t>北大荒</w:t>
                        </w:r>
                      </w:p>
                    </w:tc>
                    <w:tc>
                      <w:tcPr>
                        <w:tcW w:w="1440" w:type="dxa"/>
                        <w:tcBorders>
                          <w:top w:val="nil" w:sz="6" w:space="0" w:color="auto"/>
                          <w:left w:val="single" w:sz="4" w:space="0" w:color="41B7EE"/>
                          <w:bottom w:val="nil" w:sz="6" w:space="0" w:color="auto"/>
                          <w:right w:val="single" w:sz="4" w:space="0" w:color="41B7EE"/>
                        </w:tcBorders>
                      </w:tcPr>
                      <w:p>
                        <w:pPr>
                          <w:pStyle w:val="TableParagraph"/>
                          <w:spacing w:line="169" w:lineRule="exact"/>
                          <w:ind w:left="21" w:right="0"/>
                          <w:jc w:val="left"/>
                          <w:rPr>
                            <w:rFonts w:ascii="宋体" w:hAnsi="宋体" w:cs="宋体" w:eastAsia="宋体" w:hint="default"/>
                            <w:sz w:val="15"/>
                            <w:szCs w:val="15"/>
                          </w:rPr>
                        </w:pPr>
                        <w:r>
                          <w:rPr>
                            <w:rFonts w:ascii="宋体" w:hAnsi="宋体" w:cs="宋体" w:eastAsia="宋体" w:hint="default"/>
                            <w:sz w:val="15"/>
                            <w:szCs w:val="15"/>
                          </w:rPr>
                          <w:t>亚麻纺</w:t>
                        </w:r>
                      </w:p>
                    </w:tc>
                    <w:tc>
                      <w:tcPr>
                        <w:tcW w:w="600" w:type="dxa"/>
                        <w:tcBorders>
                          <w:top w:val="nil" w:sz="6" w:space="0" w:color="auto"/>
                          <w:left w:val="single" w:sz="4" w:space="0" w:color="41B7EE"/>
                          <w:bottom w:val="nil" w:sz="6" w:space="0" w:color="auto"/>
                          <w:right w:val="single" w:sz="4" w:space="0" w:color="41B7EE"/>
                        </w:tcBorders>
                      </w:tcPr>
                      <w:p>
                        <w:pPr/>
                      </w:p>
                    </w:tc>
                    <w:tc>
                      <w:tcPr>
                        <w:tcW w:w="3632" w:type="dxa"/>
                        <w:tcBorders>
                          <w:top w:val="nil" w:sz="6" w:space="0" w:color="auto"/>
                          <w:left w:val="single" w:sz="4" w:space="0" w:color="41B7EE"/>
                          <w:bottom w:val="nil" w:sz="6" w:space="0" w:color="auto"/>
                          <w:right w:val="single" w:sz="4" w:space="0" w:color="41B7EE"/>
                        </w:tcBorders>
                      </w:tcPr>
                      <w:p>
                        <w:pPr>
                          <w:pStyle w:val="TableParagraph"/>
                          <w:spacing w:line="169" w:lineRule="exact"/>
                          <w:ind w:left="23" w:right="0"/>
                          <w:jc w:val="left"/>
                          <w:rPr>
                            <w:rFonts w:ascii="宋体" w:hAnsi="宋体" w:cs="宋体" w:eastAsia="宋体" w:hint="default"/>
                            <w:sz w:val="15"/>
                            <w:szCs w:val="15"/>
                          </w:rPr>
                        </w:pPr>
                        <w:r>
                          <w:rPr>
                            <w:rFonts w:ascii="宋体" w:hAnsi="宋体" w:cs="宋体" w:eastAsia="宋体" w:hint="default"/>
                            <w:sz w:val="15"/>
                            <w:szCs w:val="15"/>
                          </w:rPr>
                          <w:t>按合同约定向鑫亚公司报告加工</w:t>
                        </w:r>
                      </w:p>
                    </w:tc>
                  </w:tr>
                  <w:tr>
                    <w:trPr>
                      <w:trHeight w:val="194" w:hRule="exact"/>
                    </w:trPr>
                    <w:tc>
                      <w:tcPr>
                        <w:tcW w:w="612" w:type="dxa"/>
                        <w:tcBorders>
                          <w:top w:val="nil" w:sz="6" w:space="0" w:color="auto"/>
                          <w:left w:val="nil" w:sz="6" w:space="0" w:color="auto"/>
                          <w:bottom w:val="nil" w:sz="6" w:space="0" w:color="auto"/>
                          <w:right w:val="single" w:sz="4" w:space="0" w:color="41B7EE"/>
                        </w:tcBorders>
                      </w:tcPr>
                      <w:p>
                        <w:pPr>
                          <w:pStyle w:val="TableParagraph"/>
                          <w:spacing w:line="173" w:lineRule="exact"/>
                          <w:ind w:left="28" w:right="0"/>
                          <w:jc w:val="left"/>
                          <w:rPr>
                            <w:rFonts w:ascii="宋体" w:hAnsi="宋体" w:cs="宋体" w:eastAsia="宋体" w:hint="default"/>
                            <w:sz w:val="15"/>
                            <w:szCs w:val="15"/>
                          </w:rPr>
                        </w:pPr>
                        <w:r>
                          <w:rPr>
                            <w:rFonts w:ascii="宋体" w:hAnsi="宋体" w:cs="宋体" w:eastAsia="宋体" w:hint="default"/>
                            <w:sz w:val="15"/>
                            <w:szCs w:val="15"/>
                          </w:rPr>
                          <w:t>鑫亚经</w:t>
                        </w:r>
                      </w:p>
                    </w:tc>
                    <w:tc>
                      <w:tcPr>
                        <w:tcW w:w="1440" w:type="dxa"/>
                        <w:tcBorders>
                          <w:top w:val="nil" w:sz="6" w:space="0" w:color="auto"/>
                          <w:left w:val="single" w:sz="4" w:space="0" w:color="41B7EE"/>
                          <w:bottom w:val="nil" w:sz="6" w:space="0" w:color="auto"/>
                          <w:right w:val="single" w:sz="4" w:space="0" w:color="41B7EE"/>
                        </w:tcBorders>
                      </w:tcPr>
                      <w:p>
                        <w:pPr>
                          <w:pStyle w:val="TableParagraph"/>
                          <w:spacing w:line="173" w:lineRule="exact"/>
                          <w:ind w:left="21" w:right="0"/>
                          <w:jc w:val="left"/>
                          <w:rPr>
                            <w:rFonts w:ascii="宋体" w:hAnsi="宋体" w:cs="宋体" w:eastAsia="宋体" w:hint="default"/>
                            <w:sz w:val="15"/>
                            <w:szCs w:val="15"/>
                          </w:rPr>
                        </w:pPr>
                        <w:r>
                          <w:rPr>
                            <w:rFonts w:ascii="宋体" w:hAnsi="宋体" w:cs="宋体" w:eastAsia="宋体" w:hint="default"/>
                            <w:sz w:val="15"/>
                            <w:szCs w:val="15"/>
                          </w:rPr>
                          <w:t>织有限</w:t>
                        </w:r>
                      </w:p>
                    </w:tc>
                    <w:tc>
                      <w:tcPr>
                        <w:tcW w:w="600" w:type="dxa"/>
                        <w:tcBorders>
                          <w:top w:val="nil" w:sz="6" w:space="0" w:color="auto"/>
                          <w:left w:val="single" w:sz="4" w:space="0" w:color="41B7EE"/>
                          <w:bottom w:val="nil" w:sz="6" w:space="0" w:color="auto"/>
                          <w:right w:val="single" w:sz="4" w:space="0" w:color="41B7EE"/>
                        </w:tcBorders>
                      </w:tcPr>
                      <w:p>
                        <w:pPr/>
                      </w:p>
                    </w:tc>
                    <w:tc>
                      <w:tcPr>
                        <w:tcW w:w="3632" w:type="dxa"/>
                        <w:tcBorders>
                          <w:top w:val="nil" w:sz="6" w:space="0" w:color="auto"/>
                          <w:left w:val="single" w:sz="4" w:space="0" w:color="41B7EE"/>
                          <w:bottom w:val="nil" w:sz="6" w:space="0" w:color="auto"/>
                          <w:right w:val="single" w:sz="4" w:space="0" w:color="41B7EE"/>
                        </w:tcBorders>
                      </w:tcPr>
                      <w:p>
                        <w:pPr>
                          <w:pStyle w:val="TableParagraph"/>
                          <w:spacing w:line="173" w:lineRule="exact"/>
                          <w:ind w:left="23" w:right="0"/>
                          <w:jc w:val="left"/>
                          <w:rPr>
                            <w:rFonts w:ascii="宋体" w:hAnsi="宋体" w:cs="宋体" w:eastAsia="宋体" w:hint="default"/>
                            <w:sz w:val="15"/>
                            <w:szCs w:val="15"/>
                          </w:rPr>
                        </w:pPr>
                        <w:r>
                          <w:rPr>
                            <w:rFonts w:ascii="宋体" w:hAnsi="宋体" w:cs="宋体" w:eastAsia="宋体" w:hint="default"/>
                            <w:spacing w:val="-4"/>
                            <w:sz w:val="15"/>
                            <w:szCs w:val="15"/>
                          </w:rPr>
                          <w:t>进度，也未按合同约定在鑫亚公司</w:t>
                        </w:r>
                      </w:p>
                    </w:tc>
                  </w:tr>
                  <w:tr>
                    <w:trPr>
                      <w:trHeight w:val="197" w:hRule="exact"/>
                    </w:trPr>
                    <w:tc>
                      <w:tcPr>
                        <w:tcW w:w="612" w:type="dxa"/>
                        <w:tcBorders>
                          <w:top w:val="nil" w:sz="6" w:space="0" w:color="auto"/>
                          <w:left w:val="nil" w:sz="6" w:space="0" w:color="auto"/>
                          <w:bottom w:val="nil" w:sz="6" w:space="0" w:color="auto"/>
                          <w:right w:val="single" w:sz="4" w:space="0" w:color="41B7EE"/>
                        </w:tcBorders>
                      </w:tcPr>
                      <w:p>
                        <w:pPr>
                          <w:pStyle w:val="TableParagraph"/>
                          <w:spacing w:line="173" w:lineRule="exact"/>
                          <w:ind w:left="28" w:right="0"/>
                          <w:jc w:val="left"/>
                          <w:rPr>
                            <w:rFonts w:ascii="宋体" w:hAnsi="宋体" w:cs="宋体" w:eastAsia="宋体" w:hint="default"/>
                            <w:sz w:val="15"/>
                            <w:szCs w:val="15"/>
                          </w:rPr>
                        </w:pPr>
                        <w:r>
                          <w:rPr>
                            <w:rFonts w:ascii="宋体" w:hAnsi="宋体" w:cs="宋体" w:eastAsia="宋体" w:hint="default"/>
                            <w:sz w:val="15"/>
                            <w:szCs w:val="15"/>
                          </w:rPr>
                          <w:t>贸有限</w:t>
                        </w:r>
                      </w:p>
                    </w:tc>
                    <w:tc>
                      <w:tcPr>
                        <w:tcW w:w="1440" w:type="dxa"/>
                        <w:tcBorders>
                          <w:top w:val="nil" w:sz="6" w:space="0" w:color="auto"/>
                          <w:left w:val="single" w:sz="4" w:space="0" w:color="41B7EE"/>
                          <w:bottom w:val="nil" w:sz="6" w:space="0" w:color="auto"/>
                          <w:right w:val="single" w:sz="4" w:space="0" w:color="41B7EE"/>
                        </w:tcBorders>
                      </w:tcPr>
                      <w:p>
                        <w:pPr>
                          <w:pStyle w:val="TableParagraph"/>
                          <w:spacing w:line="173" w:lineRule="exact"/>
                          <w:ind w:left="21" w:right="0"/>
                          <w:jc w:val="left"/>
                          <w:rPr>
                            <w:rFonts w:ascii="宋体" w:hAnsi="宋体" w:cs="宋体" w:eastAsia="宋体" w:hint="default"/>
                            <w:sz w:val="15"/>
                            <w:szCs w:val="15"/>
                          </w:rPr>
                        </w:pPr>
                        <w:r>
                          <w:rPr>
                            <w:rFonts w:ascii="宋体" w:hAnsi="宋体" w:cs="宋体" w:eastAsia="宋体" w:hint="default"/>
                            <w:spacing w:val="-3"/>
                            <w:sz w:val="15"/>
                            <w:szCs w:val="15"/>
                          </w:rPr>
                          <w:t>公司、北</w:t>
                        </w:r>
                        <w:r>
                          <w:rPr>
                            <w:rFonts w:ascii="宋体" w:hAnsi="宋体" w:cs="宋体" w:eastAsia="宋体" w:hint="default"/>
                            <w:spacing w:val="-14"/>
                            <w:sz w:val="15"/>
                            <w:szCs w:val="15"/>
                          </w:rPr>
                          <w:t> </w:t>
                        </w:r>
                        <w:r>
                          <w:rPr>
                            <w:rFonts w:ascii="宋体" w:hAnsi="宋体" w:cs="宋体" w:eastAsia="宋体" w:hint="default"/>
                            <w:sz w:val="15"/>
                            <w:szCs w:val="15"/>
                          </w:rPr>
                          <w:t>无</w:t>
                        </w:r>
                      </w:p>
                    </w:tc>
                    <w:tc>
                      <w:tcPr>
                        <w:tcW w:w="600" w:type="dxa"/>
                        <w:tcBorders>
                          <w:top w:val="nil" w:sz="6" w:space="0" w:color="auto"/>
                          <w:left w:val="single" w:sz="4" w:space="0" w:color="41B7EE"/>
                          <w:bottom w:val="nil" w:sz="6" w:space="0" w:color="auto"/>
                          <w:right w:val="single" w:sz="4" w:space="0" w:color="41B7EE"/>
                        </w:tcBorders>
                      </w:tcPr>
                      <w:p>
                        <w:pPr>
                          <w:pStyle w:val="TableParagraph"/>
                          <w:spacing w:line="173" w:lineRule="exact"/>
                          <w:ind w:left="23" w:right="0"/>
                          <w:jc w:val="left"/>
                          <w:rPr>
                            <w:rFonts w:ascii="宋体" w:hAnsi="宋体" w:cs="宋体" w:eastAsia="宋体" w:hint="default"/>
                            <w:sz w:val="15"/>
                            <w:szCs w:val="15"/>
                          </w:rPr>
                        </w:pPr>
                        <w:r>
                          <w:rPr>
                            <w:rFonts w:ascii="宋体" w:hAnsi="宋体" w:cs="宋体" w:eastAsia="宋体" w:hint="default"/>
                            <w:sz w:val="15"/>
                            <w:szCs w:val="15"/>
                          </w:rPr>
                          <w:t>诉讼</w:t>
                        </w:r>
                      </w:p>
                    </w:tc>
                    <w:tc>
                      <w:tcPr>
                        <w:tcW w:w="3632" w:type="dxa"/>
                        <w:tcBorders>
                          <w:top w:val="nil" w:sz="6" w:space="0" w:color="auto"/>
                          <w:left w:val="single" w:sz="4" w:space="0" w:color="41B7EE"/>
                          <w:bottom w:val="nil" w:sz="6" w:space="0" w:color="auto"/>
                          <w:right w:val="single" w:sz="4" w:space="0" w:color="41B7EE"/>
                        </w:tcBorders>
                      </w:tcPr>
                      <w:p>
                        <w:pPr>
                          <w:pStyle w:val="TableParagraph"/>
                          <w:tabs>
                            <w:tab w:pos="2722" w:val="left" w:leader="none"/>
                          </w:tabs>
                          <w:spacing w:line="183" w:lineRule="exact"/>
                          <w:ind w:left="23" w:right="0"/>
                          <w:jc w:val="left"/>
                          <w:rPr>
                            <w:rFonts w:ascii="Arial" w:hAnsi="Arial" w:cs="Arial" w:eastAsia="Arial" w:hint="default"/>
                            <w:sz w:val="15"/>
                            <w:szCs w:val="15"/>
                          </w:rPr>
                        </w:pPr>
                        <w:r>
                          <w:rPr>
                            <w:rFonts w:ascii="宋体" w:hAnsi="宋体" w:cs="宋体" w:eastAsia="宋体" w:hint="default"/>
                            <w:spacing w:val="-2"/>
                            <w:sz w:val="15"/>
                            <w:szCs w:val="15"/>
                          </w:rPr>
                          <w:t>和青枫公司共同签章后办理产成</w:t>
                          <w:tab/>
                        </w:r>
                        <w:r>
                          <w:rPr>
                            <w:rFonts w:ascii="Arial" w:hAnsi="Arial" w:cs="Arial" w:eastAsia="Arial" w:hint="default"/>
                            <w:spacing w:val="-1"/>
                            <w:sz w:val="15"/>
                            <w:szCs w:val="15"/>
                          </w:rPr>
                          <w:t>14,228,014.5</w:t>
                        </w:r>
                      </w:p>
                    </w:tc>
                  </w:tr>
                  <w:tr>
                    <w:trPr>
                      <w:trHeight w:val="196" w:hRule="exact"/>
                    </w:trPr>
                    <w:tc>
                      <w:tcPr>
                        <w:tcW w:w="612" w:type="dxa"/>
                        <w:tcBorders>
                          <w:top w:val="nil" w:sz="6" w:space="0" w:color="auto"/>
                          <w:left w:val="nil" w:sz="6" w:space="0" w:color="auto"/>
                          <w:bottom w:val="nil" w:sz="6" w:space="0" w:color="auto"/>
                          <w:right w:val="single" w:sz="4" w:space="0" w:color="41B7EE"/>
                        </w:tcBorders>
                      </w:tcPr>
                      <w:p>
                        <w:pPr>
                          <w:pStyle w:val="TableParagraph"/>
                          <w:spacing w:line="170" w:lineRule="exact"/>
                          <w:ind w:left="28" w:right="0"/>
                          <w:jc w:val="left"/>
                          <w:rPr>
                            <w:rFonts w:ascii="宋体" w:hAnsi="宋体" w:cs="宋体" w:eastAsia="宋体" w:hint="default"/>
                            <w:sz w:val="15"/>
                            <w:szCs w:val="15"/>
                          </w:rPr>
                        </w:pPr>
                        <w:r>
                          <w:rPr>
                            <w:rFonts w:ascii="宋体" w:hAnsi="宋体" w:cs="宋体" w:eastAsia="宋体" w:hint="default"/>
                            <w:sz w:val="15"/>
                            <w:szCs w:val="15"/>
                          </w:rPr>
                          <w:t>责任公</w:t>
                        </w:r>
                      </w:p>
                    </w:tc>
                    <w:tc>
                      <w:tcPr>
                        <w:tcW w:w="1440" w:type="dxa"/>
                        <w:tcBorders>
                          <w:top w:val="nil" w:sz="6" w:space="0" w:color="auto"/>
                          <w:left w:val="single" w:sz="4" w:space="0" w:color="41B7EE"/>
                          <w:bottom w:val="nil" w:sz="6" w:space="0" w:color="auto"/>
                          <w:right w:val="single" w:sz="4" w:space="0" w:color="41B7EE"/>
                        </w:tcBorders>
                      </w:tcPr>
                      <w:p>
                        <w:pPr>
                          <w:pStyle w:val="TableParagraph"/>
                          <w:spacing w:line="170" w:lineRule="exact"/>
                          <w:ind w:left="21" w:right="0"/>
                          <w:jc w:val="left"/>
                          <w:rPr>
                            <w:rFonts w:ascii="宋体" w:hAnsi="宋体" w:cs="宋体" w:eastAsia="宋体" w:hint="default"/>
                            <w:sz w:val="15"/>
                            <w:szCs w:val="15"/>
                          </w:rPr>
                        </w:pPr>
                        <w:r>
                          <w:rPr>
                            <w:rFonts w:ascii="宋体" w:hAnsi="宋体" w:cs="宋体" w:eastAsia="宋体" w:hint="default"/>
                            <w:sz w:val="15"/>
                            <w:szCs w:val="15"/>
                          </w:rPr>
                          <w:t>大荒青</w:t>
                        </w:r>
                      </w:p>
                    </w:tc>
                    <w:tc>
                      <w:tcPr>
                        <w:tcW w:w="600" w:type="dxa"/>
                        <w:tcBorders>
                          <w:top w:val="nil" w:sz="6" w:space="0" w:color="auto"/>
                          <w:left w:val="single" w:sz="4" w:space="0" w:color="41B7EE"/>
                          <w:bottom w:val="nil" w:sz="6" w:space="0" w:color="auto"/>
                          <w:right w:val="single" w:sz="4" w:space="0" w:color="41B7EE"/>
                        </w:tcBorders>
                      </w:tcPr>
                      <w:p>
                        <w:pPr/>
                      </w:p>
                    </w:tc>
                    <w:tc>
                      <w:tcPr>
                        <w:tcW w:w="3632" w:type="dxa"/>
                        <w:tcBorders>
                          <w:top w:val="nil" w:sz="6" w:space="0" w:color="auto"/>
                          <w:left w:val="single" w:sz="4" w:space="0" w:color="41B7EE"/>
                          <w:bottom w:val="nil" w:sz="6" w:space="0" w:color="auto"/>
                          <w:right w:val="single" w:sz="4" w:space="0" w:color="41B7EE"/>
                        </w:tcBorders>
                      </w:tcPr>
                      <w:p>
                        <w:pPr>
                          <w:pStyle w:val="TableParagraph"/>
                          <w:spacing w:line="181" w:lineRule="exact"/>
                          <w:ind w:left="23" w:right="0"/>
                          <w:jc w:val="left"/>
                          <w:rPr>
                            <w:rFonts w:ascii="宋体" w:hAnsi="宋体" w:cs="宋体" w:eastAsia="宋体" w:hint="default"/>
                            <w:sz w:val="15"/>
                            <w:szCs w:val="15"/>
                          </w:rPr>
                        </w:pPr>
                        <w:r>
                          <w:rPr>
                            <w:rFonts w:ascii="宋体" w:hAnsi="宋体" w:cs="宋体" w:eastAsia="宋体" w:hint="default"/>
                            <w:w w:val="100"/>
                            <w:sz w:val="15"/>
                            <w:szCs w:val="15"/>
                          </w:rPr>
                          <w:t>品出</w:t>
                        </w:r>
                        <w:r>
                          <w:rPr>
                            <w:rFonts w:ascii="宋体" w:hAnsi="宋体" w:cs="宋体" w:eastAsia="宋体" w:hint="default"/>
                            <w:spacing w:val="-3"/>
                            <w:w w:val="100"/>
                            <w:sz w:val="15"/>
                            <w:szCs w:val="15"/>
                          </w:rPr>
                          <w:t>库</w:t>
                        </w:r>
                        <w:r>
                          <w:rPr>
                            <w:rFonts w:ascii="宋体" w:hAnsi="宋体" w:cs="宋体" w:eastAsia="宋体" w:hint="default"/>
                            <w:w w:val="100"/>
                            <w:sz w:val="15"/>
                            <w:szCs w:val="15"/>
                          </w:rPr>
                          <w:t>手</w:t>
                        </w:r>
                        <w:r>
                          <w:rPr>
                            <w:rFonts w:ascii="宋体" w:hAnsi="宋体" w:cs="宋体" w:eastAsia="宋体" w:hint="default"/>
                            <w:spacing w:val="-3"/>
                            <w:w w:val="100"/>
                            <w:sz w:val="15"/>
                            <w:szCs w:val="15"/>
                          </w:rPr>
                          <w:t>续</w:t>
                        </w:r>
                        <w:r>
                          <w:rPr>
                            <w:rFonts w:ascii="宋体" w:hAnsi="宋体" w:cs="宋体" w:eastAsia="宋体" w:hint="default"/>
                            <w:spacing w:val="-65"/>
                            <w:w w:val="100"/>
                            <w:sz w:val="15"/>
                            <w:szCs w:val="15"/>
                          </w:rPr>
                          <w:t>，</w:t>
                        </w:r>
                        <w:r>
                          <w:rPr>
                            <w:rFonts w:ascii="Arial" w:hAnsi="Arial" w:cs="Arial" w:eastAsia="Arial" w:hint="default"/>
                            <w:w w:val="100"/>
                            <w:sz w:val="15"/>
                            <w:szCs w:val="15"/>
                          </w:rPr>
                          <w:t>2</w:t>
                        </w:r>
                        <w:r>
                          <w:rPr>
                            <w:rFonts w:ascii="Arial" w:hAnsi="Arial" w:cs="Arial" w:eastAsia="Arial" w:hint="default"/>
                            <w:spacing w:val="-3"/>
                            <w:w w:val="100"/>
                            <w:sz w:val="15"/>
                            <w:szCs w:val="15"/>
                          </w:rPr>
                          <w:t>0</w:t>
                        </w:r>
                        <w:r>
                          <w:rPr>
                            <w:rFonts w:ascii="Arial" w:hAnsi="Arial" w:cs="Arial" w:eastAsia="Arial" w:hint="default"/>
                            <w:w w:val="100"/>
                            <w:sz w:val="15"/>
                            <w:szCs w:val="15"/>
                          </w:rPr>
                          <w:t>13</w:t>
                        </w:r>
                        <w:r>
                          <w:rPr>
                            <w:rFonts w:ascii="Arial" w:hAnsi="Arial" w:cs="Arial" w:eastAsia="Arial" w:hint="default"/>
                            <w:spacing w:val="-6"/>
                            <w:sz w:val="15"/>
                            <w:szCs w:val="15"/>
                          </w:rPr>
                          <w:t> </w:t>
                        </w:r>
                        <w:r>
                          <w:rPr>
                            <w:rFonts w:ascii="宋体" w:hAnsi="宋体" w:cs="宋体" w:eastAsia="宋体" w:hint="default"/>
                            <w:w w:val="100"/>
                            <w:sz w:val="15"/>
                            <w:szCs w:val="15"/>
                          </w:rPr>
                          <w:t>年</w:t>
                        </w:r>
                        <w:r>
                          <w:rPr>
                            <w:rFonts w:ascii="宋体" w:hAnsi="宋体" w:cs="宋体" w:eastAsia="宋体" w:hint="default"/>
                            <w:spacing w:val="-37"/>
                            <w:sz w:val="15"/>
                            <w:szCs w:val="15"/>
                          </w:rPr>
                          <w:t> </w:t>
                        </w:r>
                        <w:r>
                          <w:rPr>
                            <w:rFonts w:ascii="Arial" w:hAnsi="Arial" w:cs="Arial" w:eastAsia="Arial" w:hint="default"/>
                            <w:spacing w:val="-3"/>
                            <w:w w:val="100"/>
                            <w:sz w:val="15"/>
                            <w:szCs w:val="15"/>
                          </w:rPr>
                          <w:t>1</w:t>
                        </w:r>
                        <w:r>
                          <w:rPr>
                            <w:rFonts w:ascii="Arial" w:hAnsi="Arial" w:cs="Arial" w:eastAsia="Arial" w:hint="default"/>
                            <w:w w:val="100"/>
                            <w:sz w:val="15"/>
                            <w:szCs w:val="15"/>
                          </w:rPr>
                          <w:t>0</w:t>
                        </w:r>
                        <w:r>
                          <w:rPr>
                            <w:rFonts w:ascii="Arial" w:hAnsi="Arial" w:cs="Arial" w:eastAsia="Arial" w:hint="default"/>
                            <w:spacing w:val="-6"/>
                            <w:sz w:val="15"/>
                            <w:szCs w:val="15"/>
                          </w:rPr>
                          <w:t> </w:t>
                        </w:r>
                        <w:r>
                          <w:rPr>
                            <w:rFonts w:ascii="宋体" w:hAnsi="宋体" w:cs="宋体" w:eastAsia="宋体" w:hint="default"/>
                            <w:w w:val="100"/>
                            <w:sz w:val="15"/>
                            <w:szCs w:val="15"/>
                          </w:rPr>
                          <w:t>月</w:t>
                        </w:r>
                        <w:r>
                          <w:rPr>
                            <w:rFonts w:ascii="宋体" w:hAnsi="宋体" w:cs="宋体" w:eastAsia="宋体" w:hint="default"/>
                            <w:spacing w:val="-37"/>
                            <w:sz w:val="15"/>
                            <w:szCs w:val="15"/>
                          </w:rPr>
                          <w:t> </w:t>
                        </w:r>
                        <w:r>
                          <w:rPr>
                            <w:rFonts w:ascii="Arial" w:hAnsi="Arial" w:cs="Arial" w:eastAsia="Arial" w:hint="default"/>
                            <w:spacing w:val="-3"/>
                            <w:w w:val="100"/>
                            <w:sz w:val="15"/>
                            <w:szCs w:val="15"/>
                          </w:rPr>
                          <w:t>1</w:t>
                        </w:r>
                        <w:r>
                          <w:rPr>
                            <w:rFonts w:ascii="Arial" w:hAnsi="Arial" w:cs="Arial" w:eastAsia="Arial" w:hint="default"/>
                            <w:w w:val="100"/>
                            <w:sz w:val="15"/>
                            <w:szCs w:val="15"/>
                          </w:rPr>
                          <w:t>7</w:t>
                        </w:r>
                        <w:r>
                          <w:rPr>
                            <w:rFonts w:ascii="Arial" w:hAnsi="Arial" w:cs="Arial" w:eastAsia="Arial" w:hint="default"/>
                            <w:spacing w:val="-4"/>
                            <w:sz w:val="15"/>
                            <w:szCs w:val="15"/>
                          </w:rPr>
                          <w:t> </w:t>
                        </w:r>
                        <w:r>
                          <w:rPr>
                            <w:rFonts w:ascii="宋体" w:hAnsi="宋体" w:cs="宋体" w:eastAsia="宋体" w:hint="default"/>
                            <w:w w:val="100"/>
                            <w:sz w:val="15"/>
                            <w:szCs w:val="15"/>
                          </w:rPr>
                          <w:t>日</w:t>
                        </w:r>
                        <w:r>
                          <w:rPr>
                            <w:rFonts w:ascii="宋体" w:hAnsi="宋体" w:cs="宋体" w:eastAsia="宋体" w:hint="default"/>
                            <w:spacing w:val="-3"/>
                            <w:w w:val="100"/>
                            <w:sz w:val="15"/>
                            <w:szCs w:val="15"/>
                          </w:rPr>
                          <w:t>，</w:t>
                        </w:r>
                        <w:r>
                          <w:rPr>
                            <w:rFonts w:ascii="宋体" w:hAnsi="宋体" w:cs="宋体" w:eastAsia="宋体" w:hint="default"/>
                            <w:w w:val="100"/>
                            <w:sz w:val="15"/>
                            <w:szCs w:val="15"/>
                          </w:rPr>
                        </w:r>
                      </w:p>
                    </w:tc>
                  </w:tr>
                  <w:tr>
                    <w:trPr>
                      <w:trHeight w:val="191" w:hRule="exact"/>
                    </w:trPr>
                    <w:tc>
                      <w:tcPr>
                        <w:tcW w:w="612" w:type="dxa"/>
                        <w:tcBorders>
                          <w:top w:val="nil" w:sz="6" w:space="0" w:color="auto"/>
                          <w:left w:val="nil" w:sz="6" w:space="0" w:color="auto"/>
                          <w:bottom w:val="nil" w:sz="6" w:space="0" w:color="auto"/>
                          <w:right w:val="single" w:sz="4" w:space="0" w:color="41B7EE"/>
                        </w:tcBorders>
                      </w:tcPr>
                      <w:p>
                        <w:pPr>
                          <w:pStyle w:val="TableParagraph"/>
                          <w:spacing w:line="169" w:lineRule="exact"/>
                          <w:ind w:left="28" w:right="0"/>
                          <w:jc w:val="left"/>
                          <w:rPr>
                            <w:rFonts w:ascii="宋体" w:hAnsi="宋体" w:cs="宋体" w:eastAsia="宋体" w:hint="default"/>
                            <w:sz w:val="15"/>
                            <w:szCs w:val="15"/>
                          </w:rPr>
                        </w:pPr>
                        <w:r>
                          <w:rPr>
                            <w:rFonts w:ascii="宋体" w:hAnsi="宋体" w:cs="宋体" w:eastAsia="宋体" w:hint="default"/>
                            <w:w w:val="100"/>
                            <w:sz w:val="15"/>
                            <w:szCs w:val="15"/>
                          </w:rPr>
                          <w:t>司</w:t>
                        </w:r>
                      </w:p>
                    </w:tc>
                    <w:tc>
                      <w:tcPr>
                        <w:tcW w:w="1440" w:type="dxa"/>
                        <w:tcBorders>
                          <w:top w:val="nil" w:sz="6" w:space="0" w:color="auto"/>
                          <w:left w:val="single" w:sz="4" w:space="0" w:color="41B7EE"/>
                          <w:bottom w:val="nil" w:sz="6" w:space="0" w:color="auto"/>
                          <w:right w:val="single" w:sz="4" w:space="0" w:color="41B7EE"/>
                        </w:tcBorders>
                      </w:tcPr>
                      <w:p>
                        <w:pPr>
                          <w:pStyle w:val="TableParagraph"/>
                          <w:spacing w:line="169" w:lineRule="exact"/>
                          <w:ind w:left="21" w:right="0"/>
                          <w:jc w:val="left"/>
                          <w:rPr>
                            <w:rFonts w:ascii="宋体" w:hAnsi="宋体" w:cs="宋体" w:eastAsia="宋体" w:hint="default"/>
                            <w:sz w:val="15"/>
                            <w:szCs w:val="15"/>
                          </w:rPr>
                        </w:pPr>
                        <w:r>
                          <w:rPr>
                            <w:rFonts w:ascii="宋体" w:hAnsi="宋体" w:cs="宋体" w:eastAsia="宋体" w:hint="default"/>
                            <w:sz w:val="15"/>
                            <w:szCs w:val="15"/>
                          </w:rPr>
                          <w:t>枫亚麻</w:t>
                        </w:r>
                      </w:p>
                    </w:tc>
                    <w:tc>
                      <w:tcPr>
                        <w:tcW w:w="600" w:type="dxa"/>
                        <w:tcBorders>
                          <w:top w:val="nil" w:sz="6" w:space="0" w:color="auto"/>
                          <w:left w:val="single" w:sz="4" w:space="0" w:color="41B7EE"/>
                          <w:bottom w:val="nil" w:sz="6" w:space="0" w:color="auto"/>
                          <w:right w:val="single" w:sz="4" w:space="0" w:color="41B7EE"/>
                        </w:tcBorders>
                      </w:tcPr>
                      <w:p>
                        <w:pPr/>
                      </w:p>
                    </w:tc>
                    <w:tc>
                      <w:tcPr>
                        <w:tcW w:w="3632" w:type="dxa"/>
                        <w:tcBorders>
                          <w:top w:val="nil" w:sz="6" w:space="0" w:color="auto"/>
                          <w:left w:val="single" w:sz="4" w:space="0" w:color="41B7EE"/>
                          <w:bottom w:val="nil" w:sz="6" w:space="0" w:color="auto"/>
                          <w:right w:val="single" w:sz="4" w:space="0" w:color="41B7EE"/>
                        </w:tcBorders>
                      </w:tcPr>
                      <w:p>
                        <w:pPr>
                          <w:pStyle w:val="TableParagraph"/>
                          <w:spacing w:line="169" w:lineRule="exact"/>
                          <w:ind w:left="23" w:right="0"/>
                          <w:jc w:val="left"/>
                          <w:rPr>
                            <w:rFonts w:ascii="宋体" w:hAnsi="宋体" w:cs="宋体" w:eastAsia="宋体" w:hint="default"/>
                            <w:sz w:val="15"/>
                            <w:szCs w:val="15"/>
                          </w:rPr>
                        </w:pPr>
                        <w:r>
                          <w:rPr>
                            <w:rFonts w:ascii="宋体" w:hAnsi="宋体" w:cs="宋体" w:eastAsia="宋体" w:hint="default"/>
                            <w:spacing w:val="-4"/>
                            <w:sz w:val="15"/>
                            <w:szCs w:val="15"/>
                          </w:rPr>
                          <w:t>祝阳公司出具《说明》，主张其已</w:t>
                        </w:r>
                      </w:p>
                    </w:tc>
                  </w:tr>
                  <w:tr>
                    <w:trPr>
                      <w:trHeight w:val="195" w:hRule="exact"/>
                    </w:trPr>
                    <w:tc>
                      <w:tcPr>
                        <w:tcW w:w="612" w:type="dxa"/>
                        <w:tcBorders>
                          <w:top w:val="nil" w:sz="6" w:space="0" w:color="auto"/>
                          <w:left w:val="nil" w:sz="6" w:space="0" w:color="auto"/>
                          <w:bottom w:val="nil" w:sz="6" w:space="0" w:color="auto"/>
                          <w:right w:val="single" w:sz="4" w:space="0" w:color="41B7EE"/>
                        </w:tcBorders>
                      </w:tcPr>
                      <w:p>
                        <w:pPr/>
                      </w:p>
                    </w:tc>
                    <w:tc>
                      <w:tcPr>
                        <w:tcW w:w="1440" w:type="dxa"/>
                        <w:tcBorders>
                          <w:top w:val="nil" w:sz="6" w:space="0" w:color="auto"/>
                          <w:left w:val="single" w:sz="4" w:space="0" w:color="41B7EE"/>
                          <w:bottom w:val="nil" w:sz="6" w:space="0" w:color="auto"/>
                          <w:right w:val="single" w:sz="4" w:space="0" w:color="41B7EE"/>
                        </w:tcBorders>
                      </w:tcPr>
                      <w:p>
                        <w:pPr>
                          <w:pStyle w:val="TableParagraph"/>
                          <w:spacing w:line="173" w:lineRule="exact"/>
                          <w:ind w:left="21" w:right="0"/>
                          <w:jc w:val="left"/>
                          <w:rPr>
                            <w:rFonts w:ascii="宋体" w:hAnsi="宋体" w:cs="宋体" w:eastAsia="宋体" w:hint="default"/>
                            <w:sz w:val="15"/>
                            <w:szCs w:val="15"/>
                          </w:rPr>
                        </w:pPr>
                        <w:r>
                          <w:rPr>
                            <w:rFonts w:ascii="宋体" w:hAnsi="宋体" w:cs="宋体" w:eastAsia="宋体" w:hint="default"/>
                            <w:sz w:val="15"/>
                            <w:szCs w:val="15"/>
                          </w:rPr>
                          <w:t>纺织有</w:t>
                        </w:r>
                      </w:p>
                    </w:tc>
                    <w:tc>
                      <w:tcPr>
                        <w:tcW w:w="600" w:type="dxa"/>
                        <w:tcBorders>
                          <w:top w:val="nil" w:sz="6" w:space="0" w:color="auto"/>
                          <w:left w:val="single" w:sz="4" w:space="0" w:color="41B7EE"/>
                          <w:bottom w:val="nil" w:sz="6" w:space="0" w:color="auto"/>
                          <w:right w:val="single" w:sz="4" w:space="0" w:color="41B7EE"/>
                        </w:tcBorders>
                      </w:tcPr>
                      <w:p>
                        <w:pPr/>
                      </w:p>
                    </w:tc>
                    <w:tc>
                      <w:tcPr>
                        <w:tcW w:w="3632" w:type="dxa"/>
                        <w:tcBorders>
                          <w:top w:val="nil" w:sz="6" w:space="0" w:color="auto"/>
                          <w:left w:val="single" w:sz="4" w:space="0" w:color="41B7EE"/>
                          <w:bottom w:val="nil" w:sz="6" w:space="0" w:color="auto"/>
                          <w:right w:val="single" w:sz="4" w:space="0" w:color="41B7EE"/>
                        </w:tcBorders>
                      </w:tcPr>
                      <w:p>
                        <w:pPr>
                          <w:pStyle w:val="TableParagraph"/>
                          <w:spacing w:line="173" w:lineRule="exact"/>
                          <w:ind w:left="23" w:right="0"/>
                          <w:jc w:val="left"/>
                          <w:rPr>
                            <w:rFonts w:ascii="宋体" w:hAnsi="宋体" w:cs="宋体" w:eastAsia="宋体" w:hint="default"/>
                            <w:sz w:val="15"/>
                            <w:szCs w:val="15"/>
                          </w:rPr>
                        </w:pPr>
                        <w:r>
                          <w:rPr>
                            <w:rFonts w:ascii="宋体" w:hAnsi="宋体" w:cs="宋体" w:eastAsia="宋体" w:hint="default"/>
                            <w:spacing w:val="-4"/>
                            <w:sz w:val="15"/>
                            <w:szCs w:val="15"/>
                          </w:rPr>
                          <w:t>向青枫公司交货，然青枫公司对此</w:t>
                        </w:r>
                      </w:p>
                    </w:tc>
                  </w:tr>
                  <w:tr>
                    <w:trPr>
                      <w:trHeight w:val="195" w:hRule="exact"/>
                    </w:trPr>
                    <w:tc>
                      <w:tcPr>
                        <w:tcW w:w="612" w:type="dxa"/>
                        <w:tcBorders>
                          <w:top w:val="nil" w:sz="6" w:space="0" w:color="auto"/>
                          <w:left w:val="nil" w:sz="6" w:space="0" w:color="auto"/>
                          <w:bottom w:val="nil" w:sz="6" w:space="0" w:color="auto"/>
                          <w:right w:val="single" w:sz="4" w:space="0" w:color="41B7EE"/>
                        </w:tcBorders>
                      </w:tcPr>
                      <w:p>
                        <w:pPr/>
                      </w:p>
                    </w:tc>
                    <w:tc>
                      <w:tcPr>
                        <w:tcW w:w="1440" w:type="dxa"/>
                        <w:tcBorders>
                          <w:top w:val="nil" w:sz="6" w:space="0" w:color="auto"/>
                          <w:left w:val="single" w:sz="4" w:space="0" w:color="41B7EE"/>
                          <w:bottom w:val="nil" w:sz="6" w:space="0" w:color="auto"/>
                          <w:right w:val="single" w:sz="4" w:space="0" w:color="41B7EE"/>
                        </w:tcBorders>
                      </w:tcPr>
                      <w:p>
                        <w:pPr>
                          <w:pStyle w:val="TableParagraph"/>
                          <w:spacing w:line="173" w:lineRule="exact"/>
                          <w:ind w:left="21"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600" w:type="dxa"/>
                        <w:tcBorders>
                          <w:top w:val="nil" w:sz="6" w:space="0" w:color="auto"/>
                          <w:left w:val="single" w:sz="4" w:space="0" w:color="41B7EE"/>
                          <w:bottom w:val="nil" w:sz="6" w:space="0" w:color="auto"/>
                          <w:right w:val="single" w:sz="4" w:space="0" w:color="41B7EE"/>
                        </w:tcBorders>
                      </w:tcPr>
                      <w:p>
                        <w:pPr/>
                      </w:p>
                    </w:tc>
                    <w:tc>
                      <w:tcPr>
                        <w:tcW w:w="3632" w:type="dxa"/>
                        <w:tcBorders>
                          <w:top w:val="nil" w:sz="6" w:space="0" w:color="auto"/>
                          <w:left w:val="single" w:sz="4" w:space="0" w:color="41B7EE"/>
                          <w:bottom w:val="nil" w:sz="6" w:space="0" w:color="auto"/>
                          <w:right w:val="single" w:sz="4" w:space="0" w:color="41B7EE"/>
                        </w:tcBorders>
                      </w:tcPr>
                      <w:p>
                        <w:pPr>
                          <w:pStyle w:val="TableParagraph"/>
                          <w:spacing w:line="173" w:lineRule="exact"/>
                          <w:ind w:left="23" w:right="0"/>
                          <w:jc w:val="left"/>
                          <w:rPr>
                            <w:rFonts w:ascii="宋体" w:hAnsi="宋体" w:cs="宋体" w:eastAsia="宋体" w:hint="default"/>
                            <w:sz w:val="15"/>
                            <w:szCs w:val="15"/>
                          </w:rPr>
                        </w:pPr>
                        <w:r>
                          <w:rPr>
                            <w:rFonts w:ascii="宋体" w:hAnsi="宋体" w:cs="宋体" w:eastAsia="宋体" w:hint="default"/>
                            <w:spacing w:val="-4"/>
                            <w:sz w:val="15"/>
                            <w:szCs w:val="15"/>
                          </w:rPr>
                          <w:t>不认可；因合同约定青枫公司对加</w:t>
                        </w:r>
                      </w:p>
                    </w:tc>
                  </w:tr>
                  <w:tr>
                    <w:trPr>
                      <w:trHeight w:val="194" w:hRule="exact"/>
                    </w:trPr>
                    <w:tc>
                      <w:tcPr>
                        <w:tcW w:w="612" w:type="dxa"/>
                        <w:tcBorders>
                          <w:top w:val="nil" w:sz="6" w:space="0" w:color="auto"/>
                          <w:left w:val="nil" w:sz="6" w:space="0" w:color="auto"/>
                          <w:bottom w:val="nil" w:sz="6" w:space="0" w:color="auto"/>
                          <w:right w:val="single" w:sz="4" w:space="0" w:color="41B7EE"/>
                        </w:tcBorders>
                      </w:tcPr>
                      <w:p>
                        <w:pPr/>
                      </w:p>
                    </w:tc>
                    <w:tc>
                      <w:tcPr>
                        <w:tcW w:w="1440" w:type="dxa"/>
                        <w:tcBorders>
                          <w:top w:val="nil" w:sz="6" w:space="0" w:color="auto"/>
                          <w:left w:val="single" w:sz="4" w:space="0" w:color="41B7EE"/>
                          <w:bottom w:val="nil" w:sz="6" w:space="0" w:color="auto"/>
                          <w:right w:val="single" w:sz="4" w:space="0" w:color="41B7EE"/>
                        </w:tcBorders>
                      </w:tcPr>
                      <w:p>
                        <w:pPr/>
                      </w:p>
                    </w:tc>
                    <w:tc>
                      <w:tcPr>
                        <w:tcW w:w="600" w:type="dxa"/>
                        <w:tcBorders>
                          <w:top w:val="nil" w:sz="6" w:space="0" w:color="auto"/>
                          <w:left w:val="single" w:sz="4" w:space="0" w:color="41B7EE"/>
                          <w:bottom w:val="nil" w:sz="6" w:space="0" w:color="auto"/>
                          <w:right w:val="single" w:sz="4" w:space="0" w:color="41B7EE"/>
                        </w:tcBorders>
                      </w:tcPr>
                      <w:p>
                        <w:pPr/>
                      </w:p>
                    </w:tc>
                    <w:tc>
                      <w:tcPr>
                        <w:tcW w:w="3632" w:type="dxa"/>
                        <w:tcBorders>
                          <w:top w:val="nil" w:sz="6" w:space="0" w:color="auto"/>
                          <w:left w:val="single" w:sz="4" w:space="0" w:color="41B7EE"/>
                          <w:bottom w:val="nil" w:sz="6" w:space="0" w:color="auto"/>
                          <w:right w:val="single" w:sz="4" w:space="0" w:color="41B7EE"/>
                        </w:tcBorders>
                      </w:tcPr>
                      <w:p>
                        <w:pPr>
                          <w:pStyle w:val="TableParagraph"/>
                          <w:spacing w:line="173" w:lineRule="exact"/>
                          <w:ind w:left="23" w:right="0"/>
                          <w:jc w:val="left"/>
                          <w:rPr>
                            <w:rFonts w:ascii="宋体" w:hAnsi="宋体" w:cs="宋体" w:eastAsia="宋体" w:hint="default"/>
                            <w:sz w:val="15"/>
                            <w:szCs w:val="15"/>
                          </w:rPr>
                        </w:pPr>
                        <w:r>
                          <w:rPr>
                            <w:rFonts w:ascii="宋体" w:hAnsi="宋体" w:cs="宋体" w:eastAsia="宋体" w:hint="default"/>
                            <w:sz w:val="15"/>
                            <w:szCs w:val="15"/>
                          </w:rPr>
                          <w:t>工行为负有提请亚麻纱运输计划、</w:t>
                        </w:r>
                      </w:p>
                    </w:tc>
                  </w:tr>
                  <w:tr>
                    <w:trPr>
                      <w:trHeight w:val="194" w:hRule="exact"/>
                    </w:trPr>
                    <w:tc>
                      <w:tcPr>
                        <w:tcW w:w="612" w:type="dxa"/>
                        <w:tcBorders>
                          <w:top w:val="nil" w:sz="6" w:space="0" w:color="auto"/>
                          <w:left w:val="nil" w:sz="6" w:space="0" w:color="auto"/>
                          <w:bottom w:val="nil" w:sz="6" w:space="0" w:color="auto"/>
                          <w:right w:val="single" w:sz="4" w:space="0" w:color="41B7EE"/>
                        </w:tcBorders>
                      </w:tcPr>
                      <w:p>
                        <w:pPr/>
                      </w:p>
                    </w:tc>
                    <w:tc>
                      <w:tcPr>
                        <w:tcW w:w="1440" w:type="dxa"/>
                        <w:tcBorders>
                          <w:top w:val="nil" w:sz="6" w:space="0" w:color="auto"/>
                          <w:left w:val="single" w:sz="4" w:space="0" w:color="41B7EE"/>
                          <w:bottom w:val="nil" w:sz="6" w:space="0" w:color="auto"/>
                          <w:right w:val="single" w:sz="4" w:space="0" w:color="41B7EE"/>
                        </w:tcBorders>
                      </w:tcPr>
                      <w:p>
                        <w:pPr/>
                      </w:p>
                    </w:tc>
                    <w:tc>
                      <w:tcPr>
                        <w:tcW w:w="600" w:type="dxa"/>
                        <w:tcBorders>
                          <w:top w:val="nil" w:sz="6" w:space="0" w:color="auto"/>
                          <w:left w:val="single" w:sz="4" w:space="0" w:color="41B7EE"/>
                          <w:bottom w:val="nil" w:sz="6" w:space="0" w:color="auto"/>
                          <w:right w:val="single" w:sz="4" w:space="0" w:color="41B7EE"/>
                        </w:tcBorders>
                      </w:tcPr>
                      <w:p>
                        <w:pPr/>
                      </w:p>
                    </w:tc>
                    <w:tc>
                      <w:tcPr>
                        <w:tcW w:w="3632" w:type="dxa"/>
                        <w:tcBorders>
                          <w:top w:val="nil" w:sz="6" w:space="0" w:color="auto"/>
                          <w:left w:val="single" w:sz="4" w:space="0" w:color="41B7EE"/>
                          <w:bottom w:val="nil" w:sz="6" w:space="0" w:color="auto"/>
                          <w:right w:val="single" w:sz="4" w:space="0" w:color="41B7EE"/>
                        </w:tcBorders>
                      </w:tcPr>
                      <w:p>
                        <w:pPr>
                          <w:pStyle w:val="TableParagraph"/>
                          <w:spacing w:line="173" w:lineRule="exact"/>
                          <w:ind w:left="23" w:right="0"/>
                          <w:jc w:val="left"/>
                          <w:rPr>
                            <w:rFonts w:ascii="宋体" w:hAnsi="宋体" w:cs="宋体" w:eastAsia="宋体" w:hint="default"/>
                            <w:sz w:val="15"/>
                            <w:szCs w:val="15"/>
                          </w:rPr>
                        </w:pPr>
                        <w:r>
                          <w:rPr>
                            <w:rFonts w:ascii="宋体" w:hAnsi="宋体" w:cs="宋体" w:eastAsia="宋体" w:hint="default"/>
                            <w:spacing w:val="-4"/>
                            <w:sz w:val="15"/>
                            <w:szCs w:val="15"/>
                          </w:rPr>
                          <w:t>监管交付、质量验收等责任，鑫亚</w:t>
                        </w:r>
                      </w:p>
                    </w:tc>
                  </w:tr>
                  <w:tr>
                    <w:trPr>
                      <w:trHeight w:val="194" w:hRule="exact"/>
                    </w:trPr>
                    <w:tc>
                      <w:tcPr>
                        <w:tcW w:w="612" w:type="dxa"/>
                        <w:tcBorders>
                          <w:top w:val="nil" w:sz="6" w:space="0" w:color="auto"/>
                          <w:left w:val="nil" w:sz="6" w:space="0" w:color="auto"/>
                          <w:bottom w:val="nil" w:sz="6" w:space="0" w:color="auto"/>
                          <w:right w:val="single" w:sz="4" w:space="0" w:color="41B7EE"/>
                        </w:tcBorders>
                      </w:tcPr>
                      <w:p>
                        <w:pPr/>
                      </w:p>
                    </w:tc>
                    <w:tc>
                      <w:tcPr>
                        <w:tcW w:w="1440" w:type="dxa"/>
                        <w:tcBorders>
                          <w:top w:val="nil" w:sz="6" w:space="0" w:color="auto"/>
                          <w:left w:val="single" w:sz="4" w:space="0" w:color="41B7EE"/>
                          <w:bottom w:val="nil" w:sz="6" w:space="0" w:color="auto"/>
                          <w:right w:val="single" w:sz="4" w:space="0" w:color="41B7EE"/>
                        </w:tcBorders>
                      </w:tcPr>
                      <w:p>
                        <w:pPr/>
                      </w:p>
                    </w:tc>
                    <w:tc>
                      <w:tcPr>
                        <w:tcW w:w="600" w:type="dxa"/>
                        <w:tcBorders>
                          <w:top w:val="nil" w:sz="6" w:space="0" w:color="auto"/>
                          <w:left w:val="single" w:sz="4" w:space="0" w:color="41B7EE"/>
                          <w:bottom w:val="nil" w:sz="6" w:space="0" w:color="auto"/>
                          <w:right w:val="single" w:sz="4" w:space="0" w:color="41B7EE"/>
                        </w:tcBorders>
                      </w:tcPr>
                      <w:p>
                        <w:pPr/>
                      </w:p>
                    </w:tc>
                    <w:tc>
                      <w:tcPr>
                        <w:tcW w:w="3632" w:type="dxa"/>
                        <w:tcBorders>
                          <w:top w:val="nil" w:sz="6" w:space="0" w:color="auto"/>
                          <w:left w:val="single" w:sz="4" w:space="0" w:color="41B7EE"/>
                          <w:bottom w:val="nil" w:sz="6" w:space="0" w:color="auto"/>
                          <w:right w:val="single" w:sz="4" w:space="0" w:color="41B7EE"/>
                        </w:tcBorders>
                      </w:tcPr>
                      <w:p>
                        <w:pPr>
                          <w:pStyle w:val="TableParagraph"/>
                          <w:spacing w:line="173" w:lineRule="exact"/>
                          <w:ind w:left="23" w:right="0"/>
                          <w:jc w:val="left"/>
                          <w:rPr>
                            <w:rFonts w:ascii="宋体" w:hAnsi="宋体" w:cs="宋体" w:eastAsia="宋体" w:hint="default"/>
                            <w:sz w:val="15"/>
                            <w:szCs w:val="15"/>
                          </w:rPr>
                        </w:pPr>
                        <w:r>
                          <w:rPr>
                            <w:rFonts w:ascii="宋体" w:hAnsi="宋体" w:cs="宋体" w:eastAsia="宋体" w:hint="default"/>
                            <w:spacing w:val="-4"/>
                            <w:sz w:val="15"/>
                            <w:szCs w:val="15"/>
                          </w:rPr>
                          <w:t>公司多次向二被告催要，但至今未</w:t>
                        </w:r>
                      </w:p>
                    </w:tc>
                  </w:tr>
                  <w:tr>
                    <w:trPr>
                      <w:trHeight w:val="194" w:hRule="exact"/>
                    </w:trPr>
                    <w:tc>
                      <w:tcPr>
                        <w:tcW w:w="612" w:type="dxa"/>
                        <w:tcBorders>
                          <w:top w:val="nil" w:sz="6" w:space="0" w:color="auto"/>
                          <w:left w:val="nil" w:sz="6" w:space="0" w:color="auto"/>
                          <w:bottom w:val="nil" w:sz="6" w:space="0" w:color="auto"/>
                          <w:right w:val="single" w:sz="4" w:space="0" w:color="41B7EE"/>
                        </w:tcBorders>
                      </w:tcPr>
                      <w:p>
                        <w:pPr/>
                      </w:p>
                    </w:tc>
                    <w:tc>
                      <w:tcPr>
                        <w:tcW w:w="1440" w:type="dxa"/>
                        <w:tcBorders>
                          <w:top w:val="nil" w:sz="6" w:space="0" w:color="auto"/>
                          <w:left w:val="single" w:sz="4" w:space="0" w:color="41B7EE"/>
                          <w:bottom w:val="nil" w:sz="6" w:space="0" w:color="auto"/>
                          <w:right w:val="single" w:sz="4" w:space="0" w:color="41B7EE"/>
                        </w:tcBorders>
                      </w:tcPr>
                      <w:p>
                        <w:pPr/>
                      </w:p>
                    </w:tc>
                    <w:tc>
                      <w:tcPr>
                        <w:tcW w:w="600" w:type="dxa"/>
                        <w:tcBorders>
                          <w:top w:val="nil" w:sz="6" w:space="0" w:color="auto"/>
                          <w:left w:val="single" w:sz="4" w:space="0" w:color="41B7EE"/>
                          <w:bottom w:val="nil" w:sz="6" w:space="0" w:color="auto"/>
                          <w:right w:val="single" w:sz="4" w:space="0" w:color="41B7EE"/>
                        </w:tcBorders>
                      </w:tcPr>
                      <w:p>
                        <w:pPr/>
                      </w:p>
                    </w:tc>
                    <w:tc>
                      <w:tcPr>
                        <w:tcW w:w="3632" w:type="dxa"/>
                        <w:tcBorders>
                          <w:top w:val="nil" w:sz="6" w:space="0" w:color="auto"/>
                          <w:left w:val="single" w:sz="4" w:space="0" w:color="41B7EE"/>
                          <w:bottom w:val="nil" w:sz="6" w:space="0" w:color="auto"/>
                          <w:right w:val="single" w:sz="4" w:space="0" w:color="41B7EE"/>
                        </w:tcBorders>
                      </w:tcPr>
                      <w:p>
                        <w:pPr>
                          <w:pStyle w:val="TableParagraph"/>
                          <w:spacing w:line="173" w:lineRule="exact"/>
                          <w:ind w:left="23" w:right="0"/>
                          <w:jc w:val="left"/>
                          <w:rPr>
                            <w:rFonts w:ascii="宋体" w:hAnsi="宋体" w:cs="宋体" w:eastAsia="宋体" w:hint="default"/>
                            <w:sz w:val="15"/>
                            <w:szCs w:val="15"/>
                          </w:rPr>
                        </w:pPr>
                        <w:r>
                          <w:rPr>
                            <w:rFonts w:ascii="宋体" w:hAnsi="宋体" w:cs="宋体" w:eastAsia="宋体" w:hint="default"/>
                            <w:spacing w:val="-4"/>
                            <w:sz w:val="15"/>
                            <w:szCs w:val="15"/>
                          </w:rPr>
                          <w:t>收到加工产品，故鑫亚公司向法院</w:t>
                        </w:r>
                      </w:p>
                    </w:tc>
                  </w:tr>
                  <w:tr>
                    <w:trPr>
                      <w:trHeight w:val="392" w:hRule="exact"/>
                    </w:trPr>
                    <w:tc>
                      <w:tcPr>
                        <w:tcW w:w="612" w:type="dxa"/>
                        <w:tcBorders>
                          <w:top w:val="nil" w:sz="6" w:space="0" w:color="auto"/>
                          <w:left w:val="nil" w:sz="6" w:space="0" w:color="auto"/>
                          <w:bottom w:val="nil" w:sz="6" w:space="0" w:color="auto"/>
                          <w:right w:val="single" w:sz="4" w:space="0" w:color="41B7EE"/>
                        </w:tcBorders>
                      </w:tcPr>
                      <w:p>
                        <w:pPr/>
                      </w:p>
                    </w:tc>
                    <w:tc>
                      <w:tcPr>
                        <w:tcW w:w="1440" w:type="dxa"/>
                        <w:tcBorders>
                          <w:top w:val="nil" w:sz="6" w:space="0" w:color="auto"/>
                          <w:left w:val="single" w:sz="4" w:space="0" w:color="41B7EE"/>
                          <w:bottom w:val="nil" w:sz="6" w:space="0" w:color="auto"/>
                          <w:right w:val="single" w:sz="4" w:space="0" w:color="41B7EE"/>
                        </w:tcBorders>
                      </w:tcPr>
                      <w:p>
                        <w:pPr/>
                      </w:p>
                    </w:tc>
                    <w:tc>
                      <w:tcPr>
                        <w:tcW w:w="600" w:type="dxa"/>
                        <w:tcBorders>
                          <w:top w:val="nil" w:sz="6" w:space="0" w:color="auto"/>
                          <w:left w:val="single" w:sz="4" w:space="0" w:color="41B7EE"/>
                          <w:bottom w:val="nil" w:sz="6" w:space="0" w:color="auto"/>
                          <w:right w:val="single" w:sz="4" w:space="0" w:color="41B7EE"/>
                        </w:tcBorders>
                      </w:tcPr>
                      <w:p>
                        <w:pPr/>
                      </w:p>
                    </w:tc>
                    <w:tc>
                      <w:tcPr>
                        <w:tcW w:w="3632" w:type="dxa"/>
                        <w:tcBorders>
                          <w:top w:val="nil" w:sz="6" w:space="0" w:color="auto"/>
                          <w:left w:val="single" w:sz="4" w:space="0" w:color="41B7EE"/>
                          <w:bottom w:val="nil" w:sz="6" w:space="0" w:color="auto"/>
                          <w:right w:val="single" w:sz="4" w:space="0" w:color="41B7EE"/>
                        </w:tcBorders>
                      </w:tcPr>
                      <w:p>
                        <w:pPr>
                          <w:pStyle w:val="TableParagraph"/>
                          <w:spacing w:line="173" w:lineRule="exact"/>
                          <w:ind w:left="23" w:right="0"/>
                          <w:jc w:val="left"/>
                          <w:rPr>
                            <w:rFonts w:ascii="宋体" w:hAnsi="宋体" w:cs="宋体" w:eastAsia="宋体" w:hint="default"/>
                            <w:sz w:val="15"/>
                            <w:szCs w:val="15"/>
                          </w:rPr>
                        </w:pPr>
                        <w:r>
                          <w:rPr>
                            <w:rFonts w:ascii="宋体" w:hAnsi="宋体" w:cs="宋体" w:eastAsia="宋体" w:hint="default"/>
                            <w:sz w:val="15"/>
                            <w:szCs w:val="15"/>
                          </w:rPr>
                          <w:t>提起诉讼。</w:t>
                        </w:r>
                      </w:p>
                    </w:tc>
                  </w:tr>
                </w:tbl>
                <w:p>
                  <w:pPr/>
                </w:p>
              </w:txbxContent>
            </v:textbox>
            <w10:wrap type="none"/>
          </v:shape>
        </w:pict>
      </w:r>
      <w:r>
        <w:rPr>
          <w:rFonts w:ascii="宋体" w:hAnsi="宋体" w:cs="宋体" w:eastAsia="宋体" w:hint="default"/>
          <w:spacing w:val="-2"/>
          <w:sz w:val="15"/>
          <w:szCs w:val="15"/>
        </w:rPr>
        <w:t>法院二审判决书。</w:t>
      </w:r>
    </w:p>
    <w:p>
      <w:pPr>
        <w:spacing w:line="194" w:lineRule="exact" w:before="61"/>
        <w:ind w:left="1179" w:right="1622" w:firstLine="0"/>
        <w:jc w:val="left"/>
        <w:rPr>
          <w:rFonts w:ascii="宋体" w:hAnsi="宋体" w:cs="宋体" w:eastAsia="宋体" w:hint="default"/>
          <w:sz w:val="15"/>
          <w:szCs w:val="15"/>
        </w:rPr>
      </w:pPr>
      <w:r>
        <w:rPr/>
        <w:br w:type="column"/>
      </w:r>
      <w:r>
        <w:rPr>
          <w:rFonts w:ascii="宋体" w:hAnsi="宋体" w:cs="宋体" w:eastAsia="宋体" w:hint="default"/>
          <w:sz w:val="15"/>
          <w:szCs w:val="15"/>
        </w:rPr>
        <w:t>赔偿鑫亚公司的损失一审案件受理费</w:t>
      </w:r>
      <w:r>
        <w:rPr>
          <w:rFonts w:ascii="宋体" w:hAnsi="宋体" w:cs="宋体" w:eastAsia="宋体" w:hint="default"/>
          <w:spacing w:val="-42"/>
          <w:sz w:val="15"/>
          <w:szCs w:val="15"/>
        </w:rPr>
        <w:t> </w:t>
      </w:r>
      <w:r>
        <w:rPr>
          <w:rFonts w:ascii="Arial" w:hAnsi="Arial" w:cs="Arial" w:eastAsia="Arial" w:hint="default"/>
          <w:sz w:val="15"/>
          <w:szCs w:val="15"/>
        </w:rPr>
        <w:t>107</w:t>
      </w:r>
      <w:r>
        <w:rPr>
          <w:rFonts w:ascii="宋体" w:hAnsi="宋体" w:cs="宋体" w:eastAsia="宋体" w:hint="default"/>
          <w:sz w:val="15"/>
          <w:szCs w:val="15"/>
        </w:rPr>
        <w:t>，</w:t>
      </w:r>
      <w:r>
        <w:rPr>
          <w:rFonts w:ascii="宋体" w:hAnsi="宋体" w:cs="宋体" w:eastAsia="宋体" w:hint="default"/>
          <w:w w:val="100"/>
          <w:sz w:val="15"/>
          <w:szCs w:val="15"/>
        </w:rPr>
        <w:t> </w:t>
      </w:r>
      <w:r>
        <w:rPr>
          <w:rFonts w:ascii="Arial" w:hAnsi="Arial" w:cs="Arial" w:eastAsia="Arial" w:hint="default"/>
          <w:sz w:val="15"/>
          <w:szCs w:val="15"/>
        </w:rPr>
        <w:t>120</w:t>
      </w:r>
      <w:r>
        <w:rPr>
          <w:rFonts w:ascii="Arial" w:hAnsi="Arial" w:cs="Arial" w:eastAsia="Arial" w:hint="default"/>
          <w:spacing w:val="25"/>
          <w:sz w:val="15"/>
          <w:szCs w:val="15"/>
        </w:rPr>
        <w:t> </w:t>
      </w:r>
      <w:r>
        <w:rPr>
          <w:rFonts w:ascii="宋体" w:hAnsi="宋体" w:cs="宋体" w:eastAsia="宋体" w:hint="default"/>
          <w:spacing w:val="-4"/>
          <w:sz w:val="15"/>
          <w:szCs w:val="15"/>
        </w:rPr>
        <w:t>元，由北大荒鑫亚经贸有限责任公司负</w:t>
      </w:r>
    </w:p>
    <w:p>
      <w:pPr>
        <w:spacing w:after="0" w:line="194" w:lineRule="exact"/>
        <w:jc w:val="left"/>
        <w:rPr>
          <w:rFonts w:ascii="宋体" w:hAnsi="宋体" w:cs="宋体" w:eastAsia="宋体" w:hint="default"/>
          <w:sz w:val="15"/>
          <w:szCs w:val="15"/>
        </w:rPr>
        <w:sectPr>
          <w:type w:val="continuous"/>
          <w:pgSz w:w="16840" w:h="11910" w:orient="landscape"/>
          <w:pgMar w:top="1360" w:bottom="1380" w:left="1300" w:right="1380"/>
          <w:cols w:num="2" w:equalWidth="0">
            <w:col w:w="8465" w:space="40"/>
            <w:col w:w="5655"/>
          </w:cols>
        </w:sectPr>
      </w:pPr>
    </w:p>
    <w:p>
      <w:pPr>
        <w:spacing w:line="240" w:lineRule="auto" w:before="0"/>
        <w:rPr>
          <w:rFonts w:ascii="Times New Roman" w:hAnsi="Times New Roman" w:cs="Times New Roman" w:eastAsia="Times New Roman" w:hint="default"/>
          <w:sz w:val="20"/>
          <w:szCs w:val="20"/>
        </w:rPr>
      </w:pPr>
      <w:r>
        <w:rPr/>
        <w:pict>
          <v:shape style="position:absolute;margin-left:670.540833pt;margin-top:161.430008pt;width:96.6pt;height:107.1pt;mso-position-horizontal-relative:page;mso-position-vertical-relative:page;z-index:-943840" type="#_x0000_t202" filled="false" stroked="false">
            <v:textbox inset="0,0,0,0">
              <w:txbxContent>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1"/>
                    <w:rPr>
                      <w:rFonts w:ascii="Times New Roman" w:hAnsi="Times New Roman" w:cs="Times New Roman" w:eastAsia="Times New Roman" w:hint="default"/>
                      <w:sz w:val="18"/>
                      <w:szCs w:val="18"/>
                    </w:rPr>
                  </w:pPr>
                </w:p>
                <w:p>
                  <w:pPr>
                    <w:spacing w:before="0"/>
                    <w:ind w:left="0" w:right="0" w:firstLine="0"/>
                    <w:jc w:val="left"/>
                    <w:rPr>
                      <w:rFonts w:ascii="宋体" w:hAnsi="宋体" w:cs="宋体" w:eastAsia="宋体" w:hint="default"/>
                      <w:sz w:val="15"/>
                      <w:szCs w:val="15"/>
                    </w:rPr>
                  </w:pPr>
                  <w:r>
                    <w:rPr>
                      <w:rFonts w:ascii="宋体" w:hAnsi="宋体" w:cs="宋体" w:eastAsia="宋体" w:hint="default"/>
                      <w:sz w:val="15"/>
                      <w:szCs w:val="15"/>
                    </w:rPr>
                    <w:t>（二）</w:t>
                  </w:r>
                </w:p>
              </w:txbxContent>
            </v:textbox>
            <w10:wrap type="none"/>
          </v:shape>
        </w:pict>
      </w:r>
      <w:r>
        <w:rPr/>
        <w:pict>
          <v:group style="position:absolute;margin-left:70.080002pt;margin-top:89.900009pt;width:697.55pt;height:179.1pt;mso-position-horizontal-relative:page;mso-position-vertical-relative:page;z-index:-943816" coordorigin="1402,1798" coordsize="13951,3582">
            <v:group style="position:absolute;left:13819;top:1858;width:1524;height:1361" coordorigin="13819,1858" coordsize="1524,1361">
              <v:shape style="position:absolute;left:13819;top:1858;width:1524;height:1361" coordorigin="13819,1858" coordsize="1524,1361" path="m13819,3219l15343,3219,15343,1858,13819,1858,13819,3219xe" filled="true" fillcolor="#ffffff" stroked="false">
                <v:path arrowok="t"/>
                <v:fill type="solid"/>
              </v:shape>
            </v:group>
            <v:group style="position:absolute;left:1411;top:1808;width:608;height:2" coordorigin="1411,1808" coordsize="608,2">
              <v:shape style="position:absolute;left:1411;top:1808;width:608;height:2" coordorigin="1411,1808" coordsize="608,0" path="m1411,1808l2019,1808e" filled="false" stroked="true" strokeweight=".96pt" strokecolor="#41b7ee">
                <v:path arrowok="t"/>
              </v:shape>
            </v:group>
            <v:group style="position:absolute;left:2019;top:1808;width:58;height:2" coordorigin="2019,1808" coordsize="58,2">
              <v:shape style="position:absolute;left:2019;top:1808;width:58;height:2" coordorigin="2019,1808" coordsize="58,0" path="m2019,1808l2076,1808e" filled="false" stroked="true" strokeweight=".96pt" strokecolor="#41b7ee">
                <v:path arrowok="t"/>
              </v:shape>
            </v:group>
            <v:group style="position:absolute;left:2076;top:1808;width:588;height:2" coordorigin="2076,1808" coordsize="588,2">
              <v:shape style="position:absolute;left:2076;top:1808;width:588;height:2" coordorigin="2076,1808" coordsize="588,0" path="m2076,1808l2664,1808e" filled="false" stroked="true" strokeweight=".96pt" strokecolor="#41b7ee">
                <v:path arrowok="t"/>
              </v:shape>
            </v:group>
            <v:group style="position:absolute;left:2664;top:1808;width:58;height:2" coordorigin="2664,1808" coordsize="58,2">
              <v:shape style="position:absolute;left:2664;top:1808;width:58;height:2" coordorigin="2664,1808" coordsize="58,0" path="m2664,1808l2722,1808e" filled="false" stroked="true" strokeweight=".96pt" strokecolor="#41b7ee">
                <v:path arrowok="t"/>
              </v:shape>
            </v:group>
            <v:group style="position:absolute;left:2722;top:1808;width:737;height:2" coordorigin="2722,1808" coordsize="737,2">
              <v:shape style="position:absolute;left:2722;top:1808;width:737;height:2" coordorigin="2722,1808" coordsize="737,0" path="m2722,1808l3459,1808e" filled="false" stroked="true" strokeweight=".96pt" strokecolor="#41b7ee">
                <v:path arrowok="t"/>
              </v:shape>
            </v:group>
            <v:group style="position:absolute;left:3459;top:1808;width:58;height:2" coordorigin="3459,1808" coordsize="58,2">
              <v:shape style="position:absolute;left:3459;top:1808;width:58;height:2" coordorigin="3459,1808" coordsize="58,0" path="m3459,1808l3516,1808e" filled="false" stroked="true" strokeweight=".96pt" strokecolor="#41b7ee">
                <v:path arrowok="t"/>
              </v:shape>
            </v:group>
            <v:group style="position:absolute;left:3516;top:1808;width:543;height:2" coordorigin="3516,1808" coordsize="543,2">
              <v:shape style="position:absolute;left:3516;top:1808;width:543;height:2" coordorigin="3516,1808" coordsize="543,0" path="m3516,1808l4059,1808e" filled="false" stroked="true" strokeweight=".96pt" strokecolor="#41b7ee">
                <v:path arrowok="t"/>
              </v:shape>
            </v:group>
            <v:group style="position:absolute;left:4059;top:1808;width:58;height:2" coordorigin="4059,1808" coordsize="58,2">
              <v:shape style="position:absolute;left:4059;top:1808;width:58;height:2" coordorigin="4059,1808" coordsize="58,0" path="m4059,1808l4116,1808e" filled="false" stroked="true" strokeweight=".96pt" strokecolor="#41b7ee">
                <v:path arrowok="t"/>
              </v:shape>
            </v:group>
            <v:group style="position:absolute;left:4116;top:1808;width:2216;height:2" coordorigin="4116,1808" coordsize="2216,2">
              <v:shape style="position:absolute;left:4116;top:1808;width:2216;height:2" coordorigin="4116,1808" coordsize="2216,0" path="m4116,1808l6332,1808e" filled="false" stroked="true" strokeweight=".96pt" strokecolor="#41b7ee">
                <v:path arrowok="t"/>
              </v:shape>
            </v:group>
            <v:group style="position:absolute;left:6332;top:1808;width:58;height:2" coordorigin="6332,1808" coordsize="58,2">
              <v:shape style="position:absolute;left:6332;top:1808;width:58;height:2" coordorigin="6332,1808" coordsize="58,0" path="m6332,1808l6390,1808e" filled="false" stroked="true" strokeweight=".96pt" strokecolor="#41b7ee">
                <v:path arrowok="t"/>
              </v:shape>
            </v:group>
            <v:group style="position:absolute;left:6390;top:1808;width:1301;height:2" coordorigin="6390,1808" coordsize="1301,2">
              <v:shape style="position:absolute;left:6390;top:1808;width:1301;height:2" coordorigin="6390,1808" coordsize="1301,0" path="m6390,1808l7691,1808e" filled="false" stroked="true" strokeweight=".96pt" strokecolor="#41b7ee">
                <v:path arrowok="t"/>
              </v:shape>
            </v:group>
            <v:group style="position:absolute;left:7691;top:1808;width:58;height:2" coordorigin="7691,1808" coordsize="58,2">
              <v:shape style="position:absolute;left:7691;top:1808;width:58;height:2" coordorigin="7691,1808" coordsize="58,0" path="m7691,1808l7748,1808e" filled="false" stroked="true" strokeweight=".96pt" strokecolor="#41b7ee">
                <v:path arrowok="t"/>
              </v:shape>
            </v:group>
            <v:group style="position:absolute;left:7748;top:1808;width:780;height:2" coordorigin="7748,1808" coordsize="780,2">
              <v:shape style="position:absolute;left:7748;top:1808;width:780;height:2" coordorigin="7748,1808" coordsize="780,0" path="m7748,1808l8528,1808e" filled="false" stroked="true" strokeweight=".96pt" strokecolor="#41b7ee">
                <v:path arrowok="t"/>
              </v:shape>
            </v:group>
            <v:group style="position:absolute;left:8528;top:1808;width:58;height:2" coordorigin="8528,1808" coordsize="58,2">
              <v:shape style="position:absolute;left:8528;top:1808;width:58;height:2" coordorigin="8528,1808" coordsize="58,0" path="m8528,1808l8586,1808e" filled="false" stroked="true" strokeweight=".96pt" strokecolor="#41b7ee">
                <v:path arrowok="t"/>
              </v:shape>
            </v:group>
            <v:group style="position:absolute;left:8586;top:1808;width:2365;height:2" coordorigin="8586,1808" coordsize="2365,2">
              <v:shape style="position:absolute;left:8586;top:1808;width:2365;height:2" coordorigin="8586,1808" coordsize="2365,0" path="m8586,1808l10950,1808e" filled="false" stroked="true" strokeweight=".96pt" strokecolor="#41b7ee">
                <v:path arrowok="t"/>
              </v:shape>
            </v:group>
            <v:group style="position:absolute;left:10950;top:1808;width:58;height:2" coordorigin="10950,1808" coordsize="58,2">
              <v:shape style="position:absolute;left:10950;top:1808;width:58;height:2" coordorigin="10950,1808" coordsize="58,0" path="m10950,1808l11008,1808e" filled="false" stroked="true" strokeweight=".96pt" strokecolor="#41b7ee">
                <v:path arrowok="t"/>
              </v:shape>
            </v:group>
            <v:group style="position:absolute;left:11008;top:1808;width:2802;height:2" coordorigin="11008,1808" coordsize="2802,2">
              <v:shape style="position:absolute;left:11008;top:1808;width:2802;height:2" coordorigin="11008,1808" coordsize="2802,0" path="m11008,1808l13809,1808e" filled="false" stroked="true" strokeweight=".96pt" strokecolor="#41b7ee">
                <v:path arrowok="t"/>
              </v:shape>
            </v:group>
            <v:group style="position:absolute;left:13809;top:1808;width:58;height:2" coordorigin="13809,1808" coordsize="58,2">
              <v:shape style="position:absolute;left:13809;top:1808;width:58;height:2" coordorigin="13809,1808" coordsize="58,0" path="m13809,1808l13867,1808e" filled="false" stroked="true" strokeweight=".96pt" strokecolor="#41b7ee">
                <v:path arrowok="t"/>
              </v:shape>
            </v:group>
            <v:group style="position:absolute;left:13867;top:1808;width:1476;height:2" coordorigin="13867,1808" coordsize="1476,2">
              <v:shape style="position:absolute;left:13867;top:1808;width:1476;height:2" coordorigin="13867,1808" coordsize="1476,0" path="m13867,1808l15343,1808e" filled="false" stroked="true" strokeweight=".96pt" strokecolor="#41b7ee">
                <v:path arrowok="t"/>
              </v:shape>
            </v:group>
            <v:group style="position:absolute;left:6342;top:3229;width:1349;height:2151" coordorigin="6342,3229" coordsize="1349,2151">
              <v:shape style="position:absolute;left:6342;top:3229;width:1349;height:2151" coordorigin="6342,3229" coordsize="1349,2151" path="m6342,5379l7691,5379,7691,3229,6342,3229,6342,5379xe" filled="true" fillcolor="#ffffff" stroked="false">
                <v:path arrowok="t"/>
                <v:fill type="solid"/>
              </v:shape>
            </v:group>
            <v:group style="position:absolute;left:10984;top:3716;width:2802;height:195" coordorigin="10984,3716" coordsize="2802,195">
              <v:shape style="position:absolute;left:10984;top:3716;width:2802;height:195" coordorigin="10984,3716" coordsize="2802,195" path="m10984,3911l13785,3911,13785,3716,10984,3716,10984,3911xe" filled="true" fillcolor="#ffffff" stroked="false">
                <v:path arrowok="t"/>
                <v:fill type="solid"/>
              </v:shape>
            </v:group>
            <v:group style="position:absolute;left:13819;top:3229;width:1524;height:2142" coordorigin="13819,3229" coordsize="1524,2142">
              <v:shape style="position:absolute;left:13819;top:3229;width:1524;height:2142" coordorigin="13819,3229" coordsize="1524,2142" path="m13819,5370l15343,5370,15343,3229,13819,3229,13819,5370xe" filled="true" fillcolor="#ffffff" stroked="false">
                <v:path arrowok="t"/>
                <v:fill type="solid"/>
              </v:shape>
            </v:group>
            <w10:wrap type="none"/>
          </v:group>
        </w:pict>
      </w:r>
      <w:r>
        <w:rPr/>
        <w:pict>
          <v:group style="position:absolute;margin-left:690.940002pt;margin-top:278.210022pt;width:76.2pt;height:107.1pt;mso-position-horizontal-relative:page;mso-position-vertical-relative:page;z-index:-943792" coordorigin="13819,5564" coordsize="1524,2142">
            <v:shape style="position:absolute;left:13819;top:5564;width:1524;height:2142" coordorigin="13819,5564" coordsize="1524,2142" path="m13819,7705l15343,7705,15343,5564,13819,5564,13819,7705xe" filled="true" fillcolor="#ffffff" stroked="false">
              <v:path arrowok="t"/>
              <v:fill type="solid"/>
            </v:shape>
            <w10:wrap type="none"/>
          </v:group>
        </w:pict>
      </w:r>
    </w:p>
    <w:p>
      <w:pPr>
        <w:spacing w:line="240" w:lineRule="auto" w:before="6"/>
        <w:rPr>
          <w:rFonts w:ascii="Times New Roman" w:hAnsi="Times New Roman" w:cs="Times New Roman" w:eastAsia="Times New Roman"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612"/>
        <w:gridCol w:w="646"/>
        <w:gridCol w:w="794"/>
        <w:gridCol w:w="600"/>
        <w:gridCol w:w="2273"/>
        <w:gridCol w:w="1358"/>
        <w:gridCol w:w="838"/>
        <w:gridCol w:w="2422"/>
        <w:gridCol w:w="2859"/>
        <w:gridCol w:w="1529"/>
      </w:tblGrid>
      <w:tr>
        <w:trPr>
          <w:trHeight w:val="1378" w:hRule="exact"/>
        </w:trPr>
        <w:tc>
          <w:tcPr>
            <w:tcW w:w="612" w:type="dxa"/>
            <w:tcBorders>
              <w:top w:val="single" w:sz="8" w:space="0" w:color="41B7EE"/>
              <w:left w:val="nil" w:sz="6" w:space="0" w:color="auto"/>
              <w:bottom w:val="single" w:sz="4" w:space="0" w:color="41B7EE"/>
              <w:right w:val="single" w:sz="4" w:space="0" w:color="41B7EE"/>
            </w:tcBorders>
          </w:tcPr>
          <w:p>
            <w:pPr/>
          </w:p>
        </w:tc>
        <w:tc>
          <w:tcPr>
            <w:tcW w:w="646" w:type="dxa"/>
            <w:tcBorders>
              <w:top w:val="single" w:sz="8" w:space="0" w:color="41B7EE"/>
              <w:left w:val="single" w:sz="4" w:space="0" w:color="41B7EE"/>
              <w:bottom w:val="single" w:sz="4" w:space="0" w:color="41B7EE"/>
              <w:right w:val="single" w:sz="4" w:space="0" w:color="41B7EE"/>
            </w:tcBorders>
          </w:tcPr>
          <w:p>
            <w:pPr/>
          </w:p>
        </w:tc>
        <w:tc>
          <w:tcPr>
            <w:tcW w:w="794" w:type="dxa"/>
            <w:tcBorders>
              <w:top w:val="single" w:sz="8" w:space="0" w:color="41B7EE"/>
              <w:left w:val="single" w:sz="4" w:space="0" w:color="41B7EE"/>
              <w:bottom w:val="single" w:sz="4" w:space="0" w:color="41B7EE"/>
              <w:right w:val="single" w:sz="4" w:space="0" w:color="41B7EE"/>
            </w:tcBorders>
          </w:tcPr>
          <w:p>
            <w:pPr/>
          </w:p>
        </w:tc>
        <w:tc>
          <w:tcPr>
            <w:tcW w:w="600" w:type="dxa"/>
            <w:tcBorders>
              <w:top w:val="single" w:sz="8" w:space="0" w:color="41B7EE"/>
              <w:left w:val="single" w:sz="4" w:space="0" w:color="41B7EE"/>
              <w:bottom w:val="single" w:sz="4" w:space="0" w:color="41B7EE"/>
              <w:right w:val="single" w:sz="4" w:space="0" w:color="41B7EE"/>
            </w:tcBorders>
          </w:tcPr>
          <w:p>
            <w:pPr/>
          </w:p>
        </w:tc>
        <w:tc>
          <w:tcPr>
            <w:tcW w:w="2273" w:type="dxa"/>
            <w:tcBorders>
              <w:top w:val="single" w:sz="8" w:space="0" w:color="41B7EE"/>
              <w:left w:val="single" w:sz="4" w:space="0" w:color="41B7EE"/>
              <w:bottom w:val="single" w:sz="4" w:space="0" w:color="41B7EE"/>
              <w:right w:val="single" w:sz="4" w:space="0" w:color="41B7EE"/>
            </w:tcBorders>
          </w:tcPr>
          <w:p>
            <w:pPr/>
          </w:p>
        </w:tc>
        <w:tc>
          <w:tcPr>
            <w:tcW w:w="1358" w:type="dxa"/>
            <w:tcBorders>
              <w:top w:val="single" w:sz="8" w:space="0" w:color="41B7EE"/>
              <w:left w:val="single" w:sz="4" w:space="0" w:color="41B7EE"/>
              <w:bottom w:val="single" w:sz="4" w:space="0" w:color="41B7EE"/>
              <w:right w:val="single" w:sz="4" w:space="0" w:color="41B7EE"/>
            </w:tcBorders>
          </w:tcPr>
          <w:p>
            <w:pPr/>
          </w:p>
        </w:tc>
        <w:tc>
          <w:tcPr>
            <w:tcW w:w="838" w:type="dxa"/>
            <w:tcBorders>
              <w:top w:val="single" w:sz="8" w:space="0" w:color="41B7EE"/>
              <w:left w:val="single" w:sz="4" w:space="0" w:color="41B7EE"/>
              <w:bottom w:val="single" w:sz="4" w:space="0" w:color="41B7EE"/>
              <w:right w:val="single" w:sz="4" w:space="0" w:color="41B7EE"/>
            </w:tcBorders>
          </w:tcPr>
          <w:p>
            <w:pPr/>
          </w:p>
        </w:tc>
        <w:tc>
          <w:tcPr>
            <w:tcW w:w="2422" w:type="dxa"/>
            <w:tcBorders>
              <w:top w:val="single" w:sz="8" w:space="0" w:color="41B7EE"/>
              <w:left w:val="single" w:sz="4" w:space="0" w:color="41B7EE"/>
              <w:bottom w:val="single" w:sz="4" w:space="0" w:color="41B7EE"/>
              <w:right w:val="single" w:sz="4" w:space="0" w:color="41B7EE"/>
            </w:tcBorders>
          </w:tcPr>
          <w:p>
            <w:pPr/>
          </w:p>
        </w:tc>
        <w:tc>
          <w:tcPr>
            <w:tcW w:w="2859" w:type="dxa"/>
            <w:tcBorders>
              <w:top w:val="single" w:sz="8" w:space="0" w:color="41B7EE"/>
              <w:left w:val="single" w:sz="4" w:space="0" w:color="41B7EE"/>
              <w:bottom w:val="single" w:sz="4" w:space="0" w:color="41B7EE"/>
              <w:right w:val="single" w:sz="4" w:space="0" w:color="41B7EE"/>
            </w:tcBorders>
          </w:tcPr>
          <w:p>
            <w:pPr>
              <w:pStyle w:val="TableParagraph"/>
              <w:spacing w:line="179" w:lineRule="exact"/>
              <w:ind w:left="24" w:right="0"/>
              <w:jc w:val="left"/>
              <w:rPr>
                <w:rFonts w:ascii="宋体" w:hAnsi="宋体" w:cs="宋体" w:eastAsia="宋体" w:hint="default"/>
                <w:sz w:val="15"/>
                <w:szCs w:val="15"/>
              </w:rPr>
            </w:pPr>
            <w:r>
              <w:rPr>
                <w:rFonts w:ascii="宋体" w:hAnsi="宋体" w:cs="宋体" w:eastAsia="宋体" w:hint="default"/>
                <w:sz w:val="15"/>
                <w:szCs w:val="15"/>
              </w:rPr>
              <w:t>担</w:t>
            </w:r>
            <w:r>
              <w:rPr>
                <w:rFonts w:ascii="宋体" w:hAnsi="宋体" w:cs="宋体" w:eastAsia="宋体" w:hint="default"/>
                <w:spacing w:val="-39"/>
                <w:sz w:val="15"/>
                <w:szCs w:val="15"/>
              </w:rPr>
              <w:t> </w:t>
            </w:r>
            <w:r>
              <w:rPr>
                <w:rFonts w:ascii="Arial" w:hAnsi="Arial" w:cs="Arial" w:eastAsia="Arial" w:hint="default"/>
                <w:sz w:val="15"/>
                <w:szCs w:val="15"/>
              </w:rPr>
              <w:t>53</w:t>
            </w:r>
            <w:r>
              <w:rPr>
                <w:rFonts w:ascii="宋体" w:hAnsi="宋体" w:cs="宋体" w:eastAsia="宋体" w:hint="default"/>
                <w:sz w:val="15"/>
                <w:szCs w:val="15"/>
              </w:rPr>
              <w:t>，</w:t>
            </w:r>
            <w:r>
              <w:rPr>
                <w:rFonts w:ascii="Arial" w:hAnsi="Arial" w:cs="Arial" w:eastAsia="Arial" w:hint="default"/>
                <w:sz w:val="15"/>
                <w:szCs w:val="15"/>
              </w:rPr>
              <w:t>560</w:t>
            </w:r>
            <w:r>
              <w:rPr>
                <w:rFonts w:ascii="Arial" w:hAnsi="Arial" w:cs="Arial" w:eastAsia="Arial" w:hint="default"/>
                <w:spacing w:val="-6"/>
                <w:sz w:val="15"/>
                <w:szCs w:val="15"/>
              </w:rPr>
              <w:t> </w:t>
            </w:r>
            <w:r>
              <w:rPr>
                <w:rFonts w:ascii="宋体" w:hAnsi="宋体" w:cs="宋体" w:eastAsia="宋体" w:hint="default"/>
                <w:sz w:val="15"/>
                <w:szCs w:val="15"/>
              </w:rPr>
              <w:t>元，北大荒青枫亚麻纺织有限</w:t>
            </w:r>
          </w:p>
          <w:p>
            <w:pPr>
              <w:pStyle w:val="TableParagraph"/>
              <w:spacing w:line="194" w:lineRule="exact" w:before="13"/>
              <w:ind w:left="24" w:right="17"/>
              <w:jc w:val="left"/>
              <w:rPr>
                <w:rFonts w:ascii="宋体" w:hAnsi="宋体" w:cs="宋体" w:eastAsia="宋体" w:hint="default"/>
                <w:sz w:val="15"/>
                <w:szCs w:val="15"/>
              </w:rPr>
            </w:pPr>
            <w:r>
              <w:rPr>
                <w:rFonts w:ascii="宋体" w:hAnsi="宋体" w:cs="宋体" w:eastAsia="宋体" w:hint="default"/>
                <w:sz w:val="15"/>
                <w:szCs w:val="15"/>
              </w:rPr>
              <w:t>公司负担</w:t>
            </w:r>
            <w:r>
              <w:rPr>
                <w:rFonts w:ascii="宋体" w:hAnsi="宋体" w:cs="宋体" w:eastAsia="宋体" w:hint="default"/>
                <w:spacing w:val="-35"/>
                <w:sz w:val="15"/>
                <w:szCs w:val="15"/>
              </w:rPr>
              <w:t> </w:t>
            </w:r>
            <w:r>
              <w:rPr>
                <w:rFonts w:ascii="Arial" w:hAnsi="Arial" w:cs="Arial" w:eastAsia="Arial" w:hint="default"/>
                <w:spacing w:val="-7"/>
                <w:sz w:val="15"/>
                <w:szCs w:val="15"/>
              </w:rPr>
              <w:t>53</w:t>
            </w:r>
            <w:r>
              <w:rPr>
                <w:rFonts w:ascii="宋体" w:hAnsi="宋体" w:cs="宋体" w:eastAsia="宋体" w:hint="default"/>
                <w:spacing w:val="-7"/>
                <w:sz w:val="15"/>
                <w:szCs w:val="15"/>
              </w:rPr>
              <w:t>，</w:t>
            </w:r>
            <w:r>
              <w:rPr>
                <w:rFonts w:ascii="Arial" w:hAnsi="Arial" w:cs="Arial" w:eastAsia="Arial" w:hint="default"/>
                <w:spacing w:val="-7"/>
                <w:sz w:val="15"/>
                <w:szCs w:val="15"/>
              </w:rPr>
              <w:t>560</w:t>
            </w:r>
            <w:r>
              <w:rPr>
                <w:rFonts w:ascii="Arial" w:hAnsi="Arial" w:cs="Arial" w:eastAsia="Arial" w:hint="default"/>
                <w:spacing w:val="-2"/>
                <w:sz w:val="15"/>
                <w:szCs w:val="15"/>
              </w:rPr>
              <w:t> </w:t>
            </w:r>
            <w:r>
              <w:rPr>
                <w:rFonts w:ascii="宋体" w:hAnsi="宋体" w:cs="宋体" w:eastAsia="宋体" w:hint="default"/>
                <w:spacing w:val="-6"/>
                <w:sz w:val="15"/>
                <w:szCs w:val="15"/>
              </w:rPr>
              <w:t>元。二审案件受理费</w:t>
            </w:r>
            <w:r>
              <w:rPr>
                <w:rFonts w:ascii="宋体" w:hAnsi="宋体" w:cs="宋体" w:eastAsia="宋体" w:hint="default"/>
                <w:spacing w:val="-32"/>
                <w:sz w:val="15"/>
                <w:szCs w:val="15"/>
              </w:rPr>
              <w:t> </w:t>
            </w:r>
            <w:r>
              <w:rPr>
                <w:rFonts w:ascii="Arial" w:hAnsi="Arial" w:cs="Arial" w:eastAsia="Arial" w:hint="default"/>
                <w:sz w:val="15"/>
                <w:szCs w:val="15"/>
              </w:rPr>
              <w:t>44</w:t>
            </w:r>
            <w:r>
              <w:rPr>
                <w:rFonts w:ascii="Arial" w:hAnsi="Arial" w:cs="Arial" w:eastAsia="Arial" w:hint="default"/>
                <w:spacing w:val="-31"/>
                <w:sz w:val="15"/>
                <w:szCs w:val="15"/>
              </w:rPr>
              <w:t> </w:t>
            </w:r>
            <w:r>
              <w:rPr>
                <w:rFonts w:ascii="Arial" w:hAnsi="Arial" w:cs="Arial" w:eastAsia="Arial" w:hint="default"/>
                <w:sz w:val="15"/>
                <w:szCs w:val="15"/>
              </w:rPr>
              <w:t>310.02</w:t>
            </w:r>
            <w:r>
              <w:rPr>
                <w:rFonts w:ascii="Arial" w:hAnsi="Arial" w:cs="Arial" w:eastAsia="Arial" w:hint="default"/>
                <w:spacing w:val="-7"/>
                <w:sz w:val="15"/>
                <w:szCs w:val="15"/>
              </w:rPr>
              <w:t> </w:t>
            </w:r>
            <w:r>
              <w:rPr>
                <w:rFonts w:ascii="宋体" w:hAnsi="宋体" w:cs="宋体" w:eastAsia="宋体" w:hint="default"/>
                <w:sz w:val="15"/>
                <w:szCs w:val="15"/>
              </w:rPr>
              <w:t>元，由北大荒鑫亚经贸有限责任公</w:t>
            </w:r>
            <w:r>
              <w:rPr>
                <w:rFonts w:ascii="宋体" w:hAnsi="宋体" w:cs="宋体" w:eastAsia="宋体" w:hint="default"/>
                <w:w w:val="100"/>
                <w:sz w:val="15"/>
                <w:szCs w:val="15"/>
              </w:rPr>
              <w:t> </w:t>
            </w:r>
            <w:r>
              <w:rPr>
                <w:rFonts w:ascii="宋体" w:hAnsi="宋体" w:cs="宋体" w:eastAsia="宋体" w:hint="default"/>
                <w:spacing w:val="-5"/>
                <w:sz w:val="15"/>
                <w:szCs w:val="15"/>
              </w:rPr>
              <w:t>司负担。上述亚麻布成本为</w:t>
            </w:r>
            <w:r>
              <w:rPr>
                <w:rFonts w:ascii="宋体" w:hAnsi="宋体" w:cs="宋体" w:eastAsia="宋体" w:hint="default"/>
                <w:spacing w:val="-17"/>
                <w:sz w:val="15"/>
                <w:szCs w:val="15"/>
              </w:rPr>
              <w:t> </w:t>
            </w:r>
            <w:r>
              <w:rPr>
                <w:rFonts w:ascii="Arial" w:hAnsi="Arial" w:cs="Arial" w:eastAsia="Arial" w:hint="default"/>
                <w:spacing w:val="-9"/>
                <w:sz w:val="15"/>
                <w:szCs w:val="15"/>
              </w:rPr>
              <w:t>6</w:t>
            </w:r>
            <w:r>
              <w:rPr>
                <w:rFonts w:ascii="宋体" w:hAnsi="宋体" w:cs="宋体" w:eastAsia="宋体" w:hint="default"/>
                <w:spacing w:val="-9"/>
                <w:sz w:val="15"/>
                <w:szCs w:val="15"/>
              </w:rPr>
              <w:t>，</w:t>
            </w:r>
            <w:r>
              <w:rPr>
                <w:rFonts w:ascii="Arial" w:hAnsi="Arial" w:cs="Arial" w:eastAsia="Arial" w:hint="default"/>
                <w:spacing w:val="-9"/>
                <w:sz w:val="15"/>
                <w:szCs w:val="15"/>
              </w:rPr>
              <w:t>651</w:t>
            </w:r>
            <w:r>
              <w:rPr>
                <w:rFonts w:ascii="宋体" w:hAnsi="宋体" w:cs="宋体" w:eastAsia="宋体" w:hint="default"/>
                <w:spacing w:val="-9"/>
                <w:sz w:val="15"/>
                <w:szCs w:val="15"/>
              </w:rPr>
              <w:t>，</w:t>
            </w:r>
            <w:r>
              <w:rPr>
                <w:rFonts w:ascii="Arial" w:hAnsi="Arial" w:cs="Arial" w:eastAsia="Arial" w:hint="default"/>
                <w:spacing w:val="-9"/>
                <w:sz w:val="15"/>
                <w:szCs w:val="15"/>
              </w:rPr>
              <w:t>671.50</w:t>
            </w:r>
            <w:r>
              <w:rPr>
                <w:rFonts w:ascii="Arial" w:hAnsi="Arial" w:cs="Arial" w:eastAsia="Arial" w:hint="default"/>
                <w:spacing w:val="-30"/>
                <w:sz w:val="15"/>
                <w:szCs w:val="15"/>
              </w:rPr>
              <w:t> </w:t>
            </w:r>
            <w:r>
              <w:rPr>
                <w:rFonts w:ascii="Arial" w:hAnsi="Arial" w:cs="Arial" w:eastAsia="Arial" w:hint="default"/>
                <w:spacing w:val="-30"/>
                <w:sz w:val="15"/>
                <w:szCs w:val="15"/>
              </w:rPr>
            </w:r>
            <w:r>
              <w:rPr>
                <w:rFonts w:ascii="宋体" w:hAnsi="宋体" w:cs="宋体" w:eastAsia="宋体" w:hint="default"/>
                <w:sz w:val="15"/>
                <w:szCs w:val="15"/>
              </w:rPr>
              <w:t>元，已计提存货跌价准备</w:t>
            </w:r>
            <w:r>
              <w:rPr>
                <w:rFonts w:ascii="宋体" w:hAnsi="宋体" w:cs="宋体" w:eastAsia="宋体" w:hint="default"/>
                <w:spacing w:val="-40"/>
                <w:sz w:val="15"/>
                <w:szCs w:val="15"/>
              </w:rPr>
              <w:t> </w:t>
            </w:r>
            <w:r>
              <w:rPr>
                <w:rFonts w:ascii="Arial" w:hAnsi="Arial" w:cs="Arial" w:eastAsia="Arial" w:hint="default"/>
                <w:sz w:val="15"/>
                <w:szCs w:val="15"/>
              </w:rPr>
              <w:t>3</w:t>
            </w:r>
            <w:r>
              <w:rPr>
                <w:rFonts w:ascii="宋体" w:hAnsi="宋体" w:cs="宋体" w:eastAsia="宋体" w:hint="default"/>
                <w:sz w:val="15"/>
                <w:szCs w:val="15"/>
              </w:rPr>
              <w:t>，</w:t>
            </w:r>
            <w:r>
              <w:rPr>
                <w:rFonts w:ascii="Arial" w:hAnsi="Arial" w:cs="Arial" w:eastAsia="Arial" w:hint="default"/>
                <w:sz w:val="15"/>
                <w:szCs w:val="15"/>
              </w:rPr>
              <w:t>565</w:t>
            </w:r>
            <w:r>
              <w:rPr>
                <w:rFonts w:ascii="宋体" w:hAnsi="宋体" w:cs="宋体" w:eastAsia="宋体" w:hint="default"/>
                <w:sz w:val="15"/>
                <w:szCs w:val="15"/>
              </w:rPr>
              <w:t>，</w:t>
            </w:r>
            <w:r>
              <w:rPr>
                <w:rFonts w:ascii="Arial" w:hAnsi="Arial" w:cs="Arial" w:eastAsia="Arial" w:hint="default"/>
                <w:sz w:val="15"/>
                <w:szCs w:val="15"/>
              </w:rPr>
              <w:t>356.42</w:t>
            </w:r>
            <w:r>
              <w:rPr>
                <w:rFonts w:ascii="Arial" w:hAnsi="Arial" w:cs="Arial" w:eastAsia="Arial" w:hint="default"/>
                <w:w w:val="100"/>
                <w:sz w:val="15"/>
                <w:szCs w:val="15"/>
              </w:rPr>
              <w:t> </w:t>
            </w:r>
            <w:r>
              <w:rPr>
                <w:rFonts w:ascii="宋体" w:hAnsi="宋体" w:cs="宋体" w:eastAsia="宋体" w:hint="default"/>
                <w:sz w:val="15"/>
                <w:szCs w:val="15"/>
              </w:rPr>
              <w:t>元，净值</w:t>
            </w:r>
            <w:r>
              <w:rPr>
                <w:rFonts w:ascii="宋体" w:hAnsi="宋体" w:cs="宋体" w:eastAsia="宋体" w:hint="default"/>
                <w:spacing w:val="-46"/>
                <w:sz w:val="15"/>
                <w:szCs w:val="15"/>
              </w:rPr>
              <w:t> </w:t>
            </w:r>
            <w:r>
              <w:rPr>
                <w:rFonts w:ascii="Arial" w:hAnsi="Arial" w:cs="Arial" w:eastAsia="Arial" w:hint="default"/>
                <w:sz w:val="15"/>
                <w:szCs w:val="15"/>
              </w:rPr>
              <w:t>3</w:t>
            </w:r>
            <w:r>
              <w:rPr>
                <w:rFonts w:ascii="宋体" w:hAnsi="宋体" w:cs="宋体" w:eastAsia="宋体" w:hint="default"/>
                <w:sz w:val="15"/>
                <w:szCs w:val="15"/>
              </w:rPr>
              <w:t>，</w:t>
            </w:r>
            <w:r>
              <w:rPr>
                <w:rFonts w:ascii="Arial" w:hAnsi="Arial" w:cs="Arial" w:eastAsia="Arial" w:hint="default"/>
                <w:sz w:val="15"/>
                <w:szCs w:val="15"/>
              </w:rPr>
              <w:t>086</w:t>
            </w:r>
            <w:r>
              <w:rPr>
                <w:rFonts w:ascii="宋体" w:hAnsi="宋体" w:cs="宋体" w:eastAsia="宋体" w:hint="default"/>
                <w:sz w:val="15"/>
                <w:szCs w:val="15"/>
              </w:rPr>
              <w:t>，</w:t>
            </w:r>
            <w:r>
              <w:rPr>
                <w:rFonts w:ascii="Arial" w:hAnsi="Arial" w:cs="Arial" w:eastAsia="Arial" w:hint="default"/>
                <w:sz w:val="15"/>
                <w:szCs w:val="15"/>
              </w:rPr>
              <w:t>315.07</w:t>
            </w:r>
            <w:r>
              <w:rPr>
                <w:rFonts w:ascii="Arial" w:hAnsi="Arial" w:cs="Arial" w:eastAsia="Arial" w:hint="default"/>
                <w:spacing w:val="-12"/>
                <w:sz w:val="15"/>
                <w:szCs w:val="15"/>
              </w:rPr>
              <w:t> </w:t>
            </w:r>
            <w:r>
              <w:rPr>
                <w:rFonts w:ascii="宋体" w:hAnsi="宋体" w:cs="宋体" w:eastAsia="宋体" w:hint="default"/>
                <w:sz w:val="15"/>
                <w:szCs w:val="15"/>
              </w:rPr>
              <w:t>元。本判决为终</w:t>
            </w:r>
            <w:r>
              <w:rPr>
                <w:rFonts w:ascii="宋体" w:hAnsi="宋体" w:cs="宋体" w:eastAsia="宋体" w:hint="default"/>
                <w:w w:val="100"/>
                <w:sz w:val="15"/>
                <w:szCs w:val="15"/>
              </w:rPr>
              <w:t> </w:t>
            </w:r>
            <w:r>
              <w:rPr>
                <w:rFonts w:ascii="宋体" w:hAnsi="宋体" w:cs="宋体" w:eastAsia="宋体" w:hint="default"/>
                <w:sz w:val="15"/>
                <w:szCs w:val="15"/>
              </w:rPr>
              <w:t>审判决。</w:t>
            </w:r>
          </w:p>
        </w:tc>
        <w:tc>
          <w:tcPr>
            <w:tcW w:w="1529"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109" w:right="0"/>
              <w:jc w:val="left"/>
              <w:rPr>
                <w:rFonts w:ascii="宋体" w:hAnsi="宋体" w:cs="宋体" w:eastAsia="宋体" w:hint="default"/>
                <w:sz w:val="15"/>
                <w:szCs w:val="15"/>
              </w:rPr>
            </w:pPr>
            <w:r>
              <w:rPr>
                <w:rFonts w:ascii="宋体" w:hAnsi="宋体" w:cs="宋体" w:eastAsia="宋体" w:hint="default"/>
                <w:w w:val="100"/>
                <w:sz w:val="15"/>
                <w:szCs w:val="15"/>
              </w:rPr>
              <w:t>，</w:t>
            </w:r>
          </w:p>
        </w:tc>
      </w:tr>
      <w:tr>
        <w:trPr>
          <w:trHeight w:val="4487" w:hRule="exact"/>
        </w:trPr>
        <w:tc>
          <w:tcPr>
            <w:tcW w:w="612" w:type="dxa"/>
            <w:tcBorders>
              <w:top w:val="single" w:sz="4" w:space="0" w:color="41B7EE"/>
              <w:left w:val="nil" w:sz="6" w:space="0" w:color="auto"/>
              <w:bottom w:val="single" w:sz="4"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28" w:right="123"/>
              <w:jc w:val="both"/>
              <w:rPr>
                <w:rFonts w:ascii="宋体" w:hAnsi="宋体" w:cs="宋体" w:eastAsia="宋体" w:hint="default"/>
                <w:sz w:val="15"/>
                <w:szCs w:val="15"/>
              </w:rPr>
            </w:pPr>
            <w:r>
              <w:rPr>
                <w:rFonts w:ascii="宋体" w:hAnsi="宋体" w:cs="宋体" w:eastAsia="宋体" w:hint="default"/>
                <w:sz w:val="15"/>
                <w:szCs w:val="15"/>
              </w:rPr>
              <w:t>北大荒</w:t>
            </w:r>
            <w:r>
              <w:rPr>
                <w:rFonts w:ascii="宋体" w:hAnsi="宋体" w:cs="宋体" w:eastAsia="宋体" w:hint="default"/>
                <w:spacing w:val="-72"/>
                <w:sz w:val="15"/>
                <w:szCs w:val="15"/>
              </w:rPr>
              <w:t> </w:t>
            </w:r>
            <w:r>
              <w:rPr>
                <w:rFonts w:ascii="宋体" w:hAnsi="宋体" w:cs="宋体" w:eastAsia="宋体" w:hint="default"/>
                <w:sz w:val="15"/>
                <w:szCs w:val="15"/>
              </w:rPr>
              <w:t>鑫亚经</w:t>
            </w:r>
            <w:r>
              <w:rPr>
                <w:rFonts w:ascii="宋体" w:hAnsi="宋体" w:cs="宋体" w:eastAsia="宋体" w:hint="default"/>
                <w:spacing w:val="-72"/>
                <w:sz w:val="15"/>
                <w:szCs w:val="15"/>
              </w:rPr>
              <w:t> </w:t>
            </w:r>
            <w:r>
              <w:rPr>
                <w:rFonts w:ascii="宋体" w:hAnsi="宋体" w:cs="宋体" w:eastAsia="宋体" w:hint="default"/>
                <w:sz w:val="15"/>
                <w:szCs w:val="15"/>
              </w:rPr>
              <w:t>贸有限</w:t>
            </w:r>
            <w:r>
              <w:rPr>
                <w:rFonts w:ascii="宋体" w:hAnsi="宋体" w:cs="宋体" w:eastAsia="宋体" w:hint="default"/>
                <w:spacing w:val="-72"/>
                <w:sz w:val="15"/>
                <w:szCs w:val="15"/>
              </w:rPr>
              <w:t> </w:t>
            </w:r>
            <w:r>
              <w:rPr>
                <w:rFonts w:ascii="宋体" w:hAnsi="宋体" w:cs="宋体" w:eastAsia="宋体" w:hint="default"/>
                <w:sz w:val="15"/>
                <w:szCs w:val="15"/>
              </w:rPr>
              <w:t>责任公</w:t>
            </w:r>
            <w:r>
              <w:rPr>
                <w:rFonts w:ascii="宋体" w:hAnsi="宋体" w:cs="宋体" w:eastAsia="宋体" w:hint="default"/>
                <w:spacing w:val="-72"/>
                <w:sz w:val="15"/>
                <w:szCs w:val="15"/>
              </w:rPr>
              <w:t> </w:t>
            </w:r>
            <w:r>
              <w:rPr>
                <w:rFonts w:ascii="宋体" w:hAnsi="宋体" w:cs="宋体" w:eastAsia="宋体" w:hint="default"/>
                <w:sz w:val="15"/>
                <w:szCs w:val="15"/>
              </w:rPr>
              <w:t>司</w:t>
            </w:r>
          </w:p>
        </w:tc>
        <w:tc>
          <w:tcPr>
            <w:tcW w:w="64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21" w:right="158"/>
              <w:jc w:val="both"/>
              <w:rPr>
                <w:rFonts w:ascii="宋体" w:hAnsi="宋体" w:cs="宋体" w:eastAsia="宋体" w:hint="default"/>
                <w:sz w:val="15"/>
                <w:szCs w:val="15"/>
              </w:rPr>
            </w:pPr>
            <w:r>
              <w:rPr>
                <w:rFonts w:ascii="宋体" w:hAnsi="宋体" w:cs="宋体" w:eastAsia="宋体" w:hint="default"/>
                <w:sz w:val="15"/>
                <w:szCs w:val="15"/>
              </w:rPr>
              <w:t>北大荒</w:t>
            </w:r>
            <w:r>
              <w:rPr>
                <w:rFonts w:ascii="宋体" w:hAnsi="宋体" w:cs="宋体" w:eastAsia="宋体" w:hint="default"/>
                <w:spacing w:val="-72"/>
                <w:sz w:val="15"/>
                <w:szCs w:val="15"/>
              </w:rPr>
              <w:t> </w:t>
            </w:r>
            <w:r>
              <w:rPr>
                <w:rFonts w:ascii="宋体" w:hAnsi="宋体" w:cs="宋体" w:eastAsia="宋体" w:hint="default"/>
                <w:sz w:val="15"/>
                <w:szCs w:val="15"/>
              </w:rPr>
              <w:t>青枫亚</w:t>
            </w:r>
            <w:r>
              <w:rPr>
                <w:rFonts w:ascii="宋体" w:hAnsi="宋体" w:cs="宋体" w:eastAsia="宋体" w:hint="default"/>
                <w:spacing w:val="-72"/>
                <w:sz w:val="15"/>
                <w:szCs w:val="15"/>
              </w:rPr>
              <w:t> </w:t>
            </w:r>
            <w:r>
              <w:rPr>
                <w:rFonts w:ascii="宋体" w:hAnsi="宋体" w:cs="宋体" w:eastAsia="宋体" w:hint="default"/>
                <w:sz w:val="15"/>
                <w:szCs w:val="15"/>
              </w:rPr>
              <w:t>麻纺织</w:t>
            </w:r>
            <w:r>
              <w:rPr>
                <w:rFonts w:ascii="宋体" w:hAnsi="宋体" w:cs="宋体" w:eastAsia="宋体" w:hint="default"/>
                <w:spacing w:val="-72"/>
                <w:sz w:val="15"/>
                <w:szCs w:val="15"/>
              </w:rPr>
              <w:t> </w:t>
            </w:r>
            <w:r>
              <w:rPr>
                <w:rFonts w:ascii="宋体" w:hAnsi="宋体" w:cs="宋体" w:eastAsia="宋体" w:hint="default"/>
                <w:sz w:val="15"/>
                <w:szCs w:val="15"/>
              </w:rPr>
              <w:t>有限公</w:t>
            </w:r>
            <w:r>
              <w:rPr>
                <w:rFonts w:ascii="宋体" w:hAnsi="宋体" w:cs="宋体" w:eastAsia="宋体" w:hint="default"/>
                <w:spacing w:val="-72"/>
                <w:sz w:val="15"/>
                <w:szCs w:val="15"/>
              </w:rPr>
              <w:t> </w:t>
            </w:r>
            <w:r>
              <w:rPr>
                <w:rFonts w:ascii="宋体" w:hAnsi="宋体" w:cs="宋体" w:eastAsia="宋体" w:hint="default"/>
                <w:sz w:val="15"/>
                <w:szCs w:val="15"/>
              </w:rPr>
              <w:t>司</w:t>
            </w:r>
          </w:p>
        </w:tc>
        <w:tc>
          <w:tcPr>
            <w:tcW w:w="7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60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诉讼</w:t>
            </w:r>
          </w:p>
        </w:tc>
        <w:tc>
          <w:tcPr>
            <w:tcW w:w="2273" w:type="dxa"/>
            <w:tcBorders>
              <w:top w:val="single" w:sz="4" w:space="0" w:color="41B7EE"/>
              <w:left w:val="single" w:sz="4" w:space="0" w:color="41B7EE"/>
              <w:bottom w:val="single" w:sz="4" w:space="0" w:color="41B7EE"/>
              <w:right w:val="single" w:sz="4" w:space="0" w:color="41B7EE"/>
            </w:tcBorders>
          </w:tcPr>
          <w:p>
            <w:pPr>
              <w:pStyle w:val="TableParagraph"/>
              <w:spacing w:line="177" w:lineRule="exact"/>
              <w:ind w:left="23" w:right="0"/>
              <w:jc w:val="both"/>
              <w:rPr>
                <w:rFonts w:ascii="宋体" w:hAnsi="宋体" w:cs="宋体" w:eastAsia="宋体" w:hint="default"/>
                <w:sz w:val="15"/>
                <w:szCs w:val="15"/>
              </w:rPr>
            </w:pPr>
            <w:r>
              <w:rPr>
                <w:rFonts w:ascii="Arial" w:hAnsi="Arial" w:cs="Arial" w:eastAsia="Arial" w:hint="default"/>
                <w:spacing w:val="-1"/>
                <w:w w:val="100"/>
                <w:sz w:val="15"/>
                <w:szCs w:val="15"/>
              </w:rPr>
              <w:t>201</w:t>
            </w:r>
            <w:r>
              <w:rPr>
                <w:rFonts w:ascii="Arial" w:hAnsi="Arial" w:cs="Arial" w:eastAsia="Arial" w:hint="default"/>
                <w:w w:val="100"/>
                <w:sz w:val="15"/>
                <w:szCs w:val="15"/>
              </w:rPr>
              <w:t>1</w:t>
            </w:r>
            <w:r>
              <w:rPr>
                <w:rFonts w:ascii="Arial" w:hAnsi="Arial" w:cs="Arial" w:eastAsia="Arial" w:hint="default"/>
                <w:spacing w:val="-6"/>
                <w:sz w:val="15"/>
                <w:szCs w:val="15"/>
              </w:rPr>
              <w:t> </w:t>
            </w:r>
            <w:r>
              <w:rPr>
                <w:rFonts w:ascii="宋体" w:hAnsi="宋体" w:cs="宋体" w:eastAsia="宋体" w:hint="default"/>
                <w:w w:val="100"/>
                <w:sz w:val="15"/>
                <w:szCs w:val="15"/>
              </w:rPr>
              <w:t>年</w:t>
            </w:r>
            <w:r>
              <w:rPr>
                <w:rFonts w:ascii="宋体" w:hAnsi="宋体" w:cs="宋体" w:eastAsia="宋体" w:hint="default"/>
                <w:spacing w:val="-37"/>
                <w:sz w:val="15"/>
                <w:szCs w:val="15"/>
              </w:rPr>
              <w:t> </w:t>
            </w:r>
            <w:r>
              <w:rPr>
                <w:rFonts w:ascii="Arial" w:hAnsi="Arial" w:cs="Arial" w:eastAsia="Arial" w:hint="default"/>
                <w:spacing w:val="-3"/>
                <w:w w:val="100"/>
                <w:sz w:val="15"/>
                <w:szCs w:val="15"/>
              </w:rPr>
              <w:t>1</w:t>
            </w:r>
            <w:r>
              <w:rPr>
                <w:rFonts w:ascii="Arial" w:hAnsi="Arial" w:cs="Arial" w:eastAsia="Arial" w:hint="default"/>
                <w:w w:val="100"/>
                <w:sz w:val="15"/>
                <w:szCs w:val="15"/>
              </w:rPr>
              <w:t>1</w:t>
            </w:r>
            <w:r>
              <w:rPr>
                <w:rFonts w:ascii="Arial" w:hAnsi="Arial" w:cs="Arial" w:eastAsia="Arial" w:hint="default"/>
                <w:spacing w:val="-6"/>
                <w:sz w:val="15"/>
                <w:szCs w:val="15"/>
              </w:rPr>
              <w:t> </w:t>
            </w:r>
            <w:r>
              <w:rPr>
                <w:rFonts w:ascii="宋体" w:hAnsi="宋体" w:cs="宋体" w:eastAsia="宋体" w:hint="default"/>
                <w:w w:val="100"/>
                <w:sz w:val="15"/>
                <w:szCs w:val="15"/>
              </w:rPr>
              <w:t>月</w:t>
            </w:r>
            <w:r>
              <w:rPr>
                <w:rFonts w:ascii="宋体" w:hAnsi="宋体" w:cs="宋体" w:eastAsia="宋体" w:hint="default"/>
                <w:spacing w:val="-39"/>
                <w:sz w:val="15"/>
                <w:szCs w:val="15"/>
              </w:rPr>
              <w:t> </w:t>
            </w:r>
            <w:r>
              <w:rPr>
                <w:rFonts w:ascii="Arial" w:hAnsi="Arial" w:cs="Arial" w:eastAsia="Arial" w:hint="default"/>
                <w:w w:val="100"/>
                <w:sz w:val="15"/>
                <w:szCs w:val="15"/>
              </w:rPr>
              <w:t>3</w:t>
            </w:r>
            <w:r>
              <w:rPr>
                <w:rFonts w:ascii="Arial" w:hAnsi="Arial" w:cs="Arial" w:eastAsia="Arial" w:hint="default"/>
                <w:spacing w:val="-4"/>
                <w:sz w:val="15"/>
                <w:szCs w:val="15"/>
              </w:rPr>
              <w:t> </w:t>
            </w:r>
            <w:r>
              <w:rPr>
                <w:rFonts w:ascii="宋体" w:hAnsi="宋体" w:cs="宋体" w:eastAsia="宋体" w:hint="default"/>
                <w:w w:val="100"/>
                <w:sz w:val="15"/>
                <w:szCs w:val="15"/>
              </w:rPr>
              <w:t>日</w:t>
            </w:r>
            <w:r>
              <w:rPr>
                <w:rFonts w:ascii="宋体" w:hAnsi="宋体" w:cs="宋体" w:eastAsia="宋体" w:hint="default"/>
                <w:spacing w:val="-61"/>
                <w:w w:val="100"/>
                <w:sz w:val="15"/>
                <w:szCs w:val="15"/>
              </w:rPr>
              <w:t>，</w:t>
            </w:r>
            <w:r>
              <w:rPr>
                <w:rFonts w:ascii="宋体" w:hAnsi="宋体" w:cs="宋体" w:eastAsia="宋体" w:hint="default"/>
                <w:w w:val="100"/>
                <w:sz w:val="15"/>
                <w:szCs w:val="15"/>
              </w:rPr>
              <w:t>鑫</w:t>
            </w:r>
            <w:r>
              <w:rPr>
                <w:rFonts w:ascii="宋体" w:hAnsi="宋体" w:cs="宋体" w:eastAsia="宋体" w:hint="default"/>
                <w:spacing w:val="-3"/>
                <w:w w:val="100"/>
                <w:sz w:val="15"/>
                <w:szCs w:val="15"/>
              </w:rPr>
              <w:t>亚</w:t>
            </w:r>
            <w:r>
              <w:rPr>
                <w:rFonts w:ascii="宋体" w:hAnsi="宋体" w:cs="宋体" w:eastAsia="宋体" w:hint="default"/>
                <w:w w:val="100"/>
                <w:sz w:val="15"/>
                <w:szCs w:val="15"/>
              </w:rPr>
              <w:t>公</w:t>
            </w:r>
            <w:r>
              <w:rPr>
                <w:rFonts w:ascii="宋体" w:hAnsi="宋体" w:cs="宋体" w:eastAsia="宋体" w:hint="default"/>
                <w:spacing w:val="-3"/>
                <w:w w:val="100"/>
                <w:sz w:val="15"/>
                <w:szCs w:val="15"/>
              </w:rPr>
              <w:t>司</w:t>
            </w:r>
            <w:r>
              <w:rPr>
                <w:rFonts w:ascii="宋体" w:hAnsi="宋体" w:cs="宋体" w:eastAsia="宋体" w:hint="default"/>
                <w:w w:val="100"/>
                <w:sz w:val="15"/>
                <w:szCs w:val="15"/>
              </w:rPr>
              <w:t>与青</w:t>
            </w:r>
          </w:p>
          <w:p>
            <w:pPr>
              <w:pStyle w:val="TableParagraph"/>
              <w:spacing w:line="194" w:lineRule="exact" w:before="13"/>
              <w:ind w:left="23" w:right="-38"/>
              <w:jc w:val="both"/>
              <w:rPr>
                <w:rFonts w:ascii="宋体" w:hAnsi="宋体" w:cs="宋体" w:eastAsia="宋体" w:hint="default"/>
                <w:sz w:val="15"/>
                <w:szCs w:val="15"/>
              </w:rPr>
            </w:pPr>
            <w:r>
              <w:rPr>
                <w:rFonts w:ascii="宋体" w:hAnsi="宋体" w:cs="宋体" w:eastAsia="宋体" w:hint="default"/>
                <w:sz w:val="15"/>
                <w:szCs w:val="15"/>
              </w:rPr>
              <w:t>枫公司签订</w:t>
            </w:r>
            <w:r>
              <w:rPr>
                <w:rFonts w:ascii="宋体" w:hAnsi="宋体" w:cs="宋体" w:eastAsia="宋体" w:hint="default"/>
                <w:spacing w:val="-39"/>
                <w:sz w:val="15"/>
                <w:szCs w:val="15"/>
              </w:rPr>
              <w:t> </w:t>
            </w:r>
            <w:r>
              <w:rPr>
                <w:rFonts w:ascii="Arial" w:hAnsi="Arial" w:cs="Arial" w:eastAsia="Arial" w:hint="default"/>
                <w:sz w:val="15"/>
                <w:szCs w:val="15"/>
              </w:rPr>
              <w:t>337</w:t>
            </w:r>
            <w:r>
              <w:rPr>
                <w:rFonts w:ascii="Arial" w:hAnsi="Arial" w:cs="Arial" w:eastAsia="Arial" w:hint="default"/>
                <w:spacing w:val="-6"/>
                <w:sz w:val="15"/>
                <w:szCs w:val="15"/>
              </w:rPr>
              <w:t> </w:t>
            </w:r>
            <w:r>
              <w:rPr>
                <w:rFonts w:ascii="宋体" w:hAnsi="宋体" w:cs="宋体" w:eastAsia="宋体" w:hint="default"/>
                <w:sz w:val="15"/>
                <w:szCs w:val="15"/>
              </w:rPr>
              <w:t>号《销售合同》，</w:t>
            </w:r>
            <w:r>
              <w:rPr>
                <w:rFonts w:ascii="宋体" w:hAnsi="宋体" w:cs="宋体" w:eastAsia="宋体" w:hint="default"/>
                <w:w w:val="100"/>
                <w:sz w:val="15"/>
                <w:szCs w:val="15"/>
              </w:rPr>
              <w:t> </w:t>
            </w:r>
            <w:r>
              <w:rPr>
                <w:rFonts w:ascii="宋体" w:hAnsi="宋体" w:cs="宋体" w:eastAsia="宋体" w:hint="default"/>
                <w:sz w:val="15"/>
                <w:szCs w:val="15"/>
              </w:rPr>
              <w:t>鑫亚公司向青枫公司出售亚麻原</w:t>
            </w:r>
          </w:p>
          <w:p>
            <w:pPr>
              <w:pStyle w:val="TableParagraph"/>
              <w:spacing w:line="183" w:lineRule="exact"/>
              <w:ind w:left="23" w:right="0"/>
              <w:jc w:val="both"/>
              <w:rPr>
                <w:rFonts w:ascii="宋体" w:hAnsi="宋体" w:cs="宋体" w:eastAsia="宋体" w:hint="default"/>
                <w:sz w:val="15"/>
                <w:szCs w:val="15"/>
              </w:rPr>
            </w:pPr>
            <w:r>
              <w:rPr>
                <w:rFonts w:ascii="宋体" w:hAnsi="宋体" w:cs="宋体" w:eastAsia="宋体" w:hint="default"/>
                <w:sz w:val="15"/>
                <w:szCs w:val="15"/>
              </w:rPr>
              <w:t>料 </w:t>
            </w:r>
            <w:r>
              <w:rPr>
                <w:rFonts w:ascii="Arial" w:hAnsi="Arial" w:cs="Arial" w:eastAsia="Arial" w:hint="default"/>
                <w:sz w:val="15"/>
                <w:szCs w:val="15"/>
              </w:rPr>
              <w:t>4071.03</w:t>
            </w:r>
            <w:r>
              <w:rPr>
                <w:rFonts w:ascii="Arial" w:hAnsi="Arial" w:cs="Arial" w:eastAsia="Arial" w:hint="default"/>
                <w:spacing w:val="-26"/>
                <w:sz w:val="15"/>
                <w:szCs w:val="15"/>
              </w:rPr>
              <w:t> </w:t>
            </w:r>
            <w:r>
              <w:rPr>
                <w:rFonts w:ascii="宋体" w:hAnsi="宋体" w:cs="宋体" w:eastAsia="宋体" w:hint="default"/>
                <w:spacing w:val="-7"/>
                <w:sz w:val="15"/>
                <w:szCs w:val="15"/>
              </w:rPr>
              <w:t>吨，最终确定亚麻原料</w:t>
            </w:r>
          </w:p>
          <w:p>
            <w:pPr>
              <w:pStyle w:val="TableParagraph"/>
              <w:spacing w:line="194" w:lineRule="exact" w:before="15"/>
              <w:ind w:left="23" w:right="20"/>
              <w:jc w:val="both"/>
              <w:rPr>
                <w:rFonts w:ascii="宋体" w:hAnsi="宋体" w:cs="宋体" w:eastAsia="宋体" w:hint="default"/>
                <w:sz w:val="15"/>
                <w:szCs w:val="15"/>
              </w:rPr>
            </w:pPr>
            <w:r>
              <w:rPr>
                <w:rFonts w:ascii="宋体" w:hAnsi="宋体" w:cs="宋体" w:eastAsia="宋体" w:hint="default"/>
                <w:sz w:val="15"/>
                <w:szCs w:val="15"/>
              </w:rPr>
              <w:t>单价为</w:t>
            </w:r>
            <w:r>
              <w:rPr>
                <w:rFonts w:ascii="宋体" w:hAnsi="宋体" w:cs="宋体" w:eastAsia="宋体" w:hint="default"/>
                <w:spacing w:val="-38"/>
                <w:sz w:val="15"/>
                <w:szCs w:val="15"/>
              </w:rPr>
              <w:t> </w:t>
            </w:r>
            <w:r>
              <w:rPr>
                <w:rFonts w:ascii="Arial" w:hAnsi="Arial" w:cs="Arial" w:eastAsia="Arial" w:hint="default"/>
                <w:sz w:val="15"/>
                <w:szCs w:val="15"/>
              </w:rPr>
              <w:t>24514</w:t>
            </w:r>
            <w:r>
              <w:rPr>
                <w:rFonts w:ascii="Arial" w:hAnsi="Arial" w:cs="Arial" w:eastAsia="Arial" w:hint="default"/>
                <w:spacing w:val="-7"/>
                <w:sz w:val="15"/>
                <w:szCs w:val="15"/>
              </w:rPr>
              <w:t> </w:t>
            </w:r>
            <w:r>
              <w:rPr>
                <w:rFonts w:ascii="宋体" w:hAnsi="宋体" w:cs="宋体" w:eastAsia="宋体" w:hint="default"/>
                <w:sz w:val="15"/>
                <w:szCs w:val="15"/>
              </w:rPr>
              <w:t>元</w:t>
            </w:r>
            <w:r>
              <w:rPr>
                <w:rFonts w:ascii="Arial" w:hAnsi="Arial" w:cs="Arial" w:eastAsia="Arial" w:hint="default"/>
                <w:sz w:val="15"/>
                <w:szCs w:val="15"/>
              </w:rPr>
              <w:t>/</w:t>
            </w:r>
            <w:r>
              <w:rPr>
                <w:rFonts w:ascii="宋体" w:hAnsi="宋体" w:cs="宋体" w:eastAsia="宋体" w:hint="default"/>
                <w:sz w:val="15"/>
                <w:szCs w:val="15"/>
              </w:rPr>
              <w:t>吨；后双方发生</w:t>
            </w:r>
            <w:r>
              <w:rPr>
                <w:rFonts w:ascii="宋体" w:hAnsi="宋体" w:cs="宋体" w:eastAsia="宋体" w:hint="default"/>
                <w:w w:val="100"/>
                <w:sz w:val="15"/>
                <w:szCs w:val="15"/>
              </w:rPr>
              <w:t> </w:t>
            </w:r>
            <w:r>
              <w:rPr>
                <w:rFonts w:ascii="宋体" w:hAnsi="宋体" w:cs="宋体" w:eastAsia="宋体" w:hint="default"/>
                <w:spacing w:val="-4"/>
                <w:sz w:val="15"/>
                <w:szCs w:val="15"/>
              </w:rPr>
              <w:t>纠纷，经生效判决确认，青枫公司</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收取</w:t>
            </w:r>
            <w:r>
              <w:rPr>
                <w:rFonts w:ascii="宋体" w:hAnsi="宋体" w:cs="宋体" w:eastAsia="宋体" w:hint="default"/>
                <w:spacing w:val="-40"/>
                <w:sz w:val="15"/>
                <w:szCs w:val="15"/>
              </w:rPr>
              <w:t> </w:t>
            </w:r>
            <w:r>
              <w:rPr>
                <w:rFonts w:ascii="Arial" w:hAnsi="Arial" w:cs="Arial" w:eastAsia="Arial" w:hint="default"/>
                <w:sz w:val="15"/>
                <w:szCs w:val="15"/>
              </w:rPr>
              <w:t>1133.58</w:t>
            </w:r>
            <w:r>
              <w:rPr>
                <w:rFonts w:ascii="Arial" w:hAnsi="Arial" w:cs="Arial" w:eastAsia="Arial" w:hint="default"/>
                <w:spacing w:val="-5"/>
                <w:sz w:val="15"/>
                <w:szCs w:val="15"/>
              </w:rPr>
              <w:t> </w:t>
            </w:r>
            <w:r>
              <w:rPr>
                <w:rFonts w:ascii="宋体" w:hAnsi="宋体" w:cs="宋体" w:eastAsia="宋体" w:hint="default"/>
                <w:sz w:val="15"/>
                <w:szCs w:val="15"/>
              </w:rPr>
              <w:t>吨原料，剩余</w:t>
            </w:r>
          </w:p>
          <w:p>
            <w:pPr>
              <w:pStyle w:val="TableParagraph"/>
              <w:spacing w:line="194" w:lineRule="exact"/>
              <w:ind w:left="23" w:right="19"/>
              <w:jc w:val="both"/>
              <w:rPr>
                <w:rFonts w:ascii="Arial" w:hAnsi="Arial" w:cs="Arial" w:eastAsia="Arial" w:hint="default"/>
                <w:sz w:val="15"/>
                <w:szCs w:val="15"/>
              </w:rPr>
            </w:pPr>
            <w:r>
              <w:rPr>
                <w:rFonts w:ascii="Arial" w:hAnsi="Arial" w:cs="Arial" w:eastAsia="Arial" w:hint="default"/>
                <w:sz w:val="15"/>
                <w:szCs w:val="15"/>
              </w:rPr>
              <w:t>2937.45</w:t>
            </w:r>
            <w:r>
              <w:rPr>
                <w:rFonts w:ascii="Arial" w:hAnsi="Arial" w:cs="Arial" w:eastAsia="Arial" w:hint="default"/>
                <w:spacing w:val="-21"/>
                <w:sz w:val="15"/>
                <w:szCs w:val="15"/>
              </w:rPr>
              <w:t> </w:t>
            </w:r>
            <w:r>
              <w:rPr>
                <w:rFonts w:ascii="宋体" w:hAnsi="宋体" w:cs="宋体" w:eastAsia="宋体" w:hint="default"/>
                <w:sz w:val="15"/>
                <w:szCs w:val="15"/>
              </w:rPr>
              <w:t>吨亚麻原料由双方与九三</w:t>
            </w:r>
            <w:r>
              <w:rPr>
                <w:rFonts w:ascii="宋体" w:hAnsi="宋体" w:cs="宋体" w:eastAsia="宋体" w:hint="default"/>
                <w:w w:val="100"/>
                <w:sz w:val="15"/>
                <w:szCs w:val="15"/>
              </w:rPr>
              <w:t> </w:t>
            </w:r>
            <w:r>
              <w:rPr>
                <w:rFonts w:ascii="宋体" w:hAnsi="宋体" w:cs="宋体" w:eastAsia="宋体" w:hint="default"/>
                <w:spacing w:val="-4"/>
                <w:sz w:val="15"/>
                <w:szCs w:val="15"/>
              </w:rPr>
              <w:t>圣龙公司、延寿志德公司签订《亚</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4"/>
                <w:sz w:val="15"/>
                <w:szCs w:val="15"/>
              </w:rPr>
              <w:t>麻纱加工合同》进行加工。后双方</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4"/>
                <w:sz w:val="15"/>
                <w:szCs w:val="15"/>
              </w:rPr>
              <w:t>又与九三公司签订《亚麻布加工合</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pacing w:val="-4"/>
                <w:sz w:val="15"/>
                <w:szCs w:val="15"/>
              </w:rPr>
              <w:t>同》，由九三公司将前述加工出的</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4"/>
                <w:sz w:val="15"/>
                <w:szCs w:val="15"/>
              </w:rPr>
              <w:t>部分亚麻纱继续加工为亚麻布。截</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w w:val="100"/>
                <w:sz w:val="15"/>
                <w:szCs w:val="15"/>
              </w:rPr>
              <w:t>止</w:t>
            </w:r>
            <w:r>
              <w:rPr>
                <w:rFonts w:ascii="宋体" w:hAnsi="宋体" w:cs="宋体" w:eastAsia="宋体" w:hint="default"/>
                <w:spacing w:val="-47"/>
                <w:w w:val="100"/>
                <w:sz w:val="15"/>
                <w:szCs w:val="15"/>
              </w:rPr>
              <w:t> </w:t>
            </w:r>
            <w:r>
              <w:rPr>
                <w:rFonts w:ascii="Arial" w:hAnsi="Arial" w:cs="Arial" w:eastAsia="Arial" w:hint="default"/>
                <w:spacing w:val="-1"/>
                <w:w w:val="100"/>
                <w:sz w:val="15"/>
                <w:szCs w:val="15"/>
              </w:rPr>
              <w:t>2013</w:t>
            </w:r>
            <w:r>
              <w:rPr>
                <w:rFonts w:ascii="Arial" w:hAnsi="Arial" w:cs="Arial" w:eastAsia="Arial" w:hint="default"/>
                <w:spacing w:val="-16"/>
                <w:w w:val="100"/>
                <w:sz w:val="15"/>
                <w:szCs w:val="15"/>
              </w:rPr>
              <w:t> </w:t>
            </w:r>
            <w:r>
              <w:rPr>
                <w:rFonts w:ascii="宋体" w:hAnsi="宋体" w:cs="宋体" w:eastAsia="宋体" w:hint="default"/>
                <w:w w:val="100"/>
                <w:sz w:val="15"/>
                <w:szCs w:val="15"/>
              </w:rPr>
              <w:t>年</w:t>
            </w:r>
            <w:r>
              <w:rPr>
                <w:rFonts w:ascii="宋体" w:hAnsi="宋体" w:cs="宋体" w:eastAsia="宋体" w:hint="default"/>
                <w:spacing w:val="-47"/>
                <w:w w:val="100"/>
                <w:sz w:val="15"/>
                <w:szCs w:val="15"/>
              </w:rPr>
              <w:t> </w:t>
            </w:r>
            <w:r>
              <w:rPr>
                <w:rFonts w:ascii="Arial" w:hAnsi="Arial" w:cs="Arial" w:eastAsia="Arial" w:hint="default"/>
                <w:w w:val="100"/>
                <w:sz w:val="15"/>
                <w:szCs w:val="15"/>
              </w:rPr>
              <w:t>4</w:t>
            </w:r>
            <w:r>
              <w:rPr>
                <w:rFonts w:ascii="Arial" w:hAnsi="Arial" w:cs="Arial" w:eastAsia="Arial" w:hint="default"/>
                <w:spacing w:val="-16"/>
                <w:w w:val="100"/>
                <w:sz w:val="15"/>
                <w:szCs w:val="15"/>
              </w:rPr>
              <w:t> </w:t>
            </w:r>
            <w:r>
              <w:rPr>
                <w:rFonts w:ascii="宋体" w:hAnsi="宋体" w:cs="宋体" w:eastAsia="宋体" w:hint="default"/>
                <w:w w:val="100"/>
                <w:sz w:val="15"/>
                <w:szCs w:val="15"/>
              </w:rPr>
              <w:t>月</w:t>
            </w:r>
            <w:r>
              <w:rPr>
                <w:rFonts w:ascii="宋体" w:hAnsi="宋体" w:cs="宋体" w:eastAsia="宋体" w:hint="default"/>
                <w:spacing w:val="-47"/>
                <w:w w:val="100"/>
                <w:sz w:val="15"/>
                <w:szCs w:val="15"/>
              </w:rPr>
              <w:t> </w:t>
            </w:r>
            <w:r>
              <w:rPr>
                <w:rFonts w:ascii="Arial" w:hAnsi="Arial" w:cs="Arial" w:eastAsia="Arial" w:hint="default"/>
                <w:spacing w:val="-2"/>
                <w:w w:val="100"/>
                <w:sz w:val="15"/>
                <w:szCs w:val="15"/>
              </w:rPr>
              <w:t>27</w:t>
            </w:r>
            <w:r>
              <w:rPr>
                <w:rFonts w:ascii="Arial" w:hAnsi="Arial" w:cs="Arial" w:eastAsia="Arial" w:hint="default"/>
                <w:spacing w:val="-13"/>
                <w:w w:val="100"/>
                <w:sz w:val="15"/>
                <w:szCs w:val="15"/>
              </w:rPr>
              <w:t> </w:t>
            </w:r>
            <w:r>
              <w:rPr>
                <w:rFonts w:ascii="宋体" w:hAnsi="宋体" w:cs="宋体" w:eastAsia="宋体" w:hint="default"/>
                <w:spacing w:val="-21"/>
                <w:w w:val="100"/>
                <w:sz w:val="15"/>
                <w:szCs w:val="15"/>
              </w:rPr>
              <w:t>日，约有</w:t>
            </w:r>
            <w:r>
              <w:rPr>
                <w:rFonts w:ascii="宋体" w:hAnsi="宋体" w:cs="宋体" w:eastAsia="宋体" w:hint="default"/>
                <w:spacing w:val="-47"/>
                <w:w w:val="100"/>
                <w:sz w:val="15"/>
                <w:szCs w:val="15"/>
              </w:rPr>
              <w:t> </w:t>
            </w:r>
            <w:r>
              <w:rPr>
                <w:rFonts w:ascii="Arial" w:hAnsi="Arial" w:cs="Arial" w:eastAsia="Arial" w:hint="default"/>
                <w:spacing w:val="-1"/>
                <w:w w:val="100"/>
                <w:sz w:val="15"/>
                <w:szCs w:val="15"/>
              </w:rPr>
              <w:t>84.225</w:t>
            </w:r>
          </w:p>
          <w:p>
            <w:pPr>
              <w:pStyle w:val="TableParagraph"/>
              <w:spacing w:line="194" w:lineRule="exact"/>
              <w:ind w:left="23" w:right="20"/>
              <w:jc w:val="both"/>
              <w:rPr>
                <w:rFonts w:ascii="宋体" w:hAnsi="宋体" w:cs="宋体" w:eastAsia="宋体" w:hint="default"/>
                <w:sz w:val="15"/>
                <w:szCs w:val="15"/>
              </w:rPr>
            </w:pPr>
            <w:r>
              <w:rPr>
                <w:rFonts w:ascii="宋体" w:hAnsi="宋体" w:cs="宋体" w:eastAsia="宋体" w:hint="default"/>
                <w:sz w:val="15"/>
                <w:szCs w:val="15"/>
              </w:rPr>
              <w:t>吨亚麻纱及</w:t>
            </w:r>
            <w:r>
              <w:rPr>
                <w:rFonts w:ascii="宋体" w:hAnsi="宋体" w:cs="宋体" w:eastAsia="宋体" w:hint="default"/>
                <w:spacing w:val="-38"/>
                <w:sz w:val="15"/>
                <w:szCs w:val="15"/>
              </w:rPr>
              <w:t> </w:t>
            </w:r>
            <w:r>
              <w:rPr>
                <w:rFonts w:ascii="Arial" w:hAnsi="Arial" w:cs="Arial" w:eastAsia="Arial" w:hint="default"/>
                <w:sz w:val="15"/>
                <w:szCs w:val="15"/>
              </w:rPr>
              <w:t>274872.18</w:t>
            </w:r>
            <w:r>
              <w:rPr>
                <w:rFonts w:ascii="Arial" w:hAnsi="Arial" w:cs="Arial" w:eastAsia="Arial" w:hint="default"/>
                <w:spacing w:val="-4"/>
                <w:sz w:val="15"/>
                <w:szCs w:val="15"/>
              </w:rPr>
              <w:t> </w:t>
            </w:r>
            <w:r>
              <w:rPr>
                <w:rFonts w:ascii="宋体" w:hAnsi="宋体" w:cs="宋体" w:eastAsia="宋体" w:hint="default"/>
                <w:sz w:val="15"/>
                <w:szCs w:val="15"/>
              </w:rPr>
              <w:t>米亚麻布</w:t>
            </w:r>
            <w:r>
              <w:rPr>
                <w:rFonts w:ascii="宋体" w:hAnsi="宋体" w:cs="宋体" w:eastAsia="宋体" w:hint="default"/>
                <w:w w:val="100"/>
                <w:sz w:val="15"/>
                <w:szCs w:val="15"/>
              </w:rPr>
              <w:t> </w:t>
            </w:r>
            <w:r>
              <w:rPr>
                <w:rFonts w:ascii="宋体" w:hAnsi="宋体" w:cs="宋体" w:eastAsia="宋体" w:hint="default"/>
                <w:spacing w:val="-4"/>
                <w:sz w:val="15"/>
                <w:szCs w:val="15"/>
              </w:rPr>
              <w:t>等加工成品交付给青枫公司。按照</w:t>
            </w:r>
          </w:p>
          <w:p>
            <w:pPr>
              <w:pStyle w:val="TableParagraph"/>
              <w:spacing w:line="176" w:lineRule="exact"/>
              <w:ind w:left="23" w:right="0"/>
              <w:jc w:val="both"/>
              <w:rPr>
                <w:rFonts w:ascii="宋体" w:hAnsi="宋体" w:cs="宋体" w:eastAsia="宋体" w:hint="default"/>
                <w:sz w:val="15"/>
                <w:szCs w:val="15"/>
              </w:rPr>
            </w:pPr>
            <w:r>
              <w:rPr>
                <w:rFonts w:ascii="宋体" w:hAnsi="宋体" w:cs="宋体" w:eastAsia="宋体" w:hint="default"/>
                <w:sz w:val="15"/>
                <w:szCs w:val="15"/>
              </w:rPr>
              <w:t>双方交易习惯，上述亚麻纱价值</w:t>
            </w:r>
          </w:p>
          <w:p>
            <w:pPr>
              <w:pStyle w:val="TableParagraph"/>
              <w:spacing w:line="200" w:lineRule="exact"/>
              <w:ind w:left="23" w:right="0"/>
              <w:jc w:val="both"/>
              <w:rPr>
                <w:rFonts w:ascii="宋体" w:hAnsi="宋体" w:cs="宋体" w:eastAsia="宋体" w:hint="default"/>
                <w:sz w:val="15"/>
                <w:szCs w:val="15"/>
              </w:rPr>
            </w:pPr>
            <w:r>
              <w:rPr>
                <w:rFonts w:ascii="Arial" w:hAnsi="Arial" w:cs="Arial" w:eastAsia="Arial" w:hint="default"/>
                <w:sz w:val="15"/>
                <w:szCs w:val="15"/>
              </w:rPr>
              <w:t>5,147,075.00</w:t>
            </w:r>
            <w:r>
              <w:rPr>
                <w:rFonts w:ascii="Arial" w:hAnsi="Arial" w:cs="Arial" w:eastAsia="Arial" w:hint="default"/>
                <w:spacing w:val="-8"/>
                <w:sz w:val="15"/>
                <w:szCs w:val="15"/>
              </w:rPr>
              <w:t> </w:t>
            </w:r>
            <w:r>
              <w:rPr>
                <w:rFonts w:ascii="宋体" w:hAnsi="宋体" w:cs="宋体" w:eastAsia="宋体" w:hint="default"/>
                <w:sz w:val="15"/>
                <w:szCs w:val="15"/>
              </w:rPr>
              <w:t>元，亚麻布价值</w:t>
            </w:r>
          </w:p>
          <w:p>
            <w:pPr>
              <w:pStyle w:val="TableParagraph"/>
              <w:spacing w:line="194" w:lineRule="exact"/>
              <w:ind w:left="23" w:right="0"/>
              <w:jc w:val="both"/>
              <w:rPr>
                <w:rFonts w:ascii="宋体" w:hAnsi="宋体" w:cs="宋体" w:eastAsia="宋体" w:hint="default"/>
                <w:sz w:val="15"/>
                <w:szCs w:val="15"/>
              </w:rPr>
            </w:pPr>
            <w:r>
              <w:rPr>
                <w:rFonts w:ascii="Arial" w:hAnsi="Arial" w:cs="Arial" w:eastAsia="Arial" w:hint="default"/>
                <w:sz w:val="15"/>
                <w:szCs w:val="15"/>
              </w:rPr>
              <w:t>4,947,699.24</w:t>
            </w:r>
            <w:r>
              <w:rPr>
                <w:rFonts w:ascii="Arial" w:hAnsi="Arial" w:cs="Arial" w:eastAsia="Arial" w:hint="default"/>
                <w:spacing w:val="-6"/>
                <w:sz w:val="15"/>
                <w:szCs w:val="15"/>
              </w:rPr>
              <w:t> </w:t>
            </w:r>
            <w:r>
              <w:rPr>
                <w:rFonts w:ascii="宋体" w:hAnsi="宋体" w:cs="宋体" w:eastAsia="宋体" w:hint="default"/>
                <w:sz w:val="15"/>
                <w:szCs w:val="15"/>
              </w:rPr>
              <w:t>元，共计</w:t>
            </w:r>
          </w:p>
          <w:p>
            <w:pPr>
              <w:pStyle w:val="TableParagraph"/>
              <w:spacing w:line="235" w:lineRule="auto"/>
              <w:ind w:left="23" w:right="20"/>
              <w:jc w:val="left"/>
              <w:rPr>
                <w:rFonts w:ascii="宋体" w:hAnsi="宋体" w:cs="宋体" w:eastAsia="宋体" w:hint="default"/>
                <w:sz w:val="15"/>
                <w:szCs w:val="15"/>
              </w:rPr>
            </w:pPr>
            <w:r>
              <w:rPr>
                <w:rFonts w:ascii="Arial" w:hAnsi="Arial" w:cs="Arial" w:eastAsia="Arial" w:hint="default"/>
                <w:sz w:val="15"/>
                <w:szCs w:val="15"/>
              </w:rPr>
              <w:t>10,094,774.24</w:t>
            </w:r>
            <w:r>
              <w:rPr>
                <w:rFonts w:ascii="Arial" w:hAnsi="Arial" w:cs="Arial" w:eastAsia="Arial" w:hint="default"/>
                <w:spacing w:val="-7"/>
                <w:sz w:val="15"/>
                <w:szCs w:val="15"/>
              </w:rPr>
              <w:t> </w:t>
            </w:r>
            <w:r>
              <w:rPr>
                <w:rFonts w:ascii="宋体" w:hAnsi="宋体" w:cs="宋体" w:eastAsia="宋体" w:hint="default"/>
                <w:sz w:val="15"/>
                <w:szCs w:val="15"/>
              </w:rPr>
              <w:t>元。青枫公司收货</w:t>
            </w:r>
            <w:r>
              <w:rPr>
                <w:rFonts w:ascii="宋体" w:hAnsi="宋体" w:cs="宋体" w:eastAsia="宋体" w:hint="default"/>
                <w:w w:val="100"/>
                <w:sz w:val="15"/>
                <w:szCs w:val="15"/>
              </w:rPr>
              <w:t> </w:t>
            </w:r>
            <w:r>
              <w:rPr>
                <w:rFonts w:ascii="宋体" w:hAnsi="宋体" w:cs="宋体" w:eastAsia="宋体" w:hint="default"/>
                <w:spacing w:val="-4"/>
                <w:sz w:val="15"/>
                <w:szCs w:val="15"/>
              </w:rPr>
              <w:t>后拒绝支付货款，致鑫亚公司经济</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损失，故鑫亚公司向法院提起诉</w:t>
            </w:r>
            <w:r>
              <w:rPr>
                <w:rFonts w:ascii="宋体" w:hAnsi="宋体" w:cs="宋体" w:eastAsia="宋体" w:hint="default"/>
                <w:w w:val="100"/>
                <w:sz w:val="15"/>
                <w:szCs w:val="15"/>
              </w:rPr>
              <w:t> </w:t>
            </w:r>
            <w:r>
              <w:rPr>
                <w:rFonts w:ascii="宋体" w:hAnsi="宋体" w:cs="宋体" w:eastAsia="宋体" w:hint="default"/>
                <w:sz w:val="15"/>
                <w:szCs w:val="15"/>
              </w:rPr>
              <w:t>讼。</w:t>
            </w:r>
          </w:p>
        </w:tc>
        <w:tc>
          <w:tcPr>
            <w:tcW w:w="135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Arial" w:hAnsi="Arial" w:cs="Arial" w:eastAsia="Arial" w:hint="default"/>
                <w:sz w:val="15"/>
                <w:szCs w:val="15"/>
              </w:rPr>
            </w:pPr>
            <w:r>
              <w:rPr>
                <w:rFonts w:ascii="Arial"/>
                <w:spacing w:val="-1"/>
                <w:sz w:val="15"/>
              </w:rPr>
              <w:t>12,518,235.1</w:t>
            </w:r>
          </w:p>
        </w:tc>
        <w:tc>
          <w:tcPr>
            <w:tcW w:w="838" w:type="dxa"/>
            <w:tcBorders>
              <w:top w:val="single" w:sz="4" w:space="0" w:color="41B7EE"/>
              <w:left w:val="single" w:sz="4" w:space="0" w:color="41B7EE"/>
              <w:bottom w:val="single" w:sz="4" w:space="0" w:color="41B7EE"/>
              <w:right w:val="single" w:sz="4" w:space="0" w:color="41B7EE"/>
            </w:tcBorders>
          </w:tcPr>
          <w:p>
            <w:pPr/>
          </w:p>
        </w:tc>
        <w:tc>
          <w:tcPr>
            <w:tcW w:w="2422" w:type="dxa"/>
            <w:tcBorders>
              <w:top w:val="single" w:sz="4" w:space="0" w:color="41B7EE"/>
              <w:left w:val="single" w:sz="4" w:space="0" w:color="41B7EE"/>
              <w:bottom w:val="single" w:sz="4" w:space="0" w:color="41B7EE"/>
              <w:right w:val="single" w:sz="13" w:space="0" w:color="FFFFFF"/>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01" w:lineRule="exact" w:before="95"/>
              <w:ind w:left="23" w:right="-46"/>
              <w:jc w:val="left"/>
              <w:rPr>
                <w:rFonts w:ascii="宋体" w:hAnsi="宋体" w:cs="宋体" w:eastAsia="宋体" w:hint="default"/>
                <w:sz w:val="15"/>
                <w:szCs w:val="15"/>
              </w:rPr>
            </w:pPr>
            <w:r>
              <w:rPr>
                <w:rFonts w:ascii="宋体" w:hAnsi="宋体" w:cs="宋体" w:eastAsia="宋体" w:hint="default"/>
                <w:sz w:val="15"/>
                <w:szCs w:val="15"/>
              </w:rPr>
              <w:t>法院于</w:t>
            </w:r>
            <w:r>
              <w:rPr>
                <w:rFonts w:ascii="宋体" w:hAnsi="宋体" w:cs="宋体" w:eastAsia="宋体" w:hint="default"/>
                <w:spacing w:val="-38"/>
                <w:sz w:val="15"/>
                <w:szCs w:val="15"/>
              </w:rPr>
              <w:t> </w:t>
            </w:r>
            <w:r>
              <w:rPr>
                <w:rFonts w:ascii="Arial" w:hAnsi="Arial" w:cs="Arial" w:eastAsia="Arial" w:hint="default"/>
                <w:sz w:val="15"/>
                <w:szCs w:val="15"/>
              </w:rPr>
              <w:t>2016</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1</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Arial" w:hAnsi="Arial" w:cs="Arial" w:eastAsia="Arial" w:hint="default"/>
                <w:sz w:val="15"/>
                <w:szCs w:val="15"/>
              </w:rPr>
              <w:t>19</w:t>
            </w:r>
            <w:r>
              <w:rPr>
                <w:rFonts w:ascii="Arial" w:hAnsi="Arial" w:cs="Arial" w:eastAsia="Arial" w:hint="default"/>
                <w:spacing w:val="-6"/>
                <w:sz w:val="15"/>
                <w:szCs w:val="15"/>
              </w:rPr>
              <w:t> </w:t>
            </w:r>
            <w:r>
              <w:rPr>
                <w:rFonts w:ascii="宋体" w:hAnsi="宋体" w:cs="宋体" w:eastAsia="宋体" w:hint="default"/>
                <w:spacing w:val="-6"/>
                <w:sz w:val="15"/>
                <w:szCs w:val="15"/>
              </w:rPr>
              <w:t>日受理本案，</w:t>
            </w:r>
            <w:r>
              <w:rPr>
                <w:rFonts w:ascii="宋体" w:hAnsi="宋体" w:cs="宋体" w:eastAsia="宋体" w:hint="default"/>
                <w:sz w:val="15"/>
                <w:szCs w:val="15"/>
              </w:rPr>
            </w:r>
          </w:p>
          <w:p>
            <w:pPr>
              <w:pStyle w:val="TableParagraph"/>
              <w:spacing w:line="194" w:lineRule="exact" w:before="14"/>
              <w:ind w:left="23" w:right="5"/>
              <w:jc w:val="both"/>
              <w:rPr>
                <w:rFonts w:ascii="宋体" w:hAnsi="宋体" w:cs="宋体" w:eastAsia="宋体" w:hint="default"/>
                <w:sz w:val="15"/>
                <w:szCs w:val="15"/>
              </w:rPr>
            </w:pPr>
            <w:r>
              <w:rPr>
                <w:rFonts w:ascii="宋体" w:hAnsi="宋体" w:cs="宋体" w:eastAsia="宋体" w:hint="default"/>
                <w:spacing w:val="-3"/>
                <w:sz w:val="15"/>
                <w:szCs w:val="15"/>
              </w:rPr>
              <w:t>案号为〔</w:t>
            </w:r>
            <w:r>
              <w:rPr>
                <w:rFonts w:ascii="Arial" w:hAnsi="Arial" w:cs="Arial" w:eastAsia="Arial" w:hint="default"/>
                <w:spacing w:val="-3"/>
                <w:sz w:val="15"/>
                <w:szCs w:val="15"/>
              </w:rPr>
              <w:t>2016</w:t>
            </w:r>
            <w:r>
              <w:rPr>
                <w:rFonts w:ascii="宋体" w:hAnsi="宋体" w:cs="宋体" w:eastAsia="宋体" w:hint="default"/>
                <w:spacing w:val="-3"/>
                <w:sz w:val="15"/>
                <w:szCs w:val="15"/>
              </w:rPr>
              <w:t>〕黑</w:t>
            </w:r>
            <w:r>
              <w:rPr>
                <w:rFonts w:ascii="宋体" w:hAnsi="宋体" w:cs="宋体" w:eastAsia="宋体" w:hint="default"/>
                <w:spacing w:val="-35"/>
                <w:sz w:val="15"/>
                <w:szCs w:val="15"/>
              </w:rPr>
              <w:t> </w:t>
            </w:r>
            <w:r>
              <w:rPr>
                <w:rFonts w:ascii="Arial" w:hAnsi="Arial" w:cs="Arial" w:eastAsia="Arial" w:hint="default"/>
                <w:sz w:val="15"/>
                <w:szCs w:val="15"/>
              </w:rPr>
              <w:t>81</w:t>
            </w:r>
            <w:r>
              <w:rPr>
                <w:rFonts w:ascii="Arial" w:hAnsi="Arial" w:cs="Arial" w:eastAsia="Arial" w:hint="default"/>
                <w:spacing w:val="-2"/>
                <w:sz w:val="15"/>
                <w:szCs w:val="15"/>
              </w:rPr>
              <w:t> </w:t>
            </w:r>
            <w:r>
              <w:rPr>
                <w:rFonts w:ascii="宋体" w:hAnsi="宋体" w:cs="宋体" w:eastAsia="宋体" w:hint="default"/>
                <w:sz w:val="15"/>
                <w:szCs w:val="15"/>
              </w:rPr>
              <w:t>民初</w:t>
            </w:r>
            <w:r>
              <w:rPr>
                <w:rFonts w:ascii="宋体" w:hAnsi="宋体" w:cs="宋体" w:eastAsia="宋体" w:hint="default"/>
                <w:spacing w:val="-35"/>
                <w:sz w:val="15"/>
                <w:szCs w:val="15"/>
              </w:rPr>
              <w:t> </w:t>
            </w:r>
            <w:r>
              <w:rPr>
                <w:rFonts w:ascii="Arial" w:hAnsi="Arial" w:cs="Arial" w:eastAsia="Arial" w:hint="default"/>
                <w:sz w:val="15"/>
                <w:szCs w:val="15"/>
              </w:rPr>
              <w:t>8</w:t>
            </w:r>
            <w:r>
              <w:rPr>
                <w:rFonts w:ascii="Arial" w:hAnsi="Arial" w:cs="Arial" w:eastAsia="Arial" w:hint="default"/>
                <w:spacing w:val="-2"/>
                <w:sz w:val="15"/>
                <w:szCs w:val="15"/>
              </w:rPr>
              <w:t> </w:t>
            </w:r>
            <w:r>
              <w:rPr>
                <w:rFonts w:ascii="宋体" w:hAnsi="宋体" w:cs="宋体" w:eastAsia="宋体" w:hint="default"/>
                <w:spacing w:val="-3"/>
                <w:sz w:val="15"/>
                <w:szCs w:val="15"/>
              </w:rPr>
              <w:t>号，法</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pacing w:val="-4"/>
                <w:sz w:val="15"/>
                <w:szCs w:val="15"/>
              </w:rPr>
              <w:t>院向被告送达起诉材料后，青枫公司</w:t>
            </w:r>
            <w:r>
              <w:rPr>
                <w:rFonts w:ascii="宋体" w:hAnsi="宋体" w:cs="宋体" w:eastAsia="宋体" w:hint="default"/>
                <w:spacing w:val="-46"/>
                <w:sz w:val="15"/>
                <w:szCs w:val="15"/>
              </w:rPr>
              <w:t> </w:t>
            </w:r>
            <w:r>
              <w:rPr>
                <w:rFonts w:ascii="宋体" w:hAnsi="宋体" w:cs="宋体" w:eastAsia="宋体" w:hint="default"/>
                <w:spacing w:val="-46"/>
                <w:sz w:val="15"/>
                <w:szCs w:val="15"/>
              </w:rPr>
            </w:r>
            <w:r>
              <w:rPr>
                <w:rFonts w:ascii="宋体" w:hAnsi="宋体" w:cs="宋体" w:eastAsia="宋体" w:hint="default"/>
                <w:spacing w:val="-4"/>
                <w:sz w:val="15"/>
                <w:szCs w:val="15"/>
              </w:rPr>
              <w:t>提起管辖权异议，法院经审查予以驳</w:t>
            </w:r>
            <w:r>
              <w:rPr>
                <w:rFonts w:ascii="宋体" w:hAnsi="宋体" w:cs="宋体" w:eastAsia="宋体" w:hint="default"/>
                <w:spacing w:val="-46"/>
                <w:sz w:val="15"/>
                <w:szCs w:val="15"/>
              </w:rPr>
              <w:t> </w:t>
            </w:r>
            <w:r>
              <w:rPr>
                <w:rFonts w:ascii="宋体" w:hAnsi="宋体" w:cs="宋体" w:eastAsia="宋体" w:hint="default"/>
                <w:spacing w:val="-46"/>
                <w:sz w:val="15"/>
                <w:szCs w:val="15"/>
              </w:rPr>
            </w:r>
            <w:r>
              <w:rPr>
                <w:rFonts w:ascii="宋体" w:hAnsi="宋体" w:cs="宋体" w:eastAsia="宋体" w:hint="default"/>
                <w:spacing w:val="-4"/>
                <w:sz w:val="15"/>
                <w:szCs w:val="15"/>
              </w:rPr>
              <w:t>回，青枫公司不服一审裁定，向黑龙</w:t>
            </w:r>
            <w:r>
              <w:rPr>
                <w:rFonts w:ascii="宋体" w:hAnsi="宋体" w:cs="宋体" w:eastAsia="宋体" w:hint="default"/>
                <w:spacing w:val="-47"/>
                <w:sz w:val="15"/>
                <w:szCs w:val="15"/>
              </w:rPr>
              <w:t> </w:t>
            </w:r>
            <w:r>
              <w:rPr>
                <w:rFonts w:ascii="宋体" w:hAnsi="宋体" w:cs="宋体" w:eastAsia="宋体" w:hint="default"/>
                <w:spacing w:val="-47"/>
                <w:sz w:val="15"/>
                <w:szCs w:val="15"/>
              </w:rPr>
            </w:r>
            <w:r>
              <w:rPr>
                <w:rFonts w:ascii="宋体" w:hAnsi="宋体" w:cs="宋体" w:eastAsia="宋体" w:hint="default"/>
                <w:spacing w:val="-4"/>
                <w:sz w:val="15"/>
                <w:szCs w:val="15"/>
              </w:rPr>
              <w:t>江省高院提起上诉，黑龙江省高院二</w:t>
            </w:r>
            <w:r>
              <w:rPr>
                <w:rFonts w:ascii="宋体" w:hAnsi="宋体" w:cs="宋体" w:eastAsia="宋体" w:hint="default"/>
                <w:spacing w:val="-47"/>
                <w:sz w:val="15"/>
                <w:szCs w:val="15"/>
              </w:rPr>
              <w:t> </w:t>
            </w:r>
            <w:r>
              <w:rPr>
                <w:rFonts w:ascii="宋体" w:hAnsi="宋体" w:cs="宋体" w:eastAsia="宋体" w:hint="default"/>
                <w:spacing w:val="-47"/>
                <w:sz w:val="15"/>
                <w:szCs w:val="15"/>
              </w:rPr>
            </w:r>
            <w:r>
              <w:rPr>
                <w:rFonts w:ascii="宋体" w:hAnsi="宋体" w:cs="宋体" w:eastAsia="宋体" w:hint="default"/>
                <w:spacing w:val="-4"/>
                <w:sz w:val="15"/>
                <w:szCs w:val="15"/>
              </w:rPr>
              <w:t>审裁定驳回青枫公司上诉。农垦中院</w:t>
            </w:r>
            <w:r>
              <w:rPr>
                <w:rFonts w:ascii="宋体" w:hAnsi="宋体" w:cs="宋体" w:eastAsia="宋体" w:hint="default"/>
                <w:spacing w:val="-46"/>
                <w:sz w:val="15"/>
                <w:szCs w:val="15"/>
              </w:rPr>
              <w:t> </w:t>
            </w:r>
            <w:r>
              <w:rPr>
                <w:rFonts w:ascii="宋体" w:hAnsi="宋体" w:cs="宋体" w:eastAsia="宋体" w:hint="default"/>
                <w:spacing w:val="-46"/>
                <w:sz w:val="15"/>
                <w:szCs w:val="15"/>
              </w:rPr>
            </w:r>
            <w:r>
              <w:rPr>
                <w:rFonts w:ascii="宋体" w:hAnsi="宋体" w:cs="宋体" w:eastAsia="宋体" w:hint="default"/>
                <w:sz w:val="15"/>
                <w:szCs w:val="15"/>
              </w:rPr>
              <w:t>于</w:t>
            </w:r>
            <w:r>
              <w:rPr>
                <w:rFonts w:ascii="宋体" w:hAnsi="宋体" w:cs="宋体" w:eastAsia="宋体" w:hint="default"/>
                <w:spacing w:val="-38"/>
                <w:sz w:val="15"/>
                <w:szCs w:val="15"/>
              </w:rPr>
              <w:t> </w:t>
            </w:r>
            <w:r>
              <w:rPr>
                <w:rFonts w:ascii="Arial" w:hAnsi="Arial" w:cs="Arial" w:eastAsia="Arial" w:hint="default"/>
                <w:sz w:val="15"/>
                <w:szCs w:val="15"/>
              </w:rPr>
              <w:t>2016</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w:hAnsi="Arial" w:cs="Arial" w:eastAsia="Arial" w:hint="default"/>
                <w:sz w:val="15"/>
                <w:szCs w:val="15"/>
              </w:rPr>
              <w:t>11</w:t>
            </w:r>
            <w:r>
              <w:rPr>
                <w:rFonts w:ascii="Arial" w:hAnsi="Arial" w:cs="Arial" w:eastAsia="Arial"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21</w:t>
            </w:r>
            <w:r>
              <w:rPr>
                <w:rFonts w:ascii="Arial" w:hAnsi="Arial" w:cs="Arial" w:eastAsia="Arial" w:hint="default"/>
                <w:spacing w:val="-5"/>
                <w:sz w:val="15"/>
                <w:szCs w:val="15"/>
              </w:rPr>
              <w:t> </w:t>
            </w:r>
            <w:r>
              <w:rPr>
                <w:rFonts w:ascii="宋体" w:hAnsi="宋体" w:cs="宋体" w:eastAsia="宋体" w:hint="default"/>
                <w:sz w:val="15"/>
                <w:szCs w:val="15"/>
              </w:rPr>
              <w:t>日至</w:t>
            </w:r>
            <w:r>
              <w:rPr>
                <w:rFonts w:ascii="宋体" w:hAnsi="宋体" w:cs="宋体" w:eastAsia="宋体" w:hint="default"/>
                <w:spacing w:val="-38"/>
                <w:sz w:val="15"/>
                <w:szCs w:val="15"/>
              </w:rPr>
              <w:t> </w:t>
            </w:r>
            <w:r>
              <w:rPr>
                <w:rFonts w:ascii="Arial" w:hAnsi="Arial" w:cs="Arial" w:eastAsia="Arial" w:hint="default"/>
                <w:sz w:val="15"/>
                <w:szCs w:val="15"/>
              </w:rPr>
              <w:t>25</w:t>
            </w:r>
            <w:r>
              <w:rPr>
                <w:rFonts w:ascii="Arial" w:hAnsi="Arial" w:cs="Arial" w:eastAsia="Arial" w:hint="default"/>
                <w:spacing w:val="-5"/>
                <w:sz w:val="15"/>
                <w:szCs w:val="15"/>
              </w:rPr>
              <w:t> </w:t>
            </w:r>
            <w:r>
              <w:rPr>
                <w:rFonts w:ascii="宋体" w:hAnsi="宋体" w:cs="宋体" w:eastAsia="宋体" w:hint="default"/>
                <w:sz w:val="15"/>
                <w:szCs w:val="15"/>
              </w:rPr>
              <w:t>日开庭</w:t>
            </w:r>
          </w:p>
          <w:p>
            <w:pPr>
              <w:pStyle w:val="TableParagraph"/>
              <w:spacing w:line="181" w:lineRule="exact"/>
              <w:ind w:left="23" w:right="0"/>
              <w:jc w:val="left"/>
              <w:rPr>
                <w:rFonts w:ascii="宋体" w:hAnsi="宋体" w:cs="宋体" w:eastAsia="宋体" w:hint="default"/>
                <w:sz w:val="15"/>
                <w:szCs w:val="15"/>
              </w:rPr>
            </w:pPr>
            <w:r>
              <w:rPr>
                <w:rFonts w:ascii="宋体" w:hAnsi="宋体" w:cs="宋体" w:eastAsia="宋体" w:hint="default"/>
                <w:sz w:val="15"/>
                <w:szCs w:val="15"/>
              </w:rPr>
              <w:t>审理了本案。法院于</w:t>
            </w:r>
            <w:r>
              <w:rPr>
                <w:rFonts w:ascii="宋体" w:hAnsi="宋体" w:cs="宋体" w:eastAsia="宋体" w:hint="default"/>
                <w:spacing w:val="-38"/>
                <w:sz w:val="15"/>
                <w:szCs w:val="15"/>
              </w:rPr>
              <w:t> </w:t>
            </w:r>
            <w:r>
              <w:rPr>
                <w:rFonts w:ascii="Arial" w:hAnsi="Arial" w:cs="Arial" w:eastAsia="Arial" w:hint="default"/>
                <w:sz w:val="15"/>
                <w:szCs w:val="15"/>
              </w:rPr>
              <w:t>2017</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w:hAnsi="Arial" w:cs="Arial" w:eastAsia="Arial" w:hint="default"/>
                <w:sz w:val="15"/>
                <w:szCs w:val="15"/>
              </w:rPr>
              <w:t>12</w:t>
            </w:r>
            <w:r>
              <w:rPr>
                <w:rFonts w:ascii="Arial" w:hAnsi="Arial" w:cs="Arial" w:eastAsia="Arial" w:hint="default"/>
                <w:spacing w:val="-5"/>
                <w:sz w:val="15"/>
                <w:szCs w:val="15"/>
              </w:rPr>
              <w:t> </w:t>
            </w:r>
            <w:r>
              <w:rPr>
                <w:rFonts w:ascii="宋体" w:hAnsi="宋体" w:cs="宋体" w:eastAsia="宋体" w:hint="default"/>
                <w:sz w:val="15"/>
                <w:szCs w:val="15"/>
              </w:rPr>
              <w:t>月</w:t>
            </w:r>
          </w:p>
          <w:p>
            <w:pPr>
              <w:pStyle w:val="TableParagraph"/>
              <w:spacing w:line="232" w:lineRule="auto"/>
              <w:ind w:left="23" w:right="5"/>
              <w:jc w:val="both"/>
              <w:rPr>
                <w:rFonts w:ascii="宋体" w:hAnsi="宋体" w:cs="宋体" w:eastAsia="宋体" w:hint="default"/>
                <w:sz w:val="15"/>
                <w:szCs w:val="15"/>
              </w:rPr>
            </w:pPr>
            <w:r>
              <w:rPr>
                <w:rFonts w:ascii="Arial" w:hAnsi="Arial" w:cs="Arial" w:eastAsia="Arial" w:hint="default"/>
                <w:sz w:val="15"/>
                <w:szCs w:val="15"/>
              </w:rPr>
              <w:t>11 </w:t>
            </w:r>
            <w:r>
              <w:rPr>
                <w:rFonts w:ascii="宋体" w:hAnsi="宋体" w:cs="宋体" w:eastAsia="宋体" w:hint="default"/>
                <w:spacing w:val="-9"/>
                <w:sz w:val="15"/>
                <w:szCs w:val="15"/>
              </w:rPr>
              <w:t>日作出（</w:t>
            </w:r>
            <w:r>
              <w:rPr>
                <w:rFonts w:ascii="Arial" w:hAnsi="Arial" w:cs="Arial" w:eastAsia="Arial" w:hint="default"/>
                <w:spacing w:val="-9"/>
                <w:sz w:val="15"/>
                <w:szCs w:val="15"/>
              </w:rPr>
              <w:t>2016</w:t>
            </w:r>
            <w:r>
              <w:rPr>
                <w:rFonts w:ascii="宋体" w:hAnsi="宋体" w:cs="宋体" w:eastAsia="宋体" w:hint="default"/>
                <w:spacing w:val="-9"/>
                <w:sz w:val="15"/>
                <w:szCs w:val="15"/>
              </w:rPr>
              <w:t>）黑</w:t>
            </w:r>
            <w:r>
              <w:rPr>
                <w:rFonts w:ascii="宋体" w:hAnsi="宋体" w:cs="宋体" w:eastAsia="宋体" w:hint="default"/>
                <w:spacing w:val="-36"/>
                <w:sz w:val="15"/>
                <w:szCs w:val="15"/>
              </w:rPr>
              <w:t> </w:t>
            </w:r>
            <w:r>
              <w:rPr>
                <w:rFonts w:ascii="Arial" w:hAnsi="Arial" w:cs="Arial" w:eastAsia="Arial" w:hint="default"/>
                <w:sz w:val="15"/>
                <w:szCs w:val="15"/>
              </w:rPr>
              <w:t>81</w:t>
            </w:r>
            <w:r>
              <w:rPr>
                <w:rFonts w:ascii="Arial" w:hAnsi="Arial" w:cs="Arial" w:eastAsia="Arial" w:hint="default"/>
                <w:spacing w:val="-3"/>
                <w:sz w:val="15"/>
                <w:szCs w:val="15"/>
              </w:rPr>
              <w:t> </w:t>
            </w:r>
            <w:r>
              <w:rPr>
                <w:rFonts w:ascii="宋体" w:hAnsi="宋体" w:cs="宋体" w:eastAsia="宋体" w:hint="default"/>
                <w:sz w:val="15"/>
                <w:szCs w:val="15"/>
              </w:rPr>
              <w:t>民初</w:t>
            </w:r>
            <w:r>
              <w:rPr>
                <w:rFonts w:ascii="宋体" w:hAnsi="宋体" w:cs="宋体" w:eastAsia="宋体" w:hint="default"/>
                <w:spacing w:val="-36"/>
                <w:sz w:val="15"/>
                <w:szCs w:val="15"/>
              </w:rPr>
              <w:t> </w:t>
            </w:r>
            <w:r>
              <w:rPr>
                <w:rFonts w:ascii="Arial" w:hAnsi="Arial" w:cs="Arial" w:eastAsia="Arial" w:hint="default"/>
                <w:sz w:val="15"/>
                <w:szCs w:val="15"/>
              </w:rPr>
              <w:t>8</w:t>
            </w:r>
            <w:r>
              <w:rPr>
                <w:rFonts w:ascii="Arial" w:hAnsi="Arial" w:cs="Arial" w:eastAsia="Arial" w:hint="default"/>
                <w:spacing w:val="-3"/>
                <w:sz w:val="15"/>
                <w:szCs w:val="15"/>
              </w:rPr>
              <w:t> </w:t>
            </w:r>
            <w:r>
              <w:rPr>
                <w:rFonts w:ascii="宋体" w:hAnsi="宋体" w:cs="宋体" w:eastAsia="宋体" w:hint="default"/>
                <w:sz w:val="15"/>
                <w:szCs w:val="15"/>
              </w:rPr>
              <w:t>号判</w:t>
            </w:r>
            <w:r>
              <w:rPr>
                <w:rFonts w:ascii="宋体" w:hAnsi="宋体" w:cs="宋体" w:eastAsia="宋体" w:hint="default"/>
                <w:spacing w:val="-73"/>
                <w:sz w:val="15"/>
                <w:szCs w:val="15"/>
              </w:rPr>
              <w:t> </w:t>
            </w:r>
            <w:r>
              <w:rPr>
                <w:rFonts w:ascii="宋体" w:hAnsi="宋体" w:cs="宋体" w:eastAsia="宋体" w:hint="default"/>
                <w:spacing w:val="-4"/>
                <w:sz w:val="15"/>
                <w:szCs w:val="15"/>
              </w:rPr>
              <w:t>决书。鑫亚公司已向黑龙江省高级人</w:t>
            </w:r>
            <w:r>
              <w:rPr>
                <w:rFonts w:ascii="宋体" w:hAnsi="宋体" w:cs="宋体" w:eastAsia="宋体" w:hint="default"/>
                <w:spacing w:val="-47"/>
                <w:sz w:val="15"/>
                <w:szCs w:val="15"/>
              </w:rPr>
              <w:t> </w:t>
            </w:r>
            <w:r>
              <w:rPr>
                <w:rFonts w:ascii="宋体" w:hAnsi="宋体" w:cs="宋体" w:eastAsia="宋体" w:hint="default"/>
                <w:spacing w:val="-47"/>
                <w:sz w:val="15"/>
                <w:szCs w:val="15"/>
              </w:rPr>
            </w:r>
            <w:r>
              <w:rPr>
                <w:rFonts w:ascii="宋体" w:hAnsi="宋体" w:cs="宋体" w:eastAsia="宋体" w:hint="default"/>
                <w:sz w:val="15"/>
                <w:szCs w:val="15"/>
              </w:rPr>
              <w:t>民法院提起上诉，并于</w:t>
            </w:r>
            <w:r>
              <w:rPr>
                <w:rFonts w:ascii="宋体" w:hAnsi="宋体" w:cs="宋体" w:eastAsia="宋体" w:hint="default"/>
                <w:spacing w:val="-38"/>
                <w:sz w:val="15"/>
                <w:szCs w:val="15"/>
              </w:rPr>
              <w:t> </w:t>
            </w:r>
            <w:r>
              <w:rPr>
                <w:rFonts w:ascii="Arial" w:hAnsi="Arial" w:cs="Arial" w:eastAsia="Arial" w:hint="default"/>
                <w:sz w:val="15"/>
                <w:szCs w:val="15"/>
              </w:rPr>
              <w:t>2018</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Arial" w:hAnsi="Arial" w:cs="Arial" w:eastAsia="Arial" w:hint="default"/>
                <w:sz w:val="15"/>
                <w:szCs w:val="15"/>
              </w:rPr>
              <w:t>5</w:t>
            </w:r>
            <w:r>
              <w:rPr>
                <w:rFonts w:ascii="Arial" w:hAnsi="Arial" w:cs="Arial" w:eastAsia="Arial" w:hint="default"/>
                <w:spacing w:val="-5"/>
                <w:sz w:val="15"/>
                <w:szCs w:val="15"/>
              </w:rPr>
              <w:t> </w:t>
            </w:r>
            <w:r>
              <w:rPr>
                <w:rFonts w:ascii="宋体" w:hAnsi="宋体" w:cs="宋体" w:eastAsia="宋体" w:hint="default"/>
                <w:sz w:val="15"/>
                <w:szCs w:val="15"/>
              </w:rPr>
              <w:t>月</w:t>
            </w:r>
          </w:p>
          <w:p>
            <w:pPr>
              <w:pStyle w:val="TableParagraph"/>
              <w:spacing w:line="194" w:lineRule="exact" w:before="8"/>
              <w:ind w:left="23" w:right="5"/>
              <w:jc w:val="left"/>
              <w:rPr>
                <w:rFonts w:ascii="宋体" w:hAnsi="宋体" w:cs="宋体" w:eastAsia="宋体" w:hint="default"/>
                <w:sz w:val="15"/>
                <w:szCs w:val="15"/>
              </w:rPr>
            </w:pPr>
            <w:r>
              <w:rPr>
                <w:rFonts w:ascii="Arial" w:hAnsi="Arial" w:cs="Arial" w:eastAsia="Arial" w:hint="default"/>
                <w:sz w:val="15"/>
                <w:szCs w:val="15"/>
              </w:rPr>
              <w:t>2</w:t>
            </w:r>
            <w:r>
              <w:rPr>
                <w:rFonts w:ascii="Arial" w:hAnsi="Arial" w:cs="Arial" w:eastAsia="Arial" w:hint="default"/>
                <w:spacing w:val="-11"/>
                <w:sz w:val="15"/>
                <w:szCs w:val="15"/>
              </w:rPr>
              <w:t> </w:t>
            </w:r>
            <w:r>
              <w:rPr>
                <w:rFonts w:ascii="宋体" w:hAnsi="宋体" w:cs="宋体" w:eastAsia="宋体" w:hint="default"/>
                <w:sz w:val="15"/>
                <w:szCs w:val="15"/>
              </w:rPr>
              <w:t>日收到黑龙江省高级人民法院二审</w:t>
            </w:r>
            <w:r>
              <w:rPr>
                <w:rFonts w:ascii="宋体" w:hAnsi="宋体" w:cs="宋体" w:eastAsia="宋体" w:hint="default"/>
                <w:w w:val="100"/>
                <w:sz w:val="15"/>
                <w:szCs w:val="15"/>
              </w:rPr>
              <w:t> </w:t>
            </w:r>
            <w:r>
              <w:rPr>
                <w:rFonts w:ascii="宋体" w:hAnsi="宋体" w:cs="宋体" w:eastAsia="宋体" w:hint="default"/>
                <w:sz w:val="15"/>
                <w:szCs w:val="15"/>
              </w:rPr>
              <w:t>传票，此案案号为（</w:t>
            </w:r>
            <w:r>
              <w:rPr>
                <w:rFonts w:ascii="Arial" w:hAnsi="Arial" w:cs="Arial" w:eastAsia="Arial" w:hint="default"/>
                <w:sz w:val="15"/>
                <w:szCs w:val="15"/>
              </w:rPr>
              <w:t>2018</w:t>
            </w:r>
            <w:r>
              <w:rPr>
                <w:rFonts w:ascii="宋体" w:hAnsi="宋体" w:cs="宋体" w:eastAsia="宋体" w:hint="default"/>
                <w:sz w:val="15"/>
                <w:szCs w:val="15"/>
              </w:rPr>
              <w:t>）黑民终</w:t>
            </w:r>
            <w:r>
              <w:rPr>
                <w:rFonts w:ascii="宋体" w:hAnsi="宋体" w:cs="宋体" w:eastAsia="宋体" w:hint="default"/>
                <w:w w:val="100"/>
                <w:sz w:val="15"/>
                <w:szCs w:val="15"/>
              </w:rPr>
              <w:t> </w:t>
            </w:r>
            <w:r>
              <w:rPr>
                <w:rFonts w:ascii="Arial" w:hAnsi="Arial" w:cs="Arial" w:eastAsia="Arial" w:hint="default"/>
                <w:sz w:val="15"/>
                <w:szCs w:val="15"/>
              </w:rPr>
              <w:t>362</w:t>
            </w:r>
            <w:r>
              <w:rPr>
                <w:rFonts w:ascii="Arial" w:hAnsi="Arial" w:cs="Arial" w:eastAsia="Arial" w:hint="default"/>
                <w:spacing w:val="-6"/>
                <w:sz w:val="15"/>
                <w:szCs w:val="15"/>
              </w:rPr>
              <w:t> </w:t>
            </w:r>
            <w:r>
              <w:rPr>
                <w:rFonts w:ascii="宋体" w:hAnsi="宋体" w:cs="宋体" w:eastAsia="宋体" w:hint="default"/>
                <w:sz w:val="15"/>
                <w:szCs w:val="15"/>
              </w:rPr>
              <w:t>号，并于</w:t>
            </w:r>
            <w:r>
              <w:rPr>
                <w:rFonts w:ascii="宋体" w:hAnsi="宋体" w:cs="宋体" w:eastAsia="宋体" w:hint="default"/>
                <w:spacing w:val="-39"/>
                <w:sz w:val="15"/>
                <w:szCs w:val="15"/>
              </w:rPr>
              <w:t> </w:t>
            </w:r>
            <w:r>
              <w:rPr>
                <w:rFonts w:ascii="Arial" w:hAnsi="Arial" w:cs="Arial" w:eastAsia="Arial" w:hint="default"/>
                <w:sz w:val="15"/>
                <w:szCs w:val="15"/>
              </w:rPr>
              <w:t>2018</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w:hAnsi="Arial" w:cs="Arial" w:eastAsia="Arial" w:hint="default"/>
                <w:sz w:val="15"/>
                <w:szCs w:val="15"/>
              </w:rPr>
              <w:t>5</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16</w:t>
            </w:r>
            <w:r>
              <w:rPr>
                <w:rFonts w:ascii="Arial" w:hAnsi="Arial" w:cs="Arial" w:eastAsia="Arial" w:hint="default"/>
                <w:spacing w:val="-4"/>
                <w:sz w:val="15"/>
                <w:szCs w:val="15"/>
              </w:rPr>
              <w:t> </w:t>
            </w:r>
            <w:r>
              <w:rPr>
                <w:rFonts w:ascii="宋体" w:hAnsi="宋体" w:cs="宋体" w:eastAsia="宋体" w:hint="default"/>
                <w:spacing w:val="-3"/>
                <w:sz w:val="15"/>
                <w:szCs w:val="15"/>
              </w:rPr>
              <w:t>日开</w:t>
            </w:r>
            <w:r>
              <w:rPr>
                <w:rFonts w:ascii="宋体" w:hAnsi="宋体" w:cs="宋体" w:eastAsia="宋体" w:hint="default"/>
                <w:sz w:val="15"/>
                <w:szCs w:val="15"/>
              </w:rPr>
            </w:r>
          </w:p>
          <w:p>
            <w:pPr>
              <w:pStyle w:val="TableParagraph"/>
              <w:spacing w:line="194" w:lineRule="exact"/>
              <w:ind w:left="23" w:right="5"/>
              <w:jc w:val="left"/>
              <w:rPr>
                <w:rFonts w:ascii="宋体" w:hAnsi="宋体" w:cs="宋体" w:eastAsia="宋体" w:hint="default"/>
                <w:sz w:val="15"/>
                <w:szCs w:val="15"/>
              </w:rPr>
            </w:pPr>
            <w:r>
              <w:rPr>
                <w:rFonts w:ascii="宋体" w:hAnsi="宋体" w:cs="宋体" w:eastAsia="宋体" w:hint="default"/>
                <w:spacing w:val="-6"/>
                <w:sz w:val="15"/>
                <w:szCs w:val="15"/>
              </w:rPr>
              <w:t>庭，</w:t>
            </w:r>
            <w:r>
              <w:rPr>
                <w:rFonts w:ascii="Arial" w:hAnsi="Arial" w:cs="Arial" w:eastAsia="Arial" w:hint="default"/>
                <w:spacing w:val="-6"/>
                <w:sz w:val="15"/>
                <w:szCs w:val="15"/>
              </w:rPr>
              <w:t>2018</w:t>
            </w:r>
            <w:r>
              <w:rPr>
                <w:rFonts w:ascii="Arial" w:hAnsi="Arial" w:cs="Arial" w:eastAsia="Arial"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34"/>
                <w:sz w:val="15"/>
                <w:szCs w:val="15"/>
              </w:rPr>
              <w:t> </w:t>
            </w:r>
            <w:r>
              <w:rPr>
                <w:rFonts w:ascii="Arial" w:hAnsi="Arial" w:cs="Arial" w:eastAsia="Arial" w:hint="default"/>
                <w:sz w:val="15"/>
                <w:szCs w:val="15"/>
              </w:rPr>
              <w:t>7</w:t>
            </w:r>
            <w:r>
              <w:rPr>
                <w:rFonts w:ascii="Arial" w:hAnsi="Arial" w:cs="Arial" w:eastAsia="Arial"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34"/>
                <w:sz w:val="15"/>
                <w:szCs w:val="15"/>
              </w:rPr>
              <w:t> </w:t>
            </w:r>
            <w:r>
              <w:rPr>
                <w:rFonts w:ascii="Arial" w:hAnsi="Arial" w:cs="Arial" w:eastAsia="Arial" w:hint="default"/>
                <w:sz w:val="15"/>
                <w:szCs w:val="15"/>
              </w:rPr>
              <w:t>27</w:t>
            </w:r>
            <w:r>
              <w:rPr>
                <w:rFonts w:ascii="Arial" w:hAnsi="Arial" w:cs="Arial" w:eastAsia="Arial" w:hint="default"/>
                <w:spacing w:val="-3"/>
                <w:sz w:val="15"/>
                <w:szCs w:val="15"/>
              </w:rPr>
              <w:t> </w:t>
            </w:r>
            <w:r>
              <w:rPr>
                <w:rFonts w:ascii="宋体" w:hAnsi="宋体" w:cs="宋体" w:eastAsia="宋体" w:hint="default"/>
                <w:spacing w:val="-5"/>
                <w:sz w:val="15"/>
                <w:szCs w:val="15"/>
              </w:rPr>
              <w:t>日，鑫亚公司收</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到黑龙江省高级人民法院二审判决</w:t>
            </w:r>
            <w:r>
              <w:rPr>
                <w:rFonts w:ascii="宋体" w:hAnsi="宋体" w:cs="宋体" w:eastAsia="宋体" w:hint="default"/>
                <w:w w:val="100"/>
                <w:sz w:val="15"/>
                <w:szCs w:val="15"/>
              </w:rPr>
              <w:t> </w:t>
            </w:r>
            <w:r>
              <w:rPr>
                <w:rFonts w:ascii="宋体" w:hAnsi="宋体" w:cs="宋体" w:eastAsia="宋体" w:hint="default"/>
                <w:sz w:val="15"/>
                <w:szCs w:val="15"/>
              </w:rPr>
              <w:t>书。</w:t>
            </w:r>
          </w:p>
        </w:tc>
        <w:tc>
          <w:tcPr>
            <w:tcW w:w="2859" w:type="dxa"/>
            <w:tcBorders>
              <w:top w:val="single" w:sz="4" w:space="0" w:color="41B7EE"/>
              <w:left w:val="single" w:sz="13" w:space="0" w:color="FFFFFF"/>
              <w:bottom w:val="single" w:sz="4"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32" w:lineRule="auto" w:before="113"/>
              <w:ind w:left="12" w:right="17"/>
              <w:jc w:val="both"/>
              <w:rPr>
                <w:rFonts w:ascii="宋体" w:hAnsi="宋体" w:cs="宋体" w:eastAsia="宋体" w:hint="default"/>
                <w:sz w:val="15"/>
                <w:szCs w:val="15"/>
              </w:rPr>
            </w:pPr>
            <w:r>
              <w:rPr>
                <w:rFonts w:ascii="宋体" w:hAnsi="宋体" w:cs="宋体" w:eastAsia="宋体" w:hint="default"/>
                <w:spacing w:val="-5"/>
                <w:sz w:val="15"/>
                <w:szCs w:val="15"/>
              </w:rPr>
              <w:t>一审判决：驳回鑫亚公司的诉讼请求。案件</w:t>
            </w:r>
            <w:r>
              <w:rPr>
                <w:rFonts w:ascii="宋体" w:hAnsi="宋体" w:cs="宋体" w:eastAsia="宋体" w:hint="default"/>
                <w:spacing w:val="-35"/>
                <w:sz w:val="15"/>
                <w:szCs w:val="15"/>
              </w:rPr>
              <w:t> </w:t>
            </w:r>
            <w:r>
              <w:rPr>
                <w:rFonts w:ascii="宋体" w:hAnsi="宋体" w:cs="宋体" w:eastAsia="宋体" w:hint="default"/>
                <w:spacing w:val="-35"/>
                <w:sz w:val="15"/>
                <w:szCs w:val="15"/>
              </w:rPr>
            </w:r>
            <w:r>
              <w:rPr>
                <w:rFonts w:ascii="宋体" w:hAnsi="宋体" w:cs="宋体" w:eastAsia="宋体" w:hint="default"/>
                <w:sz w:val="15"/>
                <w:szCs w:val="15"/>
              </w:rPr>
              <w:t>受理费</w:t>
            </w:r>
            <w:r>
              <w:rPr>
                <w:rFonts w:ascii="宋体" w:hAnsi="宋体" w:cs="宋体" w:eastAsia="宋体" w:hint="default"/>
                <w:spacing w:val="-38"/>
                <w:sz w:val="15"/>
                <w:szCs w:val="15"/>
              </w:rPr>
              <w:t> </w:t>
            </w:r>
            <w:r>
              <w:rPr>
                <w:rFonts w:ascii="Arial" w:hAnsi="Arial" w:cs="Arial" w:eastAsia="Arial" w:hint="default"/>
                <w:sz w:val="15"/>
                <w:szCs w:val="15"/>
              </w:rPr>
              <w:t>96,60.00</w:t>
            </w:r>
            <w:r>
              <w:rPr>
                <w:rFonts w:ascii="Arial" w:hAnsi="Arial" w:cs="Arial" w:eastAsia="Arial" w:hint="default"/>
                <w:spacing w:val="-5"/>
                <w:sz w:val="15"/>
                <w:szCs w:val="15"/>
              </w:rPr>
              <w:t> </w:t>
            </w:r>
            <w:r>
              <w:rPr>
                <w:rFonts w:ascii="宋体" w:hAnsi="宋体" w:cs="宋体" w:eastAsia="宋体" w:hint="default"/>
                <w:sz w:val="15"/>
                <w:szCs w:val="15"/>
              </w:rPr>
              <w:t>元，由鑫亚公司负担。二</w:t>
            </w:r>
            <w:r>
              <w:rPr>
                <w:rFonts w:ascii="宋体" w:hAnsi="宋体" w:cs="宋体" w:eastAsia="宋体" w:hint="default"/>
                <w:w w:val="100"/>
                <w:sz w:val="15"/>
                <w:szCs w:val="15"/>
              </w:rPr>
              <w:t> </w:t>
            </w:r>
            <w:r>
              <w:rPr>
                <w:rFonts w:ascii="宋体" w:hAnsi="宋体" w:cs="宋体" w:eastAsia="宋体" w:hint="default"/>
                <w:spacing w:val="-4"/>
                <w:sz w:val="15"/>
                <w:szCs w:val="15"/>
              </w:rPr>
              <w:t>审判决：（一）撤销黑龙江省农垦中级法院</w:t>
            </w:r>
          </w:p>
          <w:p>
            <w:pPr>
              <w:pStyle w:val="TableParagraph"/>
              <w:spacing w:line="194" w:lineRule="exact" w:before="18"/>
              <w:ind w:left="12" w:right="104"/>
              <w:jc w:val="left"/>
              <w:rPr>
                <w:rFonts w:ascii="宋体" w:hAnsi="宋体" w:cs="宋体" w:eastAsia="宋体" w:hint="default"/>
                <w:sz w:val="15"/>
                <w:szCs w:val="15"/>
              </w:rPr>
            </w:pPr>
            <w:r>
              <w:rPr>
                <w:rFonts w:ascii="宋体" w:hAnsi="宋体" w:cs="宋体" w:eastAsia="宋体" w:hint="default"/>
                <w:sz w:val="15"/>
                <w:szCs w:val="15"/>
              </w:rPr>
              <w:t>（</w:t>
            </w:r>
            <w:r>
              <w:rPr>
                <w:rFonts w:ascii="Arial" w:hAnsi="Arial" w:cs="Arial" w:eastAsia="Arial" w:hint="default"/>
                <w:sz w:val="15"/>
                <w:szCs w:val="15"/>
              </w:rPr>
              <w:t>2016)</w:t>
            </w:r>
            <w:r>
              <w:rPr>
                <w:rFonts w:ascii="宋体" w:hAnsi="宋体" w:cs="宋体" w:eastAsia="宋体" w:hint="default"/>
                <w:sz w:val="15"/>
                <w:szCs w:val="15"/>
              </w:rPr>
              <w:t>黑 </w:t>
            </w:r>
            <w:r>
              <w:rPr>
                <w:rFonts w:ascii="Arial" w:hAnsi="Arial" w:cs="Arial" w:eastAsia="Arial" w:hint="default"/>
                <w:sz w:val="15"/>
                <w:szCs w:val="15"/>
              </w:rPr>
              <w:t>81</w:t>
            </w:r>
            <w:r>
              <w:rPr>
                <w:rFonts w:ascii="Arial" w:hAnsi="Arial" w:cs="Arial" w:eastAsia="Arial" w:hint="default"/>
                <w:spacing w:val="30"/>
                <w:sz w:val="15"/>
                <w:szCs w:val="15"/>
              </w:rPr>
              <w:t> </w:t>
            </w:r>
            <w:r>
              <w:rPr>
                <w:rFonts w:ascii="宋体" w:hAnsi="宋体" w:cs="宋体" w:eastAsia="宋体" w:hint="default"/>
                <w:sz w:val="15"/>
                <w:szCs w:val="15"/>
              </w:rPr>
              <w:t>民初</w:t>
            </w:r>
            <w:r>
              <w:rPr>
                <w:rFonts w:ascii="宋体" w:hAnsi="宋体" w:cs="宋体" w:eastAsia="宋体" w:hint="default"/>
                <w:spacing w:val="1"/>
                <w:sz w:val="15"/>
                <w:szCs w:val="15"/>
              </w:rPr>
              <w:t> </w:t>
            </w:r>
            <w:r>
              <w:rPr>
                <w:rFonts w:ascii="Arial" w:hAnsi="Arial" w:cs="Arial" w:eastAsia="Arial" w:hint="default"/>
                <w:sz w:val="15"/>
                <w:szCs w:val="15"/>
              </w:rPr>
              <w:t>8</w:t>
            </w:r>
            <w:r>
              <w:rPr>
                <w:rFonts w:ascii="Arial" w:hAnsi="Arial" w:cs="Arial" w:eastAsia="Arial" w:hint="default"/>
                <w:spacing w:val="33"/>
                <w:sz w:val="15"/>
                <w:szCs w:val="15"/>
              </w:rPr>
              <w:t> </w:t>
            </w:r>
            <w:r>
              <w:rPr>
                <w:rFonts w:ascii="宋体" w:hAnsi="宋体" w:cs="宋体" w:eastAsia="宋体" w:hint="default"/>
                <w:sz w:val="15"/>
                <w:szCs w:val="15"/>
              </w:rPr>
              <w:t>号民事判决；</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北大荒青枫亚麻纺织有限公司于本判决送</w:t>
            </w:r>
            <w:r>
              <w:rPr>
                <w:rFonts w:ascii="宋体" w:hAnsi="宋体" w:cs="宋体" w:eastAsia="宋体" w:hint="default"/>
                <w:w w:val="100"/>
                <w:sz w:val="15"/>
                <w:szCs w:val="15"/>
              </w:rPr>
              <w:t> </w:t>
            </w:r>
            <w:r>
              <w:rPr>
                <w:rFonts w:ascii="宋体" w:hAnsi="宋体" w:cs="宋体" w:eastAsia="宋体" w:hint="default"/>
                <w:sz w:val="15"/>
                <w:szCs w:val="15"/>
              </w:rPr>
              <w:t>达之日起 </w:t>
            </w:r>
            <w:r>
              <w:rPr>
                <w:rFonts w:ascii="Arial" w:hAnsi="Arial" w:cs="Arial" w:eastAsia="Arial" w:hint="default"/>
                <w:sz w:val="15"/>
                <w:szCs w:val="15"/>
              </w:rPr>
              <w:t>15</w:t>
            </w:r>
            <w:r>
              <w:rPr>
                <w:rFonts w:ascii="Arial" w:hAnsi="Arial" w:cs="Arial" w:eastAsia="Arial" w:hint="default"/>
                <w:spacing w:val="30"/>
                <w:sz w:val="15"/>
                <w:szCs w:val="15"/>
              </w:rPr>
              <w:t> </w:t>
            </w:r>
            <w:r>
              <w:rPr>
                <w:rFonts w:ascii="宋体" w:hAnsi="宋体" w:cs="宋体" w:eastAsia="宋体" w:hint="default"/>
                <w:sz w:val="15"/>
                <w:szCs w:val="15"/>
              </w:rPr>
              <w:t>日内给付北大荒鑫亚经贸有</w:t>
            </w:r>
          </w:p>
          <w:p>
            <w:pPr>
              <w:pStyle w:val="TableParagraph"/>
              <w:spacing w:line="181" w:lineRule="exact"/>
              <w:ind w:left="12" w:right="0"/>
              <w:jc w:val="left"/>
              <w:rPr>
                <w:rFonts w:ascii="宋体" w:hAnsi="宋体" w:cs="宋体" w:eastAsia="宋体" w:hint="default"/>
                <w:sz w:val="15"/>
                <w:szCs w:val="15"/>
              </w:rPr>
            </w:pPr>
            <w:r>
              <w:rPr>
                <w:rFonts w:ascii="宋体" w:hAnsi="宋体" w:cs="宋体" w:eastAsia="宋体" w:hint="default"/>
                <w:sz w:val="15"/>
                <w:szCs w:val="15"/>
              </w:rPr>
              <w:t>限责任公司货款 </w:t>
            </w:r>
            <w:r>
              <w:rPr>
                <w:rFonts w:ascii="Arial" w:hAnsi="Arial" w:cs="Arial" w:eastAsia="Arial" w:hint="default"/>
                <w:sz w:val="15"/>
                <w:szCs w:val="15"/>
              </w:rPr>
              <w:t>9,611,633</w:t>
            </w:r>
            <w:r>
              <w:rPr>
                <w:rFonts w:ascii="Arial" w:hAnsi="Arial" w:cs="Arial" w:eastAsia="Arial" w:hint="default"/>
                <w:spacing w:val="33"/>
                <w:sz w:val="15"/>
                <w:szCs w:val="15"/>
              </w:rPr>
              <w:t> </w:t>
            </w:r>
            <w:r>
              <w:rPr>
                <w:rFonts w:ascii="宋体" w:hAnsi="宋体" w:cs="宋体" w:eastAsia="宋体" w:hint="default"/>
                <w:sz w:val="15"/>
                <w:szCs w:val="15"/>
              </w:rPr>
              <w:t>元及利息（自</w:t>
            </w:r>
          </w:p>
          <w:p>
            <w:pPr>
              <w:pStyle w:val="TableParagraph"/>
              <w:spacing w:line="235" w:lineRule="auto"/>
              <w:ind w:left="12" w:right="-2"/>
              <w:jc w:val="left"/>
              <w:rPr>
                <w:rFonts w:ascii="宋体" w:hAnsi="宋体" w:cs="宋体" w:eastAsia="宋体" w:hint="default"/>
                <w:sz w:val="15"/>
                <w:szCs w:val="15"/>
              </w:rPr>
            </w:pPr>
            <w:r>
              <w:rPr>
                <w:rFonts w:ascii="Arial" w:hAnsi="Arial" w:cs="Arial" w:eastAsia="Arial" w:hint="default"/>
                <w:sz w:val="15"/>
                <w:szCs w:val="15"/>
              </w:rPr>
              <w:t>2016 </w:t>
            </w:r>
            <w:r>
              <w:rPr>
                <w:rFonts w:ascii="宋体" w:hAnsi="宋体" w:cs="宋体" w:eastAsia="宋体" w:hint="default"/>
                <w:sz w:val="15"/>
                <w:szCs w:val="15"/>
              </w:rPr>
              <w:t>年 </w:t>
            </w:r>
            <w:r>
              <w:rPr>
                <w:rFonts w:ascii="Arial" w:hAnsi="Arial" w:cs="Arial" w:eastAsia="Arial" w:hint="default"/>
                <w:sz w:val="15"/>
                <w:szCs w:val="15"/>
              </w:rPr>
              <w:t>1 </w:t>
            </w:r>
            <w:r>
              <w:rPr>
                <w:rFonts w:ascii="宋体" w:hAnsi="宋体" w:cs="宋体" w:eastAsia="宋体" w:hint="default"/>
                <w:sz w:val="15"/>
                <w:szCs w:val="15"/>
              </w:rPr>
              <w:t>月 </w:t>
            </w:r>
            <w:r>
              <w:rPr>
                <w:rFonts w:ascii="Arial" w:hAnsi="Arial" w:cs="Arial" w:eastAsia="Arial" w:hint="default"/>
                <w:sz w:val="15"/>
                <w:szCs w:val="15"/>
              </w:rPr>
              <w:t>8</w:t>
            </w:r>
            <w:r>
              <w:rPr>
                <w:rFonts w:ascii="Arial" w:hAnsi="Arial" w:cs="Arial" w:eastAsia="Arial" w:hint="default"/>
                <w:spacing w:val="12"/>
                <w:sz w:val="15"/>
                <w:szCs w:val="15"/>
              </w:rPr>
              <w:t> </w:t>
            </w:r>
            <w:r>
              <w:rPr>
                <w:rFonts w:ascii="宋体" w:hAnsi="宋体" w:cs="宋体" w:eastAsia="宋体" w:hint="default"/>
                <w:sz w:val="15"/>
                <w:szCs w:val="15"/>
              </w:rPr>
              <w:t>日起至实际给付之日止，</w:t>
            </w:r>
            <w:r>
              <w:rPr>
                <w:rFonts w:ascii="宋体" w:hAnsi="宋体" w:cs="宋体" w:eastAsia="宋体" w:hint="default"/>
                <w:w w:val="100"/>
                <w:sz w:val="15"/>
                <w:szCs w:val="15"/>
              </w:rPr>
              <w:t> </w:t>
            </w:r>
            <w:r>
              <w:rPr>
                <w:rFonts w:ascii="宋体" w:hAnsi="宋体" w:cs="宋体" w:eastAsia="宋体" w:hint="default"/>
                <w:sz w:val="15"/>
                <w:szCs w:val="15"/>
              </w:rPr>
              <w:t>按中国人民银行规定的同期贷款基准利率</w:t>
            </w:r>
            <w:r>
              <w:rPr>
                <w:rFonts w:ascii="宋体" w:hAnsi="宋体" w:cs="宋体" w:eastAsia="宋体" w:hint="default"/>
                <w:w w:val="100"/>
                <w:sz w:val="15"/>
                <w:szCs w:val="15"/>
              </w:rPr>
              <w:t> </w:t>
            </w:r>
            <w:r>
              <w:rPr>
                <w:rFonts w:ascii="宋体" w:hAnsi="宋体" w:cs="宋体" w:eastAsia="宋体" w:hint="default"/>
                <w:sz w:val="15"/>
                <w:szCs w:val="15"/>
              </w:rPr>
              <w:t>上浮 </w:t>
            </w:r>
            <w:r>
              <w:rPr>
                <w:rFonts w:ascii="Arial" w:hAnsi="Arial" w:cs="Arial" w:eastAsia="Arial" w:hint="default"/>
                <w:spacing w:val="-3"/>
                <w:sz w:val="15"/>
                <w:szCs w:val="15"/>
              </w:rPr>
              <w:t>50%</w:t>
            </w:r>
            <w:r>
              <w:rPr>
                <w:rFonts w:ascii="宋体" w:hAnsi="宋体" w:cs="宋体" w:eastAsia="宋体" w:hint="default"/>
                <w:spacing w:val="-3"/>
                <w:sz w:val="15"/>
                <w:szCs w:val="15"/>
              </w:rPr>
              <w:t>计算</w:t>
            </w:r>
            <w:r>
              <w:rPr>
                <w:rFonts w:ascii="Arial" w:hAnsi="Arial" w:cs="Arial" w:eastAsia="Arial" w:hint="default"/>
                <w:spacing w:val="-3"/>
                <w:sz w:val="15"/>
                <w:szCs w:val="15"/>
              </w:rPr>
              <w:t>)</w:t>
            </w:r>
            <w:r>
              <w:rPr>
                <w:rFonts w:ascii="宋体" w:hAnsi="宋体" w:cs="宋体" w:eastAsia="宋体" w:hint="default"/>
                <w:spacing w:val="-3"/>
                <w:sz w:val="15"/>
                <w:szCs w:val="15"/>
              </w:rPr>
              <w:t>。（三）驳回北大荒鑫亚经</w:t>
            </w:r>
            <w:r>
              <w:rPr>
                <w:rFonts w:ascii="宋体" w:hAnsi="宋体" w:cs="宋体" w:eastAsia="宋体" w:hint="default"/>
                <w:spacing w:val="-46"/>
                <w:sz w:val="15"/>
                <w:szCs w:val="15"/>
              </w:rPr>
              <w:t> </w:t>
            </w:r>
            <w:r>
              <w:rPr>
                <w:rFonts w:ascii="宋体" w:hAnsi="宋体" w:cs="宋体" w:eastAsia="宋体" w:hint="default"/>
                <w:spacing w:val="-46"/>
                <w:sz w:val="15"/>
                <w:szCs w:val="15"/>
              </w:rPr>
            </w:r>
            <w:r>
              <w:rPr>
                <w:rFonts w:ascii="宋体" w:hAnsi="宋体" w:cs="宋体" w:eastAsia="宋体" w:hint="default"/>
                <w:spacing w:val="-4"/>
                <w:sz w:val="15"/>
                <w:szCs w:val="15"/>
              </w:rPr>
              <w:t>贸有限责任公司其他诉讼请求。如未按本判</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pacing w:val="-4"/>
                <w:sz w:val="15"/>
                <w:szCs w:val="15"/>
              </w:rPr>
              <w:t>决书指定的期间履行给付金钱义务，应当依</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pacing w:val="-4"/>
                <w:sz w:val="15"/>
                <w:szCs w:val="15"/>
              </w:rPr>
              <w:t>照《中华人民共和国民事诉讼法》第二百五</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pacing w:val="-4"/>
                <w:sz w:val="15"/>
                <w:szCs w:val="15"/>
              </w:rPr>
              <w:t>十三条之规定，加倍支付迟延履行期间的债</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务利息。一、二审案件受理费合计</w:t>
            </w:r>
            <w:r>
              <w:rPr>
                <w:rFonts w:ascii="宋体" w:hAnsi="宋体" w:cs="宋体" w:eastAsia="宋体" w:hint="default"/>
                <w:w w:val="100"/>
                <w:sz w:val="15"/>
                <w:szCs w:val="15"/>
              </w:rPr>
              <w:t> </w:t>
            </w:r>
            <w:r>
              <w:rPr>
                <w:rFonts w:ascii="Arial" w:hAnsi="Arial" w:cs="Arial" w:eastAsia="Arial" w:hint="default"/>
                <w:sz w:val="15"/>
                <w:szCs w:val="15"/>
              </w:rPr>
              <w:t>193,769.41</w:t>
            </w:r>
            <w:r>
              <w:rPr>
                <w:rFonts w:ascii="Arial" w:hAnsi="Arial" w:cs="Arial" w:eastAsia="Arial" w:hint="default"/>
                <w:spacing w:val="31"/>
                <w:sz w:val="15"/>
                <w:szCs w:val="15"/>
              </w:rPr>
              <w:t> </w:t>
            </w:r>
            <w:r>
              <w:rPr>
                <w:rFonts w:ascii="宋体" w:hAnsi="宋体" w:cs="宋体" w:eastAsia="宋体" w:hint="default"/>
                <w:sz w:val="15"/>
                <w:szCs w:val="15"/>
              </w:rPr>
              <w:t>元，由北大荒青枫亚麻纺织有</w:t>
            </w:r>
            <w:r>
              <w:rPr>
                <w:rFonts w:ascii="宋体" w:hAnsi="宋体" w:cs="宋体" w:eastAsia="宋体" w:hint="default"/>
                <w:w w:val="100"/>
                <w:sz w:val="15"/>
                <w:szCs w:val="15"/>
              </w:rPr>
              <w:t> </w:t>
            </w:r>
            <w:r>
              <w:rPr>
                <w:rFonts w:ascii="宋体" w:hAnsi="宋体" w:cs="宋体" w:eastAsia="宋体" w:hint="default"/>
                <w:sz w:val="15"/>
                <w:szCs w:val="15"/>
              </w:rPr>
              <w:t>限公司负担。上述亚麻布及亚麻纱成本为</w:t>
            </w:r>
            <w:r>
              <w:rPr>
                <w:rFonts w:ascii="宋体" w:hAnsi="宋体" w:cs="宋体" w:eastAsia="宋体" w:hint="default"/>
                <w:w w:val="100"/>
                <w:sz w:val="15"/>
                <w:szCs w:val="15"/>
              </w:rPr>
              <w:t> </w:t>
            </w:r>
            <w:r>
              <w:rPr>
                <w:rFonts w:ascii="Arial" w:hAnsi="Arial" w:cs="Arial" w:eastAsia="Arial" w:hint="default"/>
                <w:sz w:val="15"/>
                <w:szCs w:val="15"/>
              </w:rPr>
              <w:t>13,084,017.16</w:t>
            </w:r>
            <w:r>
              <w:rPr>
                <w:rFonts w:ascii="Arial" w:hAnsi="Arial" w:cs="Arial" w:eastAsia="Arial" w:hint="default"/>
                <w:spacing w:val="31"/>
                <w:sz w:val="15"/>
                <w:szCs w:val="15"/>
              </w:rPr>
              <w:t> </w:t>
            </w:r>
            <w:r>
              <w:rPr>
                <w:rFonts w:ascii="宋体" w:hAnsi="宋体" w:cs="宋体" w:eastAsia="宋体" w:hint="default"/>
                <w:sz w:val="15"/>
                <w:szCs w:val="15"/>
              </w:rPr>
              <w:t>元，已计提存货跌价准备</w:t>
            </w:r>
          </w:p>
          <w:p>
            <w:pPr>
              <w:pStyle w:val="TableParagraph"/>
              <w:spacing w:line="189" w:lineRule="exact"/>
              <w:ind w:left="12" w:right="0"/>
              <w:jc w:val="left"/>
              <w:rPr>
                <w:rFonts w:ascii="宋体" w:hAnsi="宋体" w:cs="宋体" w:eastAsia="宋体" w:hint="default"/>
                <w:sz w:val="15"/>
                <w:szCs w:val="15"/>
              </w:rPr>
            </w:pPr>
            <w:r>
              <w:rPr>
                <w:rFonts w:ascii="Arial" w:hAnsi="Arial" w:cs="Arial" w:eastAsia="Arial" w:hint="default"/>
                <w:sz w:val="15"/>
                <w:szCs w:val="15"/>
              </w:rPr>
              <w:t>6,828,794.99  </w:t>
            </w:r>
            <w:r>
              <w:rPr>
                <w:rFonts w:ascii="宋体" w:hAnsi="宋体" w:cs="宋体" w:eastAsia="宋体" w:hint="default"/>
                <w:sz w:val="15"/>
                <w:szCs w:val="15"/>
              </w:rPr>
              <w:t>元，净值 </w:t>
            </w:r>
            <w:r>
              <w:rPr>
                <w:rFonts w:ascii="Arial" w:hAnsi="Arial" w:cs="Arial" w:eastAsia="Arial" w:hint="default"/>
                <w:sz w:val="15"/>
                <w:szCs w:val="15"/>
              </w:rPr>
              <w:t>6,255,222.17</w:t>
            </w:r>
            <w:r>
              <w:rPr>
                <w:rFonts w:ascii="Arial" w:hAnsi="Arial" w:cs="Arial" w:eastAsia="Arial" w:hint="default"/>
                <w:spacing w:val="19"/>
                <w:sz w:val="15"/>
                <w:szCs w:val="15"/>
              </w:rPr>
              <w:t> </w:t>
            </w:r>
            <w:r>
              <w:rPr>
                <w:rFonts w:ascii="宋体" w:hAnsi="宋体" w:cs="宋体" w:eastAsia="宋体" w:hint="default"/>
                <w:spacing w:val="-3"/>
                <w:sz w:val="15"/>
                <w:szCs w:val="15"/>
              </w:rPr>
              <w:t>元</w:t>
            </w:r>
            <w:r>
              <w:rPr>
                <w:rFonts w:ascii="宋体" w:hAnsi="宋体" w:cs="宋体" w:eastAsia="宋体" w:hint="default"/>
                <w:sz w:val="15"/>
                <w:szCs w:val="15"/>
              </w:rPr>
            </w:r>
          </w:p>
          <w:p>
            <w:pPr>
              <w:pStyle w:val="TableParagraph"/>
              <w:spacing w:line="190" w:lineRule="exact"/>
              <w:ind w:left="12" w:right="0"/>
              <w:jc w:val="left"/>
              <w:rPr>
                <w:rFonts w:ascii="宋体" w:hAnsi="宋体" w:cs="宋体" w:eastAsia="宋体" w:hint="default"/>
                <w:sz w:val="15"/>
                <w:szCs w:val="15"/>
              </w:rPr>
            </w:pPr>
            <w:r>
              <w:rPr>
                <w:rFonts w:ascii="宋体" w:hAnsi="宋体" w:cs="宋体" w:eastAsia="宋体" w:hint="default"/>
                <w:sz w:val="15"/>
                <w:szCs w:val="15"/>
              </w:rPr>
              <w:t>本判决为终审判决。本案已审理终结。</w:t>
            </w:r>
          </w:p>
        </w:tc>
        <w:tc>
          <w:tcPr>
            <w:tcW w:w="1529" w:type="dxa"/>
            <w:tcBorders>
              <w:top w:val="single" w:sz="4" w:space="0" w:color="41B7EE"/>
              <w:left w:val="single" w:sz="4" w:space="0" w:color="41B7EE"/>
              <w:bottom w:val="single" w:sz="4" w:space="0" w:color="41B7EE"/>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15"/>
                <w:szCs w:val="15"/>
              </w:rPr>
            </w:pPr>
            <w:r>
              <w:rPr>
                <w:rFonts w:ascii="宋体" w:hAnsi="宋体" w:cs="宋体" w:eastAsia="宋体" w:hint="default"/>
                <w:sz w:val="15"/>
                <w:szCs w:val="15"/>
              </w:rPr>
              <w:t>案件正在执行中。</w:t>
            </w: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6" w:right="0"/>
              <w:jc w:val="left"/>
              <w:rPr>
                <w:rFonts w:ascii="宋体" w:hAnsi="宋体" w:cs="宋体" w:eastAsia="宋体" w:hint="default"/>
                <w:sz w:val="15"/>
                <w:szCs w:val="15"/>
              </w:rPr>
            </w:pPr>
            <w:r>
              <w:rPr>
                <w:rFonts w:ascii="宋体" w:hAnsi="宋体" w:cs="宋体" w:eastAsia="宋体" w:hint="default"/>
                <w:spacing w:val="-3"/>
                <w:w w:val="100"/>
                <w:sz w:val="15"/>
                <w:szCs w:val="15"/>
              </w:rPr>
              <w:t>。</w:t>
            </w:r>
            <w:r>
              <w:rPr>
                <w:rFonts w:ascii="宋体" w:hAnsi="宋体" w:cs="宋体" w:eastAsia="宋体" w:hint="default"/>
                <w:w w:val="100"/>
                <w:sz w:val="15"/>
                <w:szCs w:val="15"/>
              </w:rPr>
            </w:r>
          </w:p>
        </w:tc>
      </w:tr>
      <w:tr>
        <w:trPr>
          <w:trHeight w:val="2545" w:hRule="exact"/>
        </w:trPr>
        <w:tc>
          <w:tcPr>
            <w:tcW w:w="612" w:type="dxa"/>
            <w:tcBorders>
              <w:top w:val="single" w:sz="4" w:space="0" w:color="41B7EE"/>
              <w:left w:val="nil" w:sz="6" w:space="0" w:color="auto"/>
              <w:bottom w:val="single" w:sz="8"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8" w:right="123"/>
              <w:jc w:val="both"/>
              <w:rPr>
                <w:rFonts w:ascii="宋体" w:hAnsi="宋体" w:cs="宋体" w:eastAsia="宋体" w:hint="default"/>
                <w:sz w:val="15"/>
                <w:szCs w:val="15"/>
              </w:rPr>
            </w:pPr>
            <w:r>
              <w:rPr>
                <w:rFonts w:ascii="宋体" w:hAnsi="宋体" w:cs="宋体" w:eastAsia="宋体" w:hint="default"/>
                <w:sz w:val="15"/>
                <w:szCs w:val="15"/>
              </w:rPr>
              <w:t>秦皇岛</w:t>
            </w:r>
            <w:r>
              <w:rPr>
                <w:rFonts w:ascii="宋体" w:hAnsi="宋体" w:cs="宋体" w:eastAsia="宋体" w:hint="default"/>
                <w:spacing w:val="-72"/>
                <w:sz w:val="15"/>
                <w:szCs w:val="15"/>
              </w:rPr>
              <w:t> </w:t>
            </w:r>
            <w:r>
              <w:rPr>
                <w:rFonts w:ascii="宋体" w:hAnsi="宋体" w:cs="宋体" w:eastAsia="宋体" w:hint="default"/>
                <w:sz w:val="15"/>
                <w:szCs w:val="15"/>
              </w:rPr>
              <w:t>北大荒</w:t>
            </w:r>
            <w:r>
              <w:rPr>
                <w:rFonts w:ascii="宋体" w:hAnsi="宋体" w:cs="宋体" w:eastAsia="宋体" w:hint="default"/>
                <w:spacing w:val="-72"/>
                <w:sz w:val="15"/>
                <w:szCs w:val="15"/>
              </w:rPr>
              <w:t> </w:t>
            </w:r>
            <w:r>
              <w:rPr>
                <w:rFonts w:ascii="宋体" w:hAnsi="宋体" w:cs="宋体" w:eastAsia="宋体" w:hint="default"/>
                <w:sz w:val="15"/>
                <w:szCs w:val="15"/>
              </w:rPr>
              <w:t>龙业房</w:t>
            </w:r>
            <w:r>
              <w:rPr>
                <w:rFonts w:ascii="宋体" w:hAnsi="宋体" w:cs="宋体" w:eastAsia="宋体" w:hint="default"/>
                <w:spacing w:val="-72"/>
                <w:sz w:val="15"/>
                <w:szCs w:val="15"/>
              </w:rPr>
              <w:t> </w:t>
            </w:r>
            <w:r>
              <w:rPr>
                <w:rFonts w:ascii="宋体" w:hAnsi="宋体" w:cs="宋体" w:eastAsia="宋体" w:hint="default"/>
                <w:sz w:val="15"/>
                <w:szCs w:val="15"/>
              </w:rPr>
              <w:t>地产开</w:t>
            </w:r>
            <w:r>
              <w:rPr>
                <w:rFonts w:ascii="宋体" w:hAnsi="宋体" w:cs="宋体" w:eastAsia="宋体" w:hint="default"/>
                <w:spacing w:val="-72"/>
                <w:sz w:val="15"/>
                <w:szCs w:val="15"/>
              </w:rPr>
              <w:t> </w:t>
            </w:r>
            <w:r>
              <w:rPr>
                <w:rFonts w:ascii="宋体" w:hAnsi="宋体" w:cs="宋体" w:eastAsia="宋体" w:hint="default"/>
                <w:sz w:val="15"/>
                <w:szCs w:val="15"/>
              </w:rPr>
              <w:t>发有限</w:t>
            </w:r>
            <w:r>
              <w:rPr>
                <w:rFonts w:ascii="宋体" w:hAnsi="宋体" w:cs="宋体" w:eastAsia="宋体" w:hint="default"/>
                <w:spacing w:val="-72"/>
                <w:sz w:val="15"/>
                <w:szCs w:val="15"/>
              </w:rPr>
              <w:t> </w:t>
            </w:r>
            <w:r>
              <w:rPr>
                <w:rFonts w:ascii="宋体" w:hAnsi="宋体" w:cs="宋体" w:eastAsia="宋体" w:hint="default"/>
                <w:sz w:val="15"/>
                <w:szCs w:val="15"/>
              </w:rPr>
              <w:t>公司</w:t>
            </w:r>
          </w:p>
        </w:tc>
        <w:tc>
          <w:tcPr>
            <w:tcW w:w="646"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1" w:right="158"/>
              <w:jc w:val="both"/>
              <w:rPr>
                <w:rFonts w:ascii="宋体" w:hAnsi="宋体" w:cs="宋体" w:eastAsia="宋体" w:hint="default"/>
                <w:sz w:val="15"/>
                <w:szCs w:val="15"/>
              </w:rPr>
            </w:pPr>
            <w:r>
              <w:rPr>
                <w:rFonts w:ascii="宋体" w:hAnsi="宋体" w:cs="宋体" w:eastAsia="宋体" w:hint="default"/>
                <w:sz w:val="15"/>
                <w:szCs w:val="15"/>
              </w:rPr>
              <w:t>黑龙江</w:t>
            </w:r>
            <w:r>
              <w:rPr>
                <w:rFonts w:ascii="宋体" w:hAnsi="宋体" w:cs="宋体" w:eastAsia="宋体" w:hint="default"/>
                <w:spacing w:val="-72"/>
                <w:sz w:val="15"/>
                <w:szCs w:val="15"/>
              </w:rPr>
              <w:t> </w:t>
            </w:r>
            <w:r>
              <w:rPr>
                <w:rFonts w:ascii="宋体" w:hAnsi="宋体" w:cs="宋体" w:eastAsia="宋体" w:hint="default"/>
                <w:sz w:val="15"/>
                <w:szCs w:val="15"/>
              </w:rPr>
              <w:t>忠信伟</w:t>
            </w:r>
            <w:r>
              <w:rPr>
                <w:rFonts w:ascii="宋体" w:hAnsi="宋体" w:cs="宋体" w:eastAsia="宋体" w:hint="default"/>
                <w:spacing w:val="-72"/>
                <w:sz w:val="15"/>
                <w:szCs w:val="15"/>
              </w:rPr>
              <w:t> </w:t>
            </w:r>
            <w:r>
              <w:rPr>
                <w:rFonts w:ascii="宋体" w:hAnsi="宋体" w:cs="宋体" w:eastAsia="宋体" w:hint="default"/>
                <w:sz w:val="15"/>
                <w:szCs w:val="15"/>
              </w:rPr>
              <w:t>业房地</w:t>
            </w:r>
            <w:r>
              <w:rPr>
                <w:rFonts w:ascii="宋体" w:hAnsi="宋体" w:cs="宋体" w:eastAsia="宋体" w:hint="default"/>
                <w:spacing w:val="-72"/>
                <w:sz w:val="15"/>
                <w:szCs w:val="15"/>
              </w:rPr>
              <w:t> </w:t>
            </w:r>
            <w:r>
              <w:rPr>
                <w:rFonts w:ascii="宋体" w:hAnsi="宋体" w:cs="宋体" w:eastAsia="宋体" w:hint="default"/>
                <w:sz w:val="15"/>
                <w:szCs w:val="15"/>
              </w:rPr>
              <w:t>产开发</w:t>
            </w:r>
            <w:r>
              <w:rPr>
                <w:rFonts w:ascii="宋体" w:hAnsi="宋体" w:cs="宋体" w:eastAsia="宋体" w:hint="default"/>
                <w:spacing w:val="-72"/>
                <w:sz w:val="15"/>
                <w:szCs w:val="15"/>
              </w:rPr>
              <w:t> </w:t>
            </w:r>
            <w:r>
              <w:rPr>
                <w:rFonts w:ascii="宋体" w:hAnsi="宋体" w:cs="宋体" w:eastAsia="宋体" w:hint="default"/>
                <w:sz w:val="15"/>
                <w:szCs w:val="15"/>
              </w:rPr>
              <w:t>有限公</w:t>
            </w:r>
            <w:r>
              <w:rPr>
                <w:rFonts w:ascii="宋体" w:hAnsi="宋体" w:cs="宋体" w:eastAsia="宋体" w:hint="default"/>
                <w:spacing w:val="-72"/>
                <w:sz w:val="15"/>
                <w:szCs w:val="15"/>
              </w:rPr>
              <w:t> </w:t>
            </w:r>
            <w:r>
              <w:rPr>
                <w:rFonts w:ascii="宋体" w:hAnsi="宋体" w:cs="宋体" w:eastAsia="宋体" w:hint="default"/>
                <w:sz w:val="15"/>
                <w:szCs w:val="15"/>
              </w:rPr>
              <w:t>司</w:t>
            </w:r>
          </w:p>
        </w:tc>
        <w:tc>
          <w:tcPr>
            <w:tcW w:w="794" w:type="dxa"/>
            <w:tcBorders>
              <w:top w:val="single" w:sz="4" w:space="0" w:color="41B7EE"/>
              <w:left w:val="single" w:sz="4" w:space="0" w:color="41B7EE"/>
              <w:bottom w:val="single" w:sz="8" w:space="0" w:color="41B7EE"/>
              <w:right w:val="single" w:sz="4" w:space="0" w:color="41B7EE"/>
            </w:tcBorders>
          </w:tcPr>
          <w:p>
            <w:pPr/>
          </w:p>
        </w:tc>
        <w:tc>
          <w:tcPr>
            <w:tcW w:w="600"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诉讼</w:t>
            </w:r>
          </w:p>
        </w:tc>
        <w:tc>
          <w:tcPr>
            <w:tcW w:w="2273"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01" w:lineRule="exact"/>
              <w:ind w:left="23" w:right="0"/>
              <w:jc w:val="left"/>
              <w:rPr>
                <w:rFonts w:ascii="宋体" w:hAnsi="宋体" w:cs="宋体" w:eastAsia="宋体" w:hint="default"/>
                <w:sz w:val="15"/>
                <w:szCs w:val="15"/>
              </w:rPr>
            </w:pPr>
            <w:r>
              <w:rPr>
                <w:rFonts w:ascii="Arial" w:hAnsi="Arial" w:cs="Arial" w:eastAsia="Arial" w:hint="default"/>
                <w:sz w:val="15"/>
                <w:szCs w:val="15"/>
              </w:rPr>
              <w:t>2012</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Arial" w:hAnsi="Arial" w:cs="Arial" w:eastAsia="Arial" w:hint="default"/>
                <w:sz w:val="15"/>
                <w:szCs w:val="15"/>
              </w:rPr>
              <w:t>1</w:t>
            </w:r>
            <w:r>
              <w:rPr>
                <w:rFonts w:ascii="Arial" w:hAnsi="Arial" w:cs="Arial" w:eastAsia="Arial" w:hint="default"/>
                <w:spacing w:val="-5"/>
                <w:sz w:val="15"/>
                <w:szCs w:val="15"/>
              </w:rPr>
              <w:t> </w:t>
            </w:r>
            <w:r>
              <w:rPr>
                <w:rFonts w:ascii="宋体" w:hAnsi="宋体" w:cs="宋体" w:eastAsia="宋体" w:hint="default"/>
                <w:sz w:val="15"/>
                <w:szCs w:val="15"/>
              </w:rPr>
              <w:t>月，原告向被告提供借</w:t>
            </w:r>
          </w:p>
          <w:p>
            <w:pPr>
              <w:pStyle w:val="TableParagraph"/>
              <w:spacing w:line="196" w:lineRule="exact" w:before="12"/>
              <w:ind w:left="23" w:right="-14"/>
              <w:jc w:val="left"/>
              <w:rPr>
                <w:rFonts w:ascii="宋体" w:hAnsi="宋体" w:cs="宋体" w:eastAsia="宋体" w:hint="default"/>
                <w:sz w:val="15"/>
                <w:szCs w:val="15"/>
              </w:rPr>
            </w:pPr>
            <w:r>
              <w:rPr>
                <w:rFonts w:ascii="宋体" w:hAnsi="宋体" w:cs="宋体" w:eastAsia="宋体" w:hint="default"/>
                <w:sz w:val="15"/>
                <w:szCs w:val="15"/>
              </w:rPr>
              <w:t>款</w:t>
            </w:r>
            <w:r>
              <w:rPr>
                <w:rFonts w:ascii="宋体" w:hAnsi="宋体" w:cs="宋体" w:eastAsia="宋体" w:hint="default"/>
                <w:spacing w:val="-38"/>
                <w:sz w:val="15"/>
                <w:szCs w:val="15"/>
              </w:rPr>
              <w:t> </w:t>
            </w:r>
            <w:r>
              <w:rPr>
                <w:rFonts w:ascii="Arial" w:hAnsi="Arial" w:cs="Arial" w:eastAsia="Arial" w:hint="default"/>
                <w:sz w:val="15"/>
                <w:szCs w:val="15"/>
              </w:rPr>
              <w:t>1000</w:t>
            </w:r>
            <w:r>
              <w:rPr>
                <w:rFonts w:ascii="Arial" w:hAnsi="Arial" w:cs="Arial" w:eastAsia="Arial" w:hint="default"/>
                <w:spacing w:val="-7"/>
                <w:sz w:val="15"/>
                <w:szCs w:val="15"/>
              </w:rPr>
              <w:t> </w:t>
            </w:r>
            <w:r>
              <w:rPr>
                <w:rFonts w:ascii="宋体" w:hAnsi="宋体" w:cs="宋体" w:eastAsia="宋体" w:hint="default"/>
                <w:sz w:val="15"/>
                <w:szCs w:val="15"/>
              </w:rPr>
              <w:t>万元。期限届满后，被告</w:t>
            </w:r>
            <w:r>
              <w:rPr>
                <w:rFonts w:ascii="宋体" w:hAnsi="宋体" w:cs="宋体" w:eastAsia="宋体" w:hint="default"/>
                <w:w w:val="100"/>
                <w:sz w:val="15"/>
                <w:szCs w:val="15"/>
              </w:rPr>
              <w:t> </w:t>
            </w:r>
            <w:r>
              <w:rPr>
                <w:rFonts w:ascii="宋体" w:hAnsi="宋体" w:cs="宋体" w:eastAsia="宋体" w:hint="default"/>
                <w:spacing w:val="-2"/>
                <w:sz w:val="15"/>
                <w:szCs w:val="15"/>
              </w:rPr>
              <w:t>一直未予偿还，故原告提起诉讼。</w:t>
            </w:r>
          </w:p>
        </w:tc>
        <w:tc>
          <w:tcPr>
            <w:tcW w:w="1358"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Arial" w:hAnsi="Arial" w:cs="Arial" w:eastAsia="Arial" w:hint="default"/>
                <w:sz w:val="15"/>
                <w:szCs w:val="15"/>
              </w:rPr>
            </w:pPr>
            <w:r>
              <w:rPr>
                <w:rFonts w:ascii="Arial"/>
                <w:spacing w:val="-1"/>
                <w:sz w:val="15"/>
              </w:rPr>
              <w:t>13,500,000</w:t>
            </w:r>
          </w:p>
        </w:tc>
        <w:tc>
          <w:tcPr>
            <w:tcW w:w="838" w:type="dxa"/>
            <w:tcBorders>
              <w:top w:val="single" w:sz="4" w:space="0" w:color="41B7EE"/>
              <w:left w:val="single" w:sz="4" w:space="0" w:color="41B7EE"/>
              <w:bottom w:val="single" w:sz="8" w:space="0" w:color="41B7EE"/>
              <w:right w:val="single" w:sz="4" w:space="0" w:color="41B7EE"/>
            </w:tcBorders>
          </w:tcPr>
          <w:p>
            <w:pPr/>
          </w:p>
        </w:tc>
        <w:tc>
          <w:tcPr>
            <w:tcW w:w="2422"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6"/>
              <w:ind w:left="23" w:right="17"/>
              <w:jc w:val="left"/>
              <w:rPr>
                <w:rFonts w:ascii="宋体" w:hAnsi="宋体" w:cs="宋体" w:eastAsia="宋体" w:hint="default"/>
                <w:sz w:val="15"/>
                <w:szCs w:val="15"/>
              </w:rPr>
            </w:pPr>
            <w:r>
              <w:rPr>
                <w:rFonts w:ascii="宋体" w:hAnsi="宋体" w:cs="宋体" w:eastAsia="宋体" w:hint="default"/>
                <w:spacing w:val="-4"/>
                <w:sz w:val="15"/>
                <w:szCs w:val="15"/>
              </w:rPr>
              <w:t>农垦中院主持双方达成调解，调解书</w:t>
            </w:r>
            <w:r>
              <w:rPr>
                <w:rFonts w:ascii="宋体" w:hAnsi="宋体" w:cs="宋体" w:eastAsia="宋体" w:hint="default"/>
                <w:spacing w:val="-47"/>
                <w:sz w:val="15"/>
                <w:szCs w:val="15"/>
              </w:rPr>
              <w:t> </w:t>
            </w:r>
            <w:r>
              <w:rPr>
                <w:rFonts w:ascii="宋体" w:hAnsi="宋体" w:cs="宋体" w:eastAsia="宋体" w:hint="default"/>
                <w:spacing w:val="-47"/>
                <w:sz w:val="15"/>
                <w:szCs w:val="15"/>
              </w:rPr>
            </w:r>
            <w:r>
              <w:rPr>
                <w:rFonts w:ascii="宋体" w:hAnsi="宋体" w:cs="宋体" w:eastAsia="宋体" w:hint="default"/>
                <w:sz w:val="15"/>
                <w:szCs w:val="15"/>
              </w:rPr>
              <w:t>编号为（</w:t>
            </w:r>
            <w:r>
              <w:rPr>
                <w:rFonts w:ascii="Arial" w:hAnsi="Arial" w:cs="Arial" w:eastAsia="Arial" w:hint="default"/>
                <w:sz w:val="15"/>
                <w:szCs w:val="15"/>
              </w:rPr>
              <w:t>2013</w:t>
            </w:r>
            <w:r>
              <w:rPr>
                <w:rFonts w:ascii="宋体" w:hAnsi="宋体" w:cs="宋体" w:eastAsia="宋体" w:hint="default"/>
                <w:sz w:val="15"/>
                <w:szCs w:val="15"/>
              </w:rPr>
              <w:t>）垦民初字第</w:t>
            </w:r>
            <w:r>
              <w:rPr>
                <w:rFonts w:ascii="宋体" w:hAnsi="宋体" w:cs="宋体" w:eastAsia="宋体" w:hint="default"/>
                <w:spacing w:val="-39"/>
                <w:sz w:val="15"/>
                <w:szCs w:val="15"/>
              </w:rPr>
              <w:t> </w:t>
            </w:r>
            <w:r>
              <w:rPr>
                <w:rFonts w:ascii="Arial" w:hAnsi="Arial" w:cs="Arial" w:eastAsia="Arial" w:hint="default"/>
                <w:sz w:val="15"/>
                <w:szCs w:val="15"/>
              </w:rPr>
              <w:t>9</w:t>
            </w:r>
            <w:r>
              <w:rPr>
                <w:rFonts w:ascii="Arial" w:hAnsi="Arial" w:cs="Arial" w:eastAsia="Arial" w:hint="default"/>
                <w:spacing w:val="-4"/>
                <w:sz w:val="15"/>
                <w:szCs w:val="15"/>
              </w:rPr>
              <w:t> </w:t>
            </w:r>
            <w:r>
              <w:rPr>
                <w:rFonts w:ascii="宋体" w:hAnsi="宋体" w:cs="宋体" w:eastAsia="宋体" w:hint="default"/>
                <w:spacing w:val="-3"/>
                <w:sz w:val="15"/>
                <w:szCs w:val="15"/>
              </w:rPr>
              <w:t>号。</w:t>
            </w:r>
            <w:r>
              <w:rPr>
                <w:rFonts w:ascii="宋体" w:hAnsi="宋体" w:cs="宋体" w:eastAsia="宋体" w:hint="default"/>
                <w:sz w:val="15"/>
                <w:szCs w:val="15"/>
              </w:rPr>
            </w:r>
          </w:p>
        </w:tc>
        <w:tc>
          <w:tcPr>
            <w:tcW w:w="2859"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02" w:lineRule="exact" w:before="113"/>
              <w:ind w:left="24" w:right="0"/>
              <w:jc w:val="left"/>
              <w:rPr>
                <w:rFonts w:ascii="宋体" w:hAnsi="宋体" w:cs="宋体" w:eastAsia="宋体" w:hint="default"/>
                <w:sz w:val="15"/>
                <w:szCs w:val="15"/>
              </w:rPr>
            </w:pPr>
            <w:r>
              <w:rPr>
                <w:rFonts w:ascii="宋体" w:hAnsi="宋体" w:cs="宋体" w:eastAsia="宋体" w:hint="default"/>
                <w:sz w:val="15"/>
                <w:szCs w:val="15"/>
              </w:rPr>
              <w:t>调解结果：被告忠信伟业给付原告</w:t>
            </w:r>
            <w:r>
              <w:rPr>
                <w:rFonts w:ascii="宋体" w:hAnsi="宋体" w:cs="宋体" w:eastAsia="宋体" w:hint="default"/>
                <w:spacing w:val="-42"/>
                <w:sz w:val="15"/>
                <w:szCs w:val="15"/>
              </w:rPr>
              <w:t> </w:t>
            </w:r>
            <w:r>
              <w:rPr>
                <w:rFonts w:ascii="Arial" w:hAnsi="Arial" w:cs="Arial" w:eastAsia="Arial" w:hint="default"/>
                <w:sz w:val="15"/>
                <w:szCs w:val="15"/>
              </w:rPr>
              <w:t>1350</w:t>
            </w:r>
            <w:r>
              <w:rPr>
                <w:rFonts w:ascii="Arial" w:hAnsi="Arial" w:cs="Arial" w:eastAsia="Arial" w:hint="default"/>
                <w:spacing w:val="-9"/>
                <w:sz w:val="15"/>
                <w:szCs w:val="15"/>
              </w:rPr>
              <w:t> </w:t>
            </w:r>
            <w:r>
              <w:rPr>
                <w:rFonts w:ascii="宋体" w:hAnsi="宋体" w:cs="宋体" w:eastAsia="宋体" w:hint="default"/>
                <w:sz w:val="15"/>
                <w:szCs w:val="15"/>
              </w:rPr>
              <w:t>万</w:t>
            </w:r>
          </w:p>
          <w:p>
            <w:pPr>
              <w:pStyle w:val="TableParagraph"/>
              <w:spacing w:line="196" w:lineRule="exact"/>
              <w:ind w:left="24" w:right="0"/>
              <w:jc w:val="left"/>
              <w:rPr>
                <w:rFonts w:ascii="Arial" w:hAnsi="Arial" w:cs="Arial" w:eastAsia="Arial" w:hint="default"/>
                <w:sz w:val="15"/>
                <w:szCs w:val="15"/>
              </w:rPr>
            </w:pPr>
            <w:r>
              <w:rPr>
                <w:rFonts w:ascii="宋体" w:hAnsi="宋体" w:cs="宋体" w:eastAsia="宋体" w:hint="default"/>
                <w:sz w:val="15"/>
                <w:szCs w:val="15"/>
              </w:rPr>
              <w:t>元；逾期被告承担</w:t>
            </w:r>
            <w:r>
              <w:rPr>
                <w:rFonts w:ascii="宋体" w:hAnsi="宋体" w:cs="宋体" w:eastAsia="宋体" w:hint="default"/>
                <w:spacing w:val="-40"/>
                <w:sz w:val="15"/>
                <w:szCs w:val="15"/>
              </w:rPr>
              <w:t> </w:t>
            </w:r>
            <w:r>
              <w:rPr>
                <w:rFonts w:ascii="Arial" w:hAnsi="Arial" w:cs="Arial" w:eastAsia="Arial" w:hint="default"/>
                <w:sz w:val="15"/>
                <w:szCs w:val="15"/>
              </w:rPr>
              <w:t>1350</w:t>
            </w:r>
            <w:r>
              <w:rPr>
                <w:rFonts w:ascii="Arial" w:hAnsi="Arial" w:cs="Arial" w:eastAsia="Arial" w:hint="default"/>
                <w:spacing w:val="-4"/>
                <w:sz w:val="15"/>
                <w:szCs w:val="15"/>
              </w:rPr>
              <w:t> </w:t>
            </w:r>
            <w:r>
              <w:rPr>
                <w:rFonts w:ascii="宋体" w:hAnsi="宋体" w:cs="宋体" w:eastAsia="宋体" w:hint="default"/>
                <w:sz w:val="15"/>
                <w:szCs w:val="15"/>
              </w:rPr>
              <w:t>万元自</w:t>
            </w:r>
            <w:r>
              <w:rPr>
                <w:rFonts w:ascii="宋体" w:hAnsi="宋体" w:cs="宋体" w:eastAsia="宋体" w:hint="default"/>
                <w:spacing w:val="-38"/>
                <w:sz w:val="15"/>
                <w:szCs w:val="15"/>
              </w:rPr>
              <w:t> </w:t>
            </w:r>
            <w:r>
              <w:rPr>
                <w:rFonts w:ascii="Arial" w:hAnsi="Arial" w:cs="Arial" w:eastAsia="Arial" w:hint="default"/>
                <w:sz w:val="15"/>
                <w:szCs w:val="15"/>
              </w:rPr>
              <w:t>2013</w:t>
            </w:r>
            <w:r>
              <w:rPr>
                <w:rFonts w:ascii="Arial" w:hAnsi="Arial" w:cs="Arial" w:eastAsia="Arial" w:hint="default"/>
                <w:spacing w:val="-5"/>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Arial" w:hAnsi="Arial" w:cs="Arial" w:eastAsia="Arial" w:hint="default"/>
                <w:sz w:val="15"/>
                <w:szCs w:val="15"/>
              </w:rPr>
              <w:t>3</w:t>
            </w:r>
          </w:p>
          <w:p>
            <w:pPr>
              <w:pStyle w:val="TableParagraph"/>
              <w:spacing w:line="194" w:lineRule="exact" w:before="14"/>
              <w:ind w:left="24" w:right="27"/>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29</w:t>
            </w:r>
            <w:r>
              <w:rPr>
                <w:rFonts w:ascii="Arial" w:hAnsi="Arial" w:cs="Arial" w:eastAsia="Arial" w:hint="default"/>
                <w:spacing w:val="-5"/>
                <w:sz w:val="15"/>
                <w:szCs w:val="15"/>
              </w:rPr>
              <w:t> </w:t>
            </w:r>
            <w:r>
              <w:rPr>
                <w:rFonts w:ascii="宋体" w:hAnsi="宋体" w:cs="宋体" w:eastAsia="宋体" w:hint="default"/>
                <w:sz w:val="15"/>
                <w:szCs w:val="15"/>
              </w:rPr>
              <w:t>日至给付日的利息；案件受理费双方</w:t>
            </w:r>
            <w:r>
              <w:rPr>
                <w:rFonts w:ascii="宋体" w:hAnsi="宋体" w:cs="宋体" w:eastAsia="宋体" w:hint="default"/>
                <w:w w:val="100"/>
                <w:sz w:val="15"/>
                <w:szCs w:val="15"/>
              </w:rPr>
              <w:t> </w:t>
            </w:r>
            <w:r>
              <w:rPr>
                <w:rFonts w:ascii="宋体" w:hAnsi="宋体" w:cs="宋体" w:eastAsia="宋体" w:hint="default"/>
                <w:sz w:val="15"/>
                <w:szCs w:val="15"/>
              </w:rPr>
              <w:t>共同承担。</w:t>
            </w:r>
          </w:p>
        </w:tc>
        <w:tc>
          <w:tcPr>
            <w:tcW w:w="1529" w:type="dxa"/>
            <w:tcBorders>
              <w:top w:val="single" w:sz="4" w:space="0" w:color="41B7EE"/>
              <w:left w:val="single" w:sz="4" w:space="0" w:color="41B7EE"/>
              <w:bottom w:val="single" w:sz="8" w:space="0" w:color="41B7EE"/>
              <w:right w:val="nil" w:sz="6" w:space="0" w:color="auto"/>
            </w:tcBorders>
          </w:tcPr>
          <w:p>
            <w:pPr>
              <w:pStyle w:val="TableParagraph"/>
              <w:spacing w:line="171" w:lineRule="exact"/>
              <w:ind w:left="21" w:right="0"/>
              <w:jc w:val="left"/>
              <w:rPr>
                <w:rFonts w:ascii="宋体" w:hAnsi="宋体" w:cs="宋体" w:eastAsia="宋体" w:hint="default"/>
                <w:sz w:val="15"/>
                <w:szCs w:val="15"/>
              </w:rPr>
            </w:pPr>
            <w:r>
              <w:rPr>
                <w:rFonts w:ascii="宋体" w:hAnsi="宋体" w:cs="宋体" w:eastAsia="宋体" w:hint="default"/>
                <w:sz w:val="15"/>
                <w:szCs w:val="15"/>
              </w:rPr>
              <w:t>调解书确定的履行期</w:t>
            </w:r>
          </w:p>
          <w:p>
            <w:pPr>
              <w:pStyle w:val="TableParagraph"/>
              <w:spacing w:line="237" w:lineRule="auto" w:before="1"/>
              <w:ind w:left="21" w:right="0"/>
              <w:jc w:val="left"/>
              <w:rPr>
                <w:rFonts w:ascii="宋体" w:hAnsi="宋体" w:cs="宋体" w:eastAsia="宋体" w:hint="default"/>
                <w:sz w:val="15"/>
                <w:szCs w:val="15"/>
              </w:rPr>
            </w:pPr>
            <w:r>
              <w:rPr>
                <w:rFonts w:ascii="宋体" w:hAnsi="宋体" w:cs="宋体" w:eastAsia="宋体" w:hint="default"/>
                <w:spacing w:val="-4"/>
                <w:sz w:val="15"/>
                <w:szCs w:val="15"/>
              </w:rPr>
              <w:t>限届满后，被告未能给</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pacing w:val="-4"/>
                <w:sz w:val="15"/>
                <w:szCs w:val="15"/>
              </w:rPr>
              <w:t>付，公司向法院申请强</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pacing w:val="-4"/>
                <w:sz w:val="15"/>
                <w:szCs w:val="15"/>
              </w:rPr>
              <w:t>制执行，被告偿还欠款</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Arial" w:hAnsi="Arial" w:cs="Arial" w:eastAsia="Arial" w:hint="default"/>
                <w:sz w:val="15"/>
                <w:szCs w:val="15"/>
              </w:rPr>
              <w:t>200 </w:t>
            </w:r>
            <w:r>
              <w:rPr>
                <w:rFonts w:ascii="宋体" w:hAnsi="宋体" w:cs="宋体" w:eastAsia="宋体" w:hint="default"/>
                <w:spacing w:val="-3"/>
                <w:sz w:val="15"/>
                <w:szCs w:val="15"/>
              </w:rPr>
              <w:t>万元，现案件处于</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pacing w:val="-4"/>
                <w:sz w:val="15"/>
                <w:szCs w:val="15"/>
              </w:rPr>
              <w:t>执行中，公司已查封被</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pacing w:val="-4"/>
                <w:sz w:val="15"/>
                <w:szCs w:val="15"/>
              </w:rPr>
              <w:t>执行人房产，并申请法</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pacing w:val="-4"/>
                <w:sz w:val="15"/>
                <w:szCs w:val="15"/>
              </w:rPr>
              <w:t>院评估、拍卖，以偿还</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pacing w:val="-4"/>
                <w:sz w:val="15"/>
                <w:szCs w:val="15"/>
              </w:rPr>
              <w:t>欠款。第一次查房的房</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pacing w:val="-4"/>
                <w:sz w:val="15"/>
                <w:szCs w:val="15"/>
              </w:rPr>
              <w:t>产已两次拍卖流拍，第</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二次查封财产案外人</w:t>
            </w:r>
            <w:r>
              <w:rPr>
                <w:rFonts w:ascii="宋体" w:hAnsi="宋体" w:cs="宋体" w:eastAsia="宋体" w:hint="default"/>
                <w:w w:val="100"/>
                <w:sz w:val="15"/>
                <w:szCs w:val="15"/>
              </w:rPr>
              <w:t> </w:t>
            </w:r>
            <w:r>
              <w:rPr>
                <w:rFonts w:ascii="宋体" w:hAnsi="宋体" w:cs="宋体" w:eastAsia="宋体" w:hint="default"/>
                <w:spacing w:val="-2"/>
                <w:sz w:val="15"/>
                <w:szCs w:val="15"/>
              </w:rPr>
              <w:t>郎亚杰提出执行异议，</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起诉至黑龙江省农垦</w:t>
            </w:r>
          </w:p>
        </w:tc>
      </w:tr>
    </w:tbl>
    <w:p>
      <w:pPr>
        <w:spacing w:line="20" w:lineRule="exact"/>
        <w:ind w:left="10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7.55pt;height:1pt;mso-position-horizontal-relative:char;mso-position-vertical-relative:line" coordorigin="0,0" coordsize="13951,20">
            <v:group style="position:absolute;left:10;top:10;width:608;height:2" coordorigin="10,10" coordsize="608,2">
              <v:shape style="position:absolute;left:10;top:10;width:608;height:2" coordorigin="10,10" coordsize="608,0" path="m10,10l617,10e" filled="false" stroked="true" strokeweight=".95996pt" strokecolor="#41b7ee">
                <v:path arrowok="t"/>
              </v:shape>
            </v:group>
            <v:group style="position:absolute;left:617;top:10;width:58;height:2" coordorigin="617,10" coordsize="58,2">
              <v:shape style="position:absolute;left:617;top:10;width:58;height:2" coordorigin="617,10" coordsize="58,0" path="m617,10l675,10e" filled="false" stroked="true" strokeweight=".95996pt" strokecolor="#41b7ee">
                <v:path arrowok="t"/>
              </v:shape>
            </v:group>
            <v:group style="position:absolute;left:675;top:10;width:588;height:2" coordorigin="675,10" coordsize="588,2">
              <v:shape style="position:absolute;left:675;top:10;width:588;height:2" coordorigin="675,10" coordsize="588,0" path="m675,10l1263,10e" filled="false" stroked="true" strokeweight=".95996pt" strokecolor="#41b7ee">
                <v:path arrowok="t"/>
              </v:shape>
            </v:group>
            <v:group style="position:absolute;left:1263;top:10;width:58;height:2" coordorigin="1263,10" coordsize="58,2">
              <v:shape style="position:absolute;left:1263;top:10;width:58;height:2" coordorigin="1263,10" coordsize="58,0" path="m1263,10l1320,10e" filled="false" stroked="true" strokeweight=".95996pt" strokecolor="#41b7ee">
                <v:path arrowok="t"/>
              </v:shape>
            </v:group>
            <v:group style="position:absolute;left:1320;top:10;width:737;height:2" coordorigin="1320,10" coordsize="737,2">
              <v:shape style="position:absolute;left:1320;top:10;width:737;height:2" coordorigin="1320,10" coordsize="737,0" path="m1320,10l2057,10e" filled="false" stroked="true" strokeweight=".95996pt" strokecolor="#41b7ee">
                <v:path arrowok="t"/>
              </v:shape>
            </v:group>
            <v:group style="position:absolute;left:2057;top:10;width:58;height:2" coordorigin="2057,10" coordsize="58,2">
              <v:shape style="position:absolute;left:2057;top:10;width:58;height:2" coordorigin="2057,10" coordsize="58,0" path="m2057,10l2115,10e" filled="false" stroked="true" strokeweight=".95996pt" strokecolor="#41b7ee">
                <v:path arrowok="t"/>
              </v:shape>
            </v:group>
            <v:group style="position:absolute;left:2115;top:10;width:543;height:2" coordorigin="2115,10" coordsize="543,2">
              <v:shape style="position:absolute;left:2115;top:10;width:543;height:2" coordorigin="2115,10" coordsize="543,0" path="m2115,10l2657,10e" filled="false" stroked="true" strokeweight=".95996pt" strokecolor="#41b7ee">
                <v:path arrowok="t"/>
              </v:shape>
            </v:group>
            <v:group style="position:absolute;left:2657;top:10;width:58;height:2" coordorigin="2657,10" coordsize="58,2">
              <v:shape style="position:absolute;left:2657;top:10;width:58;height:2" coordorigin="2657,10" coordsize="58,0" path="m2657,10l2715,10e" filled="false" stroked="true" strokeweight=".95996pt" strokecolor="#41b7ee">
                <v:path arrowok="t"/>
              </v:shape>
            </v:group>
            <v:group style="position:absolute;left:2715;top:10;width:2216;height:2" coordorigin="2715,10" coordsize="2216,2">
              <v:shape style="position:absolute;left:2715;top:10;width:2216;height:2" coordorigin="2715,10" coordsize="2216,0" path="m2715,10l4930,10e" filled="false" stroked="true" strokeweight=".95996pt" strokecolor="#41b7ee">
                <v:path arrowok="t"/>
              </v:shape>
            </v:group>
            <v:group style="position:absolute;left:4931;top:10;width:58;height:2" coordorigin="4931,10" coordsize="58,2">
              <v:shape style="position:absolute;left:4931;top:10;width:58;height:2" coordorigin="4931,10" coordsize="58,0" path="m4931,10l4988,10e" filled="false" stroked="true" strokeweight=".95996pt" strokecolor="#41b7ee">
                <v:path arrowok="t"/>
              </v:shape>
            </v:group>
            <v:group style="position:absolute;left:4988;top:10;width:1301;height:2" coordorigin="4988,10" coordsize="1301,2">
              <v:shape style="position:absolute;left:4988;top:10;width:1301;height:2" coordorigin="4988,10" coordsize="1301,0" path="m4988,10l6289,10e" filled="false" stroked="true" strokeweight=".95996pt" strokecolor="#41b7ee">
                <v:path arrowok="t"/>
              </v:shape>
            </v:group>
            <v:group style="position:absolute;left:6289;top:10;width:58;height:2" coordorigin="6289,10" coordsize="58,2">
              <v:shape style="position:absolute;left:6289;top:10;width:58;height:2" coordorigin="6289,10" coordsize="58,0" path="m6289,10l6347,10e" filled="false" stroked="true" strokeweight=".95996pt" strokecolor="#41b7ee">
                <v:path arrowok="t"/>
              </v:shape>
            </v:group>
            <v:group style="position:absolute;left:6347;top:10;width:780;height:2" coordorigin="6347,10" coordsize="780,2">
              <v:shape style="position:absolute;left:6347;top:10;width:780;height:2" coordorigin="6347,10" coordsize="780,0" path="m6347,10l7127,10e" filled="false" stroked="true" strokeweight=".95996pt" strokecolor="#41b7ee">
                <v:path arrowok="t"/>
              </v:shape>
            </v:group>
            <v:group style="position:absolute;left:7127;top:10;width:58;height:2" coordorigin="7127,10" coordsize="58,2">
              <v:shape style="position:absolute;left:7127;top:10;width:58;height:2" coordorigin="7127,10" coordsize="58,0" path="m7127,10l7184,10e" filled="false" stroked="true" strokeweight=".95996pt" strokecolor="#41b7ee">
                <v:path arrowok="t"/>
              </v:shape>
            </v:group>
            <v:group style="position:absolute;left:7184;top:10;width:2365;height:2" coordorigin="7184,10" coordsize="2365,2">
              <v:shape style="position:absolute;left:7184;top:10;width:2365;height:2" coordorigin="7184,10" coordsize="2365,0" path="m7184,10l9549,10e" filled="false" stroked="true" strokeweight=".95996pt" strokecolor="#41b7ee">
                <v:path arrowok="t"/>
              </v:shape>
            </v:group>
            <v:group style="position:absolute;left:9549;top:10;width:58;height:2" coordorigin="9549,10" coordsize="58,2">
              <v:shape style="position:absolute;left:9549;top:10;width:58;height:2" coordorigin="9549,10" coordsize="58,0" path="m9549,10l9606,10e" filled="false" stroked="true" strokeweight=".95996pt" strokecolor="#41b7ee">
                <v:path arrowok="t"/>
              </v:shape>
            </v:group>
            <v:group style="position:absolute;left:9606;top:10;width:2802;height:2" coordorigin="9606,10" coordsize="2802,2">
              <v:shape style="position:absolute;left:9606;top:10;width:2802;height:2" coordorigin="9606,10" coordsize="2802,0" path="m9606,10l12407,10e" filled="false" stroked="true" strokeweight=".95996pt" strokecolor="#41b7ee">
                <v:path arrowok="t"/>
              </v:shape>
            </v:group>
            <v:group style="position:absolute;left:12408;top:10;width:58;height:2" coordorigin="12408,10" coordsize="58,2">
              <v:shape style="position:absolute;left:12408;top:10;width:58;height:2" coordorigin="12408,10" coordsize="58,0" path="m12408,10l12465,10e" filled="false" stroked="true" strokeweight=".95996pt" strokecolor="#41b7ee">
                <v:path arrowok="t"/>
              </v:shape>
            </v:group>
            <v:group style="position:absolute;left:12465;top:10;width:1476;height:2" coordorigin="12465,10" coordsize="1476,2">
              <v:shape style="position:absolute;left:12465;top:10;width:1476;height:2" coordorigin="12465,10" coordsize="1476,0" path="m12465,10l13941,10e" filled="false" stroked="true" strokeweight=".95996pt" strokecolor="#41b7ee">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pgSz w:w="16840" w:h="11910" w:orient="landscape"/>
          <w:pgMar w:header="825" w:footer="1195" w:top="1360" w:bottom="1380" w:left="1300" w:right="1360"/>
        </w:sectPr>
      </w:pPr>
    </w:p>
    <w:p>
      <w:pPr>
        <w:spacing w:line="240" w:lineRule="auto" w:before="0"/>
        <w:rPr>
          <w:rFonts w:ascii="Times New Roman" w:hAnsi="Times New Roman" w:cs="Times New Roman" w:eastAsia="Times New Roman" w:hint="default"/>
          <w:sz w:val="20"/>
          <w:szCs w:val="20"/>
        </w:rPr>
      </w:pPr>
      <w:r>
        <w:rPr/>
        <w:pict>
          <v:shape style="position:absolute;margin-left:70.079994pt;margin-top:91.82pt;width:698.05pt;height:422pt;mso-position-horizontal-relative:page;mso-position-vertical-relative:page;z-index:2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12"/>
                    <w:gridCol w:w="646"/>
                    <w:gridCol w:w="794"/>
                    <w:gridCol w:w="600"/>
                    <w:gridCol w:w="2273"/>
                    <w:gridCol w:w="1358"/>
                    <w:gridCol w:w="838"/>
                    <w:gridCol w:w="2422"/>
                    <w:gridCol w:w="2859"/>
                    <w:gridCol w:w="1529"/>
                  </w:tblGrid>
                  <w:tr>
                    <w:trPr>
                      <w:trHeight w:val="4102" w:hRule="exact"/>
                    </w:trPr>
                    <w:tc>
                      <w:tcPr>
                        <w:tcW w:w="612" w:type="dxa"/>
                        <w:tcBorders>
                          <w:top w:val="single" w:sz="8" w:space="0" w:color="41B7EE"/>
                          <w:left w:val="nil" w:sz="6" w:space="0" w:color="auto"/>
                          <w:bottom w:val="single" w:sz="4" w:space="0" w:color="41B7EE"/>
                          <w:right w:val="single" w:sz="4" w:space="0" w:color="41B7EE"/>
                        </w:tcBorders>
                      </w:tcPr>
                      <w:p>
                        <w:pPr/>
                      </w:p>
                    </w:tc>
                    <w:tc>
                      <w:tcPr>
                        <w:tcW w:w="646" w:type="dxa"/>
                        <w:tcBorders>
                          <w:top w:val="single" w:sz="8" w:space="0" w:color="41B7EE"/>
                          <w:left w:val="single" w:sz="4" w:space="0" w:color="41B7EE"/>
                          <w:bottom w:val="single" w:sz="4" w:space="0" w:color="41B7EE"/>
                          <w:right w:val="single" w:sz="4" w:space="0" w:color="41B7EE"/>
                        </w:tcBorders>
                      </w:tcPr>
                      <w:p>
                        <w:pPr/>
                      </w:p>
                    </w:tc>
                    <w:tc>
                      <w:tcPr>
                        <w:tcW w:w="794" w:type="dxa"/>
                        <w:tcBorders>
                          <w:top w:val="single" w:sz="8" w:space="0" w:color="41B7EE"/>
                          <w:left w:val="single" w:sz="4" w:space="0" w:color="41B7EE"/>
                          <w:bottom w:val="single" w:sz="4" w:space="0" w:color="41B7EE"/>
                          <w:right w:val="single" w:sz="4" w:space="0" w:color="41B7EE"/>
                        </w:tcBorders>
                      </w:tcPr>
                      <w:p>
                        <w:pPr/>
                      </w:p>
                    </w:tc>
                    <w:tc>
                      <w:tcPr>
                        <w:tcW w:w="600" w:type="dxa"/>
                        <w:tcBorders>
                          <w:top w:val="single" w:sz="8" w:space="0" w:color="41B7EE"/>
                          <w:left w:val="single" w:sz="4" w:space="0" w:color="41B7EE"/>
                          <w:bottom w:val="single" w:sz="4" w:space="0" w:color="41B7EE"/>
                          <w:right w:val="single" w:sz="4" w:space="0" w:color="41B7EE"/>
                        </w:tcBorders>
                      </w:tcPr>
                      <w:p>
                        <w:pPr/>
                      </w:p>
                    </w:tc>
                    <w:tc>
                      <w:tcPr>
                        <w:tcW w:w="2273" w:type="dxa"/>
                        <w:tcBorders>
                          <w:top w:val="single" w:sz="8" w:space="0" w:color="41B7EE"/>
                          <w:left w:val="single" w:sz="4" w:space="0" w:color="41B7EE"/>
                          <w:bottom w:val="single" w:sz="4" w:space="0" w:color="41B7EE"/>
                          <w:right w:val="single" w:sz="4" w:space="0" w:color="41B7EE"/>
                        </w:tcBorders>
                      </w:tcPr>
                      <w:p>
                        <w:pPr/>
                      </w:p>
                    </w:tc>
                    <w:tc>
                      <w:tcPr>
                        <w:tcW w:w="1358" w:type="dxa"/>
                        <w:tcBorders>
                          <w:top w:val="single" w:sz="8" w:space="0" w:color="41B7EE"/>
                          <w:left w:val="single" w:sz="4" w:space="0" w:color="41B7EE"/>
                          <w:bottom w:val="single" w:sz="4" w:space="0" w:color="41B7EE"/>
                          <w:right w:val="single" w:sz="4" w:space="0" w:color="41B7EE"/>
                        </w:tcBorders>
                      </w:tcPr>
                      <w:p>
                        <w:pPr/>
                      </w:p>
                    </w:tc>
                    <w:tc>
                      <w:tcPr>
                        <w:tcW w:w="838" w:type="dxa"/>
                        <w:tcBorders>
                          <w:top w:val="single" w:sz="8" w:space="0" w:color="41B7EE"/>
                          <w:left w:val="single" w:sz="4" w:space="0" w:color="41B7EE"/>
                          <w:bottom w:val="single" w:sz="4" w:space="0" w:color="41B7EE"/>
                          <w:right w:val="single" w:sz="4" w:space="0" w:color="41B7EE"/>
                        </w:tcBorders>
                      </w:tcPr>
                      <w:p>
                        <w:pPr/>
                      </w:p>
                    </w:tc>
                    <w:tc>
                      <w:tcPr>
                        <w:tcW w:w="2422" w:type="dxa"/>
                        <w:tcBorders>
                          <w:top w:val="single" w:sz="8" w:space="0" w:color="41B7EE"/>
                          <w:left w:val="single" w:sz="4" w:space="0" w:color="41B7EE"/>
                          <w:bottom w:val="single" w:sz="4" w:space="0" w:color="41B7EE"/>
                          <w:right w:val="single" w:sz="4" w:space="0" w:color="41B7EE"/>
                        </w:tcBorders>
                      </w:tcPr>
                      <w:p>
                        <w:pPr/>
                      </w:p>
                    </w:tc>
                    <w:tc>
                      <w:tcPr>
                        <w:tcW w:w="2859" w:type="dxa"/>
                        <w:tcBorders>
                          <w:top w:val="single" w:sz="8" w:space="0" w:color="41B7EE"/>
                          <w:left w:val="single" w:sz="4" w:space="0" w:color="41B7EE"/>
                          <w:bottom w:val="single" w:sz="4" w:space="0" w:color="41B7EE"/>
                          <w:right w:val="single" w:sz="4" w:space="0" w:color="41B7EE"/>
                        </w:tcBorders>
                      </w:tcPr>
                      <w:p>
                        <w:pPr/>
                      </w:p>
                    </w:tc>
                    <w:tc>
                      <w:tcPr>
                        <w:tcW w:w="1529" w:type="dxa"/>
                        <w:tcBorders>
                          <w:top w:val="single" w:sz="8" w:space="0" w:color="41B7EE"/>
                          <w:left w:val="single" w:sz="4" w:space="0" w:color="41B7EE"/>
                          <w:bottom w:val="single" w:sz="4" w:space="0" w:color="41B7EE"/>
                          <w:right w:val="nil" w:sz="6" w:space="0" w:color="auto"/>
                        </w:tcBorders>
                      </w:tcPr>
                      <w:p>
                        <w:pPr>
                          <w:pStyle w:val="TableParagraph"/>
                          <w:spacing w:line="174" w:lineRule="exact"/>
                          <w:ind w:left="21" w:right="0"/>
                          <w:jc w:val="left"/>
                          <w:rPr>
                            <w:rFonts w:ascii="宋体" w:hAnsi="宋体" w:cs="宋体" w:eastAsia="宋体" w:hint="default"/>
                            <w:sz w:val="15"/>
                            <w:szCs w:val="15"/>
                          </w:rPr>
                        </w:pPr>
                        <w:r>
                          <w:rPr>
                            <w:rFonts w:ascii="宋体" w:hAnsi="宋体" w:cs="宋体" w:eastAsia="宋体" w:hint="default"/>
                            <w:spacing w:val="-4"/>
                            <w:sz w:val="15"/>
                            <w:szCs w:val="15"/>
                          </w:rPr>
                          <w:t>中级法院，农垦中级法</w:t>
                        </w:r>
                      </w:p>
                      <w:p>
                        <w:pPr>
                          <w:pStyle w:val="TableParagraph"/>
                          <w:spacing w:line="232" w:lineRule="auto" w:before="4"/>
                          <w:ind w:left="21" w:right="24"/>
                          <w:jc w:val="left"/>
                          <w:rPr>
                            <w:rFonts w:ascii="宋体" w:hAnsi="宋体" w:cs="宋体" w:eastAsia="宋体" w:hint="default"/>
                            <w:sz w:val="15"/>
                            <w:szCs w:val="15"/>
                          </w:rPr>
                        </w:pPr>
                        <w:r>
                          <w:rPr>
                            <w:rFonts w:ascii="宋体" w:hAnsi="宋体" w:cs="宋体" w:eastAsia="宋体" w:hint="default"/>
                            <w:sz w:val="15"/>
                            <w:szCs w:val="15"/>
                          </w:rPr>
                          <w:t>院于</w:t>
                        </w:r>
                        <w:r>
                          <w:rPr>
                            <w:rFonts w:ascii="宋体" w:hAnsi="宋体" w:cs="宋体" w:eastAsia="宋体" w:hint="default"/>
                            <w:spacing w:val="-39"/>
                            <w:sz w:val="15"/>
                            <w:szCs w:val="15"/>
                          </w:rPr>
                          <w:t> </w:t>
                        </w:r>
                        <w:r>
                          <w:rPr>
                            <w:rFonts w:ascii="Arial" w:hAnsi="Arial" w:cs="Arial" w:eastAsia="Arial" w:hint="default"/>
                            <w:sz w:val="15"/>
                            <w:szCs w:val="15"/>
                          </w:rPr>
                          <w:t>2019</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w:hAnsi="Arial" w:cs="Arial" w:eastAsia="Arial" w:hint="default"/>
                            <w:sz w:val="15"/>
                            <w:szCs w:val="15"/>
                          </w:rPr>
                          <w:t>1</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pacing w:val="-3"/>
                            <w:sz w:val="15"/>
                            <w:szCs w:val="15"/>
                          </w:rPr>
                          <w:t>17</w:t>
                        </w:r>
                        <w:r>
                          <w:rPr>
                            <w:rFonts w:ascii="Arial" w:hAnsi="Arial" w:cs="Arial" w:eastAsia="Arial" w:hint="default"/>
                            <w:spacing w:val="-40"/>
                            <w:sz w:val="15"/>
                            <w:szCs w:val="15"/>
                          </w:rPr>
                          <w:t> </w:t>
                        </w:r>
                        <w:r>
                          <w:rPr>
                            <w:rFonts w:ascii="宋体" w:hAnsi="宋体" w:cs="宋体" w:eastAsia="宋体" w:hint="default"/>
                            <w:sz w:val="15"/>
                            <w:szCs w:val="15"/>
                          </w:rPr>
                          <w:t>日开庭审理此案并于</w:t>
                        </w:r>
                        <w:r>
                          <w:rPr>
                            <w:rFonts w:ascii="宋体" w:hAnsi="宋体" w:cs="宋体" w:eastAsia="宋体" w:hint="default"/>
                            <w:w w:val="100"/>
                            <w:sz w:val="15"/>
                            <w:szCs w:val="15"/>
                          </w:rPr>
                          <w:t> </w:t>
                        </w:r>
                        <w:r>
                          <w:rPr>
                            <w:rFonts w:ascii="Arial" w:hAnsi="Arial" w:cs="Arial" w:eastAsia="Arial" w:hint="default"/>
                            <w:sz w:val="15"/>
                            <w:szCs w:val="15"/>
                          </w:rPr>
                          <w:t>2019</w:t>
                        </w:r>
                        <w:r>
                          <w:rPr>
                            <w:rFonts w:ascii="Arial" w:hAnsi="Arial" w:cs="Arial" w:eastAsia="Arial" w:hint="default"/>
                            <w:spacing w:val="-16"/>
                            <w:sz w:val="15"/>
                            <w:szCs w:val="15"/>
                          </w:rPr>
                          <w:t> </w:t>
                        </w:r>
                        <w:r>
                          <w:rPr>
                            <w:rFonts w:ascii="宋体" w:hAnsi="宋体" w:cs="宋体" w:eastAsia="宋体" w:hint="default"/>
                            <w:sz w:val="15"/>
                            <w:szCs w:val="15"/>
                          </w:rPr>
                          <w:t>年</w:t>
                        </w:r>
                        <w:r>
                          <w:rPr>
                            <w:rFonts w:ascii="宋体" w:hAnsi="宋体" w:cs="宋体" w:eastAsia="宋体" w:hint="default"/>
                            <w:spacing w:val="-49"/>
                            <w:sz w:val="15"/>
                            <w:szCs w:val="15"/>
                          </w:rPr>
                          <w:t> </w:t>
                        </w:r>
                        <w:r>
                          <w:rPr>
                            <w:rFonts w:ascii="Arial" w:hAnsi="Arial" w:cs="Arial" w:eastAsia="Arial" w:hint="default"/>
                            <w:sz w:val="15"/>
                            <w:szCs w:val="15"/>
                          </w:rPr>
                          <w:t>1</w:t>
                        </w:r>
                        <w:r>
                          <w:rPr>
                            <w:rFonts w:ascii="Arial" w:hAnsi="Arial" w:cs="Arial" w:eastAsia="Arial" w:hint="default"/>
                            <w:spacing w:val="-13"/>
                            <w:sz w:val="15"/>
                            <w:szCs w:val="15"/>
                          </w:rPr>
                          <w:t> </w:t>
                        </w:r>
                        <w:r>
                          <w:rPr>
                            <w:rFonts w:ascii="宋体" w:hAnsi="宋体" w:cs="宋体" w:eastAsia="宋体" w:hint="default"/>
                            <w:sz w:val="15"/>
                            <w:szCs w:val="15"/>
                          </w:rPr>
                          <w:t>月</w:t>
                        </w:r>
                        <w:r>
                          <w:rPr>
                            <w:rFonts w:ascii="宋体" w:hAnsi="宋体" w:cs="宋体" w:eastAsia="宋体" w:hint="default"/>
                            <w:spacing w:val="-49"/>
                            <w:sz w:val="15"/>
                            <w:szCs w:val="15"/>
                          </w:rPr>
                          <w:t> </w:t>
                        </w:r>
                        <w:r>
                          <w:rPr>
                            <w:rFonts w:ascii="Arial" w:hAnsi="Arial" w:cs="Arial" w:eastAsia="Arial" w:hint="default"/>
                            <w:sz w:val="15"/>
                            <w:szCs w:val="15"/>
                          </w:rPr>
                          <w:t>18</w:t>
                        </w:r>
                        <w:r>
                          <w:rPr>
                            <w:rFonts w:ascii="Arial" w:hAnsi="Arial" w:cs="Arial" w:eastAsia="Arial" w:hint="default"/>
                            <w:spacing w:val="-16"/>
                            <w:sz w:val="15"/>
                            <w:szCs w:val="15"/>
                          </w:rPr>
                          <w:t> </w:t>
                        </w:r>
                        <w:r>
                          <w:rPr>
                            <w:rFonts w:ascii="宋体" w:hAnsi="宋体" w:cs="宋体" w:eastAsia="宋体" w:hint="default"/>
                            <w:sz w:val="15"/>
                            <w:szCs w:val="15"/>
                          </w:rPr>
                          <w:t>日判决</w:t>
                        </w:r>
                        <w:r>
                          <w:rPr>
                            <w:rFonts w:ascii="宋体" w:hAnsi="宋体" w:cs="宋体" w:eastAsia="宋体" w:hint="default"/>
                            <w:w w:val="100"/>
                            <w:sz w:val="15"/>
                            <w:szCs w:val="15"/>
                          </w:rPr>
                          <w:t> </w:t>
                        </w:r>
                        <w:r>
                          <w:rPr>
                            <w:rFonts w:ascii="宋体" w:hAnsi="宋体" w:cs="宋体" w:eastAsia="宋体" w:hint="default"/>
                            <w:sz w:val="15"/>
                            <w:szCs w:val="15"/>
                          </w:rPr>
                          <w:t>如下：</w:t>
                        </w:r>
                        <w:r>
                          <w:rPr>
                            <w:rFonts w:ascii="Arial" w:hAnsi="Arial" w:cs="Arial" w:eastAsia="Arial" w:hint="default"/>
                            <w:sz w:val="15"/>
                            <w:szCs w:val="15"/>
                          </w:rPr>
                          <w:t>1</w:t>
                        </w:r>
                        <w:r>
                          <w:rPr>
                            <w:rFonts w:ascii="宋体" w:hAnsi="宋体" w:cs="宋体" w:eastAsia="宋体" w:hint="default"/>
                            <w:sz w:val="15"/>
                            <w:szCs w:val="15"/>
                          </w:rPr>
                          <w:t>、不得执行肇</w:t>
                        </w:r>
                        <w:r>
                          <w:rPr>
                            <w:rFonts w:ascii="宋体" w:hAnsi="宋体" w:cs="宋体" w:eastAsia="宋体" w:hint="default"/>
                            <w:w w:val="100"/>
                            <w:sz w:val="15"/>
                            <w:szCs w:val="15"/>
                          </w:rPr>
                          <w:t> </w:t>
                        </w:r>
                        <w:r>
                          <w:rPr>
                            <w:rFonts w:ascii="宋体" w:hAnsi="宋体" w:cs="宋体" w:eastAsia="宋体" w:hint="default"/>
                            <w:sz w:val="15"/>
                            <w:szCs w:val="15"/>
                          </w:rPr>
                          <w:t>东正阳公馆小区一号</w:t>
                        </w:r>
                        <w:r>
                          <w:rPr>
                            <w:rFonts w:ascii="宋体" w:hAnsi="宋体" w:cs="宋体" w:eastAsia="宋体" w:hint="default"/>
                            <w:w w:val="100"/>
                            <w:sz w:val="15"/>
                            <w:szCs w:val="15"/>
                          </w:rPr>
                          <w:t> 楼</w:t>
                        </w:r>
                        <w:r>
                          <w:rPr>
                            <w:rFonts w:ascii="宋体" w:hAnsi="宋体" w:cs="宋体" w:eastAsia="宋体" w:hint="default"/>
                            <w:spacing w:val="-49"/>
                            <w:w w:val="100"/>
                            <w:sz w:val="15"/>
                            <w:szCs w:val="15"/>
                          </w:rPr>
                          <w:t> </w:t>
                        </w:r>
                        <w:r>
                          <w:rPr>
                            <w:rFonts w:ascii="Arial" w:hAnsi="Arial" w:cs="Arial" w:eastAsia="Arial" w:hint="default"/>
                            <w:spacing w:val="-1"/>
                            <w:w w:val="100"/>
                            <w:sz w:val="15"/>
                            <w:szCs w:val="15"/>
                          </w:rPr>
                          <w:t>11</w:t>
                        </w:r>
                        <w:r>
                          <w:rPr>
                            <w:rFonts w:ascii="Arial" w:hAnsi="Arial" w:cs="Arial" w:eastAsia="Arial" w:hint="default"/>
                            <w:spacing w:val="-16"/>
                            <w:w w:val="100"/>
                            <w:sz w:val="15"/>
                            <w:szCs w:val="15"/>
                          </w:rPr>
                          <w:t> </w:t>
                        </w:r>
                        <w:r>
                          <w:rPr>
                            <w:rFonts w:ascii="宋体" w:hAnsi="宋体" w:cs="宋体" w:eastAsia="宋体" w:hint="default"/>
                            <w:w w:val="100"/>
                            <w:sz w:val="15"/>
                            <w:szCs w:val="15"/>
                          </w:rPr>
                          <w:t>层</w:t>
                        </w:r>
                        <w:r>
                          <w:rPr>
                            <w:rFonts w:ascii="宋体" w:hAnsi="宋体" w:cs="宋体" w:eastAsia="宋体" w:hint="default"/>
                            <w:spacing w:val="-49"/>
                            <w:w w:val="100"/>
                            <w:sz w:val="15"/>
                            <w:szCs w:val="15"/>
                          </w:rPr>
                          <w:t> </w:t>
                        </w:r>
                        <w:r>
                          <w:rPr>
                            <w:rFonts w:ascii="Arial" w:hAnsi="Arial" w:cs="Arial" w:eastAsia="Arial" w:hint="default"/>
                            <w:spacing w:val="-2"/>
                            <w:w w:val="100"/>
                            <w:sz w:val="15"/>
                            <w:szCs w:val="15"/>
                          </w:rPr>
                          <w:t>1-9</w:t>
                        </w:r>
                        <w:r>
                          <w:rPr>
                            <w:rFonts w:ascii="Arial" w:hAnsi="Arial" w:cs="Arial" w:eastAsia="Arial" w:hint="default"/>
                            <w:spacing w:val="-16"/>
                            <w:w w:val="100"/>
                            <w:sz w:val="15"/>
                            <w:szCs w:val="15"/>
                          </w:rPr>
                          <w:t> </w:t>
                        </w:r>
                        <w:r>
                          <w:rPr>
                            <w:rFonts w:ascii="宋体" w:hAnsi="宋体" w:cs="宋体" w:eastAsia="宋体" w:hint="default"/>
                            <w:spacing w:val="-17"/>
                            <w:w w:val="100"/>
                            <w:sz w:val="15"/>
                            <w:szCs w:val="15"/>
                          </w:rPr>
                          <w:t>门公寓；</w:t>
                        </w:r>
                        <w:r>
                          <w:rPr>
                            <w:rFonts w:ascii="Arial" w:hAnsi="Arial" w:cs="Arial" w:eastAsia="Arial" w:hint="default"/>
                            <w:spacing w:val="-17"/>
                            <w:w w:val="100"/>
                            <w:sz w:val="15"/>
                            <w:szCs w:val="15"/>
                          </w:rPr>
                          <w:t>2</w:t>
                        </w:r>
                        <w:r>
                          <w:rPr>
                            <w:rFonts w:ascii="Arial" w:hAnsi="Arial" w:cs="Arial" w:eastAsia="Arial" w:hint="default"/>
                            <w:spacing w:val="-39"/>
                            <w:w w:val="100"/>
                            <w:sz w:val="15"/>
                            <w:szCs w:val="15"/>
                          </w:rPr>
                          <w:t> </w:t>
                        </w:r>
                        <w:r>
                          <w:rPr>
                            <w:rFonts w:ascii="宋体" w:hAnsi="宋体" w:cs="宋体" w:eastAsia="宋体" w:hint="default"/>
                            <w:sz w:val="15"/>
                            <w:szCs w:val="15"/>
                          </w:rPr>
                          <w:t>驳回郎亚杰的其他诉</w:t>
                        </w:r>
                        <w:r>
                          <w:rPr>
                            <w:rFonts w:ascii="宋体" w:hAnsi="宋体" w:cs="宋体" w:eastAsia="宋体" w:hint="default"/>
                            <w:w w:val="100"/>
                            <w:sz w:val="15"/>
                            <w:szCs w:val="15"/>
                          </w:rPr>
                          <w:t> </w:t>
                        </w:r>
                        <w:r>
                          <w:rPr>
                            <w:rFonts w:ascii="宋体" w:hAnsi="宋体" w:cs="宋体" w:eastAsia="宋体" w:hint="default"/>
                            <w:spacing w:val="-4"/>
                            <w:sz w:val="15"/>
                            <w:szCs w:val="15"/>
                          </w:rPr>
                          <w:t>讼请求。龙业公司不服</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z w:val="15"/>
                            <w:szCs w:val="15"/>
                          </w:rPr>
                          <w:t>案外人异议进行了上</w:t>
                        </w:r>
                        <w:r>
                          <w:rPr>
                            <w:rFonts w:ascii="宋体" w:hAnsi="宋体" w:cs="宋体" w:eastAsia="宋体" w:hint="default"/>
                            <w:w w:val="100"/>
                            <w:sz w:val="15"/>
                            <w:szCs w:val="15"/>
                          </w:rPr>
                          <w:t> </w:t>
                        </w:r>
                        <w:r>
                          <w:rPr>
                            <w:rFonts w:ascii="宋体" w:hAnsi="宋体" w:cs="宋体" w:eastAsia="宋体" w:hint="default"/>
                            <w:spacing w:val="-4"/>
                            <w:sz w:val="15"/>
                            <w:szCs w:val="15"/>
                          </w:rPr>
                          <w:t>诉，黑龙江省高级人民</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z w:val="15"/>
                            <w:szCs w:val="15"/>
                          </w:rPr>
                          <w:t>法院驳回了龙业公司</w:t>
                        </w:r>
                        <w:r>
                          <w:rPr>
                            <w:rFonts w:ascii="宋体" w:hAnsi="宋体" w:cs="宋体" w:eastAsia="宋体" w:hint="default"/>
                            <w:w w:val="100"/>
                            <w:sz w:val="15"/>
                            <w:szCs w:val="15"/>
                          </w:rPr>
                          <w:t> </w:t>
                        </w:r>
                        <w:r>
                          <w:rPr>
                            <w:rFonts w:ascii="宋体" w:hAnsi="宋体" w:cs="宋体" w:eastAsia="宋体" w:hint="default"/>
                            <w:spacing w:val="-4"/>
                            <w:sz w:val="15"/>
                            <w:szCs w:val="15"/>
                          </w:rPr>
                          <w:t>的诉讼请求。北大荒龙</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pacing w:val="-4"/>
                            <w:sz w:val="15"/>
                            <w:szCs w:val="15"/>
                          </w:rPr>
                          <w:t>业拟接收流拍房产。黑</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龙江省农垦中级法院</w:t>
                        </w:r>
                        <w:r>
                          <w:rPr>
                            <w:rFonts w:ascii="宋体" w:hAnsi="宋体" w:cs="宋体" w:eastAsia="宋体" w:hint="default"/>
                            <w:w w:val="100"/>
                            <w:sz w:val="15"/>
                            <w:szCs w:val="15"/>
                          </w:rPr>
                          <w:t> </w:t>
                        </w:r>
                        <w:r>
                          <w:rPr>
                            <w:rFonts w:ascii="宋体" w:hAnsi="宋体" w:cs="宋体" w:eastAsia="宋体" w:hint="default"/>
                            <w:sz w:val="15"/>
                            <w:szCs w:val="15"/>
                          </w:rPr>
                          <w:t>于</w:t>
                        </w:r>
                        <w:r>
                          <w:rPr>
                            <w:rFonts w:ascii="宋体" w:hAnsi="宋体" w:cs="宋体" w:eastAsia="宋体" w:hint="default"/>
                            <w:spacing w:val="-42"/>
                            <w:sz w:val="15"/>
                            <w:szCs w:val="15"/>
                          </w:rPr>
                          <w:t> </w:t>
                        </w:r>
                        <w:r>
                          <w:rPr>
                            <w:rFonts w:ascii="Arial" w:hAnsi="Arial" w:cs="Arial" w:eastAsia="Arial" w:hint="default"/>
                            <w:sz w:val="15"/>
                            <w:szCs w:val="15"/>
                          </w:rPr>
                          <w:t>2019</w:t>
                        </w:r>
                        <w:r>
                          <w:rPr>
                            <w:rFonts w:ascii="Arial" w:hAnsi="Arial" w:cs="Arial" w:eastAsia="Arial" w:hint="default"/>
                            <w:spacing w:val="-9"/>
                            <w:sz w:val="15"/>
                            <w:szCs w:val="15"/>
                          </w:rPr>
                          <w:t> </w:t>
                        </w:r>
                        <w:r>
                          <w:rPr>
                            <w:rFonts w:ascii="宋体" w:hAnsi="宋体" w:cs="宋体" w:eastAsia="宋体" w:hint="default"/>
                            <w:sz w:val="15"/>
                            <w:szCs w:val="15"/>
                          </w:rPr>
                          <w:t>年</w:t>
                        </w:r>
                        <w:r>
                          <w:rPr>
                            <w:rFonts w:ascii="宋体" w:hAnsi="宋体" w:cs="宋体" w:eastAsia="宋体" w:hint="default"/>
                            <w:spacing w:val="-42"/>
                            <w:sz w:val="15"/>
                            <w:szCs w:val="15"/>
                          </w:rPr>
                          <w:t> </w:t>
                        </w:r>
                        <w:r>
                          <w:rPr>
                            <w:rFonts w:ascii="Arial" w:hAnsi="Arial" w:cs="Arial" w:eastAsia="Arial" w:hint="default"/>
                            <w:sz w:val="15"/>
                            <w:szCs w:val="15"/>
                          </w:rPr>
                          <w:t>10</w:t>
                        </w:r>
                        <w:r>
                          <w:rPr>
                            <w:rFonts w:ascii="Arial" w:hAnsi="Arial" w:cs="Arial" w:eastAsia="Arial" w:hint="default"/>
                            <w:spacing w:val="-9"/>
                            <w:sz w:val="15"/>
                            <w:szCs w:val="15"/>
                          </w:rPr>
                          <w:t> </w:t>
                        </w:r>
                        <w:r>
                          <w:rPr>
                            <w:rFonts w:ascii="宋体" w:hAnsi="宋体" w:cs="宋体" w:eastAsia="宋体" w:hint="default"/>
                            <w:sz w:val="15"/>
                            <w:szCs w:val="15"/>
                          </w:rPr>
                          <w:t>月</w:t>
                        </w:r>
                        <w:r>
                          <w:rPr>
                            <w:rFonts w:ascii="宋体" w:hAnsi="宋体" w:cs="宋体" w:eastAsia="宋体" w:hint="default"/>
                            <w:spacing w:val="-42"/>
                            <w:sz w:val="15"/>
                            <w:szCs w:val="15"/>
                          </w:rPr>
                          <w:t> </w:t>
                        </w:r>
                        <w:r>
                          <w:rPr>
                            <w:rFonts w:ascii="Arial" w:hAnsi="Arial" w:cs="Arial" w:eastAsia="Arial" w:hint="default"/>
                            <w:sz w:val="15"/>
                            <w:szCs w:val="15"/>
                          </w:rPr>
                          <w:t>12</w:t>
                        </w:r>
                        <w:r>
                          <w:rPr>
                            <w:rFonts w:ascii="Arial" w:hAnsi="Arial" w:cs="Arial" w:eastAsia="Arial" w:hint="default"/>
                            <w:spacing w:val="-11"/>
                            <w:sz w:val="15"/>
                            <w:szCs w:val="15"/>
                          </w:rPr>
                          <w:t> </w:t>
                        </w:r>
                        <w:r>
                          <w:rPr>
                            <w:rFonts w:ascii="宋体" w:hAnsi="宋体" w:cs="宋体" w:eastAsia="宋体" w:hint="default"/>
                            <w:sz w:val="15"/>
                            <w:szCs w:val="15"/>
                          </w:rPr>
                          <w:t>日</w:t>
                        </w:r>
                        <w:r>
                          <w:rPr>
                            <w:rFonts w:ascii="宋体" w:hAnsi="宋体" w:cs="宋体" w:eastAsia="宋体" w:hint="default"/>
                            <w:w w:val="100"/>
                            <w:sz w:val="15"/>
                            <w:szCs w:val="15"/>
                          </w:rPr>
                          <w:t> </w:t>
                        </w:r>
                        <w:r>
                          <w:rPr>
                            <w:rFonts w:ascii="宋体" w:hAnsi="宋体" w:cs="宋体" w:eastAsia="宋体" w:hint="default"/>
                            <w:spacing w:val="-7"/>
                            <w:sz w:val="15"/>
                            <w:szCs w:val="15"/>
                          </w:rPr>
                          <w:t>下达〔</w:t>
                        </w:r>
                        <w:r>
                          <w:rPr>
                            <w:rFonts w:ascii="Arial" w:hAnsi="Arial" w:cs="Arial" w:eastAsia="Arial" w:hint="default"/>
                            <w:spacing w:val="-7"/>
                            <w:sz w:val="15"/>
                            <w:szCs w:val="15"/>
                          </w:rPr>
                          <w:t>2013</w:t>
                        </w:r>
                        <w:r>
                          <w:rPr>
                            <w:rFonts w:ascii="宋体" w:hAnsi="宋体" w:cs="宋体" w:eastAsia="宋体" w:hint="default"/>
                            <w:spacing w:val="-7"/>
                            <w:sz w:val="15"/>
                            <w:szCs w:val="15"/>
                          </w:rPr>
                          <w:t>〕垦执字第</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Arial" w:hAnsi="Arial" w:cs="Arial" w:eastAsia="Arial" w:hint="default"/>
                            <w:sz w:val="15"/>
                            <w:szCs w:val="15"/>
                          </w:rPr>
                          <w:t>24-10</w:t>
                        </w:r>
                        <w:r>
                          <w:rPr>
                            <w:rFonts w:ascii="Arial" w:hAnsi="Arial" w:cs="Arial" w:eastAsia="Arial" w:hint="default"/>
                            <w:spacing w:val="-7"/>
                            <w:sz w:val="15"/>
                            <w:szCs w:val="15"/>
                          </w:rPr>
                          <w:t> </w:t>
                        </w:r>
                        <w:r>
                          <w:rPr>
                            <w:rFonts w:ascii="宋体" w:hAnsi="宋体" w:cs="宋体" w:eastAsia="宋体" w:hint="default"/>
                            <w:sz w:val="15"/>
                            <w:szCs w:val="15"/>
                          </w:rPr>
                          <w:t>号执行裁定书将</w:t>
                        </w:r>
                      </w:p>
                      <w:p>
                        <w:pPr>
                          <w:pStyle w:val="TableParagraph"/>
                          <w:spacing w:line="194" w:lineRule="exact" w:before="8"/>
                          <w:ind w:left="21" w:right="24"/>
                          <w:jc w:val="left"/>
                          <w:rPr>
                            <w:rFonts w:ascii="宋体" w:hAnsi="宋体" w:cs="宋体" w:eastAsia="宋体" w:hint="default"/>
                            <w:sz w:val="15"/>
                            <w:szCs w:val="15"/>
                          </w:rPr>
                        </w:pPr>
                        <w:r>
                          <w:rPr>
                            <w:rFonts w:ascii="宋体" w:hAnsi="宋体" w:cs="宋体" w:eastAsia="宋体" w:hint="default"/>
                            <w:sz w:val="15"/>
                            <w:szCs w:val="15"/>
                          </w:rPr>
                          <w:t>中信伟业</w:t>
                        </w:r>
                        <w:r>
                          <w:rPr>
                            <w:rFonts w:ascii="宋体" w:hAnsi="宋体" w:cs="宋体" w:eastAsia="宋体" w:hint="default"/>
                            <w:spacing w:val="-55"/>
                            <w:sz w:val="15"/>
                            <w:szCs w:val="15"/>
                          </w:rPr>
                          <w:t> </w:t>
                        </w:r>
                        <w:r>
                          <w:rPr>
                            <w:rFonts w:ascii="Arial" w:hAnsi="Arial" w:cs="Arial" w:eastAsia="Arial" w:hint="default"/>
                            <w:sz w:val="15"/>
                            <w:szCs w:val="15"/>
                          </w:rPr>
                          <w:t>4</w:t>
                        </w:r>
                        <w:r>
                          <w:rPr>
                            <w:rFonts w:ascii="Arial" w:hAnsi="Arial" w:cs="Arial" w:eastAsia="Arial" w:hint="default"/>
                            <w:spacing w:val="-23"/>
                            <w:sz w:val="15"/>
                            <w:szCs w:val="15"/>
                          </w:rPr>
                          <w:t> </w:t>
                        </w:r>
                        <w:r>
                          <w:rPr>
                            <w:rFonts w:ascii="宋体" w:hAnsi="宋体" w:cs="宋体" w:eastAsia="宋体" w:hint="default"/>
                            <w:sz w:val="15"/>
                            <w:szCs w:val="15"/>
                          </w:rPr>
                          <w:t>套房产交付</w:t>
                        </w:r>
                        <w:r>
                          <w:rPr>
                            <w:rFonts w:ascii="宋体" w:hAnsi="宋体" w:cs="宋体" w:eastAsia="宋体" w:hint="default"/>
                            <w:w w:val="100"/>
                            <w:sz w:val="15"/>
                            <w:szCs w:val="15"/>
                          </w:rPr>
                          <w:t> </w:t>
                        </w:r>
                        <w:r>
                          <w:rPr>
                            <w:rFonts w:ascii="宋体" w:hAnsi="宋体" w:cs="宋体" w:eastAsia="宋体" w:hint="default"/>
                            <w:sz w:val="15"/>
                            <w:szCs w:val="15"/>
                          </w:rPr>
                          <w:t>龙业公司冲抵案件执</w:t>
                        </w:r>
                        <w:r>
                          <w:rPr>
                            <w:rFonts w:ascii="宋体" w:hAnsi="宋体" w:cs="宋体" w:eastAsia="宋体" w:hint="default"/>
                            <w:w w:val="100"/>
                            <w:sz w:val="15"/>
                            <w:szCs w:val="15"/>
                          </w:rPr>
                          <w:t> </w:t>
                        </w:r>
                        <w:r>
                          <w:rPr>
                            <w:rFonts w:ascii="宋体" w:hAnsi="宋体" w:cs="宋体" w:eastAsia="宋体" w:hint="default"/>
                            <w:sz w:val="15"/>
                            <w:szCs w:val="15"/>
                          </w:rPr>
                          <w:t>行标的</w:t>
                        </w:r>
                        <w:r>
                          <w:rPr>
                            <w:rFonts w:ascii="宋体" w:hAnsi="宋体" w:cs="宋体" w:eastAsia="宋体" w:hint="default"/>
                            <w:spacing w:val="-38"/>
                            <w:sz w:val="15"/>
                            <w:szCs w:val="15"/>
                          </w:rPr>
                          <w:t> </w:t>
                        </w:r>
                        <w:r>
                          <w:rPr>
                            <w:rFonts w:ascii="Arial" w:hAnsi="Arial" w:cs="Arial" w:eastAsia="Arial" w:hint="default"/>
                            <w:sz w:val="15"/>
                            <w:szCs w:val="15"/>
                          </w:rPr>
                          <w:t>412.27</w:t>
                        </w:r>
                        <w:r>
                          <w:rPr>
                            <w:rFonts w:ascii="Arial" w:hAnsi="Arial" w:cs="Arial" w:eastAsia="Arial" w:hint="default"/>
                            <w:spacing w:val="-7"/>
                            <w:sz w:val="15"/>
                            <w:szCs w:val="15"/>
                          </w:rPr>
                          <w:t> </w:t>
                        </w:r>
                        <w:r>
                          <w:rPr>
                            <w:rFonts w:ascii="宋体" w:hAnsi="宋体" w:cs="宋体" w:eastAsia="宋体" w:hint="default"/>
                            <w:sz w:val="15"/>
                            <w:szCs w:val="15"/>
                          </w:rPr>
                          <w:t>万元。</w:t>
                        </w:r>
                      </w:p>
                    </w:tc>
                  </w:tr>
                  <w:tr>
                    <w:trPr>
                      <w:trHeight w:val="2345" w:hRule="exact"/>
                    </w:trPr>
                    <w:tc>
                      <w:tcPr>
                        <w:tcW w:w="612" w:type="dxa"/>
                        <w:tcBorders>
                          <w:top w:val="single" w:sz="4" w:space="0" w:color="41B7EE"/>
                          <w:left w:val="nil" w:sz="6" w:space="0" w:color="auto"/>
                          <w:bottom w:val="single" w:sz="4" w:space="0" w:color="41B7EE"/>
                          <w:right w:val="single" w:sz="4" w:space="0" w:color="41B7EE"/>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8" w:right="123"/>
                          <w:jc w:val="both"/>
                          <w:rPr>
                            <w:rFonts w:ascii="宋体" w:hAnsi="宋体" w:cs="宋体" w:eastAsia="宋体" w:hint="default"/>
                            <w:sz w:val="15"/>
                            <w:szCs w:val="15"/>
                          </w:rPr>
                        </w:pPr>
                        <w:r>
                          <w:rPr>
                            <w:rFonts w:ascii="宋体" w:hAnsi="宋体" w:cs="宋体" w:eastAsia="宋体" w:hint="default"/>
                            <w:sz w:val="15"/>
                            <w:szCs w:val="15"/>
                          </w:rPr>
                          <w:t>秦皇岛</w:t>
                        </w:r>
                        <w:r>
                          <w:rPr>
                            <w:rFonts w:ascii="宋体" w:hAnsi="宋体" w:cs="宋体" w:eastAsia="宋体" w:hint="default"/>
                            <w:spacing w:val="-72"/>
                            <w:sz w:val="15"/>
                            <w:szCs w:val="15"/>
                          </w:rPr>
                          <w:t> </w:t>
                        </w:r>
                        <w:r>
                          <w:rPr>
                            <w:rFonts w:ascii="宋体" w:hAnsi="宋体" w:cs="宋体" w:eastAsia="宋体" w:hint="default"/>
                            <w:sz w:val="15"/>
                            <w:szCs w:val="15"/>
                          </w:rPr>
                          <w:t>北大荒</w:t>
                        </w:r>
                        <w:r>
                          <w:rPr>
                            <w:rFonts w:ascii="宋体" w:hAnsi="宋体" w:cs="宋体" w:eastAsia="宋体" w:hint="default"/>
                            <w:spacing w:val="-72"/>
                            <w:sz w:val="15"/>
                            <w:szCs w:val="15"/>
                          </w:rPr>
                          <w:t> </w:t>
                        </w:r>
                        <w:r>
                          <w:rPr>
                            <w:rFonts w:ascii="宋体" w:hAnsi="宋体" w:cs="宋体" w:eastAsia="宋体" w:hint="default"/>
                            <w:sz w:val="15"/>
                            <w:szCs w:val="15"/>
                          </w:rPr>
                          <w:t>龙业房</w:t>
                        </w:r>
                        <w:r>
                          <w:rPr>
                            <w:rFonts w:ascii="宋体" w:hAnsi="宋体" w:cs="宋体" w:eastAsia="宋体" w:hint="default"/>
                            <w:spacing w:val="-72"/>
                            <w:sz w:val="15"/>
                            <w:szCs w:val="15"/>
                          </w:rPr>
                          <w:t> </w:t>
                        </w:r>
                        <w:r>
                          <w:rPr>
                            <w:rFonts w:ascii="宋体" w:hAnsi="宋体" w:cs="宋体" w:eastAsia="宋体" w:hint="default"/>
                            <w:sz w:val="15"/>
                            <w:szCs w:val="15"/>
                          </w:rPr>
                          <w:t>地产开</w:t>
                        </w:r>
                        <w:r>
                          <w:rPr>
                            <w:rFonts w:ascii="宋体" w:hAnsi="宋体" w:cs="宋体" w:eastAsia="宋体" w:hint="default"/>
                            <w:spacing w:val="-72"/>
                            <w:sz w:val="15"/>
                            <w:szCs w:val="15"/>
                          </w:rPr>
                          <w:t> </w:t>
                        </w:r>
                        <w:r>
                          <w:rPr>
                            <w:rFonts w:ascii="宋体" w:hAnsi="宋体" w:cs="宋体" w:eastAsia="宋体" w:hint="default"/>
                            <w:sz w:val="15"/>
                            <w:szCs w:val="15"/>
                          </w:rPr>
                          <w:t>发有限</w:t>
                        </w:r>
                        <w:r>
                          <w:rPr>
                            <w:rFonts w:ascii="宋体" w:hAnsi="宋体" w:cs="宋体" w:eastAsia="宋体" w:hint="default"/>
                            <w:spacing w:val="-72"/>
                            <w:sz w:val="15"/>
                            <w:szCs w:val="15"/>
                          </w:rPr>
                          <w:t> </w:t>
                        </w:r>
                        <w:r>
                          <w:rPr>
                            <w:rFonts w:ascii="宋体" w:hAnsi="宋体" w:cs="宋体" w:eastAsia="宋体" w:hint="default"/>
                            <w:sz w:val="15"/>
                            <w:szCs w:val="15"/>
                          </w:rPr>
                          <w:t>公司</w:t>
                        </w:r>
                      </w:p>
                    </w:tc>
                    <w:tc>
                      <w:tcPr>
                        <w:tcW w:w="64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21" w:right="158"/>
                          <w:jc w:val="both"/>
                          <w:rPr>
                            <w:rFonts w:ascii="宋体" w:hAnsi="宋体" w:cs="宋体" w:eastAsia="宋体" w:hint="default"/>
                            <w:sz w:val="15"/>
                            <w:szCs w:val="15"/>
                          </w:rPr>
                        </w:pPr>
                        <w:r>
                          <w:rPr>
                            <w:rFonts w:ascii="宋体" w:hAnsi="宋体" w:cs="宋体" w:eastAsia="宋体" w:hint="default"/>
                            <w:sz w:val="15"/>
                            <w:szCs w:val="15"/>
                          </w:rPr>
                          <w:t>哈尔滨</w:t>
                        </w:r>
                        <w:r>
                          <w:rPr>
                            <w:rFonts w:ascii="宋体" w:hAnsi="宋体" w:cs="宋体" w:eastAsia="宋体" w:hint="default"/>
                            <w:spacing w:val="-72"/>
                            <w:sz w:val="15"/>
                            <w:szCs w:val="15"/>
                          </w:rPr>
                          <w:t> </w:t>
                        </w:r>
                        <w:r>
                          <w:rPr>
                            <w:rFonts w:ascii="宋体" w:hAnsi="宋体" w:cs="宋体" w:eastAsia="宋体" w:hint="default"/>
                            <w:sz w:val="15"/>
                            <w:szCs w:val="15"/>
                          </w:rPr>
                          <w:t>中青房</w:t>
                        </w:r>
                        <w:r>
                          <w:rPr>
                            <w:rFonts w:ascii="宋体" w:hAnsi="宋体" w:cs="宋体" w:eastAsia="宋体" w:hint="default"/>
                            <w:spacing w:val="-72"/>
                            <w:sz w:val="15"/>
                            <w:szCs w:val="15"/>
                          </w:rPr>
                          <w:t> </w:t>
                        </w:r>
                        <w:r>
                          <w:rPr>
                            <w:rFonts w:ascii="宋体" w:hAnsi="宋体" w:cs="宋体" w:eastAsia="宋体" w:hint="default"/>
                            <w:sz w:val="15"/>
                            <w:szCs w:val="15"/>
                          </w:rPr>
                          <w:t>地产开</w:t>
                        </w:r>
                        <w:r>
                          <w:rPr>
                            <w:rFonts w:ascii="宋体" w:hAnsi="宋体" w:cs="宋体" w:eastAsia="宋体" w:hint="default"/>
                            <w:spacing w:val="-72"/>
                            <w:sz w:val="15"/>
                            <w:szCs w:val="15"/>
                          </w:rPr>
                          <w:t> </w:t>
                        </w:r>
                        <w:r>
                          <w:rPr>
                            <w:rFonts w:ascii="宋体" w:hAnsi="宋体" w:cs="宋体" w:eastAsia="宋体" w:hint="default"/>
                            <w:sz w:val="15"/>
                            <w:szCs w:val="15"/>
                          </w:rPr>
                          <w:t>发有限</w:t>
                        </w:r>
                        <w:r>
                          <w:rPr>
                            <w:rFonts w:ascii="宋体" w:hAnsi="宋体" w:cs="宋体" w:eastAsia="宋体" w:hint="default"/>
                            <w:spacing w:val="-72"/>
                            <w:sz w:val="15"/>
                            <w:szCs w:val="15"/>
                          </w:rPr>
                          <w:t> </w:t>
                        </w:r>
                        <w:r>
                          <w:rPr>
                            <w:rFonts w:ascii="宋体" w:hAnsi="宋体" w:cs="宋体" w:eastAsia="宋体" w:hint="default"/>
                            <w:sz w:val="15"/>
                            <w:szCs w:val="15"/>
                          </w:rPr>
                          <w:t>公司</w:t>
                        </w:r>
                      </w:p>
                    </w:tc>
                    <w:tc>
                      <w:tcPr>
                        <w:tcW w:w="794" w:type="dxa"/>
                        <w:tcBorders>
                          <w:top w:val="single" w:sz="4" w:space="0" w:color="41B7EE"/>
                          <w:left w:val="single" w:sz="4" w:space="0" w:color="41B7EE"/>
                          <w:bottom w:val="single" w:sz="4" w:space="0" w:color="41B7EE"/>
                          <w:right w:val="single" w:sz="4" w:space="0" w:color="41B7EE"/>
                        </w:tcBorders>
                      </w:tcPr>
                      <w:p>
                        <w:pPr/>
                      </w:p>
                    </w:tc>
                    <w:tc>
                      <w:tcPr>
                        <w:tcW w:w="60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诉讼</w:t>
                        </w:r>
                      </w:p>
                    </w:tc>
                    <w:tc>
                      <w:tcPr>
                        <w:tcW w:w="227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01" w:lineRule="exact" w:before="126"/>
                          <w:ind w:left="23" w:right="0"/>
                          <w:jc w:val="left"/>
                          <w:rPr>
                            <w:rFonts w:ascii="宋体" w:hAnsi="宋体" w:cs="宋体" w:eastAsia="宋体" w:hint="default"/>
                            <w:sz w:val="15"/>
                            <w:szCs w:val="15"/>
                          </w:rPr>
                        </w:pPr>
                        <w:r>
                          <w:rPr>
                            <w:rFonts w:ascii="Arial" w:hAnsi="Arial" w:cs="Arial" w:eastAsia="Arial" w:hint="default"/>
                            <w:sz w:val="15"/>
                            <w:szCs w:val="15"/>
                          </w:rPr>
                          <w:t>2011</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Arial" w:hAnsi="Arial" w:cs="Arial" w:eastAsia="Arial" w:hint="default"/>
                            <w:sz w:val="15"/>
                            <w:szCs w:val="15"/>
                          </w:rPr>
                          <w:t>8</w:t>
                        </w:r>
                        <w:r>
                          <w:rPr>
                            <w:rFonts w:ascii="Arial" w:hAnsi="Arial" w:cs="Arial" w:eastAsia="Arial" w:hint="default"/>
                            <w:spacing w:val="-5"/>
                            <w:sz w:val="15"/>
                            <w:szCs w:val="15"/>
                          </w:rPr>
                          <w:t> </w:t>
                        </w:r>
                        <w:r>
                          <w:rPr>
                            <w:rFonts w:ascii="宋体" w:hAnsi="宋体" w:cs="宋体" w:eastAsia="宋体" w:hint="default"/>
                            <w:sz w:val="15"/>
                            <w:szCs w:val="15"/>
                          </w:rPr>
                          <w:t>月，原告向被告提供借</w:t>
                        </w:r>
                      </w:p>
                      <w:p>
                        <w:pPr>
                          <w:pStyle w:val="TableParagraph"/>
                          <w:spacing w:line="194" w:lineRule="exact"/>
                          <w:ind w:left="23" w:right="0"/>
                          <w:jc w:val="left"/>
                          <w:rPr>
                            <w:rFonts w:ascii="宋体" w:hAnsi="宋体" w:cs="宋体" w:eastAsia="宋体" w:hint="default"/>
                            <w:sz w:val="15"/>
                            <w:szCs w:val="15"/>
                          </w:rPr>
                        </w:pPr>
                        <w:r>
                          <w:rPr>
                            <w:rFonts w:ascii="宋体" w:hAnsi="宋体" w:cs="宋体" w:eastAsia="宋体" w:hint="default"/>
                            <w:sz w:val="15"/>
                            <w:szCs w:val="15"/>
                          </w:rPr>
                          <w:t>款</w:t>
                        </w:r>
                        <w:r>
                          <w:rPr>
                            <w:rFonts w:ascii="宋体" w:hAnsi="宋体" w:cs="宋体" w:eastAsia="宋体" w:hint="default"/>
                            <w:spacing w:val="-38"/>
                            <w:sz w:val="15"/>
                            <w:szCs w:val="15"/>
                          </w:rPr>
                          <w:t> </w:t>
                        </w:r>
                        <w:r>
                          <w:rPr>
                            <w:rFonts w:ascii="Arial" w:hAnsi="Arial" w:cs="Arial" w:eastAsia="Arial" w:hint="default"/>
                            <w:sz w:val="15"/>
                            <w:szCs w:val="15"/>
                          </w:rPr>
                          <w:t>5000</w:t>
                        </w:r>
                        <w:r>
                          <w:rPr>
                            <w:rFonts w:ascii="Arial" w:hAnsi="Arial" w:cs="Arial" w:eastAsia="Arial" w:hint="default"/>
                            <w:spacing w:val="-7"/>
                            <w:sz w:val="15"/>
                            <w:szCs w:val="15"/>
                          </w:rPr>
                          <w:t> </w:t>
                        </w:r>
                        <w:r>
                          <w:rPr>
                            <w:rFonts w:ascii="宋体" w:hAnsi="宋体" w:cs="宋体" w:eastAsia="宋体" w:hint="default"/>
                            <w:sz w:val="15"/>
                            <w:szCs w:val="15"/>
                          </w:rPr>
                          <w:t>万元。期限届满后，被告</w:t>
                        </w:r>
                      </w:p>
                      <w:p>
                        <w:pPr>
                          <w:pStyle w:val="TableParagraph"/>
                          <w:spacing w:line="194" w:lineRule="exact" w:before="13"/>
                          <w:ind w:left="23" w:right="27"/>
                          <w:jc w:val="left"/>
                          <w:rPr>
                            <w:rFonts w:ascii="宋体" w:hAnsi="宋体" w:cs="宋体" w:eastAsia="宋体" w:hint="default"/>
                            <w:sz w:val="15"/>
                            <w:szCs w:val="15"/>
                          </w:rPr>
                        </w:pPr>
                        <w:r>
                          <w:rPr>
                            <w:rFonts w:ascii="宋体" w:hAnsi="宋体" w:cs="宋体" w:eastAsia="宋体" w:hint="default"/>
                            <w:sz w:val="15"/>
                            <w:szCs w:val="15"/>
                          </w:rPr>
                          <w:t>仅偿还</w:t>
                        </w:r>
                        <w:r>
                          <w:rPr>
                            <w:rFonts w:ascii="宋体" w:hAnsi="宋体" w:cs="宋体" w:eastAsia="宋体" w:hint="default"/>
                            <w:spacing w:val="-38"/>
                            <w:sz w:val="15"/>
                            <w:szCs w:val="15"/>
                          </w:rPr>
                          <w:t> </w:t>
                        </w:r>
                        <w:r>
                          <w:rPr>
                            <w:rFonts w:ascii="Arial" w:hAnsi="Arial" w:cs="Arial" w:eastAsia="Arial" w:hint="default"/>
                            <w:sz w:val="15"/>
                            <w:szCs w:val="15"/>
                          </w:rPr>
                          <w:t>1500</w:t>
                        </w:r>
                        <w:r>
                          <w:rPr>
                            <w:rFonts w:ascii="Arial" w:hAnsi="Arial" w:cs="Arial" w:eastAsia="Arial" w:hint="default"/>
                            <w:spacing w:val="-7"/>
                            <w:sz w:val="15"/>
                            <w:szCs w:val="15"/>
                          </w:rPr>
                          <w:t> </w:t>
                        </w:r>
                        <w:r>
                          <w:rPr>
                            <w:rFonts w:ascii="宋体" w:hAnsi="宋体" w:cs="宋体" w:eastAsia="宋体" w:hint="default"/>
                            <w:sz w:val="15"/>
                            <w:szCs w:val="15"/>
                          </w:rPr>
                          <w:t>万元，故原告提起诉</w:t>
                        </w:r>
                        <w:r>
                          <w:rPr>
                            <w:rFonts w:ascii="宋体" w:hAnsi="宋体" w:cs="宋体" w:eastAsia="宋体" w:hint="default"/>
                            <w:w w:val="100"/>
                            <w:sz w:val="15"/>
                            <w:szCs w:val="15"/>
                          </w:rPr>
                          <w:t> </w:t>
                        </w:r>
                        <w:r>
                          <w:rPr>
                            <w:rFonts w:ascii="宋体" w:hAnsi="宋体" w:cs="宋体" w:eastAsia="宋体" w:hint="default"/>
                            <w:sz w:val="15"/>
                            <w:szCs w:val="15"/>
                          </w:rPr>
                          <w:t>讼。</w:t>
                        </w:r>
                      </w:p>
                    </w:tc>
                    <w:tc>
                      <w:tcPr>
                        <w:tcW w:w="135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5"/>
                            <w:szCs w:val="15"/>
                          </w:rPr>
                        </w:pPr>
                        <w:r>
                          <w:rPr>
                            <w:rFonts w:ascii="Arial"/>
                            <w:spacing w:val="-1"/>
                            <w:sz w:val="15"/>
                          </w:rPr>
                          <w:t>35,000,000</w:t>
                        </w:r>
                      </w:p>
                    </w:tc>
                    <w:tc>
                      <w:tcPr>
                        <w:tcW w:w="838" w:type="dxa"/>
                        <w:tcBorders>
                          <w:top w:val="single" w:sz="4" w:space="0" w:color="41B7EE"/>
                          <w:left w:val="single" w:sz="4" w:space="0" w:color="41B7EE"/>
                          <w:bottom w:val="single" w:sz="4" w:space="0" w:color="41B7EE"/>
                          <w:right w:val="single" w:sz="4" w:space="0" w:color="41B7EE"/>
                        </w:tcBorders>
                      </w:tcPr>
                      <w:p>
                        <w:pPr/>
                      </w:p>
                    </w:tc>
                    <w:tc>
                      <w:tcPr>
                        <w:tcW w:w="2422" w:type="dxa"/>
                        <w:tcBorders>
                          <w:top w:val="single" w:sz="4" w:space="0" w:color="41B7EE"/>
                          <w:left w:val="single" w:sz="4" w:space="0" w:color="41B7EE"/>
                          <w:bottom w:val="single" w:sz="4" w:space="0" w:color="41B7EE"/>
                          <w:right w:val="single" w:sz="4" w:space="0" w:color="41B7EE"/>
                        </w:tcBorders>
                      </w:tcPr>
                      <w:p>
                        <w:pPr>
                          <w:pStyle w:val="TableParagraph"/>
                          <w:spacing w:line="177" w:lineRule="exact"/>
                          <w:ind w:left="23" w:right="0"/>
                          <w:jc w:val="left"/>
                          <w:rPr>
                            <w:rFonts w:ascii="宋体" w:hAnsi="宋体" w:cs="宋体" w:eastAsia="宋体" w:hint="default"/>
                            <w:sz w:val="15"/>
                            <w:szCs w:val="15"/>
                          </w:rPr>
                        </w:pPr>
                        <w:r>
                          <w:rPr>
                            <w:rFonts w:ascii="宋体" w:hAnsi="宋体" w:cs="宋体" w:eastAsia="宋体" w:hint="default"/>
                            <w:sz w:val="15"/>
                            <w:szCs w:val="15"/>
                          </w:rPr>
                          <w:t>哈尔滨市中院经开庭审理于</w:t>
                        </w:r>
                        <w:r>
                          <w:rPr>
                            <w:rFonts w:ascii="宋体" w:hAnsi="宋体" w:cs="宋体" w:eastAsia="宋体" w:hint="default"/>
                            <w:spacing w:val="-39"/>
                            <w:sz w:val="15"/>
                            <w:szCs w:val="15"/>
                          </w:rPr>
                          <w:t> </w:t>
                        </w:r>
                        <w:r>
                          <w:rPr>
                            <w:rFonts w:ascii="Arial" w:hAnsi="Arial" w:cs="Arial" w:eastAsia="Arial" w:hint="default"/>
                            <w:sz w:val="15"/>
                            <w:szCs w:val="15"/>
                          </w:rPr>
                          <w:t>2014</w:t>
                        </w:r>
                        <w:r>
                          <w:rPr>
                            <w:rFonts w:ascii="Arial" w:hAnsi="Arial" w:cs="Arial" w:eastAsia="Arial" w:hint="default"/>
                            <w:spacing w:val="-4"/>
                            <w:sz w:val="15"/>
                            <w:szCs w:val="15"/>
                          </w:rPr>
                          <w:t> </w:t>
                        </w:r>
                        <w:r>
                          <w:rPr>
                            <w:rFonts w:ascii="宋体" w:hAnsi="宋体" w:cs="宋体" w:eastAsia="宋体" w:hint="default"/>
                            <w:sz w:val="15"/>
                            <w:szCs w:val="15"/>
                          </w:rPr>
                          <w:t>年</w:t>
                        </w:r>
                      </w:p>
                      <w:p>
                        <w:pPr>
                          <w:pStyle w:val="TableParagraph"/>
                          <w:spacing w:line="195" w:lineRule="exact"/>
                          <w:ind w:left="23" w:right="0"/>
                          <w:jc w:val="left"/>
                          <w:rPr>
                            <w:rFonts w:ascii="宋体" w:hAnsi="宋体" w:cs="宋体" w:eastAsia="宋体" w:hint="default"/>
                            <w:sz w:val="15"/>
                            <w:szCs w:val="15"/>
                          </w:rPr>
                        </w:pPr>
                        <w:r>
                          <w:rPr>
                            <w:rFonts w:ascii="Arial" w:hAnsi="Arial" w:cs="Arial" w:eastAsia="Arial" w:hint="default"/>
                            <w:sz w:val="15"/>
                            <w:szCs w:val="15"/>
                          </w:rPr>
                          <w:t>10</w:t>
                        </w:r>
                        <w:r>
                          <w:rPr>
                            <w:rFonts w:ascii="Arial" w:hAnsi="Arial" w:cs="Arial" w:eastAsia="Arial"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2"/>
                            <w:sz w:val="15"/>
                            <w:szCs w:val="15"/>
                          </w:rPr>
                          <w:t> </w:t>
                        </w:r>
                        <w:r>
                          <w:rPr>
                            <w:rFonts w:ascii="Arial" w:hAnsi="Arial" w:cs="Arial" w:eastAsia="Arial" w:hint="default"/>
                            <w:sz w:val="15"/>
                            <w:szCs w:val="15"/>
                          </w:rPr>
                          <w:t>14</w:t>
                        </w:r>
                        <w:r>
                          <w:rPr>
                            <w:rFonts w:ascii="Arial" w:hAnsi="Arial" w:cs="Arial" w:eastAsia="Arial" w:hint="default"/>
                            <w:spacing w:val="1"/>
                            <w:sz w:val="15"/>
                            <w:szCs w:val="15"/>
                          </w:rPr>
                          <w:t> </w:t>
                        </w:r>
                        <w:r>
                          <w:rPr>
                            <w:rFonts w:ascii="宋体" w:hAnsi="宋体" w:cs="宋体" w:eastAsia="宋体" w:hint="default"/>
                            <w:spacing w:val="-6"/>
                            <w:sz w:val="15"/>
                            <w:szCs w:val="15"/>
                          </w:rPr>
                          <w:t>日作出（</w:t>
                        </w:r>
                        <w:r>
                          <w:rPr>
                            <w:rFonts w:ascii="Arial" w:hAnsi="Arial" w:cs="Arial" w:eastAsia="Arial" w:hint="default"/>
                            <w:spacing w:val="-6"/>
                            <w:sz w:val="15"/>
                            <w:szCs w:val="15"/>
                          </w:rPr>
                          <w:t>2014</w:t>
                        </w:r>
                        <w:r>
                          <w:rPr>
                            <w:rFonts w:ascii="宋体" w:hAnsi="宋体" w:cs="宋体" w:eastAsia="宋体" w:hint="default"/>
                            <w:spacing w:val="-6"/>
                            <w:sz w:val="15"/>
                            <w:szCs w:val="15"/>
                          </w:rPr>
                          <w:t>）哈民二民初</w:t>
                        </w:r>
                      </w:p>
                      <w:p>
                        <w:pPr>
                          <w:pStyle w:val="TableParagraph"/>
                          <w:spacing w:line="195" w:lineRule="exact"/>
                          <w:ind w:left="23" w:right="0"/>
                          <w:jc w:val="left"/>
                          <w:rPr>
                            <w:rFonts w:ascii="宋体" w:hAnsi="宋体" w:cs="宋体" w:eastAsia="宋体" w:hint="default"/>
                            <w:sz w:val="15"/>
                            <w:szCs w:val="15"/>
                          </w:rPr>
                        </w:pPr>
                        <w:r>
                          <w:rPr>
                            <w:rFonts w:ascii="宋体" w:hAnsi="宋体" w:cs="宋体" w:eastAsia="宋体" w:hint="default"/>
                            <w:sz w:val="15"/>
                            <w:szCs w:val="15"/>
                          </w:rPr>
                          <w:t>字第</w:t>
                        </w:r>
                        <w:r>
                          <w:rPr>
                            <w:rFonts w:ascii="宋体" w:hAnsi="宋体" w:cs="宋体" w:eastAsia="宋体" w:hint="default"/>
                            <w:spacing w:val="-38"/>
                            <w:sz w:val="15"/>
                            <w:szCs w:val="15"/>
                          </w:rPr>
                          <w:t> </w:t>
                        </w:r>
                        <w:r>
                          <w:rPr>
                            <w:rFonts w:ascii="Arial" w:hAnsi="Arial" w:cs="Arial" w:eastAsia="Arial" w:hint="default"/>
                            <w:sz w:val="15"/>
                            <w:szCs w:val="15"/>
                          </w:rPr>
                          <w:t>20</w:t>
                        </w:r>
                        <w:r>
                          <w:rPr>
                            <w:rFonts w:ascii="Arial" w:hAnsi="Arial" w:cs="Arial" w:eastAsia="Arial" w:hint="default"/>
                            <w:spacing w:val="-5"/>
                            <w:sz w:val="15"/>
                            <w:szCs w:val="15"/>
                          </w:rPr>
                          <w:t> </w:t>
                        </w:r>
                        <w:r>
                          <w:rPr>
                            <w:rFonts w:ascii="宋体" w:hAnsi="宋体" w:cs="宋体" w:eastAsia="宋体" w:hint="default"/>
                            <w:sz w:val="15"/>
                            <w:szCs w:val="15"/>
                          </w:rPr>
                          <w:t>号民事判决书。</w:t>
                        </w:r>
                      </w:p>
                      <w:p>
                        <w:pPr>
                          <w:pStyle w:val="TableParagraph"/>
                          <w:spacing w:line="235" w:lineRule="auto"/>
                          <w:ind w:left="23" w:right="17"/>
                          <w:jc w:val="left"/>
                          <w:rPr>
                            <w:rFonts w:ascii="宋体" w:hAnsi="宋体" w:cs="宋体" w:eastAsia="宋体" w:hint="default"/>
                            <w:sz w:val="15"/>
                            <w:szCs w:val="15"/>
                          </w:rPr>
                        </w:pPr>
                        <w:r>
                          <w:rPr>
                            <w:rFonts w:ascii="Arial" w:hAnsi="Arial" w:cs="Arial" w:eastAsia="Arial" w:hint="default"/>
                            <w:sz w:val="15"/>
                            <w:szCs w:val="15"/>
                          </w:rPr>
                          <w:t>2015</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Arial" w:hAnsi="Arial" w:cs="Arial" w:eastAsia="Arial" w:hint="default"/>
                            <w:sz w:val="15"/>
                            <w:szCs w:val="15"/>
                          </w:rPr>
                          <w:t>1</w:t>
                        </w:r>
                        <w:r>
                          <w:rPr>
                            <w:rFonts w:ascii="Arial" w:hAnsi="Arial" w:cs="Arial" w:eastAsia="Arial" w:hint="default"/>
                            <w:spacing w:val="-5"/>
                            <w:sz w:val="15"/>
                            <w:szCs w:val="15"/>
                          </w:rPr>
                          <w:t> </w:t>
                        </w:r>
                        <w:r>
                          <w:rPr>
                            <w:rFonts w:ascii="宋体" w:hAnsi="宋体" w:cs="宋体" w:eastAsia="宋体" w:hint="default"/>
                            <w:sz w:val="15"/>
                            <w:szCs w:val="15"/>
                          </w:rPr>
                          <w:t>月，中青公司以双方法律</w:t>
                        </w:r>
                        <w:r>
                          <w:rPr>
                            <w:rFonts w:ascii="宋体" w:hAnsi="宋体" w:cs="宋体" w:eastAsia="宋体" w:hint="default"/>
                            <w:w w:val="100"/>
                            <w:sz w:val="15"/>
                            <w:szCs w:val="15"/>
                          </w:rPr>
                          <w:t> </w:t>
                        </w:r>
                        <w:r>
                          <w:rPr>
                            <w:rFonts w:ascii="宋体" w:hAnsi="宋体" w:cs="宋体" w:eastAsia="宋体" w:hint="default"/>
                            <w:sz w:val="15"/>
                            <w:szCs w:val="15"/>
                          </w:rPr>
                          <w:t>关系为合作关系不是借贷关系及判</w:t>
                        </w:r>
                        <w:r>
                          <w:rPr>
                            <w:rFonts w:ascii="宋体" w:hAnsi="宋体" w:cs="宋体" w:eastAsia="宋体" w:hint="default"/>
                            <w:w w:val="100"/>
                            <w:sz w:val="15"/>
                            <w:szCs w:val="15"/>
                          </w:rPr>
                          <w:t> </w:t>
                        </w:r>
                        <w:r>
                          <w:rPr>
                            <w:rFonts w:ascii="宋体" w:hAnsi="宋体" w:cs="宋体" w:eastAsia="宋体" w:hint="default"/>
                            <w:sz w:val="15"/>
                            <w:szCs w:val="15"/>
                          </w:rPr>
                          <w:t>决支持给付经济补偿不符合法律规</w:t>
                        </w:r>
                        <w:r>
                          <w:rPr>
                            <w:rFonts w:ascii="宋体" w:hAnsi="宋体" w:cs="宋体" w:eastAsia="宋体" w:hint="default"/>
                            <w:w w:val="100"/>
                            <w:sz w:val="15"/>
                            <w:szCs w:val="15"/>
                          </w:rPr>
                          <w:t> </w:t>
                        </w:r>
                        <w:r>
                          <w:rPr>
                            <w:rFonts w:ascii="宋体" w:hAnsi="宋体" w:cs="宋体" w:eastAsia="宋体" w:hint="default"/>
                            <w:spacing w:val="-4"/>
                            <w:sz w:val="15"/>
                            <w:szCs w:val="15"/>
                          </w:rPr>
                          <w:t>定，适用法律错误为由，向黑龙江省</w:t>
                        </w:r>
                        <w:r>
                          <w:rPr>
                            <w:rFonts w:ascii="宋体" w:hAnsi="宋体" w:cs="宋体" w:eastAsia="宋体" w:hint="default"/>
                            <w:spacing w:val="-47"/>
                            <w:sz w:val="15"/>
                            <w:szCs w:val="15"/>
                          </w:rPr>
                          <w:t> </w:t>
                        </w:r>
                        <w:r>
                          <w:rPr>
                            <w:rFonts w:ascii="宋体" w:hAnsi="宋体" w:cs="宋体" w:eastAsia="宋体" w:hint="default"/>
                            <w:spacing w:val="-47"/>
                            <w:sz w:val="15"/>
                            <w:szCs w:val="15"/>
                          </w:rPr>
                        </w:r>
                        <w:r>
                          <w:rPr>
                            <w:rFonts w:ascii="宋体" w:hAnsi="宋体" w:cs="宋体" w:eastAsia="宋体" w:hint="default"/>
                            <w:spacing w:val="-4"/>
                            <w:sz w:val="15"/>
                            <w:szCs w:val="15"/>
                          </w:rPr>
                          <w:t>高院就该一审判决书申请再审。省高</w:t>
                        </w:r>
                        <w:r>
                          <w:rPr>
                            <w:rFonts w:ascii="宋体" w:hAnsi="宋体" w:cs="宋体" w:eastAsia="宋体" w:hint="default"/>
                            <w:spacing w:val="-46"/>
                            <w:sz w:val="15"/>
                            <w:szCs w:val="15"/>
                          </w:rPr>
                          <w:t> </w:t>
                        </w:r>
                        <w:r>
                          <w:rPr>
                            <w:rFonts w:ascii="宋体" w:hAnsi="宋体" w:cs="宋体" w:eastAsia="宋体" w:hint="default"/>
                            <w:spacing w:val="-46"/>
                            <w:sz w:val="15"/>
                            <w:szCs w:val="15"/>
                          </w:rPr>
                        </w:r>
                        <w:r>
                          <w:rPr>
                            <w:rFonts w:ascii="宋体" w:hAnsi="宋体" w:cs="宋体" w:eastAsia="宋体" w:hint="default"/>
                            <w:sz w:val="15"/>
                            <w:szCs w:val="15"/>
                          </w:rPr>
                          <w:t>院于</w:t>
                        </w:r>
                        <w:r>
                          <w:rPr>
                            <w:rFonts w:ascii="宋体" w:hAnsi="宋体" w:cs="宋体" w:eastAsia="宋体" w:hint="default"/>
                            <w:spacing w:val="-39"/>
                            <w:sz w:val="15"/>
                            <w:szCs w:val="15"/>
                          </w:rPr>
                          <w:t> </w:t>
                        </w:r>
                        <w:r>
                          <w:rPr>
                            <w:rFonts w:ascii="Arial" w:hAnsi="Arial" w:cs="Arial" w:eastAsia="Arial" w:hint="default"/>
                            <w:sz w:val="15"/>
                            <w:szCs w:val="15"/>
                          </w:rPr>
                          <w:t>2015</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w:hAnsi="Arial" w:cs="Arial" w:eastAsia="Arial" w:hint="default"/>
                            <w:sz w:val="15"/>
                            <w:szCs w:val="15"/>
                          </w:rPr>
                          <w:t>6</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17</w:t>
                        </w:r>
                        <w:r>
                          <w:rPr>
                            <w:rFonts w:ascii="Arial" w:hAnsi="Arial" w:cs="Arial" w:eastAsia="Arial" w:hint="default"/>
                            <w:spacing w:val="-4"/>
                            <w:sz w:val="15"/>
                            <w:szCs w:val="15"/>
                          </w:rPr>
                          <w:t> </w:t>
                        </w:r>
                        <w:r>
                          <w:rPr>
                            <w:rFonts w:ascii="宋体" w:hAnsi="宋体" w:cs="宋体" w:eastAsia="宋体" w:hint="default"/>
                            <w:sz w:val="15"/>
                            <w:szCs w:val="15"/>
                          </w:rPr>
                          <w:t>日向龙业公司</w:t>
                        </w:r>
                        <w:r>
                          <w:rPr>
                            <w:rFonts w:ascii="宋体" w:hAnsi="宋体" w:cs="宋体" w:eastAsia="宋体" w:hint="default"/>
                            <w:w w:val="100"/>
                            <w:sz w:val="15"/>
                            <w:szCs w:val="15"/>
                          </w:rPr>
                          <w:t> </w:t>
                        </w:r>
                        <w:r>
                          <w:rPr>
                            <w:rFonts w:ascii="宋体" w:hAnsi="宋体" w:cs="宋体" w:eastAsia="宋体" w:hint="default"/>
                            <w:spacing w:val="-4"/>
                            <w:sz w:val="15"/>
                            <w:szCs w:val="15"/>
                          </w:rPr>
                          <w:t>送达了再审申请书及应诉材料，并于</w:t>
                        </w:r>
                        <w:r>
                          <w:rPr>
                            <w:rFonts w:ascii="宋体" w:hAnsi="宋体" w:cs="宋体" w:eastAsia="宋体" w:hint="default"/>
                            <w:spacing w:val="-46"/>
                            <w:sz w:val="15"/>
                            <w:szCs w:val="15"/>
                          </w:rPr>
                          <w:t> </w:t>
                        </w:r>
                        <w:r>
                          <w:rPr>
                            <w:rFonts w:ascii="宋体" w:hAnsi="宋体" w:cs="宋体" w:eastAsia="宋体" w:hint="default"/>
                            <w:spacing w:val="-46"/>
                            <w:sz w:val="15"/>
                            <w:szCs w:val="15"/>
                          </w:rPr>
                        </w:r>
                        <w:r>
                          <w:rPr>
                            <w:rFonts w:ascii="Arial" w:hAnsi="Arial" w:cs="Arial" w:eastAsia="Arial" w:hint="default"/>
                            <w:sz w:val="15"/>
                            <w:szCs w:val="15"/>
                          </w:rPr>
                          <w:t>6</w:t>
                        </w:r>
                        <w:r>
                          <w:rPr>
                            <w:rFonts w:ascii="Arial" w:hAnsi="Arial" w:cs="Arial" w:eastAsia="Arial"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6"/>
                            <w:sz w:val="15"/>
                            <w:szCs w:val="15"/>
                          </w:rPr>
                          <w:t> </w:t>
                        </w:r>
                        <w:r>
                          <w:rPr>
                            <w:rFonts w:ascii="Arial" w:hAnsi="Arial" w:cs="Arial" w:eastAsia="Arial" w:hint="default"/>
                            <w:sz w:val="15"/>
                            <w:szCs w:val="15"/>
                          </w:rPr>
                          <w:t>30</w:t>
                        </w:r>
                        <w:r>
                          <w:rPr>
                            <w:rFonts w:ascii="Arial" w:hAnsi="Arial" w:cs="Arial" w:eastAsia="Arial" w:hint="default"/>
                            <w:spacing w:val="-3"/>
                            <w:sz w:val="15"/>
                            <w:szCs w:val="15"/>
                          </w:rPr>
                          <w:t> </w:t>
                        </w:r>
                        <w:r>
                          <w:rPr>
                            <w:rFonts w:ascii="宋体" w:hAnsi="宋体" w:cs="宋体" w:eastAsia="宋体" w:hint="default"/>
                            <w:spacing w:val="-8"/>
                            <w:sz w:val="15"/>
                            <w:szCs w:val="15"/>
                          </w:rPr>
                          <w:t>日开庭审理本案，于</w:t>
                        </w:r>
                        <w:r>
                          <w:rPr>
                            <w:rFonts w:ascii="宋体" w:hAnsi="宋体" w:cs="宋体" w:eastAsia="宋体" w:hint="default"/>
                            <w:spacing w:val="-36"/>
                            <w:sz w:val="15"/>
                            <w:szCs w:val="15"/>
                          </w:rPr>
                          <w:t> </w:t>
                        </w:r>
                        <w:r>
                          <w:rPr>
                            <w:rFonts w:ascii="Arial" w:hAnsi="Arial" w:cs="Arial" w:eastAsia="Arial" w:hint="default"/>
                            <w:sz w:val="15"/>
                            <w:szCs w:val="15"/>
                          </w:rPr>
                          <w:t>2015</w:t>
                        </w:r>
                        <w:r>
                          <w:rPr>
                            <w:rFonts w:ascii="Arial" w:hAnsi="Arial" w:cs="Arial" w:eastAsia="Arial" w:hint="default"/>
                            <w:spacing w:val="-1"/>
                            <w:sz w:val="15"/>
                            <w:szCs w:val="15"/>
                          </w:rPr>
                          <w:t> </w:t>
                        </w:r>
                        <w:r>
                          <w:rPr>
                            <w:rFonts w:ascii="宋体" w:hAnsi="宋体" w:cs="宋体" w:eastAsia="宋体" w:hint="default"/>
                            <w:sz w:val="15"/>
                            <w:szCs w:val="15"/>
                          </w:rPr>
                          <w:t>年</w:t>
                        </w:r>
                      </w:p>
                      <w:p>
                        <w:pPr>
                          <w:pStyle w:val="TableParagraph"/>
                          <w:spacing w:line="195" w:lineRule="exact"/>
                          <w:ind w:left="23" w:right="0"/>
                          <w:jc w:val="left"/>
                          <w:rPr>
                            <w:rFonts w:ascii="宋体" w:hAnsi="宋体" w:cs="宋体" w:eastAsia="宋体" w:hint="default"/>
                            <w:sz w:val="15"/>
                            <w:szCs w:val="15"/>
                          </w:rPr>
                        </w:pPr>
                        <w:r>
                          <w:rPr>
                            <w:rFonts w:ascii="Arial" w:hAnsi="Arial" w:cs="Arial" w:eastAsia="Arial" w:hint="default"/>
                            <w:sz w:val="15"/>
                            <w:szCs w:val="15"/>
                          </w:rPr>
                          <w:t>12</w:t>
                        </w:r>
                        <w:r>
                          <w:rPr>
                            <w:rFonts w:ascii="Arial" w:hAnsi="Arial" w:cs="Arial" w:eastAsia="Arial" w:hint="default"/>
                            <w:spacing w:val="-5"/>
                            <w:sz w:val="15"/>
                            <w:szCs w:val="15"/>
                          </w:rPr>
                          <w:t> </w:t>
                        </w:r>
                        <w:r>
                          <w:rPr>
                            <w:rFonts w:ascii="宋体" w:hAnsi="宋体" w:cs="宋体" w:eastAsia="宋体" w:hint="default"/>
                            <w:sz w:val="15"/>
                            <w:szCs w:val="15"/>
                          </w:rPr>
                          <w:t>月</w:t>
                        </w:r>
                        <w:r>
                          <w:rPr>
                            <w:rFonts w:ascii="宋体" w:hAnsi="宋体" w:cs="宋体" w:eastAsia="宋体" w:hint="default"/>
                            <w:spacing w:val="-36"/>
                            <w:sz w:val="15"/>
                            <w:szCs w:val="15"/>
                          </w:rPr>
                          <w:t> </w:t>
                        </w:r>
                        <w:r>
                          <w:rPr>
                            <w:rFonts w:ascii="Arial" w:hAnsi="Arial" w:cs="Arial" w:eastAsia="Arial" w:hint="default"/>
                            <w:sz w:val="15"/>
                            <w:szCs w:val="15"/>
                          </w:rPr>
                          <w:t>2</w:t>
                        </w:r>
                        <w:r>
                          <w:rPr>
                            <w:rFonts w:ascii="Arial" w:hAnsi="Arial" w:cs="Arial" w:eastAsia="Arial" w:hint="default"/>
                            <w:spacing w:val="-5"/>
                            <w:sz w:val="15"/>
                            <w:szCs w:val="15"/>
                          </w:rPr>
                          <w:t> </w:t>
                        </w:r>
                        <w:r>
                          <w:rPr>
                            <w:rFonts w:ascii="宋体" w:hAnsi="宋体" w:cs="宋体" w:eastAsia="宋体" w:hint="default"/>
                            <w:sz w:val="15"/>
                            <w:szCs w:val="15"/>
                          </w:rPr>
                          <w:t>日判决。</w:t>
                        </w:r>
                      </w:p>
                    </w:tc>
                    <w:tc>
                      <w:tcPr>
                        <w:tcW w:w="285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32" w:lineRule="auto"/>
                          <w:ind w:left="24" w:right="18"/>
                          <w:jc w:val="left"/>
                          <w:rPr>
                            <w:rFonts w:ascii="Arial" w:hAnsi="Arial" w:cs="Arial" w:eastAsia="Arial" w:hint="default"/>
                            <w:sz w:val="15"/>
                            <w:szCs w:val="15"/>
                          </w:rPr>
                        </w:pPr>
                        <w:r>
                          <w:rPr>
                            <w:rFonts w:ascii="宋体" w:hAnsi="宋体" w:cs="宋体" w:eastAsia="宋体" w:hint="default"/>
                            <w:spacing w:val="-4"/>
                            <w:sz w:val="15"/>
                            <w:szCs w:val="15"/>
                          </w:rPr>
                          <w:t>一审判决：一、中青公司于判决生效之日起</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三十日内返还龙业公司借款本金</w:t>
                        </w:r>
                        <w:r>
                          <w:rPr>
                            <w:rFonts w:ascii="宋体" w:hAnsi="宋体" w:cs="宋体" w:eastAsia="宋体" w:hint="default"/>
                            <w:spacing w:val="-40"/>
                            <w:sz w:val="15"/>
                            <w:szCs w:val="15"/>
                          </w:rPr>
                          <w:t> </w:t>
                        </w:r>
                        <w:r>
                          <w:rPr>
                            <w:rFonts w:ascii="Arial" w:hAnsi="Arial" w:cs="Arial" w:eastAsia="Arial" w:hint="default"/>
                            <w:sz w:val="15"/>
                            <w:szCs w:val="15"/>
                          </w:rPr>
                          <w:t>3500</w:t>
                        </w:r>
                        <w:r>
                          <w:rPr>
                            <w:rFonts w:ascii="Arial" w:hAnsi="Arial" w:cs="Arial" w:eastAsia="Arial" w:hint="default"/>
                            <w:spacing w:val="-5"/>
                            <w:sz w:val="15"/>
                            <w:szCs w:val="15"/>
                          </w:rPr>
                          <w:t> </w:t>
                        </w:r>
                        <w:r>
                          <w:rPr>
                            <w:rFonts w:ascii="宋体" w:hAnsi="宋体" w:cs="宋体" w:eastAsia="宋体" w:hint="default"/>
                            <w:sz w:val="15"/>
                            <w:szCs w:val="15"/>
                          </w:rPr>
                          <w:t>万</w:t>
                        </w:r>
                        <w:r>
                          <w:rPr>
                            <w:rFonts w:ascii="宋体" w:hAnsi="宋体" w:cs="宋体" w:eastAsia="宋体" w:hint="default"/>
                            <w:w w:val="100"/>
                            <w:sz w:val="15"/>
                            <w:szCs w:val="15"/>
                          </w:rPr>
                          <w:t> </w:t>
                        </w:r>
                        <w:r>
                          <w:rPr>
                            <w:rFonts w:ascii="宋体" w:hAnsi="宋体" w:cs="宋体" w:eastAsia="宋体" w:hint="default"/>
                            <w:spacing w:val="-4"/>
                            <w:sz w:val="15"/>
                            <w:szCs w:val="15"/>
                          </w:rPr>
                          <w:t>元；二、中青公司于判决生效之日起三十日</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内给付龙业公司</w:t>
                        </w:r>
                        <w:r>
                          <w:rPr>
                            <w:rFonts w:ascii="宋体" w:hAnsi="宋体" w:cs="宋体" w:eastAsia="宋体" w:hint="default"/>
                            <w:spacing w:val="-43"/>
                            <w:sz w:val="15"/>
                            <w:szCs w:val="15"/>
                          </w:rPr>
                          <w:t> </w:t>
                        </w:r>
                        <w:r>
                          <w:rPr>
                            <w:rFonts w:ascii="Arial" w:hAnsi="Arial" w:cs="Arial" w:eastAsia="Arial" w:hint="default"/>
                            <w:sz w:val="15"/>
                            <w:szCs w:val="15"/>
                          </w:rPr>
                          <w:t>2011</w:t>
                        </w:r>
                        <w:r>
                          <w:rPr>
                            <w:rFonts w:ascii="Arial" w:hAnsi="Arial" w:cs="Arial" w:eastAsia="Arial" w:hint="default"/>
                            <w:spacing w:val="-9"/>
                            <w:sz w:val="15"/>
                            <w:szCs w:val="15"/>
                          </w:rPr>
                          <w:t> </w:t>
                        </w:r>
                        <w:r>
                          <w:rPr>
                            <w:rFonts w:ascii="宋体" w:hAnsi="宋体" w:cs="宋体" w:eastAsia="宋体" w:hint="default"/>
                            <w:sz w:val="15"/>
                            <w:szCs w:val="15"/>
                          </w:rPr>
                          <w:t>年</w:t>
                        </w:r>
                        <w:r>
                          <w:rPr>
                            <w:rFonts w:ascii="宋体" w:hAnsi="宋体" w:cs="宋体" w:eastAsia="宋体" w:hint="default"/>
                            <w:spacing w:val="-45"/>
                            <w:sz w:val="15"/>
                            <w:szCs w:val="15"/>
                          </w:rPr>
                          <w:t> </w:t>
                        </w:r>
                        <w:r>
                          <w:rPr>
                            <w:rFonts w:ascii="Arial" w:hAnsi="Arial" w:cs="Arial" w:eastAsia="Arial" w:hint="default"/>
                            <w:sz w:val="15"/>
                            <w:szCs w:val="15"/>
                          </w:rPr>
                          <w:t>8</w:t>
                        </w:r>
                        <w:r>
                          <w:rPr>
                            <w:rFonts w:ascii="Arial" w:hAnsi="Arial" w:cs="Arial" w:eastAsia="Arial" w:hint="default"/>
                            <w:spacing w:val="-10"/>
                            <w:sz w:val="15"/>
                            <w:szCs w:val="15"/>
                          </w:rPr>
                          <w:t> </w:t>
                        </w:r>
                        <w:r>
                          <w:rPr>
                            <w:rFonts w:ascii="宋体" w:hAnsi="宋体" w:cs="宋体" w:eastAsia="宋体" w:hint="default"/>
                            <w:sz w:val="15"/>
                            <w:szCs w:val="15"/>
                          </w:rPr>
                          <w:t>月</w:t>
                        </w:r>
                        <w:r>
                          <w:rPr>
                            <w:rFonts w:ascii="宋体" w:hAnsi="宋体" w:cs="宋体" w:eastAsia="宋体" w:hint="default"/>
                            <w:spacing w:val="-43"/>
                            <w:sz w:val="15"/>
                            <w:szCs w:val="15"/>
                          </w:rPr>
                          <w:t> </w:t>
                        </w:r>
                        <w:r>
                          <w:rPr>
                            <w:rFonts w:ascii="Arial" w:hAnsi="Arial" w:cs="Arial" w:eastAsia="Arial" w:hint="default"/>
                            <w:sz w:val="15"/>
                            <w:szCs w:val="15"/>
                          </w:rPr>
                          <w:t>31</w:t>
                        </w:r>
                        <w:r>
                          <w:rPr>
                            <w:rFonts w:ascii="Arial" w:hAnsi="Arial" w:cs="Arial" w:eastAsia="Arial" w:hint="default"/>
                            <w:spacing w:val="-10"/>
                            <w:sz w:val="15"/>
                            <w:szCs w:val="15"/>
                          </w:rPr>
                          <w:t> </w:t>
                        </w:r>
                        <w:r>
                          <w:rPr>
                            <w:rFonts w:ascii="宋体" w:hAnsi="宋体" w:cs="宋体" w:eastAsia="宋体" w:hint="default"/>
                            <w:sz w:val="15"/>
                            <w:szCs w:val="15"/>
                          </w:rPr>
                          <w:t>日至</w:t>
                        </w:r>
                        <w:r>
                          <w:rPr>
                            <w:rFonts w:ascii="宋体" w:hAnsi="宋体" w:cs="宋体" w:eastAsia="宋体" w:hint="default"/>
                            <w:spacing w:val="-43"/>
                            <w:sz w:val="15"/>
                            <w:szCs w:val="15"/>
                          </w:rPr>
                          <w:t> </w:t>
                        </w:r>
                        <w:r>
                          <w:rPr>
                            <w:rFonts w:ascii="Arial" w:hAnsi="Arial" w:cs="Arial" w:eastAsia="Arial" w:hint="default"/>
                            <w:sz w:val="15"/>
                            <w:szCs w:val="15"/>
                          </w:rPr>
                          <w:t>2014</w:t>
                        </w:r>
                      </w:p>
                      <w:p>
                        <w:pPr>
                          <w:pStyle w:val="TableParagraph"/>
                          <w:spacing w:line="189" w:lineRule="exact"/>
                          <w:ind w:left="24" w:right="0"/>
                          <w:jc w:val="left"/>
                          <w:rPr>
                            <w:rFonts w:ascii="宋体" w:hAnsi="宋体" w:cs="宋体" w:eastAsia="宋体" w:hint="default"/>
                            <w:sz w:val="15"/>
                            <w:szCs w:val="15"/>
                          </w:rPr>
                        </w:pP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w:hAnsi="Arial" w:cs="Arial" w:eastAsia="Arial" w:hint="default"/>
                            <w:sz w:val="15"/>
                            <w:szCs w:val="15"/>
                          </w:rPr>
                          <w:t>3</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Arial" w:hAnsi="Arial" w:cs="Arial" w:eastAsia="Arial" w:hint="default"/>
                            <w:sz w:val="15"/>
                            <w:szCs w:val="15"/>
                          </w:rPr>
                          <w:t>26</w:t>
                        </w:r>
                        <w:r>
                          <w:rPr>
                            <w:rFonts w:ascii="Arial" w:hAnsi="Arial" w:cs="Arial" w:eastAsia="Arial" w:hint="default"/>
                            <w:spacing w:val="-6"/>
                            <w:sz w:val="15"/>
                            <w:szCs w:val="15"/>
                          </w:rPr>
                          <w:t> </w:t>
                        </w:r>
                        <w:r>
                          <w:rPr>
                            <w:rFonts w:ascii="宋体" w:hAnsi="宋体" w:cs="宋体" w:eastAsia="宋体" w:hint="default"/>
                            <w:sz w:val="15"/>
                            <w:szCs w:val="15"/>
                          </w:rPr>
                          <w:t>日止占用资金补偿款</w:t>
                        </w:r>
                      </w:p>
                      <w:p>
                        <w:pPr>
                          <w:pStyle w:val="TableParagraph"/>
                          <w:spacing w:line="194" w:lineRule="exact"/>
                          <w:ind w:left="24" w:right="0"/>
                          <w:jc w:val="left"/>
                          <w:rPr>
                            <w:rFonts w:ascii="宋体" w:hAnsi="宋体" w:cs="宋体" w:eastAsia="宋体" w:hint="default"/>
                            <w:sz w:val="15"/>
                            <w:szCs w:val="15"/>
                          </w:rPr>
                        </w:pPr>
                        <w:r>
                          <w:rPr>
                            <w:rFonts w:ascii="Arial" w:hAnsi="Arial" w:cs="Arial" w:eastAsia="Arial" w:hint="default"/>
                            <w:sz w:val="15"/>
                            <w:szCs w:val="15"/>
                          </w:rPr>
                          <w:t>6,327,580.82</w:t>
                        </w:r>
                        <w:r>
                          <w:rPr>
                            <w:rFonts w:ascii="Arial" w:hAnsi="Arial" w:cs="Arial" w:eastAsia="Arial" w:hint="default"/>
                            <w:spacing w:val="-7"/>
                            <w:sz w:val="15"/>
                            <w:szCs w:val="15"/>
                          </w:rPr>
                          <w:t> </w:t>
                        </w:r>
                        <w:r>
                          <w:rPr>
                            <w:rFonts w:ascii="宋体" w:hAnsi="宋体" w:cs="宋体" w:eastAsia="宋体" w:hint="default"/>
                            <w:sz w:val="15"/>
                            <w:szCs w:val="15"/>
                          </w:rPr>
                          <w:t>元。</w:t>
                        </w:r>
                        <w:r>
                          <w:rPr>
                            <w:rFonts w:ascii="Arial" w:hAnsi="Arial" w:cs="Arial" w:eastAsia="Arial" w:hint="default"/>
                            <w:sz w:val="15"/>
                            <w:szCs w:val="15"/>
                          </w:rPr>
                          <w:t>2014</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w:hAnsi="Arial" w:cs="Arial" w:eastAsia="Arial" w:hint="default"/>
                            <w:sz w:val="15"/>
                            <w:szCs w:val="15"/>
                          </w:rPr>
                          <w:t>3</w:t>
                        </w:r>
                        <w:r>
                          <w:rPr>
                            <w:rFonts w:ascii="Arial" w:hAnsi="Arial" w:cs="Arial" w:eastAsia="Arial"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26</w:t>
                        </w:r>
                        <w:r>
                          <w:rPr>
                            <w:rFonts w:ascii="Arial" w:hAnsi="Arial" w:cs="Arial" w:eastAsia="Arial" w:hint="default"/>
                            <w:spacing w:val="-4"/>
                            <w:sz w:val="15"/>
                            <w:szCs w:val="15"/>
                          </w:rPr>
                          <w:t> </w:t>
                        </w:r>
                        <w:r>
                          <w:rPr>
                            <w:rFonts w:ascii="宋体" w:hAnsi="宋体" w:cs="宋体" w:eastAsia="宋体" w:hint="default"/>
                            <w:sz w:val="15"/>
                            <w:szCs w:val="15"/>
                          </w:rPr>
                          <w:t>日至实</w:t>
                        </w:r>
                      </w:p>
                      <w:p>
                        <w:pPr>
                          <w:pStyle w:val="TableParagraph"/>
                          <w:spacing w:line="194" w:lineRule="exact" w:before="13"/>
                          <w:ind w:left="24" w:right="20"/>
                          <w:jc w:val="left"/>
                          <w:rPr>
                            <w:rFonts w:ascii="宋体" w:hAnsi="宋体" w:cs="宋体" w:eastAsia="宋体" w:hint="default"/>
                            <w:sz w:val="15"/>
                            <w:szCs w:val="15"/>
                          </w:rPr>
                        </w:pPr>
                        <w:r>
                          <w:rPr>
                            <w:rFonts w:ascii="宋体" w:hAnsi="宋体" w:cs="宋体" w:eastAsia="宋体" w:hint="default"/>
                            <w:sz w:val="15"/>
                            <w:szCs w:val="15"/>
                          </w:rPr>
                          <w:t>际给付之日占用资金补偿款按中国人民银</w:t>
                        </w:r>
                        <w:r>
                          <w:rPr>
                            <w:rFonts w:ascii="宋体" w:hAnsi="宋体" w:cs="宋体" w:eastAsia="宋体" w:hint="default"/>
                            <w:w w:val="100"/>
                            <w:sz w:val="15"/>
                            <w:szCs w:val="15"/>
                          </w:rPr>
                          <w:t> </w:t>
                        </w:r>
                        <w:r>
                          <w:rPr>
                            <w:rFonts w:ascii="宋体" w:hAnsi="宋体" w:cs="宋体" w:eastAsia="宋体" w:hint="default"/>
                            <w:spacing w:val="-4"/>
                            <w:sz w:val="15"/>
                            <w:szCs w:val="15"/>
                          </w:rPr>
                          <w:t>行同期贷款利率标准给付。再审判决：驳回</w:t>
                        </w:r>
                        <w:r>
                          <w:rPr>
                            <w:rFonts w:ascii="宋体" w:hAnsi="宋体" w:cs="宋体" w:eastAsia="宋体" w:hint="default"/>
                            <w:spacing w:val="-53"/>
                            <w:sz w:val="15"/>
                            <w:szCs w:val="15"/>
                          </w:rPr>
                          <w:t> </w:t>
                        </w:r>
                        <w:r>
                          <w:rPr>
                            <w:rFonts w:ascii="宋体" w:hAnsi="宋体" w:cs="宋体" w:eastAsia="宋体" w:hint="default"/>
                            <w:spacing w:val="-53"/>
                            <w:sz w:val="15"/>
                            <w:szCs w:val="15"/>
                          </w:rPr>
                        </w:r>
                        <w:r>
                          <w:rPr>
                            <w:rFonts w:ascii="宋体" w:hAnsi="宋体" w:cs="宋体" w:eastAsia="宋体" w:hint="default"/>
                            <w:sz w:val="15"/>
                            <w:szCs w:val="15"/>
                          </w:rPr>
                          <w:t>中青公司的再审申请。</w:t>
                        </w:r>
                      </w:p>
                    </w:tc>
                    <w:tc>
                      <w:tcPr>
                        <w:tcW w:w="1529" w:type="dxa"/>
                        <w:tcBorders>
                          <w:top w:val="single" w:sz="4" w:space="0" w:color="41B7EE"/>
                          <w:left w:val="single" w:sz="4" w:space="0" w:color="41B7EE"/>
                          <w:bottom w:val="single" w:sz="4" w:space="0" w:color="41B7EE"/>
                          <w:right w:val="nil" w:sz="6" w:space="0" w:color="auto"/>
                        </w:tcBorders>
                      </w:tcPr>
                      <w:p>
                        <w:pPr>
                          <w:pStyle w:val="TableParagraph"/>
                          <w:spacing w:line="171" w:lineRule="exact"/>
                          <w:ind w:left="21" w:right="0"/>
                          <w:jc w:val="left"/>
                          <w:rPr>
                            <w:rFonts w:ascii="宋体" w:hAnsi="宋体" w:cs="宋体" w:eastAsia="宋体" w:hint="default"/>
                            <w:sz w:val="15"/>
                            <w:szCs w:val="15"/>
                          </w:rPr>
                        </w:pPr>
                        <w:r>
                          <w:rPr>
                            <w:rFonts w:ascii="宋体" w:hAnsi="宋体" w:cs="宋体" w:eastAsia="宋体" w:hint="default"/>
                            <w:spacing w:val="-4"/>
                            <w:sz w:val="15"/>
                            <w:szCs w:val="15"/>
                          </w:rPr>
                          <w:t>一审判决作出后，中青</w:t>
                        </w:r>
                      </w:p>
                      <w:p>
                        <w:pPr>
                          <w:pStyle w:val="TableParagraph"/>
                          <w:spacing w:line="240" w:lineRule="auto"/>
                          <w:ind w:left="21" w:right="0"/>
                          <w:jc w:val="left"/>
                          <w:rPr>
                            <w:rFonts w:ascii="宋体" w:hAnsi="宋体" w:cs="宋体" w:eastAsia="宋体" w:hint="default"/>
                            <w:sz w:val="15"/>
                            <w:szCs w:val="15"/>
                          </w:rPr>
                        </w:pPr>
                        <w:r>
                          <w:rPr>
                            <w:rFonts w:ascii="宋体" w:hAnsi="宋体" w:cs="宋体" w:eastAsia="宋体" w:hint="default"/>
                            <w:spacing w:val="-4"/>
                            <w:sz w:val="15"/>
                            <w:szCs w:val="15"/>
                          </w:rPr>
                          <w:t>公司未提起上诉，判决</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pacing w:val="-4"/>
                            <w:sz w:val="15"/>
                            <w:szCs w:val="15"/>
                          </w:rPr>
                          <w:t>生效。判决确定的给付</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pacing w:val="-4"/>
                            <w:sz w:val="15"/>
                            <w:szCs w:val="15"/>
                          </w:rPr>
                          <w:t>期限届满后，中青公司</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pacing w:val="-4"/>
                            <w:sz w:val="15"/>
                            <w:szCs w:val="15"/>
                          </w:rPr>
                          <w:t>未能履行还款义务，龙</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业公司已向法院申请</w:t>
                        </w:r>
                        <w:r>
                          <w:rPr>
                            <w:rFonts w:ascii="宋体" w:hAnsi="宋体" w:cs="宋体" w:eastAsia="宋体" w:hint="default"/>
                            <w:w w:val="100"/>
                            <w:sz w:val="15"/>
                            <w:szCs w:val="15"/>
                          </w:rPr>
                          <w:t> </w:t>
                        </w:r>
                        <w:r>
                          <w:rPr>
                            <w:rFonts w:ascii="宋体" w:hAnsi="宋体" w:cs="宋体" w:eastAsia="宋体" w:hint="default"/>
                            <w:spacing w:val="-4"/>
                            <w:sz w:val="15"/>
                            <w:szCs w:val="15"/>
                          </w:rPr>
                          <w:t>强制执行。案件现处于</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pacing w:val="-4"/>
                            <w:sz w:val="15"/>
                            <w:szCs w:val="15"/>
                          </w:rPr>
                          <w:t>执行中，因查封土地仍</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pacing w:val="-4"/>
                            <w:sz w:val="15"/>
                            <w:szCs w:val="15"/>
                          </w:rPr>
                          <w:t>未能拆迁完毕，需继续</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pacing w:val="-2"/>
                            <w:sz w:val="15"/>
                            <w:szCs w:val="15"/>
                          </w:rPr>
                          <w:t>等待拆迁工作结束后，</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才能申请法院对查封</w:t>
                        </w:r>
                        <w:r>
                          <w:rPr>
                            <w:rFonts w:ascii="宋体" w:hAnsi="宋体" w:cs="宋体" w:eastAsia="宋体" w:hint="default"/>
                            <w:w w:val="100"/>
                            <w:sz w:val="15"/>
                            <w:szCs w:val="15"/>
                          </w:rPr>
                          <w:t> </w:t>
                        </w:r>
                        <w:r>
                          <w:rPr>
                            <w:rFonts w:ascii="宋体" w:hAnsi="宋体" w:cs="宋体" w:eastAsia="宋体" w:hint="default"/>
                            <w:spacing w:val="-2"/>
                            <w:sz w:val="15"/>
                            <w:szCs w:val="15"/>
                          </w:rPr>
                          <w:t>土地进行评估、拍卖。</w:t>
                        </w:r>
                      </w:p>
                    </w:tc>
                  </w:tr>
                  <w:tr>
                    <w:trPr>
                      <w:trHeight w:val="1177" w:hRule="exact"/>
                    </w:trPr>
                    <w:tc>
                      <w:tcPr>
                        <w:tcW w:w="61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72"/>
                          <w:ind w:left="28" w:right="123"/>
                          <w:jc w:val="both"/>
                          <w:rPr>
                            <w:rFonts w:ascii="宋体" w:hAnsi="宋体" w:cs="宋体" w:eastAsia="宋体" w:hint="default"/>
                            <w:sz w:val="15"/>
                            <w:szCs w:val="15"/>
                          </w:rPr>
                        </w:pPr>
                        <w:r>
                          <w:rPr>
                            <w:rFonts w:ascii="宋体" w:hAnsi="宋体" w:cs="宋体" w:eastAsia="宋体" w:hint="default"/>
                            <w:sz w:val="15"/>
                            <w:szCs w:val="15"/>
                          </w:rPr>
                          <w:t>北大荒</w:t>
                        </w:r>
                        <w:r>
                          <w:rPr>
                            <w:rFonts w:ascii="宋体" w:hAnsi="宋体" w:cs="宋体" w:eastAsia="宋体" w:hint="default"/>
                            <w:spacing w:val="-72"/>
                            <w:sz w:val="15"/>
                            <w:szCs w:val="15"/>
                          </w:rPr>
                          <w:t> </w:t>
                        </w:r>
                        <w:r>
                          <w:rPr>
                            <w:rFonts w:ascii="宋体" w:hAnsi="宋体" w:cs="宋体" w:eastAsia="宋体" w:hint="default"/>
                            <w:sz w:val="15"/>
                            <w:szCs w:val="15"/>
                          </w:rPr>
                          <w:t>鑫亚经</w:t>
                        </w:r>
                        <w:r>
                          <w:rPr>
                            <w:rFonts w:ascii="宋体" w:hAnsi="宋体" w:cs="宋体" w:eastAsia="宋体" w:hint="default"/>
                            <w:spacing w:val="-72"/>
                            <w:sz w:val="15"/>
                            <w:szCs w:val="15"/>
                          </w:rPr>
                          <w:t> </w:t>
                        </w:r>
                        <w:r>
                          <w:rPr>
                            <w:rFonts w:ascii="宋体" w:hAnsi="宋体" w:cs="宋体" w:eastAsia="宋体" w:hint="default"/>
                            <w:sz w:val="15"/>
                            <w:szCs w:val="15"/>
                          </w:rPr>
                          <w:t>贸有限</w:t>
                        </w:r>
                        <w:r>
                          <w:rPr>
                            <w:rFonts w:ascii="宋体" w:hAnsi="宋体" w:cs="宋体" w:eastAsia="宋体" w:hint="default"/>
                            <w:spacing w:val="-72"/>
                            <w:sz w:val="15"/>
                            <w:szCs w:val="15"/>
                          </w:rPr>
                          <w:t> </w:t>
                        </w:r>
                        <w:r>
                          <w:rPr>
                            <w:rFonts w:ascii="宋体" w:hAnsi="宋体" w:cs="宋体" w:eastAsia="宋体" w:hint="default"/>
                            <w:sz w:val="15"/>
                            <w:szCs w:val="15"/>
                          </w:rPr>
                          <w:t>责任公</w:t>
                        </w:r>
                        <w:r>
                          <w:rPr>
                            <w:rFonts w:ascii="宋体" w:hAnsi="宋体" w:cs="宋体" w:eastAsia="宋体" w:hint="default"/>
                            <w:spacing w:val="-72"/>
                            <w:sz w:val="15"/>
                            <w:szCs w:val="15"/>
                          </w:rPr>
                          <w:t> </w:t>
                        </w:r>
                        <w:r>
                          <w:rPr>
                            <w:rFonts w:ascii="宋体" w:hAnsi="宋体" w:cs="宋体" w:eastAsia="宋体" w:hint="default"/>
                            <w:sz w:val="15"/>
                            <w:szCs w:val="15"/>
                          </w:rPr>
                          <w:t>司</w:t>
                        </w:r>
                      </w:p>
                    </w:tc>
                    <w:tc>
                      <w:tcPr>
                        <w:tcW w:w="64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1" w:right="158"/>
                          <w:jc w:val="both"/>
                          <w:rPr>
                            <w:rFonts w:ascii="宋体" w:hAnsi="宋体" w:cs="宋体" w:eastAsia="宋体" w:hint="default"/>
                            <w:sz w:val="15"/>
                            <w:szCs w:val="15"/>
                          </w:rPr>
                        </w:pPr>
                        <w:r>
                          <w:rPr>
                            <w:rFonts w:ascii="宋体" w:hAnsi="宋体" w:cs="宋体" w:eastAsia="宋体" w:hint="default"/>
                            <w:sz w:val="15"/>
                            <w:szCs w:val="15"/>
                          </w:rPr>
                          <w:t>农垦龙</w:t>
                        </w:r>
                        <w:r>
                          <w:rPr>
                            <w:rFonts w:ascii="宋体" w:hAnsi="宋体" w:cs="宋体" w:eastAsia="宋体" w:hint="default"/>
                            <w:spacing w:val="-72"/>
                            <w:sz w:val="15"/>
                            <w:szCs w:val="15"/>
                          </w:rPr>
                          <w:t> </w:t>
                        </w:r>
                        <w:r>
                          <w:rPr>
                            <w:rFonts w:ascii="宋体" w:hAnsi="宋体" w:cs="宋体" w:eastAsia="宋体" w:hint="default"/>
                            <w:sz w:val="15"/>
                            <w:szCs w:val="15"/>
                          </w:rPr>
                          <w:t>健粮油</w:t>
                        </w:r>
                        <w:r>
                          <w:rPr>
                            <w:rFonts w:ascii="宋体" w:hAnsi="宋体" w:cs="宋体" w:eastAsia="宋体" w:hint="default"/>
                            <w:spacing w:val="-72"/>
                            <w:sz w:val="15"/>
                            <w:szCs w:val="15"/>
                          </w:rPr>
                          <w:t> </w:t>
                        </w:r>
                        <w:r>
                          <w:rPr>
                            <w:rFonts w:ascii="宋体" w:hAnsi="宋体" w:cs="宋体" w:eastAsia="宋体" w:hint="default"/>
                            <w:sz w:val="15"/>
                            <w:szCs w:val="15"/>
                          </w:rPr>
                          <w:t>经销公</w:t>
                        </w:r>
                        <w:r>
                          <w:rPr>
                            <w:rFonts w:ascii="宋体" w:hAnsi="宋体" w:cs="宋体" w:eastAsia="宋体" w:hint="default"/>
                            <w:spacing w:val="-72"/>
                            <w:sz w:val="15"/>
                            <w:szCs w:val="15"/>
                          </w:rPr>
                          <w:t> </w:t>
                        </w:r>
                        <w:r>
                          <w:rPr>
                            <w:rFonts w:ascii="宋体" w:hAnsi="宋体" w:cs="宋体" w:eastAsia="宋体" w:hint="default"/>
                            <w:sz w:val="15"/>
                            <w:szCs w:val="15"/>
                          </w:rPr>
                          <w:t>司</w:t>
                        </w:r>
                      </w:p>
                    </w:tc>
                    <w:tc>
                      <w:tcPr>
                        <w:tcW w:w="794" w:type="dxa"/>
                        <w:tcBorders>
                          <w:top w:val="single" w:sz="4" w:space="0" w:color="41B7EE"/>
                          <w:left w:val="single" w:sz="4" w:space="0" w:color="41B7EE"/>
                          <w:bottom w:val="single" w:sz="4" w:space="0" w:color="41B7EE"/>
                          <w:right w:val="single" w:sz="4" w:space="0" w:color="41B7EE"/>
                        </w:tcBorders>
                      </w:tcPr>
                      <w:p>
                        <w:pPr/>
                      </w:p>
                    </w:tc>
                    <w:tc>
                      <w:tcPr>
                        <w:tcW w:w="60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23" w:right="0"/>
                          <w:jc w:val="left"/>
                          <w:rPr>
                            <w:rFonts w:ascii="宋体" w:hAnsi="宋体" w:cs="宋体" w:eastAsia="宋体" w:hint="default"/>
                            <w:sz w:val="15"/>
                            <w:szCs w:val="15"/>
                          </w:rPr>
                        </w:pPr>
                        <w:r>
                          <w:rPr>
                            <w:rFonts w:ascii="宋体" w:hAnsi="宋体" w:cs="宋体" w:eastAsia="宋体" w:hint="default"/>
                            <w:sz w:val="15"/>
                            <w:szCs w:val="15"/>
                          </w:rPr>
                          <w:t>诉讼</w:t>
                        </w:r>
                      </w:p>
                    </w:tc>
                    <w:tc>
                      <w:tcPr>
                        <w:tcW w:w="2273" w:type="dxa"/>
                        <w:tcBorders>
                          <w:top w:val="single" w:sz="4" w:space="0" w:color="41B7EE"/>
                          <w:left w:val="single" w:sz="4" w:space="0" w:color="41B7EE"/>
                          <w:bottom w:val="single" w:sz="4" w:space="0" w:color="41B7EE"/>
                          <w:right w:val="single" w:sz="4" w:space="0" w:color="41B7EE"/>
                        </w:tcBorders>
                      </w:tcPr>
                      <w:p>
                        <w:pPr>
                          <w:pStyle w:val="TableParagraph"/>
                          <w:spacing w:line="177" w:lineRule="exact"/>
                          <w:ind w:left="23" w:right="0"/>
                          <w:jc w:val="left"/>
                          <w:rPr>
                            <w:rFonts w:ascii="宋体" w:hAnsi="宋体" w:cs="宋体" w:eastAsia="宋体" w:hint="default"/>
                            <w:sz w:val="15"/>
                            <w:szCs w:val="15"/>
                          </w:rPr>
                        </w:pPr>
                        <w:r>
                          <w:rPr>
                            <w:rFonts w:ascii="Arial" w:hAnsi="Arial" w:cs="Arial" w:eastAsia="Arial" w:hint="default"/>
                            <w:sz w:val="15"/>
                            <w:szCs w:val="15"/>
                          </w:rPr>
                          <w:t>2010</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Arial" w:hAnsi="Arial" w:cs="Arial" w:eastAsia="Arial" w:hint="default"/>
                            <w:sz w:val="15"/>
                            <w:szCs w:val="15"/>
                          </w:rPr>
                          <w:t>1</w:t>
                        </w:r>
                        <w:r>
                          <w:rPr>
                            <w:rFonts w:ascii="Arial" w:hAnsi="Arial" w:cs="Arial" w:eastAsia="Arial" w:hint="default"/>
                            <w:spacing w:val="-5"/>
                            <w:sz w:val="15"/>
                            <w:szCs w:val="15"/>
                          </w:rPr>
                          <w:t> </w:t>
                        </w:r>
                        <w:r>
                          <w:rPr>
                            <w:rFonts w:ascii="宋体" w:hAnsi="宋体" w:cs="宋体" w:eastAsia="宋体" w:hint="default"/>
                            <w:sz w:val="15"/>
                            <w:szCs w:val="15"/>
                          </w:rPr>
                          <w:t>月鑫亚公司与农垦龙健</w:t>
                        </w:r>
                      </w:p>
                      <w:p>
                        <w:pPr>
                          <w:pStyle w:val="TableParagraph"/>
                          <w:spacing w:line="194" w:lineRule="exact" w:before="13"/>
                          <w:ind w:left="23" w:right="20"/>
                          <w:jc w:val="left"/>
                          <w:rPr>
                            <w:rFonts w:ascii="宋体" w:hAnsi="宋体" w:cs="宋体" w:eastAsia="宋体" w:hint="default"/>
                            <w:sz w:val="15"/>
                            <w:szCs w:val="15"/>
                          </w:rPr>
                        </w:pPr>
                        <w:r>
                          <w:rPr>
                            <w:rFonts w:ascii="宋体" w:hAnsi="宋体" w:cs="宋体" w:eastAsia="宋体" w:hint="default"/>
                            <w:sz w:val="15"/>
                            <w:szCs w:val="15"/>
                          </w:rPr>
                          <w:t>粮油经销公司签定大米联营合作</w:t>
                        </w:r>
                        <w:r>
                          <w:rPr>
                            <w:rFonts w:ascii="宋体" w:hAnsi="宋体" w:cs="宋体" w:eastAsia="宋体" w:hint="default"/>
                            <w:w w:val="100"/>
                            <w:sz w:val="15"/>
                            <w:szCs w:val="15"/>
                          </w:rPr>
                          <w:t> </w:t>
                        </w:r>
                        <w:r>
                          <w:rPr>
                            <w:rFonts w:ascii="宋体" w:hAnsi="宋体" w:cs="宋体" w:eastAsia="宋体" w:hint="default"/>
                            <w:spacing w:val="-4"/>
                            <w:sz w:val="15"/>
                            <w:szCs w:val="15"/>
                          </w:rPr>
                          <w:t>合同，合同签定履行后对方尚欠一</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部分货款，至</w:t>
                        </w:r>
                        <w:r>
                          <w:rPr>
                            <w:rFonts w:ascii="宋体" w:hAnsi="宋体" w:cs="宋体" w:eastAsia="宋体" w:hint="default"/>
                            <w:spacing w:val="-39"/>
                            <w:sz w:val="15"/>
                            <w:szCs w:val="15"/>
                          </w:rPr>
                          <w:t> </w:t>
                        </w:r>
                        <w:r>
                          <w:rPr>
                            <w:rFonts w:ascii="Arial" w:hAnsi="Arial" w:cs="Arial" w:eastAsia="Arial" w:hint="default"/>
                            <w:sz w:val="15"/>
                            <w:szCs w:val="15"/>
                          </w:rPr>
                          <w:t>2012</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w:hAnsi="Arial" w:cs="Arial" w:eastAsia="Arial" w:hint="default"/>
                            <w:sz w:val="15"/>
                            <w:szCs w:val="15"/>
                          </w:rPr>
                          <w:t>12</w:t>
                        </w:r>
                        <w:r>
                          <w:rPr>
                            <w:rFonts w:ascii="Arial" w:hAnsi="Arial" w:cs="Arial" w:eastAsia="Arial" w:hint="default"/>
                            <w:spacing w:val="-6"/>
                            <w:sz w:val="15"/>
                            <w:szCs w:val="15"/>
                          </w:rPr>
                          <w:t> </w:t>
                        </w:r>
                        <w:r>
                          <w:rPr>
                            <w:rFonts w:ascii="宋体" w:hAnsi="宋体" w:cs="宋体" w:eastAsia="宋体" w:hint="default"/>
                            <w:sz w:val="15"/>
                            <w:szCs w:val="15"/>
                          </w:rPr>
                          <w:t>月底，</w:t>
                        </w:r>
                      </w:p>
                      <w:p>
                        <w:pPr>
                          <w:pStyle w:val="TableParagraph"/>
                          <w:spacing w:line="182" w:lineRule="exact"/>
                          <w:ind w:left="23" w:right="0"/>
                          <w:jc w:val="left"/>
                          <w:rPr>
                            <w:rFonts w:ascii="宋体" w:hAnsi="宋体" w:cs="宋体" w:eastAsia="宋体" w:hint="default"/>
                            <w:sz w:val="15"/>
                            <w:szCs w:val="15"/>
                          </w:rPr>
                        </w:pPr>
                        <w:r>
                          <w:rPr>
                            <w:rFonts w:ascii="宋体" w:hAnsi="宋体" w:cs="宋体" w:eastAsia="宋体" w:hint="default"/>
                            <w:sz w:val="15"/>
                            <w:szCs w:val="15"/>
                          </w:rPr>
                          <w:t>欠公司本息</w:t>
                        </w:r>
                        <w:r>
                          <w:rPr>
                            <w:rFonts w:ascii="宋体" w:hAnsi="宋体" w:cs="宋体" w:eastAsia="宋体" w:hint="default"/>
                            <w:spacing w:val="-39"/>
                            <w:sz w:val="15"/>
                            <w:szCs w:val="15"/>
                          </w:rPr>
                          <w:t> </w:t>
                        </w:r>
                        <w:r>
                          <w:rPr>
                            <w:rFonts w:ascii="Arial" w:hAnsi="Arial" w:cs="Arial" w:eastAsia="Arial" w:hint="default"/>
                            <w:sz w:val="15"/>
                            <w:szCs w:val="15"/>
                          </w:rPr>
                          <w:t>51</w:t>
                        </w:r>
                        <w:r>
                          <w:rPr>
                            <w:rFonts w:ascii="Arial" w:hAnsi="Arial" w:cs="Arial" w:eastAsia="Arial" w:hint="default"/>
                            <w:spacing w:val="-6"/>
                            <w:sz w:val="15"/>
                            <w:szCs w:val="15"/>
                          </w:rPr>
                          <w:t> </w:t>
                        </w:r>
                        <w:r>
                          <w:rPr>
                            <w:rFonts w:ascii="宋体" w:hAnsi="宋体" w:cs="宋体" w:eastAsia="宋体" w:hint="default"/>
                            <w:sz w:val="15"/>
                            <w:szCs w:val="15"/>
                          </w:rPr>
                          <w:t>万元。鑫亚公司</w:t>
                        </w:r>
                      </w:p>
                      <w:p>
                        <w:pPr>
                          <w:pStyle w:val="TableParagraph"/>
                          <w:spacing w:line="201" w:lineRule="exact"/>
                          <w:ind w:left="23" w:right="0"/>
                          <w:jc w:val="left"/>
                          <w:rPr>
                            <w:rFonts w:ascii="宋体" w:hAnsi="宋体" w:cs="宋体" w:eastAsia="宋体" w:hint="default"/>
                            <w:sz w:val="15"/>
                            <w:szCs w:val="15"/>
                          </w:rPr>
                        </w:pPr>
                        <w:r>
                          <w:rPr>
                            <w:rFonts w:ascii="Arial" w:hAnsi="Arial" w:cs="Arial" w:eastAsia="Arial" w:hint="default"/>
                            <w:sz w:val="15"/>
                            <w:szCs w:val="15"/>
                          </w:rPr>
                          <w:t>2013</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Arial" w:hAnsi="Arial" w:cs="Arial" w:eastAsia="Arial" w:hint="default"/>
                            <w:sz w:val="15"/>
                            <w:szCs w:val="15"/>
                          </w:rPr>
                          <w:t>1</w:t>
                        </w:r>
                        <w:r>
                          <w:rPr>
                            <w:rFonts w:ascii="Arial" w:hAnsi="Arial" w:cs="Arial" w:eastAsia="Arial" w:hint="default"/>
                            <w:spacing w:val="-5"/>
                            <w:sz w:val="15"/>
                            <w:szCs w:val="15"/>
                          </w:rPr>
                          <w:t> </w:t>
                        </w:r>
                        <w:r>
                          <w:rPr>
                            <w:rFonts w:ascii="宋体" w:hAnsi="宋体" w:cs="宋体" w:eastAsia="宋体" w:hint="default"/>
                            <w:sz w:val="15"/>
                            <w:szCs w:val="15"/>
                          </w:rPr>
                          <w:t>月提起诉讼。</w:t>
                        </w:r>
                      </w:p>
                    </w:tc>
                    <w:tc>
                      <w:tcPr>
                        <w:tcW w:w="135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19"/>
                          <w:jc w:val="right"/>
                          <w:rPr>
                            <w:rFonts w:ascii="Arial" w:hAnsi="Arial" w:cs="Arial" w:eastAsia="Arial" w:hint="default"/>
                            <w:sz w:val="15"/>
                            <w:szCs w:val="15"/>
                          </w:rPr>
                        </w:pPr>
                        <w:r>
                          <w:rPr>
                            <w:rFonts w:ascii="Arial"/>
                            <w:spacing w:val="-1"/>
                            <w:sz w:val="15"/>
                          </w:rPr>
                          <w:t>510,000</w:t>
                        </w:r>
                      </w:p>
                    </w:tc>
                    <w:tc>
                      <w:tcPr>
                        <w:tcW w:w="838" w:type="dxa"/>
                        <w:tcBorders>
                          <w:top w:val="single" w:sz="4" w:space="0" w:color="41B7EE"/>
                          <w:left w:val="single" w:sz="4" w:space="0" w:color="41B7EE"/>
                          <w:bottom w:val="single" w:sz="4" w:space="0" w:color="41B7EE"/>
                          <w:right w:val="single" w:sz="4" w:space="0" w:color="41B7EE"/>
                        </w:tcBorders>
                      </w:tcPr>
                      <w:p>
                        <w:pPr/>
                      </w:p>
                    </w:tc>
                    <w:tc>
                      <w:tcPr>
                        <w:tcW w:w="242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宋体" w:hAnsi="宋体" w:cs="宋体" w:eastAsia="宋体" w:hint="default"/>
                            <w:sz w:val="14"/>
                            <w:szCs w:val="14"/>
                          </w:rPr>
                        </w:pPr>
                      </w:p>
                      <w:p>
                        <w:pPr>
                          <w:pStyle w:val="TableParagraph"/>
                          <w:spacing w:line="196" w:lineRule="exact" w:before="101"/>
                          <w:ind w:left="23" w:right="17"/>
                          <w:jc w:val="left"/>
                          <w:rPr>
                            <w:rFonts w:ascii="宋体" w:hAnsi="宋体" w:cs="宋体" w:eastAsia="宋体" w:hint="default"/>
                            <w:sz w:val="15"/>
                            <w:szCs w:val="15"/>
                          </w:rPr>
                        </w:pPr>
                        <w:r>
                          <w:rPr>
                            <w:rFonts w:ascii="Arial" w:hAnsi="Arial" w:cs="Arial" w:eastAsia="Arial" w:hint="default"/>
                            <w:sz w:val="15"/>
                            <w:szCs w:val="15"/>
                          </w:rPr>
                          <w:t>2013</w:t>
                        </w:r>
                        <w:r>
                          <w:rPr>
                            <w:rFonts w:ascii="Arial" w:hAnsi="Arial" w:cs="Arial" w:eastAsia="Arial" w:hint="default"/>
                            <w:spacing w:val="-16"/>
                            <w:sz w:val="15"/>
                            <w:szCs w:val="15"/>
                          </w:rPr>
                          <w:t> </w:t>
                        </w:r>
                        <w:r>
                          <w:rPr>
                            <w:rFonts w:ascii="宋体" w:hAnsi="宋体" w:cs="宋体" w:eastAsia="宋体" w:hint="default"/>
                            <w:sz w:val="15"/>
                            <w:szCs w:val="15"/>
                          </w:rPr>
                          <w:t>年</w:t>
                        </w:r>
                        <w:r>
                          <w:rPr>
                            <w:rFonts w:ascii="宋体" w:hAnsi="宋体" w:cs="宋体" w:eastAsia="宋体" w:hint="default"/>
                            <w:spacing w:val="-52"/>
                            <w:sz w:val="15"/>
                            <w:szCs w:val="15"/>
                          </w:rPr>
                          <w:t> </w:t>
                        </w:r>
                        <w:r>
                          <w:rPr>
                            <w:rFonts w:ascii="Arial" w:hAnsi="Arial" w:cs="Arial" w:eastAsia="Arial" w:hint="default"/>
                            <w:sz w:val="15"/>
                            <w:szCs w:val="15"/>
                          </w:rPr>
                          <w:t>5</w:t>
                        </w:r>
                        <w:r>
                          <w:rPr>
                            <w:rFonts w:ascii="Arial" w:hAnsi="Arial" w:cs="Arial" w:eastAsia="Arial" w:hint="default"/>
                            <w:spacing w:val="-17"/>
                            <w:sz w:val="15"/>
                            <w:szCs w:val="15"/>
                          </w:rPr>
                          <w:t> </w:t>
                        </w:r>
                        <w:r>
                          <w:rPr>
                            <w:rFonts w:ascii="宋体" w:hAnsi="宋体" w:cs="宋体" w:eastAsia="宋体" w:hint="default"/>
                            <w:sz w:val="15"/>
                            <w:szCs w:val="15"/>
                          </w:rPr>
                          <w:t>月</w:t>
                        </w:r>
                        <w:r>
                          <w:rPr>
                            <w:rFonts w:ascii="宋体" w:hAnsi="宋体" w:cs="宋体" w:eastAsia="宋体" w:hint="default"/>
                            <w:spacing w:val="-50"/>
                            <w:sz w:val="15"/>
                            <w:szCs w:val="15"/>
                          </w:rPr>
                          <w:t> </w:t>
                        </w:r>
                        <w:r>
                          <w:rPr>
                            <w:rFonts w:ascii="Arial" w:hAnsi="Arial" w:cs="Arial" w:eastAsia="Arial" w:hint="default"/>
                            <w:sz w:val="15"/>
                            <w:szCs w:val="15"/>
                          </w:rPr>
                          <w:t>16</w:t>
                        </w:r>
                        <w:r>
                          <w:rPr>
                            <w:rFonts w:ascii="Arial" w:hAnsi="Arial" w:cs="Arial" w:eastAsia="Arial" w:hint="default"/>
                            <w:spacing w:val="-17"/>
                            <w:sz w:val="15"/>
                            <w:szCs w:val="15"/>
                          </w:rPr>
                          <w:t> </w:t>
                        </w:r>
                        <w:r>
                          <w:rPr>
                            <w:rFonts w:ascii="宋体" w:hAnsi="宋体" w:cs="宋体" w:eastAsia="宋体" w:hint="default"/>
                            <w:sz w:val="15"/>
                            <w:szCs w:val="15"/>
                          </w:rPr>
                          <w:t>日在黑龙江省绥化农</w:t>
                        </w:r>
                        <w:r>
                          <w:rPr>
                            <w:rFonts w:ascii="宋体" w:hAnsi="宋体" w:cs="宋体" w:eastAsia="宋体" w:hint="default"/>
                            <w:w w:val="100"/>
                            <w:sz w:val="15"/>
                            <w:szCs w:val="15"/>
                          </w:rPr>
                          <w:t> </w:t>
                        </w:r>
                        <w:r>
                          <w:rPr>
                            <w:rFonts w:ascii="宋体" w:hAnsi="宋体" w:cs="宋体" w:eastAsia="宋体" w:hint="default"/>
                            <w:sz w:val="15"/>
                            <w:szCs w:val="15"/>
                          </w:rPr>
                          <w:t>垦法院达成民事调解，调解书编号</w:t>
                        </w:r>
                      </w:p>
                      <w:p>
                        <w:pPr>
                          <w:pStyle w:val="TableParagraph"/>
                          <w:spacing w:line="188" w:lineRule="exact"/>
                          <w:ind w:left="23" w:right="0"/>
                          <w:jc w:val="left"/>
                          <w:rPr>
                            <w:rFonts w:ascii="宋体" w:hAnsi="宋体" w:cs="宋体" w:eastAsia="宋体" w:hint="default"/>
                            <w:sz w:val="15"/>
                            <w:szCs w:val="15"/>
                          </w:rPr>
                        </w:pPr>
                        <w:r>
                          <w:rPr>
                            <w:rFonts w:ascii="宋体" w:hAnsi="宋体" w:cs="宋体" w:eastAsia="宋体" w:hint="default"/>
                            <w:sz w:val="15"/>
                            <w:szCs w:val="15"/>
                          </w:rPr>
                          <w:t>〔</w:t>
                        </w:r>
                        <w:r>
                          <w:rPr>
                            <w:rFonts w:ascii="Arial" w:hAnsi="Arial" w:cs="Arial" w:eastAsia="Arial" w:hint="default"/>
                            <w:sz w:val="15"/>
                            <w:szCs w:val="15"/>
                          </w:rPr>
                          <w:t>2013</w:t>
                        </w:r>
                        <w:r>
                          <w:rPr>
                            <w:rFonts w:ascii="宋体" w:hAnsi="宋体" w:cs="宋体" w:eastAsia="宋体" w:hint="default"/>
                            <w:sz w:val="15"/>
                            <w:szCs w:val="15"/>
                          </w:rPr>
                          <w:t>〕绥商初字第</w:t>
                        </w:r>
                        <w:r>
                          <w:rPr>
                            <w:rFonts w:ascii="宋体" w:hAnsi="宋体" w:cs="宋体" w:eastAsia="宋体" w:hint="default"/>
                            <w:spacing w:val="-39"/>
                            <w:sz w:val="15"/>
                            <w:szCs w:val="15"/>
                          </w:rPr>
                          <w:t> </w:t>
                        </w:r>
                        <w:r>
                          <w:rPr>
                            <w:rFonts w:ascii="Arial" w:hAnsi="Arial" w:cs="Arial" w:eastAsia="Arial" w:hint="default"/>
                            <w:sz w:val="15"/>
                            <w:szCs w:val="15"/>
                          </w:rPr>
                          <w:t>44</w:t>
                        </w:r>
                        <w:r>
                          <w:rPr>
                            <w:rFonts w:ascii="Arial" w:hAnsi="Arial" w:cs="Arial" w:eastAsia="Arial" w:hint="default"/>
                            <w:spacing w:val="-6"/>
                            <w:sz w:val="15"/>
                            <w:szCs w:val="15"/>
                          </w:rPr>
                          <w:t> </w:t>
                        </w:r>
                        <w:r>
                          <w:rPr>
                            <w:rFonts w:ascii="宋体" w:hAnsi="宋体" w:cs="宋体" w:eastAsia="宋体" w:hint="default"/>
                            <w:spacing w:val="-3"/>
                            <w:sz w:val="15"/>
                            <w:szCs w:val="15"/>
                          </w:rPr>
                          <w:t>号。</w:t>
                        </w:r>
                        <w:r>
                          <w:rPr>
                            <w:rFonts w:ascii="宋体" w:hAnsi="宋体" w:cs="宋体" w:eastAsia="宋体" w:hint="default"/>
                            <w:sz w:val="15"/>
                            <w:szCs w:val="15"/>
                          </w:rPr>
                        </w:r>
                      </w:p>
                    </w:tc>
                    <w:tc>
                      <w:tcPr>
                        <w:tcW w:w="285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02" w:lineRule="exact"/>
                          <w:ind w:left="24" w:right="0"/>
                          <w:jc w:val="left"/>
                          <w:rPr>
                            <w:rFonts w:ascii="宋体" w:hAnsi="宋体" w:cs="宋体" w:eastAsia="宋体" w:hint="default"/>
                            <w:sz w:val="15"/>
                            <w:szCs w:val="15"/>
                          </w:rPr>
                        </w:pPr>
                        <w:r>
                          <w:rPr>
                            <w:rFonts w:ascii="宋体" w:hAnsi="宋体" w:cs="宋体" w:eastAsia="宋体" w:hint="default"/>
                            <w:sz w:val="15"/>
                            <w:szCs w:val="15"/>
                          </w:rPr>
                          <w:t>调解结果：被告于</w:t>
                        </w:r>
                        <w:r>
                          <w:rPr>
                            <w:rFonts w:ascii="宋体" w:hAnsi="宋体" w:cs="宋体" w:eastAsia="宋体" w:hint="default"/>
                            <w:spacing w:val="-38"/>
                            <w:sz w:val="15"/>
                            <w:szCs w:val="15"/>
                          </w:rPr>
                          <w:t> </w:t>
                        </w:r>
                        <w:r>
                          <w:rPr>
                            <w:rFonts w:ascii="Arial" w:hAnsi="Arial" w:cs="Arial" w:eastAsia="Arial" w:hint="default"/>
                            <w:sz w:val="15"/>
                            <w:szCs w:val="15"/>
                          </w:rPr>
                          <w:t>2013</w:t>
                        </w:r>
                        <w:r>
                          <w:rPr>
                            <w:rFonts w:ascii="Arial" w:hAnsi="Arial" w:cs="Arial" w:eastAsia="Arial" w:hint="default"/>
                            <w:spacing w:val="-5"/>
                            <w:sz w:val="15"/>
                            <w:szCs w:val="15"/>
                          </w:rPr>
                          <w:t> </w:t>
                        </w:r>
                        <w:r>
                          <w:rPr>
                            <w:rFonts w:ascii="宋体" w:hAnsi="宋体" w:cs="宋体" w:eastAsia="宋体" w:hint="default"/>
                            <w:sz w:val="15"/>
                            <w:szCs w:val="15"/>
                          </w:rPr>
                          <w:t>年</w:t>
                        </w:r>
                        <w:r>
                          <w:rPr>
                            <w:rFonts w:ascii="宋体" w:hAnsi="宋体" w:cs="宋体" w:eastAsia="宋体" w:hint="default"/>
                            <w:spacing w:val="-36"/>
                            <w:sz w:val="15"/>
                            <w:szCs w:val="15"/>
                          </w:rPr>
                          <w:t> </w:t>
                        </w:r>
                        <w:r>
                          <w:rPr>
                            <w:rFonts w:ascii="Arial" w:hAnsi="Arial" w:cs="Arial" w:eastAsia="Arial" w:hint="default"/>
                            <w:sz w:val="15"/>
                            <w:szCs w:val="15"/>
                          </w:rPr>
                          <w:t>10</w:t>
                        </w:r>
                        <w:r>
                          <w:rPr>
                            <w:rFonts w:ascii="Arial" w:hAnsi="Arial" w:cs="Arial" w:eastAsia="Arial" w:hint="default"/>
                            <w:spacing w:val="-5"/>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1</w:t>
                        </w:r>
                        <w:r>
                          <w:rPr>
                            <w:rFonts w:ascii="Arial" w:hAnsi="Arial" w:cs="Arial" w:eastAsia="Arial" w:hint="default"/>
                            <w:spacing w:val="-5"/>
                            <w:sz w:val="15"/>
                            <w:szCs w:val="15"/>
                          </w:rPr>
                          <w:t> </w:t>
                        </w:r>
                        <w:r>
                          <w:rPr>
                            <w:rFonts w:ascii="宋体" w:hAnsi="宋体" w:cs="宋体" w:eastAsia="宋体" w:hint="default"/>
                            <w:sz w:val="15"/>
                            <w:szCs w:val="15"/>
                          </w:rPr>
                          <w:t>日前还</w:t>
                        </w:r>
                      </w:p>
                      <w:p>
                        <w:pPr>
                          <w:pStyle w:val="TableParagraph"/>
                          <w:spacing w:line="196" w:lineRule="exact"/>
                          <w:ind w:left="24" w:right="0"/>
                          <w:jc w:val="left"/>
                          <w:rPr>
                            <w:rFonts w:ascii="宋体" w:hAnsi="宋体" w:cs="宋体" w:eastAsia="宋体" w:hint="default"/>
                            <w:sz w:val="15"/>
                            <w:szCs w:val="15"/>
                          </w:rPr>
                        </w:pPr>
                        <w:r>
                          <w:rPr>
                            <w:rFonts w:ascii="宋体" w:hAnsi="宋体" w:cs="宋体" w:eastAsia="宋体" w:hint="default"/>
                            <w:sz w:val="15"/>
                            <w:szCs w:val="15"/>
                          </w:rPr>
                          <w:t>款</w:t>
                        </w:r>
                        <w:r>
                          <w:rPr>
                            <w:rFonts w:ascii="宋体" w:hAnsi="宋体" w:cs="宋体" w:eastAsia="宋体" w:hint="default"/>
                            <w:spacing w:val="-39"/>
                            <w:sz w:val="15"/>
                            <w:szCs w:val="15"/>
                          </w:rPr>
                          <w:t> </w:t>
                        </w:r>
                        <w:r>
                          <w:rPr>
                            <w:rFonts w:ascii="Arial" w:hAnsi="Arial" w:cs="Arial" w:eastAsia="Arial" w:hint="default"/>
                            <w:sz w:val="15"/>
                            <w:szCs w:val="15"/>
                          </w:rPr>
                          <w:t>60</w:t>
                        </w:r>
                        <w:r>
                          <w:rPr>
                            <w:rFonts w:ascii="Arial" w:hAnsi="Arial" w:cs="Arial" w:eastAsia="Arial" w:hint="default"/>
                            <w:spacing w:val="-6"/>
                            <w:sz w:val="15"/>
                            <w:szCs w:val="15"/>
                          </w:rPr>
                          <w:t> </w:t>
                        </w:r>
                        <w:r>
                          <w:rPr>
                            <w:rFonts w:ascii="宋体" w:hAnsi="宋体" w:cs="宋体" w:eastAsia="宋体" w:hint="default"/>
                            <w:sz w:val="15"/>
                            <w:szCs w:val="15"/>
                          </w:rPr>
                          <w:t>万元，到期如未能偿还，则按起诉金</w:t>
                        </w:r>
                      </w:p>
                      <w:p>
                        <w:pPr>
                          <w:pStyle w:val="TableParagraph"/>
                          <w:spacing w:line="201" w:lineRule="exact"/>
                          <w:ind w:left="24" w:right="0"/>
                          <w:jc w:val="left"/>
                          <w:rPr>
                            <w:rFonts w:ascii="宋体" w:hAnsi="宋体" w:cs="宋体" w:eastAsia="宋体" w:hint="default"/>
                            <w:sz w:val="15"/>
                            <w:szCs w:val="15"/>
                          </w:rPr>
                        </w:pPr>
                        <w:r>
                          <w:rPr>
                            <w:rFonts w:ascii="宋体" w:hAnsi="宋体" w:cs="宋体" w:eastAsia="宋体" w:hint="default"/>
                            <w:sz w:val="15"/>
                            <w:szCs w:val="15"/>
                          </w:rPr>
                          <w:t>额</w:t>
                        </w:r>
                        <w:r>
                          <w:rPr>
                            <w:rFonts w:ascii="宋体" w:hAnsi="宋体" w:cs="宋体" w:eastAsia="宋体" w:hint="default"/>
                            <w:spacing w:val="-38"/>
                            <w:sz w:val="15"/>
                            <w:szCs w:val="15"/>
                          </w:rPr>
                          <w:t> </w:t>
                        </w:r>
                        <w:r>
                          <w:rPr>
                            <w:rFonts w:ascii="Arial" w:hAnsi="Arial" w:cs="Arial" w:eastAsia="Arial" w:hint="default"/>
                            <w:sz w:val="15"/>
                            <w:szCs w:val="15"/>
                          </w:rPr>
                          <w:t>68</w:t>
                        </w:r>
                        <w:r>
                          <w:rPr>
                            <w:rFonts w:ascii="Arial" w:hAnsi="Arial" w:cs="Arial" w:eastAsia="Arial" w:hint="default"/>
                            <w:spacing w:val="-5"/>
                            <w:sz w:val="15"/>
                            <w:szCs w:val="15"/>
                          </w:rPr>
                          <w:t> </w:t>
                        </w:r>
                        <w:r>
                          <w:rPr>
                            <w:rFonts w:ascii="宋体" w:hAnsi="宋体" w:cs="宋体" w:eastAsia="宋体" w:hint="default"/>
                            <w:sz w:val="15"/>
                            <w:szCs w:val="15"/>
                          </w:rPr>
                          <w:t>万元给付。</w:t>
                        </w:r>
                      </w:p>
                    </w:tc>
                    <w:tc>
                      <w:tcPr>
                        <w:tcW w:w="1529" w:type="dxa"/>
                        <w:tcBorders>
                          <w:top w:val="single" w:sz="4" w:space="0" w:color="41B7EE"/>
                          <w:left w:val="single" w:sz="4" w:space="0" w:color="41B7EE"/>
                          <w:bottom w:val="single" w:sz="4" w:space="0" w:color="41B7EE"/>
                          <w:right w:val="nil" w:sz="6" w:space="0" w:color="auto"/>
                        </w:tcBorders>
                      </w:tcPr>
                      <w:p>
                        <w:pPr>
                          <w:pStyle w:val="TableParagraph"/>
                          <w:spacing w:line="171" w:lineRule="exact"/>
                          <w:ind w:left="21" w:right="0"/>
                          <w:jc w:val="left"/>
                          <w:rPr>
                            <w:rFonts w:ascii="宋体" w:hAnsi="宋体" w:cs="宋体" w:eastAsia="宋体" w:hint="default"/>
                            <w:sz w:val="15"/>
                            <w:szCs w:val="15"/>
                          </w:rPr>
                        </w:pPr>
                        <w:r>
                          <w:rPr>
                            <w:rFonts w:ascii="宋体" w:hAnsi="宋体" w:cs="宋体" w:eastAsia="宋体" w:hint="default"/>
                            <w:sz w:val="15"/>
                            <w:szCs w:val="15"/>
                          </w:rPr>
                          <w:t>被告到期后未能履行</w:t>
                        </w:r>
                      </w:p>
                      <w:p>
                        <w:pPr>
                          <w:pStyle w:val="TableParagraph"/>
                          <w:spacing w:line="240" w:lineRule="auto"/>
                          <w:ind w:left="21" w:right="24"/>
                          <w:jc w:val="left"/>
                          <w:rPr>
                            <w:rFonts w:ascii="宋体" w:hAnsi="宋体" w:cs="宋体" w:eastAsia="宋体" w:hint="default"/>
                            <w:sz w:val="15"/>
                            <w:szCs w:val="15"/>
                          </w:rPr>
                        </w:pPr>
                        <w:r>
                          <w:rPr>
                            <w:rFonts w:ascii="宋体" w:hAnsi="宋体" w:cs="宋体" w:eastAsia="宋体" w:hint="default"/>
                            <w:spacing w:val="-4"/>
                            <w:sz w:val="15"/>
                            <w:szCs w:val="15"/>
                          </w:rPr>
                          <w:t>还款义务，公司已向法</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院申请强制执行，</w:t>
                        </w:r>
                        <w:r>
                          <w:rPr>
                            <w:rFonts w:ascii="宋体" w:hAnsi="宋体" w:cs="宋体" w:eastAsia="宋体" w:hint="default"/>
                            <w:w w:val="100"/>
                            <w:sz w:val="15"/>
                            <w:szCs w:val="15"/>
                          </w:rPr>
                          <w:t> </w:t>
                        </w:r>
                        <w:r>
                          <w:rPr>
                            <w:rFonts w:ascii="Arial" w:hAnsi="Arial" w:cs="Arial" w:eastAsia="Arial" w:hint="default"/>
                            <w:sz w:val="15"/>
                            <w:szCs w:val="15"/>
                          </w:rPr>
                          <w:t>2017</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9</w:t>
                        </w:r>
                        <w:r>
                          <w:rPr>
                            <w:rFonts w:ascii="Arial" w:hAnsi="Arial" w:cs="Arial" w:eastAsia="Arial" w:hint="default"/>
                            <w:spacing w:val="-4"/>
                            <w:sz w:val="15"/>
                            <w:szCs w:val="15"/>
                          </w:rPr>
                          <w:t> </w:t>
                        </w:r>
                        <w:r>
                          <w:rPr>
                            <w:rFonts w:ascii="宋体" w:hAnsi="宋体" w:cs="宋体" w:eastAsia="宋体" w:hint="default"/>
                            <w:sz w:val="15"/>
                            <w:szCs w:val="15"/>
                          </w:rPr>
                          <w:t>月执行回款</w:t>
                        </w:r>
                      </w:p>
                      <w:p>
                        <w:pPr>
                          <w:pStyle w:val="TableParagraph"/>
                          <w:spacing w:line="194" w:lineRule="exact" w:before="8"/>
                          <w:ind w:left="21" w:right="26"/>
                          <w:jc w:val="left"/>
                          <w:rPr>
                            <w:rFonts w:ascii="宋体" w:hAnsi="宋体" w:cs="宋体" w:eastAsia="宋体" w:hint="default"/>
                            <w:sz w:val="15"/>
                            <w:szCs w:val="15"/>
                          </w:rPr>
                        </w:pPr>
                        <w:r>
                          <w:rPr>
                            <w:rFonts w:ascii="Arial" w:hAnsi="Arial" w:cs="Arial" w:eastAsia="Arial" w:hint="default"/>
                            <w:sz w:val="15"/>
                            <w:szCs w:val="15"/>
                          </w:rPr>
                          <w:t>7</w:t>
                        </w:r>
                        <w:r>
                          <w:rPr>
                            <w:rFonts w:ascii="Arial" w:hAnsi="Arial" w:cs="Arial" w:eastAsia="Arial" w:hint="default"/>
                            <w:spacing w:val="-5"/>
                            <w:sz w:val="15"/>
                            <w:szCs w:val="15"/>
                          </w:rPr>
                          <w:t> </w:t>
                        </w:r>
                        <w:r>
                          <w:rPr>
                            <w:rFonts w:ascii="宋体" w:hAnsi="宋体" w:cs="宋体" w:eastAsia="宋体" w:hint="default"/>
                            <w:sz w:val="15"/>
                            <w:szCs w:val="15"/>
                          </w:rPr>
                          <w:t>万元，剩余款项仍待</w:t>
                        </w:r>
                        <w:r>
                          <w:rPr>
                            <w:rFonts w:ascii="宋体" w:hAnsi="宋体" w:cs="宋体" w:eastAsia="宋体" w:hint="default"/>
                            <w:w w:val="100"/>
                            <w:sz w:val="15"/>
                            <w:szCs w:val="15"/>
                          </w:rPr>
                          <w:t> </w:t>
                        </w:r>
                        <w:r>
                          <w:rPr>
                            <w:rFonts w:ascii="宋体" w:hAnsi="宋体" w:cs="宋体" w:eastAsia="宋体" w:hint="default"/>
                            <w:sz w:val="15"/>
                            <w:szCs w:val="15"/>
                          </w:rPr>
                          <w:t>执行。</w:t>
                        </w:r>
                      </w:p>
                    </w:tc>
                  </w:tr>
                  <w:tr>
                    <w:trPr>
                      <w:trHeight w:val="797" w:hRule="exact"/>
                    </w:trPr>
                    <w:tc>
                      <w:tcPr>
                        <w:tcW w:w="612"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74"/>
                          <w:ind w:left="28" w:right="123"/>
                          <w:jc w:val="both"/>
                          <w:rPr>
                            <w:rFonts w:ascii="宋体" w:hAnsi="宋体" w:cs="宋体" w:eastAsia="宋体" w:hint="default"/>
                            <w:sz w:val="15"/>
                            <w:szCs w:val="15"/>
                          </w:rPr>
                        </w:pPr>
                        <w:r>
                          <w:rPr>
                            <w:rFonts w:ascii="宋体" w:hAnsi="宋体" w:cs="宋体" w:eastAsia="宋体" w:hint="default"/>
                            <w:sz w:val="15"/>
                            <w:szCs w:val="15"/>
                          </w:rPr>
                          <w:t>锦宸集</w:t>
                        </w:r>
                        <w:r>
                          <w:rPr>
                            <w:rFonts w:ascii="宋体" w:hAnsi="宋体" w:cs="宋体" w:eastAsia="宋体" w:hint="default"/>
                            <w:spacing w:val="-72"/>
                            <w:sz w:val="15"/>
                            <w:szCs w:val="15"/>
                          </w:rPr>
                          <w:t> </w:t>
                        </w:r>
                        <w:r>
                          <w:rPr>
                            <w:rFonts w:ascii="宋体" w:hAnsi="宋体" w:cs="宋体" w:eastAsia="宋体" w:hint="default"/>
                            <w:sz w:val="15"/>
                            <w:szCs w:val="15"/>
                          </w:rPr>
                          <w:t>团有限</w:t>
                        </w:r>
                        <w:r>
                          <w:rPr>
                            <w:rFonts w:ascii="宋体" w:hAnsi="宋体" w:cs="宋体" w:eastAsia="宋体" w:hint="default"/>
                            <w:spacing w:val="-72"/>
                            <w:sz w:val="15"/>
                            <w:szCs w:val="15"/>
                          </w:rPr>
                          <w:t> </w:t>
                        </w:r>
                        <w:r>
                          <w:rPr>
                            <w:rFonts w:ascii="宋体" w:hAnsi="宋体" w:cs="宋体" w:eastAsia="宋体" w:hint="default"/>
                            <w:sz w:val="15"/>
                            <w:szCs w:val="15"/>
                          </w:rPr>
                          <w:t>公司</w:t>
                        </w:r>
                      </w:p>
                    </w:tc>
                    <w:tc>
                      <w:tcPr>
                        <w:tcW w:w="646" w:type="dxa"/>
                        <w:tcBorders>
                          <w:top w:val="single" w:sz="4" w:space="0" w:color="41B7EE"/>
                          <w:left w:val="single" w:sz="4" w:space="0" w:color="41B7EE"/>
                          <w:bottom w:val="single" w:sz="8" w:space="0" w:color="41B7EE"/>
                          <w:right w:val="single" w:sz="4" w:space="0" w:color="41B7EE"/>
                        </w:tcBorders>
                      </w:tcPr>
                      <w:p>
                        <w:pPr>
                          <w:pStyle w:val="TableParagraph"/>
                          <w:spacing w:line="171" w:lineRule="exact"/>
                          <w:ind w:left="21" w:right="0"/>
                          <w:jc w:val="both"/>
                          <w:rPr>
                            <w:rFonts w:ascii="宋体" w:hAnsi="宋体" w:cs="宋体" w:eastAsia="宋体" w:hint="default"/>
                            <w:sz w:val="15"/>
                            <w:szCs w:val="15"/>
                          </w:rPr>
                        </w:pPr>
                        <w:r>
                          <w:rPr>
                            <w:rFonts w:ascii="宋体" w:hAnsi="宋体" w:cs="宋体" w:eastAsia="宋体" w:hint="default"/>
                            <w:sz w:val="15"/>
                            <w:szCs w:val="15"/>
                          </w:rPr>
                          <w:t>呼伦贝</w:t>
                        </w:r>
                      </w:p>
                      <w:p>
                        <w:pPr>
                          <w:pStyle w:val="TableParagraph"/>
                          <w:spacing w:line="240" w:lineRule="auto"/>
                          <w:ind w:left="21" w:right="158"/>
                          <w:jc w:val="both"/>
                          <w:rPr>
                            <w:rFonts w:ascii="宋体" w:hAnsi="宋体" w:cs="宋体" w:eastAsia="宋体" w:hint="default"/>
                            <w:sz w:val="15"/>
                            <w:szCs w:val="15"/>
                          </w:rPr>
                        </w:pPr>
                        <w:r>
                          <w:rPr>
                            <w:rFonts w:ascii="宋体" w:hAnsi="宋体" w:cs="宋体" w:eastAsia="宋体" w:hint="default"/>
                            <w:sz w:val="15"/>
                            <w:szCs w:val="15"/>
                          </w:rPr>
                          <w:t>尔市天</w:t>
                        </w:r>
                        <w:r>
                          <w:rPr>
                            <w:rFonts w:ascii="宋体" w:hAnsi="宋体" w:cs="宋体" w:eastAsia="宋体" w:hint="default"/>
                            <w:spacing w:val="-72"/>
                            <w:sz w:val="15"/>
                            <w:szCs w:val="15"/>
                          </w:rPr>
                          <w:t> </w:t>
                        </w:r>
                        <w:r>
                          <w:rPr>
                            <w:rFonts w:ascii="宋体" w:hAnsi="宋体" w:cs="宋体" w:eastAsia="宋体" w:hint="default"/>
                            <w:sz w:val="15"/>
                            <w:szCs w:val="15"/>
                          </w:rPr>
                          <w:t>顺房地</w:t>
                        </w:r>
                        <w:r>
                          <w:rPr>
                            <w:rFonts w:ascii="宋体" w:hAnsi="宋体" w:cs="宋体" w:eastAsia="宋体" w:hint="default"/>
                            <w:spacing w:val="-72"/>
                            <w:sz w:val="15"/>
                            <w:szCs w:val="15"/>
                          </w:rPr>
                          <w:t> </w:t>
                        </w:r>
                        <w:r>
                          <w:rPr>
                            <w:rFonts w:ascii="宋体" w:hAnsi="宋体" w:cs="宋体" w:eastAsia="宋体" w:hint="default"/>
                            <w:sz w:val="15"/>
                            <w:szCs w:val="15"/>
                          </w:rPr>
                          <w:t>产开发</w:t>
                        </w:r>
                      </w:p>
                    </w:tc>
                    <w:tc>
                      <w:tcPr>
                        <w:tcW w:w="794" w:type="dxa"/>
                        <w:tcBorders>
                          <w:top w:val="single" w:sz="4" w:space="0" w:color="41B7EE"/>
                          <w:left w:val="single" w:sz="4" w:space="0" w:color="41B7EE"/>
                          <w:bottom w:val="single" w:sz="8" w:space="0" w:color="41B7EE"/>
                          <w:right w:val="single" w:sz="4" w:space="0" w:color="41B7EE"/>
                        </w:tcBorders>
                      </w:tcPr>
                      <w:p>
                        <w:pPr/>
                      </w:p>
                    </w:tc>
                    <w:tc>
                      <w:tcPr>
                        <w:tcW w:w="600"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诉讼</w:t>
                        </w:r>
                      </w:p>
                    </w:tc>
                    <w:tc>
                      <w:tcPr>
                        <w:tcW w:w="2273" w:type="dxa"/>
                        <w:tcBorders>
                          <w:top w:val="single" w:sz="4" w:space="0" w:color="41B7EE"/>
                          <w:left w:val="single" w:sz="4" w:space="0" w:color="41B7EE"/>
                          <w:bottom w:val="single" w:sz="8" w:space="0" w:color="41B7EE"/>
                          <w:right w:val="single" w:sz="4" w:space="0" w:color="41B7EE"/>
                        </w:tcBorders>
                      </w:tcPr>
                      <w:p>
                        <w:pPr>
                          <w:pStyle w:val="TableParagraph"/>
                          <w:spacing w:line="177" w:lineRule="exact"/>
                          <w:ind w:left="23" w:right="0"/>
                          <w:jc w:val="both"/>
                          <w:rPr>
                            <w:rFonts w:ascii="宋体" w:hAnsi="宋体" w:cs="宋体" w:eastAsia="宋体" w:hint="default"/>
                            <w:sz w:val="15"/>
                            <w:szCs w:val="15"/>
                          </w:rPr>
                        </w:pPr>
                        <w:r>
                          <w:rPr>
                            <w:rFonts w:ascii="Arial" w:hAnsi="Arial" w:cs="Arial" w:eastAsia="Arial" w:hint="default"/>
                            <w:sz w:val="15"/>
                            <w:szCs w:val="15"/>
                          </w:rPr>
                          <w:t>2012</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Arial" w:hAnsi="Arial" w:cs="Arial" w:eastAsia="Arial" w:hint="default"/>
                            <w:sz w:val="15"/>
                            <w:szCs w:val="15"/>
                          </w:rPr>
                          <w:t>4</w:t>
                        </w:r>
                        <w:r>
                          <w:rPr>
                            <w:rFonts w:ascii="Arial" w:hAnsi="Arial" w:cs="Arial" w:eastAsia="Arial" w:hint="default"/>
                            <w:spacing w:val="-5"/>
                            <w:sz w:val="15"/>
                            <w:szCs w:val="15"/>
                          </w:rPr>
                          <w:t> </w:t>
                        </w:r>
                        <w:r>
                          <w:rPr>
                            <w:rFonts w:ascii="宋体" w:hAnsi="宋体" w:cs="宋体" w:eastAsia="宋体" w:hint="default"/>
                            <w:sz w:val="15"/>
                            <w:szCs w:val="15"/>
                          </w:rPr>
                          <w:t>月，在甲方天顺房地产</w:t>
                        </w:r>
                      </w:p>
                      <w:p>
                        <w:pPr>
                          <w:pStyle w:val="TableParagraph"/>
                          <w:spacing w:line="240" w:lineRule="auto"/>
                          <w:ind w:left="23" w:right="20"/>
                          <w:jc w:val="both"/>
                          <w:rPr>
                            <w:rFonts w:ascii="宋体" w:hAnsi="宋体" w:cs="宋体" w:eastAsia="宋体" w:hint="default"/>
                            <w:sz w:val="15"/>
                            <w:szCs w:val="15"/>
                          </w:rPr>
                        </w:pPr>
                        <w:r>
                          <w:rPr>
                            <w:rFonts w:ascii="宋体" w:hAnsi="宋体" w:cs="宋体" w:eastAsia="宋体" w:hint="default"/>
                            <w:spacing w:val="-4"/>
                            <w:sz w:val="15"/>
                            <w:szCs w:val="15"/>
                          </w:rPr>
                          <w:t>和总承包人锦宸集团签订《建设工</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pacing w:val="-4"/>
                            <w:sz w:val="15"/>
                            <w:szCs w:val="15"/>
                          </w:rPr>
                          <w:t>程施工合同框架协议书》时，为甲</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4"/>
                            <w:sz w:val="15"/>
                            <w:szCs w:val="15"/>
                          </w:rPr>
                          <w:t>方全权担保。要求鑫都房地产承担</w:t>
                        </w:r>
                      </w:p>
                    </w:tc>
                    <w:tc>
                      <w:tcPr>
                        <w:tcW w:w="1358"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7"/>
                          <w:ind w:right="19"/>
                          <w:jc w:val="right"/>
                          <w:rPr>
                            <w:rFonts w:ascii="Arial" w:hAnsi="Arial" w:cs="Arial" w:eastAsia="Arial" w:hint="default"/>
                            <w:sz w:val="15"/>
                            <w:szCs w:val="15"/>
                          </w:rPr>
                        </w:pPr>
                        <w:r>
                          <w:rPr>
                            <w:rFonts w:ascii="Arial"/>
                            <w:spacing w:val="-1"/>
                            <w:sz w:val="15"/>
                          </w:rPr>
                          <w:t>122,000,000</w:t>
                        </w:r>
                      </w:p>
                    </w:tc>
                    <w:tc>
                      <w:tcPr>
                        <w:tcW w:w="838" w:type="dxa"/>
                        <w:tcBorders>
                          <w:top w:val="single" w:sz="4" w:space="0" w:color="41B7EE"/>
                          <w:left w:val="single" w:sz="4" w:space="0" w:color="41B7EE"/>
                          <w:bottom w:val="single" w:sz="8" w:space="0" w:color="41B7EE"/>
                          <w:right w:val="single" w:sz="4" w:space="0" w:color="41B7EE"/>
                        </w:tcBorders>
                      </w:tcPr>
                      <w:p>
                        <w:pPr/>
                      </w:p>
                    </w:tc>
                    <w:tc>
                      <w:tcPr>
                        <w:tcW w:w="2422" w:type="dxa"/>
                        <w:tcBorders>
                          <w:top w:val="single" w:sz="4" w:space="0" w:color="41B7EE"/>
                          <w:left w:val="single" w:sz="4" w:space="0" w:color="41B7EE"/>
                          <w:bottom w:val="single" w:sz="8" w:space="0" w:color="41B7EE"/>
                          <w:right w:val="single" w:sz="4" w:space="0" w:color="41B7EE"/>
                        </w:tcBorders>
                      </w:tcPr>
                      <w:p>
                        <w:pPr>
                          <w:pStyle w:val="TableParagraph"/>
                          <w:spacing w:line="177" w:lineRule="exact"/>
                          <w:ind w:left="23" w:right="0"/>
                          <w:jc w:val="left"/>
                          <w:rPr>
                            <w:rFonts w:ascii="宋体" w:hAnsi="宋体" w:cs="宋体" w:eastAsia="宋体" w:hint="default"/>
                            <w:sz w:val="15"/>
                            <w:szCs w:val="15"/>
                          </w:rPr>
                        </w:pPr>
                        <w:r>
                          <w:rPr>
                            <w:rFonts w:ascii="Arial" w:hAnsi="Arial" w:cs="Arial" w:eastAsia="Arial" w:hint="default"/>
                            <w:sz w:val="15"/>
                            <w:szCs w:val="15"/>
                          </w:rPr>
                          <w:t>2018</w:t>
                        </w:r>
                        <w:r>
                          <w:rPr>
                            <w:rFonts w:ascii="Arial" w:hAnsi="Arial" w:cs="Arial" w:eastAsia="Arial" w:hint="default"/>
                            <w:spacing w:val="-16"/>
                            <w:sz w:val="15"/>
                            <w:szCs w:val="15"/>
                          </w:rPr>
                          <w:t> </w:t>
                        </w:r>
                        <w:r>
                          <w:rPr>
                            <w:rFonts w:ascii="宋体" w:hAnsi="宋体" w:cs="宋体" w:eastAsia="宋体" w:hint="default"/>
                            <w:sz w:val="15"/>
                            <w:szCs w:val="15"/>
                          </w:rPr>
                          <w:t>年</w:t>
                        </w:r>
                        <w:r>
                          <w:rPr>
                            <w:rFonts w:ascii="宋体" w:hAnsi="宋体" w:cs="宋体" w:eastAsia="宋体" w:hint="default"/>
                            <w:spacing w:val="-52"/>
                            <w:sz w:val="15"/>
                            <w:szCs w:val="15"/>
                          </w:rPr>
                          <w:t> </w:t>
                        </w:r>
                        <w:r>
                          <w:rPr>
                            <w:rFonts w:ascii="Arial" w:hAnsi="Arial" w:cs="Arial" w:eastAsia="Arial" w:hint="default"/>
                            <w:sz w:val="15"/>
                            <w:szCs w:val="15"/>
                          </w:rPr>
                          <w:t>4</w:t>
                        </w:r>
                        <w:r>
                          <w:rPr>
                            <w:rFonts w:ascii="Arial" w:hAnsi="Arial" w:cs="Arial" w:eastAsia="Arial" w:hint="default"/>
                            <w:spacing w:val="-17"/>
                            <w:sz w:val="15"/>
                            <w:szCs w:val="15"/>
                          </w:rPr>
                          <w:t> </w:t>
                        </w:r>
                        <w:r>
                          <w:rPr>
                            <w:rFonts w:ascii="宋体" w:hAnsi="宋体" w:cs="宋体" w:eastAsia="宋体" w:hint="default"/>
                            <w:sz w:val="15"/>
                            <w:szCs w:val="15"/>
                          </w:rPr>
                          <w:t>月</w:t>
                        </w:r>
                        <w:r>
                          <w:rPr>
                            <w:rFonts w:ascii="宋体" w:hAnsi="宋体" w:cs="宋体" w:eastAsia="宋体" w:hint="default"/>
                            <w:spacing w:val="-50"/>
                            <w:sz w:val="15"/>
                            <w:szCs w:val="15"/>
                          </w:rPr>
                          <w:t> </w:t>
                        </w:r>
                        <w:r>
                          <w:rPr>
                            <w:rFonts w:ascii="Arial" w:hAnsi="Arial" w:cs="Arial" w:eastAsia="Arial" w:hint="default"/>
                            <w:sz w:val="15"/>
                            <w:szCs w:val="15"/>
                          </w:rPr>
                          <w:t>20</w:t>
                        </w:r>
                        <w:r>
                          <w:rPr>
                            <w:rFonts w:ascii="Arial" w:hAnsi="Arial" w:cs="Arial" w:eastAsia="Arial" w:hint="default"/>
                            <w:spacing w:val="-17"/>
                            <w:sz w:val="15"/>
                            <w:szCs w:val="15"/>
                          </w:rPr>
                          <w:t> </w:t>
                        </w:r>
                        <w:r>
                          <w:rPr>
                            <w:rFonts w:ascii="宋体" w:hAnsi="宋体" w:cs="宋体" w:eastAsia="宋体" w:hint="default"/>
                            <w:sz w:val="15"/>
                            <w:szCs w:val="15"/>
                          </w:rPr>
                          <w:t>日内蒙古自治区高级</w:t>
                        </w:r>
                      </w:p>
                      <w:p>
                        <w:pPr>
                          <w:pStyle w:val="TableParagraph"/>
                          <w:spacing w:line="194" w:lineRule="exact"/>
                          <w:ind w:left="23" w:right="0"/>
                          <w:jc w:val="left"/>
                          <w:rPr>
                            <w:rFonts w:ascii="Arial" w:hAnsi="Arial" w:cs="Arial" w:eastAsia="Arial" w:hint="default"/>
                            <w:sz w:val="15"/>
                            <w:szCs w:val="15"/>
                          </w:rPr>
                        </w:pPr>
                        <w:r>
                          <w:rPr>
                            <w:rFonts w:ascii="宋体" w:hAnsi="宋体" w:cs="宋体" w:eastAsia="宋体" w:hint="default"/>
                            <w:sz w:val="15"/>
                            <w:szCs w:val="15"/>
                          </w:rPr>
                          <w:t>人民法院作出一审判决，</w:t>
                        </w:r>
                        <w:r>
                          <w:rPr>
                            <w:rFonts w:ascii="Arial" w:hAnsi="Arial" w:cs="Arial" w:eastAsia="Arial" w:hint="default"/>
                            <w:sz w:val="15"/>
                            <w:szCs w:val="15"/>
                          </w:rPr>
                          <w:t>2018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Arial" w:hAnsi="Arial" w:cs="Arial" w:eastAsia="Arial" w:hint="default"/>
                            <w:sz w:val="15"/>
                            <w:szCs w:val="15"/>
                          </w:rPr>
                          <w:t>6</w:t>
                        </w:r>
                      </w:p>
                      <w:p>
                        <w:pPr>
                          <w:pStyle w:val="TableParagraph"/>
                          <w:spacing w:line="196" w:lineRule="exact"/>
                          <w:ind w:left="23"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Arial" w:hAnsi="Arial" w:cs="Arial" w:eastAsia="Arial" w:hint="default"/>
                            <w:sz w:val="15"/>
                            <w:szCs w:val="15"/>
                          </w:rPr>
                          <w:t>25</w:t>
                        </w:r>
                        <w:r>
                          <w:rPr>
                            <w:rFonts w:ascii="Arial" w:hAnsi="Arial" w:cs="Arial" w:eastAsia="Arial" w:hint="default"/>
                            <w:spacing w:val="-6"/>
                            <w:sz w:val="15"/>
                            <w:szCs w:val="15"/>
                          </w:rPr>
                          <w:t> </w:t>
                        </w:r>
                        <w:r>
                          <w:rPr>
                            <w:rFonts w:ascii="宋体" w:hAnsi="宋体" w:cs="宋体" w:eastAsia="宋体" w:hint="default"/>
                            <w:sz w:val="15"/>
                            <w:szCs w:val="15"/>
                          </w:rPr>
                          <w:t>日鑫都公司收到原告锦宸集团</w:t>
                        </w:r>
                      </w:p>
                      <w:p>
                        <w:pPr>
                          <w:pStyle w:val="TableParagraph"/>
                          <w:spacing w:line="202" w:lineRule="exact"/>
                          <w:ind w:left="23" w:right="0"/>
                          <w:jc w:val="left"/>
                          <w:rPr>
                            <w:rFonts w:ascii="宋体" w:hAnsi="宋体" w:cs="宋体" w:eastAsia="宋体" w:hint="default"/>
                            <w:sz w:val="15"/>
                            <w:szCs w:val="15"/>
                          </w:rPr>
                        </w:pPr>
                        <w:r>
                          <w:rPr>
                            <w:rFonts w:ascii="宋体" w:hAnsi="宋体" w:cs="宋体" w:eastAsia="宋体" w:hint="default"/>
                            <w:sz w:val="15"/>
                            <w:szCs w:val="15"/>
                          </w:rPr>
                          <w:t>的上诉状。鑫都公司于</w:t>
                        </w:r>
                        <w:r>
                          <w:rPr>
                            <w:rFonts w:ascii="宋体" w:hAnsi="宋体" w:cs="宋体" w:eastAsia="宋体" w:hint="default"/>
                            <w:spacing w:val="-38"/>
                            <w:sz w:val="15"/>
                            <w:szCs w:val="15"/>
                          </w:rPr>
                          <w:t> </w:t>
                        </w:r>
                        <w:r>
                          <w:rPr>
                            <w:rFonts w:ascii="Arial" w:hAnsi="Arial" w:cs="Arial" w:eastAsia="Arial" w:hint="default"/>
                            <w:sz w:val="15"/>
                            <w:szCs w:val="15"/>
                          </w:rPr>
                          <w:t>2018</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Arial" w:hAnsi="Arial" w:cs="Arial" w:eastAsia="Arial" w:hint="default"/>
                            <w:sz w:val="15"/>
                            <w:szCs w:val="15"/>
                          </w:rPr>
                          <w:t>9</w:t>
                        </w:r>
                        <w:r>
                          <w:rPr>
                            <w:rFonts w:ascii="Arial" w:hAnsi="Arial" w:cs="Arial" w:eastAsia="Arial" w:hint="default"/>
                            <w:spacing w:val="-5"/>
                            <w:sz w:val="15"/>
                            <w:szCs w:val="15"/>
                          </w:rPr>
                          <w:t> </w:t>
                        </w:r>
                        <w:r>
                          <w:rPr>
                            <w:rFonts w:ascii="宋体" w:hAnsi="宋体" w:cs="宋体" w:eastAsia="宋体" w:hint="default"/>
                            <w:sz w:val="15"/>
                            <w:szCs w:val="15"/>
                          </w:rPr>
                          <w:t>月</w:t>
                        </w:r>
                      </w:p>
                    </w:tc>
                    <w:tc>
                      <w:tcPr>
                        <w:tcW w:w="2859" w:type="dxa"/>
                        <w:tcBorders>
                          <w:top w:val="single" w:sz="4" w:space="0" w:color="41B7EE"/>
                          <w:left w:val="single" w:sz="4" w:space="0" w:color="41B7EE"/>
                          <w:bottom w:val="single" w:sz="8" w:space="0" w:color="41B7EE"/>
                          <w:right w:val="single" w:sz="4" w:space="0" w:color="41B7EE"/>
                        </w:tcBorders>
                      </w:tcPr>
                      <w:p>
                        <w:pPr>
                          <w:pStyle w:val="TableParagraph"/>
                          <w:spacing w:line="177" w:lineRule="exact"/>
                          <w:ind w:left="24" w:right="0"/>
                          <w:jc w:val="left"/>
                          <w:rPr>
                            <w:rFonts w:ascii="宋体" w:hAnsi="宋体" w:cs="宋体" w:eastAsia="宋体" w:hint="default"/>
                            <w:sz w:val="15"/>
                            <w:szCs w:val="15"/>
                          </w:rPr>
                        </w:pPr>
                        <w:r>
                          <w:rPr>
                            <w:rFonts w:ascii="宋体" w:hAnsi="宋体" w:cs="宋体" w:eastAsia="宋体" w:hint="default"/>
                            <w:spacing w:val="-3"/>
                            <w:sz w:val="15"/>
                            <w:szCs w:val="15"/>
                          </w:rPr>
                          <w:t>一审判决：</w:t>
                        </w:r>
                        <w:r>
                          <w:rPr>
                            <w:rFonts w:ascii="Arial" w:hAnsi="Arial" w:cs="Arial" w:eastAsia="Arial" w:hint="default"/>
                            <w:spacing w:val="-3"/>
                            <w:sz w:val="15"/>
                            <w:szCs w:val="15"/>
                          </w:rPr>
                          <w:t>1.</w:t>
                        </w:r>
                        <w:r>
                          <w:rPr>
                            <w:rFonts w:ascii="宋体" w:hAnsi="宋体" w:cs="宋体" w:eastAsia="宋体" w:hint="default"/>
                            <w:spacing w:val="-3"/>
                            <w:sz w:val="15"/>
                            <w:szCs w:val="15"/>
                          </w:rPr>
                          <w:t>被告天顺房地产于本判决生效</w:t>
                        </w:r>
                      </w:p>
                      <w:p>
                        <w:pPr>
                          <w:pStyle w:val="TableParagraph"/>
                          <w:spacing w:line="189" w:lineRule="exact"/>
                          <w:ind w:left="24" w:right="0"/>
                          <w:jc w:val="left"/>
                          <w:rPr>
                            <w:rFonts w:ascii="宋体" w:hAnsi="宋体" w:cs="宋体" w:eastAsia="宋体" w:hint="default"/>
                            <w:sz w:val="15"/>
                            <w:szCs w:val="15"/>
                          </w:rPr>
                        </w:pPr>
                        <w:r>
                          <w:rPr>
                            <w:rFonts w:ascii="宋体" w:hAnsi="宋体" w:cs="宋体" w:eastAsia="宋体" w:hint="default"/>
                            <w:sz w:val="15"/>
                            <w:szCs w:val="15"/>
                          </w:rPr>
                          <w:t>之日起十日内给付原告锦宸集团工程款</w:t>
                        </w:r>
                      </w:p>
                      <w:p>
                        <w:pPr>
                          <w:pStyle w:val="TableParagraph"/>
                          <w:spacing w:line="201" w:lineRule="exact"/>
                          <w:ind w:left="24" w:right="0"/>
                          <w:jc w:val="left"/>
                          <w:rPr>
                            <w:rFonts w:ascii="宋体" w:hAnsi="宋体" w:cs="宋体" w:eastAsia="宋体" w:hint="default"/>
                            <w:sz w:val="15"/>
                            <w:szCs w:val="15"/>
                          </w:rPr>
                        </w:pPr>
                        <w:r>
                          <w:rPr>
                            <w:rFonts w:ascii="Arial" w:hAnsi="Arial" w:cs="Arial" w:eastAsia="Arial" w:hint="default"/>
                            <w:sz w:val="15"/>
                            <w:szCs w:val="15"/>
                          </w:rPr>
                          <w:t>121,038,195.88 </w:t>
                        </w:r>
                        <w:r>
                          <w:rPr>
                            <w:rFonts w:ascii="宋体" w:hAnsi="宋体" w:cs="宋体" w:eastAsia="宋体" w:hint="default"/>
                            <w:spacing w:val="-7"/>
                            <w:sz w:val="15"/>
                            <w:szCs w:val="15"/>
                          </w:rPr>
                          <w:t>元及利息（利息自 </w:t>
                        </w:r>
                        <w:r>
                          <w:rPr>
                            <w:rFonts w:ascii="Arial" w:hAnsi="Arial" w:cs="Arial" w:eastAsia="Arial" w:hint="default"/>
                            <w:sz w:val="15"/>
                            <w:szCs w:val="15"/>
                          </w:rPr>
                          <w:t>2015</w:t>
                        </w:r>
                        <w:r>
                          <w:rPr>
                            <w:rFonts w:ascii="Arial" w:hAnsi="Arial" w:cs="Arial" w:eastAsia="Arial" w:hint="default"/>
                            <w:spacing w:val="-23"/>
                            <w:sz w:val="15"/>
                            <w:szCs w:val="15"/>
                          </w:rPr>
                          <w:t> </w:t>
                        </w:r>
                        <w:r>
                          <w:rPr>
                            <w:rFonts w:ascii="宋体" w:hAnsi="宋体" w:cs="宋体" w:eastAsia="宋体" w:hint="default"/>
                            <w:sz w:val="15"/>
                            <w:szCs w:val="15"/>
                          </w:rPr>
                          <w:t>年</w:t>
                        </w:r>
                      </w:p>
                      <w:p>
                        <w:pPr>
                          <w:pStyle w:val="TableParagraph"/>
                          <w:spacing w:line="202" w:lineRule="exact"/>
                          <w:ind w:left="24" w:right="0"/>
                          <w:jc w:val="left"/>
                          <w:rPr>
                            <w:rFonts w:ascii="宋体" w:hAnsi="宋体" w:cs="宋体" w:eastAsia="宋体" w:hint="default"/>
                            <w:sz w:val="15"/>
                            <w:szCs w:val="15"/>
                          </w:rPr>
                        </w:pPr>
                        <w:r>
                          <w:rPr>
                            <w:rFonts w:ascii="Arial" w:hAnsi="Arial" w:cs="Arial" w:eastAsia="Arial" w:hint="default"/>
                            <w:sz w:val="15"/>
                            <w:szCs w:val="15"/>
                          </w:rPr>
                          <w:t>11</w:t>
                        </w:r>
                        <w:r>
                          <w:rPr>
                            <w:rFonts w:ascii="Arial" w:hAnsi="Arial" w:cs="Arial" w:eastAsia="Arial" w:hint="default"/>
                            <w:spacing w:val="-21"/>
                            <w:sz w:val="15"/>
                            <w:szCs w:val="15"/>
                          </w:rPr>
                          <w:t> </w:t>
                        </w:r>
                        <w:r>
                          <w:rPr>
                            <w:rFonts w:ascii="宋体" w:hAnsi="宋体" w:cs="宋体" w:eastAsia="宋体" w:hint="default"/>
                            <w:sz w:val="15"/>
                            <w:szCs w:val="15"/>
                          </w:rPr>
                          <w:t>月</w:t>
                        </w:r>
                        <w:r>
                          <w:rPr>
                            <w:rFonts w:ascii="宋体" w:hAnsi="宋体" w:cs="宋体" w:eastAsia="宋体" w:hint="default"/>
                            <w:spacing w:val="-54"/>
                            <w:sz w:val="15"/>
                            <w:szCs w:val="15"/>
                          </w:rPr>
                          <w:t> </w:t>
                        </w:r>
                        <w:r>
                          <w:rPr>
                            <w:rFonts w:ascii="Arial" w:hAnsi="Arial" w:cs="Arial" w:eastAsia="Arial" w:hint="default"/>
                            <w:sz w:val="15"/>
                            <w:szCs w:val="15"/>
                          </w:rPr>
                          <w:t>27</w:t>
                        </w:r>
                        <w:r>
                          <w:rPr>
                            <w:rFonts w:ascii="Arial" w:hAnsi="Arial" w:cs="Arial" w:eastAsia="Arial" w:hint="default"/>
                            <w:spacing w:val="-21"/>
                            <w:sz w:val="15"/>
                            <w:szCs w:val="15"/>
                          </w:rPr>
                          <w:t> </w:t>
                        </w:r>
                        <w:r>
                          <w:rPr>
                            <w:rFonts w:ascii="宋体" w:hAnsi="宋体" w:cs="宋体" w:eastAsia="宋体" w:hint="default"/>
                            <w:sz w:val="15"/>
                            <w:szCs w:val="15"/>
                          </w:rPr>
                          <w:t>日起至给付之日止按照中国人民银</w:t>
                        </w:r>
                      </w:p>
                    </w:tc>
                    <w:tc>
                      <w:tcPr>
                        <w:tcW w:w="1529" w:type="dxa"/>
                        <w:tcBorders>
                          <w:top w:val="single" w:sz="4" w:space="0" w:color="41B7EE"/>
                          <w:left w:val="single" w:sz="4" w:space="0" w:color="41B7EE"/>
                          <w:bottom w:val="single" w:sz="8" w:space="0" w:color="41B7EE"/>
                          <w:right w:val="nil" w:sz="6" w:space="0" w:color="auto"/>
                        </w:tcBorders>
                      </w:tcPr>
                      <w:p>
                        <w:pPr>
                          <w:pStyle w:val="TableParagraph"/>
                          <w:spacing w:line="177" w:lineRule="exact"/>
                          <w:ind w:left="21" w:right="0"/>
                          <w:jc w:val="left"/>
                          <w:rPr>
                            <w:rFonts w:ascii="宋体" w:hAnsi="宋体" w:cs="宋体" w:eastAsia="宋体" w:hint="default"/>
                            <w:sz w:val="15"/>
                            <w:szCs w:val="15"/>
                          </w:rPr>
                        </w:pPr>
                        <w:r>
                          <w:rPr>
                            <w:rFonts w:ascii="Arial" w:hAnsi="Arial" w:cs="Arial" w:eastAsia="Arial" w:hint="default"/>
                            <w:sz w:val="15"/>
                            <w:szCs w:val="15"/>
                          </w:rPr>
                          <w:t>2019</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5</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25</w:t>
                        </w:r>
                        <w:r>
                          <w:rPr>
                            <w:rFonts w:ascii="Arial" w:hAnsi="Arial" w:cs="Arial" w:eastAsia="Arial" w:hint="default"/>
                            <w:spacing w:val="-4"/>
                            <w:sz w:val="15"/>
                            <w:szCs w:val="15"/>
                          </w:rPr>
                          <w:t> </w:t>
                        </w:r>
                        <w:r>
                          <w:rPr>
                            <w:rFonts w:ascii="宋体" w:hAnsi="宋体" w:cs="宋体" w:eastAsia="宋体" w:hint="default"/>
                            <w:spacing w:val="-17"/>
                            <w:sz w:val="15"/>
                            <w:szCs w:val="15"/>
                          </w:rPr>
                          <w:t>日，鑫</w:t>
                        </w:r>
                      </w:p>
                      <w:p>
                        <w:pPr>
                          <w:pStyle w:val="TableParagraph"/>
                          <w:spacing w:line="240" w:lineRule="auto"/>
                          <w:ind w:left="21" w:right="24"/>
                          <w:jc w:val="left"/>
                          <w:rPr>
                            <w:rFonts w:ascii="宋体" w:hAnsi="宋体" w:cs="宋体" w:eastAsia="宋体" w:hint="default"/>
                            <w:sz w:val="15"/>
                            <w:szCs w:val="15"/>
                          </w:rPr>
                        </w:pPr>
                        <w:r>
                          <w:rPr>
                            <w:rFonts w:ascii="宋体" w:hAnsi="宋体" w:cs="宋体" w:eastAsia="宋体" w:hint="default"/>
                            <w:sz w:val="15"/>
                            <w:szCs w:val="15"/>
                          </w:rPr>
                          <w:t>都公司收到内蒙古自</w:t>
                        </w:r>
                        <w:r>
                          <w:rPr>
                            <w:rFonts w:ascii="宋体" w:hAnsi="宋体" w:cs="宋体" w:eastAsia="宋体" w:hint="default"/>
                            <w:w w:val="100"/>
                            <w:sz w:val="15"/>
                            <w:szCs w:val="15"/>
                          </w:rPr>
                          <w:t> </w:t>
                        </w:r>
                        <w:r>
                          <w:rPr>
                            <w:rFonts w:ascii="宋体" w:hAnsi="宋体" w:cs="宋体" w:eastAsia="宋体" w:hint="default"/>
                            <w:spacing w:val="-4"/>
                            <w:sz w:val="15"/>
                            <w:szCs w:val="15"/>
                          </w:rPr>
                          <w:t>治区高级人民法院《执</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pacing w:val="-4"/>
                            <w:sz w:val="15"/>
                            <w:szCs w:val="15"/>
                          </w:rPr>
                          <w:t>行裁定书》及内蒙古自</w:t>
                        </w:r>
                      </w:p>
                    </w:tc>
                  </w:tr>
                </w:tbl>
                <w:p>
                  <w:pPr/>
                </w:p>
              </w:txbxContent>
            </v:textbox>
            <w10:wrap type="none"/>
          </v:shape>
        </w:pict>
      </w:r>
    </w:p>
    <w:p>
      <w:pPr>
        <w:spacing w:line="240" w:lineRule="auto" w:before="2"/>
        <w:rPr>
          <w:rFonts w:ascii="Times New Roman" w:hAnsi="Times New Roman" w:cs="Times New Roman" w:eastAsia="Times New Roman" w:hint="default"/>
          <w:sz w:val="17"/>
          <w:szCs w:val="17"/>
        </w:rPr>
      </w:pPr>
    </w:p>
    <w:p>
      <w:pPr>
        <w:spacing w:line="20" w:lineRule="exact"/>
        <w:ind w:left="10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7.55pt;height:1pt;mso-position-horizontal-relative:char;mso-position-vertical-relative:line" coordorigin="0,0" coordsize="13951,20">
            <v:group style="position:absolute;left:10;top:10;width:608;height:2" coordorigin="10,10" coordsize="608,2">
              <v:shape style="position:absolute;left:10;top:10;width:608;height:2" coordorigin="10,10" coordsize="608,0" path="m10,10l617,10e" filled="false" stroked="true" strokeweight=".96pt" strokecolor="#41b7ee">
                <v:path arrowok="t"/>
              </v:shape>
            </v:group>
            <v:group style="position:absolute;left:617;top:10;width:58;height:2" coordorigin="617,10" coordsize="58,2">
              <v:shape style="position:absolute;left:617;top:10;width:58;height:2" coordorigin="617,10" coordsize="58,0" path="m617,10l675,10e" filled="false" stroked="true" strokeweight=".96pt" strokecolor="#41b7ee">
                <v:path arrowok="t"/>
              </v:shape>
            </v:group>
            <v:group style="position:absolute;left:675;top:10;width:588;height:2" coordorigin="675,10" coordsize="588,2">
              <v:shape style="position:absolute;left:675;top:10;width:588;height:2" coordorigin="675,10" coordsize="588,0" path="m675,10l1263,10e" filled="false" stroked="true" strokeweight=".96pt" strokecolor="#41b7ee">
                <v:path arrowok="t"/>
              </v:shape>
            </v:group>
            <v:group style="position:absolute;left:1263;top:10;width:58;height:2" coordorigin="1263,10" coordsize="58,2">
              <v:shape style="position:absolute;left:1263;top:10;width:58;height:2" coordorigin="1263,10" coordsize="58,0" path="m1263,10l1320,10e" filled="false" stroked="true" strokeweight=".96pt" strokecolor="#41b7ee">
                <v:path arrowok="t"/>
              </v:shape>
            </v:group>
            <v:group style="position:absolute;left:1320;top:10;width:737;height:2" coordorigin="1320,10" coordsize="737,2">
              <v:shape style="position:absolute;left:1320;top:10;width:737;height:2" coordorigin="1320,10" coordsize="737,0" path="m1320,10l2057,10e" filled="false" stroked="true" strokeweight=".96pt" strokecolor="#41b7ee">
                <v:path arrowok="t"/>
              </v:shape>
            </v:group>
            <v:group style="position:absolute;left:2057;top:10;width:58;height:2" coordorigin="2057,10" coordsize="58,2">
              <v:shape style="position:absolute;left:2057;top:10;width:58;height:2" coordorigin="2057,10" coordsize="58,0" path="m2057,10l2115,10e" filled="false" stroked="true" strokeweight=".96pt" strokecolor="#41b7ee">
                <v:path arrowok="t"/>
              </v:shape>
            </v:group>
            <v:group style="position:absolute;left:2115;top:10;width:543;height:2" coordorigin="2115,10" coordsize="543,2">
              <v:shape style="position:absolute;left:2115;top:10;width:543;height:2" coordorigin="2115,10" coordsize="543,0" path="m2115,10l2657,10e" filled="false" stroked="true" strokeweight=".96pt" strokecolor="#41b7ee">
                <v:path arrowok="t"/>
              </v:shape>
            </v:group>
            <v:group style="position:absolute;left:2657;top:10;width:58;height:2" coordorigin="2657,10" coordsize="58,2">
              <v:shape style="position:absolute;left:2657;top:10;width:58;height:2" coordorigin="2657,10" coordsize="58,0" path="m2657,10l2715,10e" filled="false" stroked="true" strokeweight=".96pt" strokecolor="#41b7ee">
                <v:path arrowok="t"/>
              </v:shape>
            </v:group>
            <v:group style="position:absolute;left:2715;top:10;width:2216;height:2" coordorigin="2715,10" coordsize="2216,2">
              <v:shape style="position:absolute;left:2715;top:10;width:2216;height:2" coordorigin="2715,10" coordsize="2216,0" path="m2715,10l4930,10e" filled="false" stroked="true" strokeweight=".96pt" strokecolor="#41b7ee">
                <v:path arrowok="t"/>
              </v:shape>
            </v:group>
            <v:group style="position:absolute;left:4931;top:10;width:58;height:2" coordorigin="4931,10" coordsize="58,2">
              <v:shape style="position:absolute;left:4931;top:10;width:58;height:2" coordorigin="4931,10" coordsize="58,0" path="m4931,10l4988,10e" filled="false" stroked="true" strokeweight=".96pt" strokecolor="#41b7ee">
                <v:path arrowok="t"/>
              </v:shape>
            </v:group>
            <v:group style="position:absolute;left:4988;top:10;width:1301;height:2" coordorigin="4988,10" coordsize="1301,2">
              <v:shape style="position:absolute;left:4988;top:10;width:1301;height:2" coordorigin="4988,10" coordsize="1301,0" path="m4988,10l6289,10e" filled="false" stroked="true" strokeweight=".96pt" strokecolor="#41b7ee">
                <v:path arrowok="t"/>
              </v:shape>
            </v:group>
            <v:group style="position:absolute;left:6289;top:10;width:58;height:2" coordorigin="6289,10" coordsize="58,2">
              <v:shape style="position:absolute;left:6289;top:10;width:58;height:2" coordorigin="6289,10" coordsize="58,0" path="m6289,10l6347,10e" filled="false" stroked="true" strokeweight=".96pt" strokecolor="#41b7ee">
                <v:path arrowok="t"/>
              </v:shape>
            </v:group>
            <v:group style="position:absolute;left:6347;top:10;width:780;height:2" coordorigin="6347,10" coordsize="780,2">
              <v:shape style="position:absolute;left:6347;top:10;width:780;height:2" coordorigin="6347,10" coordsize="780,0" path="m6347,10l7127,10e" filled="false" stroked="true" strokeweight=".96pt" strokecolor="#41b7ee">
                <v:path arrowok="t"/>
              </v:shape>
            </v:group>
            <v:group style="position:absolute;left:7127;top:10;width:58;height:2" coordorigin="7127,10" coordsize="58,2">
              <v:shape style="position:absolute;left:7127;top:10;width:58;height:2" coordorigin="7127,10" coordsize="58,0" path="m7127,10l7184,10e" filled="false" stroked="true" strokeweight=".96pt" strokecolor="#41b7ee">
                <v:path arrowok="t"/>
              </v:shape>
            </v:group>
            <v:group style="position:absolute;left:7184;top:10;width:2365;height:2" coordorigin="7184,10" coordsize="2365,2">
              <v:shape style="position:absolute;left:7184;top:10;width:2365;height:2" coordorigin="7184,10" coordsize="2365,0" path="m7184,10l9549,10e" filled="false" stroked="true" strokeweight=".96pt" strokecolor="#41b7ee">
                <v:path arrowok="t"/>
              </v:shape>
            </v:group>
            <v:group style="position:absolute;left:9549;top:10;width:58;height:2" coordorigin="9549,10" coordsize="58,2">
              <v:shape style="position:absolute;left:9549;top:10;width:58;height:2" coordorigin="9549,10" coordsize="58,0" path="m9549,10l9606,10e" filled="false" stroked="true" strokeweight=".96pt" strokecolor="#41b7ee">
                <v:path arrowok="t"/>
              </v:shape>
            </v:group>
            <v:group style="position:absolute;left:9606;top:10;width:2802;height:2" coordorigin="9606,10" coordsize="2802,2">
              <v:shape style="position:absolute;left:9606;top:10;width:2802;height:2" coordorigin="9606,10" coordsize="2802,0" path="m9606,10l12407,10e" filled="false" stroked="true" strokeweight=".96pt" strokecolor="#41b7ee">
                <v:path arrowok="t"/>
              </v:shape>
            </v:group>
            <v:group style="position:absolute;left:12408;top:10;width:58;height:2" coordorigin="12408,10" coordsize="58,2">
              <v:shape style="position:absolute;left:12408;top:10;width:58;height:2" coordorigin="12408,10" coordsize="58,0" path="m12408,10l12465,10e" filled="false" stroked="true" strokeweight=".96pt" strokecolor="#41b7ee">
                <v:path arrowok="t"/>
              </v:shape>
            </v:group>
            <v:group style="position:absolute;left:12465;top:10;width:1476;height:2" coordorigin="12465,10" coordsize="1476,2">
              <v:shape style="position:absolute;left:12465;top:10;width:1476;height:2" coordorigin="12465,10" coordsize="1476,0" path="m12465,10l13941,10e" filled="false" stroked="true" strokeweight=".96pt" strokecolor="#41b7ee">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spacing w:before="54"/>
        <w:ind w:left="0" w:right="105" w:firstLine="0"/>
        <w:jc w:val="right"/>
        <w:rPr>
          <w:rFonts w:ascii="宋体" w:hAnsi="宋体" w:cs="宋体" w:eastAsia="宋体" w:hint="default"/>
          <w:sz w:val="15"/>
          <w:szCs w:val="15"/>
        </w:rPr>
      </w:pPr>
      <w:r>
        <w:rPr>
          <w:rFonts w:ascii="宋体" w:hAnsi="宋体" w:cs="宋体" w:eastAsia="宋体" w:hint="default"/>
          <w:w w:val="100"/>
          <w:sz w:val="15"/>
          <w:szCs w:val="15"/>
        </w:rPr>
        <w:t>、</w:t>
      </w:r>
    </w:p>
    <w:p>
      <w:pPr>
        <w:spacing w:after="0"/>
        <w:jc w:val="right"/>
        <w:rPr>
          <w:rFonts w:ascii="宋体" w:hAnsi="宋体" w:cs="宋体" w:eastAsia="宋体" w:hint="default"/>
          <w:sz w:val="15"/>
          <w:szCs w:val="15"/>
        </w:rPr>
        <w:sectPr>
          <w:footerReference w:type="default" r:id="rId22"/>
          <w:pgSz w:w="16840" w:h="11910" w:orient="landscape"/>
          <w:pgMar w:footer="1391" w:header="825" w:top="1360" w:bottom="1620" w:left="1300" w:right="1340"/>
          <w:pgNumType w:start="36"/>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p>
      <w:pPr>
        <w:spacing w:line="20" w:lineRule="exact"/>
        <w:ind w:left="10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7.55pt;height:1pt;mso-position-horizontal-relative:char;mso-position-vertical-relative:line" coordorigin="0,0" coordsize="13951,20">
            <v:group style="position:absolute;left:10;top:10;width:608;height:2" coordorigin="10,10" coordsize="608,2">
              <v:shape style="position:absolute;left:10;top:10;width:608;height:2" coordorigin="10,10" coordsize="608,0" path="m10,10l617,10e" filled="false" stroked="true" strokeweight=".96pt" strokecolor="#41b7ee">
                <v:path arrowok="t"/>
              </v:shape>
            </v:group>
            <v:group style="position:absolute;left:617;top:10;width:58;height:2" coordorigin="617,10" coordsize="58,2">
              <v:shape style="position:absolute;left:617;top:10;width:58;height:2" coordorigin="617,10" coordsize="58,0" path="m617,10l675,10e" filled="false" stroked="true" strokeweight=".96pt" strokecolor="#41b7ee">
                <v:path arrowok="t"/>
              </v:shape>
            </v:group>
            <v:group style="position:absolute;left:675;top:10;width:588;height:2" coordorigin="675,10" coordsize="588,2">
              <v:shape style="position:absolute;left:675;top:10;width:588;height:2" coordorigin="675,10" coordsize="588,0" path="m675,10l1263,10e" filled="false" stroked="true" strokeweight=".96pt" strokecolor="#41b7ee">
                <v:path arrowok="t"/>
              </v:shape>
            </v:group>
            <v:group style="position:absolute;left:1263;top:10;width:58;height:2" coordorigin="1263,10" coordsize="58,2">
              <v:shape style="position:absolute;left:1263;top:10;width:58;height:2" coordorigin="1263,10" coordsize="58,0" path="m1263,10l1320,10e" filled="false" stroked="true" strokeweight=".96pt" strokecolor="#41b7ee">
                <v:path arrowok="t"/>
              </v:shape>
            </v:group>
            <v:group style="position:absolute;left:1320;top:10;width:737;height:2" coordorigin="1320,10" coordsize="737,2">
              <v:shape style="position:absolute;left:1320;top:10;width:737;height:2" coordorigin="1320,10" coordsize="737,0" path="m1320,10l2057,10e" filled="false" stroked="true" strokeweight=".96pt" strokecolor="#41b7ee">
                <v:path arrowok="t"/>
              </v:shape>
            </v:group>
            <v:group style="position:absolute;left:2057;top:10;width:58;height:2" coordorigin="2057,10" coordsize="58,2">
              <v:shape style="position:absolute;left:2057;top:10;width:58;height:2" coordorigin="2057,10" coordsize="58,0" path="m2057,10l2115,10e" filled="false" stroked="true" strokeweight=".96pt" strokecolor="#41b7ee">
                <v:path arrowok="t"/>
              </v:shape>
            </v:group>
            <v:group style="position:absolute;left:2115;top:10;width:543;height:2" coordorigin="2115,10" coordsize="543,2">
              <v:shape style="position:absolute;left:2115;top:10;width:543;height:2" coordorigin="2115,10" coordsize="543,0" path="m2115,10l2657,10e" filled="false" stroked="true" strokeweight=".96pt" strokecolor="#41b7ee">
                <v:path arrowok="t"/>
              </v:shape>
            </v:group>
            <v:group style="position:absolute;left:2657;top:10;width:58;height:2" coordorigin="2657,10" coordsize="58,2">
              <v:shape style="position:absolute;left:2657;top:10;width:58;height:2" coordorigin="2657,10" coordsize="58,0" path="m2657,10l2715,10e" filled="false" stroked="true" strokeweight=".96pt" strokecolor="#41b7ee">
                <v:path arrowok="t"/>
              </v:shape>
            </v:group>
            <v:group style="position:absolute;left:2715;top:10;width:2216;height:2" coordorigin="2715,10" coordsize="2216,2">
              <v:shape style="position:absolute;left:2715;top:10;width:2216;height:2" coordorigin="2715,10" coordsize="2216,0" path="m2715,10l4930,10e" filled="false" stroked="true" strokeweight=".96pt" strokecolor="#41b7ee">
                <v:path arrowok="t"/>
              </v:shape>
            </v:group>
            <v:group style="position:absolute;left:4931;top:10;width:58;height:2" coordorigin="4931,10" coordsize="58,2">
              <v:shape style="position:absolute;left:4931;top:10;width:58;height:2" coordorigin="4931,10" coordsize="58,0" path="m4931,10l4988,10e" filled="false" stroked="true" strokeweight=".96pt" strokecolor="#41b7ee">
                <v:path arrowok="t"/>
              </v:shape>
            </v:group>
            <v:group style="position:absolute;left:4988;top:10;width:1301;height:2" coordorigin="4988,10" coordsize="1301,2">
              <v:shape style="position:absolute;left:4988;top:10;width:1301;height:2" coordorigin="4988,10" coordsize="1301,0" path="m4988,10l6289,10e" filled="false" stroked="true" strokeweight=".96pt" strokecolor="#41b7ee">
                <v:path arrowok="t"/>
              </v:shape>
            </v:group>
            <v:group style="position:absolute;left:6289;top:10;width:58;height:2" coordorigin="6289,10" coordsize="58,2">
              <v:shape style="position:absolute;left:6289;top:10;width:58;height:2" coordorigin="6289,10" coordsize="58,0" path="m6289,10l6347,10e" filled="false" stroked="true" strokeweight=".96pt" strokecolor="#41b7ee">
                <v:path arrowok="t"/>
              </v:shape>
            </v:group>
            <v:group style="position:absolute;left:6347;top:10;width:780;height:2" coordorigin="6347,10" coordsize="780,2">
              <v:shape style="position:absolute;left:6347;top:10;width:780;height:2" coordorigin="6347,10" coordsize="780,0" path="m6347,10l7127,10e" filled="false" stroked="true" strokeweight=".96pt" strokecolor="#41b7ee">
                <v:path arrowok="t"/>
              </v:shape>
            </v:group>
            <v:group style="position:absolute;left:7127;top:10;width:58;height:2" coordorigin="7127,10" coordsize="58,2">
              <v:shape style="position:absolute;left:7127;top:10;width:58;height:2" coordorigin="7127,10" coordsize="58,0" path="m7127,10l7184,10e" filled="false" stroked="true" strokeweight=".96pt" strokecolor="#41b7ee">
                <v:path arrowok="t"/>
              </v:shape>
            </v:group>
            <v:group style="position:absolute;left:7184;top:10;width:2365;height:2" coordorigin="7184,10" coordsize="2365,2">
              <v:shape style="position:absolute;left:7184;top:10;width:2365;height:2" coordorigin="7184,10" coordsize="2365,0" path="m7184,10l9549,10e" filled="false" stroked="true" strokeweight=".96pt" strokecolor="#41b7ee">
                <v:path arrowok="t"/>
              </v:shape>
            </v:group>
            <v:group style="position:absolute;left:9549;top:10;width:58;height:2" coordorigin="9549,10" coordsize="58,2">
              <v:shape style="position:absolute;left:9549;top:10;width:58;height:2" coordorigin="9549,10" coordsize="58,0" path="m9549,10l9606,10e" filled="false" stroked="true" strokeweight=".96pt" strokecolor="#41b7ee">
                <v:path arrowok="t"/>
              </v:shape>
            </v:group>
            <v:group style="position:absolute;left:9606;top:10;width:2802;height:2" coordorigin="9606,10" coordsize="2802,2">
              <v:shape style="position:absolute;left:9606;top:10;width:2802;height:2" coordorigin="9606,10" coordsize="2802,0" path="m9606,10l12407,10e" filled="false" stroked="true" strokeweight=".96pt" strokecolor="#41b7ee">
                <v:path arrowok="t"/>
              </v:shape>
            </v:group>
            <v:group style="position:absolute;left:12408;top:10;width:58;height:2" coordorigin="12408,10" coordsize="58,2">
              <v:shape style="position:absolute;left:12408;top:10;width:58;height:2" coordorigin="12408,10" coordsize="58,0" path="m12408,10l12465,10e" filled="false" stroked="true" strokeweight=".96pt" strokecolor="#41b7ee">
                <v:path arrowok="t"/>
              </v:shape>
            </v:group>
            <v:group style="position:absolute;left:12465;top:10;width:1476;height:2" coordorigin="12465,10" coordsize="1476,2">
              <v:shape style="position:absolute;left:12465;top:10;width:1476;height:2" coordorigin="12465,10" coordsize="1476,0" path="m12465,10l13941,10e" filled="false" stroked="true" strokeweight=".96pt" strokecolor="#41b7ee">
                <v:path arrowok="t"/>
              </v:shape>
            </v:group>
          </v:group>
        </w:pict>
      </w:r>
      <w:r>
        <w:rPr>
          <w:rFonts w:ascii="Times New Roman" w:hAnsi="Times New Roman" w:cs="Times New Roman" w:eastAsia="Times New Roman"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612"/>
        <w:gridCol w:w="646"/>
        <w:gridCol w:w="794"/>
        <w:gridCol w:w="600"/>
        <w:gridCol w:w="2273"/>
        <w:gridCol w:w="1358"/>
        <w:gridCol w:w="838"/>
        <w:gridCol w:w="2422"/>
        <w:gridCol w:w="2859"/>
        <w:gridCol w:w="1529"/>
      </w:tblGrid>
      <w:tr>
        <w:trPr>
          <w:trHeight w:val="8390" w:hRule="exact"/>
        </w:trPr>
        <w:tc>
          <w:tcPr>
            <w:tcW w:w="612" w:type="dxa"/>
            <w:tcBorders>
              <w:top w:val="single" w:sz="8" w:space="0" w:color="41B7EE"/>
              <w:left w:val="nil" w:sz="6" w:space="0" w:color="auto"/>
              <w:bottom w:val="single" w:sz="8" w:space="0" w:color="41B7EE"/>
              <w:right w:val="single" w:sz="4" w:space="0" w:color="41B7EE"/>
            </w:tcBorders>
          </w:tcPr>
          <w:p>
            <w:pPr/>
          </w:p>
        </w:tc>
        <w:tc>
          <w:tcPr>
            <w:tcW w:w="646" w:type="dxa"/>
            <w:tcBorders>
              <w:top w:val="single" w:sz="8" w:space="0" w:color="41B7EE"/>
              <w:left w:val="single" w:sz="4" w:space="0" w:color="41B7EE"/>
              <w:bottom w:val="single" w:sz="8" w:space="0" w:color="41B7EE"/>
              <w:right w:val="single" w:sz="4" w:space="0" w:color="41B7EE"/>
            </w:tcBorders>
          </w:tcPr>
          <w:p>
            <w:pPr>
              <w:pStyle w:val="TableParagraph"/>
              <w:spacing w:line="174" w:lineRule="exact"/>
              <w:ind w:left="21" w:right="0"/>
              <w:jc w:val="left"/>
              <w:rPr>
                <w:rFonts w:ascii="宋体" w:hAnsi="宋体" w:cs="宋体" w:eastAsia="宋体" w:hint="default"/>
                <w:sz w:val="15"/>
                <w:szCs w:val="15"/>
              </w:rPr>
            </w:pPr>
            <w:r>
              <w:rPr>
                <w:rFonts w:ascii="宋体" w:hAnsi="宋体" w:cs="宋体" w:eastAsia="宋体" w:hint="default"/>
                <w:sz w:val="15"/>
                <w:szCs w:val="15"/>
              </w:rPr>
              <w:t>有限公</w:t>
            </w:r>
          </w:p>
          <w:p>
            <w:pPr>
              <w:pStyle w:val="TableParagraph"/>
              <w:spacing w:line="240" w:lineRule="auto"/>
              <w:ind w:left="21" w:right="19"/>
              <w:jc w:val="left"/>
              <w:rPr>
                <w:rFonts w:ascii="宋体" w:hAnsi="宋体" w:cs="宋体" w:eastAsia="宋体" w:hint="default"/>
                <w:sz w:val="15"/>
                <w:szCs w:val="15"/>
              </w:rPr>
            </w:pPr>
            <w:r>
              <w:rPr>
                <w:rFonts w:ascii="宋体" w:hAnsi="宋体" w:cs="宋体" w:eastAsia="宋体" w:hint="default"/>
                <w:spacing w:val="-4"/>
                <w:sz w:val="15"/>
                <w:szCs w:val="15"/>
              </w:rPr>
              <w:t>司、北大</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荒鑫都</w:t>
            </w:r>
            <w:r>
              <w:rPr>
                <w:rFonts w:ascii="宋体" w:hAnsi="宋体" w:cs="宋体" w:eastAsia="宋体" w:hint="default"/>
                <w:spacing w:val="-72"/>
                <w:sz w:val="15"/>
                <w:szCs w:val="15"/>
              </w:rPr>
              <w:t> </w:t>
            </w:r>
            <w:r>
              <w:rPr>
                <w:rFonts w:ascii="宋体" w:hAnsi="宋体" w:cs="宋体" w:eastAsia="宋体" w:hint="default"/>
                <w:sz w:val="15"/>
                <w:szCs w:val="15"/>
              </w:rPr>
              <w:t>房地产</w:t>
            </w:r>
            <w:r>
              <w:rPr>
                <w:rFonts w:ascii="宋体" w:hAnsi="宋体" w:cs="宋体" w:eastAsia="宋体" w:hint="default"/>
                <w:spacing w:val="-72"/>
                <w:sz w:val="15"/>
                <w:szCs w:val="15"/>
              </w:rPr>
              <w:t> </w:t>
            </w:r>
            <w:r>
              <w:rPr>
                <w:rFonts w:ascii="宋体" w:hAnsi="宋体" w:cs="宋体" w:eastAsia="宋体" w:hint="default"/>
                <w:sz w:val="15"/>
                <w:szCs w:val="15"/>
              </w:rPr>
              <w:t>开发有</w:t>
            </w:r>
            <w:r>
              <w:rPr>
                <w:rFonts w:ascii="宋体" w:hAnsi="宋体" w:cs="宋体" w:eastAsia="宋体" w:hint="default"/>
                <w:spacing w:val="-72"/>
                <w:sz w:val="15"/>
                <w:szCs w:val="15"/>
              </w:rPr>
              <w:t> </w:t>
            </w:r>
            <w:r>
              <w:rPr>
                <w:rFonts w:ascii="宋体" w:hAnsi="宋体" w:cs="宋体" w:eastAsia="宋体" w:hint="default"/>
                <w:sz w:val="15"/>
                <w:szCs w:val="15"/>
              </w:rPr>
              <w:t>限公司</w:t>
            </w:r>
          </w:p>
        </w:tc>
        <w:tc>
          <w:tcPr>
            <w:tcW w:w="794" w:type="dxa"/>
            <w:tcBorders>
              <w:top w:val="single" w:sz="8" w:space="0" w:color="41B7EE"/>
              <w:left w:val="single" w:sz="4" w:space="0" w:color="41B7EE"/>
              <w:bottom w:val="single" w:sz="8" w:space="0" w:color="41B7EE"/>
              <w:right w:val="single" w:sz="4" w:space="0" w:color="41B7EE"/>
            </w:tcBorders>
          </w:tcPr>
          <w:p>
            <w:pPr/>
          </w:p>
        </w:tc>
        <w:tc>
          <w:tcPr>
            <w:tcW w:w="600" w:type="dxa"/>
            <w:tcBorders>
              <w:top w:val="single" w:sz="8" w:space="0" w:color="41B7EE"/>
              <w:left w:val="single" w:sz="4" w:space="0" w:color="41B7EE"/>
              <w:bottom w:val="single" w:sz="8" w:space="0" w:color="41B7EE"/>
              <w:right w:val="single" w:sz="4" w:space="0" w:color="41B7EE"/>
            </w:tcBorders>
          </w:tcPr>
          <w:p>
            <w:pPr/>
          </w:p>
        </w:tc>
        <w:tc>
          <w:tcPr>
            <w:tcW w:w="2273" w:type="dxa"/>
            <w:tcBorders>
              <w:top w:val="single" w:sz="8" w:space="0" w:color="41B7EE"/>
              <w:left w:val="single" w:sz="4" w:space="0" w:color="41B7EE"/>
              <w:bottom w:val="single" w:sz="8" w:space="0" w:color="41B7EE"/>
              <w:right w:val="single" w:sz="4" w:space="0" w:color="41B7EE"/>
            </w:tcBorders>
          </w:tcPr>
          <w:p>
            <w:pPr>
              <w:pStyle w:val="TableParagraph"/>
              <w:spacing w:line="174" w:lineRule="exact"/>
              <w:ind w:left="23" w:right="0"/>
              <w:jc w:val="left"/>
              <w:rPr>
                <w:rFonts w:ascii="宋体" w:hAnsi="宋体" w:cs="宋体" w:eastAsia="宋体" w:hint="default"/>
                <w:sz w:val="15"/>
                <w:szCs w:val="15"/>
              </w:rPr>
            </w:pPr>
            <w:r>
              <w:rPr>
                <w:rFonts w:ascii="宋体" w:hAnsi="宋体" w:cs="宋体" w:eastAsia="宋体" w:hint="default"/>
                <w:sz w:val="15"/>
                <w:szCs w:val="15"/>
              </w:rPr>
              <w:t>甲方拖欠工程款和欠款利息共计</w:t>
            </w:r>
          </w:p>
          <w:p>
            <w:pPr>
              <w:pStyle w:val="TableParagraph"/>
              <w:spacing w:line="206" w:lineRule="exact"/>
              <w:ind w:left="23" w:right="0"/>
              <w:jc w:val="left"/>
              <w:rPr>
                <w:rFonts w:ascii="宋体" w:hAnsi="宋体" w:cs="宋体" w:eastAsia="宋体" w:hint="default"/>
                <w:sz w:val="15"/>
                <w:szCs w:val="15"/>
              </w:rPr>
            </w:pPr>
            <w:r>
              <w:rPr>
                <w:rFonts w:ascii="Arial" w:hAnsi="Arial" w:cs="Arial" w:eastAsia="Arial" w:hint="default"/>
                <w:sz w:val="15"/>
                <w:szCs w:val="15"/>
              </w:rPr>
              <w:t>1.9</w:t>
            </w:r>
            <w:r>
              <w:rPr>
                <w:rFonts w:ascii="Arial" w:hAnsi="Arial" w:cs="Arial" w:eastAsia="Arial" w:hint="default"/>
                <w:spacing w:val="-4"/>
                <w:sz w:val="15"/>
                <w:szCs w:val="15"/>
              </w:rPr>
              <w:t> </w:t>
            </w:r>
            <w:r>
              <w:rPr>
                <w:rFonts w:ascii="宋体" w:hAnsi="宋体" w:cs="宋体" w:eastAsia="宋体" w:hint="default"/>
                <w:sz w:val="15"/>
                <w:szCs w:val="15"/>
              </w:rPr>
              <w:t>亿元的连带责任。</w:t>
            </w:r>
          </w:p>
        </w:tc>
        <w:tc>
          <w:tcPr>
            <w:tcW w:w="1358" w:type="dxa"/>
            <w:tcBorders>
              <w:top w:val="single" w:sz="8" w:space="0" w:color="41B7EE"/>
              <w:left w:val="single" w:sz="4" w:space="0" w:color="41B7EE"/>
              <w:bottom w:val="single" w:sz="8" w:space="0" w:color="41B7EE"/>
              <w:right w:val="single" w:sz="4" w:space="0" w:color="41B7EE"/>
            </w:tcBorders>
          </w:tcPr>
          <w:p>
            <w:pPr/>
          </w:p>
        </w:tc>
        <w:tc>
          <w:tcPr>
            <w:tcW w:w="838" w:type="dxa"/>
            <w:tcBorders>
              <w:top w:val="single" w:sz="8" w:space="0" w:color="41B7EE"/>
              <w:left w:val="single" w:sz="4" w:space="0" w:color="41B7EE"/>
              <w:bottom w:val="single" w:sz="8" w:space="0" w:color="41B7EE"/>
              <w:right w:val="single" w:sz="4" w:space="0" w:color="41B7EE"/>
            </w:tcBorders>
          </w:tcPr>
          <w:p>
            <w:pPr/>
          </w:p>
        </w:tc>
        <w:tc>
          <w:tcPr>
            <w:tcW w:w="2422" w:type="dxa"/>
            <w:tcBorders>
              <w:top w:val="single" w:sz="8" w:space="0" w:color="41B7EE"/>
              <w:left w:val="single" w:sz="4" w:space="0" w:color="41B7EE"/>
              <w:bottom w:val="single" w:sz="8" w:space="0" w:color="41B7EE"/>
              <w:right w:val="single" w:sz="4" w:space="0" w:color="41B7EE"/>
            </w:tcBorders>
          </w:tcPr>
          <w:p>
            <w:pPr>
              <w:pStyle w:val="TableParagraph"/>
              <w:spacing w:line="179" w:lineRule="exact"/>
              <w:ind w:left="23" w:right="0"/>
              <w:jc w:val="left"/>
              <w:rPr>
                <w:rFonts w:ascii="宋体" w:hAnsi="宋体" w:cs="宋体" w:eastAsia="宋体" w:hint="default"/>
                <w:sz w:val="15"/>
                <w:szCs w:val="15"/>
              </w:rPr>
            </w:pPr>
            <w:r>
              <w:rPr>
                <w:rFonts w:ascii="Arial" w:hAnsi="Arial" w:cs="Arial" w:eastAsia="Arial" w:hint="default"/>
                <w:sz w:val="15"/>
                <w:szCs w:val="15"/>
              </w:rPr>
              <w:t>6</w:t>
            </w:r>
            <w:r>
              <w:rPr>
                <w:rFonts w:ascii="Arial" w:hAnsi="Arial" w:cs="Arial" w:eastAsia="Arial" w:hint="default"/>
                <w:spacing w:val="-12"/>
                <w:sz w:val="15"/>
                <w:szCs w:val="15"/>
              </w:rPr>
              <w:t> </w:t>
            </w:r>
            <w:r>
              <w:rPr>
                <w:rFonts w:ascii="宋体" w:hAnsi="宋体" w:cs="宋体" w:eastAsia="宋体" w:hint="default"/>
                <w:sz w:val="15"/>
                <w:szCs w:val="15"/>
              </w:rPr>
              <w:t>日收到中华人民共和国最高人民法</w:t>
            </w:r>
          </w:p>
          <w:p>
            <w:pPr>
              <w:pStyle w:val="TableParagraph"/>
              <w:spacing w:line="194" w:lineRule="exact" w:before="13"/>
              <w:ind w:left="23" w:right="16"/>
              <w:jc w:val="left"/>
              <w:rPr>
                <w:rFonts w:ascii="Arial" w:hAnsi="Arial" w:cs="Arial" w:eastAsia="Arial" w:hint="default"/>
                <w:sz w:val="15"/>
                <w:szCs w:val="15"/>
              </w:rPr>
            </w:pPr>
            <w:r>
              <w:rPr>
                <w:rFonts w:ascii="宋体" w:hAnsi="宋体" w:cs="宋体" w:eastAsia="宋体" w:hint="default"/>
                <w:sz w:val="15"/>
                <w:szCs w:val="15"/>
              </w:rPr>
              <w:t>院发来的开庭传票</w:t>
            </w:r>
            <w:r>
              <w:rPr>
                <w:rFonts w:ascii="Arial" w:hAnsi="Arial" w:cs="Arial" w:eastAsia="Arial" w:hint="default"/>
                <w:sz w:val="15"/>
                <w:szCs w:val="15"/>
              </w:rPr>
              <w:t>,</w:t>
            </w:r>
            <w:r>
              <w:rPr>
                <w:rFonts w:ascii="宋体" w:hAnsi="宋体" w:cs="宋体" w:eastAsia="宋体" w:hint="default"/>
                <w:sz w:val="15"/>
                <w:szCs w:val="15"/>
              </w:rPr>
              <w:t>案号为（</w:t>
            </w:r>
            <w:r>
              <w:rPr>
                <w:rFonts w:ascii="Arial" w:hAnsi="Arial" w:cs="Arial" w:eastAsia="Arial" w:hint="default"/>
                <w:sz w:val="15"/>
                <w:szCs w:val="15"/>
              </w:rPr>
              <w:t>2018</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pacing w:val="-2"/>
                <w:w w:val="100"/>
                <w:sz w:val="15"/>
                <w:szCs w:val="15"/>
              </w:rPr>
              <w:t>最高法民终</w:t>
            </w:r>
            <w:r>
              <w:rPr>
                <w:rFonts w:ascii="宋体" w:hAnsi="宋体" w:cs="宋体" w:eastAsia="宋体" w:hint="default"/>
                <w:spacing w:val="-55"/>
                <w:w w:val="100"/>
                <w:sz w:val="15"/>
                <w:szCs w:val="15"/>
              </w:rPr>
              <w:t> </w:t>
            </w:r>
            <w:r>
              <w:rPr>
                <w:rFonts w:ascii="Arial" w:hAnsi="Arial" w:cs="Arial" w:eastAsia="Arial" w:hint="default"/>
                <w:spacing w:val="-1"/>
                <w:w w:val="100"/>
                <w:sz w:val="15"/>
                <w:szCs w:val="15"/>
              </w:rPr>
              <w:t>846</w:t>
            </w:r>
            <w:r>
              <w:rPr>
                <w:rFonts w:ascii="Arial" w:hAnsi="Arial" w:cs="Arial" w:eastAsia="Arial" w:hint="default"/>
                <w:spacing w:val="-24"/>
                <w:w w:val="100"/>
                <w:sz w:val="15"/>
                <w:szCs w:val="15"/>
              </w:rPr>
              <w:t> </w:t>
            </w:r>
            <w:r>
              <w:rPr>
                <w:rFonts w:ascii="宋体" w:hAnsi="宋体" w:cs="宋体" w:eastAsia="宋体" w:hint="default"/>
                <w:spacing w:val="-12"/>
                <w:w w:val="100"/>
                <w:sz w:val="15"/>
                <w:szCs w:val="15"/>
              </w:rPr>
              <w:t>号，开庭时间为</w:t>
            </w:r>
            <w:r>
              <w:rPr>
                <w:rFonts w:ascii="宋体" w:hAnsi="宋体" w:cs="宋体" w:eastAsia="宋体" w:hint="default"/>
                <w:spacing w:val="-55"/>
                <w:w w:val="100"/>
                <w:sz w:val="15"/>
                <w:szCs w:val="15"/>
              </w:rPr>
              <w:t> </w:t>
            </w:r>
            <w:r>
              <w:rPr>
                <w:rFonts w:ascii="Arial" w:hAnsi="Arial" w:cs="Arial" w:eastAsia="Arial" w:hint="default"/>
                <w:spacing w:val="-1"/>
                <w:w w:val="100"/>
                <w:sz w:val="15"/>
                <w:szCs w:val="15"/>
              </w:rPr>
              <w:t>2018</w:t>
            </w:r>
          </w:p>
          <w:p>
            <w:pPr>
              <w:pStyle w:val="TableParagraph"/>
              <w:spacing w:line="181" w:lineRule="exact"/>
              <w:ind w:left="23" w:right="0"/>
              <w:jc w:val="left"/>
              <w:rPr>
                <w:rFonts w:ascii="Arial" w:hAnsi="Arial" w:cs="Arial" w:eastAsia="Arial" w:hint="default"/>
                <w:sz w:val="15"/>
                <w:szCs w:val="15"/>
              </w:rPr>
            </w:pP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w:hAnsi="Arial" w:cs="Arial" w:eastAsia="Arial" w:hint="default"/>
                <w:sz w:val="15"/>
                <w:szCs w:val="15"/>
              </w:rPr>
              <w:t>9</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Arial" w:hAnsi="Arial" w:cs="Arial" w:eastAsia="Arial" w:hint="default"/>
                <w:sz w:val="15"/>
                <w:szCs w:val="15"/>
              </w:rPr>
              <w:t>11</w:t>
            </w:r>
            <w:r>
              <w:rPr>
                <w:rFonts w:ascii="Arial" w:hAnsi="Arial" w:cs="Arial" w:eastAsia="Arial" w:hint="default"/>
                <w:spacing w:val="-6"/>
                <w:sz w:val="15"/>
                <w:szCs w:val="15"/>
              </w:rPr>
              <w:t> </w:t>
            </w:r>
            <w:r>
              <w:rPr>
                <w:rFonts w:ascii="宋体" w:hAnsi="宋体" w:cs="宋体" w:eastAsia="宋体" w:hint="default"/>
                <w:sz w:val="15"/>
                <w:szCs w:val="15"/>
              </w:rPr>
              <w:t>日</w:t>
            </w:r>
            <w:r>
              <w:rPr>
                <w:rFonts w:ascii="宋体" w:hAnsi="宋体" w:cs="宋体" w:eastAsia="宋体" w:hint="default"/>
                <w:spacing w:val="-37"/>
                <w:sz w:val="15"/>
                <w:szCs w:val="15"/>
              </w:rPr>
              <w:t> </w:t>
            </w:r>
            <w:r>
              <w:rPr>
                <w:rFonts w:ascii="Arial" w:hAnsi="Arial" w:cs="Arial" w:eastAsia="Arial" w:hint="default"/>
                <w:sz w:val="15"/>
                <w:szCs w:val="15"/>
              </w:rPr>
              <w:t>09</w:t>
            </w:r>
            <w:r>
              <w:rPr>
                <w:rFonts w:ascii="Arial" w:hAnsi="Arial" w:cs="Arial" w:eastAsia="Arial" w:hint="default"/>
                <w:spacing w:val="-4"/>
                <w:sz w:val="15"/>
                <w:szCs w:val="15"/>
              </w:rPr>
              <w:t> </w:t>
            </w:r>
            <w:r>
              <w:rPr>
                <w:rFonts w:ascii="宋体" w:hAnsi="宋体" w:cs="宋体" w:eastAsia="宋体" w:hint="default"/>
                <w:sz w:val="15"/>
                <w:szCs w:val="15"/>
              </w:rPr>
              <w:t>时</w:t>
            </w:r>
            <w:r>
              <w:rPr>
                <w:rFonts w:ascii="Arial" w:hAnsi="Arial" w:cs="Arial" w:eastAsia="Arial" w:hint="default"/>
                <w:sz w:val="15"/>
                <w:szCs w:val="15"/>
              </w:rPr>
              <w:t>-2018</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w:hAnsi="Arial" w:cs="Arial" w:eastAsia="Arial" w:hint="default"/>
                <w:sz w:val="15"/>
                <w:szCs w:val="15"/>
              </w:rPr>
              <w:t>9</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Arial" w:hAnsi="Arial" w:cs="Arial" w:eastAsia="Arial" w:hint="default"/>
                <w:sz w:val="15"/>
                <w:szCs w:val="15"/>
              </w:rPr>
              <w:t>11</w:t>
            </w:r>
          </w:p>
          <w:p>
            <w:pPr>
              <w:pStyle w:val="TableParagraph"/>
              <w:spacing w:line="201" w:lineRule="exact"/>
              <w:ind w:left="23" w:right="0"/>
              <w:jc w:val="left"/>
              <w:rPr>
                <w:rFonts w:ascii="宋体" w:hAnsi="宋体" w:cs="宋体" w:eastAsia="宋体" w:hint="default"/>
                <w:sz w:val="15"/>
                <w:szCs w:val="15"/>
              </w:rPr>
            </w:pPr>
            <w:r>
              <w:rPr>
                <w:rFonts w:ascii="宋体" w:hAnsi="宋体" w:cs="宋体" w:eastAsia="宋体" w:hint="default"/>
                <w:sz w:val="15"/>
                <w:szCs w:val="15"/>
              </w:rPr>
              <w:t>日</w:t>
            </w:r>
            <w:r>
              <w:rPr>
                <w:rFonts w:ascii="宋体" w:hAnsi="宋体" w:cs="宋体" w:eastAsia="宋体" w:hint="default"/>
                <w:spacing w:val="-37"/>
                <w:sz w:val="15"/>
                <w:szCs w:val="15"/>
              </w:rPr>
              <w:t> </w:t>
            </w:r>
            <w:r>
              <w:rPr>
                <w:rFonts w:ascii="Arial" w:hAnsi="Arial" w:cs="Arial" w:eastAsia="Arial" w:hint="default"/>
                <w:sz w:val="15"/>
                <w:szCs w:val="15"/>
              </w:rPr>
              <w:t>12</w:t>
            </w:r>
            <w:r>
              <w:rPr>
                <w:rFonts w:ascii="Arial" w:hAnsi="Arial" w:cs="Arial" w:eastAsia="Arial" w:hint="default"/>
                <w:spacing w:val="-4"/>
                <w:sz w:val="15"/>
                <w:szCs w:val="15"/>
              </w:rPr>
              <w:t> </w:t>
            </w:r>
            <w:r>
              <w:rPr>
                <w:rFonts w:ascii="宋体" w:hAnsi="宋体" w:cs="宋体" w:eastAsia="宋体" w:hint="default"/>
                <w:spacing w:val="-3"/>
                <w:sz w:val="15"/>
                <w:szCs w:val="15"/>
              </w:rPr>
              <w:t>时。</w:t>
            </w:r>
            <w:r>
              <w:rPr>
                <w:rFonts w:ascii="宋体" w:hAnsi="宋体" w:cs="宋体" w:eastAsia="宋体" w:hint="default"/>
                <w:sz w:val="15"/>
                <w:szCs w:val="15"/>
              </w:rPr>
            </w:r>
          </w:p>
        </w:tc>
        <w:tc>
          <w:tcPr>
            <w:tcW w:w="2859" w:type="dxa"/>
            <w:tcBorders>
              <w:top w:val="single" w:sz="8" w:space="0" w:color="41B7EE"/>
              <w:left w:val="single" w:sz="4" w:space="0" w:color="41B7EE"/>
              <w:bottom w:val="single" w:sz="8" w:space="0" w:color="41B7EE"/>
              <w:right w:val="single" w:sz="9" w:space="0" w:color="FFFFFF"/>
            </w:tcBorders>
          </w:tcPr>
          <w:p>
            <w:pPr>
              <w:pStyle w:val="TableParagraph"/>
              <w:spacing w:line="179" w:lineRule="exact"/>
              <w:ind w:left="24" w:right="0"/>
              <w:jc w:val="left"/>
              <w:rPr>
                <w:rFonts w:ascii="宋体" w:hAnsi="宋体" w:cs="宋体" w:eastAsia="宋体" w:hint="default"/>
                <w:sz w:val="15"/>
                <w:szCs w:val="15"/>
              </w:rPr>
            </w:pPr>
            <w:r>
              <w:rPr>
                <w:rFonts w:ascii="宋体" w:hAnsi="宋体" w:cs="宋体" w:eastAsia="宋体" w:hint="default"/>
                <w:spacing w:val="-3"/>
                <w:sz w:val="15"/>
                <w:szCs w:val="15"/>
              </w:rPr>
              <w:t>行发布的同期同类贷款利率计算；</w:t>
            </w:r>
            <w:r>
              <w:rPr>
                <w:rFonts w:ascii="Arial" w:hAnsi="Arial" w:cs="Arial" w:eastAsia="Arial" w:hint="default"/>
                <w:spacing w:val="-3"/>
                <w:sz w:val="15"/>
                <w:szCs w:val="15"/>
              </w:rPr>
              <w:t>2.</w:t>
            </w:r>
            <w:r>
              <w:rPr>
                <w:rFonts w:ascii="宋体" w:hAnsi="宋体" w:cs="宋体" w:eastAsia="宋体" w:hint="default"/>
                <w:spacing w:val="-3"/>
                <w:sz w:val="15"/>
                <w:szCs w:val="15"/>
              </w:rPr>
              <w:t>被告鑫</w:t>
            </w:r>
          </w:p>
          <w:p>
            <w:pPr>
              <w:pStyle w:val="TableParagraph"/>
              <w:spacing w:line="194" w:lineRule="exact" w:before="13"/>
              <w:ind w:left="24" w:right="-32"/>
              <w:jc w:val="left"/>
              <w:rPr>
                <w:rFonts w:ascii="宋体" w:hAnsi="宋体" w:cs="宋体" w:eastAsia="宋体" w:hint="default"/>
                <w:sz w:val="15"/>
                <w:szCs w:val="15"/>
              </w:rPr>
            </w:pPr>
            <w:r>
              <w:rPr>
                <w:rFonts w:ascii="宋体" w:hAnsi="宋体" w:cs="宋体" w:eastAsia="宋体" w:hint="default"/>
                <w:sz w:val="15"/>
                <w:szCs w:val="15"/>
              </w:rPr>
              <w:t>都房地产对被告天顺房地产欠付上述工程</w:t>
            </w:r>
            <w:r>
              <w:rPr>
                <w:rFonts w:ascii="宋体" w:hAnsi="宋体" w:cs="宋体" w:eastAsia="宋体" w:hint="default"/>
                <w:w w:val="100"/>
                <w:sz w:val="15"/>
                <w:szCs w:val="15"/>
              </w:rPr>
              <w:t> </w:t>
            </w:r>
            <w:r>
              <w:rPr>
                <w:rFonts w:ascii="宋体" w:hAnsi="宋体" w:cs="宋体" w:eastAsia="宋体" w:hint="default"/>
                <w:spacing w:val="-3"/>
                <w:sz w:val="15"/>
                <w:szCs w:val="15"/>
              </w:rPr>
              <w:t>款承担连带清偿责任；</w:t>
            </w:r>
            <w:r>
              <w:rPr>
                <w:rFonts w:ascii="Arial" w:hAnsi="Arial" w:cs="Arial" w:eastAsia="Arial" w:hint="default"/>
                <w:spacing w:val="-3"/>
                <w:sz w:val="15"/>
                <w:szCs w:val="15"/>
              </w:rPr>
              <w:t>3.</w:t>
            </w:r>
            <w:r>
              <w:rPr>
                <w:rFonts w:ascii="宋体" w:hAnsi="宋体" w:cs="宋体" w:eastAsia="宋体" w:hint="default"/>
                <w:spacing w:val="-3"/>
                <w:sz w:val="15"/>
                <w:szCs w:val="15"/>
              </w:rPr>
              <w:t>驳回原告锦宸集团</w:t>
            </w:r>
            <w:r>
              <w:rPr>
                <w:rFonts w:ascii="宋体" w:hAnsi="宋体" w:cs="宋体" w:eastAsia="宋体" w:hint="default"/>
                <w:spacing w:val="-40"/>
                <w:sz w:val="15"/>
                <w:szCs w:val="15"/>
              </w:rPr>
              <w:t> </w:t>
            </w:r>
            <w:r>
              <w:rPr>
                <w:rFonts w:ascii="宋体" w:hAnsi="宋体" w:cs="宋体" w:eastAsia="宋体" w:hint="default"/>
                <w:spacing w:val="-40"/>
                <w:sz w:val="15"/>
                <w:szCs w:val="15"/>
              </w:rPr>
            </w:r>
            <w:r>
              <w:rPr>
                <w:rFonts w:ascii="宋体" w:hAnsi="宋体" w:cs="宋体" w:eastAsia="宋体" w:hint="default"/>
                <w:spacing w:val="-4"/>
                <w:sz w:val="15"/>
                <w:szCs w:val="15"/>
              </w:rPr>
              <w:t>的其他诉讼请求。如果未按本判决指定的期</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pacing w:val="-4"/>
                <w:sz w:val="15"/>
                <w:szCs w:val="15"/>
              </w:rPr>
              <w:t>间履行给付金钱义务，应当依照《中华人民</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pacing w:val="-2"/>
                <w:sz w:val="15"/>
                <w:szCs w:val="15"/>
              </w:rPr>
              <w:t>共和国民事诉讼法》第二百五十三条规定，</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4"/>
                <w:sz w:val="15"/>
                <w:szCs w:val="15"/>
              </w:rPr>
              <w:t>加倍支付迟延期间的债务利息。案件受理费</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Arial" w:hAnsi="Arial" w:cs="Arial" w:eastAsia="Arial" w:hint="default"/>
                <w:sz w:val="15"/>
                <w:szCs w:val="15"/>
              </w:rPr>
              <w:t>991,373.27</w:t>
            </w:r>
            <w:r>
              <w:rPr>
                <w:rFonts w:ascii="Arial" w:hAnsi="Arial" w:cs="Arial" w:eastAsia="Arial" w:hint="default"/>
                <w:spacing w:val="-7"/>
                <w:sz w:val="15"/>
                <w:szCs w:val="15"/>
              </w:rPr>
              <w:t> </w:t>
            </w:r>
            <w:r>
              <w:rPr>
                <w:rFonts w:ascii="宋体" w:hAnsi="宋体" w:cs="宋体" w:eastAsia="宋体" w:hint="default"/>
                <w:sz w:val="15"/>
                <w:szCs w:val="15"/>
              </w:rPr>
              <w:t>元，由原告锦宸集团负担</w:t>
            </w:r>
          </w:p>
          <w:p>
            <w:pPr>
              <w:pStyle w:val="TableParagraph"/>
              <w:spacing w:line="181" w:lineRule="exact"/>
              <w:ind w:left="24" w:right="0"/>
              <w:jc w:val="left"/>
              <w:rPr>
                <w:rFonts w:ascii="宋体" w:hAnsi="宋体" w:cs="宋体" w:eastAsia="宋体" w:hint="default"/>
                <w:sz w:val="15"/>
                <w:szCs w:val="15"/>
              </w:rPr>
            </w:pPr>
            <w:r>
              <w:rPr>
                <w:rFonts w:ascii="Arial" w:hAnsi="Arial" w:cs="Arial" w:eastAsia="Arial" w:hint="default"/>
                <w:spacing w:val="-1"/>
                <w:sz w:val="15"/>
                <w:szCs w:val="15"/>
              </w:rPr>
              <w:t>98,137.39</w:t>
            </w:r>
            <w:r>
              <w:rPr>
                <w:rFonts w:ascii="Arial" w:hAnsi="Arial" w:cs="Arial" w:eastAsia="Arial" w:hint="default"/>
                <w:spacing w:val="29"/>
                <w:sz w:val="15"/>
                <w:szCs w:val="15"/>
              </w:rPr>
              <w:t> </w:t>
            </w:r>
            <w:r>
              <w:rPr>
                <w:rFonts w:ascii="宋体" w:hAnsi="宋体" w:cs="宋体" w:eastAsia="宋体" w:hint="default"/>
                <w:spacing w:val="-2"/>
                <w:sz w:val="15"/>
                <w:szCs w:val="15"/>
              </w:rPr>
              <w:t>元，由被告天顺房地产、鑫都房</w:t>
            </w:r>
          </w:p>
          <w:p>
            <w:pPr>
              <w:pStyle w:val="TableParagraph"/>
              <w:spacing w:line="228" w:lineRule="auto" w:before="2"/>
              <w:ind w:left="24" w:right="-32"/>
              <w:jc w:val="left"/>
              <w:rPr>
                <w:rFonts w:ascii="宋体" w:hAnsi="宋体" w:cs="宋体" w:eastAsia="宋体" w:hint="default"/>
                <w:sz w:val="15"/>
                <w:szCs w:val="15"/>
              </w:rPr>
            </w:pPr>
            <w:r>
              <w:rPr>
                <w:rFonts w:ascii="宋体" w:hAnsi="宋体" w:cs="宋体" w:eastAsia="宋体" w:hint="default"/>
                <w:spacing w:val="-1"/>
                <w:w w:val="100"/>
                <w:sz w:val="15"/>
                <w:szCs w:val="15"/>
              </w:rPr>
              <w:t>地产负担</w:t>
            </w:r>
            <w:r>
              <w:rPr>
                <w:rFonts w:ascii="宋体" w:hAnsi="宋体" w:cs="宋体" w:eastAsia="宋体" w:hint="default"/>
                <w:spacing w:val="-42"/>
                <w:w w:val="100"/>
                <w:sz w:val="15"/>
                <w:szCs w:val="15"/>
              </w:rPr>
              <w:t> </w:t>
            </w:r>
            <w:r>
              <w:rPr>
                <w:rFonts w:ascii="Arial" w:hAnsi="Arial" w:cs="Arial" w:eastAsia="Arial" w:hint="default"/>
                <w:spacing w:val="-1"/>
                <w:w w:val="100"/>
                <w:sz w:val="15"/>
                <w:szCs w:val="15"/>
              </w:rPr>
              <w:t>893,235.88</w:t>
            </w:r>
            <w:r>
              <w:rPr>
                <w:rFonts w:ascii="Arial" w:hAnsi="Arial" w:cs="Arial" w:eastAsia="Arial" w:hint="default"/>
                <w:spacing w:val="-10"/>
                <w:w w:val="100"/>
                <w:sz w:val="15"/>
                <w:szCs w:val="15"/>
              </w:rPr>
              <w:t> </w:t>
            </w:r>
            <w:r>
              <w:rPr>
                <w:rFonts w:ascii="宋体" w:hAnsi="宋体" w:cs="宋体" w:eastAsia="宋体" w:hint="default"/>
                <w:spacing w:val="-12"/>
                <w:w w:val="100"/>
                <w:sz w:val="15"/>
                <w:szCs w:val="15"/>
              </w:rPr>
              <w:t>元；财产保全费</w:t>
            </w:r>
            <w:r>
              <w:rPr>
                <w:rFonts w:ascii="宋体" w:hAnsi="宋体" w:cs="宋体" w:eastAsia="宋体" w:hint="default"/>
                <w:spacing w:val="-44"/>
                <w:w w:val="100"/>
                <w:sz w:val="15"/>
                <w:szCs w:val="15"/>
              </w:rPr>
              <w:t> </w:t>
            </w:r>
            <w:r>
              <w:rPr>
                <w:rFonts w:ascii="Arial" w:hAnsi="Arial" w:cs="Arial" w:eastAsia="Arial" w:hint="default"/>
                <w:spacing w:val="-1"/>
                <w:w w:val="100"/>
                <w:sz w:val="15"/>
                <w:szCs w:val="15"/>
              </w:rPr>
              <w:t>5,000</w:t>
            </w:r>
            <w:r>
              <w:rPr>
                <w:rFonts w:ascii="Arial" w:hAnsi="Arial" w:cs="Arial" w:eastAsia="Arial" w:hint="default"/>
                <w:spacing w:val="-40"/>
                <w:w w:val="100"/>
                <w:sz w:val="15"/>
                <w:szCs w:val="15"/>
              </w:rPr>
              <w:t> </w:t>
            </w:r>
            <w:r>
              <w:rPr>
                <w:rFonts w:ascii="Arial" w:hAnsi="Arial" w:cs="Arial" w:eastAsia="Arial" w:hint="default"/>
                <w:spacing w:val="-40"/>
                <w:w w:val="100"/>
                <w:sz w:val="15"/>
                <w:szCs w:val="15"/>
              </w:rPr>
            </w:r>
            <w:r>
              <w:rPr>
                <w:rFonts w:ascii="宋体" w:hAnsi="宋体" w:cs="宋体" w:eastAsia="宋体" w:hint="default"/>
                <w:spacing w:val="-2"/>
                <w:sz w:val="15"/>
                <w:szCs w:val="15"/>
              </w:rPr>
              <w:t>元，由被告天顺房地产、鑫都房地产负担。</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Arial" w:hAnsi="Arial" w:cs="Arial" w:eastAsia="Arial" w:hint="default"/>
                <w:spacing w:val="-1"/>
                <w:w w:val="100"/>
                <w:sz w:val="15"/>
                <w:szCs w:val="15"/>
              </w:rPr>
              <w:t>2019</w:t>
            </w:r>
            <w:r>
              <w:rPr>
                <w:rFonts w:ascii="Arial" w:hAnsi="Arial" w:cs="Arial" w:eastAsia="Arial" w:hint="default"/>
                <w:spacing w:val="-5"/>
                <w:w w:val="100"/>
                <w:sz w:val="15"/>
                <w:szCs w:val="15"/>
              </w:rPr>
              <w:t> </w:t>
            </w:r>
            <w:r>
              <w:rPr>
                <w:rFonts w:ascii="宋体" w:hAnsi="宋体" w:cs="宋体" w:eastAsia="宋体" w:hint="default"/>
                <w:w w:val="100"/>
                <w:sz w:val="15"/>
                <w:szCs w:val="15"/>
              </w:rPr>
              <w:t>年</w:t>
            </w:r>
            <w:r>
              <w:rPr>
                <w:rFonts w:ascii="宋体" w:hAnsi="宋体" w:cs="宋体" w:eastAsia="宋体" w:hint="default"/>
                <w:spacing w:val="-38"/>
                <w:w w:val="100"/>
                <w:sz w:val="15"/>
                <w:szCs w:val="15"/>
              </w:rPr>
              <w:t> </w:t>
            </w:r>
            <w:r>
              <w:rPr>
                <w:rFonts w:ascii="Arial" w:hAnsi="Arial" w:cs="Arial" w:eastAsia="Arial" w:hint="default"/>
                <w:w w:val="100"/>
                <w:sz w:val="15"/>
                <w:szCs w:val="15"/>
              </w:rPr>
              <w:t>2</w:t>
            </w:r>
            <w:r>
              <w:rPr>
                <w:rFonts w:ascii="Arial" w:hAnsi="Arial" w:cs="Arial" w:eastAsia="Arial" w:hint="default"/>
                <w:spacing w:val="-5"/>
                <w:w w:val="100"/>
                <w:sz w:val="15"/>
                <w:szCs w:val="15"/>
              </w:rPr>
              <w:t> </w:t>
            </w:r>
            <w:r>
              <w:rPr>
                <w:rFonts w:ascii="宋体" w:hAnsi="宋体" w:cs="宋体" w:eastAsia="宋体" w:hint="default"/>
                <w:w w:val="100"/>
                <w:sz w:val="15"/>
                <w:szCs w:val="15"/>
              </w:rPr>
              <w:t>月</w:t>
            </w:r>
            <w:r>
              <w:rPr>
                <w:rFonts w:ascii="宋体" w:hAnsi="宋体" w:cs="宋体" w:eastAsia="宋体" w:hint="default"/>
                <w:spacing w:val="-36"/>
                <w:w w:val="100"/>
                <w:sz w:val="15"/>
                <w:szCs w:val="15"/>
              </w:rPr>
              <w:t> </w:t>
            </w:r>
            <w:r>
              <w:rPr>
                <w:rFonts w:ascii="Arial" w:hAnsi="Arial" w:cs="Arial" w:eastAsia="Arial" w:hint="default"/>
                <w:spacing w:val="-2"/>
                <w:w w:val="100"/>
                <w:sz w:val="15"/>
                <w:szCs w:val="15"/>
              </w:rPr>
              <w:t>21</w:t>
            </w:r>
            <w:r>
              <w:rPr>
                <w:rFonts w:ascii="Arial" w:hAnsi="Arial" w:cs="Arial" w:eastAsia="Arial" w:hint="default"/>
                <w:spacing w:val="-3"/>
                <w:w w:val="100"/>
                <w:sz w:val="15"/>
                <w:szCs w:val="15"/>
              </w:rPr>
              <w:t> </w:t>
            </w:r>
            <w:r>
              <w:rPr>
                <w:rFonts w:ascii="宋体" w:hAnsi="宋体" w:cs="宋体" w:eastAsia="宋体" w:hint="default"/>
                <w:spacing w:val="-8"/>
                <w:w w:val="100"/>
                <w:sz w:val="15"/>
                <w:szCs w:val="15"/>
              </w:rPr>
              <w:t>日，鑫都公司收到最高人民</w:t>
            </w:r>
            <w:r>
              <w:rPr>
                <w:rFonts w:ascii="宋体" w:hAnsi="宋体" w:cs="宋体" w:eastAsia="宋体" w:hint="default"/>
                <w:spacing w:val="-72"/>
                <w:w w:val="100"/>
                <w:sz w:val="15"/>
                <w:szCs w:val="15"/>
              </w:rPr>
              <w:t> </w:t>
            </w:r>
            <w:r>
              <w:rPr>
                <w:rFonts w:ascii="宋体" w:hAnsi="宋体" w:cs="宋体" w:eastAsia="宋体" w:hint="default"/>
                <w:spacing w:val="-72"/>
                <w:w w:val="100"/>
                <w:sz w:val="15"/>
                <w:szCs w:val="15"/>
              </w:rPr>
            </w:r>
            <w:r>
              <w:rPr>
                <w:rFonts w:ascii="宋体" w:hAnsi="宋体" w:cs="宋体" w:eastAsia="宋体" w:hint="default"/>
                <w:sz w:val="15"/>
                <w:szCs w:val="15"/>
              </w:rPr>
              <w:t>法院邮寄的民事判决书，判决如下：</w:t>
            </w:r>
            <w:r>
              <w:rPr>
                <w:rFonts w:ascii="Arial" w:hAnsi="Arial" w:cs="Arial" w:eastAsia="Arial" w:hint="default"/>
                <w:sz w:val="15"/>
                <w:szCs w:val="15"/>
              </w:rPr>
              <w:t>1</w:t>
            </w:r>
            <w:r>
              <w:rPr>
                <w:rFonts w:ascii="宋体" w:hAnsi="宋体" w:cs="宋体" w:eastAsia="宋体" w:hint="default"/>
                <w:sz w:val="15"/>
                <w:szCs w:val="15"/>
              </w:rPr>
              <w:t>、撤</w:t>
            </w:r>
            <w:r>
              <w:rPr>
                <w:rFonts w:ascii="宋体" w:hAnsi="宋体" w:cs="宋体" w:eastAsia="宋体" w:hint="default"/>
                <w:w w:val="100"/>
                <w:sz w:val="15"/>
                <w:szCs w:val="15"/>
              </w:rPr>
              <w:t> </w:t>
            </w:r>
            <w:r>
              <w:rPr>
                <w:rFonts w:ascii="宋体" w:hAnsi="宋体" w:cs="宋体" w:eastAsia="宋体" w:hint="default"/>
                <w:sz w:val="15"/>
                <w:szCs w:val="15"/>
              </w:rPr>
              <w:t>销内蒙古自治区高级人民法院（</w:t>
            </w:r>
            <w:r>
              <w:rPr>
                <w:rFonts w:ascii="Arial" w:hAnsi="Arial" w:cs="Arial" w:eastAsia="Arial" w:hint="default"/>
                <w:sz w:val="15"/>
                <w:szCs w:val="15"/>
              </w:rPr>
              <w:t>2017</w:t>
            </w:r>
            <w:r>
              <w:rPr>
                <w:rFonts w:ascii="宋体" w:hAnsi="宋体" w:cs="宋体" w:eastAsia="宋体" w:hint="default"/>
                <w:sz w:val="15"/>
                <w:szCs w:val="15"/>
              </w:rPr>
              <w:t>）内</w:t>
            </w:r>
            <w:r>
              <w:rPr>
                <w:rFonts w:ascii="宋体" w:hAnsi="宋体" w:cs="宋体" w:eastAsia="宋体" w:hint="default"/>
                <w:w w:val="100"/>
                <w:sz w:val="15"/>
                <w:szCs w:val="15"/>
              </w:rPr>
              <w:t> </w:t>
            </w:r>
            <w:r>
              <w:rPr>
                <w:rFonts w:ascii="宋体" w:hAnsi="宋体" w:cs="宋体" w:eastAsia="宋体" w:hint="default"/>
                <w:sz w:val="15"/>
                <w:szCs w:val="15"/>
              </w:rPr>
              <w:t>民初 </w:t>
            </w:r>
            <w:r>
              <w:rPr>
                <w:rFonts w:ascii="Arial" w:hAnsi="Arial" w:cs="Arial" w:eastAsia="Arial" w:hint="default"/>
                <w:sz w:val="15"/>
                <w:szCs w:val="15"/>
              </w:rPr>
              <w:t>38</w:t>
            </w:r>
            <w:r>
              <w:rPr>
                <w:rFonts w:ascii="Arial" w:hAnsi="Arial" w:cs="Arial" w:eastAsia="Arial" w:hint="default"/>
                <w:spacing w:val="-21"/>
                <w:sz w:val="15"/>
                <w:szCs w:val="15"/>
              </w:rPr>
              <w:t> </w:t>
            </w:r>
            <w:r>
              <w:rPr>
                <w:rFonts w:ascii="宋体" w:hAnsi="宋体" w:cs="宋体" w:eastAsia="宋体" w:hint="default"/>
                <w:spacing w:val="-6"/>
                <w:sz w:val="15"/>
                <w:szCs w:val="15"/>
              </w:rPr>
              <w:t>号民事判决第三项；</w:t>
            </w:r>
            <w:r>
              <w:rPr>
                <w:rFonts w:ascii="Arial" w:hAnsi="Arial" w:cs="Arial" w:eastAsia="Arial" w:hint="default"/>
                <w:spacing w:val="-6"/>
                <w:sz w:val="15"/>
                <w:szCs w:val="15"/>
              </w:rPr>
              <w:t>2</w:t>
            </w:r>
            <w:r>
              <w:rPr>
                <w:rFonts w:ascii="宋体" w:hAnsi="宋体" w:cs="宋体" w:eastAsia="宋体" w:hint="default"/>
                <w:spacing w:val="-6"/>
                <w:sz w:val="15"/>
                <w:szCs w:val="15"/>
              </w:rPr>
              <w:t>、变更内蒙古</w:t>
            </w:r>
          </w:p>
          <w:p>
            <w:pPr>
              <w:pStyle w:val="TableParagraph"/>
              <w:spacing w:line="194" w:lineRule="exact" w:before="9"/>
              <w:ind w:left="24" w:right="11"/>
              <w:jc w:val="left"/>
              <w:rPr>
                <w:rFonts w:ascii="宋体" w:hAnsi="宋体" w:cs="宋体" w:eastAsia="宋体" w:hint="default"/>
                <w:sz w:val="15"/>
                <w:szCs w:val="15"/>
              </w:rPr>
            </w:pPr>
            <w:r>
              <w:rPr>
                <w:rFonts w:ascii="宋体" w:hAnsi="宋体" w:cs="宋体" w:eastAsia="宋体" w:hint="default"/>
                <w:spacing w:val="-3"/>
                <w:sz w:val="15"/>
                <w:szCs w:val="15"/>
              </w:rPr>
              <w:t>自治区高级人民法院（</w:t>
            </w:r>
            <w:r>
              <w:rPr>
                <w:rFonts w:ascii="Arial" w:hAnsi="Arial" w:cs="Arial" w:eastAsia="Arial" w:hint="default"/>
                <w:spacing w:val="-3"/>
                <w:sz w:val="15"/>
                <w:szCs w:val="15"/>
              </w:rPr>
              <w:t>2017</w:t>
            </w:r>
            <w:r>
              <w:rPr>
                <w:rFonts w:ascii="宋体" w:hAnsi="宋体" w:cs="宋体" w:eastAsia="宋体" w:hint="default"/>
                <w:spacing w:val="-3"/>
                <w:sz w:val="15"/>
                <w:szCs w:val="15"/>
              </w:rPr>
              <w:t>）内民初</w:t>
            </w:r>
            <w:r>
              <w:rPr>
                <w:rFonts w:ascii="宋体" w:hAnsi="宋体" w:cs="宋体" w:eastAsia="宋体" w:hint="default"/>
                <w:spacing w:val="-30"/>
                <w:sz w:val="15"/>
                <w:szCs w:val="15"/>
              </w:rPr>
              <w:t> </w:t>
            </w:r>
            <w:r>
              <w:rPr>
                <w:rFonts w:ascii="Arial" w:hAnsi="Arial" w:cs="Arial" w:eastAsia="Arial" w:hint="default"/>
                <w:sz w:val="15"/>
                <w:szCs w:val="15"/>
              </w:rPr>
              <w:t>38</w:t>
            </w:r>
            <w:r>
              <w:rPr>
                <w:rFonts w:ascii="Arial" w:hAnsi="Arial" w:cs="Arial" w:eastAsia="Arial" w:hint="default"/>
                <w:spacing w:val="7"/>
                <w:sz w:val="15"/>
                <w:szCs w:val="15"/>
              </w:rPr>
              <w:t> </w:t>
            </w:r>
            <w:r>
              <w:rPr>
                <w:rFonts w:ascii="宋体" w:hAnsi="宋体" w:cs="宋体" w:eastAsia="宋体" w:hint="default"/>
                <w:sz w:val="15"/>
                <w:szCs w:val="15"/>
              </w:rPr>
              <w:t>号</w:t>
            </w:r>
            <w:r>
              <w:rPr>
                <w:rFonts w:ascii="宋体" w:hAnsi="宋体" w:cs="宋体" w:eastAsia="宋体" w:hint="default"/>
                <w:spacing w:val="-68"/>
                <w:sz w:val="15"/>
                <w:szCs w:val="15"/>
              </w:rPr>
              <w:t> </w:t>
            </w:r>
            <w:r>
              <w:rPr>
                <w:rFonts w:ascii="宋体" w:hAnsi="宋体" w:cs="宋体" w:eastAsia="宋体" w:hint="default"/>
                <w:spacing w:val="-4"/>
                <w:sz w:val="15"/>
                <w:szCs w:val="15"/>
              </w:rPr>
              <w:t>民事判决第一项为：呼伦贝尔市天顺房地产</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开发有限公司于判决生效后十日内给付锦</w:t>
            </w:r>
            <w:r>
              <w:rPr>
                <w:rFonts w:ascii="宋体" w:hAnsi="宋体" w:cs="宋体" w:eastAsia="宋体" w:hint="default"/>
                <w:w w:val="100"/>
                <w:sz w:val="15"/>
                <w:szCs w:val="15"/>
              </w:rPr>
              <w:t> </w:t>
            </w:r>
            <w:r>
              <w:rPr>
                <w:rFonts w:ascii="宋体" w:hAnsi="宋体" w:cs="宋体" w:eastAsia="宋体" w:hint="default"/>
                <w:sz w:val="15"/>
                <w:szCs w:val="15"/>
              </w:rPr>
              <w:t>宸集团有限公司工程款</w:t>
            </w:r>
            <w:r>
              <w:rPr>
                <w:rFonts w:ascii="宋体" w:hAnsi="宋体" w:cs="宋体" w:eastAsia="宋体" w:hint="default"/>
                <w:spacing w:val="-39"/>
                <w:sz w:val="15"/>
                <w:szCs w:val="15"/>
              </w:rPr>
              <w:t> </w:t>
            </w:r>
            <w:r>
              <w:rPr>
                <w:rFonts w:ascii="Arial" w:hAnsi="Arial" w:cs="Arial" w:eastAsia="Arial" w:hint="default"/>
                <w:sz w:val="15"/>
                <w:szCs w:val="15"/>
              </w:rPr>
              <w:t>140,572,284.76</w:t>
            </w:r>
            <w:r>
              <w:rPr>
                <w:rFonts w:ascii="Arial" w:hAnsi="Arial" w:cs="Arial" w:eastAsia="Arial" w:hint="default"/>
                <w:spacing w:val="-4"/>
                <w:sz w:val="15"/>
                <w:szCs w:val="15"/>
              </w:rPr>
              <w:t> </w:t>
            </w:r>
            <w:r>
              <w:rPr>
                <w:rFonts w:ascii="宋体" w:hAnsi="宋体" w:cs="宋体" w:eastAsia="宋体" w:hint="default"/>
                <w:sz w:val="15"/>
                <w:szCs w:val="15"/>
              </w:rPr>
              <w:t>元</w:t>
            </w:r>
          </w:p>
          <w:p>
            <w:pPr>
              <w:pStyle w:val="TableParagraph"/>
              <w:spacing w:line="194" w:lineRule="exact"/>
              <w:ind w:left="24" w:right="11"/>
              <w:jc w:val="left"/>
              <w:rPr>
                <w:rFonts w:ascii="宋体" w:hAnsi="宋体" w:cs="宋体" w:eastAsia="宋体" w:hint="default"/>
                <w:sz w:val="15"/>
                <w:szCs w:val="15"/>
              </w:rPr>
            </w:pPr>
            <w:r>
              <w:rPr>
                <w:rFonts w:ascii="宋体" w:hAnsi="宋体" w:cs="宋体" w:eastAsia="宋体" w:hint="default"/>
                <w:spacing w:val="-8"/>
                <w:sz w:val="15"/>
                <w:szCs w:val="15"/>
              </w:rPr>
              <w:t>及利息（利息自</w:t>
            </w:r>
            <w:r>
              <w:rPr>
                <w:rFonts w:ascii="宋体" w:hAnsi="宋体" w:cs="宋体" w:eastAsia="宋体" w:hint="default"/>
                <w:spacing w:val="-35"/>
                <w:sz w:val="15"/>
                <w:szCs w:val="15"/>
              </w:rPr>
              <w:t> </w:t>
            </w:r>
            <w:r>
              <w:rPr>
                <w:rFonts w:ascii="Arial" w:hAnsi="Arial" w:cs="Arial" w:eastAsia="Arial" w:hint="default"/>
                <w:sz w:val="15"/>
                <w:szCs w:val="15"/>
              </w:rPr>
              <w:t>2015</w:t>
            </w:r>
            <w:r>
              <w:rPr>
                <w:rFonts w:ascii="Arial" w:hAnsi="Arial" w:cs="Arial" w:eastAsia="Arial" w:hint="default"/>
                <w:spacing w:val="-4"/>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w:hAnsi="Arial" w:cs="Arial" w:eastAsia="Arial" w:hint="default"/>
                <w:sz w:val="15"/>
                <w:szCs w:val="15"/>
              </w:rPr>
              <w:t>11</w:t>
            </w:r>
            <w:r>
              <w:rPr>
                <w:rFonts w:ascii="Arial" w:hAnsi="Arial" w:cs="Arial" w:eastAsia="Arial" w:hint="default"/>
                <w:spacing w:val="-4"/>
                <w:sz w:val="15"/>
                <w:szCs w:val="15"/>
              </w:rPr>
              <w:t> </w:t>
            </w:r>
            <w:r>
              <w:rPr>
                <w:rFonts w:ascii="宋体" w:hAnsi="宋体" w:cs="宋体" w:eastAsia="宋体" w:hint="default"/>
                <w:sz w:val="15"/>
                <w:szCs w:val="15"/>
              </w:rPr>
              <w:t>月</w:t>
            </w:r>
            <w:r>
              <w:rPr>
                <w:rFonts w:ascii="宋体" w:hAnsi="宋体" w:cs="宋体" w:eastAsia="宋体" w:hint="default"/>
                <w:spacing w:val="-35"/>
                <w:sz w:val="15"/>
                <w:szCs w:val="15"/>
              </w:rPr>
              <w:t> </w:t>
            </w:r>
            <w:r>
              <w:rPr>
                <w:rFonts w:ascii="Arial" w:hAnsi="Arial" w:cs="Arial" w:eastAsia="Arial" w:hint="default"/>
                <w:sz w:val="15"/>
                <w:szCs w:val="15"/>
              </w:rPr>
              <w:t>27</w:t>
            </w:r>
            <w:r>
              <w:rPr>
                <w:rFonts w:ascii="Arial" w:hAnsi="Arial" w:cs="Arial" w:eastAsia="Arial" w:hint="default"/>
                <w:spacing w:val="-2"/>
                <w:sz w:val="15"/>
                <w:szCs w:val="15"/>
              </w:rPr>
              <w:t> </w:t>
            </w:r>
            <w:r>
              <w:rPr>
                <w:rFonts w:ascii="宋体" w:hAnsi="宋体" w:cs="宋体" w:eastAsia="宋体" w:hint="default"/>
                <w:sz w:val="15"/>
                <w:szCs w:val="15"/>
              </w:rPr>
              <w:t>日起至给</w:t>
            </w:r>
            <w:r>
              <w:rPr>
                <w:rFonts w:ascii="宋体" w:hAnsi="宋体" w:cs="宋体" w:eastAsia="宋体" w:hint="default"/>
                <w:w w:val="100"/>
                <w:sz w:val="15"/>
                <w:szCs w:val="15"/>
              </w:rPr>
              <w:t> </w:t>
            </w:r>
            <w:r>
              <w:rPr>
                <w:rFonts w:ascii="宋体" w:hAnsi="宋体" w:cs="宋体" w:eastAsia="宋体" w:hint="default"/>
                <w:sz w:val="15"/>
                <w:szCs w:val="15"/>
              </w:rPr>
              <w:t>付之日止按照中国人民银行发布的同期同</w:t>
            </w:r>
            <w:r>
              <w:rPr>
                <w:rFonts w:ascii="宋体" w:hAnsi="宋体" w:cs="宋体" w:eastAsia="宋体" w:hint="default"/>
                <w:w w:val="100"/>
                <w:sz w:val="15"/>
                <w:szCs w:val="15"/>
              </w:rPr>
              <w:t> </w:t>
            </w:r>
            <w:r>
              <w:rPr>
                <w:rFonts w:ascii="宋体" w:hAnsi="宋体" w:cs="宋体" w:eastAsia="宋体" w:hint="default"/>
                <w:sz w:val="15"/>
                <w:szCs w:val="15"/>
              </w:rPr>
              <w:t>类贷款利率计算）；</w:t>
            </w:r>
            <w:r>
              <w:rPr>
                <w:rFonts w:ascii="Arial" w:hAnsi="Arial" w:cs="Arial" w:eastAsia="Arial" w:hint="default"/>
                <w:sz w:val="15"/>
                <w:szCs w:val="15"/>
              </w:rPr>
              <w:t>3</w:t>
            </w:r>
            <w:r>
              <w:rPr>
                <w:rFonts w:ascii="宋体" w:hAnsi="宋体" w:cs="宋体" w:eastAsia="宋体" w:hint="default"/>
                <w:sz w:val="15"/>
                <w:szCs w:val="15"/>
              </w:rPr>
              <w:t>、变更内蒙古自治区</w:t>
            </w:r>
            <w:r>
              <w:rPr>
                <w:rFonts w:ascii="宋体" w:hAnsi="宋体" w:cs="宋体" w:eastAsia="宋体" w:hint="default"/>
                <w:w w:val="100"/>
                <w:sz w:val="15"/>
                <w:szCs w:val="15"/>
              </w:rPr>
              <w:t> </w:t>
            </w:r>
            <w:r>
              <w:rPr>
                <w:rFonts w:ascii="宋体" w:hAnsi="宋体" w:cs="宋体" w:eastAsia="宋体" w:hint="default"/>
                <w:spacing w:val="-3"/>
                <w:sz w:val="15"/>
                <w:szCs w:val="15"/>
              </w:rPr>
              <w:t>高级人民法院（</w:t>
            </w:r>
            <w:r>
              <w:rPr>
                <w:rFonts w:ascii="Arial" w:hAnsi="Arial" w:cs="Arial" w:eastAsia="Arial" w:hint="default"/>
                <w:spacing w:val="-3"/>
                <w:sz w:val="15"/>
                <w:szCs w:val="15"/>
              </w:rPr>
              <w:t>2017</w:t>
            </w:r>
            <w:r>
              <w:rPr>
                <w:rFonts w:ascii="宋体" w:hAnsi="宋体" w:cs="宋体" w:eastAsia="宋体" w:hint="default"/>
                <w:spacing w:val="-3"/>
                <w:sz w:val="15"/>
                <w:szCs w:val="15"/>
              </w:rPr>
              <w:t>）内民初 </w:t>
            </w:r>
            <w:r>
              <w:rPr>
                <w:rFonts w:ascii="Arial" w:hAnsi="Arial" w:cs="Arial" w:eastAsia="Arial" w:hint="default"/>
                <w:sz w:val="15"/>
                <w:szCs w:val="15"/>
              </w:rPr>
              <w:t>38</w:t>
            </w:r>
            <w:r>
              <w:rPr>
                <w:rFonts w:ascii="Arial" w:hAnsi="Arial" w:cs="Arial" w:eastAsia="Arial" w:hint="default"/>
                <w:spacing w:val="-20"/>
                <w:sz w:val="15"/>
                <w:szCs w:val="15"/>
              </w:rPr>
              <w:t> </w:t>
            </w:r>
            <w:r>
              <w:rPr>
                <w:rFonts w:ascii="宋体" w:hAnsi="宋体" w:cs="宋体" w:eastAsia="宋体" w:hint="default"/>
                <w:sz w:val="15"/>
                <w:szCs w:val="15"/>
              </w:rPr>
              <w:t>号民事判</w:t>
            </w:r>
          </w:p>
          <w:p>
            <w:pPr>
              <w:pStyle w:val="TableParagraph"/>
              <w:spacing w:line="194" w:lineRule="exact"/>
              <w:ind w:left="24" w:right="11"/>
              <w:jc w:val="left"/>
              <w:rPr>
                <w:rFonts w:ascii="宋体" w:hAnsi="宋体" w:cs="宋体" w:eastAsia="宋体" w:hint="default"/>
                <w:sz w:val="15"/>
                <w:szCs w:val="15"/>
              </w:rPr>
            </w:pPr>
            <w:r>
              <w:rPr>
                <w:rFonts w:ascii="宋体" w:hAnsi="宋体" w:cs="宋体" w:eastAsia="宋体" w:hint="default"/>
                <w:spacing w:val="-4"/>
                <w:sz w:val="15"/>
                <w:szCs w:val="15"/>
              </w:rPr>
              <w:t>决第二项为：北大荒鑫都房地产开发有限公</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司对呼伦贝尔天顺房地产开发有限公司上</w:t>
            </w:r>
            <w:r>
              <w:rPr>
                <w:rFonts w:ascii="宋体" w:hAnsi="宋体" w:cs="宋体" w:eastAsia="宋体" w:hint="default"/>
                <w:w w:val="100"/>
                <w:sz w:val="15"/>
                <w:szCs w:val="15"/>
              </w:rPr>
              <w:t> </w:t>
            </w:r>
            <w:r>
              <w:rPr>
                <w:rFonts w:ascii="宋体" w:hAnsi="宋体" w:cs="宋体" w:eastAsia="宋体" w:hint="default"/>
                <w:sz w:val="15"/>
                <w:szCs w:val="15"/>
              </w:rPr>
              <w:t>述欠付锦宸集团有限公司的工程款和利息</w:t>
            </w:r>
            <w:r>
              <w:rPr>
                <w:rFonts w:ascii="宋体" w:hAnsi="宋体" w:cs="宋体" w:eastAsia="宋体" w:hint="default"/>
                <w:w w:val="100"/>
                <w:sz w:val="15"/>
                <w:szCs w:val="15"/>
              </w:rPr>
              <w:t> </w:t>
            </w:r>
            <w:r>
              <w:rPr>
                <w:rFonts w:ascii="宋体" w:hAnsi="宋体" w:cs="宋体" w:eastAsia="宋体" w:hint="default"/>
                <w:sz w:val="15"/>
                <w:szCs w:val="15"/>
              </w:rPr>
              <w:t>承担连带清偿责任；</w:t>
            </w:r>
            <w:r>
              <w:rPr>
                <w:rFonts w:ascii="Arial" w:hAnsi="Arial" w:cs="Arial" w:eastAsia="Arial" w:hint="default"/>
                <w:sz w:val="15"/>
                <w:szCs w:val="15"/>
              </w:rPr>
              <w:t>4</w:t>
            </w:r>
            <w:r>
              <w:rPr>
                <w:rFonts w:ascii="宋体" w:hAnsi="宋体" w:cs="宋体" w:eastAsia="宋体" w:hint="default"/>
                <w:sz w:val="15"/>
                <w:szCs w:val="15"/>
              </w:rPr>
              <w:t>、锦宸集团有限公司</w:t>
            </w:r>
            <w:r>
              <w:rPr>
                <w:rFonts w:ascii="宋体" w:hAnsi="宋体" w:cs="宋体" w:eastAsia="宋体" w:hint="default"/>
                <w:w w:val="100"/>
                <w:sz w:val="15"/>
                <w:szCs w:val="15"/>
              </w:rPr>
              <w:t> </w:t>
            </w:r>
            <w:r>
              <w:rPr>
                <w:rFonts w:ascii="宋体" w:hAnsi="宋体" w:cs="宋体" w:eastAsia="宋体" w:hint="default"/>
                <w:spacing w:val="-4"/>
                <w:sz w:val="15"/>
                <w:szCs w:val="15"/>
              </w:rPr>
              <w:t>对天顺新城二、三期建设工程拍卖、变卖所</w:t>
            </w:r>
            <w:r>
              <w:rPr>
                <w:rFonts w:ascii="宋体" w:hAnsi="宋体" w:cs="宋体" w:eastAsia="宋体" w:hint="default"/>
                <w:spacing w:val="-50"/>
                <w:sz w:val="15"/>
                <w:szCs w:val="15"/>
              </w:rPr>
              <w:t> </w:t>
            </w:r>
            <w:r>
              <w:rPr>
                <w:rFonts w:ascii="宋体" w:hAnsi="宋体" w:cs="宋体" w:eastAsia="宋体" w:hint="default"/>
                <w:spacing w:val="-50"/>
                <w:sz w:val="15"/>
                <w:szCs w:val="15"/>
              </w:rPr>
            </w:r>
            <w:r>
              <w:rPr>
                <w:rFonts w:ascii="宋体" w:hAnsi="宋体" w:cs="宋体" w:eastAsia="宋体" w:hint="default"/>
                <w:sz w:val="15"/>
                <w:szCs w:val="15"/>
              </w:rPr>
              <w:t>得价款在欠付工程款范围内具有优先受偿</w:t>
            </w:r>
            <w:r>
              <w:rPr>
                <w:rFonts w:ascii="宋体" w:hAnsi="宋体" w:cs="宋体" w:eastAsia="宋体" w:hint="default"/>
                <w:w w:val="100"/>
                <w:sz w:val="15"/>
                <w:szCs w:val="15"/>
              </w:rPr>
              <w:t> </w:t>
            </w:r>
            <w:r>
              <w:rPr>
                <w:rFonts w:ascii="宋体" w:hAnsi="宋体" w:cs="宋体" w:eastAsia="宋体" w:hint="default"/>
                <w:sz w:val="15"/>
                <w:szCs w:val="15"/>
              </w:rPr>
              <w:t>权；</w:t>
            </w:r>
            <w:r>
              <w:rPr>
                <w:rFonts w:ascii="Arial" w:hAnsi="Arial" w:cs="Arial" w:eastAsia="Arial" w:hint="default"/>
                <w:sz w:val="15"/>
                <w:szCs w:val="15"/>
              </w:rPr>
              <w:t>5</w:t>
            </w:r>
            <w:r>
              <w:rPr>
                <w:rFonts w:ascii="宋体" w:hAnsi="宋体" w:cs="宋体" w:eastAsia="宋体" w:hint="default"/>
                <w:sz w:val="15"/>
                <w:szCs w:val="15"/>
              </w:rPr>
              <w:t>、驳回锦宸集团有限公司其他诉讼请</w:t>
            </w:r>
            <w:r>
              <w:rPr>
                <w:rFonts w:ascii="宋体" w:hAnsi="宋体" w:cs="宋体" w:eastAsia="宋体" w:hint="default"/>
                <w:w w:val="100"/>
                <w:sz w:val="15"/>
                <w:szCs w:val="15"/>
              </w:rPr>
              <w:t> </w:t>
            </w:r>
            <w:r>
              <w:rPr>
                <w:rFonts w:ascii="宋体" w:hAnsi="宋体" w:cs="宋体" w:eastAsia="宋体" w:hint="default"/>
                <w:sz w:val="15"/>
                <w:szCs w:val="15"/>
              </w:rPr>
              <w:t>求。</w:t>
            </w:r>
          </w:p>
          <w:p>
            <w:pPr>
              <w:pStyle w:val="TableParagraph"/>
              <w:spacing w:line="182" w:lineRule="exact"/>
              <w:ind w:left="24" w:right="0"/>
              <w:jc w:val="left"/>
              <w:rPr>
                <w:rFonts w:ascii="宋体" w:hAnsi="宋体" w:cs="宋体" w:eastAsia="宋体" w:hint="default"/>
                <w:sz w:val="15"/>
                <w:szCs w:val="15"/>
              </w:rPr>
            </w:pPr>
            <w:r>
              <w:rPr>
                <w:rFonts w:ascii="Arial" w:hAnsi="Arial" w:cs="Arial" w:eastAsia="Arial" w:hint="default"/>
                <w:spacing w:val="-1"/>
                <w:w w:val="100"/>
                <w:sz w:val="15"/>
                <w:szCs w:val="15"/>
              </w:rPr>
              <w:t>201</w:t>
            </w:r>
            <w:r>
              <w:rPr>
                <w:rFonts w:ascii="Arial" w:hAnsi="Arial" w:cs="Arial" w:eastAsia="Arial" w:hint="default"/>
                <w:w w:val="100"/>
                <w:sz w:val="15"/>
                <w:szCs w:val="15"/>
              </w:rPr>
              <w:t>9</w:t>
            </w:r>
            <w:r>
              <w:rPr>
                <w:rFonts w:ascii="Arial" w:hAnsi="Arial" w:cs="Arial" w:eastAsia="Arial" w:hint="default"/>
                <w:spacing w:val="-6"/>
                <w:sz w:val="15"/>
                <w:szCs w:val="15"/>
              </w:rPr>
              <w:t> </w:t>
            </w:r>
            <w:r>
              <w:rPr>
                <w:rFonts w:ascii="宋体" w:hAnsi="宋体" w:cs="宋体" w:eastAsia="宋体" w:hint="default"/>
                <w:w w:val="100"/>
                <w:sz w:val="15"/>
                <w:szCs w:val="15"/>
              </w:rPr>
              <w:t>年</w:t>
            </w:r>
            <w:r>
              <w:rPr>
                <w:rFonts w:ascii="宋体" w:hAnsi="宋体" w:cs="宋体" w:eastAsia="宋体" w:hint="default"/>
                <w:spacing w:val="-39"/>
                <w:sz w:val="15"/>
                <w:szCs w:val="15"/>
              </w:rPr>
              <w:t> </w:t>
            </w:r>
            <w:r>
              <w:rPr>
                <w:rFonts w:ascii="Arial" w:hAnsi="Arial" w:cs="Arial" w:eastAsia="Arial" w:hint="default"/>
                <w:w w:val="100"/>
                <w:sz w:val="15"/>
                <w:szCs w:val="15"/>
              </w:rPr>
              <w:t>5</w:t>
            </w:r>
            <w:r>
              <w:rPr>
                <w:rFonts w:ascii="Arial" w:hAnsi="Arial" w:cs="Arial" w:eastAsia="Arial" w:hint="default"/>
                <w:spacing w:val="-6"/>
                <w:sz w:val="15"/>
                <w:szCs w:val="15"/>
              </w:rPr>
              <w:t> </w:t>
            </w:r>
            <w:r>
              <w:rPr>
                <w:rFonts w:ascii="宋体" w:hAnsi="宋体" w:cs="宋体" w:eastAsia="宋体" w:hint="default"/>
                <w:w w:val="100"/>
                <w:sz w:val="15"/>
                <w:szCs w:val="15"/>
              </w:rPr>
              <w:t>月</w:t>
            </w:r>
            <w:r>
              <w:rPr>
                <w:rFonts w:ascii="宋体" w:hAnsi="宋体" w:cs="宋体" w:eastAsia="宋体" w:hint="default"/>
                <w:spacing w:val="-37"/>
                <w:sz w:val="15"/>
                <w:szCs w:val="15"/>
              </w:rPr>
              <w:t> </w:t>
            </w:r>
            <w:r>
              <w:rPr>
                <w:rFonts w:ascii="Arial" w:hAnsi="Arial" w:cs="Arial" w:eastAsia="Arial" w:hint="default"/>
                <w:spacing w:val="-3"/>
                <w:w w:val="100"/>
                <w:sz w:val="15"/>
                <w:szCs w:val="15"/>
              </w:rPr>
              <w:t>2</w:t>
            </w:r>
            <w:r>
              <w:rPr>
                <w:rFonts w:ascii="Arial" w:hAnsi="Arial" w:cs="Arial" w:eastAsia="Arial" w:hint="default"/>
                <w:w w:val="100"/>
                <w:sz w:val="15"/>
                <w:szCs w:val="15"/>
              </w:rPr>
              <w:t>5</w:t>
            </w:r>
            <w:r>
              <w:rPr>
                <w:rFonts w:ascii="Arial" w:hAnsi="Arial" w:cs="Arial" w:eastAsia="Arial" w:hint="default"/>
                <w:spacing w:val="-4"/>
                <w:sz w:val="15"/>
                <w:szCs w:val="15"/>
              </w:rPr>
              <w:t> </w:t>
            </w:r>
            <w:r>
              <w:rPr>
                <w:rFonts w:ascii="宋体" w:hAnsi="宋体" w:cs="宋体" w:eastAsia="宋体" w:hint="default"/>
                <w:spacing w:val="-3"/>
                <w:w w:val="100"/>
                <w:sz w:val="15"/>
                <w:szCs w:val="15"/>
              </w:rPr>
              <w:t>日</w:t>
            </w:r>
            <w:r>
              <w:rPr>
                <w:rFonts w:ascii="宋体" w:hAnsi="宋体" w:cs="宋体" w:eastAsia="宋体" w:hint="default"/>
                <w:spacing w:val="-70"/>
                <w:w w:val="100"/>
                <w:sz w:val="15"/>
                <w:szCs w:val="15"/>
              </w:rPr>
              <w:t>，</w:t>
            </w:r>
            <w:r>
              <w:rPr>
                <w:rFonts w:ascii="宋体" w:hAnsi="宋体" w:cs="宋体" w:eastAsia="宋体" w:hint="default"/>
                <w:spacing w:val="-3"/>
                <w:w w:val="100"/>
                <w:sz w:val="15"/>
                <w:szCs w:val="15"/>
              </w:rPr>
              <w:t>鑫</w:t>
            </w:r>
            <w:r>
              <w:rPr>
                <w:rFonts w:ascii="宋体" w:hAnsi="宋体" w:cs="宋体" w:eastAsia="宋体" w:hint="default"/>
                <w:w w:val="100"/>
                <w:sz w:val="15"/>
                <w:szCs w:val="15"/>
              </w:rPr>
              <w:t>都</w:t>
            </w:r>
            <w:r>
              <w:rPr>
                <w:rFonts w:ascii="宋体" w:hAnsi="宋体" w:cs="宋体" w:eastAsia="宋体" w:hint="default"/>
                <w:spacing w:val="-3"/>
                <w:w w:val="100"/>
                <w:sz w:val="15"/>
                <w:szCs w:val="15"/>
              </w:rPr>
              <w:t>公</w:t>
            </w:r>
            <w:r>
              <w:rPr>
                <w:rFonts w:ascii="宋体" w:hAnsi="宋体" w:cs="宋体" w:eastAsia="宋体" w:hint="default"/>
                <w:w w:val="100"/>
                <w:sz w:val="15"/>
                <w:szCs w:val="15"/>
              </w:rPr>
              <w:t>司</w:t>
            </w:r>
            <w:r>
              <w:rPr>
                <w:rFonts w:ascii="宋体" w:hAnsi="宋体" w:cs="宋体" w:eastAsia="宋体" w:hint="default"/>
                <w:spacing w:val="-3"/>
                <w:w w:val="100"/>
                <w:sz w:val="15"/>
                <w:szCs w:val="15"/>
              </w:rPr>
              <w:t>收</w:t>
            </w:r>
            <w:r>
              <w:rPr>
                <w:rFonts w:ascii="宋体" w:hAnsi="宋体" w:cs="宋体" w:eastAsia="宋体" w:hint="default"/>
                <w:w w:val="100"/>
                <w:sz w:val="15"/>
                <w:szCs w:val="15"/>
              </w:rPr>
              <w:t>到</w:t>
            </w:r>
            <w:r>
              <w:rPr>
                <w:rFonts w:ascii="宋体" w:hAnsi="宋体" w:cs="宋体" w:eastAsia="宋体" w:hint="default"/>
                <w:spacing w:val="-3"/>
                <w:w w:val="100"/>
                <w:sz w:val="15"/>
                <w:szCs w:val="15"/>
              </w:rPr>
              <w:t>内</w:t>
            </w:r>
            <w:r>
              <w:rPr>
                <w:rFonts w:ascii="宋体" w:hAnsi="宋体" w:cs="宋体" w:eastAsia="宋体" w:hint="default"/>
                <w:w w:val="100"/>
                <w:sz w:val="15"/>
                <w:szCs w:val="15"/>
              </w:rPr>
              <w:t>蒙古自</w:t>
            </w:r>
          </w:p>
          <w:p>
            <w:pPr>
              <w:pStyle w:val="TableParagraph"/>
              <w:spacing w:line="232" w:lineRule="auto"/>
              <w:ind w:left="24" w:right="-32"/>
              <w:jc w:val="left"/>
              <w:rPr>
                <w:rFonts w:ascii="宋体" w:hAnsi="宋体" w:cs="宋体" w:eastAsia="宋体" w:hint="default"/>
                <w:sz w:val="15"/>
                <w:szCs w:val="15"/>
              </w:rPr>
            </w:pPr>
            <w:r>
              <w:rPr>
                <w:rFonts w:ascii="宋体" w:hAnsi="宋体" w:cs="宋体" w:eastAsia="宋体" w:hint="default"/>
                <w:spacing w:val="-4"/>
                <w:sz w:val="15"/>
                <w:szCs w:val="15"/>
              </w:rPr>
              <w:t>治区高级人民法院《执行裁定书》及内蒙古</w:t>
            </w:r>
            <w:r>
              <w:rPr>
                <w:rFonts w:ascii="宋体" w:hAnsi="宋体" w:cs="宋体" w:eastAsia="宋体" w:hint="default"/>
                <w:spacing w:val="-50"/>
                <w:sz w:val="15"/>
                <w:szCs w:val="15"/>
              </w:rPr>
              <w:t> </w:t>
            </w:r>
            <w:r>
              <w:rPr>
                <w:rFonts w:ascii="宋体" w:hAnsi="宋体" w:cs="宋体" w:eastAsia="宋体" w:hint="default"/>
                <w:spacing w:val="-50"/>
                <w:sz w:val="15"/>
                <w:szCs w:val="15"/>
              </w:rPr>
            </w:r>
            <w:r>
              <w:rPr>
                <w:rFonts w:ascii="宋体" w:hAnsi="宋体" w:cs="宋体" w:eastAsia="宋体" w:hint="default"/>
                <w:spacing w:val="-4"/>
                <w:sz w:val="15"/>
                <w:szCs w:val="15"/>
              </w:rPr>
              <w:t>自治区呼伦贝尔市中级人民法院《执行通知</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书》《报告财产令》，具体情况如下：</w:t>
            </w:r>
            <w:r>
              <w:rPr>
                <w:rFonts w:ascii="Arial" w:hAnsi="Arial" w:cs="Arial" w:eastAsia="Arial" w:hint="default"/>
                <w:sz w:val="15"/>
                <w:szCs w:val="15"/>
              </w:rPr>
              <w:t>1</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pacing w:val="-2"/>
                <w:sz w:val="15"/>
                <w:szCs w:val="15"/>
              </w:rPr>
              <w:t>内蒙古自治区高级人民法院《执行裁定书》</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z w:val="15"/>
                <w:szCs w:val="15"/>
              </w:rPr>
              <w:t>裁定如下：最高人民法院作出的（</w:t>
            </w:r>
            <w:r>
              <w:rPr>
                <w:rFonts w:ascii="Arial" w:hAnsi="Arial" w:cs="Arial" w:eastAsia="Arial" w:hint="default"/>
                <w:sz w:val="15"/>
                <w:szCs w:val="15"/>
              </w:rPr>
              <w:t>2018</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最高法民终</w:t>
            </w:r>
            <w:r>
              <w:rPr>
                <w:rFonts w:ascii="宋体" w:hAnsi="宋体" w:cs="宋体" w:eastAsia="宋体" w:hint="default"/>
                <w:spacing w:val="-38"/>
                <w:sz w:val="15"/>
                <w:szCs w:val="15"/>
              </w:rPr>
              <w:t> </w:t>
            </w:r>
            <w:r>
              <w:rPr>
                <w:rFonts w:ascii="Arial" w:hAnsi="Arial" w:cs="Arial" w:eastAsia="Arial" w:hint="default"/>
                <w:sz w:val="15"/>
                <w:szCs w:val="15"/>
              </w:rPr>
              <w:t>846</w:t>
            </w:r>
            <w:r>
              <w:rPr>
                <w:rFonts w:ascii="Arial" w:hAnsi="Arial" w:cs="Arial" w:eastAsia="Arial" w:hint="default"/>
                <w:spacing w:val="-5"/>
                <w:sz w:val="15"/>
                <w:szCs w:val="15"/>
              </w:rPr>
              <w:t> </w:t>
            </w:r>
            <w:r>
              <w:rPr>
                <w:rFonts w:ascii="宋体" w:hAnsi="宋体" w:cs="宋体" w:eastAsia="宋体" w:hint="default"/>
                <w:sz w:val="15"/>
                <w:szCs w:val="15"/>
              </w:rPr>
              <w:t>号民事判决书由内蒙古自</w:t>
            </w:r>
            <w:r>
              <w:rPr>
                <w:rFonts w:ascii="宋体" w:hAnsi="宋体" w:cs="宋体" w:eastAsia="宋体" w:hint="default"/>
                <w:w w:val="100"/>
                <w:sz w:val="15"/>
                <w:szCs w:val="15"/>
              </w:rPr>
              <w:t> </w:t>
            </w:r>
            <w:r>
              <w:rPr>
                <w:rFonts w:ascii="宋体" w:hAnsi="宋体" w:cs="宋体" w:eastAsia="宋体" w:hint="default"/>
                <w:sz w:val="15"/>
                <w:szCs w:val="15"/>
              </w:rPr>
              <w:t>治区呼伦贝尔市中级人民法院执行。</w:t>
            </w:r>
            <w:r>
              <w:rPr>
                <w:rFonts w:ascii="Arial" w:hAnsi="Arial" w:cs="Arial" w:eastAsia="Arial" w:hint="default"/>
                <w:sz w:val="15"/>
                <w:szCs w:val="15"/>
              </w:rPr>
              <w:t>2</w:t>
            </w:r>
            <w:r>
              <w:rPr>
                <w:rFonts w:ascii="宋体" w:hAnsi="宋体" w:cs="宋体" w:eastAsia="宋体" w:hint="default"/>
                <w:sz w:val="15"/>
                <w:szCs w:val="15"/>
              </w:rPr>
              <w:t>、内</w:t>
            </w:r>
            <w:r>
              <w:rPr>
                <w:rFonts w:ascii="宋体" w:hAnsi="宋体" w:cs="宋体" w:eastAsia="宋体" w:hint="default"/>
                <w:w w:val="100"/>
                <w:sz w:val="15"/>
                <w:szCs w:val="15"/>
              </w:rPr>
              <w:t> </w:t>
            </w:r>
            <w:r>
              <w:rPr>
                <w:rFonts w:ascii="宋体" w:hAnsi="宋体" w:cs="宋体" w:eastAsia="宋体" w:hint="default"/>
                <w:spacing w:val="-4"/>
                <w:sz w:val="15"/>
                <w:szCs w:val="15"/>
              </w:rPr>
              <w:t>蒙古自治区呼伦贝尔市中级人民法院《执行</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4"/>
                <w:sz w:val="15"/>
                <w:szCs w:val="15"/>
              </w:rPr>
              <w:t>通知书》责令鑫都公司履行下列连带清偿义</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务：</w:t>
            </w:r>
          </w:p>
          <w:p>
            <w:pPr>
              <w:pStyle w:val="TableParagraph"/>
              <w:spacing w:line="206" w:lineRule="exact"/>
              <w:ind w:left="24" w:right="0"/>
              <w:jc w:val="left"/>
              <w:rPr>
                <w:rFonts w:ascii="宋体" w:hAnsi="宋体" w:cs="宋体" w:eastAsia="宋体" w:hint="default"/>
                <w:sz w:val="15"/>
                <w:szCs w:val="15"/>
              </w:rPr>
            </w:pPr>
            <w:r>
              <w:rPr>
                <w:rFonts w:ascii="宋体" w:hAnsi="宋体" w:cs="宋体" w:eastAsia="宋体" w:hint="default"/>
                <w:sz w:val="15"/>
                <w:szCs w:val="15"/>
              </w:rPr>
              <w:t>（</w:t>
            </w:r>
            <w:r>
              <w:rPr>
                <w:rFonts w:ascii="Arial" w:hAnsi="Arial" w:cs="Arial" w:eastAsia="Arial" w:hint="default"/>
                <w:sz w:val="15"/>
                <w:szCs w:val="15"/>
              </w:rPr>
              <w:t>1</w:t>
            </w:r>
            <w:r>
              <w:rPr>
                <w:rFonts w:ascii="宋体" w:hAnsi="宋体" w:cs="宋体" w:eastAsia="宋体" w:hint="default"/>
                <w:sz w:val="15"/>
                <w:szCs w:val="15"/>
              </w:rPr>
              <w:t>）给付申请执行人锦宸集团有限公司工</w:t>
            </w:r>
          </w:p>
        </w:tc>
        <w:tc>
          <w:tcPr>
            <w:tcW w:w="1529" w:type="dxa"/>
            <w:tcBorders>
              <w:top w:val="single" w:sz="8" w:space="0" w:color="41B7EE"/>
              <w:left w:val="single" w:sz="9" w:space="0" w:color="FFFFFF"/>
              <w:bottom w:val="single" w:sz="8" w:space="0" w:color="41B7EE"/>
              <w:right w:val="nil" w:sz="6" w:space="0" w:color="auto"/>
            </w:tcBorders>
          </w:tcPr>
          <w:p>
            <w:pPr>
              <w:pStyle w:val="TableParagraph"/>
              <w:spacing w:line="174" w:lineRule="exact"/>
              <w:ind w:left="15" w:right="0"/>
              <w:jc w:val="left"/>
              <w:rPr>
                <w:rFonts w:ascii="宋体" w:hAnsi="宋体" w:cs="宋体" w:eastAsia="宋体" w:hint="default"/>
                <w:sz w:val="15"/>
                <w:szCs w:val="15"/>
              </w:rPr>
            </w:pPr>
            <w:r>
              <w:rPr>
                <w:rFonts w:ascii="宋体" w:hAnsi="宋体" w:cs="宋体" w:eastAsia="宋体" w:hint="default"/>
                <w:sz w:val="15"/>
                <w:szCs w:val="15"/>
              </w:rPr>
              <w:t>治区呼伦贝尔市中级</w:t>
            </w:r>
          </w:p>
          <w:p>
            <w:pPr>
              <w:pStyle w:val="TableParagraph"/>
              <w:spacing w:line="240" w:lineRule="auto"/>
              <w:ind w:left="15" w:right="0"/>
              <w:jc w:val="left"/>
              <w:rPr>
                <w:rFonts w:ascii="宋体" w:hAnsi="宋体" w:cs="宋体" w:eastAsia="宋体" w:hint="default"/>
                <w:sz w:val="15"/>
                <w:szCs w:val="15"/>
              </w:rPr>
            </w:pPr>
            <w:r>
              <w:rPr>
                <w:rFonts w:ascii="宋体" w:hAnsi="宋体" w:cs="宋体" w:eastAsia="宋体" w:hint="default"/>
                <w:sz w:val="15"/>
                <w:szCs w:val="15"/>
              </w:rPr>
              <w:t>人民法院《执行通知</w:t>
            </w:r>
            <w:r>
              <w:rPr>
                <w:rFonts w:ascii="宋体" w:hAnsi="宋体" w:cs="宋体" w:eastAsia="宋体" w:hint="default"/>
                <w:w w:val="100"/>
                <w:sz w:val="15"/>
                <w:szCs w:val="15"/>
              </w:rPr>
              <w:t> </w:t>
            </w:r>
            <w:r>
              <w:rPr>
                <w:rFonts w:ascii="宋体" w:hAnsi="宋体" w:cs="宋体" w:eastAsia="宋体" w:hint="default"/>
                <w:spacing w:val="-2"/>
                <w:sz w:val="15"/>
                <w:szCs w:val="15"/>
              </w:rPr>
              <w:t>书》《报告财产令》，</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具体情况详见</w:t>
            </w:r>
          </w:p>
          <w:p>
            <w:pPr>
              <w:pStyle w:val="TableParagraph"/>
              <w:spacing w:line="194" w:lineRule="exact" w:before="18"/>
              <w:ind w:left="15" w:right="77"/>
              <w:jc w:val="left"/>
              <w:rPr>
                <w:rFonts w:ascii="宋体" w:hAnsi="宋体" w:cs="宋体" w:eastAsia="宋体" w:hint="default"/>
                <w:sz w:val="15"/>
                <w:szCs w:val="15"/>
              </w:rPr>
            </w:pPr>
            <w:r>
              <w:rPr>
                <w:rFonts w:ascii="Arial" w:hAnsi="Arial" w:cs="Arial" w:eastAsia="Arial" w:hint="default"/>
                <w:sz w:val="15"/>
                <w:szCs w:val="15"/>
              </w:rPr>
              <w:t>2019-035</w:t>
            </w:r>
            <w:r>
              <w:rPr>
                <w:rFonts w:ascii="Arial" w:hAnsi="Arial" w:cs="Arial" w:eastAsia="Arial" w:hint="default"/>
                <w:spacing w:val="-8"/>
                <w:sz w:val="15"/>
                <w:szCs w:val="15"/>
              </w:rPr>
              <w:t> </w:t>
            </w:r>
            <w:r>
              <w:rPr>
                <w:rFonts w:ascii="宋体" w:hAnsi="宋体" w:cs="宋体" w:eastAsia="宋体" w:hint="default"/>
                <w:sz w:val="15"/>
                <w:szCs w:val="15"/>
              </w:rPr>
              <w:t>号公告，案</w:t>
            </w:r>
            <w:r>
              <w:rPr>
                <w:rFonts w:ascii="宋体" w:hAnsi="宋体" w:cs="宋体" w:eastAsia="宋体" w:hint="default"/>
                <w:w w:val="100"/>
                <w:sz w:val="15"/>
                <w:szCs w:val="15"/>
              </w:rPr>
              <w:t> </w:t>
            </w:r>
            <w:r>
              <w:rPr>
                <w:rFonts w:ascii="宋体" w:hAnsi="宋体" w:cs="宋体" w:eastAsia="宋体" w:hint="default"/>
                <w:sz w:val="15"/>
                <w:szCs w:val="15"/>
              </w:rPr>
              <w:t>件处在执行中。</w:t>
            </w:r>
          </w:p>
        </w:tc>
      </w:tr>
    </w:tbl>
    <w:p>
      <w:pPr>
        <w:spacing w:after="0" w:line="194" w:lineRule="exact"/>
        <w:jc w:val="left"/>
        <w:rPr>
          <w:rFonts w:ascii="宋体" w:hAnsi="宋体" w:cs="宋体" w:eastAsia="宋体" w:hint="default"/>
          <w:sz w:val="15"/>
          <w:szCs w:val="15"/>
        </w:rPr>
        <w:sectPr>
          <w:pgSz w:w="16840" w:h="11910" w:orient="landscape"/>
          <w:pgMar w:header="825" w:footer="1391" w:top="1360" w:bottom="1660" w:left="1300" w:right="136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6840" w:h="11910" w:orient="landscape"/>
          <w:pgMar w:header="825" w:footer="1391" w:top="1360" w:bottom="1580" w:left="1300" w:right="1380"/>
        </w:sect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5"/>
        <w:rPr>
          <w:rFonts w:ascii="Times New Roman" w:hAnsi="Times New Roman" w:cs="Times New Roman" w:eastAsia="Times New Roman" w:hint="default"/>
          <w:sz w:val="14"/>
          <w:szCs w:val="14"/>
        </w:rPr>
      </w:pPr>
    </w:p>
    <w:p>
      <w:pPr>
        <w:spacing w:before="0"/>
        <w:ind w:left="140" w:right="0" w:firstLine="0"/>
        <w:jc w:val="both"/>
        <w:rPr>
          <w:rFonts w:ascii="宋体" w:hAnsi="宋体" w:cs="宋体" w:eastAsia="宋体" w:hint="default"/>
          <w:sz w:val="15"/>
          <w:szCs w:val="15"/>
        </w:rPr>
      </w:pPr>
      <w:r>
        <w:rPr>
          <w:rFonts w:ascii="宋体" w:hAnsi="宋体" w:cs="宋体" w:eastAsia="宋体" w:hint="default"/>
          <w:sz w:val="15"/>
          <w:szCs w:val="15"/>
        </w:rPr>
        <w:t>呼伦贝</w:t>
      </w:r>
      <w:r>
        <w:rPr>
          <w:rFonts w:ascii="宋体" w:hAnsi="宋体" w:cs="宋体" w:eastAsia="宋体" w:hint="default"/>
          <w:spacing w:val="-72"/>
          <w:sz w:val="15"/>
          <w:szCs w:val="15"/>
        </w:rPr>
        <w:t> </w:t>
      </w:r>
      <w:r>
        <w:rPr>
          <w:rFonts w:ascii="宋体" w:hAnsi="宋体" w:cs="宋体" w:eastAsia="宋体" w:hint="default"/>
          <w:sz w:val="15"/>
          <w:szCs w:val="15"/>
        </w:rPr>
        <w:t>尔市天</w:t>
      </w:r>
      <w:r>
        <w:rPr>
          <w:rFonts w:ascii="宋体" w:hAnsi="宋体" w:cs="宋体" w:eastAsia="宋体" w:hint="default"/>
          <w:spacing w:val="-72"/>
          <w:sz w:val="15"/>
          <w:szCs w:val="15"/>
        </w:rPr>
        <w:t> </w:t>
      </w:r>
      <w:r>
        <w:rPr>
          <w:rFonts w:ascii="宋体" w:hAnsi="宋体" w:cs="宋体" w:eastAsia="宋体" w:hint="default"/>
          <w:sz w:val="15"/>
          <w:szCs w:val="15"/>
        </w:rPr>
        <w:t>顺房地</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8"/>
        <w:rPr>
          <w:rFonts w:ascii="宋体" w:hAnsi="宋体" w:cs="宋体" w:eastAsia="宋体" w:hint="default"/>
          <w:sz w:val="17"/>
          <w:szCs w:val="17"/>
        </w:rPr>
      </w:pPr>
    </w:p>
    <w:p>
      <w:pPr>
        <w:spacing w:before="0"/>
        <w:ind w:left="116" w:right="-16" w:firstLine="0"/>
        <w:jc w:val="left"/>
        <w:rPr>
          <w:rFonts w:ascii="宋体" w:hAnsi="宋体" w:cs="宋体" w:eastAsia="宋体" w:hint="default"/>
          <w:sz w:val="15"/>
          <w:szCs w:val="15"/>
        </w:rPr>
      </w:pPr>
      <w:r>
        <w:rPr>
          <w:rFonts w:ascii="宋体" w:hAnsi="宋体" w:cs="宋体" w:eastAsia="宋体" w:hint="default"/>
          <w:sz w:val="15"/>
          <w:szCs w:val="15"/>
        </w:rPr>
        <w:t>北大荒</w:t>
      </w:r>
      <w:r>
        <w:rPr>
          <w:rFonts w:ascii="宋体" w:hAnsi="宋体" w:cs="宋体" w:eastAsia="宋体" w:hint="default"/>
          <w:spacing w:val="-72"/>
          <w:sz w:val="15"/>
          <w:szCs w:val="15"/>
        </w:rPr>
        <w:t> </w:t>
      </w:r>
      <w:r>
        <w:rPr>
          <w:rFonts w:ascii="宋体" w:hAnsi="宋体" w:cs="宋体" w:eastAsia="宋体" w:hint="default"/>
          <w:sz w:val="15"/>
          <w:szCs w:val="15"/>
        </w:rPr>
        <w:t>鑫都房</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6"/>
        <w:rPr>
          <w:rFonts w:ascii="宋体" w:hAnsi="宋体" w:cs="宋体" w:eastAsia="宋体" w:hint="default"/>
          <w:sz w:val="21"/>
          <w:szCs w:val="21"/>
        </w:rPr>
      </w:pPr>
    </w:p>
    <w:p>
      <w:pPr>
        <w:spacing w:line="194" w:lineRule="exact" w:before="0"/>
        <w:ind w:left="140" w:right="0" w:firstLine="0"/>
        <w:jc w:val="both"/>
        <w:rPr>
          <w:rFonts w:ascii="宋体" w:hAnsi="宋体" w:cs="宋体" w:eastAsia="宋体" w:hint="default"/>
          <w:sz w:val="15"/>
          <w:szCs w:val="15"/>
        </w:rPr>
      </w:pPr>
      <w:r>
        <w:rPr>
          <w:rFonts w:ascii="Arial" w:hAnsi="Arial" w:cs="Arial" w:eastAsia="Arial" w:hint="default"/>
          <w:spacing w:val="-9"/>
          <w:w w:val="100"/>
          <w:sz w:val="15"/>
          <w:szCs w:val="15"/>
        </w:rPr>
        <w:t>1</w:t>
      </w:r>
      <w:r>
        <w:rPr>
          <w:rFonts w:ascii="宋体" w:hAnsi="宋体" w:cs="宋体" w:eastAsia="宋体" w:hint="default"/>
          <w:spacing w:val="-9"/>
          <w:w w:val="100"/>
          <w:sz w:val="15"/>
          <w:szCs w:val="15"/>
        </w:rPr>
        <w:t>、请求裁决被申请人继续履行《房</w:t>
      </w:r>
      <w:r>
        <w:rPr>
          <w:rFonts w:ascii="宋体" w:hAnsi="宋体" w:cs="宋体" w:eastAsia="宋体" w:hint="default"/>
          <w:spacing w:val="-72"/>
          <w:w w:val="100"/>
          <w:sz w:val="15"/>
          <w:szCs w:val="15"/>
        </w:rPr>
        <w:t> </w:t>
      </w:r>
      <w:r>
        <w:rPr>
          <w:rFonts w:ascii="宋体" w:hAnsi="宋体" w:cs="宋体" w:eastAsia="宋体" w:hint="default"/>
          <w:spacing w:val="-72"/>
          <w:w w:val="100"/>
          <w:sz w:val="15"/>
          <w:szCs w:val="15"/>
        </w:rPr>
      </w:r>
      <w:r>
        <w:rPr>
          <w:rFonts w:ascii="宋体" w:hAnsi="宋体" w:cs="宋体" w:eastAsia="宋体" w:hint="default"/>
          <w:spacing w:val="-4"/>
          <w:sz w:val="15"/>
          <w:szCs w:val="15"/>
        </w:rPr>
        <w:t>地产项目开发协议书》《房地产项</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pacing w:val="-4"/>
          <w:sz w:val="15"/>
          <w:szCs w:val="15"/>
        </w:rPr>
        <w:t>目联合开发补充协议书》，要求被</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申请人支付项目资金</w:t>
      </w:r>
      <w:r>
        <w:rPr>
          <w:rFonts w:ascii="宋体" w:hAnsi="宋体" w:cs="宋体" w:eastAsia="宋体" w:hint="default"/>
          <w:spacing w:val="-38"/>
          <w:sz w:val="15"/>
          <w:szCs w:val="15"/>
        </w:rPr>
        <w:t> </w:t>
      </w:r>
      <w:r>
        <w:rPr>
          <w:rFonts w:ascii="Arial" w:hAnsi="Arial" w:cs="Arial" w:eastAsia="Arial" w:hint="default"/>
          <w:sz w:val="15"/>
          <w:szCs w:val="15"/>
        </w:rPr>
        <w:t>6000</w:t>
      </w:r>
      <w:r>
        <w:rPr>
          <w:rFonts w:ascii="Arial" w:hAnsi="Arial" w:cs="Arial" w:eastAsia="Arial" w:hint="default"/>
          <w:spacing w:val="-8"/>
          <w:sz w:val="15"/>
          <w:szCs w:val="15"/>
        </w:rPr>
        <w:t> </w:t>
      </w:r>
      <w:r>
        <w:rPr>
          <w:rFonts w:ascii="宋体" w:hAnsi="宋体" w:cs="宋体" w:eastAsia="宋体" w:hint="default"/>
          <w:sz w:val="15"/>
          <w:szCs w:val="15"/>
        </w:rPr>
        <w:t>万；</w:t>
      </w:r>
      <w:r>
        <w:rPr>
          <w:rFonts w:ascii="Arial" w:hAnsi="Arial" w:cs="Arial" w:eastAsia="Arial" w:hint="default"/>
          <w:sz w:val="15"/>
          <w:szCs w:val="15"/>
        </w:rPr>
        <w:t>2</w:t>
      </w:r>
      <w:r>
        <w:rPr>
          <w:rFonts w:ascii="宋体" w:hAnsi="宋体" w:cs="宋体" w:eastAsia="宋体" w:hint="default"/>
          <w:sz w:val="15"/>
          <w:szCs w:val="15"/>
        </w:rPr>
        <w:t>、</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8"/>
        <w:rPr>
          <w:rFonts w:ascii="宋体" w:hAnsi="宋体" w:cs="宋体" w:eastAsia="宋体" w:hint="default"/>
          <w:sz w:val="16"/>
          <w:szCs w:val="16"/>
        </w:rPr>
      </w:pPr>
    </w:p>
    <w:p>
      <w:pPr>
        <w:spacing w:line="194" w:lineRule="exact" w:before="0"/>
        <w:ind w:left="140" w:right="1" w:firstLine="0"/>
        <w:jc w:val="left"/>
        <w:rPr>
          <w:rFonts w:ascii="宋体" w:hAnsi="宋体" w:cs="宋体" w:eastAsia="宋体" w:hint="default"/>
          <w:sz w:val="15"/>
          <w:szCs w:val="15"/>
        </w:rPr>
      </w:pPr>
      <w:r>
        <w:rPr>
          <w:rFonts w:ascii="Arial" w:hAnsi="Arial" w:cs="Arial" w:eastAsia="Arial" w:hint="default"/>
          <w:sz w:val="15"/>
          <w:szCs w:val="15"/>
        </w:rPr>
        <w:t>2017</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w:hAnsi="Arial" w:cs="Arial" w:eastAsia="Arial" w:hint="default"/>
          <w:sz w:val="15"/>
          <w:szCs w:val="15"/>
        </w:rPr>
        <w:t>12</w:t>
      </w:r>
      <w:r>
        <w:rPr>
          <w:rFonts w:ascii="Arial" w:hAnsi="Arial" w:cs="Arial" w:eastAsia="Arial"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22</w:t>
      </w:r>
      <w:r>
        <w:rPr>
          <w:rFonts w:ascii="Arial" w:hAnsi="Arial" w:cs="Arial" w:eastAsia="Arial" w:hint="default"/>
          <w:spacing w:val="-5"/>
          <w:sz w:val="15"/>
          <w:szCs w:val="15"/>
        </w:rPr>
        <w:t> </w:t>
      </w:r>
      <w:r>
        <w:rPr>
          <w:rFonts w:ascii="宋体" w:hAnsi="宋体" w:cs="宋体" w:eastAsia="宋体" w:hint="default"/>
          <w:sz w:val="15"/>
          <w:szCs w:val="15"/>
        </w:rPr>
        <w:t>日，鑫都公司收到</w:t>
      </w:r>
      <w:r>
        <w:rPr>
          <w:rFonts w:ascii="宋体" w:hAnsi="宋体" w:cs="宋体" w:eastAsia="宋体" w:hint="default"/>
          <w:w w:val="100"/>
          <w:sz w:val="15"/>
          <w:szCs w:val="15"/>
        </w:rPr>
        <w:t> </w:t>
      </w:r>
      <w:r>
        <w:rPr>
          <w:rFonts w:ascii="宋体" w:hAnsi="宋体" w:cs="宋体" w:eastAsia="宋体" w:hint="default"/>
          <w:sz w:val="15"/>
          <w:szCs w:val="15"/>
        </w:rPr>
        <w:t>了北京仲裁委员会送达的《关于</w:t>
      </w:r>
    </w:p>
    <w:p>
      <w:pPr>
        <w:spacing w:line="181" w:lineRule="exact" w:before="0"/>
        <w:ind w:left="140" w:right="-12" w:firstLine="0"/>
        <w:jc w:val="left"/>
        <w:rPr>
          <w:rFonts w:ascii="宋体" w:hAnsi="宋体" w:cs="宋体" w:eastAsia="宋体" w:hint="default"/>
          <w:sz w:val="15"/>
          <w:szCs w:val="15"/>
        </w:rPr>
      </w:pPr>
      <w:r>
        <w:rPr>
          <w:rFonts w:ascii="宋体" w:hAnsi="宋体" w:cs="宋体" w:eastAsia="宋体" w:hint="default"/>
          <w:spacing w:val="-4"/>
          <w:sz w:val="15"/>
          <w:szCs w:val="15"/>
        </w:rPr>
        <w:t>（</w:t>
      </w:r>
      <w:r>
        <w:rPr>
          <w:rFonts w:ascii="Arial" w:hAnsi="Arial" w:cs="Arial" w:eastAsia="Arial" w:hint="default"/>
          <w:spacing w:val="-4"/>
          <w:sz w:val="15"/>
          <w:szCs w:val="15"/>
        </w:rPr>
        <w:t>2017</w:t>
      </w:r>
      <w:r>
        <w:rPr>
          <w:rFonts w:ascii="宋体" w:hAnsi="宋体" w:cs="宋体" w:eastAsia="宋体" w:hint="default"/>
          <w:spacing w:val="-4"/>
          <w:sz w:val="15"/>
          <w:szCs w:val="15"/>
        </w:rPr>
        <w:t>）京仲案字第 </w:t>
      </w:r>
      <w:r>
        <w:rPr>
          <w:rFonts w:ascii="Arial" w:hAnsi="Arial" w:cs="Arial" w:eastAsia="Arial" w:hint="default"/>
          <w:sz w:val="15"/>
          <w:szCs w:val="15"/>
        </w:rPr>
        <w:t>3469</w:t>
      </w:r>
      <w:r>
        <w:rPr>
          <w:rFonts w:ascii="Arial" w:hAnsi="Arial" w:cs="Arial" w:eastAsia="Arial" w:hint="default"/>
          <w:spacing w:val="-25"/>
          <w:sz w:val="15"/>
          <w:szCs w:val="15"/>
        </w:rPr>
        <w:t> </w:t>
      </w:r>
      <w:r>
        <w:rPr>
          <w:rFonts w:ascii="宋体" w:hAnsi="宋体" w:cs="宋体" w:eastAsia="宋体" w:hint="default"/>
          <w:sz w:val="15"/>
          <w:szCs w:val="15"/>
        </w:rPr>
        <w:t>号仲裁案</w:t>
      </w:r>
    </w:p>
    <w:p>
      <w:pPr>
        <w:spacing w:line="194" w:lineRule="exact" w:before="0"/>
        <w:ind w:left="140" w:right="-12" w:firstLine="0"/>
        <w:jc w:val="left"/>
        <w:rPr>
          <w:rFonts w:ascii="宋体" w:hAnsi="宋体" w:cs="宋体" w:eastAsia="宋体" w:hint="default"/>
          <w:sz w:val="15"/>
          <w:szCs w:val="15"/>
        </w:rPr>
      </w:pPr>
      <w:r>
        <w:rPr>
          <w:rFonts w:ascii="宋体" w:hAnsi="宋体" w:cs="宋体" w:eastAsia="宋体" w:hint="default"/>
          <w:sz w:val="15"/>
          <w:szCs w:val="15"/>
        </w:rPr>
        <w:t>答辩通知》鑫都公司于</w:t>
      </w:r>
      <w:r>
        <w:rPr>
          <w:rFonts w:ascii="宋体" w:hAnsi="宋体" w:cs="宋体" w:eastAsia="宋体" w:hint="default"/>
          <w:spacing w:val="-38"/>
          <w:sz w:val="15"/>
          <w:szCs w:val="15"/>
        </w:rPr>
        <w:t> </w:t>
      </w:r>
      <w:r>
        <w:rPr>
          <w:rFonts w:ascii="Arial" w:hAnsi="Arial" w:cs="Arial" w:eastAsia="Arial" w:hint="default"/>
          <w:sz w:val="15"/>
          <w:szCs w:val="15"/>
        </w:rPr>
        <w:t>2018</w:t>
      </w:r>
      <w:r>
        <w:rPr>
          <w:rFonts w:ascii="Arial" w:hAnsi="Arial" w:cs="Arial" w:eastAsia="Arial"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Arial" w:hAnsi="Arial" w:cs="Arial" w:eastAsia="Arial" w:hint="default"/>
          <w:sz w:val="15"/>
          <w:szCs w:val="15"/>
        </w:rPr>
        <w:t>1</w:t>
      </w:r>
      <w:r>
        <w:rPr>
          <w:rFonts w:ascii="Arial" w:hAnsi="Arial" w:cs="Arial" w:eastAsia="Arial" w:hint="default"/>
          <w:spacing w:val="-5"/>
          <w:sz w:val="15"/>
          <w:szCs w:val="15"/>
        </w:rPr>
        <w:t> </w:t>
      </w:r>
      <w:r>
        <w:rPr>
          <w:rFonts w:ascii="宋体" w:hAnsi="宋体" w:cs="宋体" w:eastAsia="宋体" w:hint="default"/>
          <w:sz w:val="15"/>
          <w:szCs w:val="15"/>
        </w:rPr>
        <w:t>月</w:t>
      </w:r>
    </w:p>
    <w:p>
      <w:pPr>
        <w:spacing w:line="201" w:lineRule="exact" w:before="0"/>
        <w:ind w:left="140" w:right="-12" w:firstLine="0"/>
        <w:jc w:val="left"/>
        <w:rPr>
          <w:rFonts w:ascii="宋体" w:hAnsi="宋体" w:cs="宋体" w:eastAsia="宋体" w:hint="default"/>
          <w:sz w:val="15"/>
          <w:szCs w:val="15"/>
        </w:rPr>
      </w:pPr>
      <w:r>
        <w:rPr>
          <w:rFonts w:ascii="Arial" w:hAnsi="Arial" w:cs="Arial" w:eastAsia="Arial" w:hint="default"/>
          <w:sz w:val="15"/>
          <w:szCs w:val="15"/>
        </w:rPr>
        <w:t>10</w:t>
      </w:r>
      <w:r>
        <w:rPr>
          <w:rFonts w:ascii="Arial" w:hAnsi="Arial" w:cs="Arial" w:eastAsia="Arial" w:hint="default"/>
          <w:spacing w:val="-7"/>
          <w:sz w:val="15"/>
          <w:szCs w:val="15"/>
        </w:rPr>
        <w:t> </w:t>
      </w:r>
      <w:r>
        <w:rPr>
          <w:rFonts w:ascii="宋体" w:hAnsi="宋体" w:cs="宋体" w:eastAsia="宋体" w:hint="default"/>
          <w:sz w:val="15"/>
          <w:szCs w:val="15"/>
        </w:rPr>
        <w:t>日提出反请求（进展公告编号为</w:t>
      </w:r>
    </w:p>
    <w:p>
      <w:pPr>
        <w:spacing w:line="240" w:lineRule="auto" w:before="11"/>
        <w:rPr>
          <w:rFonts w:ascii="宋体" w:hAnsi="宋体" w:cs="宋体" w:eastAsia="宋体" w:hint="default"/>
          <w:sz w:val="17"/>
          <w:szCs w:val="17"/>
        </w:rPr>
      </w:pPr>
      <w:r>
        <w:rPr/>
        <w:br w:type="column"/>
      </w:r>
      <w:r>
        <w:rPr>
          <w:rFonts w:ascii="宋体"/>
          <w:sz w:val="17"/>
        </w:rPr>
      </w:r>
    </w:p>
    <w:p>
      <w:pPr>
        <w:spacing w:line="201" w:lineRule="exact" w:before="0"/>
        <w:ind w:left="12" w:right="661" w:firstLine="0"/>
        <w:jc w:val="left"/>
        <w:rPr>
          <w:rFonts w:ascii="Arial" w:hAnsi="Arial" w:cs="Arial" w:eastAsia="Arial" w:hint="default"/>
          <w:sz w:val="15"/>
          <w:szCs w:val="15"/>
        </w:rPr>
      </w:pPr>
      <w:r>
        <w:rPr>
          <w:rFonts w:ascii="宋体" w:hAnsi="宋体" w:cs="宋体" w:eastAsia="宋体" w:hint="default"/>
          <w:sz w:val="15"/>
          <w:szCs w:val="15"/>
        </w:rPr>
        <w:t>程款</w:t>
      </w:r>
      <w:r>
        <w:rPr>
          <w:rFonts w:ascii="宋体" w:hAnsi="宋体" w:cs="宋体" w:eastAsia="宋体" w:hint="default"/>
          <w:spacing w:val="-36"/>
          <w:sz w:val="15"/>
          <w:szCs w:val="15"/>
        </w:rPr>
        <w:t> </w:t>
      </w:r>
      <w:r>
        <w:rPr>
          <w:rFonts w:ascii="Arial" w:hAnsi="Arial" w:cs="Arial" w:eastAsia="Arial" w:hint="default"/>
          <w:sz w:val="15"/>
          <w:szCs w:val="15"/>
        </w:rPr>
        <w:t>140,572,284.76</w:t>
      </w:r>
      <w:r>
        <w:rPr>
          <w:rFonts w:ascii="Arial" w:hAnsi="Arial" w:cs="Arial" w:eastAsia="Arial" w:hint="default"/>
          <w:spacing w:val="-3"/>
          <w:sz w:val="15"/>
          <w:szCs w:val="15"/>
        </w:rPr>
        <w:t> </w:t>
      </w:r>
      <w:r>
        <w:rPr>
          <w:rFonts w:ascii="宋体" w:hAnsi="宋体" w:cs="宋体" w:eastAsia="宋体" w:hint="default"/>
          <w:spacing w:val="-7"/>
          <w:sz w:val="15"/>
          <w:szCs w:val="15"/>
        </w:rPr>
        <w:t>及利息（利息自</w:t>
      </w:r>
      <w:r>
        <w:rPr>
          <w:rFonts w:ascii="宋体" w:hAnsi="宋体" w:cs="宋体" w:eastAsia="宋体" w:hint="default"/>
          <w:spacing w:val="-34"/>
          <w:sz w:val="15"/>
          <w:szCs w:val="15"/>
        </w:rPr>
        <w:t> </w:t>
      </w:r>
      <w:r>
        <w:rPr>
          <w:rFonts w:ascii="Arial" w:hAnsi="Arial" w:cs="Arial" w:eastAsia="Arial" w:hint="default"/>
          <w:sz w:val="15"/>
          <w:szCs w:val="15"/>
        </w:rPr>
        <w:t>2015</w:t>
      </w:r>
    </w:p>
    <w:p>
      <w:pPr>
        <w:spacing w:line="194" w:lineRule="exact" w:before="13"/>
        <w:ind w:left="12" w:right="661" w:firstLine="0"/>
        <w:jc w:val="left"/>
        <w:rPr>
          <w:rFonts w:ascii="宋体" w:hAnsi="宋体" w:cs="宋体" w:eastAsia="宋体" w:hint="default"/>
          <w:sz w:val="15"/>
          <w:szCs w:val="15"/>
        </w:rPr>
      </w:pP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w:hAnsi="Arial" w:cs="Arial" w:eastAsia="Arial" w:hint="default"/>
          <w:sz w:val="15"/>
          <w:szCs w:val="15"/>
        </w:rPr>
        <w:t>11</w:t>
      </w:r>
      <w:r>
        <w:rPr>
          <w:rFonts w:ascii="Arial" w:hAnsi="Arial" w:cs="Arial" w:eastAsia="Arial"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27</w:t>
      </w:r>
      <w:r>
        <w:rPr>
          <w:rFonts w:ascii="Arial" w:hAnsi="Arial" w:cs="Arial" w:eastAsia="Arial" w:hint="default"/>
          <w:spacing w:val="-7"/>
          <w:sz w:val="15"/>
          <w:szCs w:val="15"/>
        </w:rPr>
        <w:t> </w:t>
      </w:r>
      <w:r>
        <w:rPr>
          <w:rFonts w:ascii="宋体" w:hAnsi="宋体" w:cs="宋体" w:eastAsia="宋体" w:hint="default"/>
          <w:sz w:val="15"/>
          <w:szCs w:val="15"/>
        </w:rPr>
        <w:t>日起至给付之日止按照中国人</w:t>
      </w:r>
      <w:r>
        <w:rPr>
          <w:rFonts w:ascii="宋体" w:hAnsi="宋体" w:cs="宋体" w:eastAsia="宋体" w:hint="default"/>
          <w:w w:val="100"/>
          <w:sz w:val="15"/>
          <w:szCs w:val="15"/>
        </w:rPr>
        <w:t> </w:t>
      </w:r>
      <w:r>
        <w:rPr>
          <w:rFonts w:ascii="宋体" w:hAnsi="宋体" w:cs="宋体" w:eastAsia="宋体" w:hint="default"/>
          <w:spacing w:val="-12"/>
          <w:w w:val="100"/>
          <w:sz w:val="15"/>
          <w:szCs w:val="15"/>
        </w:rPr>
        <w:t>民银行发布的同期同类贷款利率计算）。（</w:t>
      </w:r>
      <w:r>
        <w:rPr>
          <w:rFonts w:ascii="Arial" w:hAnsi="Arial" w:cs="Arial" w:eastAsia="Arial" w:hint="default"/>
          <w:spacing w:val="-12"/>
          <w:w w:val="100"/>
          <w:sz w:val="15"/>
          <w:szCs w:val="15"/>
        </w:rPr>
        <w:t>2</w:t>
      </w:r>
      <w:r>
        <w:rPr>
          <w:rFonts w:ascii="宋体" w:hAnsi="宋体" w:cs="宋体" w:eastAsia="宋体" w:hint="default"/>
          <w:spacing w:val="-12"/>
          <w:w w:val="100"/>
          <w:sz w:val="15"/>
          <w:szCs w:val="15"/>
        </w:rPr>
        <w:t>）</w:t>
      </w:r>
      <w:r>
        <w:rPr>
          <w:rFonts w:ascii="宋体" w:hAnsi="宋体" w:cs="宋体" w:eastAsia="宋体" w:hint="default"/>
          <w:spacing w:val="-61"/>
          <w:w w:val="100"/>
          <w:sz w:val="15"/>
          <w:szCs w:val="15"/>
        </w:rPr>
        <w:t> </w:t>
      </w:r>
      <w:r>
        <w:rPr>
          <w:rFonts w:ascii="宋体" w:hAnsi="宋体" w:cs="宋体" w:eastAsia="宋体" w:hint="default"/>
          <w:sz w:val="15"/>
          <w:szCs w:val="15"/>
        </w:rPr>
        <w:t>加倍支付迟延履行期间的债务利息。（</w:t>
      </w:r>
      <w:r>
        <w:rPr>
          <w:rFonts w:ascii="Arial" w:hAnsi="Arial" w:cs="Arial" w:eastAsia="Arial" w:hint="default"/>
          <w:sz w:val="15"/>
          <w:szCs w:val="15"/>
        </w:rPr>
        <w:t>3</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负担案件受理费</w:t>
      </w:r>
      <w:r>
        <w:rPr>
          <w:rFonts w:ascii="宋体" w:hAnsi="宋体" w:cs="宋体" w:eastAsia="宋体" w:hint="default"/>
          <w:spacing w:val="-39"/>
          <w:sz w:val="15"/>
          <w:szCs w:val="15"/>
        </w:rPr>
        <w:t> </w:t>
      </w:r>
      <w:r>
        <w:rPr>
          <w:rFonts w:ascii="Arial" w:hAnsi="Arial" w:cs="Arial" w:eastAsia="Arial" w:hint="default"/>
          <w:sz w:val="15"/>
          <w:szCs w:val="15"/>
        </w:rPr>
        <w:t>1,032,309.22</w:t>
      </w:r>
      <w:r>
        <w:rPr>
          <w:rFonts w:ascii="Arial" w:hAnsi="Arial" w:cs="Arial" w:eastAsia="Arial" w:hint="default"/>
          <w:spacing w:val="-8"/>
          <w:sz w:val="15"/>
          <w:szCs w:val="15"/>
        </w:rPr>
        <w:t> </w:t>
      </w:r>
      <w:r>
        <w:rPr>
          <w:rFonts w:ascii="宋体" w:hAnsi="宋体" w:cs="宋体" w:eastAsia="宋体" w:hint="default"/>
          <w:sz w:val="15"/>
          <w:szCs w:val="15"/>
        </w:rPr>
        <w:t>元，其他诉</w:t>
      </w:r>
    </w:p>
    <w:p>
      <w:pPr>
        <w:spacing w:line="194" w:lineRule="exact" w:before="0"/>
        <w:ind w:left="12" w:right="661" w:firstLine="0"/>
        <w:jc w:val="left"/>
        <w:rPr>
          <w:rFonts w:ascii="宋体" w:hAnsi="宋体" w:cs="宋体" w:eastAsia="宋体" w:hint="default"/>
          <w:sz w:val="15"/>
          <w:szCs w:val="15"/>
        </w:rPr>
      </w:pPr>
      <w:r>
        <w:rPr>
          <w:rFonts w:ascii="宋体" w:hAnsi="宋体" w:cs="宋体" w:eastAsia="宋体" w:hint="default"/>
          <w:sz w:val="15"/>
          <w:szCs w:val="15"/>
        </w:rPr>
        <w:t>讼费用</w:t>
      </w:r>
      <w:r>
        <w:rPr>
          <w:rFonts w:ascii="宋体" w:hAnsi="宋体" w:cs="宋体" w:eastAsia="宋体" w:hint="default"/>
          <w:spacing w:val="-38"/>
          <w:sz w:val="15"/>
          <w:szCs w:val="15"/>
        </w:rPr>
        <w:t> </w:t>
      </w:r>
      <w:r>
        <w:rPr>
          <w:rFonts w:ascii="Arial" w:hAnsi="Arial" w:cs="Arial" w:eastAsia="Arial" w:hint="default"/>
          <w:sz w:val="15"/>
          <w:szCs w:val="15"/>
        </w:rPr>
        <w:t>5,000</w:t>
      </w:r>
      <w:r>
        <w:rPr>
          <w:rFonts w:ascii="Arial" w:hAnsi="Arial" w:cs="Arial" w:eastAsia="Arial" w:hint="default"/>
          <w:spacing w:val="-5"/>
          <w:sz w:val="15"/>
          <w:szCs w:val="15"/>
        </w:rPr>
        <w:t> </w:t>
      </w:r>
      <w:r>
        <w:rPr>
          <w:rFonts w:ascii="宋体" w:hAnsi="宋体" w:cs="宋体" w:eastAsia="宋体" w:hint="default"/>
          <w:sz w:val="15"/>
          <w:szCs w:val="15"/>
        </w:rPr>
        <w:t>元，申请执行费</w:t>
      </w:r>
      <w:r>
        <w:rPr>
          <w:rFonts w:ascii="宋体" w:hAnsi="宋体" w:cs="宋体" w:eastAsia="宋体" w:hint="default"/>
          <w:spacing w:val="-37"/>
          <w:sz w:val="15"/>
          <w:szCs w:val="15"/>
        </w:rPr>
        <w:t> </w:t>
      </w:r>
      <w:r>
        <w:rPr>
          <w:rFonts w:ascii="Arial" w:hAnsi="Arial" w:cs="Arial" w:eastAsia="Arial" w:hint="default"/>
          <w:sz w:val="15"/>
          <w:szCs w:val="15"/>
        </w:rPr>
        <w:t>209,010.00</w:t>
      </w:r>
      <w:r>
        <w:rPr>
          <w:rFonts w:ascii="Arial" w:hAnsi="Arial" w:cs="Arial" w:eastAsia="Arial" w:hint="default"/>
          <w:w w:val="100"/>
          <w:sz w:val="15"/>
          <w:szCs w:val="15"/>
        </w:rPr>
        <w:t> </w:t>
      </w:r>
      <w:r>
        <w:rPr>
          <w:rFonts w:ascii="宋体" w:hAnsi="宋体" w:cs="宋体" w:eastAsia="宋体" w:hint="default"/>
          <w:spacing w:val="-2"/>
          <w:sz w:val="15"/>
          <w:szCs w:val="15"/>
        </w:rPr>
        <w:t>元。</w:t>
      </w:r>
      <w:r>
        <w:rPr>
          <w:rFonts w:ascii="Arial" w:hAnsi="Arial" w:cs="Arial" w:eastAsia="Arial" w:hint="default"/>
          <w:spacing w:val="-2"/>
          <w:sz w:val="15"/>
          <w:szCs w:val="15"/>
        </w:rPr>
        <w:t>3</w:t>
      </w:r>
      <w:r>
        <w:rPr>
          <w:rFonts w:ascii="宋体" w:hAnsi="宋体" w:cs="宋体" w:eastAsia="宋体" w:hint="default"/>
          <w:spacing w:val="-2"/>
          <w:sz w:val="15"/>
          <w:szCs w:val="15"/>
        </w:rPr>
        <w:t>、内蒙古自治区呼伦贝尔市中级人民</w:t>
      </w:r>
      <w:r>
        <w:rPr>
          <w:rFonts w:ascii="宋体" w:hAnsi="宋体" w:cs="宋体" w:eastAsia="宋体" w:hint="default"/>
          <w:spacing w:val="-39"/>
          <w:sz w:val="15"/>
          <w:szCs w:val="15"/>
        </w:rPr>
        <w:t> </w:t>
      </w:r>
      <w:r>
        <w:rPr>
          <w:rFonts w:ascii="宋体" w:hAnsi="宋体" w:cs="宋体" w:eastAsia="宋体" w:hint="default"/>
          <w:spacing w:val="-39"/>
          <w:sz w:val="15"/>
          <w:szCs w:val="15"/>
        </w:rPr>
      </w:r>
      <w:r>
        <w:rPr>
          <w:rFonts w:ascii="宋体" w:hAnsi="宋体" w:cs="宋体" w:eastAsia="宋体" w:hint="default"/>
          <w:spacing w:val="-4"/>
          <w:sz w:val="15"/>
          <w:szCs w:val="15"/>
        </w:rPr>
        <w:t>法院《报告财产令》责令鑫都公司如实向法</w:t>
      </w:r>
      <w:r>
        <w:rPr>
          <w:rFonts w:ascii="宋体" w:hAnsi="宋体" w:cs="宋体" w:eastAsia="宋体" w:hint="default"/>
          <w:spacing w:val="-50"/>
          <w:sz w:val="15"/>
          <w:szCs w:val="15"/>
        </w:rPr>
        <w:t> </w:t>
      </w:r>
      <w:r>
        <w:rPr>
          <w:rFonts w:ascii="宋体" w:hAnsi="宋体" w:cs="宋体" w:eastAsia="宋体" w:hint="default"/>
          <w:spacing w:val="-50"/>
          <w:sz w:val="15"/>
          <w:szCs w:val="15"/>
        </w:rPr>
      </w:r>
      <w:r>
        <w:rPr>
          <w:rFonts w:ascii="宋体" w:hAnsi="宋体" w:cs="宋体" w:eastAsia="宋体" w:hint="default"/>
          <w:sz w:val="15"/>
          <w:szCs w:val="15"/>
        </w:rPr>
        <w:t>院报告当前及收到执行通知书之日前一年</w:t>
      </w:r>
      <w:r>
        <w:rPr>
          <w:rFonts w:ascii="宋体" w:hAnsi="宋体" w:cs="宋体" w:eastAsia="宋体" w:hint="default"/>
          <w:w w:val="100"/>
          <w:sz w:val="15"/>
          <w:szCs w:val="15"/>
        </w:rPr>
        <w:t> </w:t>
      </w:r>
      <w:r>
        <w:rPr>
          <w:rFonts w:ascii="宋体" w:hAnsi="宋体" w:cs="宋体" w:eastAsia="宋体" w:hint="default"/>
          <w:spacing w:val="-4"/>
          <w:sz w:val="15"/>
          <w:szCs w:val="15"/>
        </w:rPr>
        <w:t>的财产情况。执行中，如果财产状况发生变</w:t>
      </w:r>
    </w:p>
    <w:p>
      <w:pPr>
        <w:spacing w:line="194" w:lineRule="exact" w:before="1"/>
        <w:ind w:left="12" w:right="1664" w:firstLine="0"/>
        <w:jc w:val="left"/>
        <w:rPr>
          <w:rFonts w:ascii="宋体" w:hAnsi="宋体" w:cs="宋体" w:eastAsia="宋体" w:hint="default"/>
          <w:sz w:val="15"/>
          <w:szCs w:val="15"/>
        </w:rPr>
      </w:pPr>
      <w:r>
        <w:rPr>
          <w:rFonts w:ascii="宋体" w:hAnsi="宋体" w:cs="宋体" w:eastAsia="宋体" w:hint="default"/>
          <w:sz w:val="15"/>
          <w:szCs w:val="15"/>
        </w:rPr>
        <w:t>动，应当自财产变动之日起</w:t>
      </w:r>
      <w:r>
        <w:rPr>
          <w:rFonts w:ascii="宋体" w:hAnsi="宋体" w:cs="宋体" w:eastAsia="宋体" w:hint="default"/>
          <w:spacing w:val="-38"/>
          <w:sz w:val="15"/>
          <w:szCs w:val="15"/>
        </w:rPr>
        <w:t> </w:t>
      </w:r>
      <w:r>
        <w:rPr>
          <w:rFonts w:ascii="Arial" w:hAnsi="Arial" w:cs="Arial" w:eastAsia="Arial" w:hint="default"/>
          <w:sz w:val="15"/>
          <w:szCs w:val="15"/>
        </w:rPr>
        <w:t>10</w:t>
      </w:r>
      <w:r>
        <w:rPr>
          <w:rFonts w:ascii="Arial" w:hAnsi="Arial" w:cs="Arial" w:eastAsia="Arial" w:hint="default"/>
          <w:spacing w:val="-5"/>
          <w:sz w:val="15"/>
          <w:szCs w:val="15"/>
        </w:rPr>
        <w:t> </w:t>
      </w:r>
      <w:r>
        <w:rPr>
          <w:rFonts w:ascii="宋体" w:hAnsi="宋体" w:cs="宋体" w:eastAsia="宋体" w:hint="default"/>
          <w:sz w:val="15"/>
          <w:szCs w:val="15"/>
        </w:rPr>
        <w:t>日内向法院</w:t>
      </w:r>
      <w:r>
        <w:rPr>
          <w:rFonts w:ascii="宋体" w:hAnsi="宋体" w:cs="宋体" w:eastAsia="宋体" w:hint="default"/>
          <w:w w:val="100"/>
          <w:sz w:val="15"/>
          <w:szCs w:val="15"/>
        </w:rPr>
        <w:t> </w:t>
      </w:r>
      <w:r>
        <w:rPr>
          <w:rFonts w:ascii="宋体" w:hAnsi="宋体" w:cs="宋体" w:eastAsia="宋体" w:hint="default"/>
          <w:sz w:val="15"/>
          <w:szCs w:val="15"/>
        </w:rPr>
        <w:t>补充报告。</w:t>
      </w:r>
    </w:p>
    <w:p>
      <w:pPr>
        <w:spacing w:after="0" w:line="194" w:lineRule="exact"/>
        <w:jc w:val="left"/>
        <w:rPr>
          <w:rFonts w:ascii="宋体" w:hAnsi="宋体" w:cs="宋体" w:eastAsia="宋体" w:hint="default"/>
          <w:sz w:val="15"/>
          <w:szCs w:val="15"/>
        </w:rPr>
        <w:sectPr>
          <w:type w:val="continuous"/>
          <w:pgSz w:w="16840" w:h="11910" w:orient="landscape"/>
          <w:pgMar w:top="1360" w:bottom="1380" w:left="1300" w:right="1380"/>
          <w:cols w:num="5" w:equalWidth="0">
            <w:col w:w="594" w:space="40"/>
            <w:col w:w="570" w:space="1448"/>
            <w:col w:w="2433" w:space="2036"/>
            <w:col w:w="2510" w:space="40"/>
            <w:col w:w="4489"/>
          </w:cols>
        </w:sectPr>
      </w:pPr>
    </w:p>
    <w:p>
      <w:pPr>
        <w:spacing w:before="0"/>
        <w:ind w:left="140" w:right="0" w:firstLine="0"/>
        <w:jc w:val="both"/>
        <w:rPr>
          <w:rFonts w:ascii="宋体" w:hAnsi="宋体" w:cs="宋体" w:eastAsia="宋体" w:hint="default"/>
          <w:sz w:val="15"/>
          <w:szCs w:val="15"/>
        </w:rPr>
      </w:pPr>
      <w:r>
        <w:rPr>
          <w:rFonts w:ascii="宋体" w:hAnsi="宋体" w:cs="宋体" w:eastAsia="宋体" w:hint="default"/>
          <w:sz w:val="15"/>
          <w:szCs w:val="15"/>
        </w:rPr>
        <w:t>产开发</w:t>
      </w:r>
      <w:r>
        <w:rPr>
          <w:rFonts w:ascii="宋体" w:hAnsi="宋体" w:cs="宋体" w:eastAsia="宋体" w:hint="default"/>
          <w:spacing w:val="-72"/>
          <w:sz w:val="15"/>
          <w:szCs w:val="15"/>
        </w:rPr>
        <w:t> </w:t>
      </w:r>
      <w:r>
        <w:rPr>
          <w:rFonts w:ascii="宋体" w:hAnsi="宋体" w:cs="宋体" w:eastAsia="宋体" w:hint="default"/>
          <w:sz w:val="15"/>
          <w:szCs w:val="15"/>
        </w:rPr>
        <w:t>有限公</w:t>
      </w:r>
      <w:r>
        <w:rPr>
          <w:rFonts w:ascii="宋体" w:hAnsi="宋体" w:cs="宋体" w:eastAsia="宋体" w:hint="default"/>
          <w:spacing w:val="-72"/>
          <w:sz w:val="15"/>
          <w:szCs w:val="15"/>
        </w:rPr>
        <w:t> </w:t>
      </w:r>
      <w:r>
        <w:rPr>
          <w:rFonts w:ascii="宋体" w:hAnsi="宋体" w:cs="宋体" w:eastAsia="宋体" w:hint="default"/>
          <w:sz w:val="15"/>
          <w:szCs w:val="15"/>
        </w:rPr>
        <w:t>司</w:t>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before="122"/>
        <w:ind w:left="140" w:right="0" w:firstLine="0"/>
        <w:jc w:val="both"/>
        <w:rPr>
          <w:rFonts w:ascii="宋体" w:hAnsi="宋体" w:cs="宋体" w:eastAsia="宋体" w:hint="default"/>
          <w:sz w:val="15"/>
          <w:szCs w:val="15"/>
        </w:rPr>
      </w:pPr>
      <w:r>
        <w:rPr>
          <w:rFonts w:ascii="宋体" w:hAnsi="宋体" w:cs="宋体" w:eastAsia="宋体" w:hint="default"/>
          <w:sz w:val="15"/>
          <w:szCs w:val="15"/>
        </w:rPr>
        <w:t>黑龙江</w:t>
      </w:r>
      <w:r>
        <w:rPr>
          <w:rFonts w:ascii="宋体" w:hAnsi="宋体" w:cs="宋体" w:eastAsia="宋体" w:hint="default"/>
          <w:spacing w:val="-72"/>
          <w:sz w:val="15"/>
          <w:szCs w:val="15"/>
        </w:rPr>
        <w:t> </w:t>
      </w:r>
      <w:r>
        <w:rPr>
          <w:rFonts w:ascii="宋体" w:hAnsi="宋体" w:cs="宋体" w:eastAsia="宋体" w:hint="default"/>
          <w:sz w:val="15"/>
          <w:szCs w:val="15"/>
        </w:rPr>
        <w:t>北大荒</w:t>
      </w:r>
      <w:r>
        <w:rPr>
          <w:rFonts w:ascii="宋体" w:hAnsi="宋体" w:cs="宋体" w:eastAsia="宋体" w:hint="default"/>
          <w:spacing w:val="-72"/>
          <w:sz w:val="15"/>
          <w:szCs w:val="15"/>
        </w:rPr>
        <w:t> </w:t>
      </w:r>
      <w:r>
        <w:rPr>
          <w:rFonts w:ascii="宋体" w:hAnsi="宋体" w:cs="宋体" w:eastAsia="宋体" w:hint="default"/>
          <w:sz w:val="15"/>
          <w:szCs w:val="15"/>
        </w:rPr>
        <w:t>农业股</w:t>
      </w:r>
    </w:p>
    <w:p>
      <w:pPr>
        <w:spacing w:line="97" w:lineRule="exact" w:before="0"/>
        <w:ind w:left="116" w:right="-14" w:firstLine="0"/>
        <w:jc w:val="left"/>
        <w:rPr>
          <w:rFonts w:ascii="宋体" w:hAnsi="宋体" w:cs="宋体" w:eastAsia="宋体" w:hint="default"/>
          <w:sz w:val="15"/>
          <w:szCs w:val="15"/>
        </w:rPr>
      </w:pPr>
      <w:r>
        <w:rPr/>
        <w:br w:type="column"/>
      </w:r>
      <w:r>
        <w:rPr>
          <w:rFonts w:ascii="宋体" w:hAnsi="宋体" w:cs="宋体" w:eastAsia="宋体" w:hint="default"/>
          <w:sz w:val="15"/>
          <w:szCs w:val="15"/>
        </w:rPr>
        <w:t>地产开</w:t>
      </w:r>
    </w:p>
    <w:p>
      <w:pPr>
        <w:spacing w:before="0"/>
        <w:ind w:left="116" w:right="-14" w:firstLine="0"/>
        <w:jc w:val="left"/>
        <w:rPr>
          <w:rFonts w:ascii="宋体" w:hAnsi="宋体" w:cs="宋体" w:eastAsia="宋体" w:hint="default"/>
          <w:sz w:val="15"/>
          <w:szCs w:val="15"/>
        </w:rPr>
      </w:pPr>
      <w:r>
        <w:rPr>
          <w:rFonts w:ascii="宋体" w:hAnsi="宋体" w:cs="宋体" w:eastAsia="宋体" w:hint="default"/>
          <w:sz w:val="15"/>
          <w:szCs w:val="15"/>
        </w:rPr>
        <w:t>发有限</w:t>
      </w:r>
      <w:r>
        <w:rPr>
          <w:rFonts w:ascii="宋体" w:hAnsi="宋体" w:cs="宋体" w:eastAsia="宋体" w:hint="default"/>
          <w:spacing w:val="-72"/>
          <w:sz w:val="15"/>
          <w:szCs w:val="15"/>
        </w:rPr>
        <w:t> </w:t>
      </w:r>
      <w:r>
        <w:rPr>
          <w:rFonts w:ascii="宋体" w:hAnsi="宋体" w:cs="宋体" w:eastAsia="宋体" w:hint="default"/>
          <w:sz w:val="15"/>
          <w:szCs w:val="15"/>
        </w:rPr>
        <w:t>公司</w:t>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194" w:lineRule="exact" w:before="109"/>
        <w:ind w:left="116" w:right="-14" w:firstLine="0"/>
        <w:jc w:val="left"/>
        <w:rPr>
          <w:rFonts w:ascii="宋体" w:hAnsi="宋体" w:cs="宋体" w:eastAsia="宋体" w:hint="default"/>
          <w:sz w:val="15"/>
          <w:szCs w:val="15"/>
        </w:rPr>
      </w:pPr>
      <w:r>
        <w:rPr>
          <w:rFonts w:ascii="Arial" w:hAnsi="Arial" w:cs="Arial" w:eastAsia="Arial" w:hint="default"/>
          <w:spacing w:val="-1"/>
          <w:sz w:val="15"/>
          <w:szCs w:val="15"/>
        </w:rPr>
        <w:t>1</w:t>
      </w:r>
      <w:r>
        <w:rPr>
          <w:rFonts w:ascii="宋体" w:hAnsi="宋体" w:cs="宋体" w:eastAsia="宋体" w:hint="default"/>
          <w:spacing w:val="-1"/>
          <w:sz w:val="15"/>
          <w:szCs w:val="15"/>
        </w:rPr>
        <w:t>、哈尔</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滨市道</w:t>
      </w:r>
      <w:r>
        <w:rPr>
          <w:rFonts w:ascii="宋体" w:hAnsi="宋体" w:cs="宋体" w:eastAsia="宋体" w:hint="default"/>
          <w:spacing w:val="-72"/>
          <w:sz w:val="15"/>
          <w:szCs w:val="15"/>
        </w:rPr>
        <w:t> </w:t>
      </w:r>
      <w:r>
        <w:rPr>
          <w:rFonts w:ascii="宋体" w:hAnsi="宋体" w:cs="宋体" w:eastAsia="宋体" w:hint="default"/>
          <w:sz w:val="15"/>
          <w:szCs w:val="15"/>
        </w:rPr>
        <w:t>里区棚</w:t>
      </w:r>
      <w:r>
        <w:rPr>
          <w:rFonts w:ascii="宋体" w:hAnsi="宋体" w:cs="宋体" w:eastAsia="宋体" w:hint="default"/>
          <w:spacing w:val="-72"/>
          <w:sz w:val="15"/>
          <w:szCs w:val="15"/>
        </w:rPr>
        <w:t> </w:t>
      </w:r>
      <w:r>
        <w:rPr>
          <w:rFonts w:ascii="宋体" w:hAnsi="宋体" w:cs="宋体" w:eastAsia="宋体" w:hint="default"/>
          <w:sz w:val="15"/>
          <w:szCs w:val="15"/>
        </w:rPr>
        <w:t>户区改</w:t>
      </w:r>
      <w:r>
        <w:rPr>
          <w:rFonts w:ascii="宋体" w:hAnsi="宋体" w:cs="宋体" w:eastAsia="宋体" w:hint="default"/>
          <w:spacing w:val="-72"/>
          <w:sz w:val="15"/>
          <w:szCs w:val="15"/>
        </w:rPr>
        <w:t> </w:t>
      </w:r>
      <w:r>
        <w:rPr>
          <w:rFonts w:ascii="宋体" w:hAnsi="宋体" w:cs="宋体" w:eastAsia="宋体" w:hint="default"/>
          <w:sz w:val="15"/>
          <w:szCs w:val="15"/>
        </w:rPr>
        <w:t>造工作</w:t>
      </w:r>
      <w:r>
        <w:rPr>
          <w:rFonts w:ascii="宋体" w:hAnsi="宋体" w:cs="宋体" w:eastAsia="宋体" w:hint="default"/>
          <w:spacing w:val="-72"/>
          <w:sz w:val="15"/>
          <w:szCs w:val="15"/>
        </w:rPr>
        <w:t> </w:t>
      </w:r>
      <w:r>
        <w:rPr>
          <w:rFonts w:ascii="宋体" w:hAnsi="宋体" w:cs="宋体" w:eastAsia="宋体" w:hint="default"/>
          <w:sz w:val="15"/>
          <w:szCs w:val="15"/>
        </w:rPr>
        <w:t>领导小</w:t>
      </w:r>
    </w:p>
    <w:p>
      <w:pPr>
        <w:spacing w:line="98" w:lineRule="exact" w:before="0"/>
        <w:ind w:left="140" w:right="-17" w:firstLine="0"/>
        <w:jc w:val="left"/>
        <w:rPr>
          <w:rFonts w:ascii="宋体" w:hAnsi="宋体" w:cs="宋体" w:eastAsia="宋体" w:hint="default"/>
          <w:sz w:val="15"/>
          <w:szCs w:val="15"/>
        </w:rPr>
      </w:pPr>
      <w:r>
        <w:rPr/>
        <w:br w:type="column"/>
      </w:r>
      <w:r>
        <w:rPr>
          <w:rFonts w:ascii="宋体" w:hAnsi="宋体" w:cs="宋体" w:eastAsia="宋体" w:hint="default"/>
          <w:sz w:val="15"/>
          <w:szCs w:val="15"/>
        </w:rPr>
        <w:t>仲裁</w:t>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10"/>
        <w:rPr>
          <w:rFonts w:ascii="宋体" w:hAnsi="宋体" w:cs="宋体" w:eastAsia="宋体" w:hint="default"/>
          <w:sz w:val="12"/>
          <w:szCs w:val="12"/>
        </w:rPr>
      </w:pPr>
    </w:p>
    <w:p>
      <w:pPr>
        <w:spacing w:before="0"/>
        <w:ind w:left="140" w:right="-17" w:firstLine="0"/>
        <w:jc w:val="left"/>
        <w:rPr>
          <w:rFonts w:ascii="宋体" w:hAnsi="宋体" w:cs="宋体" w:eastAsia="宋体" w:hint="default"/>
          <w:sz w:val="15"/>
          <w:szCs w:val="15"/>
        </w:rPr>
      </w:pPr>
      <w:r>
        <w:rPr>
          <w:rFonts w:ascii="宋体" w:hAnsi="宋体" w:cs="宋体" w:eastAsia="宋体" w:hint="default"/>
          <w:sz w:val="15"/>
          <w:szCs w:val="15"/>
        </w:rPr>
        <w:t>民事诉</w:t>
      </w:r>
    </w:p>
    <w:p>
      <w:pPr>
        <w:spacing w:line="97" w:lineRule="exact" w:before="0"/>
        <w:ind w:left="106" w:right="-11" w:firstLine="0"/>
        <w:jc w:val="left"/>
        <w:rPr>
          <w:rFonts w:ascii="宋体" w:hAnsi="宋体" w:cs="宋体" w:eastAsia="宋体" w:hint="default"/>
          <w:sz w:val="15"/>
          <w:szCs w:val="15"/>
        </w:rPr>
      </w:pPr>
      <w:r>
        <w:rPr/>
        <w:br w:type="column"/>
      </w:r>
      <w:r>
        <w:rPr>
          <w:rFonts w:ascii="宋体" w:hAnsi="宋体" w:cs="宋体" w:eastAsia="宋体" w:hint="default"/>
          <w:sz w:val="15"/>
          <w:szCs w:val="15"/>
        </w:rPr>
        <w:t>请求裁决被申请人向申请人支付</w:t>
      </w:r>
    </w:p>
    <w:p>
      <w:pPr>
        <w:spacing w:line="200" w:lineRule="exact" w:before="0"/>
        <w:ind w:left="106" w:right="-11" w:firstLine="0"/>
        <w:jc w:val="left"/>
        <w:rPr>
          <w:rFonts w:ascii="宋体" w:hAnsi="宋体" w:cs="宋体" w:eastAsia="宋体" w:hint="default"/>
          <w:sz w:val="15"/>
          <w:szCs w:val="15"/>
        </w:rPr>
      </w:pPr>
      <w:r>
        <w:rPr>
          <w:rFonts w:ascii="宋体" w:hAnsi="宋体" w:cs="宋体" w:eastAsia="宋体" w:hint="default"/>
          <w:sz w:val="15"/>
          <w:szCs w:val="15"/>
        </w:rPr>
        <w:t>违约金</w:t>
      </w:r>
      <w:r>
        <w:rPr>
          <w:rFonts w:ascii="宋体" w:hAnsi="宋体" w:cs="宋体" w:eastAsia="宋体" w:hint="default"/>
          <w:spacing w:val="-32"/>
          <w:sz w:val="15"/>
          <w:szCs w:val="15"/>
        </w:rPr>
        <w:t> </w:t>
      </w:r>
      <w:r>
        <w:rPr>
          <w:rFonts w:ascii="Arial" w:hAnsi="Arial" w:cs="Arial" w:eastAsia="Arial" w:hint="default"/>
          <w:sz w:val="15"/>
          <w:szCs w:val="15"/>
        </w:rPr>
        <w:t>3.74</w:t>
      </w:r>
      <w:r>
        <w:rPr>
          <w:rFonts w:ascii="Arial" w:hAnsi="Arial" w:cs="Arial" w:eastAsia="Arial" w:hint="default"/>
          <w:spacing w:val="1"/>
          <w:sz w:val="15"/>
          <w:szCs w:val="15"/>
        </w:rPr>
        <w:t> </w:t>
      </w:r>
      <w:r>
        <w:rPr>
          <w:rFonts w:ascii="宋体" w:hAnsi="宋体" w:cs="宋体" w:eastAsia="宋体" w:hint="default"/>
          <w:spacing w:val="-5"/>
          <w:sz w:val="15"/>
          <w:szCs w:val="15"/>
        </w:rPr>
        <w:t>亿元；</w:t>
      </w:r>
      <w:r>
        <w:rPr>
          <w:rFonts w:ascii="Arial" w:hAnsi="Arial" w:cs="Arial" w:eastAsia="Arial" w:hint="default"/>
          <w:spacing w:val="-5"/>
          <w:sz w:val="15"/>
          <w:szCs w:val="15"/>
        </w:rPr>
        <w:t>3</w:t>
      </w:r>
      <w:r>
        <w:rPr>
          <w:rFonts w:ascii="宋体" w:hAnsi="宋体" w:cs="宋体" w:eastAsia="宋体" w:hint="default"/>
          <w:spacing w:val="-5"/>
          <w:sz w:val="15"/>
          <w:szCs w:val="15"/>
        </w:rPr>
        <w:t>、请求裁决被</w:t>
      </w:r>
    </w:p>
    <w:p>
      <w:pPr>
        <w:spacing w:line="194" w:lineRule="exact" w:before="13"/>
        <w:ind w:left="106" w:right="-11" w:firstLine="0"/>
        <w:jc w:val="left"/>
        <w:rPr>
          <w:rFonts w:ascii="宋体" w:hAnsi="宋体" w:cs="宋体" w:eastAsia="宋体" w:hint="default"/>
          <w:sz w:val="15"/>
          <w:szCs w:val="15"/>
        </w:rPr>
      </w:pPr>
      <w:r>
        <w:rPr>
          <w:rFonts w:ascii="宋体" w:hAnsi="宋体" w:cs="宋体" w:eastAsia="宋体" w:hint="default"/>
          <w:sz w:val="15"/>
          <w:szCs w:val="15"/>
        </w:rPr>
        <w:t>申请人承担本案律师费用</w:t>
      </w:r>
      <w:r>
        <w:rPr>
          <w:rFonts w:ascii="宋体" w:hAnsi="宋体" w:cs="宋体" w:eastAsia="宋体" w:hint="default"/>
          <w:spacing w:val="-37"/>
          <w:sz w:val="15"/>
          <w:szCs w:val="15"/>
        </w:rPr>
        <w:t> </w:t>
      </w:r>
      <w:r>
        <w:rPr>
          <w:rFonts w:ascii="Arial" w:hAnsi="Arial" w:cs="Arial" w:eastAsia="Arial" w:hint="default"/>
          <w:sz w:val="15"/>
          <w:szCs w:val="15"/>
        </w:rPr>
        <w:t>300</w:t>
      </w:r>
      <w:r>
        <w:rPr>
          <w:rFonts w:ascii="Arial" w:hAnsi="Arial" w:cs="Arial" w:eastAsia="Arial" w:hint="default"/>
          <w:spacing w:val="-5"/>
          <w:sz w:val="15"/>
          <w:szCs w:val="15"/>
        </w:rPr>
        <w:t> </w:t>
      </w:r>
      <w:r>
        <w:rPr>
          <w:rFonts w:ascii="宋体" w:hAnsi="宋体" w:cs="宋体" w:eastAsia="宋体" w:hint="default"/>
          <w:sz w:val="15"/>
          <w:szCs w:val="15"/>
        </w:rPr>
        <w:t>万</w:t>
      </w:r>
      <w:r>
        <w:rPr>
          <w:rFonts w:ascii="宋体" w:hAnsi="宋体" w:cs="宋体" w:eastAsia="宋体" w:hint="default"/>
          <w:w w:val="100"/>
          <w:sz w:val="15"/>
          <w:szCs w:val="15"/>
        </w:rPr>
        <w:t> </w:t>
      </w:r>
      <w:r>
        <w:rPr>
          <w:rFonts w:ascii="宋体" w:hAnsi="宋体" w:cs="宋体" w:eastAsia="宋体" w:hint="default"/>
          <w:spacing w:val="-2"/>
          <w:sz w:val="15"/>
          <w:szCs w:val="15"/>
        </w:rPr>
        <w:t>元；</w:t>
      </w:r>
      <w:r>
        <w:rPr>
          <w:rFonts w:ascii="Arial" w:hAnsi="Arial" w:cs="Arial" w:eastAsia="Arial" w:hint="default"/>
          <w:spacing w:val="-2"/>
          <w:sz w:val="15"/>
          <w:szCs w:val="15"/>
        </w:rPr>
        <w:t>4</w:t>
      </w:r>
      <w:r>
        <w:rPr>
          <w:rFonts w:ascii="宋体" w:hAnsi="宋体" w:cs="宋体" w:eastAsia="宋体" w:hint="default"/>
          <w:spacing w:val="-2"/>
          <w:sz w:val="15"/>
          <w:szCs w:val="15"/>
        </w:rPr>
        <w:t>、请求裁决被申请人承担本</w:t>
      </w:r>
      <w:r>
        <w:rPr>
          <w:rFonts w:ascii="宋体" w:hAnsi="宋体" w:cs="宋体" w:eastAsia="宋体" w:hint="default"/>
          <w:spacing w:val="-46"/>
          <w:sz w:val="15"/>
          <w:szCs w:val="15"/>
        </w:rPr>
        <w:t> </w:t>
      </w:r>
      <w:r>
        <w:rPr>
          <w:rFonts w:ascii="宋体" w:hAnsi="宋体" w:cs="宋体" w:eastAsia="宋体" w:hint="default"/>
          <w:spacing w:val="-46"/>
          <w:sz w:val="15"/>
          <w:szCs w:val="15"/>
        </w:rPr>
      </w:r>
      <w:r>
        <w:rPr>
          <w:rFonts w:ascii="宋体" w:hAnsi="宋体" w:cs="宋体" w:eastAsia="宋体" w:hint="default"/>
          <w:sz w:val="15"/>
          <w:szCs w:val="15"/>
        </w:rPr>
        <w:t>案仲裁费。</w:t>
      </w:r>
    </w:p>
    <w:p>
      <w:pPr>
        <w:spacing w:line="240" w:lineRule="auto" w:before="2"/>
        <w:rPr>
          <w:rFonts w:ascii="宋体" w:hAnsi="宋体" w:cs="宋体" w:eastAsia="宋体" w:hint="default"/>
          <w:sz w:val="14"/>
          <w:szCs w:val="14"/>
        </w:rPr>
      </w:pPr>
    </w:p>
    <w:p>
      <w:pPr>
        <w:spacing w:line="201" w:lineRule="exact" w:before="0"/>
        <w:ind w:left="106" w:right="-11" w:firstLine="0"/>
        <w:jc w:val="left"/>
        <w:rPr>
          <w:rFonts w:ascii="宋体" w:hAnsi="宋体" w:cs="宋体" w:eastAsia="宋体" w:hint="default"/>
          <w:sz w:val="15"/>
          <w:szCs w:val="15"/>
        </w:rPr>
      </w:pPr>
      <w:r>
        <w:rPr>
          <w:rFonts w:ascii="Arial" w:hAnsi="Arial" w:cs="Arial" w:eastAsia="Arial" w:hint="default"/>
          <w:sz w:val="15"/>
          <w:szCs w:val="15"/>
        </w:rPr>
        <w:t>2011</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6</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9</w:t>
      </w:r>
      <w:r>
        <w:rPr>
          <w:rFonts w:ascii="Arial" w:hAnsi="Arial" w:cs="Arial" w:eastAsia="Arial" w:hint="default"/>
          <w:spacing w:val="-6"/>
          <w:sz w:val="15"/>
          <w:szCs w:val="15"/>
        </w:rPr>
        <w:t> </w:t>
      </w:r>
      <w:r>
        <w:rPr>
          <w:rFonts w:ascii="宋体" w:hAnsi="宋体" w:cs="宋体" w:eastAsia="宋体" w:hint="default"/>
          <w:sz w:val="15"/>
          <w:szCs w:val="15"/>
        </w:rPr>
        <w:t>日、</w:t>
      </w:r>
      <w:r>
        <w:rPr>
          <w:rFonts w:ascii="Arial" w:hAnsi="Arial" w:cs="Arial" w:eastAsia="Arial" w:hint="default"/>
          <w:sz w:val="15"/>
          <w:szCs w:val="15"/>
        </w:rPr>
        <w:t>2011</w:t>
      </w:r>
      <w:r>
        <w:rPr>
          <w:rFonts w:ascii="Arial" w:hAnsi="Arial" w:cs="Arial" w:eastAsia="Arial" w:hint="default"/>
          <w:spacing w:val="-4"/>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10</w:t>
      </w:r>
      <w:r>
        <w:rPr>
          <w:rFonts w:ascii="Arial" w:hAnsi="Arial" w:cs="Arial" w:eastAsia="Arial" w:hint="default"/>
          <w:spacing w:val="-6"/>
          <w:sz w:val="15"/>
          <w:szCs w:val="15"/>
        </w:rPr>
        <w:t> </w:t>
      </w:r>
      <w:r>
        <w:rPr>
          <w:rFonts w:ascii="宋体" w:hAnsi="宋体" w:cs="宋体" w:eastAsia="宋体" w:hint="default"/>
          <w:sz w:val="15"/>
          <w:szCs w:val="15"/>
        </w:rPr>
        <w:t>月</w:t>
      </w:r>
    </w:p>
    <w:p>
      <w:pPr>
        <w:spacing w:line="232" w:lineRule="auto" w:before="0"/>
        <w:ind w:left="106" w:right="-11" w:firstLine="0"/>
        <w:jc w:val="left"/>
        <w:rPr>
          <w:rFonts w:ascii="宋体" w:hAnsi="宋体" w:cs="宋体" w:eastAsia="宋体" w:hint="default"/>
          <w:sz w:val="15"/>
          <w:szCs w:val="15"/>
        </w:rPr>
      </w:pPr>
      <w:r>
        <w:rPr>
          <w:rFonts w:ascii="Arial" w:hAnsi="Arial" w:cs="Arial" w:eastAsia="Arial" w:hint="default"/>
          <w:sz w:val="15"/>
          <w:szCs w:val="15"/>
        </w:rPr>
        <w:t>24</w:t>
      </w:r>
      <w:r>
        <w:rPr>
          <w:rFonts w:ascii="Arial" w:hAnsi="Arial" w:cs="Arial" w:eastAsia="Arial" w:hint="default"/>
          <w:spacing w:val="-5"/>
          <w:sz w:val="15"/>
          <w:szCs w:val="15"/>
        </w:rPr>
        <w:t> </w:t>
      </w:r>
      <w:r>
        <w:rPr>
          <w:rFonts w:ascii="宋体" w:hAnsi="宋体" w:cs="宋体" w:eastAsia="宋体" w:hint="default"/>
          <w:sz w:val="15"/>
          <w:szCs w:val="15"/>
        </w:rPr>
        <w:t>日，哈尔滨乔仕房地产开发有</w:t>
      </w:r>
      <w:r>
        <w:rPr>
          <w:rFonts w:ascii="宋体" w:hAnsi="宋体" w:cs="宋体" w:eastAsia="宋体" w:hint="default"/>
          <w:w w:val="100"/>
          <w:sz w:val="15"/>
          <w:szCs w:val="15"/>
        </w:rPr>
        <w:t> </w:t>
      </w:r>
      <w:r>
        <w:rPr>
          <w:rFonts w:ascii="宋体" w:hAnsi="宋体" w:cs="宋体" w:eastAsia="宋体" w:hint="default"/>
          <w:sz w:val="15"/>
          <w:szCs w:val="15"/>
        </w:rPr>
        <w:t>限公司（下称</w:t>
      </w:r>
      <w:r>
        <w:rPr>
          <w:rFonts w:ascii="Arial" w:hAnsi="Arial" w:cs="Arial" w:eastAsia="Arial" w:hint="default"/>
          <w:sz w:val="15"/>
          <w:szCs w:val="15"/>
        </w:rPr>
        <w:t>“</w:t>
      </w:r>
      <w:r>
        <w:rPr>
          <w:rFonts w:ascii="宋体" w:hAnsi="宋体" w:cs="宋体" w:eastAsia="宋体" w:hint="default"/>
          <w:sz w:val="15"/>
          <w:szCs w:val="15"/>
        </w:rPr>
        <w:t>乔仕公司</w:t>
      </w:r>
      <w:r>
        <w:rPr>
          <w:rFonts w:ascii="Arial" w:hAnsi="Arial" w:cs="Arial" w:eastAsia="Arial" w:hint="default"/>
          <w:sz w:val="15"/>
          <w:szCs w:val="15"/>
        </w:rPr>
        <w:t>”</w:t>
      </w:r>
      <w:r>
        <w:rPr>
          <w:rFonts w:ascii="宋体" w:hAnsi="宋体" w:cs="宋体" w:eastAsia="宋体" w:hint="default"/>
          <w:sz w:val="15"/>
          <w:szCs w:val="15"/>
        </w:rPr>
        <w:t>）与哈尔</w:t>
      </w:r>
      <w:r>
        <w:rPr>
          <w:rFonts w:ascii="宋体" w:hAnsi="宋体" w:cs="宋体" w:eastAsia="宋体" w:hint="default"/>
          <w:w w:val="100"/>
          <w:sz w:val="15"/>
          <w:szCs w:val="15"/>
        </w:rPr>
        <w:t> </w:t>
      </w:r>
      <w:r>
        <w:rPr>
          <w:rFonts w:ascii="宋体" w:hAnsi="宋体" w:cs="宋体" w:eastAsia="宋体" w:hint="default"/>
          <w:sz w:val="15"/>
          <w:szCs w:val="15"/>
        </w:rPr>
        <w:t>滨市道里区棚户区改造工作领导</w:t>
      </w:r>
      <w:r>
        <w:rPr>
          <w:rFonts w:ascii="宋体" w:hAnsi="宋体" w:cs="宋体" w:eastAsia="宋体" w:hint="default"/>
          <w:w w:val="100"/>
          <w:sz w:val="15"/>
          <w:szCs w:val="15"/>
        </w:rPr>
        <w:t> </w:t>
      </w:r>
      <w:r>
        <w:rPr>
          <w:rFonts w:ascii="宋体" w:hAnsi="宋体" w:cs="宋体" w:eastAsia="宋体" w:hint="default"/>
          <w:spacing w:val="-5"/>
          <w:w w:val="100"/>
          <w:sz w:val="15"/>
          <w:szCs w:val="15"/>
        </w:rPr>
        <w:t>小组办公室（下称</w:t>
      </w:r>
      <w:r>
        <w:rPr>
          <w:rFonts w:ascii="Arial" w:hAnsi="Arial" w:cs="Arial" w:eastAsia="Arial" w:hint="default"/>
          <w:spacing w:val="-5"/>
          <w:w w:val="100"/>
          <w:sz w:val="15"/>
          <w:szCs w:val="15"/>
        </w:rPr>
        <w:t>“</w:t>
      </w:r>
      <w:r>
        <w:rPr>
          <w:rFonts w:ascii="宋体" w:hAnsi="宋体" w:cs="宋体" w:eastAsia="宋体" w:hint="default"/>
          <w:spacing w:val="-5"/>
          <w:w w:val="100"/>
          <w:sz w:val="15"/>
          <w:szCs w:val="15"/>
        </w:rPr>
        <w:t>道里区棚改办</w:t>
      </w:r>
      <w:r>
        <w:rPr>
          <w:rFonts w:ascii="Arial" w:hAnsi="Arial" w:cs="Arial" w:eastAsia="Arial" w:hint="default"/>
          <w:spacing w:val="-5"/>
          <w:w w:val="100"/>
          <w:sz w:val="15"/>
          <w:szCs w:val="15"/>
        </w:rPr>
        <w:t>”</w:t>
      </w:r>
      <w:r>
        <w:rPr>
          <w:rFonts w:ascii="宋体" w:hAnsi="宋体" w:cs="宋体" w:eastAsia="宋体" w:hint="default"/>
          <w:spacing w:val="-5"/>
          <w:w w:val="100"/>
          <w:sz w:val="15"/>
          <w:szCs w:val="15"/>
        </w:rPr>
        <w:t>）</w:t>
      </w:r>
      <w:r>
        <w:rPr>
          <w:rFonts w:ascii="宋体" w:hAnsi="宋体" w:cs="宋体" w:eastAsia="宋体" w:hint="default"/>
          <w:spacing w:val="-71"/>
          <w:w w:val="100"/>
          <w:sz w:val="15"/>
          <w:szCs w:val="15"/>
        </w:rPr>
        <w:t> </w:t>
      </w:r>
      <w:r>
        <w:rPr>
          <w:rFonts w:ascii="宋体" w:hAnsi="宋体" w:cs="宋体" w:eastAsia="宋体" w:hint="default"/>
          <w:sz w:val="15"/>
          <w:szCs w:val="15"/>
        </w:rPr>
        <w:t>及黑龙江振北房地产综合开发有</w:t>
      </w:r>
      <w:r>
        <w:rPr>
          <w:rFonts w:ascii="宋体" w:hAnsi="宋体" w:cs="宋体" w:eastAsia="宋体" w:hint="default"/>
          <w:w w:val="100"/>
          <w:sz w:val="15"/>
          <w:szCs w:val="15"/>
        </w:rPr>
        <w:t> </w:t>
      </w:r>
      <w:r>
        <w:rPr>
          <w:rFonts w:ascii="宋体" w:hAnsi="宋体" w:cs="宋体" w:eastAsia="宋体" w:hint="default"/>
          <w:sz w:val="15"/>
          <w:szCs w:val="15"/>
        </w:rPr>
        <w:t>限责任公司（下称</w:t>
      </w:r>
      <w:r>
        <w:rPr>
          <w:rFonts w:ascii="Arial" w:hAnsi="Arial" w:cs="Arial" w:eastAsia="Arial" w:hint="default"/>
          <w:sz w:val="15"/>
          <w:szCs w:val="15"/>
        </w:rPr>
        <w:t>“</w:t>
      </w:r>
      <w:r>
        <w:rPr>
          <w:rFonts w:ascii="宋体" w:hAnsi="宋体" w:cs="宋体" w:eastAsia="宋体" w:hint="default"/>
          <w:sz w:val="15"/>
          <w:szCs w:val="15"/>
        </w:rPr>
        <w:t>振北公司</w:t>
      </w:r>
      <w:r>
        <w:rPr>
          <w:rFonts w:ascii="Arial" w:hAnsi="Arial" w:cs="Arial" w:eastAsia="Arial" w:hint="default"/>
          <w:sz w:val="15"/>
          <w:szCs w:val="15"/>
        </w:rPr>
        <w:t>”</w:t>
      </w:r>
      <w:r>
        <w:rPr>
          <w:rFonts w:ascii="宋体" w:hAnsi="宋体" w:cs="宋体" w:eastAsia="宋体" w:hint="default"/>
          <w:sz w:val="15"/>
          <w:szCs w:val="15"/>
        </w:rPr>
        <w:t>）签</w:t>
      </w:r>
      <w:r>
        <w:rPr>
          <w:rFonts w:ascii="宋体" w:hAnsi="宋体" w:cs="宋体" w:eastAsia="宋体" w:hint="default"/>
          <w:w w:val="100"/>
          <w:sz w:val="15"/>
          <w:szCs w:val="15"/>
        </w:rPr>
        <w:t> </w:t>
      </w:r>
      <w:r>
        <w:rPr>
          <w:rFonts w:ascii="宋体" w:hAnsi="宋体" w:cs="宋体" w:eastAsia="宋体" w:hint="default"/>
          <w:spacing w:val="-4"/>
          <w:sz w:val="15"/>
          <w:szCs w:val="15"/>
        </w:rPr>
        <w:t>订了两份《垫资参与城乡路与齿轮</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pacing w:val="-4"/>
          <w:sz w:val="15"/>
          <w:szCs w:val="15"/>
        </w:rPr>
        <w:t>路交口处棚改项目协议书》，约定</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乔仕公司与振北公司组成联合体，</w:t>
      </w:r>
    </w:p>
    <w:p>
      <w:pPr>
        <w:spacing w:line="104" w:lineRule="exact" w:before="0"/>
        <w:ind w:left="346" w:right="-5" w:firstLine="0"/>
        <w:jc w:val="left"/>
        <w:rPr>
          <w:rFonts w:ascii="Arial" w:hAnsi="Arial" w:cs="Arial" w:eastAsia="Arial" w:hint="default"/>
          <w:sz w:val="15"/>
          <w:szCs w:val="15"/>
        </w:rPr>
      </w:pPr>
      <w:r>
        <w:rPr>
          <w:spacing w:val="-1"/>
        </w:rPr>
        <w:br w:type="column"/>
      </w:r>
      <w:r>
        <w:rPr>
          <w:rFonts w:ascii="Arial"/>
          <w:spacing w:val="-1"/>
          <w:sz w:val="15"/>
        </w:rPr>
        <w:t>437,000,000</w:t>
      </w:r>
    </w:p>
    <w:p>
      <w:pPr>
        <w:spacing w:line="240" w:lineRule="auto" w:before="0"/>
        <w:rPr>
          <w:rFonts w:ascii="Arial" w:hAnsi="Arial" w:cs="Arial" w:eastAsia="Arial" w:hint="default"/>
          <w:sz w:val="14"/>
          <w:szCs w:val="14"/>
        </w:rPr>
      </w:pPr>
    </w:p>
    <w:p>
      <w:pPr>
        <w:spacing w:line="240" w:lineRule="auto" w:before="0"/>
        <w:rPr>
          <w:rFonts w:ascii="Arial" w:hAnsi="Arial" w:cs="Arial" w:eastAsia="Arial" w:hint="default"/>
          <w:sz w:val="14"/>
          <w:szCs w:val="14"/>
        </w:rPr>
      </w:pPr>
    </w:p>
    <w:p>
      <w:pPr>
        <w:spacing w:line="240" w:lineRule="auto" w:before="0"/>
        <w:rPr>
          <w:rFonts w:ascii="Arial" w:hAnsi="Arial" w:cs="Arial" w:eastAsia="Arial" w:hint="default"/>
          <w:sz w:val="14"/>
          <w:szCs w:val="14"/>
        </w:rPr>
      </w:pPr>
    </w:p>
    <w:p>
      <w:pPr>
        <w:spacing w:line="240" w:lineRule="auto" w:before="0"/>
        <w:rPr>
          <w:rFonts w:ascii="Arial" w:hAnsi="Arial" w:cs="Arial" w:eastAsia="Arial" w:hint="default"/>
          <w:sz w:val="14"/>
          <w:szCs w:val="14"/>
        </w:rPr>
      </w:pPr>
    </w:p>
    <w:p>
      <w:pPr>
        <w:spacing w:line="240" w:lineRule="auto" w:before="0"/>
        <w:rPr>
          <w:rFonts w:ascii="Arial" w:hAnsi="Arial" w:cs="Arial" w:eastAsia="Arial" w:hint="default"/>
          <w:sz w:val="14"/>
          <w:szCs w:val="14"/>
        </w:rPr>
      </w:pPr>
    </w:p>
    <w:p>
      <w:pPr>
        <w:spacing w:line="240" w:lineRule="auto" w:before="0"/>
        <w:rPr>
          <w:rFonts w:ascii="Arial" w:hAnsi="Arial" w:cs="Arial" w:eastAsia="Arial" w:hint="default"/>
          <w:sz w:val="14"/>
          <w:szCs w:val="14"/>
        </w:rPr>
      </w:pPr>
    </w:p>
    <w:p>
      <w:pPr>
        <w:spacing w:line="240" w:lineRule="auto" w:before="0"/>
        <w:rPr>
          <w:rFonts w:ascii="Arial" w:hAnsi="Arial" w:cs="Arial" w:eastAsia="Arial" w:hint="default"/>
          <w:sz w:val="14"/>
          <w:szCs w:val="14"/>
        </w:rPr>
      </w:pPr>
    </w:p>
    <w:p>
      <w:pPr>
        <w:spacing w:line="240" w:lineRule="auto" w:before="0"/>
        <w:rPr>
          <w:rFonts w:ascii="Arial" w:hAnsi="Arial" w:cs="Arial" w:eastAsia="Arial" w:hint="default"/>
          <w:sz w:val="14"/>
          <w:szCs w:val="14"/>
        </w:rPr>
      </w:pPr>
    </w:p>
    <w:p>
      <w:pPr>
        <w:spacing w:line="240" w:lineRule="auto" w:before="0"/>
        <w:rPr>
          <w:rFonts w:ascii="Arial" w:hAnsi="Arial" w:cs="Arial" w:eastAsia="Arial" w:hint="default"/>
          <w:sz w:val="14"/>
          <w:szCs w:val="14"/>
        </w:rPr>
      </w:pPr>
    </w:p>
    <w:p>
      <w:pPr>
        <w:spacing w:line="240" w:lineRule="auto" w:before="0"/>
        <w:rPr>
          <w:rFonts w:ascii="Arial" w:hAnsi="Arial" w:cs="Arial" w:eastAsia="Arial" w:hint="default"/>
          <w:sz w:val="14"/>
          <w:szCs w:val="14"/>
        </w:rPr>
      </w:pPr>
    </w:p>
    <w:p>
      <w:pPr>
        <w:spacing w:line="240" w:lineRule="auto" w:before="0"/>
        <w:rPr>
          <w:rFonts w:ascii="Arial" w:hAnsi="Arial" w:cs="Arial" w:eastAsia="Arial" w:hint="default"/>
          <w:sz w:val="14"/>
          <w:szCs w:val="14"/>
        </w:rPr>
      </w:pPr>
    </w:p>
    <w:p>
      <w:pPr>
        <w:spacing w:line="240" w:lineRule="auto" w:before="0"/>
        <w:rPr>
          <w:rFonts w:ascii="Arial" w:hAnsi="Arial" w:cs="Arial" w:eastAsia="Arial" w:hint="default"/>
          <w:sz w:val="14"/>
          <w:szCs w:val="14"/>
        </w:rPr>
      </w:pPr>
    </w:p>
    <w:p>
      <w:pPr>
        <w:spacing w:line="240" w:lineRule="auto" w:before="0"/>
        <w:rPr>
          <w:rFonts w:ascii="Arial" w:hAnsi="Arial" w:cs="Arial" w:eastAsia="Arial" w:hint="default"/>
          <w:sz w:val="14"/>
          <w:szCs w:val="14"/>
        </w:rPr>
      </w:pPr>
    </w:p>
    <w:p>
      <w:pPr>
        <w:spacing w:line="240" w:lineRule="auto" w:before="0"/>
        <w:rPr>
          <w:rFonts w:ascii="Arial" w:hAnsi="Arial" w:cs="Arial" w:eastAsia="Arial" w:hint="default"/>
          <w:sz w:val="14"/>
          <w:szCs w:val="14"/>
        </w:rPr>
      </w:pPr>
    </w:p>
    <w:p>
      <w:pPr>
        <w:spacing w:line="240" w:lineRule="auto" w:before="0"/>
        <w:rPr>
          <w:rFonts w:ascii="Arial" w:hAnsi="Arial" w:cs="Arial" w:eastAsia="Arial" w:hint="default"/>
          <w:sz w:val="14"/>
          <w:szCs w:val="14"/>
        </w:rPr>
      </w:pPr>
    </w:p>
    <w:p>
      <w:pPr>
        <w:spacing w:line="240" w:lineRule="auto" w:before="0"/>
        <w:rPr>
          <w:rFonts w:ascii="Arial" w:hAnsi="Arial" w:cs="Arial" w:eastAsia="Arial" w:hint="default"/>
          <w:sz w:val="14"/>
          <w:szCs w:val="14"/>
        </w:rPr>
      </w:pPr>
    </w:p>
    <w:p>
      <w:pPr>
        <w:spacing w:line="240" w:lineRule="auto" w:before="0"/>
        <w:rPr>
          <w:rFonts w:ascii="Arial" w:hAnsi="Arial" w:cs="Arial" w:eastAsia="Arial" w:hint="default"/>
          <w:sz w:val="14"/>
          <w:szCs w:val="14"/>
        </w:rPr>
      </w:pPr>
    </w:p>
    <w:p>
      <w:pPr>
        <w:spacing w:line="112" w:lineRule="exact" w:before="117"/>
        <w:ind w:left="140" w:right="-5" w:firstLine="0"/>
        <w:jc w:val="left"/>
        <w:rPr>
          <w:rFonts w:ascii="Arial" w:hAnsi="Arial" w:cs="Arial" w:eastAsia="Arial" w:hint="default"/>
          <w:sz w:val="15"/>
          <w:szCs w:val="15"/>
        </w:rPr>
      </w:pPr>
      <w:r>
        <w:rPr>
          <w:rFonts w:ascii="Arial"/>
          <w:spacing w:val="-1"/>
          <w:sz w:val="15"/>
        </w:rPr>
        <w:t>228,970,022.89</w:t>
      </w:r>
    </w:p>
    <w:p>
      <w:pPr>
        <w:tabs>
          <w:tab w:pos="5418" w:val="left" w:leader="none"/>
        </w:tabs>
        <w:spacing w:line="103" w:lineRule="exact" w:before="0"/>
        <w:ind w:left="140" w:right="0" w:firstLine="0"/>
        <w:jc w:val="both"/>
        <w:rPr>
          <w:rFonts w:ascii="宋体" w:hAnsi="宋体" w:cs="宋体" w:eastAsia="宋体" w:hint="default"/>
          <w:sz w:val="15"/>
          <w:szCs w:val="15"/>
        </w:rPr>
      </w:pPr>
      <w:r>
        <w:rPr/>
        <w:br w:type="column"/>
      </w:r>
      <w:r>
        <w:rPr>
          <w:rFonts w:ascii="Arial" w:hAnsi="Arial" w:cs="Arial" w:eastAsia="Arial" w:hint="default"/>
          <w:sz w:val="15"/>
          <w:szCs w:val="15"/>
        </w:rPr>
        <w:t>2018-003</w:t>
      </w:r>
      <w:r>
        <w:rPr>
          <w:rFonts w:ascii="Arial" w:hAnsi="Arial" w:cs="Arial" w:eastAsia="Arial" w:hint="default"/>
          <w:spacing w:val="-4"/>
          <w:sz w:val="15"/>
          <w:szCs w:val="15"/>
        </w:rPr>
        <w:t> </w:t>
      </w:r>
      <w:r>
        <w:rPr>
          <w:rFonts w:ascii="宋体" w:hAnsi="宋体" w:cs="宋体" w:eastAsia="宋体" w:hint="default"/>
          <w:spacing w:val="-8"/>
          <w:sz w:val="15"/>
          <w:szCs w:val="15"/>
        </w:rPr>
        <w:t>号）。</w:t>
      </w:r>
      <w:r>
        <w:rPr>
          <w:rFonts w:ascii="Arial" w:hAnsi="Arial" w:cs="Arial" w:eastAsia="Arial" w:hint="default"/>
          <w:spacing w:val="-8"/>
          <w:sz w:val="15"/>
          <w:szCs w:val="15"/>
        </w:rPr>
        <w:t>2018</w:t>
      </w:r>
      <w:r>
        <w:rPr>
          <w:rFonts w:ascii="Arial" w:hAnsi="Arial" w:cs="Arial" w:eastAsia="Arial" w:hint="default"/>
          <w:spacing w:val="-4"/>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w:hAnsi="Arial" w:cs="Arial" w:eastAsia="Arial" w:hint="default"/>
          <w:sz w:val="15"/>
          <w:szCs w:val="15"/>
        </w:rPr>
        <w:t>3</w:t>
      </w:r>
      <w:r>
        <w:rPr>
          <w:rFonts w:ascii="Arial" w:hAnsi="Arial" w:cs="Arial" w:eastAsia="Arial" w:hint="default"/>
          <w:spacing w:val="-2"/>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2</w:t>
      </w:r>
      <w:r>
        <w:rPr>
          <w:rFonts w:ascii="Arial" w:hAnsi="Arial" w:cs="Arial" w:eastAsia="Arial" w:hint="default"/>
          <w:spacing w:val="-4"/>
          <w:sz w:val="15"/>
          <w:szCs w:val="15"/>
        </w:rPr>
        <w:t> </w:t>
      </w:r>
      <w:r>
        <w:rPr>
          <w:rFonts w:ascii="宋体" w:hAnsi="宋体" w:cs="宋体" w:eastAsia="宋体" w:hint="default"/>
          <w:sz w:val="15"/>
          <w:szCs w:val="15"/>
        </w:rPr>
        <w:t>日接</w:t>
      </w:r>
      <w:r>
        <w:rPr>
          <w:rFonts w:ascii="宋体" w:hAnsi="宋体" w:cs="宋体" w:eastAsia="宋体" w:hint="default"/>
          <w:spacing w:val="-20"/>
          <w:sz w:val="15"/>
          <w:szCs w:val="15"/>
        </w:rPr>
        <w:t> </w:t>
      </w:r>
      <w:r>
        <w:rPr>
          <w:rFonts w:ascii="宋体" w:hAnsi="宋体" w:cs="宋体" w:eastAsia="宋体" w:hint="default"/>
          <w:sz w:val="15"/>
          <w:szCs w:val="15"/>
        </w:rPr>
        <w:t>暂无</w:t>
        <w:tab/>
        <w:t>暂无</w:t>
      </w:r>
    </w:p>
    <w:p>
      <w:pPr>
        <w:spacing w:line="194" w:lineRule="exact" w:before="0"/>
        <w:ind w:left="140" w:right="0" w:firstLine="0"/>
        <w:jc w:val="both"/>
        <w:rPr>
          <w:rFonts w:ascii="宋体" w:hAnsi="宋体" w:cs="宋体" w:eastAsia="宋体" w:hint="default"/>
          <w:sz w:val="15"/>
          <w:szCs w:val="15"/>
        </w:rPr>
      </w:pPr>
      <w:r>
        <w:rPr>
          <w:rFonts w:ascii="宋体" w:hAnsi="宋体" w:cs="宋体" w:eastAsia="宋体" w:hint="default"/>
          <w:sz w:val="15"/>
          <w:szCs w:val="15"/>
        </w:rPr>
        <w:t>到北京仲裁委通知将于</w:t>
      </w:r>
      <w:r>
        <w:rPr>
          <w:rFonts w:ascii="宋体" w:hAnsi="宋体" w:cs="宋体" w:eastAsia="宋体" w:hint="default"/>
          <w:spacing w:val="-39"/>
          <w:sz w:val="15"/>
          <w:szCs w:val="15"/>
        </w:rPr>
        <w:t> </w:t>
      </w:r>
      <w:r>
        <w:rPr>
          <w:rFonts w:ascii="Arial" w:hAnsi="Arial" w:cs="Arial" w:eastAsia="Arial" w:hint="default"/>
          <w:sz w:val="15"/>
          <w:szCs w:val="15"/>
        </w:rPr>
        <w:t>2018</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4</w:t>
      </w:r>
      <w:r>
        <w:rPr>
          <w:rFonts w:ascii="Arial" w:hAnsi="Arial" w:cs="Arial" w:eastAsia="Arial" w:hint="default"/>
          <w:spacing w:val="-4"/>
          <w:sz w:val="15"/>
          <w:szCs w:val="15"/>
        </w:rPr>
        <w:t> </w:t>
      </w:r>
      <w:r>
        <w:rPr>
          <w:rFonts w:ascii="宋体" w:hAnsi="宋体" w:cs="宋体" w:eastAsia="宋体" w:hint="default"/>
          <w:sz w:val="15"/>
          <w:szCs w:val="15"/>
        </w:rPr>
        <w:t>月</w:t>
      </w:r>
    </w:p>
    <w:p>
      <w:pPr>
        <w:spacing w:line="194" w:lineRule="exact" w:before="0"/>
        <w:ind w:left="140" w:right="0" w:firstLine="0"/>
        <w:jc w:val="both"/>
        <w:rPr>
          <w:rFonts w:ascii="宋体" w:hAnsi="宋体" w:cs="宋体" w:eastAsia="宋体" w:hint="default"/>
          <w:sz w:val="15"/>
          <w:szCs w:val="15"/>
        </w:rPr>
      </w:pPr>
      <w:r>
        <w:rPr>
          <w:rFonts w:ascii="Arial" w:hAnsi="Arial" w:cs="Arial" w:eastAsia="Arial" w:hint="default"/>
          <w:sz w:val="15"/>
          <w:szCs w:val="15"/>
        </w:rPr>
        <w:t>9</w:t>
      </w:r>
      <w:r>
        <w:rPr>
          <w:rFonts w:ascii="Arial" w:hAnsi="Arial" w:cs="Arial" w:eastAsia="Arial" w:hint="default"/>
          <w:spacing w:val="-4"/>
          <w:sz w:val="15"/>
          <w:szCs w:val="15"/>
        </w:rPr>
        <w:t> </w:t>
      </w:r>
      <w:r>
        <w:rPr>
          <w:rFonts w:ascii="宋体" w:hAnsi="宋体" w:cs="宋体" w:eastAsia="宋体" w:hint="default"/>
          <w:sz w:val="15"/>
          <w:szCs w:val="15"/>
        </w:rPr>
        <w:t>日开庭审理。本案于</w:t>
      </w:r>
      <w:r>
        <w:rPr>
          <w:rFonts w:ascii="宋体" w:hAnsi="宋体" w:cs="宋体" w:eastAsia="宋体" w:hint="default"/>
          <w:spacing w:val="-39"/>
          <w:sz w:val="15"/>
          <w:szCs w:val="15"/>
        </w:rPr>
        <w:t> </w:t>
      </w:r>
      <w:r>
        <w:rPr>
          <w:rFonts w:ascii="Arial" w:hAnsi="Arial" w:cs="Arial" w:eastAsia="Arial" w:hint="default"/>
          <w:sz w:val="15"/>
          <w:szCs w:val="15"/>
        </w:rPr>
        <w:t>2018</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w:hAnsi="Arial" w:cs="Arial" w:eastAsia="Arial" w:hint="default"/>
          <w:sz w:val="15"/>
          <w:szCs w:val="15"/>
        </w:rPr>
        <w:t>4</w:t>
      </w:r>
      <w:r>
        <w:rPr>
          <w:rFonts w:ascii="Arial" w:hAnsi="Arial" w:cs="Arial" w:eastAsia="Arial" w:hint="default"/>
          <w:spacing w:val="-6"/>
          <w:sz w:val="15"/>
          <w:szCs w:val="15"/>
        </w:rPr>
        <w:t> </w:t>
      </w:r>
      <w:r>
        <w:rPr>
          <w:rFonts w:ascii="宋体" w:hAnsi="宋体" w:cs="宋体" w:eastAsia="宋体" w:hint="default"/>
          <w:sz w:val="15"/>
          <w:szCs w:val="15"/>
        </w:rPr>
        <w:t>月</w:t>
      </w:r>
    </w:p>
    <w:p>
      <w:pPr>
        <w:spacing w:line="194" w:lineRule="exact" w:before="13"/>
        <w:ind w:left="140" w:right="4525" w:firstLine="0"/>
        <w:jc w:val="both"/>
        <w:rPr>
          <w:rFonts w:ascii="宋体" w:hAnsi="宋体" w:cs="宋体" w:eastAsia="宋体" w:hint="default"/>
          <w:sz w:val="15"/>
          <w:szCs w:val="15"/>
        </w:rPr>
      </w:pPr>
      <w:r>
        <w:rPr>
          <w:rFonts w:ascii="Arial" w:hAnsi="Arial" w:cs="Arial" w:eastAsia="Arial" w:hint="default"/>
          <w:sz w:val="15"/>
          <w:szCs w:val="15"/>
        </w:rPr>
        <w:t>9</w:t>
      </w:r>
      <w:r>
        <w:rPr>
          <w:rFonts w:ascii="Arial" w:hAnsi="Arial" w:cs="Arial" w:eastAsia="Arial" w:hint="default"/>
          <w:spacing w:val="-10"/>
          <w:sz w:val="15"/>
          <w:szCs w:val="15"/>
        </w:rPr>
        <w:t> </w:t>
      </w:r>
      <w:r>
        <w:rPr>
          <w:rFonts w:ascii="宋体" w:hAnsi="宋体" w:cs="宋体" w:eastAsia="宋体" w:hint="default"/>
          <w:sz w:val="15"/>
          <w:szCs w:val="15"/>
        </w:rPr>
        <w:t>日开庭审理。申请人和被申请人双</w:t>
      </w:r>
      <w:r>
        <w:rPr>
          <w:rFonts w:ascii="宋体" w:hAnsi="宋体" w:cs="宋体" w:eastAsia="宋体" w:hint="default"/>
          <w:w w:val="100"/>
          <w:sz w:val="15"/>
          <w:szCs w:val="15"/>
        </w:rPr>
        <w:t> </w:t>
      </w:r>
      <w:r>
        <w:rPr>
          <w:rFonts w:ascii="宋体" w:hAnsi="宋体" w:cs="宋体" w:eastAsia="宋体" w:hint="default"/>
          <w:spacing w:val="-4"/>
          <w:sz w:val="15"/>
          <w:szCs w:val="15"/>
        </w:rPr>
        <w:t>方交换了证据。目前等待北京仲裁委</w:t>
      </w:r>
      <w:r>
        <w:rPr>
          <w:rFonts w:ascii="宋体" w:hAnsi="宋体" w:cs="宋体" w:eastAsia="宋体" w:hint="default"/>
          <w:spacing w:val="-47"/>
          <w:sz w:val="15"/>
          <w:szCs w:val="15"/>
        </w:rPr>
        <w:t> </w:t>
      </w:r>
      <w:r>
        <w:rPr>
          <w:rFonts w:ascii="宋体" w:hAnsi="宋体" w:cs="宋体" w:eastAsia="宋体" w:hint="default"/>
          <w:spacing w:val="-47"/>
          <w:sz w:val="15"/>
          <w:szCs w:val="15"/>
        </w:rPr>
      </w:r>
      <w:r>
        <w:rPr>
          <w:rFonts w:ascii="宋体" w:hAnsi="宋体" w:cs="宋体" w:eastAsia="宋体" w:hint="default"/>
          <w:sz w:val="15"/>
          <w:szCs w:val="15"/>
        </w:rPr>
        <w:t>的下一次开庭。</w:t>
      </w:r>
    </w:p>
    <w:p>
      <w:pPr>
        <w:spacing w:line="235" w:lineRule="auto" w:before="0"/>
        <w:ind w:left="2562" w:right="0" w:firstLine="0"/>
        <w:jc w:val="left"/>
        <w:rPr>
          <w:rFonts w:ascii="宋体" w:hAnsi="宋体" w:cs="宋体" w:eastAsia="宋体" w:hint="default"/>
          <w:sz w:val="15"/>
          <w:szCs w:val="15"/>
        </w:rPr>
      </w:pPr>
      <w:r>
        <w:rPr>
          <w:rFonts w:ascii="Arial" w:hAnsi="Arial" w:cs="Arial" w:eastAsia="Arial" w:hint="default"/>
          <w:sz w:val="15"/>
          <w:szCs w:val="15"/>
        </w:rPr>
        <w:t>2019</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7</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1</w:t>
      </w:r>
      <w:r>
        <w:rPr>
          <w:rFonts w:ascii="Arial" w:hAnsi="Arial" w:cs="Arial" w:eastAsia="Arial" w:hint="default"/>
          <w:spacing w:val="-6"/>
          <w:sz w:val="15"/>
          <w:szCs w:val="15"/>
        </w:rPr>
        <w:t> </w:t>
      </w:r>
      <w:r>
        <w:rPr>
          <w:rFonts w:ascii="宋体" w:hAnsi="宋体" w:cs="宋体" w:eastAsia="宋体" w:hint="default"/>
          <w:sz w:val="15"/>
          <w:szCs w:val="15"/>
        </w:rPr>
        <w:t>日，黑龙江北大荒农业股份</w:t>
      </w:r>
      <w:r>
        <w:rPr>
          <w:rFonts w:ascii="宋体" w:hAnsi="宋体" w:cs="宋体" w:eastAsia="宋体" w:hint="default"/>
          <w:w w:val="100"/>
          <w:sz w:val="15"/>
          <w:szCs w:val="15"/>
        </w:rPr>
        <w:t> </w:t>
      </w:r>
      <w:r>
        <w:rPr>
          <w:rFonts w:ascii="宋体" w:hAnsi="宋体" w:cs="宋体" w:eastAsia="宋体" w:hint="default"/>
          <w:sz w:val="15"/>
          <w:szCs w:val="15"/>
        </w:rPr>
        <w:t>有限公司收到黑龙江省高级人民法院送达</w:t>
      </w:r>
      <w:r>
        <w:rPr>
          <w:rFonts w:ascii="宋体" w:hAnsi="宋体" w:cs="宋体" w:eastAsia="宋体" w:hint="default"/>
          <w:w w:val="100"/>
          <w:sz w:val="15"/>
          <w:szCs w:val="15"/>
        </w:rPr>
        <w:t> </w:t>
      </w:r>
      <w:r>
        <w:rPr>
          <w:rFonts w:ascii="宋体" w:hAnsi="宋体" w:cs="宋体" w:eastAsia="宋体" w:hint="default"/>
          <w:spacing w:val="-4"/>
          <w:sz w:val="15"/>
          <w:szCs w:val="15"/>
        </w:rPr>
        <w:t>的《民事判决书》，判决如下：一、哈尔滨</w:t>
      </w:r>
      <w:r>
        <w:rPr>
          <w:rFonts w:ascii="宋体" w:hAnsi="宋体" w:cs="宋体" w:eastAsia="宋体" w:hint="default"/>
          <w:spacing w:val="-48"/>
          <w:sz w:val="15"/>
          <w:szCs w:val="15"/>
        </w:rPr>
        <w:t> </w:t>
      </w:r>
      <w:r>
        <w:rPr>
          <w:rFonts w:ascii="宋体" w:hAnsi="宋体" w:cs="宋体" w:eastAsia="宋体" w:hint="default"/>
          <w:spacing w:val="-48"/>
          <w:sz w:val="15"/>
          <w:szCs w:val="15"/>
        </w:rPr>
      </w:r>
      <w:r>
        <w:rPr>
          <w:rFonts w:ascii="宋体" w:hAnsi="宋体" w:cs="宋体" w:eastAsia="宋体" w:hint="default"/>
          <w:sz w:val="15"/>
          <w:szCs w:val="15"/>
        </w:rPr>
        <w:t>市道里区棚户区改造工作领导小组办公室</w:t>
      </w:r>
      <w:r>
        <w:rPr>
          <w:rFonts w:ascii="宋体" w:hAnsi="宋体" w:cs="宋体" w:eastAsia="宋体" w:hint="default"/>
          <w:w w:val="100"/>
          <w:sz w:val="15"/>
          <w:szCs w:val="15"/>
        </w:rPr>
        <w:t> </w:t>
      </w:r>
      <w:r>
        <w:rPr>
          <w:rFonts w:ascii="宋体" w:hAnsi="宋体" w:cs="宋体" w:eastAsia="宋体" w:hint="default"/>
          <w:sz w:val="15"/>
          <w:szCs w:val="15"/>
        </w:rPr>
        <w:t>与哈尔滨市道里区人民政府于本判决生效</w:t>
      </w:r>
      <w:r>
        <w:rPr>
          <w:rFonts w:ascii="宋体" w:hAnsi="宋体" w:cs="宋体" w:eastAsia="宋体" w:hint="default"/>
          <w:w w:val="100"/>
          <w:sz w:val="15"/>
          <w:szCs w:val="15"/>
        </w:rPr>
        <w:t> </w:t>
      </w:r>
      <w:r>
        <w:rPr>
          <w:rFonts w:ascii="宋体" w:hAnsi="宋体" w:cs="宋体" w:eastAsia="宋体" w:hint="default"/>
          <w:sz w:val="15"/>
          <w:szCs w:val="15"/>
        </w:rPr>
        <w:t>后十五日内返还黑龙江北大荒农业股份有</w:t>
      </w:r>
    </w:p>
    <w:p>
      <w:pPr>
        <w:spacing w:line="156" w:lineRule="auto" w:before="0"/>
        <w:ind w:left="140" w:right="1667" w:firstLine="0"/>
        <w:jc w:val="both"/>
        <w:rPr>
          <w:rFonts w:ascii="宋体" w:hAnsi="宋体" w:cs="宋体" w:eastAsia="宋体" w:hint="default"/>
          <w:sz w:val="15"/>
          <w:szCs w:val="15"/>
        </w:rPr>
      </w:pPr>
      <w:r>
        <w:rPr>
          <w:rFonts w:ascii="Arial" w:hAnsi="Arial" w:cs="Arial" w:eastAsia="Arial" w:hint="default"/>
          <w:position w:val="10"/>
          <w:sz w:val="15"/>
          <w:szCs w:val="15"/>
        </w:rPr>
        <w:t>2018</w:t>
      </w:r>
      <w:r>
        <w:rPr>
          <w:rFonts w:ascii="Arial" w:hAnsi="Arial" w:cs="Arial" w:eastAsia="Arial" w:hint="default"/>
          <w:spacing w:val="-5"/>
          <w:position w:val="10"/>
          <w:sz w:val="15"/>
          <w:szCs w:val="15"/>
        </w:rPr>
        <w:t> </w:t>
      </w:r>
      <w:r>
        <w:rPr>
          <w:rFonts w:ascii="宋体" w:hAnsi="宋体" w:cs="宋体" w:eastAsia="宋体" w:hint="default"/>
          <w:position w:val="10"/>
          <w:sz w:val="15"/>
          <w:szCs w:val="15"/>
        </w:rPr>
        <w:t>年</w:t>
      </w:r>
      <w:r>
        <w:rPr>
          <w:rFonts w:ascii="宋体" w:hAnsi="宋体" w:cs="宋体" w:eastAsia="宋体" w:hint="default"/>
          <w:spacing w:val="-38"/>
          <w:position w:val="10"/>
          <w:sz w:val="15"/>
          <w:szCs w:val="15"/>
        </w:rPr>
        <w:t> </w:t>
      </w:r>
      <w:r>
        <w:rPr>
          <w:rFonts w:ascii="Arial" w:hAnsi="Arial" w:cs="Arial" w:eastAsia="Arial" w:hint="default"/>
          <w:position w:val="10"/>
          <w:sz w:val="15"/>
          <w:szCs w:val="15"/>
        </w:rPr>
        <w:t>3</w:t>
      </w:r>
      <w:r>
        <w:rPr>
          <w:rFonts w:ascii="Arial" w:hAnsi="Arial" w:cs="Arial" w:eastAsia="Arial" w:hint="default"/>
          <w:spacing w:val="-3"/>
          <w:position w:val="10"/>
          <w:sz w:val="15"/>
          <w:szCs w:val="15"/>
        </w:rPr>
        <w:t> </w:t>
      </w:r>
      <w:r>
        <w:rPr>
          <w:rFonts w:ascii="宋体" w:hAnsi="宋体" w:cs="宋体" w:eastAsia="宋体" w:hint="default"/>
          <w:position w:val="10"/>
          <w:sz w:val="15"/>
          <w:szCs w:val="15"/>
        </w:rPr>
        <w:t>月公司向哈尔滨中级人民</w:t>
      </w:r>
      <w:r>
        <w:rPr>
          <w:rFonts w:ascii="宋体" w:hAnsi="宋体" w:cs="宋体" w:eastAsia="宋体" w:hint="default"/>
          <w:spacing w:val="15"/>
          <w:position w:val="10"/>
          <w:sz w:val="15"/>
          <w:szCs w:val="15"/>
        </w:rPr>
        <w:t> </w:t>
      </w:r>
      <w:r>
        <w:rPr>
          <w:rFonts w:ascii="宋体" w:hAnsi="宋体" w:cs="宋体" w:eastAsia="宋体" w:hint="default"/>
          <w:sz w:val="15"/>
          <w:szCs w:val="15"/>
        </w:rPr>
        <w:t>限公司</w:t>
      </w:r>
      <w:r>
        <w:rPr>
          <w:rFonts w:ascii="宋体" w:hAnsi="宋体" w:cs="宋体" w:eastAsia="宋体" w:hint="default"/>
          <w:spacing w:val="-36"/>
          <w:sz w:val="15"/>
          <w:szCs w:val="15"/>
        </w:rPr>
        <w:t> </w:t>
      </w:r>
      <w:r>
        <w:rPr>
          <w:rFonts w:ascii="Arial" w:hAnsi="Arial" w:cs="Arial" w:eastAsia="Arial" w:hint="default"/>
          <w:sz w:val="15"/>
          <w:szCs w:val="15"/>
        </w:rPr>
        <w:t>1.7</w:t>
      </w:r>
      <w:r>
        <w:rPr>
          <w:rFonts w:ascii="Arial" w:hAnsi="Arial" w:cs="Arial" w:eastAsia="Arial" w:hint="default"/>
          <w:spacing w:val="-5"/>
          <w:sz w:val="15"/>
          <w:szCs w:val="15"/>
        </w:rPr>
        <w:t> </w:t>
      </w:r>
      <w:r>
        <w:rPr>
          <w:rFonts w:ascii="宋体" w:hAnsi="宋体" w:cs="宋体" w:eastAsia="宋体" w:hint="default"/>
          <w:spacing w:val="-10"/>
          <w:sz w:val="15"/>
          <w:szCs w:val="15"/>
        </w:rPr>
        <w:t>亿元及利息（自</w:t>
      </w:r>
      <w:r>
        <w:rPr>
          <w:rFonts w:ascii="宋体" w:hAnsi="宋体" w:cs="宋体" w:eastAsia="宋体" w:hint="default"/>
          <w:spacing w:val="-35"/>
          <w:sz w:val="15"/>
          <w:szCs w:val="15"/>
        </w:rPr>
        <w:t> </w:t>
      </w:r>
      <w:r>
        <w:rPr>
          <w:rFonts w:ascii="Arial" w:hAnsi="Arial" w:cs="Arial" w:eastAsia="Arial" w:hint="default"/>
          <w:sz w:val="15"/>
          <w:szCs w:val="15"/>
        </w:rPr>
        <w:t>2018</w:t>
      </w:r>
      <w:r>
        <w:rPr>
          <w:rFonts w:ascii="Arial" w:hAnsi="Arial" w:cs="Arial" w:eastAsia="Arial" w:hint="default"/>
          <w:spacing w:val="-5"/>
          <w:sz w:val="15"/>
          <w:szCs w:val="15"/>
        </w:rPr>
        <w:t> </w:t>
      </w:r>
      <w:r>
        <w:rPr>
          <w:rFonts w:ascii="宋体" w:hAnsi="宋体" w:cs="宋体" w:eastAsia="宋体" w:hint="default"/>
          <w:sz w:val="15"/>
          <w:szCs w:val="15"/>
        </w:rPr>
        <w:t>年</w:t>
      </w:r>
      <w:r>
        <w:rPr>
          <w:rFonts w:ascii="宋体" w:hAnsi="宋体" w:cs="宋体" w:eastAsia="宋体" w:hint="default"/>
          <w:spacing w:val="-36"/>
          <w:sz w:val="15"/>
          <w:szCs w:val="15"/>
        </w:rPr>
        <w:t> </w:t>
      </w:r>
      <w:r>
        <w:rPr>
          <w:rFonts w:ascii="Arial" w:hAnsi="Arial" w:cs="Arial" w:eastAsia="Arial" w:hint="default"/>
          <w:sz w:val="15"/>
          <w:szCs w:val="15"/>
        </w:rPr>
        <w:t>11</w:t>
      </w:r>
      <w:r>
        <w:rPr>
          <w:rFonts w:ascii="Arial" w:hAnsi="Arial" w:cs="Arial" w:eastAsia="Arial"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Arial" w:hAnsi="Arial" w:cs="Arial" w:eastAsia="Arial" w:hint="default"/>
          <w:sz w:val="15"/>
          <w:szCs w:val="15"/>
        </w:rPr>
        <w:t>4</w:t>
      </w:r>
      <w:r>
        <w:rPr>
          <w:rFonts w:ascii="Arial" w:hAnsi="Arial" w:cs="Arial" w:eastAsia="Arial" w:hint="default"/>
          <w:w w:val="100"/>
          <w:sz w:val="15"/>
          <w:szCs w:val="15"/>
        </w:rPr>
        <w:t> </w:t>
      </w:r>
      <w:r>
        <w:rPr>
          <w:rFonts w:ascii="宋体" w:hAnsi="宋体" w:cs="宋体" w:eastAsia="宋体" w:hint="default"/>
          <w:position w:val="10"/>
          <w:sz w:val="15"/>
          <w:szCs w:val="15"/>
        </w:rPr>
        <w:t>法院提起行政诉讼，</w:t>
      </w:r>
      <w:r>
        <w:rPr>
          <w:rFonts w:ascii="Arial" w:hAnsi="Arial" w:cs="Arial" w:eastAsia="Arial" w:hint="default"/>
          <w:position w:val="10"/>
          <w:sz w:val="15"/>
          <w:szCs w:val="15"/>
        </w:rPr>
        <w:t>2018 </w:t>
      </w:r>
      <w:r>
        <w:rPr>
          <w:rFonts w:ascii="宋体" w:hAnsi="宋体" w:cs="宋体" w:eastAsia="宋体" w:hint="default"/>
          <w:position w:val="10"/>
          <w:sz w:val="15"/>
          <w:szCs w:val="15"/>
        </w:rPr>
        <w:t>年 </w:t>
      </w:r>
      <w:r>
        <w:rPr>
          <w:rFonts w:ascii="Arial" w:hAnsi="Arial" w:cs="Arial" w:eastAsia="Arial" w:hint="default"/>
          <w:position w:val="10"/>
          <w:sz w:val="15"/>
          <w:szCs w:val="15"/>
        </w:rPr>
        <w:t>5 </w:t>
      </w:r>
      <w:r>
        <w:rPr>
          <w:rFonts w:ascii="宋体" w:hAnsi="宋体" w:cs="宋体" w:eastAsia="宋体" w:hint="default"/>
          <w:position w:val="10"/>
          <w:sz w:val="15"/>
          <w:szCs w:val="15"/>
        </w:rPr>
        <w:t>月作</w:t>
      </w:r>
      <w:r>
        <w:rPr>
          <w:rFonts w:ascii="宋体" w:hAnsi="宋体" w:cs="宋体" w:eastAsia="宋体" w:hint="default"/>
          <w:spacing w:val="-8"/>
          <w:position w:val="10"/>
          <w:sz w:val="15"/>
          <w:szCs w:val="15"/>
        </w:rPr>
        <w:t> </w:t>
      </w:r>
      <w:r>
        <w:rPr>
          <w:rFonts w:ascii="宋体" w:hAnsi="宋体" w:cs="宋体" w:eastAsia="宋体" w:hint="default"/>
          <w:spacing w:val="-4"/>
          <w:sz w:val="15"/>
          <w:szCs w:val="15"/>
        </w:rPr>
        <w:t>日起至实际给付之日止，按照中国人民银行</w:t>
      </w:r>
      <w:r>
        <w:rPr>
          <w:rFonts w:ascii="宋体" w:hAnsi="宋体" w:cs="宋体" w:eastAsia="宋体" w:hint="default"/>
          <w:w w:val="100"/>
          <w:sz w:val="15"/>
          <w:szCs w:val="15"/>
        </w:rPr>
        <w:t> </w:t>
      </w:r>
      <w:r>
        <w:rPr>
          <w:rFonts w:ascii="宋体" w:hAnsi="宋体" w:cs="宋体" w:eastAsia="宋体" w:hint="default"/>
          <w:spacing w:val="-4"/>
          <w:sz w:val="15"/>
          <w:szCs w:val="15"/>
        </w:rPr>
        <w:t>出一审《行政裁定书》。公司不服一</w:t>
      </w:r>
    </w:p>
    <w:p>
      <w:pPr>
        <w:spacing w:line="155" w:lineRule="exact" w:before="0"/>
        <w:ind w:left="140" w:right="0" w:firstLine="0"/>
        <w:jc w:val="both"/>
        <w:rPr>
          <w:rFonts w:ascii="宋体" w:hAnsi="宋体" w:cs="宋体" w:eastAsia="宋体" w:hint="default"/>
          <w:sz w:val="15"/>
          <w:szCs w:val="15"/>
        </w:rPr>
      </w:pPr>
      <w:r>
        <w:rPr>
          <w:rFonts w:ascii="宋体" w:hAnsi="宋体" w:cs="宋体" w:eastAsia="宋体" w:hint="default"/>
          <w:spacing w:val="-4"/>
          <w:position w:val="-9"/>
          <w:sz w:val="15"/>
          <w:szCs w:val="15"/>
        </w:rPr>
        <w:t>审裁定，上诉至黑龙江省高级人民法</w:t>
      </w:r>
      <w:r>
        <w:rPr>
          <w:rFonts w:ascii="宋体" w:hAnsi="宋体" w:cs="宋体" w:eastAsia="宋体" w:hint="default"/>
          <w:spacing w:val="34"/>
          <w:position w:val="-9"/>
          <w:sz w:val="15"/>
          <w:szCs w:val="15"/>
        </w:rPr>
        <w:t> </w:t>
      </w:r>
      <w:r>
        <w:rPr>
          <w:rFonts w:ascii="宋体" w:hAnsi="宋体" w:cs="宋体" w:eastAsia="宋体" w:hint="default"/>
          <w:spacing w:val="-4"/>
          <w:sz w:val="15"/>
          <w:szCs w:val="15"/>
        </w:rPr>
        <w:t>同期同类贷款利率计算）；二、驳回黑龙江</w:t>
      </w:r>
    </w:p>
    <w:p>
      <w:pPr>
        <w:spacing w:line="189" w:lineRule="exact" w:before="0"/>
        <w:ind w:left="140" w:right="0" w:firstLine="0"/>
        <w:jc w:val="both"/>
        <w:rPr>
          <w:rFonts w:ascii="宋体" w:hAnsi="宋体" w:cs="宋体" w:eastAsia="宋体" w:hint="default"/>
          <w:sz w:val="15"/>
          <w:szCs w:val="15"/>
        </w:rPr>
      </w:pPr>
      <w:r>
        <w:rPr>
          <w:rFonts w:ascii="宋体" w:hAnsi="宋体" w:cs="宋体" w:eastAsia="宋体" w:hint="default"/>
          <w:spacing w:val="-5"/>
          <w:position w:val="-9"/>
          <w:sz w:val="15"/>
          <w:szCs w:val="15"/>
        </w:rPr>
        <w:t>院，</w:t>
      </w:r>
      <w:r>
        <w:rPr>
          <w:rFonts w:ascii="Arial" w:hAnsi="Arial" w:cs="Arial" w:eastAsia="Arial" w:hint="default"/>
          <w:spacing w:val="-5"/>
          <w:position w:val="-9"/>
          <w:sz w:val="15"/>
          <w:szCs w:val="15"/>
        </w:rPr>
        <w:t>2018 </w:t>
      </w:r>
      <w:r>
        <w:rPr>
          <w:rFonts w:ascii="宋体" w:hAnsi="宋体" w:cs="宋体" w:eastAsia="宋体" w:hint="default"/>
          <w:position w:val="-9"/>
          <w:sz w:val="15"/>
          <w:szCs w:val="15"/>
        </w:rPr>
        <w:t>年 </w:t>
      </w:r>
      <w:r>
        <w:rPr>
          <w:rFonts w:ascii="Arial" w:hAnsi="Arial" w:cs="Arial" w:eastAsia="Arial" w:hint="default"/>
          <w:position w:val="-9"/>
          <w:sz w:val="15"/>
          <w:szCs w:val="15"/>
        </w:rPr>
        <w:t>11 </w:t>
      </w:r>
      <w:r>
        <w:rPr>
          <w:rFonts w:ascii="宋体" w:hAnsi="宋体" w:cs="宋体" w:eastAsia="宋体" w:hint="default"/>
          <w:spacing w:val="-5"/>
          <w:position w:val="-9"/>
          <w:sz w:val="15"/>
          <w:szCs w:val="15"/>
        </w:rPr>
        <w:t>月收到省高法《行政</w:t>
      </w:r>
      <w:r>
        <w:rPr>
          <w:rFonts w:ascii="宋体" w:hAnsi="宋体" w:cs="宋体" w:eastAsia="宋体" w:hint="default"/>
          <w:spacing w:val="-15"/>
          <w:position w:val="-9"/>
          <w:sz w:val="15"/>
          <w:szCs w:val="15"/>
        </w:rPr>
        <w:t> </w:t>
      </w:r>
      <w:r>
        <w:rPr>
          <w:rFonts w:ascii="宋体" w:hAnsi="宋体" w:cs="宋体" w:eastAsia="宋体" w:hint="default"/>
          <w:spacing w:val="-4"/>
          <w:sz w:val="15"/>
          <w:szCs w:val="15"/>
        </w:rPr>
        <w:t>北大荒农业股份有限公司其他诉讼请求。如</w:t>
      </w:r>
    </w:p>
    <w:p>
      <w:pPr>
        <w:spacing w:after="0" w:line="189" w:lineRule="exact"/>
        <w:jc w:val="both"/>
        <w:rPr>
          <w:rFonts w:ascii="宋体" w:hAnsi="宋体" w:cs="宋体" w:eastAsia="宋体" w:hint="default"/>
          <w:sz w:val="15"/>
          <w:szCs w:val="15"/>
        </w:rPr>
        <w:sectPr>
          <w:type w:val="continuous"/>
          <w:pgSz w:w="16840" w:h="11910" w:orient="landscape"/>
          <w:pgMar w:top="1360" w:bottom="1380" w:left="1300" w:right="1380"/>
          <w:cols w:num="6" w:equalWidth="0">
            <w:col w:w="594" w:space="40"/>
            <w:col w:w="652" w:space="767"/>
            <w:col w:w="594" w:space="40"/>
            <w:col w:w="2399" w:space="99"/>
            <w:col w:w="1185" w:space="752"/>
            <w:col w:w="7038"/>
          </w:cols>
        </w:sectPr>
      </w:pPr>
    </w:p>
    <w:p>
      <w:pPr>
        <w:spacing w:line="142" w:lineRule="exact" w:before="0"/>
        <w:ind w:left="140" w:right="-17" w:firstLine="0"/>
        <w:jc w:val="left"/>
        <w:rPr>
          <w:rFonts w:ascii="宋体" w:hAnsi="宋体" w:cs="宋体" w:eastAsia="宋体" w:hint="default"/>
          <w:sz w:val="15"/>
          <w:szCs w:val="15"/>
        </w:rPr>
      </w:pPr>
      <w:r>
        <w:rPr>
          <w:rFonts w:ascii="宋体" w:hAnsi="宋体" w:cs="宋体" w:eastAsia="宋体" w:hint="default"/>
          <w:sz w:val="15"/>
          <w:szCs w:val="15"/>
        </w:rPr>
        <w:t>份有限</w:t>
      </w:r>
    </w:p>
    <w:p>
      <w:pPr>
        <w:spacing w:line="98" w:lineRule="exact" w:before="0"/>
        <w:ind w:left="116" w:right="-16" w:firstLine="0"/>
        <w:jc w:val="left"/>
        <w:rPr>
          <w:rFonts w:ascii="宋体" w:hAnsi="宋体" w:cs="宋体" w:eastAsia="宋体" w:hint="default"/>
          <w:sz w:val="15"/>
          <w:szCs w:val="15"/>
        </w:rPr>
      </w:pPr>
      <w:r>
        <w:rPr/>
        <w:br w:type="column"/>
      </w:r>
      <w:r>
        <w:rPr>
          <w:rFonts w:ascii="宋体" w:hAnsi="宋体" w:cs="宋体" w:eastAsia="宋体" w:hint="default"/>
          <w:sz w:val="15"/>
          <w:szCs w:val="15"/>
        </w:rPr>
        <w:t>组办公</w:t>
      </w:r>
    </w:p>
    <w:p>
      <w:pPr>
        <w:tabs>
          <w:tab w:pos="739" w:val="left" w:leader="none"/>
        </w:tabs>
        <w:spacing w:line="98" w:lineRule="exact" w:before="0"/>
        <w:ind w:left="140"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讼</w:t>
        <w:tab/>
      </w:r>
      <w:r>
        <w:rPr>
          <w:rFonts w:ascii="宋体" w:hAnsi="宋体" w:cs="宋体" w:eastAsia="宋体" w:hint="default"/>
          <w:spacing w:val="-2"/>
          <w:sz w:val="15"/>
          <w:szCs w:val="15"/>
        </w:rPr>
        <w:t>共同参与城乡路与齿轮路交口处</w:t>
      </w:r>
    </w:p>
    <w:p>
      <w:pPr>
        <w:spacing w:line="142" w:lineRule="exact" w:before="0"/>
        <w:ind w:left="140" w:right="-11" w:firstLine="0"/>
        <w:jc w:val="left"/>
        <w:rPr>
          <w:rFonts w:ascii="宋体" w:hAnsi="宋体" w:cs="宋体" w:eastAsia="宋体" w:hint="default"/>
          <w:sz w:val="15"/>
          <w:szCs w:val="15"/>
        </w:rPr>
      </w:pPr>
      <w:r>
        <w:rPr/>
        <w:br w:type="column"/>
      </w:r>
      <w:r>
        <w:rPr>
          <w:rFonts w:ascii="宋体" w:hAnsi="宋体" w:cs="宋体" w:eastAsia="宋体" w:hint="default"/>
          <w:sz w:val="15"/>
          <w:szCs w:val="15"/>
        </w:rPr>
        <w:t>裁定书》（</w:t>
      </w:r>
      <w:r>
        <w:rPr>
          <w:rFonts w:ascii="Arial" w:hAnsi="Arial" w:cs="Arial" w:eastAsia="Arial" w:hint="default"/>
          <w:sz w:val="15"/>
          <w:szCs w:val="15"/>
        </w:rPr>
        <w:t>2018</w:t>
      </w:r>
      <w:r>
        <w:rPr>
          <w:rFonts w:ascii="宋体" w:hAnsi="宋体" w:cs="宋体" w:eastAsia="宋体" w:hint="default"/>
          <w:sz w:val="15"/>
          <w:szCs w:val="15"/>
        </w:rPr>
        <w:t>）黑行终</w:t>
      </w:r>
      <w:r>
        <w:rPr>
          <w:rFonts w:ascii="宋体" w:hAnsi="宋体" w:cs="宋体" w:eastAsia="宋体" w:hint="default"/>
          <w:spacing w:val="-39"/>
          <w:sz w:val="15"/>
          <w:szCs w:val="15"/>
        </w:rPr>
        <w:t> </w:t>
      </w:r>
      <w:r>
        <w:rPr>
          <w:rFonts w:ascii="Arial" w:hAnsi="Arial" w:cs="Arial" w:eastAsia="Arial" w:hint="default"/>
          <w:sz w:val="15"/>
          <w:szCs w:val="15"/>
        </w:rPr>
        <w:t>310</w:t>
      </w:r>
      <w:r>
        <w:rPr>
          <w:rFonts w:ascii="Arial" w:hAnsi="Arial" w:cs="Arial" w:eastAsia="Arial" w:hint="default"/>
          <w:spacing w:val="-6"/>
          <w:sz w:val="15"/>
          <w:szCs w:val="15"/>
        </w:rPr>
        <w:t> </w:t>
      </w:r>
      <w:r>
        <w:rPr>
          <w:rFonts w:ascii="宋体" w:hAnsi="宋体" w:cs="宋体" w:eastAsia="宋体" w:hint="default"/>
          <w:spacing w:val="-3"/>
          <w:sz w:val="15"/>
          <w:szCs w:val="15"/>
        </w:rPr>
        <w:t>号，</w:t>
      </w:r>
      <w:r>
        <w:rPr>
          <w:rFonts w:ascii="宋体" w:hAnsi="宋体" w:cs="宋体" w:eastAsia="宋体" w:hint="default"/>
          <w:sz w:val="15"/>
          <w:szCs w:val="15"/>
        </w:rPr>
      </w:r>
    </w:p>
    <w:p>
      <w:pPr>
        <w:spacing w:line="98" w:lineRule="exact" w:before="0"/>
        <w:ind w:left="72"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果未按本判决指定的期限履行给付金钱义</w:t>
      </w:r>
    </w:p>
    <w:p>
      <w:pPr>
        <w:spacing w:after="0" w:line="98" w:lineRule="exact"/>
        <w:jc w:val="left"/>
        <w:rPr>
          <w:rFonts w:ascii="宋体" w:hAnsi="宋体" w:cs="宋体" w:eastAsia="宋体" w:hint="default"/>
          <w:sz w:val="15"/>
          <w:szCs w:val="15"/>
        </w:rPr>
        <w:sectPr>
          <w:type w:val="continuous"/>
          <w:pgSz w:w="16840" w:h="11910" w:orient="landscape"/>
          <w:pgMar w:top="1360" w:bottom="1380" w:left="1300" w:right="1380"/>
          <w:cols w:num="5" w:equalWidth="0">
            <w:col w:w="594" w:space="40"/>
            <w:col w:w="570" w:space="848"/>
            <w:col w:w="2843" w:space="2227"/>
            <w:col w:w="2450" w:space="40"/>
            <w:col w:w="4548"/>
          </w:cols>
        </w:sectPr>
      </w:pPr>
    </w:p>
    <w:p>
      <w:pPr>
        <w:tabs>
          <w:tab w:pos="749" w:val="left" w:leader="none"/>
        </w:tabs>
        <w:spacing w:line="158" w:lineRule="auto" w:before="14"/>
        <w:ind w:left="750" w:right="0" w:hanging="610"/>
        <w:jc w:val="left"/>
        <w:rPr>
          <w:rFonts w:ascii="宋体" w:hAnsi="宋体" w:cs="宋体" w:eastAsia="宋体" w:hint="default"/>
          <w:sz w:val="15"/>
          <w:szCs w:val="15"/>
        </w:rPr>
      </w:pPr>
      <w:r>
        <w:rPr>
          <w:rFonts w:ascii="宋体" w:hAnsi="宋体" w:cs="宋体" w:eastAsia="宋体" w:hint="default"/>
          <w:position w:val="-9"/>
          <w:sz w:val="15"/>
          <w:szCs w:val="15"/>
        </w:rPr>
        <w:t>公司</w:t>
        <w:tab/>
      </w:r>
      <w:r>
        <w:rPr>
          <w:rFonts w:ascii="宋体" w:hAnsi="宋体" w:cs="宋体" w:eastAsia="宋体" w:hint="default"/>
          <w:sz w:val="15"/>
          <w:szCs w:val="15"/>
        </w:rPr>
        <w:t>室</w:t>
      </w:r>
      <w:r>
        <w:rPr>
          <w:rFonts w:ascii="宋体" w:hAnsi="宋体" w:cs="宋体" w:eastAsia="宋体" w:hint="default"/>
          <w:spacing w:val="-36"/>
          <w:sz w:val="15"/>
          <w:szCs w:val="15"/>
        </w:rPr>
        <w:t> </w:t>
      </w:r>
      <w:r>
        <w:rPr>
          <w:rFonts w:ascii="Arial" w:hAnsi="Arial" w:cs="Arial" w:eastAsia="Arial" w:hint="default"/>
          <w:sz w:val="15"/>
          <w:szCs w:val="15"/>
        </w:rPr>
        <w:t>2</w:t>
      </w:r>
      <w:r>
        <w:rPr>
          <w:rFonts w:ascii="宋体" w:hAnsi="宋体" w:cs="宋体" w:eastAsia="宋体" w:hint="default"/>
          <w:sz w:val="15"/>
          <w:szCs w:val="15"/>
        </w:rPr>
        <w:t>、哈</w:t>
      </w:r>
      <w:r>
        <w:rPr>
          <w:rFonts w:ascii="宋体" w:hAnsi="宋体" w:cs="宋体" w:eastAsia="宋体" w:hint="default"/>
          <w:w w:val="100"/>
          <w:sz w:val="15"/>
          <w:szCs w:val="15"/>
        </w:rPr>
        <w:t> </w:t>
      </w:r>
      <w:r>
        <w:rPr>
          <w:rFonts w:ascii="宋体" w:hAnsi="宋体" w:cs="宋体" w:eastAsia="宋体" w:hint="default"/>
          <w:sz w:val="15"/>
          <w:szCs w:val="15"/>
        </w:rPr>
        <w:t>尔滨市</w:t>
      </w:r>
    </w:p>
    <w:p>
      <w:pPr>
        <w:spacing w:line="155" w:lineRule="exact" w:before="0"/>
        <w:ind w:left="140" w:right="0" w:firstLine="0"/>
        <w:jc w:val="left"/>
        <w:rPr>
          <w:rFonts w:ascii="宋体" w:hAnsi="宋体" w:cs="宋体" w:eastAsia="宋体" w:hint="default"/>
          <w:sz w:val="15"/>
          <w:szCs w:val="15"/>
        </w:rPr>
      </w:pPr>
      <w:r>
        <w:rPr>
          <w:spacing w:val="-2"/>
        </w:rPr>
        <w:br w:type="column"/>
      </w:r>
      <w:r>
        <w:rPr>
          <w:rFonts w:ascii="宋体" w:hAnsi="宋体" w:cs="宋体" w:eastAsia="宋体" w:hint="default"/>
          <w:spacing w:val="-2"/>
          <w:sz w:val="15"/>
          <w:szCs w:val="15"/>
        </w:rPr>
        <w:t>棚改项目（下称</w:t>
      </w:r>
      <w:r>
        <w:rPr>
          <w:rFonts w:ascii="Arial" w:hAnsi="Arial" w:cs="Arial" w:eastAsia="Arial" w:hint="default"/>
          <w:spacing w:val="-2"/>
          <w:sz w:val="15"/>
          <w:szCs w:val="15"/>
        </w:rPr>
        <w:t>“</w:t>
      </w:r>
      <w:r>
        <w:rPr>
          <w:rFonts w:ascii="宋体" w:hAnsi="宋体" w:cs="宋体" w:eastAsia="宋体" w:hint="default"/>
          <w:spacing w:val="-2"/>
          <w:sz w:val="15"/>
          <w:szCs w:val="15"/>
        </w:rPr>
        <w:t>棚改项目</w:t>
      </w:r>
      <w:r>
        <w:rPr>
          <w:rFonts w:ascii="Arial" w:hAnsi="Arial" w:cs="Arial" w:eastAsia="Arial" w:hint="default"/>
          <w:spacing w:val="-2"/>
          <w:sz w:val="15"/>
          <w:szCs w:val="15"/>
        </w:rPr>
        <w:t>”</w:t>
      </w:r>
      <w:r>
        <w:rPr>
          <w:rFonts w:ascii="宋体" w:hAnsi="宋体" w:cs="宋体" w:eastAsia="宋体" w:hint="default"/>
          <w:spacing w:val="-2"/>
          <w:sz w:val="15"/>
          <w:szCs w:val="15"/>
        </w:rPr>
        <w:t>）的垫</w:t>
      </w:r>
    </w:p>
    <w:p>
      <w:pPr>
        <w:spacing w:line="137" w:lineRule="exact" w:before="0"/>
        <w:ind w:left="140" w:right="0" w:firstLine="0"/>
        <w:jc w:val="left"/>
        <w:rPr>
          <w:rFonts w:ascii="宋体" w:hAnsi="宋体" w:cs="宋体" w:eastAsia="宋体" w:hint="default"/>
          <w:sz w:val="15"/>
          <w:szCs w:val="15"/>
        </w:rPr>
      </w:pPr>
      <w:r>
        <w:rPr>
          <w:rFonts w:ascii="宋体" w:hAnsi="宋体" w:cs="宋体" w:eastAsia="宋体" w:hint="default"/>
          <w:spacing w:val="-4"/>
          <w:sz w:val="15"/>
          <w:szCs w:val="15"/>
        </w:rPr>
        <w:t>资土地整理。振北公司参与地块一</w:t>
      </w:r>
    </w:p>
    <w:p>
      <w:pPr>
        <w:spacing w:line="205" w:lineRule="exact" w:before="0"/>
        <w:ind w:left="140" w:right="0" w:firstLine="0"/>
        <w:jc w:val="left"/>
        <w:rPr>
          <w:rFonts w:ascii="宋体" w:hAnsi="宋体" w:cs="宋体" w:eastAsia="宋体" w:hint="default"/>
          <w:sz w:val="15"/>
          <w:szCs w:val="15"/>
        </w:rPr>
      </w:pPr>
      <w:r>
        <w:rPr/>
        <w:br w:type="column"/>
      </w:r>
      <w:r>
        <w:rPr>
          <w:rFonts w:ascii="宋体" w:hAnsi="宋体" w:cs="宋体" w:eastAsia="宋体" w:hint="default"/>
          <w:w w:val="100"/>
          <w:position w:val="-9"/>
          <w:sz w:val="15"/>
          <w:szCs w:val="15"/>
        </w:rPr>
        <w:t>行政</w:t>
      </w:r>
      <w:r>
        <w:rPr>
          <w:rFonts w:ascii="宋体" w:hAnsi="宋体" w:cs="宋体" w:eastAsia="宋体" w:hint="default"/>
          <w:spacing w:val="-3"/>
          <w:w w:val="100"/>
          <w:position w:val="-9"/>
          <w:sz w:val="15"/>
          <w:szCs w:val="15"/>
        </w:rPr>
        <w:t>诉</w:t>
      </w:r>
      <w:r>
        <w:rPr>
          <w:rFonts w:ascii="宋体" w:hAnsi="宋体" w:cs="宋体" w:eastAsia="宋体" w:hint="default"/>
          <w:w w:val="100"/>
          <w:position w:val="-9"/>
          <w:sz w:val="15"/>
          <w:szCs w:val="15"/>
        </w:rPr>
        <w:t>讼</w:t>
      </w:r>
      <w:r>
        <w:rPr>
          <w:rFonts w:ascii="宋体" w:hAnsi="宋体" w:cs="宋体" w:eastAsia="宋体" w:hint="default"/>
          <w:spacing w:val="-3"/>
          <w:w w:val="100"/>
          <w:position w:val="-9"/>
          <w:sz w:val="15"/>
          <w:szCs w:val="15"/>
        </w:rPr>
        <w:t>终</w:t>
      </w:r>
      <w:r>
        <w:rPr>
          <w:rFonts w:ascii="宋体" w:hAnsi="宋体" w:cs="宋体" w:eastAsia="宋体" w:hint="default"/>
          <w:w w:val="100"/>
          <w:position w:val="-9"/>
          <w:sz w:val="15"/>
          <w:szCs w:val="15"/>
        </w:rPr>
        <w:t>结</w:t>
      </w:r>
      <w:r>
        <w:rPr>
          <w:rFonts w:ascii="宋体" w:hAnsi="宋体" w:cs="宋体" w:eastAsia="宋体" w:hint="default"/>
          <w:spacing w:val="-48"/>
          <w:w w:val="100"/>
          <w:position w:val="-9"/>
          <w:sz w:val="15"/>
          <w:szCs w:val="15"/>
        </w:rPr>
        <w:t>。</w:t>
      </w:r>
      <w:r>
        <w:rPr>
          <w:rFonts w:ascii="Arial" w:hAnsi="Arial" w:cs="Arial" w:eastAsia="Arial" w:hint="default"/>
          <w:spacing w:val="-3"/>
          <w:w w:val="100"/>
          <w:position w:val="-9"/>
          <w:sz w:val="15"/>
          <w:szCs w:val="15"/>
        </w:rPr>
        <w:t>2</w:t>
      </w:r>
      <w:r>
        <w:rPr>
          <w:rFonts w:ascii="Arial" w:hAnsi="Arial" w:cs="Arial" w:eastAsia="Arial" w:hint="default"/>
          <w:w w:val="100"/>
          <w:position w:val="-9"/>
          <w:sz w:val="15"/>
          <w:szCs w:val="15"/>
        </w:rPr>
        <w:t>018</w:t>
      </w:r>
      <w:r>
        <w:rPr>
          <w:rFonts w:ascii="Arial" w:hAnsi="Arial" w:cs="Arial" w:eastAsia="Arial" w:hint="default"/>
          <w:spacing w:val="-6"/>
          <w:position w:val="-9"/>
          <w:sz w:val="15"/>
          <w:szCs w:val="15"/>
        </w:rPr>
        <w:t> </w:t>
      </w:r>
      <w:r>
        <w:rPr>
          <w:rFonts w:ascii="宋体" w:hAnsi="宋体" w:cs="宋体" w:eastAsia="宋体" w:hint="default"/>
          <w:w w:val="100"/>
          <w:position w:val="-9"/>
          <w:sz w:val="15"/>
          <w:szCs w:val="15"/>
        </w:rPr>
        <w:t>年</w:t>
      </w:r>
      <w:r>
        <w:rPr>
          <w:rFonts w:ascii="宋体" w:hAnsi="宋体" w:cs="宋体" w:eastAsia="宋体" w:hint="default"/>
          <w:spacing w:val="-37"/>
          <w:position w:val="-9"/>
          <w:sz w:val="15"/>
          <w:szCs w:val="15"/>
        </w:rPr>
        <w:t> </w:t>
      </w:r>
      <w:r>
        <w:rPr>
          <w:rFonts w:ascii="Arial" w:hAnsi="Arial" w:cs="Arial" w:eastAsia="Arial" w:hint="default"/>
          <w:spacing w:val="-3"/>
          <w:w w:val="100"/>
          <w:position w:val="-9"/>
          <w:sz w:val="15"/>
          <w:szCs w:val="15"/>
        </w:rPr>
        <w:t>1</w:t>
      </w:r>
      <w:r>
        <w:rPr>
          <w:rFonts w:ascii="Arial" w:hAnsi="Arial" w:cs="Arial" w:eastAsia="Arial" w:hint="default"/>
          <w:w w:val="100"/>
          <w:position w:val="-9"/>
          <w:sz w:val="15"/>
          <w:szCs w:val="15"/>
        </w:rPr>
        <w:t>1</w:t>
      </w:r>
      <w:r>
        <w:rPr>
          <w:rFonts w:ascii="Arial" w:hAnsi="Arial" w:cs="Arial" w:eastAsia="Arial" w:hint="default"/>
          <w:spacing w:val="-6"/>
          <w:position w:val="-9"/>
          <w:sz w:val="15"/>
          <w:szCs w:val="15"/>
        </w:rPr>
        <w:t> </w:t>
      </w:r>
      <w:r>
        <w:rPr>
          <w:rFonts w:ascii="宋体" w:hAnsi="宋体" w:cs="宋体" w:eastAsia="宋体" w:hint="default"/>
          <w:w w:val="100"/>
          <w:position w:val="-9"/>
          <w:sz w:val="15"/>
          <w:szCs w:val="15"/>
        </w:rPr>
        <w:t>月</w:t>
      </w:r>
      <w:r>
        <w:rPr>
          <w:rFonts w:ascii="宋体" w:hAnsi="宋体" w:cs="宋体" w:eastAsia="宋体" w:hint="default"/>
          <w:spacing w:val="-3"/>
          <w:w w:val="100"/>
          <w:position w:val="-9"/>
          <w:sz w:val="15"/>
          <w:szCs w:val="15"/>
        </w:rPr>
        <w:t>公</w:t>
      </w:r>
      <w:r>
        <w:rPr>
          <w:rFonts w:ascii="宋体" w:hAnsi="宋体" w:cs="宋体" w:eastAsia="宋体" w:hint="default"/>
          <w:w w:val="100"/>
          <w:position w:val="-9"/>
          <w:sz w:val="15"/>
          <w:szCs w:val="15"/>
        </w:rPr>
        <w:t>司向</w:t>
      </w:r>
      <w:r>
        <w:rPr>
          <w:rFonts w:ascii="宋体" w:hAnsi="宋体" w:cs="宋体" w:eastAsia="宋体" w:hint="default"/>
          <w:spacing w:val="-23"/>
          <w:position w:val="-9"/>
          <w:sz w:val="15"/>
          <w:szCs w:val="15"/>
        </w:rPr>
        <w:t> </w:t>
      </w:r>
      <w:r>
        <w:rPr>
          <w:rFonts w:ascii="宋体" w:hAnsi="宋体" w:cs="宋体" w:eastAsia="宋体" w:hint="default"/>
          <w:w w:val="100"/>
          <w:sz w:val="15"/>
          <w:szCs w:val="15"/>
        </w:rPr>
        <w:t>务</w:t>
      </w:r>
      <w:r>
        <w:rPr>
          <w:rFonts w:ascii="宋体" w:hAnsi="宋体" w:cs="宋体" w:eastAsia="宋体" w:hint="default"/>
          <w:spacing w:val="-63"/>
          <w:w w:val="100"/>
          <w:sz w:val="15"/>
          <w:szCs w:val="15"/>
        </w:rPr>
        <w:t>，</w:t>
      </w:r>
      <w:r>
        <w:rPr>
          <w:rFonts w:ascii="宋体" w:hAnsi="宋体" w:cs="宋体" w:eastAsia="宋体" w:hint="default"/>
          <w:spacing w:val="-3"/>
          <w:w w:val="100"/>
          <w:sz w:val="15"/>
          <w:szCs w:val="15"/>
        </w:rPr>
        <w:t>应</w:t>
      </w:r>
      <w:r>
        <w:rPr>
          <w:rFonts w:ascii="宋体" w:hAnsi="宋体" w:cs="宋体" w:eastAsia="宋体" w:hint="default"/>
          <w:w w:val="100"/>
          <w:sz w:val="15"/>
          <w:szCs w:val="15"/>
        </w:rPr>
        <w:t>当</w:t>
      </w:r>
      <w:r>
        <w:rPr>
          <w:rFonts w:ascii="宋体" w:hAnsi="宋体" w:cs="宋体" w:eastAsia="宋体" w:hint="default"/>
          <w:spacing w:val="-3"/>
          <w:w w:val="100"/>
          <w:sz w:val="15"/>
          <w:szCs w:val="15"/>
        </w:rPr>
        <w:t>按</w:t>
      </w:r>
      <w:r>
        <w:rPr>
          <w:rFonts w:ascii="宋体" w:hAnsi="宋体" w:cs="宋体" w:eastAsia="宋体" w:hint="default"/>
          <w:spacing w:val="-63"/>
          <w:w w:val="100"/>
          <w:sz w:val="15"/>
          <w:szCs w:val="15"/>
        </w:rPr>
        <w:t>照</w:t>
      </w:r>
      <w:r>
        <w:rPr>
          <w:rFonts w:ascii="宋体" w:hAnsi="宋体" w:cs="宋体" w:eastAsia="宋体" w:hint="default"/>
          <w:spacing w:val="-3"/>
          <w:w w:val="100"/>
          <w:sz w:val="15"/>
          <w:szCs w:val="15"/>
        </w:rPr>
        <w:t>《</w:t>
      </w:r>
      <w:r>
        <w:rPr>
          <w:rFonts w:ascii="宋体" w:hAnsi="宋体" w:cs="宋体" w:eastAsia="宋体" w:hint="default"/>
          <w:w w:val="100"/>
          <w:sz w:val="15"/>
          <w:szCs w:val="15"/>
        </w:rPr>
        <w:t>中</w:t>
      </w:r>
      <w:r>
        <w:rPr>
          <w:rFonts w:ascii="宋体" w:hAnsi="宋体" w:cs="宋体" w:eastAsia="宋体" w:hint="default"/>
          <w:spacing w:val="-3"/>
          <w:w w:val="100"/>
          <w:sz w:val="15"/>
          <w:szCs w:val="15"/>
        </w:rPr>
        <w:t>华</w:t>
      </w:r>
      <w:r>
        <w:rPr>
          <w:rFonts w:ascii="宋体" w:hAnsi="宋体" w:cs="宋体" w:eastAsia="宋体" w:hint="default"/>
          <w:w w:val="100"/>
          <w:sz w:val="15"/>
          <w:szCs w:val="15"/>
        </w:rPr>
        <w:t>人</w:t>
      </w:r>
      <w:r>
        <w:rPr>
          <w:rFonts w:ascii="宋体" w:hAnsi="宋体" w:cs="宋体" w:eastAsia="宋体" w:hint="default"/>
          <w:spacing w:val="-3"/>
          <w:w w:val="100"/>
          <w:sz w:val="15"/>
          <w:szCs w:val="15"/>
        </w:rPr>
        <w:t>民</w:t>
      </w:r>
      <w:r>
        <w:rPr>
          <w:rFonts w:ascii="宋体" w:hAnsi="宋体" w:cs="宋体" w:eastAsia="宋体" w:hint="default"/>
          <w:w w:val="100"/>
          <w:sz w:val="15"/>
          <w:szCs w:val="15"/>
        </w:rPr>
        <w:t>共</w:t>
      </w:r>
      <w:r>
        <w:rPr>
          <w:rFonts w:ascii="宋体" w:hAnsi="宋体" w:cs="宋体" w:eastAsia="宋体" w:hint="default"/>
          <w:spacing w:val="-3"/>
          <w:w w:val="100"/>
          <w:sz w:val="15"/>
          <w:szCs w:val="15"/>
        </w:rPr>
        <w:t>和</w:t>
      </w:r>
      <w:r>
        <w:rPr>
          <w:rFonts w:ascii="宋体" w:hAnsi="宋体" w:cs="宋体" w:eastAsia="宋体" w:hint="default"/>
          <w:w w:val="100"/>
          <w:sz w:val="15"/>
          <w:szCs w:val="15"/>
        </w:rPr>
        <w:t>国</w:t>
      </w:r>
      <w:r>
        <w:rPr>
          <w:rFonts w:ascii="宋体" w:hAnsi="宋体" w:cs="宋体" w:eastAsia="宋体" w:hint="default"/>
          <w:spacing w:val="-3"/>
          <w:w w:val="100"/>
          <w:sz w:val="15"/>
          <w:szCs w:val="15"/>
        </w:rPr>
        <w:t>民</w:t>
      </w:r>
      <w:r>
        <w:rPr>
          <w:rFonts w:ascii="宋体" w:hAnsi="宋体" w:cs="宋体" w:eastAsia="宋体" w:hint="default"/>
          <w:w w:val="100"/>
          <w:sz w:val="15"/>
          <w:szCs w:val="15"/>
        </w:rPr>
        <w:t>事</w:t>
      </w:r>
      <w:r>
        <w:rPr>
          <w:rFonts w:ascii="宋体" w:hAnsi="宋体" w:cs="宋体" w:eastAsia="宋体" w:hint="default"/>
          <w:spacing w:val="-3"/>
          <w:w w:val="100"/>
          <w:sz w:val="15"/>
          <w:szCs w:val="15"/>
        </w:rPr>
        <w:t>诉</w:t>
      </w:r>
      <w:r>
        <w:rPr>
          <w:rFonts w:ascii="宋体" w:hAnsi="宋体" w:cs="宋体" w:eastAsia="宋体" w:hint="default"/>
          <w:w w:val="100"/>
          <w:sz w:val="15"/>
          <w:szCs w:val="15"/>
        </w:rPr>
        <w:t>讼</w:t>
      </w:r>
      <w:r>
        <w:rPr>
          <w:rFonts w:ascii="宋体" w:hAnsi="宋体" w:cs="宋体" w:eastAsia="宋体" w:hint="default"/>
          <w:spacing w:val="-3"/>
          <w:w w:val="100"/>
          <w:sz w:val="15"/>
          <w:szCs w:val="15"/>
        </w:rPr>
        <w:t>法</w:t>
      </w:r>
      <w:r>
        <w:rPr>
          <w:rFonts w:ascii="宋体" w:hAnsi="宋体" w:cs="宋体" w:eastAsia="宋体" w:hint="default"/>
          <w:w w:val="100"/>
          <w:sz w:val="15"/>
          <w:szCs w:val="15"/>
        </w:rPr>
        <w:t>》</w:t>
      </w:r>
    </w:p>
    <w:p>
      <w:pPr>
        <w:spacing w:line="87" w:lineRule="exact" w:before="0"/>
        <w:ind w:left="2562" w:right="0" w:firstLine="0"/>
        <w:jc w:val="left"/>
        <w:rPr>
          <w:rFonts w:ascii="宋体" w:hAnsi="宋体" w:cs="宋体" w:eastAsia="宋体" w:hint="default"/>
          <w:sz w:val="15"/>
          <w:szCs w:val="15"/>
        </w:rPr>
      </w:pPr>
      <w:r>
        <w:rPr>
          <w:rFonts w:ascii="宋体" w:hAnsi="宋体" w:cs="宋体" w:eastAsia="宋体" w:hint="default"/>
          <w:spacing w:val="-4"/>
          <w:sz w:val="15"/>
          <w:szCs w:val="15"/>
        </w:rPr>
        <w:t>第二百五十三条规定，加倍支付迟延履行期</w:t>
      </w:r>
    </w:p>
    <w:p>
      <w:pPr>
        <w:spacing w:after="0" w:line="87" w:lineRule="exact"/>
        <w:jc w:val="left"/>
        <w:rPr>
          <w:rFonts w:ascii="宋体" w:hAnsi="宋体" w:cs="宋体" w:eastAsia="宋体" w:hint="default"/>
          <w:sz w:val="15"/>
          <w:szCs w:val="15"/>
        </w:rPr>
        <w:sectPr>
          <w:type w:val="continuous"/>
          <w:pgSz w:w="16840" w:h="11910" w:orient="landscape"/>
          <w:pgMar w:top="1360" w:bottom="1380" w:left="1300" w:right="1380"/>
          <w:cols w:num="3" w:equalWidth="0">
            <w:col w:w="1324" w:space="1328"/>
            <w:col w:w="2358" w:space="2111"/>
            <w:col w:w="7039"/>
          </w:cols>
        </w:sectPr>
      </w:pPr>
    </w:p>
    <w:p>
      <w:pPr>
        <w:spacing w:before="5"/>
        <w:ind w:left="750" w:right="0" w:firstLine="0"/>
        <w:jc w:val="both"/>
        <w:rPr>
          <w:rFonts w:ascii="宋体" w:hAnsi="宋体" w:cs="宋体" w:eastAsia="宋体" w:hint="default"/>
          <w:sz w:val="15"/>
          <w:szCs w:val="15"/>
        </w:rPr>
      </w:pPr>
      <w:r>
        <w:rPr/>
        <w:pict>
          <v:group style="position:absolute;margin-left:70.079987pt;margin-top:89.900009pt;width:697.55pt;height:423.35pt;mso-position-horizontal-relative:page;mso-position-vertical-relative:page;z-index:-943696" coordorigin="1402,1798" coordsize="13951,8467">
            <v:group style="position:absolute;left:13819;top:1858;width:1524;height:2334" coordorigin="13819,1858" coordsize="1524,2334">
              <v:shape style="position:absolute;left:13819;top:1858;width:1524;height:2334" coordorigin="13819,1858" coordsize="1524,2334" path="m13819,4191l15343,4191,15343,1858,13819,1858,13819,4191xe" filled="true" fillcolor="#ffffff" stroked="false">
                <v:path arrowok="t"/>
                <v:fill type="solid"/>
              </v:shape>
            </v:group>
            <v:group style="position:absolute;left:1411;top:1808;width:608;height:2" coordorigin="1411,1808" coordsize="608,2">
              <v:shape style="position:absolute;left:1411;top:1808;width:608;height:2" coordorigin="1411,1808" coordsize="608,0" path="m1411,1808l2019,1808e" filled="false" stroked="true" strokeweight=".96pt" strokecolor="#41b7ee">
                <v:path arrowok="t"/>
              </v:shape>
            </v:group>
            <v:group style="position:absolute;left:1411;top:1846;width:608;height:2" coordorigin="1411,1846" coordsize="608,2">
              <v:shape style="position:absolute;left:1411;top:1846;width:608;height:2" coordorigin="1411,1846" coordsize="608,0" path="m1411,1846l2019,1846e" filled="false" stroked="true" strokeweight=".96001pt" strokecolor="#41b7ee">
                <v:path arrowok="t"/>
              </v:shape>
            </v:group>
            <v:group style="position:absolute;left:2019;top:1808;width:58;height:2" coordorigin="2019,1808" coordsize="58,2">
              <v:shape style="position:absolute;left:2019;top:1808;width:58;height:2" coordorigin="2019,1808" coordsize="58,0" path="m2019,1808l2076,1808e" filled="false" stroked="true" strokeweight=".96pt" strokecolor="#41b7ee">
                <v:path arrowok="t"/>
              </v:shape>
            </v:group>
            <v:group style="position:absolute;left:2019;top:1846;width:58;height:2" coordorigin="2019,1846" coordsize="58,2">
              <v:shape style="position:absolute;left:2019;top:1846;width:58;height:2" coordorigin="2019,1846" coordsize="58,0" path="m2019,1846l2076,1846e" filled="false" stroked="true" strokeweight=".96001pt" strokecolor="#41b7ee">
                <v:path arrowok="t"/>
              </v:shape>
            </v:group>
            <v:group style="position:absolute;left:2076;top:1808;width:588;height:2" coordorigin="2076,1808" coordsize="588,2">
              <v:shape style="position:absolute;left:2076;top:1808;width:588;height:2" coordorigin="2076,1808" coordsize="588,0" path="m2076,1808l2664,1808e" filled="false" stroked="true" strokeweight=".96pt" strokecolor="#41b7ee">
                <v:path arrowok="t"/>
              </v:shape>
            </v:group>
            <v:group style="position:absolute;left:2076;top:1846;width:588;height:2" coordorigin="2076,1846" coordsize="588,2">
              <v:shape style="position:absolute;left:2076;top:1846;width:588;height:2" coordorigin="2076,1846" coordsize="588,0" path="m2076,1846l2664,1846e" filled="false" stroked="true" strokeweight=".96001pt" strokecolor="#41b7ee">
                <v:path arrowok="t"/>
              </v:shape>
            </v:group>
            <v:group style="position:absolute;left:2664;top:1808;width:58;height:2" coordorigin="2664,1808" coordsize="58,2">
              <v:shape style="position:absolute;left:2664;top:1808;width:58;height:2" coordorigin="2664,1808" coordsize="58,0" path="m2664,1808l2722,1808e" filled="false" stroked="true" strokeweight=".96pt" strokecolor="#41b7ee">
                <v:path arrowok="t"/>
              </v:shape>
            </v:group>
            <v:group style="position:absolute;left:2664;top:1846;width:58;height:2" coordorigin="2664,1846" coordsize="58,2">
              <v:shape style="position:absolute;left:2664;top:1846;width:58;height:2" coordorigin="2664,1846" coordsize="58,0" path="m2664,1846l2722,1846e" filled="false" stroked="true" strokeweight=".96001pt" strokecolor="#41b7ee">
                <v:path arrowok="t"/>
              </v:shape>
            </v:group>
            <v:group style="position:absolute;left:2722;top:1808;width:737;height:2" coordorigin="2722,1808" coordsize="737,2">
              <v:shape style="position:absolute;left:2722;top:1808;width:737;height:2" coordorigin="2722,1808" coordsize="737,0" path="m2722,1808l3459,1808e" filled="false" stroked="true" strokeweight=".96pt" strokecolor="#41b7ee">
                <v:path arrowok="t"/>
              </v:shape>
            </v:group>
            <v:group style="position:absolute;left:2722;top:1846;width:737;height:2" coordorigin="2722,1846" coordsize="737,2">
              <v:shape style="position:absolute;left:2722;top:1846;width:737;height:2" coordorigin="2722,1846" coordsize="737,0" path="m2722,1846l3459,1846e" filled="false" stroked="true" strokeweight=".96001pt" strokecolor="#41b7ee">
                <v:path arrowok="t"/>
              </v:shape>
            </v:group>
            <v:group style="position:absolute;left:3459;top:1808;width:58;height:2" coordorigin="3459,1808" coordsize="58,2">
              <v:shape style="position:absolute;left:3459;top:1808;width:58;height:2" coordorigin="3459,1808" coordsize="58,0" path="m3459,1808l3516,1808e" filled="false" stroked="true" strokeweight=".96pt" strokecolor="#41b7ee">
                <v:path arrowok="t"/>
              </v:shape>
            </v:group>
            <v:group style="position:absolute;left:3459;top:1846;width:58;height:2" coordorigin="3459,1846" coordsize="58,2">
              <v:shape style="position:absolute;left:3459;top:1846;width:58;height:2" coordorigin="3459,1846" coordsize="58,0" path="m3459,1846l3516,1846e" filled="false" stroked="true" strokeweight=".96001pt" strokecolor="#41b7ee">
                <v:path arrowok="t"/>
              </v:shape>
            </v:group>
            <v:group style="position:absolute;left:3516;top:1808;width:543;height:2" coordorigin="3516,1808" coordsize="543,2">
              <v:shape style="position:absolute;left:3516;top:1808;width:543;height:2" coordorigin="3516,1808" coordsize="543,0" path="m3516,1808l4059,1808e" filled="false" stroked="true" strokeweight=".96pt" strokecolor="#41b7ee">
                <v:path arrowok="t"/>
              </v:shape>
            </v:group>
            <v:group style="position:absolute;left:3516;top:1846;width:543;height:2" coordorigin="3516,1846" coordsize="543,2">
              <v:shape style="position:absolute;left:3516;top:1846;width:543;height:2" coordorigin="3516,1846" coordsize="543,0" path="m3516,1846l4059,1846e" filled="false" stroked="true" strokeweight=".96001pt" strokecolor="#41b7ee">
                <v:path arrowok="t"/>
              </v:shape>
            </v:group>
            <v:group style="position:absolute;left:4059;top:1808;width:58;height:2" coordorigin="4059,1808" coordsize="58,2">
              <v:shape style="position:absolute;left:4059;top:1808;width:58;height:2" coordorigin="4059,1808" coordsize="58,0" path="m4059,1808l4116,1808e" filled="false" stroked="true" strokeweight=".96pt" strokecolor="#41b7ee">
                <v:path arrowok="t"/>
              </v:shape>
            </v:group>
            <v:group style="position:absolute;left:4059;top:1846;width:58;height:2" coordorigin="4059,1846" coordsize="58,2">
              <v:shape style="position:absolute;left:4059;top:1846;width:58;height:2" coordorigin="4059,1846" coordsize="58,0" path="m4059,1846l4116,1846e" filled="false" stroked="true" strokeweight=".96001pt" strokecolor="#41b7ee">
                <v:path arrowok="t"/>
              </v:shape>
            </v:group>
            <v:group style="position:absolute;left:4116;top:1808;width:2216;height:2" coordorigin="4116,1808" coordsize="2216,2">
              <v:shape style="position:absolute;left:4116;top:1808;width:2216;height:2" coordorigin="4116,1808" coordsize="2216,0" path="m4116,1808l6332,1808e" filled="false" stroked="true" strokeweight=".96pt" strokecolor="#41b7ee">
                <v:path arrowok="t"/>
              </v:shape>
            </v:group>
            <v:group style="position:absolute;left:4116;top:1846;width:2216;height:2" coordorigin="4116,1846" coordsize="2216,2">
              <v:shape style="position:absolute;left:4116;top:1846;width:2216;height:2" coordorigin="4116,1846" coordsize="2216,0" path="m4116,1846l6332,1846e" filled="false" stroked="true" strokeweight=".96001pt" strokecolor="#41b7ee">
                <v:path arrowok="t"/>
              </v:shape>
            </v:group>
            <v:group style="position:absolute;left:6332;top:1808;width:58;height:2" coordorigin="6332,1808" coordsize="58,2">
              <v:shape style="position:absolute;left:6332;top:1808;width:58;height:2" coordorigin="6332,1808" coordsize="58,0" path="m6332,1808l6390,1808e" filled="false" stroked="true" strokeweight=".96pt" strokecolor="#41b7ee">
                <v:path arrowok="t"/>
              </v:shape>
            </v:group>
            <v:group style="position:absolute;left:6332;top:1846;width:58;height:2" coordorigin="6332,1846" coordsize="58,2">
              <v:shape style="position:absolute;left:6332;top:1846;width:58;height:2" coordorigin="6332,1846" coordsize="58,0" path="m6332,1846l6390,1846e" filled="false" stroked="true" strokeweight=".96001pt" strokecolor="#41b7ee">
                <v:path arrowok="t"/>
              </v:shape>
            </v:group>
            <v:group style="position:absolute;left:6390;top:1808;width:1301;height:2" coordorigin="6390,1808" coordsize="1301,2">
              <v:shape style="position:absolute;left:6390;top:1808;width:1301;height:2" coordorigin="6390,1808" coordsize="1301,0" path="m6390,1808l7691,1808e" filled="false" stroked="true" strokeweight=".96pt" strokecolor="#41b7ee">
                <v:path arrowok="t"/>
              </v:shape>
            </v:group>
            <v:group style="position:absolute;left:6390;top:1846;width:1301;height:2" coordorigin="6390,1846" coordsize="1301,2">
              <v:shape style="position:absolute;left:6390;top:1846;width:1301;height:2" coordorigin="6390,1846" coordsize="1301,0" path="m6390,1846l7691,1846e" filled="false" stroked="true" strokeweight=".96001pt" strokecolor="#41b7ee">
                <v:path arrowok="t"/>
              </v:shape>
            </v:group>
            <v:group style="position:absolute;left:7691;top:1808;width:58;height:2" coordorigin="7691,1808" coordsize="58,2">
              <v:shape style="position:absolute;left:7691;top:1808;width:58;height:2" coordorigin="7691,1808" coordsize="58,0" path="m7691,1808l7748,1808e" filled="false" stroked="true" strokeweight=".96pt" strokecolor="#41b7ee">
                <v:path arrowok="t"/>
              </v:shape>
            </v:group>
            <v:group style="position:absolute;left:7691;top:1846;width:58;height:2" coordorigin="7691,1846" coordsize="58,2">
              <v:shape style="position:absolute;left:7691;top:1846;width:58;height:2" coordorigin="7691,1846" coordsize="58,0" path="m7691,1846l7748,1846e" filled="false" stroked="true" strokeweight=".96001pt" strokecolor="#41b7ee">
                <v:path arrowok="t"/>
              </v:shape>
            </v:group>
            <v:group style="position:absolute;left:7748;top:1808;width:780;height:2" coordorigin="7748,1808" coordsize="780,2">
              <v:shape style="position:absolute;left:7748;top:1808;width:780;height:2" coordorigin="7748,1808" coordsize="780,0" path="m7748,1808l8528,1808e" filled="false" stroked="true" strokeweight=".96pt" strokecolor="#41b7ee">
                <v:path arrowok="t"/>
              </v:shape>
            </v:group>
            <v:group style="position:absolute;left:7748;top:1846;width:780;height:2" coordorigin="7748,1846" coordsize="780,2">
              <v:shape style="position:absolute;left:7748;top:1846;width:780;height:2" coordorigin="7748,1846" coordsize="780,0" path="m7748,1846l8528,1846e" filled="false" stroked="true" strokeweight=".96001pt" strokecolor="#41b7ee">
                <v:path arrowok="t"/>
              </v:shape>
            </v:group>
            <v:group style="position:absolute;left:8528;top:1808;width:58;height:2" coordorigin="8528,1808" coordsize="58,2">
              <v:shape style="position:absolute;left:8528;top:1808;width:58;height:2" coordorigin="8528,1808" coordsize="58,0" path="m8528,1808l8586,1808e" filled="false" stroked="true" strokeweight=".96pt" strokecolor="#41b7ee">
                <v:path arrowok="t"/>
              </v:shape>
            </v:group>
            <v:group style="position:absolute;left:8528;top:1846;width:58;height:2" coordorigin="8528,1846" coordsize="58,2">
              <v:shape style="position:absolute;left:8528;top:1846;width:58;height:2" coordorigin="8528,1846" coordsize="58,0" path="m8528,1846l8586,1846e" filled="false" stroked="true" strokeweight=".96001pt" strokecolor="#41b7ee">
                <v:path arrowok="t"/>
              </v:shape>
            </v:group>
            <v:group style="position:absolute;left:8586;top:1808;width:2365;height:2" coordorigin="8586,1808" coordsize="2365,2">
              <v:shape style="position:absolute;left:8586;top:1808;width:2365;height:2" coordorigin="8586,1808" coordsize="2365,0" path="m8586,1808l10950,1808e" filled="false" stroked="true" strokeweight=".96pt" strokecolor="#41b7ee">
                <v:path arrowok="t"/>
              </v:shape>
            </v:group>
            <v:group style="position:absolute;left:8586;top:1846;width:2365;height:2" coordorigin="8586,1846" coordsize="2365,2">
              <v:shape style="position:absolute;left:8586;top:1846;width:2365;height:2" coordorigin="8586,1846" coordsize="2365,0" path="m8586,1846l10950,1846e" filled="false" stroked="true" strokeweight=".96001pt" strokecolor="#41b7ee">
                <v:path arrowok="t"/>
              </v:shape>
            </v:group>
            <v:group style="position:absolute;left:10950;top:1808;width:58;height:2" coordorigin="10950,1808" coordsize="58,2">
              <v:shape style="position:absolute;left:10950;top:1808;width:58;height:2" coordorigin="10950,1808" coordsize="58,0" path="m10950,1808l11008,1808e" filled="false" stroked="true" strokeweight=".96pt" strokecolor="#41b7ee">
                <v:path arrowok="t"/>
              </v:shape>
            </v:group>
            <v:group style="position:absolute;left:10950;top:1846;width:58;height:2" coordorigin="10950,1846" coordsize="58,2">
              <v:shape style="position:absolute;left:10950;top:1846;width:58;height:2" coordorigin="10950,1846" coordsize="58,0" path="m10950,1846l11008,1846e" filled="false" stroked="true" strokeweight=".96001pt" strokecolor="#41b7ee">
                <v:path arrowok="t"/>
              </v:shape>
            </v:group>
            <v:group style="position:absolute;left:11008;top:1808;width:2802;height:2" coordorigin="11008,1808" coordsize="2802,2">
              <v:shape style="position:absolute;left:11008;top:1808;width:2802;height:2" coordorigin="11008,1808" coordsize="2802,0" path="m11008,1808l13809,1808e" filled="false" stroked="true" strokeweight=".96pt" strokecolor="#41b7ee">
                <v:path arrowok="t"/>
              </v:shape>
            </v:group>
            <v:group style="position:absolute;left:11008;top:1846;width:2802;height:2" coordorigin="11008,1846" coordsize="2802,2">
              <v:shape style="position:absolute;left:11008;top:1846;width:2802;height:2" coordorigin="11008,1846" coordsize="2802,0" path="m11008,1846l13809,1846e" filled="false" stroked="true" strokeweight=".96001pt" strokecolor="#41b7ee">
                <v:path arrowok="t"/>
              </v:shape>
            </v:group>
            <v:group style="position:absolute;left:13809;top:1808;width:58;height:2" coordorigin="13809,1808" coordsize="58,2">
              <v:shape style="position:absolute;left:13809;top:1808;width:58;height:2" coordorigin="13809,1808" coordsize="58,0" path="m13809,1808l13867,1808e" filled="false" stroked="true" strokeweight=".96pt" strokecolor="#41b7ee">
                <v:path arrowok="t"/>
              </v:shape>
            </v:group>
            <v:group style="position:absolute;left:13809;top:1846;width:58;height:2" coordorigin="13809,1846" coordsize="58,2">
              <v:shape style="position:absolute;left:13809;top:1846;width:58;height:2" coordorigin="13809,1846" coordsize="58,0" path="m13809,1846l13867,1846e" filled="false" stroked="true" strokeweight=".96001pt" strokecolor="#41b7ee">
                <v:path arrowok="t"/>
              </v:shape>
            </v:group>
            <v:group style="position:absolute;left:13867;top:1808;width:1476;height:2" coordorigin="13867,1808" coordsize="1476,2">
              <v:shape style="position:absolute;left:13867;top:1808;width:1476;height:2" coordorigin="13867,1808" coordsize="1476,0" path="m13867,1808l15343,1808e" filled="false" stroked="true" strokeweight=".96pt" strokecolor="#41b7ee">
                <v:path arrowok="t"/>
              </v:shape>
            </v:group>
            <v:group style="position:absolute;left:13867;top:1846;width:1476;height:2" coordorigin="13867,1846" coordsize="1476,2">
              <v:shape style="position:absolute;left:13867;top:1846;width:1476;height:2" coordorigin="13867,1846" coordsize="1476,0" path="m13867,1846l15343,1846e" filled="false" stroked="true" strokeweight=".96001pt" strokecolor="#41b7ee">
                <v:path arrowok="t"/>
              </v:shape>
            </v:group>
            <v:group style="position:absolute;left:6342;top:4203;width:1349;height:982" coordorigin="6342,4203" coordsize="1349,982">
              <v:shape style="position:absolute;left:6342;top:4203;width:1349;height:982" coordorigin="6342,4203" coordsize="1349,982" path="m6342,5185l7691,5185,7691,4203,6342,4203,6342,5185xe" filled="true" fillcolor="#ffffff" stroked="false">
                <v:path arrowok="t"/>
                <v:fill type="solid"/>
              </v:shape>
            </v:group>
            <v:group style="position:absolute;left:1411;top:4196;width:608;height:2" coordorigin="1411,4196" coordsize="608,2">
              <v:shape style="position:absolute;left:1411;top:4196;width:608;height:2" coordorigin="1411,4196" coordsize="608,0" path="m1411,4196l2019,4196e" filled="false" stroked="true" strokeweight=".48pt" strokecolor="#41b7ee">
                <v:path arrowok="t"/>
              </v:shape>
            </v:group>
            <v:group style="position:absolute;left:2028;top:4196;width:636;height:2" coordorigin="2028,4196" coordsize="636,2">
              <v:shape style="position:absolute;left:2028;top:4196;width:636;height:2" coordorigin="2028,4196" coordsize="636,0" path="m2028,4196l2664,4196e" filled="false" stroked="true" strokeweight=".48pt" strokecolor="#41b7ee">
                <v:path arrowok="t"/>
              </v:shape>
            </v:group>
            <v:group style="position:absolute;left:2674;top:4196;width:785;height:2" coordorigin="2674,4196" coordsize="785,2">
              <v:shape style="position:absolute;left:2674;top:4196;width:785;height:2" coordorigin="2674,4196" coordsize="785,0" path="m2674,4196l3459,4196e" filled="false" stroked="true" strokeweight=".48pt" strokecolor="#41b7ee">
                <v:path arrowok="t"/>
              </v:shape>
            </v:group>
            <v:group style="position:absolute;left:3468;top:4196;width:591;height:2" coordorigin="3468,4196" coordsize="591,2">
              <v:shape style="position:absolute;left:3468;top:4196;width:591;height:2" coordorigin="3468,4196" coordsize="591,0" path="m3468,4196l4059,4196e" filled="false" stroked="true" strokeweight=".48pt" strokecolor="#41b7ee">
                <v:path arrowok="t"/>
              </v:shape>
            </v:group>
            <v:group style="position:absolute;left:4068;top:4196;width:2264;height:2" coordorigin="4068,4196" coordsize="2264,2">
              <v:shape style="position:absolute;left:4068;top:4196;width:2264;height:2" coordorigin="4068,4196" coordsize="2264,0" path="m4068,4196l6332,4196e" filled="false" stroked="true" strokeweight=".48pt" strokecolor="#41b7ee">
                <v:path arrowok="t"/>
              </v:shape>
            </v:group>
            <v:group style="position:absolute;left:6342;top:4196;width:1349;height:2" coordorigin="6342,4196" coordsize="1349,2">
              <v:shape style="position:absolute;left:6342;top:4196;width:1349;height:2" coordorigin="6342,4196" coordsize="1349,0" path="m6342,4196l7691,4196e" filled="false" stroked="true" strokeweight=".48pt" strokecolor="#41b7ee">
                <v:path arrowok="t"/>
              </v:shape>
            </v:group>
            <v:group style="position:absolute;left:7700;top:4196;width:828;height:2" coordorigin="7700,4196" coordsize="828,2">
              <v:shape style="position:absolute;left:7700;top:4196;width:828;height:2" coordorigin="7700,4196" coordsize="828,0" path="m7700,4196l8528,4196e" filled="false" stroked="true" strokeweight=".48pt" strokecolor="#41b7ee">
                <v:path arrowok="t"/>
              </v:shape>
            </v:group>
            <v:group style="position:absolute;left:8538;top:4196;width:2413;height:2" coordorigin="8538,4196" coordsize="2413,2">
              <v:shape style="position:absolute;left:8538;top:4196;width:2413;height:2" coordorigin="8538,4196" coordsize="2413,0" path="m8538,4196l10950,4196e" filled="false" stroked="true" strokeweight=".48pt" strokecolor="#41b7ee">
                <v:path arrowok="t"/>
              </v:shape>
            </v:group>
            <v:group style="position:absolute;left:10960;top:4196;width:2850;height:2" coordorigin="10960,4196" coordsize="2850,2">
              <v:shape style="position:absolute;left:10960;top:4196;width:2850;height:2" coordorigin="10960,4196" coordsize="2850,0" path="m10960,4196l13809,4196e" filled="false" stroked="true" strokeweight=".48pt" strokecolor="#41b7ee">
                <v:path arrowok="t"/>
              </v:shape>
            </v:group>
            <v:group style="position:absolute;left:13819;top:4196;width:1524;height:2" coordorigin="13819,4196" coordsize="1524,2">
              <v:shape style="position:absolute;left:13819;top:4196;width:1524;height:2" coordorigin="13819,4196" coordsize="1524,0" path="m13819,4196l15343,4196e" filled="false" stroked="true" strokeweight=".48pt" strokecolor="#41b7ee">
                <v:path arrowok="t"/>
              </v:shape>
            </v:group>
            <v:group style="position:absolute;left:6342;top:6351;width:1349;height:1861" coordorigin="6342,6351" coordsize="1349,1861">
              <v:shape style="position:absolute;left:6342;top:6351;width:1349;height:1861" coordorigin="6342,6351" coordsize="1349,1861" path="m6342,8212l7691,8212,7691,6351,6342,6351,6342,8212xe" filled="true" fillcolor="#ffffff" stroked="false">
                <v:path arrowok="t"/>
                <v:fill type="solid"/>
              </v:shape>
            </v:group>
            <v:group style="position:absolute;left:6353;top:8212;width:2;height:173" coordorigin="6353,8212" coordsize="2,173">
              <v:shape style="position:absolute;left:6353;top:8212;width:2;height:173" coordorigin="6353,8212" coordsize="0,173" path="m6353,8212l6353,8385e" filled="false" stroked="true" strokeweight="1.08pt" strokecolor="#ffffff">
                <v:path arrowok="t"/>
              </v:shape>
            </v:group>
            <v:group style="position:absolute;left:1411;top:6347;width:608;height:2" coordorigin="1411,6347" coordsize="608,2">
              <v:shape style="position:absolute;left:1411;top:6347;width:608;height:2" coordorigin="1411,6347" coordsize="608,0" path="m1411,6347l2019,6347e" filled="false" stroked="true" strokeweight=".47998pt" strokecolor="#41b7ee">
                <v:path arrowok="t"/>
              </v:shape>
            </v:group>
            <v:group style="position:absolute;left:2028;top:6347;width:636;height:2" coordorigin="2028,6347" coordsize="636,2">
              <v:shape style="position:absolute;left:2028;top:6347;width:636;height:2" coordorigin="2028,6347" coordsize="636,0" path="m2028,6347l2664,6347e" filled="false" stroked="true" strokeweight=".47998pt" strokecolor="#41b7ee">
                <v:path arrowok="t"/>
              </v:shape>
            </v:group>
            <v:group style="position:absolute;left:2674;top:6347;width:785;height:2" coordorigin="2674,6347" coordsize="785,2">
              <v:shape style="position:absolute;left:2674;top:6347;width:785;height:2" coordorigin="2674,6347" coordsize="785,0" path="m2674,6347l3459,6347e" filled="false" stroked="true" strokeweight=".47998pt" strokecolor="#41b7ee">
                <v:path arrowok="t"/>
              </v:shape>
            </v:group>
            <v:group style="position:absolute;left:3468;top:6347;width:591;height:2" coordorigin="3468,6347" coordsize="591,2">
              <v:shape style="position:absolute;left:3468;top:6347;width:591;height:2" coordorigin="3468,6347" coordsize="591,0" path="m3468,6347l4059,6347e" filled="false" stroked="true" strokeweight=".47998pt" strokecolor="#41b7ee">
                <v:path arrowok="t"/>
              </v:shape>
            </v:group>
            <v:group style="position:absolute;left:4068;top:6347;width:2264;height:2" coordorigin="4068,6347" coordsize="2264,2">
              <v:shape style="position:absolute;left:4068;top:6347;width:2264;height:2" coordorigin="4068,6347" coordsize="2264,0" path="m4068,6347l6332,6347e" filled="false" stroked="true" strokeweight=".47998pt" strokecolor="#41b7ee">
                <v:path arrowok="t"/>
              </v:shape>
            </v:group>
            <v:group style="position:absolute;left:6342;top:6347;width:1349;height:2" coordorigin="6342,6347" coordsize="1349,2">
              <v:shape style="position:absolute;left:6342;top:6347;width:1349;height:2" coordorigin="6342,6347" coordsize="1349,0" path="m6342,6347l7691,6347e" filled="false" stroked="true" strokeweight=".47998pt" strokecolor="#41b7ee">
                <v:path arrowok="t"/>
              </v:shape>
            </v:group>
            <v:group style="position:absolute;left:7700;top:6347;width:828;height:2" coordorigin="7700,6347" coordsize="828,2">
              <v:shape style="position:absolute;left:7700;top:6347;width:828;height:2" coordorigin="7700,6347" coordsize="828,0" path="m7700,6347l8528,6347e" filled="false" stroked="true" strokeweight=".47998pt" strokecolor="#41b7ee">
                <v:path arrowok="t"/>
              </v:shape>
            </v:group>
            <v:group style="position:absolute;left:8538;top:6347;width:2413;height:2" coordorigin="8538,6347" coordsize="2413,2">
              <v:shape style="position:absolute;left:8538;top:6347;width:2413;height:2" coordorigin="8538,6347" coordsize="2413,0" path="m8538,6347l10950,6347e" filled="false" stroked="true" strokeweight=".47998pt" strokecolor="#41b7ee">
                <v:path arrowok="t"/>
              </v:shape>
            </v:group>
            <v:group style="position:absolute;left:10960;top:6347;width:2850;height:2" coordorigin="10960,6347" coordsize="2850,2">
              <v:shape style="position:absolute;left:10960;top:6347;width:2850;height:2" coordorigin="10960,6347" coordsize="2850,0" path="m10960,6347l13809,6347e" filled="false" stroked="true" strokeweight=".47998pt" strokecolor="#41b7ee">
                <v:path arrowok="t"/>
              </v:shape>
            </v:group>
            <v:group style="position:absolute;left:13819;top:6347;width:1524;height:2" coordorigin="13819,6347" coordsize="1524,2">
              <v:shape style="position:absolute;left:13819;top:6347;width:1524;height:2" coordorigin="13819,6347" coordsize="1524,0" path="m13819,6347l15343,6347e" filled="false" stroked="true" strokeweight=".47998pt" strokecolor="#41b7ee">
                <v:path arrowok="t"/>
              </v:shape>
            </v:group>
            <v:group style="position:absolute;left:1411;top:10255;width:608;height:2" coordorigin="1411,10255" coordsize="608,2">
              <v:shape style="position:absolute;left:1411;top:10255;width:608;height:2" coordorigin="1411,10255" coordsize="608,0" path="m1411,10255l2019,10255e" filled="false" stroked="true" strokeweight=".96002pt" strokecolor="#41b7ee">
                <v:path arrowok="t"/>
              </v:shape>
            </v:group>
            <v:group style="position:absolute;left:2024;top:1856;width:2;height:8390" coordorigin="2024,1856" coordsize="2,8390">
              <v:shape style="position:absolute;left:2024;top:1856;width:2;height:8390" coordorigin="2024,1856" coordsize="0,8390" path="m2024,1856l2024,10245e" filled="false" stroked="true" strokeweight=".48pt" strokecolor="#41b7ee">
                <v:path arrowok="t"/>
              </v:shape>
            </v:group>
            <v:group style="position:absolute;left:2019;top:10255;width:58;height:2" coordorigin="2019,10255" coordsize="58,2">
              <v:shape style="position:absolute;left:2019;top:10255;width:58;height:2" coordorigin="2019,10255" coordsize="58,0" path="m2019,10255l2076,10255e" filled="false" stroked="true" strokeweight=".96002pt" strokecolor="#41b7ee">
                <v:path arrowok="t"/>
              </v:shape>
            </v:group>
            <v:group style="position:absolute;left:2076;top:10255;width:588;height:2" coordorigin="2076,10255" coordsize="588,2">
              <v:shape style="position:absolute;left:2076;top:10255;width:588;height:2" coordorigin="2076,10255" coordsize="588,0" path="m2076,10255l2664,10255e" filled="false" stroked="true" strokeweight=".96002pt" strokecolor="#41b7ee">
                <v:path arrowok="t"/>
              </v:shape>
            </v:group>
            <v:group style="position:absolute;left:2669;top:1856;width:2;height:8390" coordorigin="2669,1856" coordsize="2,8390">
              <v:shape style="position:absolute;left:2669;top:1856;width:2;height:8390" coordorigin="2669,1856" coordsize="0,8390" path="m2669,1856l2669,10245e" filled="false" stroked="true" strokeweight=".48pt" strokecolor="#41b7ee">
                <v:path arrowok="t"/>
              </v:shape>
            </v:group>
            <v:group style="position:absolute;left:2664;top:10255;width:58;height:2" coordorigin="2664,10255" coordsize="58,2">
              <v:shape style="position:absolute;left:2664;top:10255;width:58;height:2" coordorigin="2664,10255" coordsize="58,0" path="m2664,10255l2722,10255e" filled="false" stroked="true" strokeweight=".96002pt" strokecolor="#41b7ee">
                <v:path arrowok="t"/>
              </v:shape>
            </v:group>
            <v:group style="position:absolute;left:2722;top:10255;width:737;height:2" coordorigin="2722,10255" coordsize="737,2">
              <v:shape style="position:absolute;left:2722;top:10255;width:737;height:2" coordorigin="2722,10255" coordsize="737,0" path="m2722,10255l3459,10255e" filled="false" stroked="true" strokeweight=".96002pt" strokecolor="#41b7ee">
                <v:path arrowok="t"/>
              </v:shape>
            </v:group>
            <v:group style="position:absolute;left:3464;top:1856;width:2;height:8390" coordorigin="3464,1856" coordsize="2,8390">
              <v:shape style="position:absolute;left:3464;top:1856;width:2;height:8390" coordorigin="3464,1856" coordsize="0,8390" path="m3464,1856l3464,10245e" filled="false" stroked="true" strokeweight=".48pt" strokecolor="#41b7ee">
                <v:path arrowok="t"/>
              </v:shape>
            </v:group>
            <v:group style="position:absolute;left:3459;top:10255;width:58;height:2" coordorigin="3459,10255" coordsize="58,2">
              <v:shape style="position:absolute;left:3459;top:10255;width:58;height:2" coordorigin="3459,10255" coordsize="58,0" path="m3459,10255l3516,10255e" filled="false" stroked="true" strokeweight=".96002pt" strokecolor="#41b7ee">
                <v:path arrowok="t"/>
              </v:shape>
            </v:group>
            <v:group style="position:absolute;left:3516;top:10255;width:543;height:2" coordorigin="3516,10255" coordsize="543,2">
              <v:shape style="position:absolute;left:3516;top:10255;width:543;height:2" coordorigin="3516,10255" coordsize="543,0" path="m3516,10255l4059,10255e" filled="false" stroked="true" strokeweight=".96002pt" strokecolor="#41b7ee">
                <v:path arrowok="t"/>
              </v:shape>
            </v:group>
            <v:group style="position:absolute;left:4064;top:1856;width:2;height:8390" coordorigin="4064,1856" coordsize="2,8390">
              <v:shape style="position:absolute;left:4064;top:1856;width:2;height:8390" coordorigin="4064,1856" coordsize="0,8390" path="m4064,1856l4064,10245e" filled="false" stroked="true" strokeweight=".48pt" strokecolor="#41b7ee">
                <v:path arrowok="t"/>
              </v:shape>
            </v:group>
            <v:group style="position:absolute;left:4059;top:10255;width:58;height:2" coordorigin="4059,10255" coordsize="58,2">
              <v:shape style="position:absolute;left:4059;top:10255;width:58;height:2" coordorigin="4059,10255" coordsize="58,0" path="m4059,10255l4116,10255e" filled="false" stroked="true" strokeweight=".96002pt" strokecolor="#41b7ee">
                <v:path arrowok="t"/>
              </v:shape>
            </v:group>
            <v:group style="position:absolute;left:4116;top:10255;width:2216;height:2" coordorigin="4116,10255" coordsize="2216,2">
              <v:shape style="position:absolute;left:4116;top:10255;width:2216;height:2" coordorigin="4116,10255" coordsize="2216,0" path="m4116,10255l6332,10255e" filled="false" stroked="true" strokeweight=".96002pt" strokecolor="#41b7ee">
                <v:path arrowok="t"/>
              </v:shape>
            </v:group>
            <v:group style="position:absolute;left:6337;top:1856;width:2;height:8390" coordorigin="6337,1856" coordsize="2,8390">
              <v:shape style="position:absolute;left:6337;top:1856;width:2;height:8390" coordorigin="6337,1856" coordsize="0,8390" path="m6337,1856l6337,10245e" filled="false" stroked="true" strokeweight=".48001pt" strokecolor="#41b7ee">
                <v:path arrowok="t"/>
              </v:shape>
            </v:group>
            <v:group style="position:absolute;left:6332;top:10255;width:58;height:2" coordorigin="6332,10255" coordsize="58,2">
              <v:shape style="position:absolute;left:6332;top:10255;width:58;height:2" coordorigin="6332,10255" coordsize="58,0" path="m6332,10255l6390,10255e" filled="false" stroked="true" strokeweight=".96002pt" strokecolor="#41b7ee">
                <v:path arrowok="t"/>
              </v:shape>
            </v:group>
            <v:group style="position:absolute;left:6390;top:10255;width:1301;height:2" coordorigin="6390,10255" coordsize="1301,2">
              <v:shape style="position:absolute;left:6390;top:10255;width:1301;height:2" coordorigin="6390,10255" coordsize="1301,0" path="m6390,10255l7691,10255e" filled="false" stroked="true" strokeweight=".96002pt" strokecolor="#41b7ee">
                <v:path arrowok="t"/>
              </v:shape>
            </v:group>
            <v:group style="position:absolute;left:7695;top:1856;width:2;height:8390" coordorigin="7695,1856" coordsize="2,8390">
              <v:shape style="position:absolute;left:7695;top:1856;width:2;height:8390" coordorigin="7695,1856" coordsize="0,8390" path="m7695,1856l7695,10245e" filled="false" stroked="true" strokeweight=".47998pt" strokecolor="#41b7ee">
                <v:path arrowok="t"/>
              </v:shape>
            </v:group>
            <v:group style="position:absolute;left:7691;top:10255;width:58;height:2" coordorigin="7691,10255" coordsize="58,2">
              <v:shape style="position:absolute;left:7691;top:10255;width:58;height:2" coordorigin="7691,10255" coordsize="58,0" path="m7691,10255l7748,10255e" filled="false" stroked="true" strokeweight=".96002pt" strokecolor="#41b7ee">
                <v:path arrowok="t"/>
              </v:shape>
            </v:group>
            <v:group style="position:absolute;left:7748;top:10255;width:780;height:2" coordorigin="7748,10255" coordsize="780,2">
              <v:shape style="position:absolute;left:7748;top:10255;width:780;height:2" coordorigin="7748,10255" coordsize="780,0" path="m7748,10255l8528,10255e" filled="false" stroked="true" strokeweight=".96002pt" strokecolor="#41b7ee">
                <v:path arrowok="t"/>
              </v:shape>
            </v:group>
            <v:group style="position:absolute;left:8533;top:1856;width:2;height:8390" coordorigin="8533,1856" coordsize="2,8390">
              <v:shape style="position:absolute;left:8533;top:1856;width:2;height:8390" coordorigin="8533,1856" coordsize="0,8390" path="m8533,1856l8533,10245e" filled="false" stroked="true" strokeweight=".48001pt" strokecolor="#41b7ee">
                <v:path arrowok="t"/>
              </v:shape>
            </v:group>
            <v:group style="position:absolute;left:8528;top:10255;width:58;height:2" coordorigin="8528,10255" coordsize="58,2">
              <v:shape style="position:absolute;left:8528;top:10255;width:58;height:2" coordorigin="8528,10255" coordsize="58,0" path="m8528,10255l8586,10255e" filled="false" stroked="true" strokeweight=".96002pt" strokecolor="#41b7ee">
                <v:path arrowok="t"/>
              </v:shape>
            </v:group>
            <v:group style="position:absolute;left:8586;top:10255;width:2365;height:2" coordorigin="8586,10255" coordsize="2365,2">
              <v:shape style="position:absolute;left:8586;top:10255;width:2365;height:2" coordorigin="8586,10255" coordsize="2365,0" path="m8586,10255l10950,10255e" filled="false" stroked="true" strokeweight=".96002pt" strokecolor="#41b7ee">
                <v:path arrowok="t"/>
              </v:shape>
            </v:group>
            <v:group style="position:absolute;left:10955;top:1856;width:2;height:8390" coordorigin="10955,1856" coordsize="2,8390">
              <v:shape style="position:absolute;left:10955;top:1856;width:2;height:8390" coordorigin="10955,1856" coordsize="0,8390" path="m10955,1856l10955,10245e" filled="false" stroked="true" strokeweight=".47998pt" strokecolor="#41b7ee">
                <v:path arrowok="t"/>
              </v:shape>
            </v:group>
            <v:group style="position:absolute;left:10950;top:10255;width:58;height:2" coordorigin="10950,10255" coordsize="58,2">
              <v:shape style="position:absolute;left:10950;top:10255;width:58;height:2" coordorigin="10950,10255" coordsize="58,0" path="m10950,10255l11008,10255e" filled="false" stroked="true" strokeweight=".96002pt" strokecolor="#41b7ee">
                <v:path arrowok="t"/>
              </v:shape>
            </v:group>
            <v:group style="position:absolute;left:13819;top:8385;width:1524;height:1859" coordorigin="13819,8385" coordsize="1524,1859">
              <v:shape style="position:absolute;left:13819;top:8385;width:1524;height:1859" coordorigin="13819,8385" coordsize="1524,1859" path="m13819,10243l15343,10243,15343,8385,13819,8385,13819,10243xe" filled="true" fillcolor="#ffffff" stroked="false">
                <v:path arrowok="t"/>
                <v:fill type="solid"/>
              </v:shape>
            </v:group>
            <v:group style="position:absolute;left:11008;top:10255;width:2802;height:2" coordorigin="11008,10255" coordsize="2802,2">
              <v:shape style="position:absolute;left:11008;top:10255;width:2802;height:2" coordorigin="11008,10255" coordsize="2802,0" path="m11008,10255l13809,10255e" filled="false" stroked="true" strokeweight=".96002pt" strokecolor="#41b7ee">
                <v:path arrowok="t"/>
              </v:shape>
            </v:group>
            <v:group style="position:absolute;left:13814;top:1856;width:2;height:8390" coordorigin="13814,1856" coordsize="2,8390">
              <v:shape style="position:absolute;left:13814;top:1856;width:2;height:8390" coordorigin="13814,1856" coordsize="0,8390" path="m13814,1856l13814,10245e" filled="false" stroked="true" strokeweight=".48004pt" strokecolor="#41b7ee">
                <v:path arrowok="t"/>
              </v:shape>
            </v:group>
            <v:group style="position:absolute;left:13809;top:10255;width:58;height:2" coordorigin="13809,10255" coordsize="58,2">
              <v:shape style="position:absolute;left:13809;top:10255;width:58;height:2" coordorigin="13809,10255" coordsize="58,0" path="m13809,10255l13867,10255e" filled="false" stroked="true" strokeweight=".96002pt" strokecolor="#41b7ee">
                <v:path arrowok="t"/>
              </v:shape>
            </v:group>
            <v:group style="position:absolute;left:13867;top:10255;width:1476;height:2" coordorigin="13867,10255" coordsize="1476,2">
              <v:shape style="position:absolute;left:13867;top:10255;width:1476;height:2" coordorigin="13867,10255" coordsize="1476,0" path="m13867,10255l15343,10255e" filled="false" stroked="true" strokeweight=".96002pt" strokecolor="#41b7ee">
                <v:path arrowok="t"/>
              </v:shape>
            </v:group>
            <w10:wrap type="none"/>
          </v:group>
        </w:pict>
      </w:r>
      <w:r>
        <w:rPr>
          <w:rFonts w:ascii="宋体" w:hAnsi="宋体" w:cs="宋体" w:eastAsia="宋体" w:hint="default"/>
          <w:sz w:val="15"/>
          <w:szCs w:val="15"/>
        </w:rPr>
        <w:t>道里区</w:t>
      </w:r>
      <w:r>
        <w:rPr>
          <w:rFonts w:ascii="宋体" w:hAnsi="宋体" w:cs="宋体" w:eastAsia="宋体" w:hint="default"/>
          <w:spacing w:val="-72"/>
          <w:sz w:val="15"/>
          <w:szCs w:val="15"/>
        </w:rPr>
        <w:t> </w:t>
      </w:r>
      <w:r>
        <w:rPr>
          <w:rFonts w:ascii="宋体" w:hAnsi="宋体" w:cs="宋体" w:eastAsia="宋体" w:hint="default"/>
          <w:sz w:val="15"/>
          <w:szCs w:val="15"/>
        </w:rPr>
        <w:t>人民政</w:t>
      </w:r>
      <w:r>
        <w:rPr>
          <w:rFonts w:ascii="宋体" w:hAnsi="宋体" w:cs="宋体" w:eastAsia="宋体" w:hint="default"/>
          <w:spacing w:val="-72"/>
          <w:sz w:val="15"/>
          <w:szCs w:val="15"/>
        </w:rPr>
        <w:t> </w:t>
      </w:r>
      <w:r>
        <w:rPr>
          <w:rFonts w:ascii="宋体" w:hAnsi="宋体" w:cs="宋体" w:eastAsia="宋体" w:hint="default"/>
          <w:sz w:val="15"/>
          <w:szCs w:val="15"/>
        </w:rPr>
        <w:t>府</w:t>
      </w:r>
    </w:p>
    <w:p>
      <w:pPr>
        <w:spacing w:before="5"/>
        <w:ind w:left="750" w:right="0" w:firstLine="0"/>
        <w:jc w:val="left"/>
        <w:rPr>
          <w:rFonts w:ascii="宋体" w:hAnsi="宋体" w:cs="宋体" w:eastAsia="宋体" w:hint="default"/>
          <w:sz w:val="15"/>
          <w:szCs w:val="15"/>
        </w:rPr>
      </w:pPr>
      <w:r>
        <w:rPr>
          <w:spacing w:val="-4"/>
        </w:rPr>
        <w:br w:type="column"/>
      </w:r>
      <w:r>
        <w:rPr>
          <w:rFonts w:ascii="宋体" w:hAnsi="宋体" w:cs="宋体" w:eastAsia="宋体" w:hint="default"/>
          <w:spacing w:val="-4"/>
          <w:sz w:val="15"/>
          <w:szCs w:val="15"/>
        </w:rPr>
        <w:t>的土地整理和竞标，乔仕公司参与</w:t>
      </w:r>
      <w:r>
        <w:rPr>
          <w:rFonts w:ascii="宋体" w:hAnsi="宋体" w:cs="宋体" w:eastAsia="宋体" w:hint="default"/>
          <w:spacing w:val="-50"/>
          <w:sz w:val="15"/>
          <w:szCs w:val="15"/>
        </w:rPr>
        <w:t> </w:t>
      </w:r>
      <w:r>
        <w:rPr>
          <w:rFonts w:ascii="宋体" w:hAnsi="宋体" w:cs="宋体" w:eastAsia="宋体" w:hint="default"/>
          <w:spacing w:val="-50"/>
          <w:sz w:val="15"/>
          <w:szCs w:val="15"/>
        </w:rPr>
      </w:r>
      <w:r>
        <w:rPr>
          <w:rFonts w:ascii="宋体" w:hAnsi="宋体" w:cs="宋体" w:eastAsia="宋体" w:hint="default"/>
          <w:spacing w:val="-2"/>
          <w:sz w:val="15"/>
          <w:szCs w:val="15"/>
        </w:rPr>
        <w:t>地块二的土地整理和竞标。同时，</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协议约定乔仕公司按道里区棚改</w:t>
      </w:r>
      <w:r>
        <w:rPr>
          <w:rFonts w:ascii="宋体" w:hAnsi="宋体" w:cs="宋体" w:eastAsia="宋体" w:hint="default"/>
          <w:w w:val="100"/>
          <w:sz w:val="15"/>
          <w:szCs w:val="15"/>
        </w:rPr>
        <w:t> </w:t>
      </w:r>
      <w:r>
        <w:rPr>
          <w:rFonts w:ascii="宋体" w:hAnsi="宋体" w:cs="宋体" w:eastAsia="宋体" w:hint="default"/>
          <w:sz w:val="15"/>
          <w:szCs w:val="15"/>
        </w:rPr>
        <w:t>办要求在棚改项目拆迁启动前交</w:t>
      </w:r>
      <w:r>
        <w:rPr>
          <w:rFonts w:ascii="宋体" w:hAnsi="宋体" w:cs="宋体" w:eastAsia="宋体" w:hint="default"/>
          <w:w w:val="100"/>
          <w:sz w:val="15"/>
          <w:szCs w:val="15"/>
        </w:rPr>
        <w:t> </w:t>
      </w:r>
      <w:r>
        <w:rPr>
          <w:rFonts w:ascii="宋体" w:hAnsi="宋体" w:cs="宋体" w:eastAsia="宋体" w:hint="default"/>
          <w:spacing w:val="-4"/>
          <w:sz w:val="15"/>
          <w:szCs w:val="15"/>
        </w:rPr>
        <w:t>纳贰亿元征拆保证金。签订该协议</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pacing w:val="-4"/>
          <w:sz w:val="15"/>
          <w:szCs w:val="15"/>
        </w:rPr>
        <w:t>书后，乔仕公司已依约按时向道里</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区棚改办足额交纳了棚改项目征</w:t>
      </w:r>
    </w:p>
    <w:p>
      <w:pPr>
        <w:spacing w:line="105" w:lineRule="exact" w:before="0"/>
        <w:ind w:left="750" w:right="0" w:firstLine="0"/>
        <w:jc w:val="left"/>
        <w:rPr>
          <w:rFonts w:ascii="宋体" w:hAnsi="宋体" w:cs="宋体" w:eastAsia="宋体" w:hint="default"/>
          <w:sz w:val="15"/>
          <w:szCs w:val="15"/>
        </w:rPr>
      </w:pPr>
      <w:r>
        <w:rPr>
          <w:spacing w:val="-2"/>
        </w:rPr>
        <w:br w:type="column"/>
      </w:r>
      <w:r>
        <w:rPr>
          <w:rFonts w:ascii="宋体" w:hAnsi="宋体" w:cs="宋体" w:eastAsia="宋体" w:hint="default"/>
          <w:spacing w:val="-2"/>
          <w:sz w:val="15"/>
          <w:szCs w:val="15"/>
        </w:rPr>
        <w:t>黑龙江省高级人民法院提起民事诉</w:t>
      </w:r>
    </w:p>
    <w:p>
      <w:pPr>
        <w:spacing w:line="196" w:lineRule="exact" w:before="0"/>
        <w:ind w:left="750" w:right="0" w:firstLine="0"/>
        <w:jc w:val="left"/>
        <w:rPr>
          <w:rFonts w:ascii="宋体" w:hAnsi="宋体" w:cs="宋体" w:eastAsia="宋体" w:hint="default"/>
          <w:sz w:val="15"/>
          <w:szCs w:val="15"/>
        </w:rPr>
      </w:pPr>
      <w:r>
        <w:rPr>
          <w:rFonts w:ascii="宋体" w:hAnsi="宋体" w:cs="宋体" w:eastAsia="宋体" w:hint="default"/>
          <w:sz w:val="15"/>
          <w:szCs w:val="15"/>
        </w:rPr>
        <w:t>讼。</w:t>
      </w:r>
    </w:p>
    <w:p>
      <w:pPr>
        <w:spacing w:line="201" w:lineRule="exact" w:before="5"/>
        <w:ind w:left="128" w:right="0" w:firstLine="0"/>
        <w:jc w:val="left"/>
        <w:rPr>
          <w:rFonts w:ascii="Arial" w:hAnsi="Arial" w:cs="Arial" w:eastAsia="Arial" w:hint="default"/>
          <w:sz w:val="15"/>
          <w:szCs w:val="15"/>
        </w:rPr>
      </w:pPr>
      <w:r>
        <w:rPr/>
        <w:br w:type="column"/>
      </w:r>
      <w:r>
        <w:rPr>
          <w:rFonts w:ascii="宋体" w:hAnsi="宋体" w:cs="宋体" w:eastAsia="宋体" w:hint="default"/>
          <w:w w:val="100"/>
          <w:sz w:val="15"/>
          <w:szCs w:val="15"/>
        </w:rPr>
        <w:t>间的</w:t>
      </w:r>
      <w:r>
        <w:rPr>
          <w:rFonts w:ascii="宋体" w:hAnsi="宋体" w:cs="宋体" w:eastAsia="宋体" w:hint="default"/>
          <w:spacing w:val="-3"/>
          <w:w w:val="100"/>
          <w:sz w:val="15"/>
          <w:szCs w:val="15"/>
        </w:rPr>
        <w:t>债</w:t>
      </w:r>
      <w:r>
        <w:rPr>
          <w:rFonts w:ascii="宋体" w:hAnsi="宋体" w:cs="宋体" w:eastAsia="宋体" w:hint="default"/>
          <w:w w:val="100"/>
          <w:sz w:val="15"/>
          <w:szCs w:val="15"/>
        </w:rPr>
        <w:t>务</w:t>
      </w:r>
      <w:r>
        <w:rPr>
          <w:rFonts w:ascii="宋体" w:hAnsi="宋体" w:cs="宋体" w:eastAsia="宋体" w:hint="default"/>
          <w:spacing w:val="-3"/>
          <w:w w:val="100"/>
          <w:sz w:val="15"/>
          <w:szCs w:val="15"/>
        </w:rPr>
        <w:t>利</w:t>
      </w:r>
      <w:r>
        <w:rPr>
          <w:rFonts w:ascii="宋体" w:hAnsi="宋体" w:cs="宋体" w:eastAsia="宋体" w:hint="default"/>
          <w:w w:val="100"/>
          <w:sz w:val="15"/>
          <w:szCs w:val="15"/>
        </w:rPr>
        <w:t>息</w:t>
      </w:r>
      <w:r>
        <w:rPr>
          <w:rFonts w:ascii="宋体" w:hAnsi="宋体" w:cs="宋体" w:eastAsia="宋体" w:hint="default"/>
          <w:spacing w:val="-65"/>
          <w:w w:val="100"/>
          <w:sz w:val="15"/>
          <w:szCs w:val="15"/>
        </w:rPr>
        <w:t>。</w:t>
      </w:r>
      <w:r>
        <w:rPr>
          <w:rFonts w:ascii="宋体" w:hAnsi="宋体" w:cs="宋体" w:eastAsia="宋体" w:hint="default"/>
          <w:w w:val="100"/>
          <w:sz w:val="15"/>
          <w:szCs w:val="15"/>
        </w:rPr>
        <w:t>案</w:t>
      </w:r>
      <w:r>
        <w:rPr>
          <w:rFonts w:ascii="宋体" w:hAnsi="宋体" w:cs="宋体" w:eastAsia="宋体" w:hint="default"/>
          <w:spacing w:val="-3"/>
          <w:w w:val="100"/>
          <w:sz w:val="15"/>
          <w:szCs w:val="15"/>
        </w:rPr>
        <w:t>件</w:t>
      </w:r>
      <w:r>
        <w:rPr>
          <w:rFonts w:ascii="宋体" w:hAnsi="宋体" w:cs="宋体" w:eastAsia="宋体" w:hint="default"/>
          <w:w w:val="100"/>
          <w:sz w:val="15"/>
          <w:szCs w:val="15"/>
        </w:rPr>
        <w:t>受</w:t>
      </w:r>
      <w:r>
        <w:rPr>
          <w:rFonts w:ascii="宋体" w:hAnsi="宋体" w:cs="宋体" w:eastAsia="宋体" w:hint="default"/>
          <w:spacing w:val="-3"/>
          <w:w w:val="100"/>
          <w:sz w:val="15"/>
          <w:szCs w:val="15"/>
        </w:rPr>
        <w:t>理费</w:t>
      </w:r>
      <w:r>
        <w:rPr>
          <w:rFonts w:ascii="宋体" w:hAnsi="宋体" w:cs="宋体" w:eastAsia="宋体" w:hint="default"/>
          <w:w w:val="100"/>
          <w:sz w:val="15"/>
          <w:szCs w:val="15"/>
        </w:rPr>
        <w:t>用</w:t>
      </w:r>
      <w:r>
        <w:rPr>
          <w:rFonts w:ascii="宋体" w:hAnsi="宋体" w:cs="宋体" w:eastAsia="宋体" w:hint="default"/>
          <w:spacing w:val="-36"/>
          <w:sz w:val="15"/>
          <w:szCs w:val="15"/>
        </w:rPr>
        <w:t> </w:t>
      </w:r>
      <w:r>
        <w:rPr>
          <w:rFonts w:ascii="Arial" w:hAnsi="Arial" w:cs="Arial" w:eastAsia="Arial" w:hint="default"/>
          <w:spacing w:val="-3"/>
          <w:w w:val="100"/>
          <w:sz w:val="15"/>
          <w:szCs w:val="15"/>
        </w:rPr>
        <w:t>1</w:t>
      </w:r>
      <w:r>
        <w:rPr>
          <w:rFonts w:ascii="Arial" w:hAnsi="Arial" w:cs="Arial" w:eastAsia="Arial" w:hint="default"/>
          <w:spacing w:val="1"/>
          <w:w w:val="100"/>
          <w:sz w:val="15"/>
          <w:szCs w:val="15"/>
        </w:rPr>
        <w:t>,</w:t>
      </w:r>
      <w:r>
        <w:rPr>
          <w:rFonts w:ascii="Arial" w:hAnsi="Arial" w:cs="Arial" w:eastAsia="Arial" w:hint="default"/>
          <w:w w:val="100"/>
          <w:sz w:val="15"/>
          <w:szCs w:val="15"/>
        </w:rPr>
        <w:t>18</w:t>
      </w:r>
      <w:r>
        <w:rPr>
          <w:rFonts w:ascii="Arial" w:hAnsi="Arial" w:cs="Arial" w:eastAsia="Arial" w:hint="default"/>
          <w:spacing w:val="-3"/>
          <w:w w:val="100"/>
          <w:sz w:val="15"/>
          <w:szCs w:val="15"/>
        </w:rPr>
        <w:t>6</w:t>
      </w:r>
      <w:r>
        <w:rPr>
          <w:rFonts w:ascii="Arial" w:hAnsi="Arial" w:cs="Arial" w:eastAsia="Arial" w:hint="default"/>
          <w:spacing w:val="1"/>
          <w:w w:val="100"/>
          <w:sz w:val="15"/>
          <w:szCs w:val="15"/>
        </w:rPr>
        <w:t>,</w:t>
      </w:r>
      <w:r>
        <w:rPr>
          <w:rFonts w:ascii="Arial" w:hAnsi="Arial" w:cs="Arial" w:eastAsia="Arial" w:hint="default"/>
          <w:spacing w:val="-3"/>
          <w:w w:val="100"/>
          <w:sz w:val="15"/>
          <w:szCs w:val="15"/>
        </w:rPr>
        <w:t>6</w:t>
      </w:r>
      <w:r>
        <w:rPr>
          <w:rFonts w:ascii="Arial" w:hAnsi="Arial" w:cs="Arial" w:eastAsia="Arial" w:hint="default"/>
          <w:w w:val="100"/>
          <w:sz w:val="15"/>
          <w:szCs w:val="15"/>
        </w:rPr>
        <w:t>50.</w:t>
      </w:r>
      <w:r>
        <w:rPr>
          <w:rFonts w:ascii="Arial" w:hAnsi="Arial" w:cs="Arial" w:eastAsia="Arial" w:hint="default"/>
          <w:spacing w:val="-3"/>
          <w:w w:val="100"/>
          <w:sz w:val="15"/>
          <w:szCs w:val="15"/>
        </w:rPr>
        <w:t>1</w:t>
      </w:r>
      <w:r>
        <w:rPr>
          <w:rFonts w:ascii="Arial" w:hAnsi="Arial" w:cs="Arial" w:eastAsia="Arial" w:hint="default"/>
          <w:w w:val="100"/>
          <w:sz w:val="15"/>
          <w:szCs w:val="15"/>
        </w:rPr>
        <w:t>1</w:t>
      </w:r>
    </w:p>
    <w:p>
      <w:pPr>
        <w:spacing w:line="195" w:lineRule="exact" w:before="0"/>
        <w:ind w:left="128" w:right="0" w:firstLine="0"/>
        <w:jc w:val="left"/>
        <w:rPr>
          <w:rFonts w:ascii="宋体" w:hAnsi="宋体" w:cs="宋体" w:eastAsia="宋体" w:hint="default"/>
          <w:sz w:val="15"/>
          <w:szCs w:val="15"/>
        </w:rPr>
      </w:pPr>
      <w:r>
        <w:rPr>
          <w:rFonts w:ascii="宋体" w:hAnsi="宋体" w:cs="宋体" w:eastAsia="宋体" w:hint="default"/>
          <w:sz w:val="15"/>
          <w:szCs w:val="15"/>
        </w:rPr>
        <w:t>元，由北大荒公司负担</w:t>
      </w:r>
      <w:r>
        <w:rPr>
          <w:rFonts w:ascii="宋体" w:hAnsi="宋体" w:cs="宋体" w:eastAsia="宋体" w:hint="default"/>
          <w:spacing w:val="-38"/>
          <w:sz w:val="15"/>
          <w:szCs w:val="15"/>
        </w:rPr>
        <w:t> </w:t>
      </w:r>
      <w:r>
        <w:rPr>
          <w:rFonts w:ascii="Arial" w:hAnsi="Arial" w:cs="Arial" w:eastAsia="Arial" w:hint="default"/>
          <w:sz w:val="15"/>
          <w:szCs w:val="15"/>
        </w:rPr>
        <w:t>269,693.11</w:t>
      </w:r>
      <w:r>
        <w:rPr>
          <w:rFonts w:ascii="Arial" w:hAnsi="Arial" w:cs="Arial" w:eastAsia="Arial" w:hint="default"/>
          <w:spacing w:val="-5"/>
          <w:sz w:val="15"/>
          <w:szCs w:val="15"/>
        </w:rPr>
        <w:t> </w:t>
      </w:r>
      <w:r>
        <w:rPr>
          <w:rFonts w:ascii="宋体" w:hAnsi="宋体" w:cs="宋体" w:eastAsia="宋体" w:hint="default"/>
          <w:sz w:val="15"/>
          <w:szCs w:val="15"/>
        </w:rPr>
        <w:t>元，由</w:t>
      </w:r>
    </w:p>
    <w:p>
      <w:pPr>
        <w:spacing w:line="194" w:lineRule="exact" w:before="0"/>
        <w:ind w:left="128" w:right="0" w:firstLine="0"/>
        <w:jc w:val="left"/>
        <w:rPr>
          <w:rFonts w:ascii="宋体" w:hAnsi="宋体" w:cs="宋体" w:eastAsia="宋体" w:hint="default"/>
          <w:sz w:val="15"/>
          <w:szCs w:val="15"/>
        </w:rPr>
      </w:pPr>
      <w:r>
        <w:rPr>
          <w:rFonts w:ascii="宋体" w:hAnsi="宋体" w:cs="宋体" w:eastAsia="宋体" w:hint="default"/>
          <w:sz w:val="15"/>
          <w:szCs w:val="15"/>
        </w:rPr>
        <w:t>棚改办与道里区政府负担</w:t>
      </w:r>
      <w:r>
        <w:rPr>
          <w:rFonts w:ascii="宋体" w:hAnsi="宋体" w:cs="宋体" w:eastAsia="宋体" w:hint="default"/>
          <w:spacing w:val="-37"/>
          <w:sz w:val="15"/>
          <w:szCs w:val="15"/>
        </w:rPr>
        <w:t> </w:t>
      </w:r>
      <w:r>
        <w:rPr>
          <w:rFonts w:ascii="Arial" w:hAnsi="Arial" w:cs="Arial" w:eastAsia="Arial" w:hint="default"/>
          <w:sz w:val="15"/>
          <w:szCs w:val="15"/>
        </w:rPr>
        <w:t>916,957</w:t>
      </w:r>
      <w:r>
        <w:rPr>
          <w:rFonts w:ascii="Arial" w:hAnsi="Arial" w:cs="Arial" w:eastAsia="Arial" w:hint="default"/>
          <w:spacing w:val="-7"/>
          <w:sz w:val="15"/>
          <w:szCs w:val="15"/>
        </w:rPr>
        <w:t> </w:t>
      </w:r>
      <w:r>
        <w:rPr>
          <w:rFonts w:ascii="宋体" w:hAnsi="宋体" w:cs="宋体" w:eastAsia="宋体" w:hint="default"/>
          <w:spacing w:val="-3"/>
          <w:sz w:val="15"/>
          <w:szCs w:val="15"/>
        </w:rPr>
        <w:t>元。</w:t>
      </w:r>
      <w:r>
        <w:rPr>
          <w:rFonts w:ascii="宋体" w:hAnsi="宋体" w:cs="宋体" w:eastAsia="宋体" w:hint="default"/>
          <w:sz w:val="15"/>
          <w:szCs w:val="15"/>
        </w:rPr>
      </w:r>
    </w:p>
    <w:p>
      <w:pPr>
        <w:spacing w:line="194" w:lineRule="exact" w:before="13"/>
        <w:ind w:left="128" w:right="1591" w:firstLine="0"/>
        <w:jc w:val="left"/>
        <w:rPr>
          <w:rFonts w:ascii="宋体" w:hAnsi="宋体" w:cs="宋体" w:eastAsia="宋体" w:hint="default"/>
          <w:sz w:val="15"/>
          <w:szCs w:val="15"/>
        </w:rPr>
      </w:pPr>
      <w:r>
        <w:rPr>
          <w:rFonts w:ascii="Arial" w:hAnsi="Arial" w:cs="Arial" w:eastAsia="Arial" w:hint="default"/>
          <w:spacing w:val="-1"/>
          <w:w w:val="100"/>
          <w:sz w:val="15"/>
          <w:szCs w:val="15"/>
        </w:rPr>
        <w:t>2019</w:t>
      </w:r>
      <w:r>
        <w:rPr>
          <w:rFonts w:ascii="Arial" w:hAnsi="Arial" w:cs="Arial" w:eastAsia="Arial" w:hint="default"/>
          <w:spacing w:val="-5"/>
          <w:w w:val="100"/>
          <w:sz w:val="15"/>
          <w:szCs w:val="15"/>
        </w:rPr>
        <w:t> </w:t>
      </w:r>
      <w:r>
        <w:rPr>
          <w:rFonts w:ascii="宋体" w:hAnsi="宋体" w:cs="宋体" w:eastAsia="宋体" w:hint="default"/>
          <w:w w:val="100"/>
          <w:sz w:val="15"/>
          <w:szCs w:val="15"/>
        </w:rPr>
        <w:t>年</w:t>
      </w:r>
      <w:r>
        <w:rPr>
          <w:rFonts w:ascii="宋体" w:hAnsi="宋体" w:cs="宋体" w:eastAsia="宋体" w:hint="default"/>
          <w:spacing w:val="-38"/>
          <w:w w:val="100"/>
          <w:sz w:val="15"/>
          <w:szCs w:val="15"/>
        </w:rPr>
        <w:t> </w:t>
      </w:r>
      <w:r>
        <w:rPr>
          <w:rFonts w:ascii="Arial" w:hAnsi="Arial" w:cs="Arial" w:eastAsia="Arial" w:hint="default"/>
          <w:w w:val="100"/>
          <w:sz w:val="15"/>
          <w:szCs w:val="15"/>
        </w:rPr>
        <w:t>7</w:t>
      </w:r>
      <w:r>
        <w:rPr>
          <w:rFonts w:ascii="Arial" w:hAnsi="Arial" w:cs="Arial" w:eastAsia="Arial" w:hint="default"/>
          <w:spacing w:val="-5"/>
          <w:w w:val="100"/>
          <w:sz w:val="15"/>
          <w:szCs w:val="15"/>
        </w:rPr>
        <w:t> </w:t>
      </w:r>
      <w:r>
        <w:rPr>
          <w:rFonts w:ascii="宋体" w:hAnsi="宋体" w:cs="宋体" w:eastAsia="宋体" w:hint="default"/>
          <w:w w:val="100"/>
          <w:sz w:val="15"/>
          <w:szCs w:val="15"/>
        </w:rPr>
        <w:t>月</w:t>
      </w:r>
      <w:r>
        <w:rPr>
          <w:rFonts w:ascii="宋体" w:hAnsi="宋体" w:cs="宋体" w:eastAsia="宋体" w:hint="default"/>
          <w:spacing w:val="-36"/>
          <w:w w:val="100"/>
          <w:sz w:val="15"/>
          <w:szCs w:val="15"/>
        </w:rPr>
        <w:t> </w:t>
      </w:r>
      <w:r>
        <w:rPr>
          <w:rFonts w:ascii="Arial" w:hAnsi="Arial" w:cs="Arial" w:eastAsia="Arial" w:hint="default"/>
          <w:spacing w:val="-2"/>
          <w:w w:val="100"/>
          <w:sz w:val="15"/>
          <w:szCs w:val="15"/>
        </w:rPr>
        <w:t>29</w:t>
      </w:r>
      <w:r>
        <w:rPr>
          <w:rFonts w:ascii="Arial" w:hAnsi="Arial" w:cs="Arial" w:eastAsia="Arial" w:hint="default"/>
          <w:spacing w:val="-3"/>
          <w:w w:val="100"/>
          <w:sz w:val="15"/>
          <w:szCs w:val="15"/>
        </w:rPr>
        <w:t> </w:t>
      </w:r>
      <w:r>
        <w:rPr>
          <w:rFonts w:ascii="宋体" w:hAnsi="宋体" w:cs="宋体" w:eastAsia="宋体" w:hint="default"/>
          <w:spacing w:val="-8"/>
          <w:w w:val="100"/>
          <w:sz w:val="15"/>
          <w:szCs w:val="15"/>
        </w:rPr>
        <w:t>日，公司收到黑龙江省高级</w:t>
      </w:r>
      <w:r>
        <w:rPr>
          <w:rFonts w:ascii="宋体" w:hAnsi="宋体" w:cs="宋体" w:eastAsia="宋体" w:hint="default"/>
          <w:spacing w:val="-72"/>
          <w:w w:val="100"/>
          <w:sz w:val="15"/>
          <w:szCs w:val="15"/>
        </w:rPr>
        <w:t> </w:t>
      </w:r>
      <w:r>
        <w:rPr>
          <w:rFonts w:ascii="宋体" w:hAnsi="宋体" w:cs="宋体" w:eastAsia="宋体" w:hint="default"/>
          <w:spacing w:val="-72"/>
          <w:w w:val="100"/>
          <w:sz w:val="15"/>
          <w:szCs w:val="15"/>
        </w:rPr>
      </w:r>
      <w:r>
        <w:rPr>
          <w:rFonts w:ascii="宋体" w:hAnsi="宋体" w:cs="宋体" w:eastAsia="宋体" w:hint="default"/>
          <w:spacing w:val="-4"/>
          <w:sz w:val="15"/>
          <w:szCs w:val="15"/>
        </w:rPr>
        <w:t>人民法院送达的本案原被告人提交的《上诉</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pacing w:val="-8"/>
          <w:w w:val="100"/>
          <w:sz w:val="15"/>
          <w:szCs w:val="15"/>
        </w:rPr>
        <w:t>状》，一审被告人哈尔滨市道里区人民政府、</w:t>
      </w:r>
      <w:r>
        <w:rPr>
          <w:rFonts w:ascii="宋体" w:hAnsi="宋体" w:cs="宋体" w:eastAsia="宋体" w:hint="default"/>
          <w:spacing w:val="-68"/>
          <w:w w:val="100"/>
          <w:sz w:val="15"/>
          <w:szCs w:val="15"/>
        </w:rPr>
        <w:t> </w:t>
      </w:r>
      <w:r>
        <w:rPr>
          <w:rFonts w:ascii="宋体" w:hAnsi="宋体" w:cs="宋体" w:eastAsia="宋体" w:hint="default"/>
          <w:spacing w:val="-68"/>
          <w:w w:val="100"/>
          <w:sz w:val="15"/>
          <w:szCs w:val="15"/>
        </w:rPr>
      </w:r>
      <w:r>
        <w:rPr>
          <w:rFonts w:ascii="宋体" w:hAnsi="宋体" w:cs="宋体" w:eastAsia="宋体" w:hint="default"/>
          <w:sz w:val="15"/>
          <w:szCs w:val="15"/>
        </w:rPr>
        <w:t>哈尔滨市道里区棚户区改造工作领导小组</w:t>
      </w:r>
    </w:p>
    <w:p>
      <w:pPr>
        <w:spacing w:after="0" w:line="194" w:lineRule="exact"/>
        <w:jc w:val="left"/>
        <w:rPr>
          <w:rFonts w:ascii="宋体" w:hAnsi="宋体" w:cs="宋体" w:eastAsia="宋体" w:hint="default"/>
          <w:sz w:val="15"/>
          <w:szCs w:val="15"/>
        </w:rPr>
        <w:sectPr>
          <w:type w:val="continuous"/>
          <w:pgSz w:w="16840" w:h="11910" w:orient="landscape"/>
          <w:pgMar w:top="1360" w:bottom="1380" w:left="1300" w:right="1380"/>
          <w:cols w:num="4" w:equalWidth="0">
            <w:col w:w="1204" w:space="838"/>
            <w:col w:w="3004" w:space="1465"/>
            <w:col w:w="3004" w:space="40"/>
            <w:col w:w="4605"/>
          </w:cols>
        </w:sectPr>
      </w:pPr>
    </w:p>
    <w:p>
      <w:pPr>
        <w:spacing w:line="240" w:lineRule="auto" w:before="0"/>
        <w:rPr>
          <w:rFonts w:ascii="Times New Roman" w:hAnsi="Times New Roman" w:cs="Times New Roman" w:eastAsia="Times New Roman" w:hint="default"/>
          <w:sz w:val="20"/>
          <w:szCs w:val="20"/>
        </w:rPr>
      </w:pPr>
      <w:r>
        <w:rPr/>
        <w:pict>
          <v:group style="position:absolute;margin-left:70.079987pt;margin-top:89.900009pt;width:697.55pt;height:424.3pt;mso-position-horizontal-relative:page;mso-position-vertical-relative:page;z-index:-943672" coordorigin="1402,1798" coordsize="13951,8486">
            <v:group style="position:absolute;left:6342;top:1858;width:1349;height:8366" coordorigin="6342,1858" coordsize="1349,8366">
              <v:shape style="position:absolute;left:6342;top:1858;width:1349;height:8366" coordorigin="6342,1858" coordsize="1349,8366" path="m6342,10224l7691,10224,7691,1858,6342,1858,6342,10224xe" filled="true" fillcolor="#ffffff" stroked="false">
                <v:path arrowok="t"/>
                <v:fill type="solid"/>
              </v:shape>
            </v:group>
            <v:group style="position:absolute;left:1411;top:1808;width:608;height:2" coordorigin="1411,1808" coordsize="608,2">
              <v:shape style="position:absolute;left:1411;top:1808;width:608;height:2" coordorigin="1411,1808" coordsize="608,0" path="m1411,1808l2019,1808e" filled="false" stroked="true" strokeweight=".96pt" strokecolor="#41b7ee">
                <v:path arrowok="t"/>
              </v:shape>
            </v:group>
            <v:group style="position:absolute;left:2019;top:1808;width:58;height:2" coordorigin="2019,1808" coordsize="58,2">
              <v:shape style="position:absolute;left:2019;top:1808;width:58;height:2" coordorigin="2019,1808" coordsize="58,0" path="m2019,1808l2076,1808e" filled="false" stroked="true" strokeweight=".96pt" strokecolor="#41b7ee">
                <v:path arrowok="t"/>
              </v:shape>
            </v:group>
            <v:group style="position:absolute;left:2076;top:1808;width:588;height:2" coordorigin="2076,1808" coordsize="588,2">
              <v:shape style="position:absolute;left:2076;top:1808;width:588;height:2" coordorigin="2076,1808" coordsize="588,0" path="m2076,1808l2664,1808e" filled="false" stroked="true" strokeweight=".96pt" strokecolor="#41b7ee">
                <v:path arrowok="t"/>
              </v:shape>
            </v:group>
            <v:group style="position:absolute;left:2664;top:1808;width:58;height:2" coordorigin="2664,1808" coordsize="58,2">
              <v:shape style="position:absolute;left:2664;top:1808;width:58;height:2" coordorigin="2664,1808" coordsize="58,0" path="m2664,1808l2722,1808e" filled="false" stroked="true" strokeweight=".96pt" strokecolor="#41b7ee">
                <v:path arrowok="t"/>
              </v:shape>
            </v:group>
            <v:group style="position:absolute;left:2722;top:1808;width:737;height:2" coordorigin="2722,1808" coordsize="737,2">
              <v:shape style="position:absolute;left:2722;top:1808;width:737;height:2" coordorigin="2722,1808" coordsize="737,0" path="m2722,1808l3459,1808e" filled="false" stroked="true" strokeweight=".96pt" strokecolor="#41b7ee">
                <v:path arrowok="t"/>
              </v:shape>
            </v:group>
            <v:group style="position:absolute;left:3459;top:1808;width:58;height:2" coordorigin="3459,1808" coordsize="58,2">
              <v:shape style="position:absolute;left:3459;top:1808;width:58;height:2" coordorigin="3459,1808" coordsize="58,0" path="m3459,1808l3516,1808e" filled="false" stroked="true" strokeweight=".96pt" strokecolor="#41b7ee">
                <v:path arrowok="t"/>
              </v:shape>
            </v:group>
            <v:group style="position:absolute;left:3516;top:1808;width:543;height:2" coordorigin="3516,1808" coordsize="543,2">
              <v:shape style="position:absolute;left:3516;top:1808;width:543;height:2" coordorigin="3516,1808" coordsize="543,0" path="m3516,1808l4059,1808e" filled="false" stroked="true" strokeweight=".96pt" strokecolor="#41b7ee">
                <v:path arrowok="t"/>
              </v:shape>
            </v:group>
            <v:group style="position:absolute;left:4059;top:1808;width:58;height:2" coordorigin="4059,1808" coordsize="58,2">
              <v:shape style="position:absolute;left:4059;top:1808;width:58;height:2" coordorigin="4059,1808" coordsize="58,0" path="m4059,1808l4116,1808e" filled="false" stroked="true" strokeweight=".96pt" strokecolor="#41b7ee">
                <v:path arrowok="t"/>
              </v:shape>
            </v:group>
            <v:group style="position:absolute;left:4116;top:1808;width:2216;height:2" coordorigin="4116,1808" coordsize="2216,2">
              <v:shape style="position:absolute;left:4116;top:1808;width:2216;height:2" coordorigin="4116,1808" coordsize="2216,0" path="m4116,1808l6332,1808e" filled="false" stroked="true" strokeweight=".96pt" strokecolor="#41b7ee">
                <v:path arrowok="t"/>
              </v:shape>
            </v:group>
            <v:group style="position:absolute;left:6332;top:1808;width:58;height:2" coordorigin="6332,1808" coordsize="58,2">
              <v:shape style="position:absolute;left:6332;top:1808;width:58;height:2" coordorigin="6332,1808" coordsize="58,0" path="m6332,1808l6390,1808e" filled="false" stroked="true" strokeweight=".96pt" strokecolor="#41b7ee">
                <v:path arrowok="t"/>
              </v:shape>
            </v:group>
            <v:group style="position:absolute;left:6390;top:1808;width:1301;height:2" coordorigin="6390,1808" coordsize="1301,2">
              <v:shape style="position:absolute;left:6390;top:1808;width:1301;height:2" coordorigin="6390,1808" coordsize="1301,0" path="m6390,1808l7691,1808e" filled="false" stroked="true" strokeweight=".96pt" strokecolor="#41b7ee">
                <v:path arrowok="t"/>
              </v:shape>
            </v:group>
            <v:group style="position:absolute;left:7691;top:1808;width:58;height:2" coordorigin="7691,1808" coordsize="58,2">
              <v:shape style="position:absolute;left:7691;top:1808;width:58;height:2" coordorigin="7691,1808" coordsize="58,0" path="m7691,1808l7748,1808e" filled="false" stroked="true" strokeweight=".96pt" strokecolor="#41b7ee">
                <v:path arrowok="t"/>
              </v:shape>
            </v:group>
            <v:group style="position:absolute;left:7748;top:1808;width:780;height:2" coordorigin="7748,1808" coordsize="780,2">
              <v:shape style="position:absolute;left:7748;top:1808;width:780;height:2" coordorigin="7748,1808" coordsize="780,0" path="m7748,1808l8528,1808e" filled="false" stroked="true" strokeweight=".96pt" strokecolor="#41b7ee">
                <v:path arrowok="t"/>
              </v:shape>
            </v:group>
            <v:group style="position:absolute;left:8528;top:1808;width:58;height:2" coordorigin="8528,1808" coordsize="58,2">
              <v:shape style="position:absolute;left:8528;top:1808;width:58;height:2" coordorigin="8528,1808" coordsize="58,0" path="m8528,1808l8586,1808e" filled="false" stroked="true" strokeweight=".96pt" strokecolor="#41b7ee">
                <v:path arrowok="t"/>
              </v:shape>
            </v:group>
            <v:group style="position:absolute;left:8586;top:1808;width:2365;height:2" coordorigin="8586,1808" coordsize="2365,2">
              <v:shape style="position:absolute;left:8586;top:1808;width:2365;height:2" coordorigin="8586,1808" coordsize="2365,0" path="m8586,1808l10950,1808e" filled="false" stroked="true" strokeweight=".96pt" strokecolor="#41b7ee">
                <v:path arrowok="t"/>
              </v:shape>
            </v:group>
            <v:group style="position:absolute;left:10950;top:1808;width:58;height:2" coordorigin="10950,1808" coordsize="58,2">
              <v:shape style="position:absolute;left:10950;top:1808;width:58;height:2" coordorigin="10950,1808" coordsize="58,0" path="m10950,1808l11008,1808e" filled="false" stroked="true" strokeweight=".96pt" strokecolor="#41b7ee">
                <v:path arrowok="t"/>
              </v:shape>
            </v:group>
            <v:group style="position:absolute;left:13819;top:1858;width:1524;height:8366" coordorigin="13819,1858" coordsize="1524,8366">
              <v:shape style="position:absolute;left:13819;top:1858;width:1524;height:8366" coordorigin="13819,1858" coordsize="1524,8366" path="m13819,10224l15343,10224,15343,1858,13819,1858,13819,10224xe" filled="true" fillcolor="#ffffff" stroked="false">
                <v:path arrowok="t"/>
                <v:fill type="solid"/>
              </v:shape>
            </v:group>
            <v:group style="position:absolute;left:11008;top:1808;width:2802;height:2" coordorigin="11008,1808" coordsize="2802,2">
              <v:shape style="position:absolute;left:11008;top:1808;width:2802;height:2" coordorigin="11008,1808" coordsize="2802,0" path="m11008,1808l13809,1808e" filled="false" stroked="true" strokeweight=".96pt" strokecolor="#41b7ee">
                <v:path arrowok="t"/>
              </v:shape>
            </v:group>
            <v:group style="position:absolute;left:13809;top:1808;width:58;height:2" coordorigin="13809,1808" coordsize="58,2">
              <v:shape style="position:absolute;left:13809;top:1808;width:58;height:2" coordorigin="13809,1808" coordsize="58,0" path="m13809,1808l13867,1808e" filled="false" stroked="true" strokeweight=".96pt" strokecolor="#41b7ee">
                <v:path arrowok="t"/>
              </v:shape>
            </v:group>
            <v:group style="position:absolute;left:13867;top:1808;width:1476;height:2" coordorigin="13867,1808" coordsize="1476,2">
              <v:shape style="position:absolute;left:13867;top:1808;width:1476;height:2" coordorigin="13867,1808" coordsize="1476,0" path="m13867,1808l15343,1808e" filled="false" stroked="true" strokeweight=".96pt" strokecolor="#41b7ee">
                <v:path arrowok="t"/>
              </v:shape>
            </v:group>
            <v:group style="position:absolute;left:1411;top:10274;width:608;height:2" coordorigin="1411,10274" coordsize="608,2">
              <v:shape style="position:absolute;left:1411;top:10274;width:608;height:2" coordorigin="1411,10274" coordsize="608,0" path="m1411,10274l2019,10274e" filled="false" stroked="true" strokeweight=".96002pt" strokecolor="#41b7ee">
                <v:path arrowok="t"/>
              </v:shape>
            </v:group>
            <v:group style="position:absolute;left:2019;top:10274;width:58;height:2" coordorigin="2019,10274" coordsize="58,2">
              <v:shape style="position:absolute;left:2019;top:10274;width:58;height:2" coordorigin="2019,10274" coordsize="58,0" path="m2019,10274l2076,10274e" filled="false" stroked="true" strokeweight=".96002pt" strokecolor="#41b7ee">
                <v:path arrowok="t"/>
              </v:shape>
            </v:group>
            <v:group style="position:absolute;left:2076;top:10274;width:588;height:2" coordorigin="2076,10274" coordsize="588,2">
              <v:shape style="position:absolute;left:2076;top:10274;width:588;height:2" coordorigin="2076,10274" coordsize="588,0" path="m2076,10274l2664,10274e" filled="false" stroked="true" strokeweight=".96002pt" strokecolor="#41b7ee">
                <v:path arrowok="t"/>
              </v:shape>
            </v:group>
            <v:group style="position:absolute;left:2664;top:10274;width:58;height:2" coordorigin="2664,10274" coordsize="58,2">
              <v:shape style="position:absolute;left:2664;top:10274;width:58;height:2" coordorigin="2664,10274" coordsize="58,0" path="m2664,10274l2722,10274e" filled="false" stroked="true" strokeweight=".96002pt" strokecolor="#41b7ee">
                <v:path arrowok="t"/>
              </v:shape>
            </v:group>
            <v:group style="position:absolute;left:2722;top:10274;width:737;height:2" coordorigin="2722,10274" coordsize="737,2">
              <v:shape style="position:absolute;left:2722;top:10274;width:737;height:2" coordorigin="2722,10274" coordsize="737,0" path="m2722,10274l3459,10274e" filled="false" stroked="true" strokeweight=".96002pt" strokecolor="#41b7ee">
                <v:path arrowok="t"/>
              </v:shape>
            </v:group>
            <v:group style="position:absolute;left:3459;top:10274;width:58;height:2" coordorigin="3459,10274" coordsize="58,2">
              <v:shape style="position:absolute;left:3459;top:10274;width:58;height:2" coordorigin="3459,10274" coordsize="58,0" path="m3459,10274l3516,10274e" filled="false" stroked="true" strokeweight=".96002pt" strokecolor="#41b7ee">
                <v:path arrowok="t"/>
              </v:shape>
            </v:group>
            <v:group style="position:absolute;left:3516;top:10274;width:543;height:2" coordorigin="3516,10274" coordsize="543,2">
              <v:shape style="position:absolute;left:3516;top:10274;width:543;height:2" coordorigin="3516,10274" coordsize="543,0" path="m3516,10274l4059,10274e" filled="false" stroked="true" strokeweight=".96002pt" strokecolor="#41b7ee">
                <v:path arrowok="t"/>
              </v:shape>
            </v:group>
            <v:group style="position:absolute;left:4059;top:10274;width:58;height:2" coordorigin="4059,10274" coordsize="58,2">
              <v:shape style="position:absolute;left:4059;top:10274;width:58;height:2" coordorigin="4059,10274" coordsize="58,0" path="m4059,10274l4116,10274e" filled="false" stroked="true" strokeweight=".96002pt" strokecolor="#41b7ee">
                <v:path arrowok="t"/>
              </v:shape>
            </v:group>
            <v:group style="position:absolute;left:4116;top:10274;width:2216;height:2" coordorigin="4116,10274" coordsize="2216,2">
              <v:shape style="position:absolute;left:4116;top:10274;width:2216;height:2" coordorigin="4116,10274" coordsize="2216,0" path="m4116,10274l6332,10274e" filled="false" stroked="true" strokeweight=".96002pt" strokecolor="#41b7ee">
                <v:path arrowok="t"/>
              </v:shape>
            </v:group>
            <v:group style="position:absolute;left:6332;top:10274;width:58;height:2" coordorigin="6332,10274" coordsize="58,2">
              <v:shape style="position:absolute;left:6332;top:10274;width:58;height:2" coordorigin="6332,10274" coordsize="58,0" path="m6332,10274l6390,10274e" filled="false" stroked="true" strokeweight=".96002pt" strokecolor="#41b7ee">
                <v:path arrowok="t"/>
              </v:shape>
            </v:group>
            <v:group style="position:absolute;left:6390;top:10274;width:1301;height:2" coordorigin="6390,10274" coordsize="1301,2">
              <v:shape style="position:absolute;left:6390;top:10274;width:1301;height:2" coordorigin="6390,10274" coordsize="1301,0" path="m6390,10274l7691,10274e" filled="false" stroked="true" strokeweight=".96002pt" strokecolor="#41b7ee">
                <v:path arrowok="t"/>
              </v:shape>
            </v:group>
            <v:group style="position:absolute;left:7691;top:10274;width:58;height:2" coordorigin="7691,10274" coordsize="58,2">
              <v:shape style="position:absolute;left:7691;top:10274;width:58;height:2" coordorigin="7691,10274" coordsize="58,0" path="m7691,10274l7748,10274e" filled="false" stroked="true" strokeweight=".96002pt" strokecolor="#41b7ee">
                <v:path arrowok="t"/>
              </v:shape>
            </v:group>
            <v:group style="position:absolute;left:7748;top:10274;width:780;height:2" coordorigin="7748,10274" coordsize="780,2">
              <v:shape style="position:absolute;left:7748;top:10274;width:780;height:2" coordorigin="7748,10274" coordsize="780,0" path="m7748,10274l8528,10274e" filled="false" stroked="true" strokeweight=".96002pt" strokecolor="#41b7ee">
                <v:path arrowok="t"/>
              </v:shape>
            </v:group>
            <v:group style="position:absolute;left:8528;top:10274;width:58;height:2" coordorigin="8528,10274" coordsize="58,2">
              <v:shape style="position:absolute;left:8528;top:10274;width:58;height:2" coordorigin="8528,10274" coordsize="58,0" path="m8528,10274l8586,10274e" filled="false" stroked="true" strokeweight=".96002pt" strokecolor="#41b7ee">
                <v:path arrowok="t"/>
              </v:shape>
            </v:group>
            <v:group style="position:absolute;left:8586;top:10274;width:2365;height:2" coordorigin="8586,10274" coordsize="2365,2">
              <v:shape style="position:absolute;left:8586;top:10274;width:2365;height:2" coordorigin="8586,10274" coordsize="2365,0" path="m8586,10274l10950,10274e" filled="false" stroked="true" strokeweight=".96002pt" strokecolor="#41b7ee">
                <v:path arrowok="t"/>
              </v:shape>
            </v:group>
            <v:group style="position:absolute;left:10950;top:10274;width:58;height:2" coordorigin="10950,10274" coordsize="58,2">
              <v:shape style="position:absolute;left:10950;top:10274;width:58;height:2" coordorigin="10950,10274" coordsize="58,0" path="m10950,10274l11008,10274e" filled="false" stroked="true" strokeweight=".96002pt" strokecolor="#41b7ee">
                <v:path arrowok="t"/>
              </v:shape>
            </v:group>
            <v:group style="position:absolute;left:11008;top:10274;width:2802;height:2" coordorigin="11008,10274" coordsize="2802,2">
              <v:shape style="position:absolute;left:11008;top:10274;width:2802;height:2" coordorigin="11008,10274" coordsize="2802,0" path="m11008,10274l13809,10274e" filled="false" stroked="true" strokeweight=".96002pt" strokecolor="#41b7ee">
                <v:path arrowok="t"/>
              </v:shape>
            </v:group>
            <v:group style="position:absolute;left:13809;top:10274;width:58;height:2" coordorigin="13809,10274" coordsize="58,2">
              <v:shape style="position:absolute;left:13809;top:10274;width:58;height:2" coordorigin="13809,10274" coordsize="58,0" path="m13809,10274l13867,10274e" filled="false" stroked="true" strokeweight=".96002pt" strokecolor="#41b7ee">
                <v:path arrowok="t"/>
              </v:shape>
            </v:group>
            <v:group style="position:absolute;left:13867;top:10274;width:1476;height:2" coordorigin="13867,10274" coordsize="1476,2">
              <v:shape style="position:absolute;left:13867;top:10274;width:1476;height:2" coordorigin="13867,10274" coordsize="1476,0" path="m13867,10274l15343,10274e" filled="false" stroked="true" strokeweight=".96002pt" strokecolor="#41b7ee">
                <v:path arrowok="t"/>
              </v:shape>
            </v:group>
            <w10:wrap type="none"/>
          </v:group>
        </w:pict>
      </w:r>
    </w:p>
    <w:p>
      <w:pPr>
        <w:spacing w:line="240" w:lineRule="auto" w:before="6"/>
        <w:rPr>
          <w:rFonts w:ascii="Times New Roman" w:hAnsi="Times New Roman" w:cs="Times New Roman" w:eastAsia="Times New Roman"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612"/>
        <w:gridCol w:w="646"/>
        <w:gridCol w:w="794"/>
        <w:gridCol w:w="600"/>
        <w:gridCol w:w="2273"/>
        <w:gridCol w:w="1358"/>
        <w:gridCol w:w="838"/>
        <w:gridCol w:w="2422"/>
        <w:gridCol w:w="2859"/>
        <w:gridCol w:w="1529"/>
      </w:tblGrid>
      <w:tr>
        <w:trPr>
          <w:trHeight w:val="8390" w:hRule="exact"/>
        </w:trPr>
        <w:tc>
          <w:tcPr>
            <w:tcW w:w="612" w:type="dxa"/>
            <w:tcBorders>
              <w:top w:val="single" w:sz="8" w:space="0" w:color="41B7EE"/>
              <w:left w:val="nil" w:sz="6" w:space="0" w:color="auto"/>
              <w:bottom w:val="single" w:sz="8" w:space="0" w:color="41B7EE"/>
              <w:right w:val="single" w:sz="4" w:space="0" w:color="41B7EE"/>
            </w:tcBorders>
          </w:tcPr>
          <w:p>
            <w:pPr/>
          </w:p>
        </w:tc>
        <w:tc>
          <w:tcPr>
            <w:tcW w:w="646" w:type="dxa"/>
            <w:tcBorders>
              <w:top w:val="single" w:sz="8" w:space="0" w:color="41B7EE"/>
              <w:left w:val="single" w:sz="4" w:space="0" w:color="41B7EE"/>
              <w:bottom w:val="single" w:sz="8" w:space="0" w:color="41B7EE"/>
              <w:right w:val="single" w:sz="4" w:space="0" w:color="41B7EE"/>
            </w:tcBorders>
          </w:tcPr>
          <w:p>
            <w:pPr/>
          </w:p>
        </w:tc>
        <w:tc>
          <w:tcPr>
            <w:tcW w:w="794" w:type="dxa"/>
            <w:tcBorders>
              <w:top w:val="single" w:sz="8" w:space="0" w:color="41B7EE"/>
              <w:left w:val="single" w:sz="4" w:space="0" w:color="41B7EE"/>
              <w:bottom w:val="single" w:sz="8" w:space="0" w:color="41B7EE"/>
              <w:right w:val="single" w:sz="4" w:space="0" w:color="41B7EE"/>
            </w:tcBorders>
          </w:tcPr>
          <w:p>
            <w:pPr/>
          </w:p>
        </w:tc>
        <w:tc>
          <w:tcPr>
            <w:tcW w:w="600" w:type="dxa"/>
            <w:tcBorders>
              <w:top w:val="single" w:sz="8" w:space="0" w:color="41B7EE"/>
              <w:left w:val="single" w:sz="4" w:space="0" w:color="41B7EE"/>
              <w:bottom w:val="single" w:sz="8" w:space="0" w:color="41B7EE"/>
              <w:right w:val="single" w:sz="4" w:space="0" w:color="41B7EE"/>
            </w:tcBorders>
          </w:tcPr>
          <w:p>
            <w:pPr/>
          </w:p>
        </w:tc>
        <w:tc>
          <w:tcPr>
            <w:tcW w:w="2273" w:type="dxa"/>
            <w:tcBorders>
              <w:top w:val="single" w:sz="8" w:space="0" w:color="41B7EE"/>
              <w:left w:val="single" w:sz="4" w:space="0" w:color="41B7EE"/>
              <w:bottom w:val="single" w:sz="8" w:space="0" w:color="41B7EE"/>
              <w:right w:val="single" w:sz="4" w:space="0" w:color="41B7EE"/>
            </w:tcBorders>
          </w:tcPr>
          <w:p>
            <w:pPr>
              <w:pStyle w:val="TableParagraph"/>
              <w:spacing w:line="179" w:lineRule="exact"/>
              <w:ind w:left="23" w:right="0"/>
              <w:jc w:val="left"/>
              <w:rPr>
                <w:rFonts w:ascii="宋体" w:hAnsi="宋体" w:cs="宋体" w:eastAsia="宋体" w:hint="default"/>
                <w:sz w:val="15"/>
                <w:szCs w:val="15"/>
              </w:rPr>
            </w:pPr>
            <w:r>
              <w:rPr>
                <w:rFonts w:ascii="宋体" w:hAnsi="宋体" w:cs="宋体" w:eastAsia="宋体" w:hint="default"/>
                <w:sz w:val="15"/>
                <w:szCs w:val="15"/>
              </w:rPr>
              <w:t>拆保证金贰亿元。</w:t>
            </w:r>
            <w:r>
              <w:rPr>
                <w:rFonts w:ascii="Arial" w:hAnsi="Arial" w:cs="Arial" w:eastAsia="Arial" w:hint="default"/>
                <w:sz w:val="15"/>
                <w:szCs w:val="15"/>
              </w:rPr>
              <w:t>2011</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w:hAnsi="Arial" w:cs="Arial" w:eastAsia="Arial" w:hint="default"/>
                <w:sz w:val="15"/>
                <w:szCs w:val="15"/>
              </w:rPr>
              <w:t>11</w:t>
            </w:r>
            <w:r>
              <w:rPr>
                <w:rFonts w:ascii="Arial" w:hAnsi="Arial" w:cs="Arial" w:eastAsia="Arial" w:hint="default"/>
                <w:spacing w:val="-4"/>
                <w:sz w:val="15"/>
                <w:szCs w:val="15"/>
              </w:rPr>
              <w:t> </w:t>
            </w:r>
            <w:r>
              <w:rPr>
                <w:rFonts w:ascii="宋体" w:hAnsi="宋体" w:cs="宋体" w:eastAsia="宋体" w:hint="default"/>
                <w:sz w:val="15"/>
                <w:szCs w:val="15"/>
              </w:rPr>
              <w:t>月</w:t>
            </w:r>
          </w:p>
          <w:p>
            <w:pPr>
              <w:pStyle w:val="TableParagraph"/>
              <w:spacing w:line="235" w:lineRule="auto"/>
              <w:ind w:left="23" w:right="-14"/>
              <w:jc w:val="left"/>
              <w:rPr>
                <w:rFonts w:ascii="宋体" w:hAnsi="宋体" w:cs="宋体" w:eastAsia="宋体" w:hint="default"/>
                <w:sz w:val="15"/>
                <w:szCs w:val="15"/>
              </w:rPr>
            </w:pPr>
            <w:r>
              <w:rPr>
                <w:rFonts w:ascii="Arial" w:hAnsi="Arial" w:cs="Arial" w:eastAsia="Arial" w:hint="default"/>
                <w:sz w:val="15"/>
                <w:szCs w:val="15"/>
              </w:rPr>
              <w:t>25</w:t>
            </w:r>
            <w:r>
              <w:rPr>
                <w:rFonts w:ascii="Arial" w:hAnsi="Arial" w:cs="Arial" w:eastAsia="Arial" w:hint="default"/>
                <w:spacing w:val="-5"/>
                <w:sz w:val="15"/>
                <w:szCs w:val="15"/>
              </w:rPr>
              <w:t> </w:t>
            </w:r>
            <w:r>
              <w:rPr>
                <w:rFonts w:ascii="宋体" w:hAnsi="宋体" w:cs="宋体" w:eastAsia="宋体" w:hint="default"/>
                <w:sz w:val="15"/>
                <w:szCs w:val="15"/>
              </w:rPr>
              <w:t>日，乔仕公司与道里区棚改办</w:t>
            </w:r>
            <w:r>
              <w:rPr>
                <w:rFonts w:ascii="宋体" w:hAnsi="宋体" w:cs="宋体" w:eastAsia="宋体" w:hint="default"/>
                <w:w w:val="100"/>
                <w:sz w:val="15"/>
                <w:szCs w:val="15"/>
              </w:rPr>
              <w:t> </w:t>
            </w:r>
            <w:r>
              <w:rPr>
                <w:rFonts w:ascii="宋体" w:hAnsi="宋体" w:cs="宋体" w:eastAsia="宋体" w:hint="default"/>
                <w:spacing w:val="-4"/>
                <w:sz w:val="15"/>
                <w:szCs w:val="15"/>
              </w:rPr>
              <w:t>签订了《道里区中央大街辅街改造</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pacing w:val="-2"/>
                <w:sz w:val="15"/>
                <w:szCs w:val="15"/>
              </w:rPr>
              <w:t>项目（西十二道街地块）协议》，</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约定道里区棚改办协助乔仕公司</w:t>
            </w:r>
            <w:r>
              <w:rPr>
                <w:rFonts w:ascii="宋体" w:hAnsi="宋体" w:cs="宋体" w:eastAsia="宋体" w:hint="default"/>
                <w:w w:val="100"/>
                <w:sz w:val="15"/>
                <w:szCs w:val="15"/>
              </w:rPr>
              <w:t> </w:t>
            </w:r>
            <w:r>
              <w:rPr>
                <w:rFonts w:ascii="宋体" w:hAnsi="宋体" w:cs="宋体" w:eastAsia="宋体" w:hint="default"/>
                <w:sz w:val="15"/>
                <w:szCs w:val="15"/>
              </w:rPr>
              <w:t>参与道里区中央大街辅街改造项</w:t>
            </w:r>
            <w:r>
              <w:rPr>
                <w:rFonts w:ascii="宋体" w:hAnsi="宋体" w:cs="宋体" w:eastAsia="宋体" w:hint="default"/>
                <w:w w:val="100"/>
                <w:sz w:val="15"/>
                <w:szCs w:val="15"/>
              </w:rPr>
              <w:t> </w:t>
            </w:r>
            <w:r>
              <w:rPr>
                <w:rFonts w:ascii="宋体" w:hAnsi="宋体" w:cs="宋体" w:eastAsia="宋体" w:hint="default"/>
                <w:spacing w:val="-13"/>
                <w:w w:val="100"/>
                <w:sz w:val="15"/>
                <w:szCs w:val="15"/>
              </w:rPr>
              <w:t>目（西十二道街地块）国有土地（下</w:t>
            </w:r>
            <w:r>
              <w:rPr>
                <w:rFonts w:ascii="宋体" w:hAnsi="宋体" w:cs="宋体" w:eastAsia="宋体" w:hint="default"/>
                <w:spacing w:val="-73"/>
                <w:w w:val="100"/>
                <w:sz w:val="15"/>
                <w:szCs w:val="15"/>
              </w:rPr>
              <w:t> </w:t>
            </w:r>
            <w:r>
              <w:rPr>
                <w:rFonts w:ascii="宋体" w:hAnsi="宋体" w:cs="宋体" w:eastAsia="宋体" w:hint="default"/>
                <w:spacing w:val="-73"/>
                <w:w w:val="100"/>
                <w:sz w:val="15"/>
                <w:szCs w:val="15"/>
              </w:rPr>
            </w:r>
            <w:r>
              <w:rPr>
                <w:rFonts w:ascii="宋体" w:hAnsi="宋体" w:cs="宋体" w:eastAsia="宋体" w:hint="default"/>
                <w:spacing w:val="-5"/>
                <w:w w:val="100"/>
                <w:sz w:val="15"/>
                <w:szCs w:val="15"/>
              </w:rPr>
              <w:t>称</w:t>
            </w:r>
            <w:r>
              <w:rPr>
                <w:rFonts w:ascii="Arial" w:hAnsi="Arial" w:cs="Arial" w:eastAsia="Arial" w:hint="default"/>
                <w:spacing w:val="-5"/>
                <w:w w:val="100"/>
                <w:sz w:val="15"/>
                <w:szCs w:val="15"/>
              </w:rPr>
              <w:t>“</w:t>
            </w:r>
            <w:r>
              <w:rPr>
                <w:rFonts w:ascii="宋体" w:hAnsi="宋体" w:cs="宋体" w:eastAsia="宋体" w:hint="default"/>
                <w:spacing w:val="-5"/>
                <w:w w:val="100"/>
                <w:sz w:val="15"/>
                <w:szCs w:val="15"/>
              </w:rPr>
              <w:t>西十二道街项目</w:t>
            </w:r>
            <w:r>
              <w:rPr>
                <w:rFonts w:ascii="Arial" w:hAnsi="Arial" w:cs="Arial" w:eastAsia="Arial" w:hint="default"/>
                <w:spacing w:val="-5"/>
                <w:w w:val="100"/>
                <w:sz w:val="15"/>
                <w:szCs w:val="15"/>
              </w:rPr>
              <w:t>”</w:t>
            </w:r>
            <w:r>
              <w:rPr>
                <w:rFonts w:ascii="宋体" w:hAnsi="宋体" w:cs="宋体" w:eastAsia="宋体" w:hint="default"/>
                <w:spacing w:val="-5"/>
                <w:w w:val="100"/>
                <w:sz w:val="15"/>
                <w:szCs w:val="15"/>
              </w:rPr>
              <w:t>）的摘牌工作</w:t>
            </w:r>
            <w:r>
              <w:rPr>
                <w:rFonts w:ascii="宋体" w:hAnsi="宋体" w:cs="宋体" w:eastAsia="宋体" w:hint="default"/>
                <w:w w:val="100"/>
                <w:sz w:val="15"/>
                <w:szCs w:val="15"/>
              </w:rPr>
              <w:t> </w:t>
            </w:r>
            <w:r>
              <w:rPr>
                <w:rFonts w:ascii="宋体" w:hAnsi="宋体" w:cs="宋体" w:eastAsia="宋体" w:hint="default"/>
                <w:spacing w:val="-4"/>
                <w:sz w:val="15"/>
                <w:szCs w:val="15"/>
              </w:rPr>
              <w:t>同时，约定乔仕公司应先行支付征</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收净地现金壹亿元。签订该协议</w:t>
            </w:r>
            <w:r>
              <w:rPr>
                <w:rFonts w:ascii="宋体" w:hAnsi="宋体" w:cs="宋体" w:eastAsia="宋体" w:hint="default"/>
                <w:w w:val="100"/>
                <w:sz w:val="15"/>
                <w:szCs w:val="15"/>
              </w:rPr>
              <w:t> </w:t>
            </w:r>
            <w:r>
              <w:rPr>
                <w:rFonts w:ascii="宋体" w:hAnsi="宋体" w:cs="宋体" w:eastAsia="宋体" w:hint="default"/>
                <w:spacing w:val="-4"/>
                <w:sz w:val="15"/>
                <w:szCs w:val="15"/>
              </w:rPr>
              <w:t>后，乔仕公司已依约按时向道里区</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棚改办足额交纳了西十二道街项</w:t>
            </w:r>
            <w:r>
              <w:rPr>
                <w:rFonts w:ascii="宋体" w:hAnsi="宋体" w:cs="宋体" w:eastAsia="宋体" w:hint="default"/>
                <w:w w:val="100"/>
                <w:sz w:val="15"/>
                <w:szCs w:val="15"/>
              </w:rPr>
              <w:t> </w:t>
            </w:r>
            <w:r>
              <w:rPr>
                <w:rFonts w:ascii="宋体" w:hAnsi="宋体" w:cs="宋体" w:eastAsia="宋体" w:hint="default"/>
                <w:spacing w:val="-4"/>
                <w:sz w:val="15"/>
                <w:szCs w:val="15"/>
              </w:rPr>
              <w:t>目征收净地现金壹亿壹仟万元。乔</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pacing w:val="-4"/>
                <w:sz w:val="15"/>
                <w:szCs w:val="15"/>
              </w:rPr>
              <w:t>仕公司按照上述协议约定，按时向</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道里区棚改办足额交纳了棚改项</w:t>
            </w:r>
            <w:r>
              <w:rPr>
                <w:rFonts w:ascii="宋体" w:hAnsi="宋体" w:cs="宋体" w:eastAsia="宋体" w:hint="default"/>
                <w:w w:val="100"/>
                <w:sz w:val="15"/>
                <w:szCs w:val="15"/>
              </w:rPr>
              <w:t> </w:t>
            </w:r>
            <w:r>
              <w:rPr>
                <w:rFonts w:ascii="宋体" w:hAnsi="宋体" w:cs="宋体" w:eastAsia="宋体" w:hint="default"/>
                <w:sz w:val="15"/>
                <w:szCs w:val="15"/>
              </w:rPr>
              <w:t>目征拆保证金和西十二道街项目</w:t>
            </w:r>
            <w:r>
              <w:rPr>
                <w:rFonts w:ascii="宋体" w:hAnsi="宋体" w:cs="宋体" w:eastAsia="宋体" w:hint="default"/>
                <w:w w:val="100"/>
                <w:sz w:val="15"/>
                <w:szCs w:val="15"/>
              </w:rPr>
              <w:t> </w:t>
            </w:r>
            <w:r>
              <w:rPr>
                <w:rFonts w:ascii="宋体" w:hAnsi="宋体" w:cs="宋体" w:eastAsia="宋体" w:hint="default"/>
                <w:spacing w:val="-4"/>
                <w:sz w:val="15"/>
                <w:szCs w:val="15"/>
              </w:rPr>
              <w:t>征收净地现金。但道里区棚改办却</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因自身原因未按照与乔仕公司签</w:t>
            </w:r>
            <w:r>
              <w:rPr>
                <w:rFonts w:ascii="宋体" w:hAnsi="宋体" w:cs="宋体" w:eastAsia="宋体" w:hint="default"/>
                <w:w w:val="100"/>
                <w:sz w:val="15"/>
                <w:szCs w:val="15"/>
              </w:rPr>
              <w:t> </w:t>
            </w:r>
            <w:r>
              <w:rPr>
                <w:rFonts w:ascii="宋体" w:hAnsi="宋体" w:cs="宋体" w:eastAsia="宋体" w:hint="default"/>
                <w:spacing w:val="-4"/>
                <w:sz w:val="15"/>
                <w:szCs w:val="15"/>
              </w:rPr>
              <w:t>订的上述协议履行义务，未开展上</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述两个项目的土地</w:t>
            </w:r>
            <w:r>
              <w:rPr>
                <w:rFonts w:ascii="Arial" w:hAnsi="Arial" w:cs="Arial" w:eastAsia="Arial" w:hint="default"/>
                <w:sz w:val="15"/>
                <w:szCs w:val="15"/>
              </w:rPr>
              <w:t>“</w:t>
            </w:r>
            <w:r>
              <w:rPr>
                <w:rFonts w:ascii="宋体" w:hAnsi="宋体" w:cs="宋体" w:eastAsia="宋体" w:hint="default"/>
                <w:sz w:val="15"/>
                <w:szCs w:val="15"/>
              </w:rPr>
              <w:t>招拍挂</w:t>
            </w:r>
            <w:r>
              <w:rPr>
                <w:rFonts w:ascii="Arial" w:hAnsi="Arial" w:cs="Arial" w:eastAsia="Arial" w:hint="default"/>
                <w:sz w:val="15"/>
                <w:szCs w:val="15"/>
              </w:rPr>
              <w:t>”</w:t>
            </w:r>
            <w:r>
              <w:rPr>
                <w:rFonts w:ascii="宋体" w:hAnsi="宋体" w:cs="宋体" w:eastAsia="宋体" w:hint="default"/>
                <w:sz w:val="15"/>
                <w:szCs w:val="15"/>
              </w:rPr>
              <w:t>工作，</w:t>
            </w:r>
            <w:r>
              <w:rPr>
                <w:rFonts w:ascii="宋体" w:hAnsi="宋体" w:cs="宋体" w:eastAsia="宋体" w:hint="default"/>
                <w:w w:val="100"/>
                <w:sz w:val="15"/>
                <w:szCs w:val="15"/>
              </w:rPr>
              <w:t> </w:t>
            </w:r>
            <w:r>
              <w:rPr>
                <w:rFonts w:ascii="宋体" w:hAnsi="宋体" w:cs="宋体" w:eastAsia="宋体" w:hint="default"/>
                <w:spacing w:val="-4"/>
                <w:sz w:val="15"/>
                <w:szCs w:val="15"/>
              </w:rPr>
              <w:t>导致上述两个项目多年停滞。乔仕</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pacing w:val="-4"/>
                <w:sz w:val="15"/>
                <w:szCs w:val="15"/>
              </w:rPr>
              <w:t>公司上述所用资金的来源，是原告</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Arial" w:hAnsi="Arial" w:cs="Arial" w:eastAsia="Arial" w:hint="default"/>
                <w:sz w:val="15"/>
                <w:szCs w:val="15"/>
              </w:rPr>
              <w:t>2011</w:t>
            </w:r>
            <w:r>
              <w:rPr>
                <w:rFonts w:ascii="Arial" w:hAnsi="Arial" w:cs="Arial" w:eastAsia="Arial" w:hint="default"/>
                <w:spacing w:val="-9"/>
                <w:sz w:val="15"/>
                <w:szCs w:val="15"/>
              </w:rPr>
              <w:t> </w:t>
            </w:r>
            <w:r>
              <w:rPr>
                <w:rFonts w:ascii="宋体" w:hAnsi="宋体" w:cs="宋体" w:eastAsia="宋体" w:hint="default"/>
                <w:sz w:val="15"/>
                <w:szCs w:val="15"/>
              </w:rPr>
              <w:t>年</w:t>
            </w:r>
            <w:r>
              <w:rPr>
                <w:rFonts w:ascii="宋体" w:hAnsi="宋体" w:cs="宋体" w:eastAsia="宋体" w:hint="default"/>
                <w:spacing w:val="-42"/>
                <w:sz w:val="15"/>
                <w:szCs w:val="15"/>
              </w:rPr>
              <w:t> </w:t>
            </w:r>
            <w:r>
              <w:rPr>
                <w:rFonts w:ascii="Arial" w:hAnsi="Arial" w:cs="Arial" w:eastAsia="Arial" w:hint="default"/>
                <w:sz w:val="15"/>
                <w:szCs w:val="15"/>
              </w:rPr>
              <w:t>8</w:t>
            </w:r>
            <w:r>
              <w:rPr>
                <w:rFonts w:ascii="Arial" w:hAnsi="Arial" w:cs="Arial" w:eastAsia="Arial" w:hint="default"/>
                <w:spacing w:val="-6"/>
                <w:sz w:val="15"/>
                <w:szCs w:val="15"/>
              </w:rPr>
              <w:t> </w:t>
            </w:r>
            <w:r>
              <w:rPr>
                <w:rFonts w:ascii="宋体" w:hAnsi="宋体" w:cs="宋体" w:eastAsia="宋体" w:hint="default"/>
                <w:sz w:val="15"/>
                <w:szCs w:val="15"/>
              </w:rPr>
              <w:t>月至</w:t>
            </w:r>
            <w:r>
              <w:rPr>
                <w:rFonts w:ascii="宋体" w:hAnsi="宋体" w:cs="宋体" w:eastAsia="宋体" w:hint="default"/>
                <w:spacing w:val="-39"/>
                <w:sz w:val="15"/>
                <w:szCs w:val="15"/>
              </w:rPr>
              <w:t> </w:t>
            </w:r>
            <w:r>
              <w:rPr>
                <w:rFonts w:ascii="Arial" w:hAnsi="Arial" w:cs="Arial" w:eastAsia="Arial" w:hint="default"/>
                <w:sz w:val="15"/>
                <w:szCs w:val="15"/>
              </w:rPr>
              <w:t>2011</w:t>
            </w:r>
            <w:r>
              <w:rPr>
                <w:rFonts w:ascii="Arial" w:hAnsi="Arial" w:cs="Arial" w:eastAsia="Arial" w:hint="default"/>
                <w:spacing w:val="-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12</w:t>
            </w:r>
            <w:r>
              <w:rPr>
                <w:rFonts w:ascii="Arial" w:hAnsi="Arial" w:cs="Arial" w:eastAsia="Arial" w:hint="default"/>
                <w:spacing w:val="-6"/>
                <w:sz w:val="15"/>
                <w:szCs w:val="15"/>
              </w:rPr>
              <w:t> </w:t>
            </w:r>
            <w:r>
              <w:rPr>
                <w:rFonts w:ascii="宋体" w:hAnsi="宋体" w:cs="宋体" w:eastAsia="宋体" w:hint="default"/>
                <w:sz w:val="15"/>
                <w:szCs w:val="15"/>
              </w:rPr>
              <w:t>月期间</w:t>
            </w:r>
            <w:r>
              <w:rPr>
                <w:rFonts w:ascii="宋体" w:hAnsi="宋体" w:cs="宋体" w:eastAsia="宋体" w:hint="default"/>
                <w:w w:val="100"/>
                <w:sz w:val="15"/>
                <w:szCs w:val="15"/>
              </w:rPr>
              <w:t> </w:t>
            </w:r>
            <w:r>
              <w:rPr>
                <w:rFonts w:ascii="宋体" w:hAnsi="宋体" w:cs="宋体" w:eastAsia="宋体" w:hint="default"/>
                <w:sz w:val="15"/>
                <w:szCs w:val="15"/>
              </w:rPr>
              <w:t>累计出资并通过原告的子公司北</w:t>
            </w:r>
            <w:r>
              <w:rPr>
                <w:rFonts w:ascii="宋体" w:hAnsi="宋体" w:cs="宋体" w:eastAsia="宋体" w:hint="default"/>
                <w:w w:val="100"/>
                <w:sz w:val="15"/>
                <w:szCs w:val="15"/>
              </w:rPr>
              <w:t> </w:t>
            </w:r>
            <w:r>
              <w:rPr>
                <w:rFonts w:ascii="宋体" w:hAnsi="宋体" w:cs="宋体" w:eastAsia="宋体" w:hint="default"/>
                <w:sz w:val="15"/>
                <w:szCs w:val="15"/>
              </w:rPr>
              <w:t>大荒鑫亚经贸有限责任公司转二</w:t>
            </w:r>
            <w:r>
              <w:rPr>
                <w:rFonts w:ascii="宋体" w:hAnsi="宋体" w:cs="宋体" w:eastAsia="宋体" w:hint="default"/>
                <w:w w:val="100"/>
                <w:sz w:val="15"/>
                <w:szCs w:val="15"/>
              </w:rPr>
              <w:t> </w:t>
            </w:r>
            <w:r>
              <w:rPr>
                <w:rFonts w:ascii="宋体" w:hAnsi="宋体" w:cs="宋体" w:eastAsia="宋体" w:hint="default"/>
                <w:sz w:val="15"/>
                <w:szCs w:val="15"/>
              </w:rPr>
              <w:t>级子公司黑龙江省岱旸投资管理</w:t>
            </w:r>
            <w:r>
              <w:rPr>
                <w:rFonts w:ascii="宋体" w:hAnsi="宋体" w:cs="宋体" w:eastAsia="宋体" w:hint="default"/>
                <w:w w:val="100"/>
                <w:sz w:val="15"/>
                <w:szCs w:val="15"/>
              </w:rPr>
              <w:t> </w:t>
            </w:r>
            <w:r>
              <w:rPr>
                <w:rFonts w:ascii="宋体" w:hAnsi="宋体" w:cs="宋体" w:eastAsia="宋体" w:hint="default"/>
                <w:sz w:val="15"/>
                <w:szCs w:val="15"/>
              </w:rPr>
              <w:t>有限公司借给乔仕公司共计</w:t>
            </w:r>
            <w:r>
              <w:rPr>
                <w:rFonts w:ascii="宋体" w:hAnsi="宋体" w:cs="宋体" w:eastAsia="宋体" w:hint="default"/>
                <w:spacing w:val="-39"/>
                <w:sz w:val="15"/>
                <w:szCs w:val="15"/>
              </w:rPr>
              <w:t> </w:t>
            </w:r>
            <w:r>
              <w:rPr>
                <w:rFonts w:ascii="Arial" w:hAnsi="Arial" w:cs="Arial" w:eastAsia="Arial" w:hint="default"/>
                <w:sz w:val="15"/>
                <w:szCs w:val="15"/>
              </w:rPr>
              <w:t>5</w:t>
            </w:r>
            <w:r>
              <w:rPr>
                <w:rFonts w:ascii="Arial" w:hAnsi="Arial" w:cs="Arial" w:eastAsia="Arial" w:hint="default"/>
                <w:spacing w:val="-4"/>
                <w:sz w:val="15"/>
                <w:szCs w:val="15"/>
              </w:rPr>
              <w:t> </w:t>
            </w:r>
            <w:r>
              <w:rPr>
                <w:rFonts w:ascii="宋体" w:hAnsi="宋体" w:cs="宋体" w:eastAsia="宋体" w:hint="default"/>
                <w:sz w:val="15"/>
                <w:szCs w:val="15"/>
              </w:rPr>
              <w:t>亿</w:t>
            </w:r>
          </w:p>
          <w:p>
            <w:pPr>
              <w:pStyle w:val="TableParagraph"/>
              <w:spacing w:line="189" w:lineRule="exact"/>
              <w:ind w:left="23" w:right="0"/>
              <w:jc w:val="left"/>
              <w:rPr>
                <w:rFonts w:ascii="宋体" w:hAnsi="宋体" w:cs="宋体" w:eastAsia="宋体" w:hint="default"/>
                <w:sz w:val="15"/>
                <w:szCs w:val="15"/>
              </w:rPr>
            </w:pPr>
            <w:r>
              <w:rPr>
                <w:rFonts w:ascii="宋体" w:hAnsi="宋体" w:cs="宋体" w:eastAsia="宋体" w:hint="default"/>
                <w:sz w:val="15"/>
                <w:szCs w:val="15"/>
              </w:rPr>
              <w:t>元中的一部分。自</w:t>
            </w:r>
            <w:r>
              <w:rPr>
                <w:rFonts w:ascii="宋体" w:hAnsi="宋体" w:cs="宋体" w:eastAsia="宋体" w:hint="default"/>
                <w:spacing w:val="-39"/>
                <w:sz w:val="15"/>
                <w:szCs w:val="15"/>
              </w:rPr>
              <w:t> </w:t>
            </w:r>
            <w:r>
              <w:rPr>
                <w:rFonts w:ascii="Arial" w:hAnsi="Arial" w:cs="Arial" w:eastAsia="Arial" w:hint="default"/>
                <w:sz w:val="15"/>
                <w:szCs w:val="15"/>
              </w:rPr>
              <w:t>2013</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w:hAnsi="Arial" w:cs="Arial" w:eastAsia="Arial" w:hint="default"/>
                <w:sz w:val="15"/>
                <w:szCs w:val="15"/>
              </w:rPr>
              <w:t>10</w:t>
            </w:r>
            <w:r>
              <w:rPr>
                <w:rFonts w:ascii="Arial" w:hAnsi="Arial" w:cs="Arial" w:eastAsia="Arial" w:hint="default"/>
                <w:spacing w:val="-6"/>
                <w:sz w:val="15"/>
                <w:szCs w:val="15"/>
              </w:rPr>
              <w:t> </w:t>
            </w:r>
            <w:r>
              <w:rPr>
                <w:rFonts w:ascii="宋体" w:hAnsi="宋体" w:cs="宋体" w:eastAsia="宋体" w:hint="default"/>
                <w:sz w:val="15"/>
                <w:szCs w:val="15"/>
              </w:rPr>
              <w:t>月</w:t>
            </w:r>
          </w:p>
          <w:p>
            <w:pPr>
              <w:pStyle w:val="TableParagraph"/>
              <w:spacing w:line="235" w:lineRule="auto"/>
              <w:ind w:left="23" w:right="20"/>
              <w:jc w:val="left"/>
              <w:rPr>
                <w:rFonts w:ascii="宋体" w:hAnsi="宋体" w:cs="宋体" w:eastAsia="宋体" w:hint="default"/>
                <w:sz w:val="15"/>
                <w:szCs w:val="15"/>
              </w:rPr>
            </w:pPr>
            <w:r>
              <w:rPr>
                <w:rFonts w:ascii="Arial" w:hAnsi="Arial" w:cs="Arial" w:eastAsia="Arial" w:hint="default"/>
                <w:sz w:val="15"/>
                <w:szCs w:val="15"/>
              </w:rPr>
              <w:t>22</w:t>
            </w:r>
            <w:r>
              <w:rPr>
                <w:rFonts w:ascii="Arial" w:hAnsi="Arial" w:cs="Arial" w:eastAsia="Arial" w:hint="default"/>
                <w:spacing w:val="-5"/>
                <w:sz w:val="15"/>
                <w:szCs w:val="15"/>
              </w:rPr>
              <w:t> </w:t>
            </w:r>
            <w:r>
              <w:rPr>
                <w:rFonts w:ascii="宋体" w:hAnsi="宋体" w:cs="宋体" w:eastAsia="宋体" w:hint="default"/>
                <w:sz w:val="15"/>
                <w:szCs w:val="15"/>
              </w:rPr>
              <w:t>日起，乔仕公司多次向道里区</w:t>
            </w:r>
            <w:r>
              <w:rPr>
                <w:rFonts w:ascii="宋体" w:hAnsi="宋体" w:cs="宋体" w:eastAsia="宋体" w:hint="default"/>
                <w:w w:val="100"/>
                <w:sz w:val="15"/>
                <w:szCs w:val="15"/>
              </w:rPr>
              <w:t> </w:t>
            </w:r>
            <w:r>
              <w:rPr>
                <w:rFonts w:ascii="宋体" w:hAnsi="宋体" w:cs="宋体" w:eastAsia="宋体" w:hint="default"/>
                <w:spacing w:val="-4"/>
                <w:sz w:val="15"/>
                <w:szCs w:val="15"/>
              </w:rPr>
              <w:t>棚改办送达书面函告，表示不再参</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与上述两个项目的土地摘牌和项</w:t>
            </w:r>
            <w:r>
              <w:rPr>
                <w:rFonts w:ascii="宋体" w:hAnsi="宋体" w:cs="宋体" w:eastAsia="宋体" w:hint="default"/>
                <w:w w:val="100"/>
                <w:sz w:val="15"/>
                <w:szCs w:val="15"/>
              </w:rPr>
              <w:t> </w:t>
            </w:r>
            <w:r>
              <w:rPr>
                <w:rFonts w:ascii="宋体" w:hAnsi="宋体" w:cs="宋体" w:eastAsia="宋体" w:hint="default"/>
                <w:spacing w:val="-4"/>
                <w:sz w:val="15"/>
                <w:szCs w:val="15"/>
              </w:rPr>
              <w:t>目建设，并要求道里区棚改办退还</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乔仕公司已经实际交纳的保证金</w:t>
            </w:r>
            <w:r>
              <w:rPr>
                <w:rFonts w:ascii="宋体" w:hAnsi="宋体" w:cs="宋体" w:eastAsia="宋体" w:hint="default"/>
                <w:w w:val="100"/>
                <w:sz w:val="15"/>
                <w:szCs w:val="15"/>
              </w:rPr>
              <w:t> </w:t>
            </w:r>
            <w:r>
              <w:rPr>
                <w:rFonts w:ascii="宋体" w:hAnsi="宋体" w:cs="宋体" w:eastAsia="宋体" w:hint="default"/>
                <w:sz w:val="15"/>
                <w:szCs w:val="15"/>
              </w:rPr>
              <w:t>共计叁亿壹仟万元。</w:t>
            </w:r>
            <w:r>
              <w:rPr>
                <w:rFonts w:ascii="Arial" w:hAnsi="Arial" w:cs="Arial" w:eastAsia="Arial" w:hint="default"/>
                <w:sz w:val="15"/>
                <w:szCs w:val="15"/>
              </w:rPr>
              <w:t>2014</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w:hAnsi="Arial" w:cs="Arial" w:eastAsia="Arial" w:hint="default"/>
                <w:sz w:val="15"/>
                <w:szCs w:val="15"/>
              </w:rPr>
              <w:t>1</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w w:val="100"/>
                <w:sz w:val="15"/>
                <w:szCs w:val="15"/>
              </w:rPr>
              <w:t> </w:t>
            </w:r>
            <w:r>
              <w:rPr>
                <w:rFonts w:ascii="Arial" w:hAnsi="Arial" w:cs="Arial" w:eastAsia="Arial" w:hint="default"/>
                <w:sz w:val="15"/>
                <w:szCs w:val="15"/>
              </w:rPr>
              <w:t>26</w:t>
            </w:r>
            <w:r>
              <w:rPr>
                <w:rFonts w:ascii="Arial" w:hAnsi="Arial" w:cs="Arial" w:eastAsia="Arial" w:hint="default"/>
                <w:spacing w:val="-5"/>
                <w:sz w:val="15"/>
                <w:szCs w:val="15"/>
              </w:rPr>
              <w:t> </w:t>
            </w:r>
            <w:r>
              <w:rPr>
                <w:rFonts w:ascii="宋体" w:hAnsi="宋体" w:cs="宋体" w:eastAsia="宋体" w:hint="default"/>
                <w:sz w:val="15"/>
                <w:szCs w:val="15"/>
              </w:rPr>
              <w:t>日，道里区棚改办返还了西十</w:t>
            </w:r>
            <w:r>
              <w:rPr>
                <w:rFonts w:ascii="宋体" w:hAnsi="宋体" w:cs="宋体" w:eastAsia="宋体" w:hint="default"/>
                <w:w w:val="100"/>
                <w:sz w:val="15"/>
                <w:szCs w:val="15"/>
              </w:rPr>
              <w:t> </w:t>
            </w:r>
            <w:r>
              <w:rPr>
                <w:rFonts w:ascii="宋体" w:hAnsi="宋体" w:cs="宋体" w:eastAsia="宋体" w:hint="default"/>
                <w:sz w:val="15"/>
                <w:szCs w:val="15"/>
              </w:rPr>
              <w:t>二道街项目壹亿壹仟万元征收净</w:t>
            </w:r>
            <w:r>
              <w:rPr>
                <w:rFonts w:ascii="宋体" w:hAnsi="宋体" w:cs="宋体" w:eastAsia="宋体" w:hint="default"/>
                <w:w w:val="100"/>
                <w:sz w:val="15"/>
                <w:szCs w:val="15"/>
              </w:rPr>
              <w:t> </w:t>
            </w:r>
            <w:r>
              <w:rPr>
                <w:rFonts w:ascii="宋体" w:hAnsi="宋体" w:cs="宋体" w:eastAsia="宋体" w:hint="default"/>
                <w:sz w:val="15"/>
                <w:szCs w:val="15"/>
              </w:rPr>
              <w:t>地现金。</w:t>
            </w:r>
            <w:r>
              <w:rPr>
                <w:rFonts w:ascii="Arial" w:hAnsi="Arial" w:cs="Arial" w:eastAsia="Arial" w:hint="default"/>
                <w:sz w:val="15"/>
                <w:szCs w:val="15"/>
              </w:rPr>
              <w:t>2016</w:t>
            </w:r>
            <w:r>
              <w:rPr>
                <w:rFonts w:ascii="Arial" w:hAnsi="Arial" w:cs="Arial" w:eastAsia="Arial"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6"/>
                <w:sz w:val="15"/>
                <w:szCs w:val="15"/>
              </w:rPr>
              <w:t> </w:t>
            </w:r>
            <w:r>
              <w:rPr>
                <w:rFonts w:ascii="Arial" w:hAnsi="Arial" w:cs="Arial" w:eastAsia="Arial" w:hint="default"/>
                <w:sz w:val="15"/>
                <w:szCs w:val="15"/>
              </w:rPr>
              <w:t>10</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19</w:t>
            </w:r>
            <w:r>
              <w:rPr>
                <w:rFonts w:ascii="Arial" w:hAnsi="Arial" w:cs="Arial" w:eastAsia="Arial" w:hint="default"/>
                <w:spacing w:val="-4"/>
                <w:sz w:val="15"/>
                <w:szCs w:val="15"/>
              </w:rPr>
              <w:t> </w:t>
            </w:r>
            <w:r>
              <w:rPr>
                <w:rFonts w:ascii="宋体" w:hAnsi="宋体" w:cs="宋体" w:eastAsia="宋体" w:hint="default"/>
                <w:sz w:val="15"/>
                <w:szCs w:val="15"/>
              </w:rPr>
              <w:t>日，原</w:t>
            </w:r>
            <w:r>
              <w:rPr>
                <w:rFonts w:ascii="宋体" w:hAnsi="宋体" w:cs="宋体" w:eastAsia="宋体" w:hint="default"/>
                <w:w w:val="100"/>
                <w:sz w:val="15"/>
                <w:szCs w:val="15"/>
              </w:rPr>
              <w:t> </w:t>
            </w:r>
            <w:r>
              <w:rPr>
                <w:rFonts w:ascii="宋体" w:hAnsi="宋体" w:cs="宋体" w:eastAsia="宋体" w:hint="default"/>
                <w:spacing w:val="-4"/>
                <w:sz w:val="15"/>
                <w:szCs w:val="15"/>
              </w:rPr>
              <w:t>告与乔仕公司、黑龙江省岱旸投资</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pacing w:val="-4"/>
                <w:sz w:val="15"/>
                <w:szCs w:val="15"/>
              </w:rPr>
              <w:t>管理有限公司、北大荒鑫亚经贸有</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限责任公司签订了《债权转让协</w:t>
            </w:r>
            <w:r>
              <w:rPr>
                <w:rFonts w:ascii="宋体" w:hAnsi="宋体" w:cs="宋体" w:eastAsia="宋体" w:hint="default"/>
                <w:w w:val="100"/>
                <w:sz w:val="15"/>
                <w:szCs w:val="15"/>
              </w:rPr>
              <w:t> </w:t>
            </w:r>
            <w:r>
              <w:rPr>
                <w:rFonts w:ascii="宋体" w:hAnsi="宋体" w:cs="宋体" w:eastAsia="宋体" w:hint="default"/>
                <w:spacing w:val="-4"/>
                <w:sz w:val="15"/>
                <w:szCs w:val="15"/>
              </w:rPr>
              <w:t>议》，原告受让了乔仕公司对道里</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区棚改办享有的棚改项目征拆保</w:t>
            </w:r>
            <w:r>
              <w:rPr>
                <w:rFonts w:ascii="宋体" w:hAnsi="宋体" w:cs="宋体" w:eastAsia="宋体" w:hint="default"/>
                <w:w w:val="100"/>
                <w:sz w:val="15"/>
                <w:szCs w:val="15"/>
              </w:rPr>
              <w:t> </w:t>
            </w:r>
            <w:r>
              <w:rPr>
                <w:rFonts w:ascii="宋体" w:hAnsi="宋体" w:cs="宋体" w:eastAsia="宋体" w:hint="default"/>
                <w:spacing w:val="-4"/>
                <w:sz w:val="15"/>
                <w:szCs w:val="15"/>
              </w:rPr>
              <w:t>证金贰亿元的债权。乔仕公司已按</w:t>
            </w:r>
          </w:p>
        </w:tc>
        <w:tc>
          <w:tcPr>
            <w:tcW w:w="1358" w:type="dxa"/>
            <w:tcBorders>
              <w:top w:val="single" w:sz="8" w:space="0" w:color="41B7EE"/>
              <w:left w:val="single" w:sz="4" w:space="0" w:color="41B7EE"/>
              <w:bottom w:val="single" w:sz="8" w:space="0" w:color="41B7EE"/>
              <w:right w:val="single" w:sz="4" w:space="0" w:color="41B7EE"/>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9" w:right="0"/>
              <w:jc w:val="left"/>
              <w:rPr>
                <w:rFonts w:ascii="宋体" w:hAnsi="宋体" w:cs="宋体" w:eastAsia="宋体" w:hint="default"/>
                <w:sz w:val="15"/>
                <w:szCs w:val="15"/>
              </w:rPr>
            </w:pPr>
            <w:r>
              <w:rPr>
                <w:rFonts w:ascii="宋体" w:hAnsi="宋体" w:cs="宋体" w:eastAsia="宋体" w:hint="default"/>
                <w:w w:val="100"/>
                <w:sz w:val="15"/>
                <w:szCs w:val="15"/>
              </w:rPr>
              <w:t>。</w:t>
            </w:r>
          </w:p>
        </w:tc>
        <w:tc>
          <w:tcPr>
            <w:tcW w:w="838" w:type="dxa"/>
            <w:tcBorders>
              <w:top w:val="single" w:sz="8" w:space="0" w:color="41B7EE"/>
              <w:left w:val="single" w:sz="4" w:space="0" w:color="41B7EE"/>
              <w:bottom w:val="single" w:sz="8" w:space="0" w:color="41B7EE"/>
              <w:right w:val="single" w:sz="4" w:space="0" w:color="41B7EE"/>
            </w:tcBorders>
          </w:tcPr>
          <w:p>
            <w:pPr/>
          </w:p>
        </w:tc>
        <w:tc>
          <w:tcPr>
            <w:tcW w:w="2422" w:type="dxa"/>
            <w:tcBorders>
              <w:top w:val="single" w:sz="8" w:space="0" w:color="41B7EE"/>
              <w:left w:val="single" w:sz="4" w:space="0" w:color="41B7EE"/>
              <w:bottom w:val="single" w:sz="8" w:space="0" w:color="41B7EE"/>
              <w:right w:val="single" w:sz="4" w:space="0" w:color="41B7EE"/>
            </w:tcBorders>
          </w:tcPr>
          <w:p>
            <w:pPr/>
          </w:p>
        </w:tc>
        <w:tc>
          <w:tcPr>
            <w:tcW w:w="2859" w:type="dxa"/>
            <w:tcBorders>
              <w:top w:val="single" w:sz="8" w:space="0" w:color="41B7EE"/>
              <w:left w:val="single" w:sz="4" w:space="0" w:color="41B7EE"/>
              <w:bottom w:val="single" w:sz="8" w:space="0" w:color="41B7EE"/>
              <w:right w:val="single" w:sz="4" w:space="0" w:color="41B7EE"/>
            </w:tcBorders>
          </w:tcPr>
          <w:p>
            <w:pPr>
              <w:pStyle w:val="TableParagraph"/>
              <w:spacing w:line="174" w:lineRule="exact"/>
              <w:ind w:left="24" w:right="0"/>
              <w:jc w:val="left"/>
              <w:rPr>
                <w:rFonts w:ascii="宋体" w:hAnsi="宋体" w:cs="宋体" w:eastAsia="宋体" w:hint="default"/>
                <w:sz w:val="15"/>
                <w:szCs w:val="15"/>
              </w:rPr>
            </w:pPr>
            <w:r>
              <w:rPr>
                <w:rFonts w:ascii="宋体" w:hAnsi="宋体" w:cs="宋体" w:eastAsia="宋体" w:hint="default"/>
                <w:sz w:val="15"/>
                <w:szCs w:val="15"/>
              </w:rPr>
              <w:t>办公室向最高人民法院提起上诉的请求如</w:t>
            </w:r>
          </w:p>
          <w:p>
            <w:pPr>
              <w:pStyle w:val="TableParagraph"/>
              <w:spacing w:line="194" w:lineRule="exact" w:before="19"/>
              <w:ind w:left="24" w:right="23"/>
              <w:jc w:val="left"/>
              <w:rPr>
                <w:rFonts w:ascii="宋体" w:hAnsi="宋体" w:cs="宋体" w:eastAsia="宋体" w:hint="default"/>
                <w:sz w:val="15"/>
                <w:szCs w:val="15"/>
              </w:rPr>
            </w:pPr>
            <w:r>
              <w:rPr>
                <w:rFonts w:ascii="宋体" w:hAnsi="宋体" w:cs="宋体" w:eastAsia="宋体" w:hint="default"/>
                <w:sz w:val="15"/>
                <w:szCs w:val="15"/>
              </w:rPr>
              <w:t>下：</w:t>
            </w:r>
            <w:r>
              <w:rPr>
                <w:rFonts w:ascii="宋体" w:hAnsi="宋体" w:cs="宋体" w:eastAsia="宋体" w:hint="default"/>
                <w:spacing w:val="-73"/>
                <w:sz w:val="15"/>
                <w:szCs w:val="15"/>
              </w:rPr>
              <w:t> </w:t>
            </w:r>
            <w:r>
              <w:rPr>
                <w:rFonts w:ascii="Arial" w:hAnsi="Arial" w:cs="Arial" w:eastAsia="Arial" w:hint="default"/>
                <w:spacing w:val="-3"/>
                <w:sz w:val="15"/>
                <w:szCs w:val="15"/>
              </w:rPr>
              <w:t>1</w:t>
            </w:r>
            <w:r>
              <w:rPr>
                <w:rFonts w:ascii="宋体" w:hAnsi="宋体" w:cs="宋体" w:eastAsia="宋体" w:hint="default"/>
                <w:spacing w:val="-3"/>
                <w:sz w:val="15"/>
                <w:szCs w:val="15"/>
              </w:rPr>
              <w:t>、撤销黑龙江省高级人民法院（</w:t>
            </w:r>
            <w:r>
              <w:rPr>
                <w:rFonts w:ascii="Arial" w:hAnsi="Arial" w:cs="Arial" w:eastAsia="Arial" w:hint="default"/>
                <w:spacing w:val="-3"/>
                <w:sz w:val="15"/>
                <w:szCs w:val="15"/>
              </w:rPr>
              <w:t>2018</w:t>
            </w:r>
            <w:r>
              <w:rPr>
                <w:rFonts w:ascii="宋体" w:hAnsi="宋体" w:cs="宋体" w:eastAsia="宋体" w:hint="default"/>
                <w:spacing w:val="-3"/>
                <w:sz w:val="15"/>
                <w:szCs w:val="15"/>
              </w:rPr>
              <w:t>）民</w:t>
            </w:r>
            <w:r>
              <w:rPr>
                <w:rFonts w:ascii="宋体" w:hAnsi="宋体" w:cs="宋体" w:eastAsia="宋体" w:hint="default"/>
                <w:spacing w:val="-36"/>
                <w:sz w:val="15"/>
                <w:szCs w:val="15"/>
              </w:rPr>
              <w:t> </w:t>
            </w:r>
            <w:r>
              <w:rPr>
                <w:rFonts w:ascii="宋体" w:hAnsi="宋体" w:cs="宋体" w:eastAsia="宋体" w:hint="default"/>
                <w:sz w:val="15"/>
                <w:szCs w:val="15"/>
              </w:rPr>
              <w:t>黑初</w:t>
            </w:r>
            <w:r>
              <w:rPr>
                <w:rFonts w:ascii="宋体" w:hAnsi="宋体" w:cs="宋体" w:eastAsia="宋体" w:hint="default"/>
                <w:spacing w:val="-39"/>
                <w:sz w:val="15"/>
                <w:szCs w:val="15"/>
              </w:rPr>
              <w:t> </w:t>
            </w:r>
            <w:r>
              <w:rPr>
                <w:rFonts w:ascii="Arial" w:hAnsi="Arial" w:cs="Arial" w:eastAsia="Arial" w:hint="default"/>
                <w:sz w:val="15"/>
                <w:szCs w:val="15"/>
              </w:rPr>
              <w:t>335</w:t>
            </w:r>
            <w:r>
              <w:rPr>
                <w:rFonts w:ascii="Arial" w:hAnsi="Arial" w:cs="Arial" w:eastAsia="Arial" w:hint="default"/>
                <w:spacing w:val="-6"/>
                <w:sz w:val="15"/>
                <w:szCs w:val="15"/>
              </w:rPr>
              <w:t> </w:t>
            </w:r>
            <w:r>
              <w:rPr>
                <w:rFonts w:ascii="宋体" w:hAnsi="宋体" w:cs="宋体" w:eastAsia="宋体" w:hint="default"/>
                <w:sz w:val="15"/>
                <w:szCs w:val="15"/>
              </w:rPr>
              <w:t>号民事判决驳回被上诉人请求；</w:t>
            </w:r>
            <w:r>
              <w:rPr>
                <w:rFonts w:ascii="宋体" w:hAnsi="宋体" w:cs="宋体" w:eastAsia="宋体" w:hint="default"/>
                <w:w w:val="100"/>
                <w:sz w:val="15"/>
                <w:szCs w:val="15"/>
              </w:rPr>
              <w:t> </w:t>
            </w:r>
            <w:r>
              <w:rPr>
                <w:rFonts w:ascii="Arial" w:hAnsi="Arial" w:cs="Arial" w:eastAsia="Arial" w:hint="default"/>
                <w:spacing w:val="-5"/>
                <w:sz w:val="15"/>
                <w:szCs w:val="15"/>
              </w:rPr>
              <w:t>2</w:t>
            </w:r>
            <w:r>
              <w:rPr>
                <w:rFonts w:ascii="宋体" w:hAnsi="宋体" w:cs="宋体" w:eastAsia="宋体" w:hint="default"/>
                <w:spacing w:val="-5"/>
                <w:sz w:val="15"/>
                <w:szCs w:val="15"/>
              </w:rPr>
              <w:t>、本案一、二审诉讼费用由被上诉人承担</w:t>
            </w:r>
            <w:r>
              <w:rPr>
                <w:rFonts w:ascii="宋体" w:hAnsi="宋体" w:cs="宋体" w:eastAsia="宋体" w:hint="default"/>
                <w:spacing w:val="-41"/>
                <w:sz w:val="15"/>
                <w:szCs w:val="15"/>
              </w:rPr>
              <w:t> </w:t>
            </w:r>
            <w:r>
              <w:rPr>
                <w:rFonts w:ascii="宋体" w:hAnsi="宋体" w:cs="宋体" w:eastAsia="宋体" w:hint="default"/>
                <w:spacing w:val="-41"/>
                <w:sz w:val="15"/>
                <w:szCs w:val="15"/>
              </w:rPr>
            </w:r>
            <w:r>
              <w:rPr>
                <w:rFonts w:ascii="宋体" w:hAnsi="宋体" w:cs="宋体" w:eastAsia="宋体" w:hint="default"/>
                <w:sz w:val="15"/>
                <w:szCs w:val="15"/>
              </w:rPr>
              <w:t>二审已开庭审理，现等待判决。</w:t>
            </w:r>
          </w:p>
        </w:tc>
        <w:tc>
          <w:tcPr>
            <w:tcW w:w="1529" w:type="dxa"/>
            <w:tcBorders>
              <w:top w:val="single" w:sz="8" w:space="0" w:color="41B7EE"/>
              <w:left w:val="single" w:sz="4" w:space="0" w:color="41B7EE"/>
              <w:bottom w:val="single" w:sz="8" w:space="0" w:color="41B7EE"/>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2"/>
              <w:ind w:left="-109" w:right="0"/>
              <w:jc w:val="left"/>
              <w:rPr>
                <w:rFonts w:ascii="宋体" w:hAnsi="宋体" w:cs="宋体" w:eastAsia="宋体" w:hint="default"/>
                <w:sz w:val="15"/>
                <w:szCs w:val="15"/>
              </w:rPr>
            </w:pPr>
            <w:r>
              <w:rPr>
                <w:rFonts w:ascii="宋体" w:hAnsi="宋体" w:cs="宋体" w:eastAsia="宋体" w:hint="default"/>
                <w:w w:val="100"/>
                <w:sz w:val="15"/>
                <w:szCs w:val="15"/>
              </w:rPr>
              <w:t>。</w:t>
            </w:r>
          </w:p>
        </w:tc>
      </w:tr>
    </w:tbl>
    <w:p>
      <w:pPr>
        <w:spacing w:after="0" w:line="240" w:lineRule="auto"/>
        <w:jc w:val="left"/>
        <w:rPr>
          <w:rFonts w:ascii="宋体" w:hAnsi="宋体" w:cs="宋体" w:eastAsia="宋体" w:hint="default"/>
          <w:sz w:val="15"/>
          <w:szCs w:val="15"/>
        </w:rPr>
        <w:sectPr>
          <w:footerReference w:type="default" r:id="rId23"/>
          <w:pgSz w:w="16840" w:h="11910" w:orient="landscape"/>
          <w:pgMar w:footer="1195" w:header="825" w:top="1360" w:bottom="1380" w:left="1300" w:right="136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p>
      <w:pPr>
        <w:spacing w:line="6929" w:lineRule="exact"/>
        <w:ind w:left="10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8"/>
          <w:sz w:val="20"/>
          <w:szCs w:val="20"/>
        </w:rPr>
        <w:pict>
          <v:group style="width:697.55pt;height:346.5pt;mso-position-horizontal-relative:char;mso-position-vertical-relative:line" coordorigin="0,0" coordsize="13951,6930">
            <v:group style="position:absolute;left:4940;top:60;width:1349;height:6810" coordorigin="4940,60" coordsize="1349,6810">
              <v:shape style="position:absolute;left:4940;top:60;width:1349;height:6810" coordorigin="4940,60" coordsize="1349,6810" path="m4940,6870l6289,6870,6289,60,4940,60,4940,6870xe" filled="true" fillcolor="#ffffff" stroked="false">
                <v:path arrowok="t"/>
                <v:fill type="solid"/>
              </v:shape>
            </v:group>
            <v:group style="position:absolute;left:10;top:10;width:608;height:2" coordorigin="10,10" coordsize="608,2">
              <v:shape style="position:absolute;left:10;top:10;width:608;height:2" coordorigin="10,10" coordsize="608,0" path="m10,10l617,10e" filled="false" stroked="true" strokeweight=".96pt" strokecolor="#41b7ee">
                <v:path arrowok="t"/>
              </v:shape>
            </v:group>
            <v:group style="position:absolute;left:10;top:48;width:608;height:2" coordorigin="10,48" coordsize="608,2">
              <v:shape style="position:absolute;left:10;top:48;width:608;height:2" coordorigin="10,48" coordsize="608,0" path="m10,48l617,48e" filled="false" stroked="true" strokeweight=".96001pt" strokecolor="#41b7ee">
                <v:path arrowok="t"/>
              </v:shape>
            </v:group>
            <v:group style="position:absolute;left:617;top:10;width:58;height:2" coordorigin="617,10" coordsize="58,2">
              <v:shape style="position:absolute;left:617;top:10;width:58;height:2" coordorigin="617,10" coordsize="58,0" path="m617,10l675,10e" filled="false" stroked="true" strokeweight=".96pt" strokecolor="#41b7ee">
                <v:path arrowok="t"/>
              </v:shape>
            </v:group>
            <v:group style="position:absolute;left:617;top:48;width:58;height:2" coordorigin="617,48" coordsize="58,2">
              <v:shape style="position:absolute;left:617;top:48;width:58;height:2" coordorigin="617,48" coordsize="58,0" path="m617,48l675,48e" filled="false" stroked="true" strokeweight=".96001pt" strokecolor="#41b7ee">
                <v:path arrowok="t"/>
              </v:shape>
            </v:group>
            <v:group style="position:absolute;left:675;top:10;width:588;height:2" coordorigin="675,10" coordsize="588,2">
              <v:shape style="position:absolute;left:675;top:10;width:588;height:2" coordorigin="675,10" coordsize="588,0" path="m675,10l1263,10e" filled="false" stroked="true" strokeweight=".96pt" strokecolor="#41b7ee">
                <v:path arrowok="t"/>
              </v:shape>
            </v:group>
            <v:group style="position:absolute;left:675;top:48;width:588;height:2" coordorigin="675,48" coordsize="588,2">
              <v:shape style="position:absolute;left:675;top:48;width:588;height:2" coordorigin="675,48" coordsize="588,0" path="m675,48l1263,48e" filled="false" stroked="true" strokeweight=".96001pt" strokecolor="#41b7ee">
                <v:path arrowok="t"/>
              </v:shape>
            </v:group>
            <v:group style="position:absolute;left:1263;top:10;width:58;height:2" coordorigin="1263,10" coordsize="58,2">
              <v:shape style="position:absolute;left:1263;top:10;width:58;height:2" coordorigin="1263,10" coordsize="58,0" path="m1263,10l1320,10e" filled="false" stroked="true" strokeweight=".96pt" strokecolor="#41b7ee">
                <v:path arrowok="t"/>
              </v:shape>
            </v:group>
            <v:group style="position:absolute;left:1263;top:48;width:58;height:2" coordorigin="1263,48" coordsize="58,2">
              <v:shape style="position:absolute;left:1263;top:48;width:58;height:2" coordorigin="1263,48" coordsize="58,0" path="m1263,48l1320,48e" filled="false" stroked="true" strokeweight=".96001pt" strokecolor="#41b7ee">
                <v:path arrowok="t"/>
              </v:shape>
            </v:group>
            <v:group style="position:absolute;left:1320;top:10;width:737;height:2" coordorigin="1320,10" coordsize="737,2">
              <v:shape style="position:absolute;left:1320;top:10;width:737;height:2" coordorigin="1320,10" coordsize="737,0" path="m1320,10l2057,10e" filled="false" stroked="true" strokeweight=".96pt" strokecolor="#41b7ee">
                <v:path arrowok="t"/>
              </v:shape>
            </v:group>
            <v:group style="position:absolute;left:1320;top:48;width:737;height:2" coordorigin="1320,48" coordsize="737,2">
              <v:shape style="position:absolute;left:1320;top:48;width:737;height:2" coordorigin="1320,48" coordsize="737,0" path="m1320,48l2057,48e" filled="false" stroked="true" strokeweight=".96001pt" strokecolor="#41b7ee">
                <v:path arrowok="t"/>
              </v:shape>
            </v:group>
            <v:group style="position:absolute;left:2057;top:10;width:58;height:2" coordorigin="2057,10" coordsize="58,2">
              <v:shape style="position:absolute;left:2057;top:10;width:58;height:2" coordorigin="2057,10" coordsize="58,0" path="m2057,10l2115,10e" filled="false" stroked="true" strokeweight=".96pt" strokecolor="#41b7ee">
                <v:path arrowok="t"/>
              </v:shape>
            </v:group>
            <v:group style="position:absolute;left:2057;top:48;width:58;height:2" coordorigin="2057,48" coordsize="58,2">
              <v:shape style="position:absolute;left:2057;top:48;width:58;height:2" coordorigin="2057,48" coordsize="58,0" path="m2057,48l2115,48e" filled="false" stroked="true" strokeweight=".96001pt" strokecolor="#41b7ee">
                <v:path arrowok="t"/>
              </v:shape>
            </v:group>
            <v:group style="position:absolute;left:2115;top:10;width:543;height:2" coordorigin="2115,10" coordsize="543,2">
              <v:shape style="position:absolute;left:2115;top:10;width:543;height:2" coordorigin="2115,10" coordsize="543,0" path="m2115,10l2657,10e" filled="false" stroked="true" strokeweight=".96pt" strokecolor="#41b7ee">
                <v:path arrowok="t"/>
              </v:shape>
            </v:group>
            <v:group style="position:absolute;left:2115;top:48;width:543;height:2" coordorigin="2115,48" coordsize="543,2">
              <v:shape style="position:absolute;left:2115;top:48;width:543;height:2" coordorigin="2115,48" coordsize="543,0" path="m2115,48l2657,48e" filled="false" stroked="true" strokeweight=".96001pt" strokecolor="#41b7ee">
                <v:path arrowok="t"/>
              </v:shape>
            </v:group>
            <v:group style="position:absolute;left:2657;top:10;width:58;height:2" coordorigin="2657,10" coordsize="58,2">
              <v:shape style="position:absolute;left:2657;top:10;width:58;height:2" coordorigin="2657,10" coordsize="58,0" path="m2657,10l2715,10e" filled="false" stroked="true" strokeweight=".96pt" strokecolor="#41b7ee">
                <v:path arrowok="t"/>
              </v:shape>
            </v:group>
            <v:group style="position:absolute;left:2657;top:48;width:58;height:2" coordorigin="2657,48" coordsize="58,2">
              <v:shape style="position:absolute;left:2657;top:48;width:58;height:2" coordorigin="2657,48" coordsize="58,0" path="m2657,48l2715,48e" filled="false" stroked="true" strokeweight=".96001pt" strokecolor="#41b7ee">
                <v:path arrowok="t"/>
              </v:shape>
            </v:group>
            <v:group style="position:absolute;left:2715;top:10;width:2216;height:2" coordorigin="2715,10" coordsize="2216,2">
              <v:shape style="position:absolute;left:2715;top:10;width:2216;height:2" coordorigin="2715,10" coordsize="2216,0" path="m2715,10l4930,10e" filled="false" stroked="true" strokeweight=".96pt" strokecolor="#41b7ee">
                <v:path arrowok="t"/>
              </v:shape>
            </v:group>
            <v:group style="position:absolute;left:2715;top:48;width:2216;height:2" coordorigin="2715,48" coordsize="2216,2">
              <v:shape style="position:absolute;left:2715;top:48;width:2216;height:2" coordorigin="2715,48" coordsize="2216,0" path="m2715,48l4930,48e" filled="false" stroked="true" strokeweight=".96001pt" strokecolor="#41b7ee">
                <v:path arrowok="t"/>
              </v:shape>
            </v:group>
            <v:group style="position:absolute;left:4931;top:10;width:58;height:2" coordorigin="4931,10" coordsize="58,2">
              <v:shape style="position:absolute;left:4931;top:10;width:58;height:2" coordorigin="4931,10" coordsize="58,0" path="m4931,10l4988,10e" filled="false" stroked="true" strokeweight=".96pt" strokecolor="#41b7ee">
                <v:path arrowok="t"/>
              </v:shape>
            </v:group>
            <v:group style="position:absolute;left:4931;top:48;width:58;height:2" coordorigin="4931,48" coordsize="58,2">
              <v:shape style="position:absolute;left:4931;top:48;width:58;height:2" coordorigin="4931,48" coordsize="58,0" path="m4931,48l4988,48e" filled="false" stroked="true" strokeweight=".96001pt" strokecolor="#41b7ee">
                <v:path arrowok="t"/>
              </v:shape>
            </v:group>
            <v:group style="position:absolute;left:4988;top:10;width:1301;height:2" coordorigin="4988,10" coordsize="1301,2">
              <v:shape style="position:absolute;left:4988;top:10;width:1301;height:2" coordorigin="4988,10" coordsize="1301,0" path="m4988,10l6289,10e" filled="false" stroked="true" strokeweight=".96pt" strokecolor="#41b7ee">
                <v:path arrowok="t"/>
              </v:shape>
            </v:group>
            <v:group style="position:absolute;left:4988;top:48;width:1301;height:2" coordorigin="4988,48" coordsize="1301,2">
              <v:shape style="position:absolute;left:4988;top:48;width:1301;height:2" coordorigin="4988,48" coordsize="1301,0" path="m4988,48l6289,48e" filled="false" stroked="true" strokeweight=".96001pt" strokecolor="#41b7ee">
                <v:path arrowok="t"/>
              </v:shape>
            </v:group>
            <v:group style="position:absolute;left:6289;top:10;width:58;height:2" coordorigin="6289,10" coordsize="58,2">
              <v:shape style="position:absolute;left:6289;top:10;width:58;height:2" coordorigin="6289,10" coordsize="58,0" path="m6289,10l6347,10e" filled="false" stroked="true" strokeweight=".96pt" strokecolor="#41b7ee">
                <v:path arrowok="t"/>
              </v:shape>
            </v:group>
            <v:group style="position:absolute;left:6289;top:48;width:58;height:2" coordorigin="6289,48" coordsize="58,2">
              <v:shape style="position:absolute;left:6289;top:48;width:58;height:2" coordorigin="6289,48" coordsize="58,0" path="m6289,48l6347,48e" filled="false" stroked="true" strokeweight=".96001pt" strokecolor="#41b7ee">
                <v:path arrowok="t"/>
              </v:shape>
            </v:group>
            <v:group style="position:absolute;left:6347;top:10;width:780;height:2" coordorigin="6347,10" coordsize="780,2">
              <v:shape style="position:absolute;left:6347;top:10;width:780;height:2" coordorigin="6347,10" coordsize="780,0" path="m6347,10l7127,10e" filled="false" stroked="true" strokeweight=".96pt" strokecolor="#41b7ee">
                <v:path arrowok="t"/>
              </v:shape>
            </v:group>
            <v:group style="position:absolute;left:6347;top:48;width:780;height:2" coordorigin="6347,48" coordsize="780,2">
              <v:shape style="position:absolute;left:6347;top:48;width:780;height:2" coordorigin="6347,48" coordsize="780,0" path="m6347,48l7127,48e" filled="false" stroked="true" strokeweight=".96001pt" strokecolor="#41b7ee">
                <v:path arrowok="t"/>
              </v:shape>
            </v:group>
            <v:group style="position:absolute;left:7127;top:10;width:58;height:2" coordorigin="7127,10" coordsize="58,2">
              <v:shape style="position:absolute;left:7127;top:10;width:58;height:2" coordorigin="7127,10" coordsize="58,0" path="m7127,10l7184,10e" filled="false" stroked="true" strokeweight=".96pt" strokecolor="#41b7ee">
                <v:path arrowok="t"/>
              </v:shape>
            </v:group>
            <v:group style="position:absolute;left:7127;top:48;width:58;height:2" coordorigin="7127,48" coordsize="58,2">
              <v:shape style="position:absolute;left:7127;top:48;width:58;height:2" coordorigin="7127,48" coordsize="58,0" path="m7127,48l7184,48e" filled="false" stroked="true" strokeweight=".96001pt" strokecolor="#41b7ee">
                <v:path arrowok="t"/>
              </v:shape>
            </v:group>
            <v:group style="position:absolute;left:7184;top:10;width:2365;height:2" coordorigin="7184,10" coordsize="2365,2">
              <v:shape style="position:absolute;left:7184;top:10;width:2365;height:2" coordorigin="7184,10" coordsize="2365,0" path="m7184,10l9549,10e" filled="false" stroked="true" strokeweight=".96pt" strokecolor="#41b7ee">
                <v:path arrowok="t"/>
              </v:shape>
            </v:group>
            <v:group style="position:absolute;left:7184;top:48;width:2365;height:2" coordorigin="7184,48" coordsize="2365,2">
              <v:shape style="position:absolute;left:7184;top:48;width:2365;height:2" coordorigin="7184,48" coordsize="2365,0" path="m7184,48l9549,48e" filled="false" stroked="true" strokeweight=".96001pt" strokecolor="#41b7ee">
                <v:path arrowok="t"/>
              </v:shape>
            </v:group>
            <v:group style="position:absolute;left:9549;top:10;width:58;height:2" coordorigin="9549,10" coordsize="58,2">
              <v:shape style="position:absolute;left:9549;top:10;width:58;height:2" coordorigin="9549,10" coordsize="58,0" path="m9549,10l9606,10e" filled="false" stroked="true" strokeweight=".96pt" strokecolor="#41b7ee">
                <v:path arrowok="t"/>
              </v:shape>
            </v:group>
            <v:group style="position:absolute;left:9549;top:48;width:58;height:2" coordorigin="9549,48" coordsize="58,2">
              <v:shape style="position:absolute;left:9549;top:48;width:58;height:2" coordorigin="9549,48" coordsize="58,0" path="m9549,48l9606,48e" filled="false" stroked="true" strokeweight=".96001pt" strokecolor="#41b7ee">
                <v:path arrowok="t"/>
              </v:shape>
            </v:group>
            <v:group style="position:absolute;left:9606;top:10;width:2802;height:2" coordorigin="9606,10" coordsize="2802,2">
              <v:shape style="position:absolute;left:9606;top:10;width:2802;height:2" coordorigin="9606,10" coordsize="2802,0" path="m9606,10l12407,10e" filled="false" stroked="true" strokeweight=".96pt" strokecolor="#41b7ee">
                <v:path arrowok="t"/>
              </v:shape>
            </v:group>
            <v:group style="position:absolute;left:9606;top:48;width:2802;height:2" coordorigin="9606,48" coordsize="2802,2">
              <v:shape style="position:absolute;left:9606;top:48;width:2802;height:2" coordorigin="9606,48" coordsize="2802,0" path="m9606,48l12407,48e" filled="false" stroked="true" strokeweight=".96001pt" strokecolor="#41b7ee">
                <v:path arrowok="t"/>
              </v:shape>
            </v:group>
            <v:group style="position:absolute;left:12408;top:10;width:58;height:2" coordorigin="12408,10" coordsize="58,2">
              <v:shape style="position:absolute;left:12408;top:10;width:58;height:2" coordorigin="12408,10" coordsize="58,0" path="m12408,10l12465,10e" filled="false" stroked="true" strokeweight=".96pt" strokecolor="#41b7ee">
                <v:path arrowok="t"/>
              </v:shape>
            </v:group>
            <v:group style="position:absolute;left:12408;top:48;width:58;height:2" coordorigin="12408,48" coordsize="58,2">
              <v:shape style="position:absolute;left:12408;top:48;width:58;height:2" coordorigin="12408,48" coordsize="58,0" path="m12408,48l12465,48e" filled="false" stroked="true" strokeweight=".96001pt" strokecolor="#41b7ee">
                <v:path arrowok="t"/>
              </v:shape>
            </v:group>
            <v:group style="position:absolute;left:12465;top:10;width:1476;height:2" coordorigin="12465,10" coordsize="1476,2">
              <v:shape style="position:absolute;left:12465;top:10;width:1476;height:2" coordorigin="12465,10" coordsize="1476,0" path="m12465,10l13941,10e" filled="false" stroked="true" strokeweight=".96pt" strokecolor="#41b7ee">
                <v:path arrowok="t"/>
              </v:shape>
            </v:group>
            <v:group style="position:absolute;left:12465;top:48;width:1476;height:2" coordorigin="12465,48" coordsize="1476,2">
              <v:shape style="position:absolute;left:12465;top:48;width:1476;height:2" coordorigin="12465,48" coordsize="1476,0" path="m12465,48l13941,48e" filled="false" stroked="true" strokeweight=".96001pt" strokecolor="#41b7ee">
                <v:path arrowok="t"/>
              </v:shape>
            </v:group>
            <v:group style="position:absolute;left:10;top:6920;width:608;height:2" coordorigin="10,6920" coordsize="608,2">
              <v:shape style="position:absolute;left:10;top:6920;width:608;height:2" coordorigin="10,6920" coordsize="608,0" path="m10,6920l617,6920e" filled="false" stroked="true" strokeweight=".95999pt" strokecolor="#41b7ee">
                <v:path arrowok="t"/>
              </v:shape>
            </v:group>
            <v:group style="position:absolute;left:10;top:6882;width:608;height:2" coordorigin="10,6882" coordsize="608,2">
              <v:shape style="position:absolute;left:10;top:6882;width:608;height:2" coordorigin="10,6882" coordsize="608,0" path="m10,6882l617,6882e" filled="false" stroked="true" strokeweight=".96002pt" strokecolor="#41b7ee">
                <v:path arrowok="t"/>
              </v:shape>
            </v:group>
            <v:group style="position:absolute;left:622;top:58;width:2;height:6815" coordorigin="622,58" coordsize="2,6815">
              <v:shape style="position:absolute;left:622;top:58;width:2;height:6815" coordorigin="622,58" coordsize="0,6815" path="m622,58l622,6872e" filled="false" stroked="true" strokeweight=".48pt" strokecolor="#41b7ee">
                <v:path arrowok="t"/>
              </v:shape>
            </v:group>
            <v:group style="position:absolute;left:617;top:6882;width:58;height:2" coordorigin="617,6882" coordsize="58,2">
              <v:shape style="position:absolute;left:617;top:6882;width:58;height:2" coordorigin="617,6882" coordsize="58,0" path="m617,6882l675,6882e" filled="false" stroked="true" strokeweight=".96002pt" strokecolor="#41b7ee">
                <v:path arrowok="t"/>
              </v:shape>
            </v:group>
            <v:group style="position:absolute;left:617;top:6920;width:58;height:2" coordorigin="617,6920" coordsize="58,2">
              <v:shape style="position:absolute;left:617;top:6920;width:58;height:2" coordorigin="617,6920" coordsize="58,0" path="m617,6920l675,6920e" filled="false" stroked="true" strokeweight=".95999pt" strokecolor="#41b7ee">
                <v:path arrowok="t"/>
              </v:shape>
            </v:group>
            <v:group style="position:absolute;left:675;top:6920;width:588;height:2" coordorigin="675,6920" coordsize="588,2">
              <v:shape style="position:absolute;left:675;top:6920;width:588;height:2" coordorigin="675,6920" coordsize="588,0" path="m675,6920l1263,6920e" filled="false" stroked="true" strokeweight=".95999pt" strokecolor="#41b7ee">
                <v:path arrowok="t"/>
              </v:shape>
            </v:group>
            <v:group style="position:absolute;left:675;top:6882;width:588;height:2" coordorigin="675,6882" coordsize="588,2">
              <v:shape style="position:absolute;left:675;top:6882;width:588;height:2" coordorigin="675,6882" coordsize="588,0" path="m675,6882l1263,6882e" filled="false" stroked="true" strokeweight=".96002pt" strokecolor="#41b7ee">
                <v:path arrowok="t"/>
              </v:shape>
            </v:group>
            <v:group style="position:absolute;left:1268;top:58;width:2;height:6815" coordorigin="1268,58" coordsize="2,6815">
              <v:shape style="position:absolute;left:1268;top:58;width:2;height:6815" coordorigin="1268,58" coordsize="0,6815" path="m1268,58l1268,6872e" filled="false" stroked="true" strokeweight=".48pt" strokecolor="#41b7ee">
                <v:path arrowok="t"/>
              </v:shape>
            </v:group>
            <v:group style="position:absolute;left:1263;top:6882;width:58;height:2" coordorigin="1263,6882" coordsize="58,2">
              <v:shape style="position:absolute;left:1263;top:6882;width:58;height:2" coordorigin="1263,6882" coordsize="58,0" path="m1263,6882l1320,6882e" filled="false" stroked="true" strokeweight=".96002pt" strokecolor="#41b7ee">
                <v:path arrowok="t"/>
              </v:shape>
            </v:group>
            <v:group style="position:absolute;left:1263;top:6920;width:58;height:2" coordorigin="1263,6920" coordsize="58,2">
              <v:shape style="position:absolute;left:1263;top:6920;width:58;height:2" coordorigin="1263,6920" coordsize="58,0" path="m1263,6920l1320,6920e" filled="false" stroked="true" strokeweight=".95999pt" strokecolor="#41b7ee">
                <v:path arrowok="t"/>
              </v:shape>
            </v:group>
            <v:group style="position:absolute;left:1320;top:6920;width:737;height:2" coordorigin="1320,6920" coordsize="737,2">
              <v:shape style="position:absolute;left:1320;top:6920;width:737;height:2" coordorigin="1320,6920" coordsize="737,0" path="m1320,6920l2057,6920e" filled="false" stroked="true" strokeweight=".95999pt" strokecolor="#41b7ee">
                <v:path arrowok="t"/>
              </v:shape>
            </v:group>
            <v:group style="position:absolute;left:1320;top:6882;width:737;height:2" coordorigin="1320,6882" coordsize="737,2">
              <v:shape style="position:absolute;left:1320;top:6882;width:737;height:2" coordorigin="1320,6882" coordsize="737,0" path="m1320,6882l2057,6882e" filled="false" stroked="true" strokeweight=".96002pt" strokecolor="#41b7ee">
                <v:path arrowok="t"/>
              </v:shape>
            </v:group>
            <v:group style="position:absolute;left:2062;top:58;width:2;height:6815" coordorigin="2062,58" coordsize="2,6815">
              <v:shape style="position:absolute;left:2062;top:58;width:2;height:6815" coordorigin="2062,58" coordsize="0,6815" path="m2062,58l2062,6872e" filled="false" stroked="true" strokeweight=".48pt" strokecolor="#41b7ee">
                <v:path arrowok="t"/>
              </v:shape>
            </v:group>
            <v:group style="position:absolute;left:2057;top:6882;width:58;height:2" coordorigin="2057,6882" coordsize="58,2">
              <v:shape style="position:absolute;left:2057;top:6882;width:58;height:2" coordorigin="2057,6882" coordsize="58,0" path="m2057,6882l2115,6882e" filled="false" stroked="true" strokeweight=".96002pt" strokecolor="#41b7ee">
                <v:path arrowok="t"/>
              </v:shape>
            </v:group>
            <v:group style="position:absolute;left:2057;top:6920;width:58;height:2" coordorigin="2057,6920" coordsize="58,2">
              <v:shape style="position:absolute;left:2057;top:6920;width:58;height:2" coordorigin="2057,6920" coordsize="58,0" path="m2057,6920l2115,6920e" filled="false" stroked="true" strokeweight=".95999pt" strokecolor="#41b7ee">
                <v:path arrowok="t"/>
              </v:shape>
            </v:group>
            <v:group style="position:absolute;left:2115;top:6920;width:543;height:2" coordorigin="2115,6920" coordsize="543,2">
              <v:shape style="position:absolute;left:2115;top:6920;width:543;height:2" coordorigin="2115,6920" coordsize="543,0" path="m2115,6920l2657,6920e" filled="false" stroked="true" strokeweight=".95999pt" strokecolor="#41b7ee">
                <v:path arrowok="t"/>
              </v:shape>
            </v:group>
            <v:group style="position:absolute;left:2115;top:6882;width:543;height:2" coordorigin="2115,6882" coordsize="543,2">
              <v:shape style="position:absolute;left:2115;top:6882;width:543;height:2" coordorigin="2115,6882" coordsize="543,0" path="m2115,6882l2657,6882e" filled="false" stroked="true" strokeweight=".96002pt" strokecolor="#41b7ee">
                <v:path arrowok="t"/>
              </v:shape>
            </v:group>
            <v:group style="position:absolute;left:2662;top:58;width:2;height:6815" coordorigin="2662,58" coordsize="2,6815">
              <v:shape style="position:absolute;left:2662;top:58;width:2;height:6815" coordorigin="2662,58" coordsize="0,6815" path="m2662,58l2662,6872e" filled="false" stroked="true" strokeweight=".48pt" strokecolor="#41b7ee">
                <v:path arrowok="t"/>
              </v:shape>
            </v:group>
            <v:group style="position:absolute;left:2657;top:6882;width:58;height:2" coordorigin="2657,6882" coordsize="58,2">
              <v:shape style="position:absolute;left:2657;top:6882;width:58;height:2" coordorigin="2657,6882" coordsize="58,0" path="m2657,6882l2715,6882e" filled="false" stroked="true" strokeweight=".96002pt" strokecolor="#41b7ee">
                <v:path arrowok="t"/>
              </v:shape>
            </v:group>
            <v:group style="position:absolute;left:2657;top:6920;width:58;height:2" coordorigin="2657,6920" coordsize="58,2">
              <v:shape style="position:absolute;left:2657;top:6920;width:58;height:2" coordorigin="2657,6920" coordsize="58,0" path="m2657,6920l2715,6920e" filled="false" stroked="true" strokeweight=".95999pt" strokecolor="#41b7ee">
                <v:path arrowok="t"/>
              </v:shape>
            </v:group>
            <v:group style="position:absolute;left:2715;top:6920;width:2216;height:2" coordorigin="2715,6920" coordsize="2216,2">
              <v:shape style="position:absolute;left:2715;top:6920;width:2216;height:2" coordorigin="2715,6920" coordsize="2216,0" path="m2715,6920l4930,6920e" filled="false" stroked="true" strokeweight=".95999pt" strokecolor="#41b7ee">
                <v:path arrowok="t"/>
              </v:shape>
            </v:group>
            <v:group style="position:absolute;left:2715;top:6882;width:2216;height:2" coordorigin="2715,6882" coordsize="2216,2">
              <v:shape style="position:absolute;left:2715;top:6882;width:2216;height:2" coordorigin="2715,6882" coordsize="2216,0" path="m2715,6882l4930,6882e" filled="false" stroked="true" strokeweight=".96002pt" strokecolor="#41b7ee">
                <v:path arrowok="t"/>
              </v:shape>
            </v:group>
            <v:group style="position:absolute;left:4935;top:58;width:2;height:6815" coordorigin="4935,58" coordsize="2,6815">
              <v:shape style="position:absolute;left:4935;top:58;width:2;height:6815" coordorigin="4935,58" coordsize="0,6815" path="m4935,58l4935,6872e" filled="false" stroked="true" strokeweight=".48001pt" strokecolor="#41b7ee">
                <v:path arrowok="t"/>
              </v:shape>
            </v:group>
            <v:group style="position:absolute;left:4931;top:6882;width:58;height:2" coordorigin="4931,6882" coordsize="58,2">
              <v:shape style="position:absolute;left:4931;top:6882;width:58;height:2" coordorigin="4931,6882" coordsize="58,0" path="m4931,6882l4988,6882e" filled="false" stroked="true" strokeweight=".96002pt" strokecolor="#41b7ee">
                <v:path arrowok="t"/>
              </v:shape>
            </v:group>
            <v:group style="position:absolute;left:4931;top:6920;width:58;height:2" coordorigin="4931,6920" coordsize="58,2">
              <v:shape style="position:absolute;left:4931;top:6920;width:58;height:2" coordorigin="4931,6920" coordsize="58,0" path="m4931,6920l4988,6920e" filled="false" stroked="true" strokeweight=".95999pt" strokecolor="#41b7ee">
                <v:path arrowok="t"/>
              </v:shape>
            </v:group>
            <v:group style="position:absolute;left:4988;top:6920;width:1301;height:2" coordorigin="4988,6920" coordsize="1301,2">
              <v:shape style="position:absolute;left:4988;top:6920;width:1301;height:2" coordorigin="4988,6920" coordsize="1301,0" path="m4988,6920l6289,6920e" filled="false" stroked="true" strokeweight=".95999pt" strokecolor="#41b7ee">
                <v:path arrowok="t"/>
              </v:shape>
            </v:group>
            <v:group style="position:absolute;left:4988;top:6882;width:1301;height:2" coordorigin="4988,6882" coordsize="1301,2">
              <v:shape style="position:absolute;left:4988;top:6882;width:1301;height:2" coordorigin="4988,6882" coordsize="1301,0" path="m4988,6882l6289,6882e" filled="false" stroked="true" strokeweight=".96002pt" strokecolor="#41b7ee">
                <v:path arrowok="t"/>
              </v:shape>
            </v:group>
            <v:group style="position:absolute;left:6294;top:58;width:2;height:6815" coordorigin="6294,58" coordsize="2,6815">
              <v:shape style="position:absolute;left:6294;top:58;width:2;height:6815" coordorigin="6294,58" coordsize="0,6815" path="m6294,58l6294,6872e" filled="false" stroked="true" strokeweight=".47998pt" strokecolor="#41b7ee">
                <v:path arrowok="t"/>
              </v:shape>
            </v:group>
            <v:group style="position:absolute;left:6289;top:6882;width:58;height:2" coordorigin="6289,6882" coordsize="58,2">
              <v:shape style="position:absolute;left:6289;top:6882;width:58;height:2" coordorigin="6289,6882" coordsize="58,0" path="m6289,6882l6347,6882e" filled="false" stroked="true" strokeweight=".96002pt" strokecolor="#41b7ee">
                <v:path arrowok="t"/>
              </v:shape>
            </v:group>
            <v:group style="position:absolute;left:6289;top:6920;width:58;height:2" coordorigin="6289,6920" coordsize="58,2">
              <v:shape style="position:absolute;left:6289;top:6920;width:58;height:2" coordorigin="6289,6920" coordsize="58,0" path="m6289,6920l6347,6920e" filled="false" stroked="true" strokeweight=".95999pt" strokecolor="#41b7ee">
                <v:path arrowok="t"/>
              </v:shape>
            </v:group>
            <v:group style="position:absolute;left:6347;top:6920;width:780;height:2" coordorigin="6347,6920" coordsize="780,2">
              <v:shape style="position:absolute;left:6347;top:6920;width:780;height:2" coordorigin="6347,6920" coordsize="780,0" path="m6347,6920l7127,6920e" filled="false" stroked="true" strokeweight=".95999pt" strokecolor="#41b7ee">
                <v:path arrowok="t"/>
              </v:shape>
            </v:group>
            <v:group style="position:absolute;left:6347;top:6882;width:780;height:2" coordorigin="6347,6882" coordsize="780,2">
              <v:shape style="position:absolute;left:6347;top:6882;width:780;height:2" coordorigin="6347,6882" coordsize="780,0" path="m6347,6882l7127,6882e" filled="false" stroked="true" strokeweight=".96002pt" strokecolor="#41b7ee">
                <v:path arrowok="t"/>
              </v:shape>
            </v:group>
            <v:group style="position:absolute;left:7131;top:58;width:2;height:6815" coordorigin="7131,58" coordsize="2,6815">
              <v:shape style="position:absolute;left:7131;top:58;width:2;height:6815" coordorigin="7131,58" coordsize="0,6815" path="m7131,58l7131,6872e" filled="false" stroked="true" strokeweight=".48001pt" strokecolor="#41b7ee">
                <v:path arrowok="t"/>
              </v:shape>
            </v:group>
            <v:group style="position:absolute;left:7127;top:6882;width:58;height:2" coordorigin="7127,6882" coordsize="58,2">
              <v:shape style="position:absolute;left:7127;top:6882;width:58;height:2" coordorigin="7127,6882" coordsize="58,0" path="m7127,6882l7184,6882e" filled="false" stroked="true" strokeweight=".96002pt" strokecolor="#41b7ee">
                <v:path arrowok="t"/>
              </v:shape>
            </v:group>
            <v:group style="position:absolute;left:7127;top:6920;width:58;height:2" coordorigin="7127,6920" coordsize="58,2">
              <v:shape style="position:absolute;left:7127;top:6920;width:58;height:2" coordorigin="7127,6920" coordsize="58,0" path="m7127,6920l7184,6920e" filled="false" stroked="true" strokeweight=".95999pt" strokecolor="#41b7ee">
                <v:path arrowok="t"/>
              </v:shape>
            </v:group>
            <v:group style="position:absolute;left:7184;top:6920;width:2365;height:2" coordorigin="7184,6920" coordsize="2365,2">
              <v:shape style="position:absolute;left:7184;top:6920;width:2365;height:2" coordorigin="7184,6920" coordsize="2365,0" path="m7184,6920l9549,6920e" filled="false" stroked="true" strokeweight=".95999pt" strokecolor="#41b7ee">
                <v:path arrowok="t"/>
              </v:shape>
            </v:group>
            <v:group style="position:absolute;left:7184;top:6882;width:2365;height:2" coordorigin="7184,6882" coordsize="2365,2">
              <v:shape style="position:absolute;left:7184;top:6882;width:2365;height:2" coordorigin="7184,6882" coordsize="2365,0" path="m7184,6882l9549,6882e" filled="false" stroked="true" strokeweight=".96002pt" strokecolor="#41b7ee">
                <v:path arrowok="t"/>
              </v:shape>
            </v:group>
            <v:group style="position:absolute;left:9553;top:58;width:2;height:6815" coordorigin="9553,58" coordsize="2,6815">
              <v:shape style="position:absolute;left:9553;top:58;width:2;height:6815" coordorigin="9553,58" coordsize="0,6815" path="m9553,58l9553,6872e" filled="false" stroked="true" strokeweight=".47998pt" strokecolor="#41b7ee">
                <v:path arrowok="t"/>
              </v:shape>
            </v:group>
            <v:group style="position:absolute;left:9549;top:6882;width:58;height:2" coordorigin="9549,6882" coordsize="58,2">
              <v:shape style="position:absolute;left:9549;top:6882;width:58;height:2" coordorigin="9549,6882" coordsize="58,0" path="m9549,6882l9606,6882e" filled="false" stroked="true" strokeweight=".96002pt" strokecolor="#41b7ee">
                <v:path arrowok="t"/>
              </v:shape>
            </v:group>
            <v:group style="position:absolute;left:9549;top:6920;width:58;height:2" coordorigin="9549,6920" coordsize="58,2">
              <v:shape style="position:absolute;left:9549;top:6920;width:58;height:2" coordorigin="9549,6920" coordsize="58,0" path="m9549,6920l9606,6920e" filled="false" stroked="true" strokeweight=".95999pt" strokecolor="#41b7ee">
                <v:path arrowok="t"/>
              </v:shape>
            </v:group>
            <v:group style="position:absolute;left:9606;top:6920;width:2802;height:2" coordorigin="9606,6920" coordsize="2802,2">
              <v:shape style="position:absolute;left:9606;top:6920;width:2802;height:2" coordorigin="9606,6920" coordsize="2802,0" path="m9606,6920l12407,6920e" filled="false" stroked="true" strokeweight=".95999pt" strokecolor="#41b7ee">
                <v:path arrowok="t"/>
              </v:shape>
            </v:group>
            <v:group style="position:absolute;left:9606;top:6882;width:2802;height:2" coordorigin="9606,6882" coordsize="2802,2">
              <v:shape style="position:absolute;left:9606;top:6882;width:2802;height:2" coordorigin="9606,6882" coordsize="2802,0" path="m9606,6882l12407,6882e" filled="false" stroked="true" strokeweight=".96002pt" strokecolor="#41b7ee">
                <v:path arrowok="t"/>
              </v:shape>
            </v:group>
            <v:group style="position:absolute;left:12412;top:58;width:2;height:6815" coordorigin="12412,58" coordsize="2,6815">
              <v:shape style="position:absolute;left:12412;top:58;width:2;height:6815" coordorigin="12412,58" coordsize="0,6815" path="m12412,58l12412,6872e" filled="false" stroked="true" strokeweight=".48004pt" strokecolor="#41b7ee">
                <v:path arrowok="t"/>
              </v:shape>
            </v:group>
            <v:group style="position:absolute;left:12408;top:6882;width:58;height:2" coordorigin="12408,6882" coordsize="58,2">
              <v:shape style="position:absolute;left:12408;top:6882;width:58;height:2" coordorigin="12408,6882" coordsize="58,0" path="m12408,6882l12465,6882e" filled="false" stroked="true" strokeweight=".96002pt" strokecolor="#41b7ee">
                <v:path arrowok="t"/>
              </v:shape>
            </v:group>
            <v:group style="position:absolute;left:12408;top:6920;width:58;height:2" coordorigin="12408,6920" coordsize="58,2">
              <v:shape style="position:absolute;left:12408;top:6920;width:58;height:2" coordorigin="12408,6920" coordsize="58,0" path="m12408,6920l12465,6920e" filled="false" stroked="true" strokeweight=".95999pt" strokecolor="#41b7ee">
                <v:path arrowok="t"/>
              </v:shape>
            </v:group>
            <v:group style="position:absolute;left:12465;top:6920;width:1476;height:2" coordorigin="12465,6920" coordsize="1476,2">
              <v:shape style="position:absolute;left:12465;top:6920;width:1476;height:2" coordorigin="12465,6920" coordsize="1476,0" path="m12465,6920l13941,6920e" filled="false" stroked="true" strokeweight=".95999pt" strokecolor="#41b7ee">
                <v:path arrowok="t"/>
              </v:shape>
            </v:group>
            <v:group style="position:absolute;left:12465;top:6882;width:1476;height:2" coordorigin="12465,6882" coordsize="1476,2">
              <v:shape style="position:absolute;left:12465;top:6882;width:1476;height:2" coordorigin="12465,6882" coordsize="1476,0" path="m12465,6882l13941,6882e" filled="false" stroked="true" strokeweight=".96002pt" strokecolor="#41b7ee">
                <v:path arrowok="t"/>
              </v:shape>
              <v:shape style="position:absolute;left:0;top:0;width:13951;height:6930" type="#_x0000_t202" filled="false" stroked="false">
                <v:textbox inset="0,0,0,0">
                  <w:txbxContent>
                    <w:p>
                      <w:pPr>
                        <w:tabs>
                          <w:tab w:pos="3067" w:val="left" w:leader="none"/>
                        </w:tabs>
                        <w:spacing w:line="232" w:lineRule="auto" w:before="41"/>
                        <w:ind w:left="2690" w:right="9039" w:firstLine="0"/>
                        <w:jc w:val="left"/>
                        <w:rPr>
                          <w:rFonts w:ascii="宋体" w:hAnsi="宋体" w:cs="宋体" w:eastAsia="宋体" w:hint="default"/>
                          <w:sz w:val="15"/>
                          <w:szCs w:val="15"/>
                        </w:rPr>
                      </w:pPr>
                      <w:r>
                        <w:rPr>
                          <w:rFonts w:ascii="宋体" w:hAnsi="宋体" w:cs="宋体" w:eastAsia="宋体" w:hint="default"/>
                          <w:spacing w:val="-4"/>
                          <w:sz w:val="15"/>
                          <w:szCs w:val="15"/>
                        </w:rPr>
                        <w:t>照相关法律规定，将债权转让的事</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pacing w:val="-6"/>
                          <w:sz w:val="15"/>
                          <w:szCs w:val="15"/>
                        </w:rPr>
                        <w:t>实书面通知了道里区棚改办。</w:t>
                      </w:r>
                      <w:r>
                        <w:rPr>
                          <w:rFonts w:ascii="Arial" w:hAnsi="Arial" w:cs="Arial" w:eastAsia="Arial" w:hint="default"/>
                          <w:spacing w:val="-6"/>
                          <w:sz w:val="15"/>
                          <w:szCs w:val="15"/>
                        </w:rPr>
                        <w:t>2016</w:t>
                      </w:r>
                      <w:r>
                        <w:rPr>
                          <w:rFonts w:ascii="Arial" w:hAnsi="Arial" w:cs="Arial" w:eastAsia="Arial" w:hint="default"/>
                          <w:spacing w:val="-24"/>
                          <w:sz w:val="15"/>
                          <w:szCs w:val="15"/>
                        </w:rPr>
                        <w:t> </w:t>
                      </w:r>
                      <w:r>
                        <w:rPr>
                          <w:rFonts w:ascii="Arial" w:hAnsi="Arial" w:cs="Arial" w:eastAsia="Arial" w:hint="default"/>
                          <w:spacing w:val="-24"/>
                          <w:sz w:val="15"/>
                          <w:szCs w:val="15"/>
                        </w:rPr>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w:hAnsi="Arial" w:cs="Arial" w:eastAsia="Arial" w:hint="default"/>
                          <w:sz w:val="15"/>
                          <w:szCs w:val="15"/>
                        </w:rPr>
                        <w:t>12</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8</w:t>
                      </w:r>
                      <w:r>
                        <w:rPr>
                          <w:rFonts w:ascii="Arial" w:hAnsi="Arial" w:cs="Arial" w:eastAsia="Arial" w:hint="default"/>
                          <w:spacing w:val="-6"/>
                          <w:sz w:val="15"/>
                          <w:szCs w:val="15"/>
                        </w:rPr>
                        <w:t> </w:t>
                      </w:r>
                      <w:r>
                        <w:rPr>
                          <w:rFonts w:ascii="宋体" w:hAnsi="宋体" w:cs="宋体" w:eastAsia="宋体" w:hint="default"/>
                          <w:sz w:val="15"/>
                          <w:szCs w:val="15"/>
                        </w:rPr>
                        <w:t>日，道里区棚改办退还</w:t>
                      </w:r>
                      <w:r>
                        <w:rPr>
                          <w:rFonts w:ascii="宋体" w:hAnsi="宋体" w:cs="宋体" w:eastAsia="宋体" w:hint="default"/>
                          <w:w w:val="100"/>
                          <w:sz w:val="15"/>
                          <w:szCs w:val="15"/>
                        </w:rPr>
                        <w:t> </w:t>
                      </w:r>
                      <w:r>
                        <w:rPr>
                          <w:rFonts w:ascii="宋体" w:hAnsi="宋体" w:cs="宋体" w:eastAsia="宋体" w:hint="default"/>
                          <w:sz w:val="15"/>
                          <w:szCs w:val="15"/>
                        </w:rPr>
                        <w:t>给原告上述棚改项目征拆保证金</w:t>
                      </w:r>
                      <w:r>
                        <w:rPr>
                          <w:rFonts w:ascii="宋体" w:hAnsi="宋体" w:cs="宋体" w:eastAsia="宋体" w:hint="default"/>
                          <w:w w:val="100"/>
                          <w:sz w:val="15"/>
                          <w:szCs w:val="15"/>
                        </w:rPr>
                        <w:t> </w:t>
                      </w:r>
                      <w:r>
                        <w:rPr>
                          <w:rFonts w:ascii="宋体" w:hAnsi="宋体" w:cs="宋体" w:eastAsia="宋体" w:hint="default"/>
                          <w:sz w:val="15"/>
                          <w:szCs w:val="15"/>
                        </w:rPr>
                        <w:t>中的</w:t>
                      </w:r>
                      <w:r>
                        <w:rPr>
                          <w:rFonts w:ascii="宋体" w:hAnsi="宋体" w:cs="宋体" w:eastAsia="宋体" w:hint="default"/>
                          <w:spacing w:val="-40"/>
                          <w:sz w:val="15"/>
                          <w:szCs w:val="15"/>
                        </w:rPr>
                        <w:t> </w:t>
                      </w:r>
                      <w:r>
                        <w:rPr>
                          <w:rFonts w:ascii="Arial" w:hAnsi="Arial" w:cs="Arial" w:eastAsia="Arial" w:hint="default"/>
                          <w:sz w:val="15"/>
                          <w:szCs w:val="15"/>
                        </w:rPr>
                        <w:t>3000</w:t>
                      </w:r>
                      <w:r>
                        <w:rPr>
                          <w:rFonts w:ascii="Arial" w:hAnsi="Arial" w:cs="Arial" w:eastAsia="Arial" w:hint="default"/>
                          <w:spacing w:val="-5"/>
                          <w:sz w:val="15"/>
                          <w:szCs w:val="15"/>
                        </w:rPr>
                        <w:t> </w:t>
                      </w:r>
                      <w:r>
                        <w:rPr>
                          <w:rFonts w:ascii="宋体" w:hAnsi="宋体" w:cs="宋体" w:eastAsia="宋体" w:hint="default"/>
                          <w:sz w:val="15"/>
                          <w:szCs w:val="15"/>
                        </w:rPr>
                        <w:t>万元。道里区棚改办给</w:t>
                      </w:r>
                      <w:r>
                        <w:rPr>
                          <w:rFonts w:ascii="宋体" w:hAnsi="宋体" w:cs="宋体" w:eastAsia="宋体" w:hint="default"/>
                          <w:w w:val="100"/>
                          <w:sz w:val="15"/>
                          <w:szCs w:val="15"/>
                        </w:rPr>
                        <w:t> </w:t>
                      </w:r>
                      <w:r>
                        <w:rPr>
                          <w:rFonts w:ascii="宋体" w:hAnsi="宋体" w:cs="宋体" w:eastAsia="宋体" w:hint="default"/>
                          <w:spacing w:val="-4"/>
                          <w:sz w:val="15"/>
                          <w:szCs w:val="15"/>
                        </w:rPr>
                        <w:t>付上述款项后，虽经乔仕公司多次</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发函或以其他方式要求道里区棚</w:t>
                      </w:r>
                      <w:r>
                        <w:rPr>
                          <w:rFonts w:ascii="宋体" w:hAnsi="宋体" w:cs="宋体" w:eastAsia="宋体" w:hint="default"/>
                          <w:w w:val="100"/>
                          <w:sz w:val="15"/>
                          <w:szCs w:val="15"/>
                        </w:rPr>
                        <w:t> </w:t>
                      </w:r>
                      <w:r>
                        <w:rPr>
                          <w:rFonts w:ascii="宋体" w:hAnsi="宋体" w:cs="宋体" w:eastAsia="宋体" w:hint="default"/>
                          <w:sz w:val="15"/>
                          <w:szCs w:val="15"/>
                        </w:rPr>
                        <w:t>改办返还给原告剩余的壹亿柒仟</w:t>
                      </w:r>
                      <w:r>
                        <w:rPr>
                          <w:rFonts w:ascii="宋体" w:hAnsi="宋体" w:cs="宋体" w:eastAsia="宋体" w:hint="default"/>
                          <w:w w:val="100"/>
                          <w:sz w:val="15"/>
                          <w:szCs w:val="15"/>
                        </w:rPr>
                        <w:t> </w:t>
                      </w:r>
                      <w:r>
                        <w:rPr>
                          <w:rFonts w:ascii="宋体" w:hAnsi="宋体" w:cs="宋体" w:eastAsia="宋体" w:hint="default"/>
                          <w:spacing w:val="-4"/>
                          <w:sz w:val="15"/>
                          <w:szCs w:val="15"/>
                        </w:rPr>
                        <w:t>万元，并要求道里区棚改办就乔仕</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公司在棚改项目前期土地整理时</w:t>
                      </w:r>
                      <w:r>
                        <w:rPr>
                          <w:rFonts w:ascii="宋体" w:hAnsi="宋体" w:cs="宋体" w:eastAsia="宋体" w:hint="default"/>
                          <w:w w:val="100"/>
                          <w:sz w:val="15"/>
                          <w:szCs w:val="15"/>
                        </w:rPr>
                        <w:t> </w:t>
                      </w:r>
                      <w:r>
                        <w:rPr>
                          <w:rFonts w:ascii="宋体" w:hAnsi="宋体" w:cs="宋体" w:eastAsia="宋体" w:hint="default"/>
                          <w:sz w:val="15"/>
                          <w:szCs w:val="15"/>
                        </w:rPr>
                        <w:t>已经发生的土地拆迁成本共计</w:t>
                      </w:r>
                      <w:r>
                        <w:rPr>
                          <w:rFonts w:ascii="宋体" w:hAnsi="宋体" w:cs="宋体" w:eastAsia="宋体" w:hint="default"/>
                          <w:w w:val="100"/>
                          <w:sz w:val="15"/>
                          <w:szCs w:val="15"/>
                        </w:rPr>
                        <w:t> </w:t>
                      </w:r>
                      <w:r>
                        <w:rPr>
                          <w:rFonts w:ascii="Arial" w:hAnsi="Arial" w:cs="Arial" w:eastAsia="Arial" w:hint="default"/>
                          <w:sz w:val="15"/>
                          <w:szCs w:val="15"/>
                        </w:rPr>
                        <w:t>76,076,390.50</w:t>
                      </w:r>
                      <w:r>
                        <w:rPr>
                          <w:rFonts w:ascii="Arial" w:hAnsi="Arial" w:cs="Arial" w:eastAsia="Arial" w:hint="default"/>
                          <w:spacing w:val="-7"/>
                          <w:sz w:val="15"/>
                          <w:szCs w:val="15"/>
                        </w:rPr>
                        <w:t> </w:t>
                      </w:r>
                      <w:r>
                        <w:rPr>
                          <w:rFonts w:ascii="宋体" w:hAnsi="宋体" w:cs="宋体" w:eastAsia="宋体" w:hint="default"/>
                          <w:sz w:val="15"/>
                          <w:szCs w:val="15"/>
                        </w:rPr>
                        <w:t>元事宜给出有效的</w:t>
                      </w:r>
                      <w:r>
                        <w:rPr>
                          <w:rFonts w:ascii="宋体" w:hAnsi="宋体" w:cs="宋体" w:eastAsia="宋体" w:hint="default"/>
                          <w:w w:val="100"/>
                          <w:sz w:val="15"/>
                          <w:szCs w:val="15"/>
                        </w:rPr>
                        <w:t> </w:t>
                      </w:r>
                      <w:r>
                        <w:rPr>
                          <w:rFonts w:ascii="宋体" w:hAnsi="宋体" w:cs="宋体" w:eastAsia="宋体" w:hint="default"/>
                          <w:spacing w:val="-4"/>
                          <w:sz w:val="15"/>
                          <w:szCs w:val="15"/>
                        </w:rPr>
                        <w:t>解决方案，但道里区棚改办均以各</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pacing w:val="-6"/>
                          <w:sz w:val="15"/>
                          <w:szCs w:val="15"/>
                        </w:rPr>
                        <w:t>种理由推诿，至今未予解决。</w:t>
                      </w:r>
                      <w:r>
                        <w:rPr>
                          <w:rFonts w:ascii="Arial" w:hAnsi="Arial" w:cs="Arial" w:eastAsia="Arial" w:hint="default"/>
                          <w:spacing w:val="-6"/>
                          <w:sz w:val="15"/>
                          <w:szCs w:val="15"/>
                        </w:rPr>
                        <w:t>2018</w:t>
                      </w:r>
                      <w:r>
                        <w:rPr>
                          <w:rFonts w:ascii="Arial" w:hAnsi="Arial" w:cs="Arial" w:eastAsia="Arial" w:hint="default"/>
                          <w:spacing w:val="-9"/>
                          <w:sz w:val="15"/>
                          <w:szCs w:val="15"/>
                        </w:rPr>
                        <w:t> </w:t>
                      </w:r>
                      <w:r>
                        <w:rPr>
                          <w:rFonts w:ascii="Arial" w:hAnsi="Arial" w:cs="Arial" w:eastAsia="Arial" w:hint="default"/>
                          <w:spacing w:val="-9"/>
                          <w:sz w:val="15"/>
                          <w:szCs w:val="15"/>
                        </w:rPr>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w:hAnsi="Arial" w:cs="Arial" w:eastAsia="Arial" w:hint="default"/>
                          <w:sz w:val="15"/>
                          <w:szCs w:val="15"/>
                        </w:rPr>
                        <w:t>11</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4</w:t>
                      </w:r>
                      <w:r>
                        <w:rPr>
                          <w:rFonts w:ascii="Arial" w:hAnsi="Arial" w:cs="Arial" w:eastAsia="Arial" w:hint="default"/>
                          <w:spacing w:val="-6"/>
                          <w:sz w:val="15"/>
                          <w:szCs w:val="15"/>
                        </w:rPr>
                        <w:t> </w:t>
                      </w:r>
                      <w:r>
                        <w:rPr>
                          <w:rFonts w:ascii="宋体" w:hAnsi="宋体" w:cs="宋体" w:eastAsia="宋体" w:hint="default"/>
                          <w:sz w:val="15"/>
                          <w:szCs w:val="15"/>
                        </w:rPr>
                        <w:t>日，公司提交民事起诉</w:t>
                      </w:r>
                      <w:r>
                        <w:rPr>
                          <w:rFonts w:ascii="宋体" w:hAnsi="宋体" w:cs="宋体" w:eastAsia="宋体" w:hint="default"/>
                          <w:w w:val="100"/>
                          <w:sz w:val="15"/>
                          <w:szCs w:val="15"/>
                        </w:rPr>
                        <w:t> </w:t>
                      </w:r>
                      <w:r>
                        <w:rPr>
                          <w:rFonts w:ascii="宋体" w:hAnsi="宋体" w:cs="宋体" w:eastAsia="宋体" w:hint="default"/>
                          <w:spacing w:val="-4"/>
                          <w:sz w:val="15"/>
                          <w:szCs w:val="15"/>
                        </w:rPr>
                        <w:t>状，起诉被告哈尔滨市道里区棚户</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区</w:t>
                        <w:tab/>
                        <w:t>改造工作领导小组办公室</w:t>
                      </w:r>
                    </w:p>
                    <w:p>
                      <w:pPr>
                        <w:spacing w:line="194" w:lineRule="exact" w:before="18"/>
                        <w:ind w:left="2690" w:right="9039" w:firstLine="0"/>
                        <w:jc w:val="left"/>
                        <w:rPr>
                          <w:rFonts w:ascii="Arial" w:hAnsi="Arial" w:cs="Arial" w:eastAsia="Arial" w:hint="default"/>
                          <w:sz w:val="15"/>
                          <w:szCs w:val="15"/>
                        </w:rPr>
                      </w:pPr>
                      <w:r>
                        <w:rPr>
                          <w:rFonts w:ascii="宋体" w:hAnsi="宋体" w:cs="宋体" w:eastAsia="宋体" w:hint="default"/>
                          <w:spacing w:val="-2"/>
                          <w:sz w:val="15"/>
                          <w:szCs w:val="15"/>
                        </w:rPr>
                        <w:t>（以下简称</w:t>
                      </w:r>
                      <w:r>
                        <w:rPr>
                          <w:rFonts w:ascii="Arial" w:hAnsi="Arial" w:cs="Arial" w:eastAsia="Arial" w:hint="default"/>
                          <w:spacing w:val="-2"/>
                          <w:sz w:val="15"/>
                          <w:szCs w:val="15"/>
                        </w:rPr>
                        <w:t>“</w:t>
                      </w:r>
                      <w:r>
                        <w:rPr>
                          <w:rFonts w:ascii="宋体" w:hAnsi="宋体" w:cs="宋体" w:eastAsia="宋体" w:hint="default"/>
                          <w:spacing w:val="-2"/>
                          <w:sz w:val="15"/>
                          <w:szCs w:val="15"/>
                        </w:rPr>
                        <w:t>道里区棚改办</w:t>
                      </w:r>
                      <w:r>
                        <w:rPr>
                          <w:rFonts w:ascii="Arial" w:hAnsi="Arial" w:cs="Arial" w:eastAsia="Arial" w:hint="default"/>
                          <w:spacing w:val="-2"/>
                          <w:sz w:val="15"/>
                          <w:szCs w:val="15"/>
                        </w:rPr>
                        <w:t>”</w:t>
                      </w:r>
                      <w:r>
                        <w:rPr>
                          <w:rFonts w:ascii="宋体" w:hAnsi="宋体" w:cs="宋体" w:eastAsia="宋体" w:hint="default"/>
                          <w:spacing w:val="-2"/>
                          <w:sz w:val="15"/>
                          <w:szCs w:val="15"/>
                        </w:rPr>
                        <w:t>）、哈</w:t>
                      </w:r>
                      <w:r>
                        <w:rPr>
                          <w:rFonts w:ascii="宋体" w:hAnsi="宋体" w:cs="宋体" w:eastAsia="宋体" w:hint="default"/>
                          <w:spacing w:val="-44"/>
                          <w:sz w:val="15"/>
                          <w:szCs w:val="15"/>
                        </w:rPr>
                        <w:t> </w:t>
                      </w:r>
                      <w:r>
                        <w:rPr>
                          <w:rFonts w:ascii="宋体" w:hAnsi="宋体" w:cs="宋体" w:eastAsia="宋体" w:hint="default"/>
                          <w:spacing w:val="-44"/>
                          <w:sz w:val="15"/>
                          <w:szCs w:val="15"/>
                        </w:rPr>
                      </w:r>
                      <w:r>
                        <w:rPr>
                          <w:rFonts w:ascii="宋体" w:hAnsi="宋体" w:cs="宋体" w:eastAsia="宋体" w:hint="default"/>
                          <w:sz w:val="15"/>
                          <w:szCs w:val="15"/>
                        </w:rPr>
                        <w:t>尔滨市道里区人民政府及第三人</w:t>
                      </w:r>
                      <w:r>
                        <w:rPr>
                          <w:rFonts w:ascii="宋体" w:hAnsi="宋体" w:cs="宋体" w:eastAsia="宋体" w:hint="default"/>
                          <w:w w:val="100"/>
                          <w:sz w:val="15"/>
                          <w:szCs w:val="15"/>
                        </w:rPr>
                        <w:t> </w:t>
                      </w:r>
                      <w:r>
                        <w:rPr>
                          <w:rFonts w:ascii="宋体" w:hAnsi="宋体" w:cs="宋体" w:eastAsia="宋体" w:hint="default"/>
                          <w:sz w:val="15"/>
                          <w:szCs w:val="15"/>
                        </w:rPr>
                        <w:t>黑龙江振北房地产综合开发有限</w:t>
                      </w:r>
                      <w:r>
                        <w:rPr>
                          <w:rFonts w:ascii="宋体" w:hAnsi="宋体" w:cs="宋体" w:eastAsia="宋体" w:hint="default"/>
                          <w:w w:val="100"/>
                          <w:sz w:val="15"/>
                          <w:szCs w:val="15"/>
                        </w:rPr>
                        <w:t> </w:t>
                      </w:r>
                      <w:r>
                        <w:rPr>
                          <w:rFonts w:ascii="宋体" w:hAnsi="宋体" w:cs="宋体" w:eastAsia="宋体" w:hint="default"/>
                          <w:sz w:val="15"/>
                          <w:szCs w:val="15"/>
                        </w:rPr>
                        <w:t>责任公司（以下简称</w:t>
                      </w:r>
                      <w:r>
                        <w:rPr>
                          <w:rFonts w:ascii="Arial" w:hAnsi="Arial" w:cs="Arial" w:eastAsia="Arial" w:hint="default"/>
                          <w:sz w:val="15"/>
                          <w:szCs w:val="15"/>
                        </w:rPr>
                        <w:t>“</w:t>
                      </w:r>
                      <w:r>
                        <w:rPr>
                          <w:rFonts w:ascii="宋体" w:hAnsi="宋体" w:cs="宋体" w:eastAsia="宋体" w:hint="default"/>
                          <w:sz w:val="15"/>
                          <w:szCs w:val="15"/>
                        </w:rPr>
                        <w:t>振北公司</w:t>
                      </w:r>
                      <w:r>
                        <w:rPr>
                          <w:rFonts w:ascii="Arial" w:hAnsi="Arial" w:cs="Arial" w:eastAsia="Arial" w:hint="default"/>
                          <w:sz w:val="15"/>
                          <w:szCs w:val="15"/>
                        </w:rPr>
                        <w:t>”</w:t>
                      </w:r>
                      <w:r>
                        <w:rPr>
                          <w:rFonts w:ascii="宋体" w:hAnsi="宋体" w:cs="宋体" w:eastAsia="宋体" w:hint="default"/>
                          <w:sz w:val="15"/>
                          <w:szCs w:val="15"/>
                        </w:rPr>
                        <w:t>）</w:t>
                      </w:r>
                      <w:r>
                        <w:rPr>
                          <w:rFonts w:ascii="宋体" w:hAnsi="宋体" w:cs="宋体" w:eastAsia="宋体" w:hint="default"/>
                          <w:spacing w:val="-43"/>
                          <w:sz w:val="15"/>
                          <w:szCs w:val="15"/>
                        </w:rPr>
                        <w:t> </w:t>
                      </w:r>
                      <w:r>
                        <w:rPr>
                          <w:rFonts w:ascii="宋体" w:hAnsi="宋体" w:cs="宋体" w:eastAsia="宋体" w:hint="default"/>
                          <w:spacing w:val="-6"/>
                          <w:sz w:val="15"/>
                          <w:szCs w:val="15"/>
                        </w:rPr>
                        <w:t>合同纠纷一案，公司于</w:t>
                      </w:r>
                      <w:r>
                        <w:rPr>
                          <w:rFonts w:ascii="宋体" w:hAnsi="宋体" w:cs="宋体" w:eastAsia="宋体" w:hint="default"/>
                          <w:spacing w:val="-35"/>
                          <w:sz w:val="15"/>
                          <w:szCs w:val="15"/>
                        </w:rPr>
                        <w:t> </w:t>
                      </w:r>
                      <w:r>
                        <w:rPr>
                          <w:rFonts w:ascii="Arial" w:hAnsi="Arial" w:cs="Arial" w:eastAsia="Arial" w:hint="default"/>
                          <w:sz w:val="15"/>
                          <w:szCs w:val="15"/>
                        </w:rPr>
                        <w:t>2018</w:t>
                      </w:r>
                      <w:r>
                        <w:rPr>
                          <w:rFonts w:ascii="Arial" w:hAnsi="Arial" w:cs="Arial" w:eastAsia="Arial"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33"/>
                          <w:sz w:val="15"/>
                          <w:szCs w:val="15"/>
                        </w:rPr>
                        <w:t> </w:t>
                      </w:r>
                      <w:r>
                        <w:rPr>
                          <w:rFonts w:ascii="Arial" w:hAnsi="Arial" w:cs="Arial" w:eastAsia="Arial" w:hint="default"/>
                          <w:sz w:val="15"/>
                          <w:szCs w:val="15"/>
                        </w:rPr>
                        <w:t>11</w:t>
                      </w:r>
                    </w:p>
                    <w:p>
                      <w:pPr>
                        <w:spacing w:line="225" w:lineRule="auto" w:before="0"/>
                        <w:ind w:left="2690" w:right="8970" w:firstLine="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2"/>
                          <w:sz w:val="15"/>
                          <w:szCs w:val="15"/>
                        </w:rPr>
                        <w:t> </w:t>
                      </w:r>
                      <w:r>
                        <w:rPr>
                          <w:rFonts w:ascii="Arial" w:hAnsi="Arial" w:cs="Arial" w:eastAsia="Arial" w:hint="default"/>
                          <w:sz w:val="15"/>
                          <w:szCs w:val="15"/>
                        </w:rPr>
                        <w:t>9</w:t>
                      </w:r>
                      <w:r>
                        <w:rPr>
                          <w:rFonts w:ascii="Arial" w:hAnsi="Arial" w:cs="Arial" w:eastAsia="Arial" w:hint="default"/>
                          <w:spacing w:val="-1"/>
                          <w:sz w:val="15"/>
                          <w:szCs w:val="15"/>
                        </w:rPr>
                        <w:t> </w:t>
                      </w:r>
                      <w:r>
                        <w:rPr>
                          <w:rFonts w:ascii="宋体" w:hAnsi="宋体" w:cs="宋体" w:eastAsia="宋体" w:hint="default"/>
                          <w:spacing w:val="-5"/>
                          <w:sz w:val="15"/>
                          <w:szCs w:val="15"/>
                        </w:rPr>
                        <w:t>日收到《黑龙江省高级人民法</w:t>
                      </w:r>
                      <w:r>
                        <w:rPr>
                          <w:rFonts w:ascii="宋体" w:hAnsi="宋体" w:cs="宋体" w:eastAsia="宋体" w:hint="default"/>
                          <w:spacing w:val="-64"/>
                          <w:sz w:val="15"/>
                          <w:szCs w:val="15"/>
                        </w:rPr>
                        <w:t> </w:t>
                      </w:r>
                      <w:r>
                        <w:rPr>
                          <w:rFonts w:ascii="宋体" w:hAnsi="宋体" w:cs="宋体" w:eastAsia="宋体" w:hint="default"/>
                          <w:spacing w:val="-64"/>
                          <w:sz w:val="15"/>
                          <w:szCs w:val="15"/>
                        </w:rPr>
                      </w:r>
                      <w:r>
                        <w:rPr>
                          <w:rFonts w:ascii="宋体" w:hAnsi="宋体" w:cs="宋体" w:eastAsia="宋体" w:hint="default"/>
                          <w:spacing w:val="-2"/>
                          <w:sz w:val="15"/>
                          <w:szCs w:val="15"/>
                        </w:rPr>
                        <w:t>院诉讼费用预缴通知单》（</w:t>
                      </w:r>
                      <w:r>
                        <w:rPr>
                          <w:rFonts w:ascii="Arial" w:hAnsi="Arial" w:cs="Arial" w:eastAsia="Arial" w:hint="default"/>
                          <w:spacing w:val="-2"/>
                          <w:sz w:val="15"/>
                          <w:szCs w:val="15"/>
                        </w:rPr>
                        <w:t>2018</w:t>
                      </w:r>
                      <w:r>
                        <w:rPr>
                          <w:rFonts w:ascii="宋体" w:hAnsi="宋体" w:cs="宋体" w:eastAsia="宋体" w:hint="default"/>
                          <w:spacing w:val="-2"/>
                          <w:sz w:val="15"/>
                          <w:szCs w:val="15"/>
                        </w:rPr>
                        <w:t>）</w:t>
                      </w:r>
                      <w:r>
                        <w:rPr>
                          <w:rFonts w:ascii="宋体" w:hAnsi="宋体" w:cs="宋体" w:eastAsia="宋体" w:hint="default"/>
                          <w:spacing w:val="-42"/>
                          <w:sz w:val="15"/>
                          <w:szCs w:val="15"/>
                        </w:rPr>
                        <w:t> </w:t>
                      </w:r>
                      <w:r>
                        <w:rPr>
                          <w:rFonts w:ascii="宋体" w:hAnsi="宋体" w:cs="宋体" w:eastAsia="宋体" w:hint="default"/>
                          <w:sz w:val="15"/>
                          <w:szCs w:val="15"/>
                        </w:rPr>
                        <w:t>黑民初</w:t>
                      </w:r>
                      <w:r>
                        <w:rPr>
                          <w:rFonts w:ascii="宋体" w:hAnsi="宋体" w:cs="宋体" w:eastAsia="宋体" w:hint="default"/>
                          <w:spacing w:val="-34"/>
                          <w:sz w:val="15"/>
                          <w:szCs w:val="15"/>
                        </w:rPr>
                        <w:t> </w:t>
                      </w:r>
                      <w:r>
                        <w:rPr>
                          <w:rFonts w:ascii="Arial" w:hAnsi="Arial" w:cs="Arial" w:eastAsia="Arial" w:hint="default"/>
                          <w:sz w:val="15"/>
                          <w:szCs w:val="15"/>
                        </w:rPr>
                        <w:t>335</w:t>
                      </w:r>
                      <w:r>
                        <w:rPr>
                          <w:rFonts w:ascii="Arial" w:hAnsi="Arial" w:cs="Arial" w:eastAsia="Arial" w:hint="default"/>
                          <w:spacing w:val="-1"/>
                          <w:sz w:val="15"/>
                          <w:szCs w:val="15"/>
                        </w:rPr>
                        <w:t> </w:t>
                      </w:r>
                      <w:r>
                        <w:rPr>
                          <w:rFonts w:ascii="宋体" w:hAnsi="宋体" w:cs="宋体" w:eastAsia="宋体" w:hint="default"/>
                          <w:spacing w:val="-8"/>
                          <w:sz w:val="15"/>
                          <w:szCs w:val="15"/>
                        </w:rPr>
                        <w:t>号。公司对本案的诉讼</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请求：</w:t>
                      </w:r>
                      <w:r>
                        <w:rPr>
                          <w:rFonts w:ascii="Arial" w:hAnsi="Arial" w:cs="Arial" w:eastAsia="Arial" w:hint="default"/>
                          <w:sz w:val="15"/>
                          <w:szCs w:val="15"/>
                        </w:rPr>
                        <w:t>1</w:t>
                      </w:r>
                      <w:r>
                        <w:rPr>
                          <w:rFonts w:ascii="宋体" w:hAnsi="宋体" w:cs="宋体" w:eastAsia="宋体" w:hint="default"/>
                          <w:sz w:val="15"/>
                          <w:szCs w:val="15"/>
                        </w:rPr>
                        <w:t>、请求二被告共同返还原</w:t>
                      </w:r>
                      <w:r>
                        <w:rPr>
                          <w:rFonts w:ascii="宋体" w:hAnsi="宋体" w:cs="宋体" w:eastAsia="宋体" w:hint="default"/>
                          <w:w w:val="100"/>
                          <w:sz w:val="15"/>
                          <w:szCs w:val="15"/>
                        </w:rPr>
                        <w:t> </w:t>
                      </w:r>
                      <w:r>
                        <w:rPr>
                          <w:rFonts w:ascii="宋体" w:hAnsi="宋体" w:cs="宋体" w:eastAsia="宋体" w:hint="default"/>
                          <w:sz w:val="15"/>
                          <w:szCs w:val="15"/>
                        </w:rPr>
                        <w:t>告壹亿柒仟万元（</w:t>
                      </w:r>
                      <w:r>
                        <w:rPr>
                          <w:rFonts w:ascii="Arial" w:hAnsi="Arial" w:cs="Arial" w:eastAsia="Arial" w:hint="default"/>
                          <w:sz w:val="15"/>
                          <w:szCs w:val="15"/>
                        </w:rPr>
                        <w:t>170</w:t>
                      </w:r>
                      <w:r>
                        <w:rPr>
                          <w:rFonts w:ascii="宋体" w:hAnsi="宋体" w:cs="宋体" w:eastAsia="宋体" w:hint="default"/>
                          <w:sz w:val="15"/>
                          <w:szCs w:val="15"/>
                        </w:rPr>
                        <w:t>，</w:t>
                      </w:r>
                      <w:r>
                        <w:rPr>
                          <w:rFonts w:ascii="Arial" w:hAnsi="Arial" w:cs="Arial" w:eastAsia="Arial" w:hint="default"/>
                          <w:sz w:val="15"/>
                          <w:szCs w:val="15"/>
                        </w:rPr>
                        <w:t>000</w:t>
                      </w:r>
                      <w:r>
                        <w:rPr>
                          <w:rFonts w:ascii="宋体" w:hAnsi="宋体" w:cs="宋体" w:eastAsia="宋体" w:hint="default"/>
                          <w:sz w:val="15"/>
                          <w:szCs w:val="15"/>
                        </w:rPr>
                        <w:t>，</w:t>
                      </w:r>
                      <w:r>
                        <w:rPr>
                          <w:rFonts w:ascii="宋体" w:hAnsi="宋体" w:cs="宋体" w:eastAsia="宋体" w:hint="default"/>
                          <w:w w:val="100"/>
                          <w:sz w:val="15"/>
                          <w:szCs w:val="15"/>
                        </w:rPr>
                        <w:t> </w:t>
                      </w:r>
                      <w:r>
                        <w:rPr>
                          <w:rFonts w:ascii="Arial" w:hAnsi="Arial" w:cs="Arial" w:eastAsia="Arial" w:hint="default"/>
                          <w:sz w:val="15"/>
                          <w:szCs w:val="15"/>
                        </w:rPr>
                        <w:t>000.00</w:t>
                      </w:r>
                      <w:r>
                        <w:rPr>
                          <w:rFonts w:ascii="Arial" w:hAnsi="Arial" w:cs="Arial" w:eastAsia="Arial" w:hint="default"/>
                          <w:spacing w:val="15"/>
                          <w:sz w:val="15"/>
                          <w:szCs w:val="15"/>
                        </w:rPr>
                        <w:t> </w:t>
                      </w:r>
                      <w:r>
                        <w:rPr>
                          <w:rFonts w:ascii="宋体" w:hAnsi="宋体" w:cs="宋体" w:eastAsia="宋体" w:hint="default"/>
                          <w:spacing w:val="-3"/>
                          <w:sz w:val="15"/>
                          <w:szCs w:val="15"/>
                        </w:rPr>
                        <w:t>元）；</w:t>
                      </w:r>
                      <w:r>
                        <w:rPr>
                          <w:rFonts w:ascii="Arial" w:hAnsi="Arial" w:cs="Arial" w:eastAsia="Arial" w:hint="default"/>
                          <w:spacing w:val="-3"/>
                          <w:sz w:val="15"/>
                          <w:szCs w:val="15"/>
                        </w:rPr>
                        <w:t>2</w:t>
                      </w:r>
                      <w:r>
                        <w:rPr>
                          <w:rFonts w:ascii="宋体" w:hAnsi="宋体" w:cs="宋体" w:eastAsia="宋体" w:hint="default"/>
                          <w:spacing w:val="-3"/>
                          <w:sz w:val="15"/>
                          <w:szCs w:val="15"/>
                        </w:rPr>
                        <w:t>、请求二被告共同</w:t>
                      </w:r>
                    </w:p>
                    <w:p>
                      <w:pPr>
                        <w:spacing w:line="190" w:lineRule="exact" w:before="0"/>
                        <w:ind w:left="2690" w:right="0" w:firstLine="0"/>
                        <w:jc w:val="left"/>
                        <w:rPr>
                          <w:rFonts w:ascii="Arial" w:hAnsi="Arial" w:cs="Arial" w:eastAsia="Arial" w:hint="default"/>
                          <w:sz w:val="15"/>
                          <w:szCs w:val="15"/>
                        </w:rPr>
                      </w:pPr>
                      <w:r>
                        <w:rPr>
                          <w:rFonts w:ascii="宋体" w:hAnsi="宋体" w:cs="宋体" w:eastAsia="宋体" w:hint="default"/>
                          <w:sz w:val="15"/>
                          <w:szCs w:val="15"/>
                        </w:rPr>
                        <w:t>赔偿原告利息损失</w:t>
                      </w:r>
                      <w:r>
                        <w:rPr>
                          <w:rFonts w:ascii="宋体" w:hAnsi="宋体" w:cs="宋体" w:eastAsia="宋体" w:hint="default"/>
                          <w:spacing w:val="-41"/>
                          <w:sz w:val="15"/>
                          <w:szCs w:val="15"/>
                        </w:rPr>
                        <w:t> </w:t>
                      </w:r>
                      <w:r>
                        <w:rPr>
                          <w:rFonts w:ascii="Arial" w:hAnsi="Arial" w:cs="Arial" w:eastAsia="Arial" w:hint="default"/>
                          <w:sz w:val="15"/>
                          <w:szCs w:val="15"/>
                        </w:rPr>
                        <w:t>58,970,022.89</w:t>
                      </w:r>
                    </w:p>
                    <w:p>
                      <w:pPr>
                        <w:spacing w:line="230" w:lineRule="auto" w:before="0"/>
                        <w:ind w:left="2690" w:right="8965" w:firstLine="0"/>
                        <w:jc w:val="left"/>
                        <w:rPr>
                          <w:rFonts w:ascii="宋体" w:hAnsi="宋体" w:cs="宋体" w:eastAsia="宋体" w:hint="default"/>
                          <w:sz w:val="15"/>
                          <w:szCs w:val="15"/>
                        </w:rPr>
                      </w:pPr>
                      <w:r>
                        <w:rPr>
                          <w:rFonts w:ascii="宋体" w:hAnsi="宋体" w:cs="宋体" w:eastAsia="宋体" w:hint="default"/>
                          <w:spacing w:val="-10"/>
                          <w:sz w:val="15"/>
                          <w:szCs w:val="15"/>
                        </w:rPr>
                        <w:t>元（自</w:t>
                      </w:r>
                      <w:r>
                        <w:rPr>
                          <w:rFonts w:ascii="宋体" w:hAnsi="宋体" w:cs="宋体" w:eastAsia="宋体" w:hint="default"/>
                          <w:spacing w:val="-39"/>
                          <w:sz w:val="15"/>
                          <w:szCs w:val="15"/>
                        </w:rPr>
                        <w:t> </w:t>
                      </w:r>
                      <w:r>
                        <w:rPr>
                          <w:rFonts w:ascii="Arial" w:hAnsi="Arial" w:cs="Arial" w:eastAsia="Arial" w:hint="default"/>
                          <w:sz w:val="15"/>
                          <w:szCs w:val="15"/>
                        </w:rPr>
                        <w:t>2013</w:t>
                      </w:r>
                      <w:r>
                        <w:rPr>
                          <w:rFonts w:ascii="Arial" w:hAnsi="Arial" w:cs="Arial" w:eastAsia="Arial" w:hint="default"/>
                          <w:spacing w:val="-4"/>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Arial" w:hAnsi="Arial" w:cs="Arial" w:eastAsia="Arial" w:hint="default"/>
                          <w:sz w:val="15"/>
                          <w:szCs w:val="15"/>
                        </w:rPr>
                        <w:t>10</w:t>
                      </w:r>
                      <w:r>
                        <w:rPr>
                          <w:rFonts w:ascii="Arial" w:hAnsi="Arial" w:cs="Arial" w:eastAsia="Arial"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w:hAnsi="Arial" w:cs="Arial" w:eastAsia="Arial" w:hint="default"/>
                          <w:sz w:val="15"/>
                          <w:szCs w:val="15"/>
                        </w:rPr>
                        <w:t>22</w:t>
                      </w:r>
                      <w:r>
                        <w:rPr>
                          <w:rFonts w:ascii="Arial" w:hAnsi="Arial" w:cs="Arial" w:eastAsia="Arial" w:hint="default"/>
                          <w:spacing w:val="-6"/>
                          <w:sz w:val="15"/>
                          <w:szCs w:val="15"/>
                        </w:rPr>
                        <w:t> </w:t>
                      </w:r>
                      <w:r>
                        <w:rPr>
                          <w:rFonts w:ascii="宋体" w:hAnsi="宋体" w:cs="宋体" w:eastAsia="宋体" w:hint="default"/>
                          <w:sz w:val="15"/>
                          <w:szCs w:val="15"/>
                        </w:rPr>
                        <w:t>日起至二</w:t>
                      </w:r>
                      <w:r>
                        <w:rPr>
                          <w:rFonts w:ascii="宋体" w:hAnsi="宋体" w:cs="宋体" w:eastAsia="宋体" w:hint="default"/>
                          <w:w w:val="100"/>
                          <w:sz w:val="15"/>
                          <w:szCs w:val="15"/>
                        </w:rPr>
                        <w:t> </w:t>
                      </w:r>
                      <w:r>
                        <w:rPr>
                          <w:rFonts w:ascii="宋体" w:hAnsi="宋体" w:cs="宋体" w:eastAsia="宋体" w:hint="default"/>
                          <w:sz w:val="15"/>
                          <w:szCs w:val="15"/>
                        </w:rPr>
                        <w:t>被告将全部款项返还给原告时止，</w:t>
                      </w:r>
                      <w:r>
                        <w:rPr>
                          <w:rFonts w:ascii="宋体" w:hAnsi="宋体" w:cs="宋体" w:eastAsia="宋体" w:hint="default"/>
                          <w:w w:val="100"/>
                          <w:sz w:val="15"/>
                          <w:szCs w:val="15"/>
                        </w:rPr>
                        <w:t> </w:t>
                      </w:r>
                      <w:r>
                        <w:rPr>
                          <w:rFonts w:ascii="宋体" w:hAnsi="宋体" w:cs="宋体" w:eastAsia="宋体" w:hint="default"/>
                          <w:sz w:val="15"/>
                          <w:szCs w:val="15"/>
                        </w:rPr>
                        <w:t>按中国人民银行同期同类人民币</w:t>
                      </w:r>
                      <w:r>
                        <w:rPr>
                          <w:rFonts w:ascii="宋体" w:hAnsi="宋体" w:cs="宋体" w:eastAsia="宋体" w:hint="default"/>
                          <w:w w:val="100"/>
                          <w:sz w:val="15"/>
                          <w:szCs w:val="15"/>
                        </w:rPr>
                        <w:t> </w:t>
                      </w:r>
                      <w:r>
                        <w:rPr>
                          <w:rFonts w:ascii="宋体" w:hAnsi="宋体" w:cs="宋体" w:eastAsia="宋体" w:hint="default"/>
                          <w:sz w:val="15"/>
                          <w:szCs w:val="15"/>
                        </w:rPr>
                        <w:t>贷款基准利率为基础上浮</w:t>
                      </w:r>
                      <w:r>
                        <w:rPr>
                          <w:rFonts w:ascii="宋体" w:hAnsi="宋体" w:cs="宋体" w:eastAsia="宋体" w:hint="default"/>
                          <w:spacing w:val="-37"/>
                          <w:sz w:val="15"/>
                          <w:szCs w:val="15"/>
                        </w:rPr>
                        <w:t> </w:t>
                      </w:r>
                      <w:r>
                        <w:rPr>
                          <w:rFonts w:ascii="Arial" w:hAnsi="Arial" w:cs="Arial" w:eastAsia="Arial" w:hint="default"/>
                          <w:sz w:val="15"/>
                          <w:szCs w:val="15"/>
                        </w:rPr>
                        <w:t>30%</w:t>
                      </w:r>
                      <w:r>
                        <w:rPr>
                          <w:rFonts w:ascii="宋体" w:hAnsi="宋体" w:cs="宋体" w:eastAsia="宋体" w:hint="default"/>
                          <w:sz w:val="15"/>
                          <w:szCs w:val="15"/>
                        </w:rPr>
                        <w:t>计</w:t>
                      </w:r>
                      <w:r>
                        <w:rPr>
                          <w:rFonts w:ascii="宋体" w:hAnsi="宋体" w:cs="宋体" w:eastAsia="宋体" w:hint="default"/>
                          <w:w w:val="100"/>
                          <w:sz w:val="15"/>
                          <w:szCs w:val="15"/>
                        </w:rPr>
                        <w:t> </w:t>
                      </w:r>
                      <w:r>
                        <w:rPr>
                          <w:rFonts w:ascii="宋体" w:hAnsi="宋体" w:cs="宋体" w:eastAsia="宋体" w:hint="default"/>
                          <w:spacing w:val="-14"/>
                          <w:sz w:val="15"/>
                          <w:szCs w:val="15"/>
                        </w:rPr>
                        <w:t>算，暂计算至</w:t>
                      </w:r>
                      <w:r>
                        <w:rPr>
                          <w:rFonts w:ascii="宋体" w:hAnsi="宋体" w:cs="宋体" w:eastAsia="宋体" w:hint="default"/>
                          <w:spacing w:val="-53"/>
                          <w:sz w:val="15"/>
                          <w:szCs w:val="15"/>
                        </w:rPr>
                        <w:t> </w:t>
                      </w:r>
                      <w:r>
                        <w:rPr>
                          <w:rFonts w:ascii="Arial" w:hAnsi="Arial" w:cs="Arial" w:eastAsia="Arial" w:hint="default"/>
                          <w:sz w:val="15"/>
                          <w:szCs w:val="15"/>
                        </w:rPr>
                        <w:t>2017</w:t>
                      </w:r>
                      <w:r>
                        <w:rPr>
                          <w:rFonts w:ascii="Arial" w:hAnsi="Arial" w:cs="Arial" w:eastAsia="Arial" w:hint="default"/>
                          <w:spacing w:val="-21"/>
                          <w:sz w:val="15"/>
                          <w:szCs w:val="15"/>
                        </w:rPr>
                        <w:t> </w:t>
                      </w:r>
                      <w:r>
                        <w:rPr>
                          <w:rFonts w:ascii="宋体" w:hAnsi="宋体" w:cs="宋体" w:eastAsia="宋体" w:hint="default"/>
                          <w:sz w:val="15"/>
                          <w:szCs w:val="15"/>
                        </w:rPr>
                        <w:t>年</w:t>
                      </w:r>
                      <w:r>
                        <w:rPr>
                          <w:rFonts w:ascii="宋体" w:hAnsi="宋体" w:cs="宋体" w:eastAsia="宋体" w:hint="default"/>
                          <w:spacing w:val="-53"/>
                          <w:sz w:val="15"/>
                          <w:szCs w:val="15"/>
                        </w:rPr>
                        <w:t> </w:t>
                      </w:r>
                      <w:r>
                        <w:rPr>
                          <w:rFonts w:ascii="Arial" w:hAnsi="Arial" w:cs="Arial" w:eastAsia="Arial" w:hint="default"/>
                          <w:sz w:val="15"/>
                          <w:szCs w:val="15"/>
                        </w:rPr>
                        <w:t>12</w:t>
                      </w:r>
                      <w:r>
                        <w:rPr>
                          <w:rFonts w:ascii="Arial" w:hAnsi="Arial" w:cs="Arial" w:eastAsia="Arial" w:hint="default"/>
                          <w:spacing w:val="-22"/>
                          <w:sz w:val="15"/>
                          <w:szCs w:val="15"/>
                        </w:rPr>
                        <w:t> </w:t>
                      </w:r>
                      <w:r>
                        <w:rPr>
                          <w:rFonts w:ascii="宋体" w:hAnsi="宋体" w:cs="宋体" w:eastAsia="宋体" w:hint="default"/>
                          <w:sz w:val="15"/>
                          <w:szCs w:val="15"/>
                        </w:rPr>
                        <w:t>月</w:t>
                      </w:r>
                      <w:r>
                        <w:rPr>
                          <w:rFonts w:ascii="宋体" w:hAnsi="宋体" w:cs="宋体" w:eastAsia="宋体" w:hint="default"/>
                          <w:spacing w:val="-53"/>
                          <w:sz w:val="15"/>
                          <w:szCs w:val="15"/>
                        </w:rPr>
                        <w:t> </w:t>
                      </w:r>
                      <w:r>
                        <w:rPr>
                          <w:rFonts w:ascii="Arial" w:hAnsi="Arial" w:cs="Arial" w:eastAsia="Arial" w:hint="default"/>
                          <w:sz w:val="15"/>
                          <w:szCs w:val="15"/>
                        </w:rPr>
                        <w:t>27</w:t>
                      </w:r>
                      <w:r>
                        <w:rPr>
                          <w:rFonts w:ascii="Arial" w:hAnsi="Arial" w:cs="Arial" w:eastAsia="Arial" w:hint="default"/>
                          <w:spacing w:val="-22"/>
                          <w:sz w:val="15"/>
                          <w:szCs w:val="15"/>
                        </w:rPr>
                        <w:t> </w:t>
                      </w:r>
                      <w:r>
                        <w:rPr>
                          <w:rFonts w:ascii="宋体" w:hAnsi="宋体" w:cs="宋体" w:eastAsia="宋体" w:hint="default"/>
                          <w:spacing w:val="-26"/>
                          <w:sz w:val="15"/>
                          <w:szCs w:val="15"/>
                        </w:rPr>
                        <w:t>日）；</w:t>
                      </w:r>
                      <w:r>
                        <w:rPr>
                          <w:rFonts w:ascii="宋体" w:hAnsi="宋体" w:cs="宋体" w:eastAsia="宋体" w:hint="default"/>
                          <w:w w:val="100"/>
                          <w:sz w:val="15"/>
                          <w:szCs w:val="15"/>
                        </w:rPr>
                        <w:t> </w:t>
                      </w:r>
                      <w:r>
                        <w:rPr>
                          <w:rFonts w:ascii="Arial" w:hAnsi="Arial" w:cs="Arial" w:eastAsia="Arial" w:hint="default"/>
                          <w:spacing w:val="-5"/>
                          <w:sz w:val="15"/>
                          <w:szCs w:val="15"/>
                        </w:rPr>
                        <w:t>3</w:t>
                      </w:r>
                      <w:r>
                        <w:rPr>
                          <w:rFonts w:ascii="宋体" w:hAnsi="宋体" w:cs="宋体" w:eastAsia="宋体" w:hint="default"/>
                          <w:spacing w:val="-5"/>
                          <w:sz w:val="15"/>
                          <w:szCs w:val="15"/>
                        </w:rPr>
                        <w:t>、请求二被告承担本案诉讼费用。</w:t>
                      </w:r>
                    </w:p>
                  </w:txbxContent>
                </v:textbox>
                <w10:wrap type="none"/>
              </v:shape>
            </v:group>
          </v:group>
        </w:pict>
      </w:r>
      <w:r>
        <w:rPr>
          <w:rFonts w:ascii="Times New Roman" w:hAnsi="Times New Roman" w:cs="Times New Roman" w:eastAsia="Times New Roman" w:hint="default"/>
          <w:position w:val="-138"/>
          <w:sz w:val="20"/>
          <w:szCs w:val="20"/>
        </w:rPr>
      </w:r>
    </w:p>
    <w:p>
      <w:pPr>
        <w:pStyle w:val="Heading2"/>
        <w:spacing w:line="240" w:lineRule="auto" w:before="26"/>
        <w:ind w:left="140" w:right="162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2"/>
        </w:rPr>
        <w:t> </w:t>
      </w:r>
      <w:r>
        <w:rPr/>
        <w:t>其他说明</w:t>
      </w:r>
      <w:r>
        <w:rPr>
          <w:b w:val="0"/>
          <w:bCs w:val="0"/>
        </w:rPr>
      </w:r>
    </w:p>
    <w:p>
      <w:pPr>
        <w:pStyle w:val="BodyText"/>
        <w:spacing w:line="240" w:lineRule="auto" w:before="30"/>
        <w:ind w:left="140" w:right="16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24"/>
          <w:pgSz w:w="16840" w:h="11910" w:orient="landscape"/>
          <w:pgMar w:footer="1195" w:header="825" w:top="1360" w:bottom="1380" w:left="1300" w:right="1380"/>
        </w:sectPr>
      </w:pPr>
    </w:p>
    <w:p>
      <w:pPr>
        <w:spacing w:line="240" w:lineRule="auto" w:before="13"/>
        <w:rPr>
          <w:rFonts w:ascii="宋体" w:hAnsi="宋体" w:cs="宋体" w:eastAsia="宋体" w:hint="default"/>
          <w:sz w:val="10"/>
          <w:szCs w:val="10"/>
        </w:rPr>
      </w:pPr>
    </w:p>
    <w:p>
      <w:pPr>
        <w:pStyle w:val="Heading2"/>
        <w:spacing w:line="240" w:lineRule="auto" w:before="36"/>
        <w:ind w:left="638" w:right="124" w:hanging="420"/>
        <w:jc w:val="left"/>
        <w:rPr>
          <w:b w:val="0"/>
          <w:bCs w:val="0"/>
        </w:rPr>
      </w:pPr>
      <w:r>
        <w:rPr>
          <w:spacing w:val="-1"/>
        </w:rPr>
        <w:t>十一、上市公司及其董事、监事、高级管理人员、控股股东、实际控制人、收购人处罚及整改情</w:t>
      </w:r>
      <w:r>
        <w:rPr>
          <w:spacing w:val="-83"/>
        </w:rPr>
        <w:t> </w:t>
      </w:r>
      <w:r>
        <w:rPr>
          <w:spacing w:val="-83"/>
        </w:rPr>
      </w:r>
      <w:r>
        <w:rPr/>
        <w:t>况</w:t>
      </w:r>
      <w:r>
        <w:rPr>
          <w:b w:val="0"/>
          <w:bCs w:val="0"/>
        </w:rPr>
      </w:r>
    </w:p>
    <w:p>
      <w:pPr>
        <w:spacing w:line="290" w:lineRule="auto" w:before="56"/>
        <w:ind w:left="218" w:right="241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十二、报告期内公司及其控股股东、实际控制人诚信状况的说明</w:t>
      </w:r>
      <w:r>
        <w:rPr>
          <w:rFonts w:ascii="宋体" w:hAnsi="宋体" w:cs="宋体" w:eastAsia="宋体" w:hint="default"/>
          <w:spacing w:val="-1"/>
          <w:sz w:val="21"/>
          <w:szCs w:val="21"/>
        </w:rPr>
      </w:r>
    </w:p>
    <w:p>
      <w:pPr>
        <w:pStyle w:val="BodyText"/>
        <w:spacing w:line="278" w:lineRule="auto" w:before="12"/>
        <w:ind w:left="6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报告期内，公司及控股股东、实际控制人不存在未履行法院生效判决、所负数额较大的债务</w:t>
      </w:r>
    </w:p>
    <w:p>
      <w:pPr>
        <w:pStyle w:val="Heading2"/>
        <w:spacing w:line="290" w:lineRule="auto" w:before="10"/>
        <w:ind w:right="1532"/>
        <w:jc w:val="left"/>
        <w:rPr>
          <w:b w:val="0"/>
          <w:bCs w:val="0"/>
        </w:rPr>
      </w:pPr>
      <w:r>
        <w:rPr>
          <w:rFonts w:ascii="宋体" w:hAnsi="宋体" w:cs="宋体" w:eastAsia="宋体" w:hint="default"/>
          <w:b w:val="0"/>
          <w:bCs w:val="0"/>
        </w:rPr>
        <w:t>到期未清偿等情况。</w:t>
      </w:r>
      <w:r>
        <w:rPr>
          <w:rFonts w:ascii="宋体" w:hAnsi="宋体" w:cs="宋体" w:eastAsia="宋体" w:hint="default"/>
          <w:b w:val="0"/>
          <w:bCs w:val="0"/>
          <w:w w:val="100"/>
        </w:rPr>
        <w:t> </w:t>
      </w: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2"/>
        <w:ind w:left="218" w:right="241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58"/>
        <w:ind w:left="218" w:right="46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r>
        <w:rPr>
          <w:rFonts w:ascii="宋体" w:hAnsi="宋体" w:cs="宋体" w:eastAsia="宋体" w:hint="default"/>
          <w:sz w:val="21"/>
          <w:szCs w:val="21"/>
        </w:rPr>
        <w:t> </w:t>
      </w:r>
    </w:p>
    <w:p>
      <w:pPr>
        <w:pStyle w:val="BodyText"/>
        <w:spacing w:line="228" w:lineRule="exact"/>
        <w:ind w:left="218" w:right="241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8" w:right="241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before="27"/>
        <w:ind w:left="218" w:right="650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员工持股计划情况</w:t>
      </w:r>
      <w:r>
        <w:rPr>
          <w:rFonts w:ascii="宋体" w:hAnsi="宋体" w:cs="宋体" w:eastAsia="宋体" w:hint="default"/>
        </w:rPr>
        <w:t> </w:t>
      </w:r>
    </w:p>
    <w:p>
      <w:pPr>
        <w:pStyle w:val="BodyText"/>
        <w:spacing w:line="272" w:lineRule="exact" w:before="1"/>
        <w:ind w:left="218" w:right="650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其他激励措施</w:t>
      </w:r>
      <w:r>
        <w:rPr>
          <w:rFonts w:ascii="宋体" w:hAnsi="宋体" w:cs="宋体" w:eastAsia="宋体" w:hint="default"/>
        </w:rPr>
        <w:t> </w:t>
      </w:r>
    </w:p>
    <w:p>
      <w:pPr>
        <w:pStyle w:val="BodyText"/>
        <w:spacing w:line="249" w:lineRule="exact"/>
        <w:ind w:left="218" w:right="241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right="2410"/>
        <w:jc w:val="left"/>
        <w:rPr>
          <w:b w:val="0"/>
          <w:bCs w:val="0"/>
        </w:rPr>
      </w:pPr>
      <w:r>
        <w:rPr/>
        <w:t>十四、重大关联交易</w:t>
      </w:r>
      <w:r>
        <w:rPr>
          <w:b w:val="0"/>
          <w:bCs w:val="0"/>
        </w:rPr>
      </w:r>
    </w:p>
    <w:p>
      <w:pPr>
        <w:pStyle w:val="Heading2"/>
        <w:spacing w:line="240" w:lineRule="auto" w:before="58"/>
        <w:ind w:right="241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2"/>
        <w:spacing w:line="240" w:lineRule="auto" w:before="29"/>
        <w:ind w:right="241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241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right="241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241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42"/>
        <w:ind w:left="638" w:right="0"/>
        <w:jc w:val="left"/>
        <w:rPr>
          <w:rFonts w:ascii="Arial" w:hAnsi="Arial" w:cs="Arial" w:eastAsia="Arial" w:hint="default"/>
        </w:rPr>
      </w:pPr>
      <w:r>
        <w:rPr>
          <w:w w:val="100"/>
        </w:rPr>
        <w:t>公</w:t>
      </w:r>
      <w:r>
        <w:rPr>
          <w:spacing w:val="-48"/>
          <w:w w:val="100"/>
        </w:rPr>
        <w:t>司</w:t>
      </w:r>
      <w:r>
        <w:rPr>
          <w:spacing w:val="-3"/>
          <w:w w:val="100"/>
        </w:rPr>
        <w:t>《</w:t>
      </w:r>
      <w:r>
        <w:rPr>
          <w:w w:val="100"/>
        </w:rPr>
        <w:t>关于</w:t>
      </w:r>
      <w:r>
        <w:rPr>
          <w:spacing w:val="-55"/>
        </w:rPr>
        <w:t> </w:t>
      </w:r>
      <w:r>
        <w:rPr>
          <w:rFonts w:ascii="Arial" w:hAnsi="Arial" w:cs="Arial" w:eastAsia="Arial" w:hint="default"/>
          <w:w w:val="100"/>
        </w:rPr>
        <w:t>20</w:t>
      </w:r>
      <w:r>
        <w:rPr>
          <w:rFonts w:ascii="Arial" w:hAnsi="Arial" w:cs="Arial" w:eastAsia="Arial" w:hint="default"/>
          <w:spacing w:val="-2"/>
          <w:w w:val="100"/>
        </w:rPr>
        <w:t>1</w:t>
      </w:r>
      <w:r>
        <w:rPr>
          <w:rFonts w:ascii="Arial" w:hAnsi="Arial" w:cs="Arial" w:eastAsia="Arial" w:hint="default"/>
          <w:w w:val="100"/>
        </w:rPr>
        <w:t>9</w:t>
      </w:r>
      <w:r>
        <w:rPr>
          <w:rFonts w:ascii="Arial" w:hAnsi="Arial" w:cs="Arial" w:eastAsia="Arial" w:hint="default"/>
          <w:spacing w:val="-6"/>
        </w:rPr>
        <w:t> </w:t>
      </w:r>
      <w:r>
        <w:rPr>
          <w:spacing w:val="-3"/>
          <w:w w:val="100"/>
        </w:rPr>
        <w:t>年</w:t>
      </w:r>
      <w:r>
        <w:rPr>
          <w:w w:val="100"/>
        </w:rPr>
        <w:t>度</w:t>
      </w:r>
      <w:r>
        <w:rPr>
          <w:spacing w:val="-3"/>
          <w:w w:val="100"/>
        </w:rPr>
        <w:t>日常</w:t>
      </w:r>
      <w:r>
        <w:rPr>
          <w:w w:val="100"/>
        </w:rPr>
        <w:t>关联</w:t>
      </w:r>
      <w:r>
        <w:rPr>
          <w:spacing w:val="-3"/>
          <w:w w:val="100"/>
        </w:rPr>
        <w:t>交</w:t>
      </w:r>
      <w:r>
        <w:rPr>
          <w:w w:val="100"/>
        </w:rPr>
        <w:t>易</w:t>
      </w:r>
      <w:r>
        <w:rPr>
          <w:spacing w:val="-3"/>
          <w:w w:val="100"/>
        </w:rPr>
        <w:t>预</w:t>
      </w:r>
      <w:r>
        <w:rPr>
          <w:w w:val="100"/>
        </w:rPr>
        <w:t>计</w:t>
      </w:r>
      <w:r>
        <w:rPr>
          <w:spacing w:val="-3"/>
          <w:w w:val="100"/>
        </w:rPr>
        <w:t>总</w:t>
      </w:r>
      <w:r>
        <w:rPr>
          <w:w w:val="100"/>
        </w:rPr>
        <w:t>金</w:t>
      </w:r>
      <w:r>
        <w:rPr>
          <w:spacing w:val="-3"/>
          <w:w w:val="100"/>
        </w:rPr>
        <w:t>额</w:t>
      </w:r>
      <w:r>
        <w:rPr>
          <w:w w:val="100"/>
        </w:rPr>
        <w:t>的</w:t>
      </w:r>
      <w:r>
        <w:rPr>
          <w:spacing w:val="-3"/>
          <w:w w:val="100"/>
        </w:rPr>
        <w:t>公</w:t>
      </w:r>
      <w:r>
        <w:rPr>
          <w:w w:val="100"/>
        </w:rPr>
        <w:t>告</w:t>
      </w:r>
      <w:r>
        <w:rPr>
          <w:spacing w:val="-97"/>
          <w:w w:val="100"/>
        </w:rPr>
        <w:t>》</w:t>
      </w:r>
      <w:r>
        <w:rPr>
          <w:spacing w:val="-3"/>
          <w:w w:val="100"/>
        </w:rPr>
        <w:t>（</w:t>
      </w:r>
      <w:r>
        <w:rPr>
          <w:w w:val="100"/>
        </w:rPr>
        <w:t>公</w:t>
      </w:r>
      <w:r>
        <w:rPr>
          <w:spacing w:val="-3"/>
          <w:w w:val="100"/>
        </w:rPr>
        <w:t>告</w:t>
      </w:r>
      <w:r>
        <w:rPr>
          <w:w w:val="100"/>
        </w:rPr>
        <w:t>编</w:t>
      </w:r>
      <w:r>
        <w:rPr>
          <w:spacing w:val="-3"/>
          <w:w w:val="100"/>
        </w:rPr>
        <w:t>号</w:t>
      </w:r>
      <w:r>
        <w:rPr>
          <w:spacing w:val="-48"/>
          <w:w w:val="100"/>
        </w:rPr>
        <w:t>：</w:t>
      </w:r>
      <w:r>
        <w:rPr>
          <w:rFonts w:ascii="Arial" w:hAnsi="Arial" w:cs="Arial" w:eastAsia="Arial" w:hint="default"/>
          <w:w w:val="100"/>
        </w:rPr>
        <w:t>2</w:t>
      </w:r>
      <w:r>
        <w:rPr>
          <w:rFonts w:ascii="Arial" w:hAnsi="Arial" w:cs="Arial" w:eastAsia="Arial" w:hint="default"/>
          <w:spacing w:val="-3"/>
          <w:w w:val="100"/>
        </w:rPr>
        <w:t>0</w:t>
      </w:r>
      <w:r>
        <w:rPr>
          <w:rFonts w:ascii="Arial" w:hAnsi="Arial" w:cs="Arial" w:eastAsia="Arial" w:hint="default"/>
          <w:w w:val="100"/>
        </w:rPr>
        <w:t>19</w:t>
      </w:r>
      <w:r>
        <w:rPr>
          <w:rFonts w:ascii="Arial" w:hAnsi="Arial" w:cs="Arial" w:eastAsia="Arial" w:hint="default"/>
          <w:spacing w:val="-1"/>
          <w:w w:val="100"/>
        </w:rPr>
        <w:t>-</w:t>
      </w:r>
      <w:r>
        <w:rPr>
          <w:rFonts w:ascii="Arial" w:hAnsi="Arial" w:cs="Arial" w:eastAsia="Arial" w:hint="default"/>
          <w:w w:val="100"/>
        </w:rPr>
        <w:t>0</w:t>
      </w:r>
      <w:r>
        <w:rPr>
          <w:rFonts w:ascii="Arial" w:hAnsi="Arial" w:cs="Arial" w:eastAsia="Arial" w:hint="default"/>
          <w:spacing w:val="-3"/>
          <w:w w:val="100"/>
        </w:rPr>
        <w:t>2</w:t>
      </w:r>
      <w:r>
        <w:rPr>
          <w:rFonts w:ascii="Arial" w:hAnsi="Arial" w:cs="Arial" w:eastAsia="Arial" w:hint="default"/>
          <w:spacing w:val="-2"/>
          <w:w w:val="100"/>
        </w:rPr>
        <w:t>1</w:t>
      </w:r>
      <w:r>
        <w:rPr>
          <w:spacing w:val="-48"/>
          <w:w w:val="100"/>
        </w:rPr>
        <w:t>），</w:t>
      </w:r>
      <w:r>
        <w:rPr>
          <w:spacing w:val="-3"/>
          <w:w w:val="100"/>
        </w:rPr>
        <w:t>预</w:t>
      </w:r>
      <w:r>
        <w:rPr>
          <w:w w:val="100"/>
        </w:rPr>
        <w:t>计</w:t>
      </w:r>
      <w:r>
        <w:rPr>
          <w:spacing w:val="-53"/>
        </w:rPr>
        <w:t> </w:t>
      </w:r>
      <w:r>
        <w:rPr>
          <w:rFonts w:ascii="Arial" w:hAnsi="Arial" w:cs="Arial" w:eastAsia="Arial" w:hint="default"/>
          <w:spacing w:val="-3"/>
          <w:w w:val="100"/>
        </w:rPr>
        <w:t>2</w:t>
      </w:r>
      <w:r>
        <w:rPr>
          <w:rFonts w:ascii="Arial" w:hAnsi="Arial" w:cs="Arial" w:eastAsia="Arial" w:hint="default"/>
          <w:w w:val="100"/>
        </w:rPr>
        <w:t>019</w:t>
      </w:r>
    </w:p>
    <w:p>
      <w:pPr>
        <w:pStyle w:val="BodyText"/>
        <w:spacing w:line="266" w:lineRule="auto" w:before="29"/>
        <w:ind w:left="218" w:right="0"/>
        <w:jc w:val="left"/>
        <w:rPr>
          <w:rFonts w:ascii="宋体" w:hAnsi="宋体" w:cs="宋体" w:eastAsia="宋体" w:hint="default"/>
        </w:rPr>
      </w:pPr>
      <w:r>
        <w:rPr/>
        <w:t>年日常关联交易总额</w:t>
      </w:r>
      <w:r>
        <w:rPr>
          <w:spacing w:val="-55"/>
        </w:rPr>
        <w:t> </w:t>
      </w:r>
      <w:r>
        <w:rPr>
          <w:rFonts w:ascii="Arial" w:hAnsi="Arial" w:cs="Arial" w:eastAsia="Arial" w:hint="default"/>
        </w:rPr>
        <w:t>52,200</w:t>
      </w:r>
      <w:r>
        <w:rPr>
          <w:rFonts w:ascii="Arial" w:hAnsi="Arial" w:cs="Arial" w:eastAsia="Arial" w:hint="default"/>
          <w:spacing w:val="-7"/>
        </w:rPr>
        <w:t> </w:t>
      </w:r>
      <w:r>
        <w:rPr/>
        <w:t>万元，截止</w:t>
      </w:r>
      <w:r>
        <w:rPr>
          <w:spacing w:val="-55"/>
        </w:rPr>
        <w:t> </w:t>
      </w:r>
      <w:r>
        <w:rPr>
          <w:rFonts w:ascii="Arial" w:hAnsi="Arial" w:cs="Arial" w:eastAsia="Arial" w:hint="default"/>
        </w:rPr>
        <w:t>2019</w:t>
      </w:r>
      <w:r>
        <w:rPr>
          <w:rFonts w:ascii="Arial" w:hAnsi="Arial" w:cs="Arial" w:eastAsia="Arial" w:hint="default"/>
          <w:spacing w:val="-10"/>
        </w:rPr>
        <w:t> </w:t>
      </w:r>
      <w:r>
        <w:rPr/>
        <w:t>年</w:t>
      </w:r>
      <w:r>
        <w:rPr>
          <w:spacing w:val="-55"/>
        </w:rPr>
        <w:t> </w:t>
      </w:r>
      <w:r>
        <w:rPr>
          <w:rFonts w:ascii="Arial" w:hAnsi="Arial" w:cs="Arial" w:eastAsia="Arial" w:hint="default"/>
        </w:rPr>
        <w:t>12</w:t>
      </w:r>
      <w:r>
        <w:rPr>
          <w:rFonts w:ascii="Arial" w:hAnsi="Arial" w:cs="Arial" w:eastAsia="Arial" w:hint="default"/>
          <w:spacing w:val="-7"/>
        </w:rPr>
        <w:t> </w:t>
      </w:r>
      <w:r>
        <w:rPr/>
        <w:t>月</w:t>
      </w:r>
      <w:r>
        <w:rPr>
          <w:spacing w:val="-55"/>
        </w:rPr>
        <w:t> </w:t>
      </w:r>
      <w:r>
        <w:rPr>
          <w:rFonts w:ascii="Arial" w:hAnsi="Arial" w:cs="Arial" w:eastAsia="Arial" w:hint="default"/>
        </w:rPr>
        <w:t>31</w:t>
      </w:r>
      <w:r>
        <w:rPr>
          <w:rFonts w:ascii="Arial" w:hAnsi="Arial" w:cs="Arial" w:eastAsia="Arial" w:hint="default"/>
          <w:spacing w:val="-8"/>
        </w:rPr>
        <w:t> </w:t>
      </w:r>
      <w:r>
        <w:rPr/>
        <w:t>日，发生日常关联交易总额</w:t>
      </w:r>
      <w:r>
        <w:rPr>
          <w:spacing w:val="-55"/>
        </w:rPr>
        <w:t> </w:t>
      </w:r>
      <w:r>
        <w:rPr>
          <w:rFonts w:ascii="Arial" w:hAnsi="Arial" w:cs="Arial" w:eastAsia="Arial" w:hint="default"/>
        </w:rPr>
        <w:t>38,174</w:t>
      </w:r>
      <w:r>
        <w:rPr>
          <w:rFonts w:ascii="Arial" w:hAnsi="Arial" w:cs="Arial" w:eastAsia="Arial" w:hint="default"/>
          <w:spacing w:val="-8"/>
        </w:rPr>
        <w:t> </w:t>
      </w:r>
      <w:r>
        <w:rPr/>
        <w:t>万</w:t>
      </w:r>
      <w:r>
        <w:rPr>
          <w:w w:val="100"/>
        </w:rPr>
        <w:t> </w:t>
      </w:r>
      <w:r>
        <w:rPr/>
        <w:t>元，未超出年初预计日常关联交易总额。</w:t>
      </w:r>
      <w:r>
        <w:rPr>
          <w:rFonts w:ascii="宋体" w:hAnsi="宋体" w:cs="宋体" w:eastAsia="宋体" w:hint="default"/>
        </w:rPr>
        <w:t> </w:t>
      </w:r>
    </w:p>
    <w:p>
      <w:pPr>
        <w:pStyle w:val="Heading2"/>
        <w:spacing w:line="240" w:lineRule="auto" w:before="35"/>
        <w:ind w:right="241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468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2"/>
        <w:ind w:right="241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241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7547;height:2" coordorigin="10,10" coordsize="7547,2">
              <v:shape style="position:absolute;left:10;top:10;width:7547;height:2" coordorigin="10,10" coordsize="7547,0" path="m10,10l7557,10e" filled="false" stroked="true" strokeweight=".96002pt" strokecolor="#41b7ee">
                <v:path arrowok="t"/>
              </v:shape>
            </v:group>
            <v:group style="position:absolute;left:7557;top:10;width:58;height:2" coordorigin="7557,10" coordsize="58,2">
              <v:shape style="position:absolute;left:7557;top:10;width:58;height:2" coordorigin="7557,10" coordsize="58,0" path="m7557,10l7614,10e" filled="false" stroked="true" strokeweight=".96002pt" strokecolor="#41b7ee">
                <v:path arrowok="t"/>
              </v:shape>
            </v:group>
            <v:group style="position:absolute;left:7614;top:10;width:1445;height:2" coordorigin="7614,10" coordsize="1445,2">
              <v:shape style="position:absolute;left:7614;top:10;width:1445;height:2" coordorigin="7614,10" coordsize="1445,0" path="m7614,10l9059,10e" filled="false" stroked="true" strokeweight=".96002pt" strokecolor="#41b7ee">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7552"/>
        <w:gridCol w:w="1498"/>
      </w:tblGrid>
      <w:tr>
        <w:trPr>
          <w:trHeight w:val="365" w:hRule="exact"/>
        </w:trPr>
        <w:tc>
          <w:tcPr>
            <w:tcW w:w="7552"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7"/>
              <w:ind w:left="109" w:right="0"/>
              <w:jc w:val="center"/>
              <w:rPr>
                <w:rFonts w:ascii="宋体" w:hAnsi="宋体" w:cs="宋体" w:eastAsia="宋体" w:hint="default"/>
                <w:sz w:val="21"/>
                <w:szCs w:val="21"/>
              </w:rPr>
            </w:pPr>
            <w:r>
              <w:rPr>
                <w:rFonts w:ascii="宋体" w:hAnsi="宋体" w:cs="宋体" w:eastAsia="宋体" w:hint="default"/>
                <w:sz w:val="21"/>
                <w:szCs w:val="21"/>
              </w:rPr>
              <w:t>事项概述</w:t>
            </w:r>
            <w:r>
              <w:rPr>
                <w:rFonts w:ascii="宋体" w:hAnsi="宋体" w:cs="宋体" w:eastAsia="宋体" w:hint="default"/>
                <w:sz w:val="21"/>
                <w:szCs w:val="21"/>
              </w:rPr>
              <w:t> </w:t>
            </w:r>
          </w:p>
        </w:tc>
        <w:tc>
          <w:tcPr>
            <w:tcW w:w="1498"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7"/>
              <w:ind w:left="324" w:right="0"/>
              <w:jc w:val="left"/>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554" w:hRule="exact"/>
        </w:trPr>
        <w:tc>
          <w:tcPr>
            <w:tcW w:w="7552" w:type="dxa"/>
            <w:tcBorders>
              <w:top w:val="single" w:sz="4" w:space="0" w:color="41B7EE"/>
              <w:left w:val="nil" w:sz="6" w:space="0" w:color="auto"/>
              <w:bottom w:val="single" w:sz="4" w:space="0" w:color="41B7EE"/>
              <w:right w:val="single" w:sz="4" w:space="0" w:color="41B7EE"/>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北大荒关于八五六分公司购买黑龙江省八五六农场部分粮食、农机管护设施资产</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之关联交易的公告</w:t>
            </w:r>
            <w:r>
              <w:rPr>
                <w:rFonts w:ascii="宋体" w:hAnsi="宋体" w:cs="宋体" w:eastAsia="宋体" w:hint="default"/>
                <w:sz w:val="21"/>
                <w:szCs w:val="21"/>
              </w:rPr>
              <w:t> </w:t>
            </w:r>
          </w:p>
        </w:tc>
        <w:tc>
          <w:tcPr>
            <w:tcW w:w="149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6"/>
              <w:ind w:left="103" w:right="0"/>
              <w:jc w:val="left"/>
              <w:rPr>
                <w:rFonts w:ascii="Arial" w:hAnsi="Arial" w:cs="Arial" w:eastAsia="Arial" w:hint="default"/>
                <w:sz w:val="21"/>
                <w:szCs w:val="21"/>
              </w:rPr>
            </w:pPr>
            <w:r>
              <w:rPr>
                <w:rFonts w:ascii="Arial"/>
                <w:sz w:val="21"/>
              </w:rPr>
              <w:t>2019-060</w:t>
            </w:r>
          </w:p>
        </w:tc>
      </w:tr>
      <w:tr>
        <w:trPr>
          <w:trHeight w:val="554" w:hRule="exact"/>
        </w:trPr>
        <w:tc>
          <w:tcPr>
            <w:tcW w:w="7552" w:type="dxa"/>
            <w:tcBorders>
              <w:top w:val="single" w:sz="4" w:space="0" w:color="41B7EE"/>
              <w:left w:val="nil" w:sz="6" w:space="0" w:color="auto"/>
              <w:bottom w:val="single" w:sz="4" w:space="0" w:color="41B7EE"/>
              <w:right w:val="single" w:sz="4" w:space="0" w:color="41B7EE"/>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关于勤得利分公司购买黑龙江省勤得利农场烘干塔及配套设备资产之关联交易</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的公告</w:t>
            </w:r>
            <w:r>
              <w:rPr>
                <w:rFonts w:ascii="宋体" w:hAnsi="宋体" w:cs="宋体" w:eastAsia="宋体" w:hint="default"/>
                <w:sz w:val="21"/>
                <w:szCs w:val="21"/>
              </w:rPr>
              <w:t> </w:t>
            </w:r>
          </w:p>
        </w:tc>
        <w:tc>
          <w:tcPr>
            <w:tcW w:w="149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6"/>
              <w:ind w:left="103" w:right="0"/>
              <w:jc w:val="left"/>
              <w:rPr>
                <w:rFonts w:ascii="Arial" w:hAnsi="Arial" w:cs="Arial" w:eastAsia="Arial" w:hint="default"/>
                <w:sz w:val="21"/>
                <w:szCs w:val="21"/>
              </w:rPr>
            </w:pPr>
            <w:r>
              <w:rPr>
                <w:rFonts w:ascii="Arial"/>
                <w:sz w:val="21"/>
              </w:rPr>
              <w:t>2019-061</w:t>
            </w:r>
          </w:p>
        </w:tc>
      </w:tr>
      <w:tr>
        <w:trPr>
          <w:trHeight w:val="358" w:hRule="exact"/>
        </w:trPr>
        <w:tc>
          <w:tcPr>
            <w:tcW w:w="755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北大荒关于友谊分公司购买黑龙江省友谊农场水泥晒场资产之关联交易的公告</w:t>
            </w:r>
            <w:r>
              <w:rPr>
                <w:rFonts w:ascii="宋体" w:hAnsi="宋体" w:cs="宋体" w:eastAsia="宋体" w:hint="default"/>
                <w:sz w:val="21"/>
                <w:szCs w:val="21"/>
              </w:rPr>
              <w:t> </w:t>
            </w:r>
          </w:p>
        </w:tc>
        <w:tc>
          <w:tcPr>
            <w:tcW w:w="149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left="103" w:right="0"/>
              <w:jc w:val="left"/>
              <w:rPr>
                <w:rFonts w:ascii="Arial" w:hAnsi="Arial" w:cs="Arial" w:eastAsia="Arial" w:hint="default"/>
                <w:sz w:val="21"/>
                <w:szCs w:val="21"/>
              </w:rPr>
            </w:pPr>
            <w:r>
              <w:rPr>
                <w:rFonts w:ascii="Arial"/>
                <w:sz w:val="21"/>
              </w:rPr>
              <w:t>2019-062</w:t>
            </w:r>
          </w:p>
        </w:tc>
      </w:tr>
      <w:tr>
        <w:trPr>
          <w:trHeight w:val="562" w:hRule="exact"/>
        </w:trPr>
        <w:tc>
          <w:tcPr>
            <w:tcW w:w="7552" w:type="dxa"/>
            <w:tcBorders>
              <w:top w:val="single" w:sz="4" w:space="0" w:color="41B7EE"/>
              <w:left w:val="nil" w:sz="6" w:space="0" w:color="auto"/>
              <w:bottom w:val="single" w:sz="8" w:space="0" w:color="41B7EE"/>
              <w:right w:val="single" w:sz="4" w:space="0" w:color="41B7EE"/>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经公司第六届董事会第七十一次会议审议通过《关于北大荒龙垦麦芽有限公司拟</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接受北大荒龙麦农业股份有限公司用不动产抵付租金之关联交易的议案》</w:t>
            </w:r>
            <w:r>
              <w:rPr>
                <w:rFonts w:ascii="宋体" w:hAnsi="宋体" w:cs="宋体" w:eastAsia="宋体" w:hint="default"/>
                <w:sz w:val="21"/>
                <w:szCs w:val="21"/>
              </w:rPr>
              <w:t> </w:t>
            </w:r>
          </w:p>
        </w:tc>
        <w:tc>
          <w:tcPr>
            <w:tcW w:w="1498"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146"/>
              <w:ind w:left="103" w:right="0"/>
              <w:jc w:val="left"/>
              <w:rPr>
                <w:rFonts w:ascii="Arial" w:hAnsi="Arial" w:cs="Arial" w:eastAsia="Arial" w:hint="default"/>
                <w:sz w:val="21"/>
                <w:szCs w:val="21"/>
              </w:rPr>
            </w:pPr>
            <w:r>
              <w:rPr>
                <w:rFonts w:ascii="Arial"/>
                <w:sz w:val="21"/>
              </w:rPr>
              <w:t>2019-067</w:t>
            </w:r>
          </w:p>
        </w:tc>
      </w:tr>
    </w:tbl>
    <w:p>
      <w:pPr>
        <w:spacing w:line="240" w:lineRule="auto" w:before="11"/>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7547;height:2" coordorigin="10,10" coordsize="7547,2">
              <v:shape style="position:absolute;left:10;top:10;width:7547;height:2" coordorigin="10,10" coordsize="7547,0" path="m10,10l7557,10e" filled="false" stroked="true" strokeweight=".95996pt" strokecolor="#41b7ee">
                <v:path arrowok="t"/>
              </v:shape>
            </v:group>
            <v:group style="position:absolute;left:7557;top:10;width:58;height:2" coordorigin="7557,10" coordsize="58,2">
              <v:shape style="position:absolute;left:7557;top:10;width:58;height:2" coordorigin="7557,10" coordsize="58,0" path="m7557,10l7614,10e" filled="false" stroked="true" strokeweight=".95996pt" strokecolor="#41b7ee">
                <v:path arrowok="t"/>
              </v:shape>
            </v:group>
            <v:group style="position:absolute;left:7614;top:10;width:1445;height:2" coordorigin="7614,10" coordsize="1445,2">
              <v:shape style="position:absolute;left:7614;top:10;width:1445;height:2" coordorigin="7614,10" coordsize="1445,0" path="m7614,10l9059,10e" filled="false" stroked="true" strokeweight=".95996pt" strokecolor="#41b7ee">
                <v:path arrowok="t"/>
              </v:shape>
            </v:group>
          </v:group>
        </w:pict>
      </w:r>
      <w:r>
        <w:rPr>
          <w:rFonts w:ascii="宋体" w:hAnsi="宋体" w:cs="宋体" w:eastAsia="宋体" w:hint="default"/>
          <w:sz w:val="2"/>
          <w:szCs w:val="2"/>
        </w:rPr>
      </w:r>
    </w:p>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74" w:lineRule="exact"/>
        <w:ind w:left="21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headerReference w:type="default" r:id="rId25"/>
          <w:footerReference w:type="default" r:id="rId26"/>
          <w:pgSz w:w="11910" w:h="16840"/>
          <w:pgMar w:header="825" w:footer="1537" w:top="1360" w:bottom="1720" w:left="1580" w:right="1040"/>
        </w:sectPr>
      </w:pPr>
    </w:p>
    <w:p>
      <w:pPr>
        <w:pStyle w:val="Heading2"/>
        <w:spacing w:line="240" w:lineRule="auto" w:before="119"/>
        <w:ind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4</w:t>
      </w:r>
      <w:r>
        <w:rPr/>
        <w:t>、</w:t>
      </w:r>
      <w:r>
        <w:rPr>
          <w:spacing w:val="-7"/>
        </w:rPr>
        <w:t> </w:t>
      </w:r>
      <w:r>
        <w:rPr/>
        <w:t>涉及业绩约定的，应当披露报告期内的业绩实现情况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2"/>
        <w:spacing w:line="240" w:lineRule="auto" w:before="32"/>
        <w:ind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2"/>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9"/>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2"/>
        <w:spacing w:line="240" w:lineRule="auto" w:before="29"/>
        <w:ind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tabs>
          <w:tab w:pos="1057" w:val="left" w:leader="none"/>
        </w:tabs>
        <w:spacing w:line="290" w:lineRule="auto" w:before="29"/>
        <w:ind w:left="218" w:right="2634"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十五、重大合同及其履行情况</w:t>
      </w:r>
      <w:r>
        <w:rPr>
          <w:rFonts w:ascii="宋体" w:hAnsi="宋体" w:cs="宋体" w:eastAsia="宋体" w:hint="default"/>
          <w:b/>
          <w:bCs/>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托管、承包、租赁事项</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托管情况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18" w:right="379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承包情况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18" w:right="379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租赁情况</w:t>
      </w:r>
      <w:r>
        <w:rPr>
          <w:rFonts w:ascii="宋体" w:hAnsi="宋体" w:cs="宋体" w:eastAsia="宋体" w:hint="default"/>
          <w:b/>
          <w:bCs/>
          <w:w w:val="99"/>
          <w:sz w:val="21"/>
          <w:szCs w:val="21"/>
        </w:rPr>
        <w:t> </w:t>
      </w:r>
      <w:r>
        <w:rPr>
          <w:rFonts w:ascii="宋体" w:hAnsi="宋体" w:cs="宋体" w:eastAsia="宋体" w:hint="default"/>
          <w:sz w:val="21"/>
          <w:szCs w:val="21"/>
        </w:rPr>
      </w:r>
    </w:p>
    <w:p>
      <w:pPr>
        <w:tabs>
          <w:tab w:pos="1057" w:val="left" w:leader="none"/>
        </w:tabs>
        <w:spacing w:line="290" w:lineRule="auto" w:before="12"/>
        <w:ind w:left="218" w:right="379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bookmarkStart w:name="OLE_LINK2" w:id="6"/>
      <w:bookmarkEnd w:id="6"/>
      <w:r>
        <w:rPr>
          <w:rFonts w:ascii="宋体" w:hAnsi="宋体" w:cs="宋体" w:eastAsia="宋体" w:hint="default"/>
          <w:w w:val="100"/>
          <w:sz w:val="21"/>
          <w:szCs w:val="21"/>
        </w:rPr>
      </w:r>
      <w:bookmarkStart w:name="OLE_LINK3" w:id="7"/>
      <w:bookmarkEnd w:id="7"/>
      <w:r>
        <w:rPr>
          <w:rFonts w:ascii="宋体" w:hAnsi="宋体" w:cs="宋体" w:eastAsia="宋体" w:hint="default"/>
          <w:w w:val="100"/>
          <w:sz w:val="21"/>
          <w:szCs w:val="21"/>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z w:val="21"/>
          <w:szCs w:val="21"/>
        </w:rPr>
        <w:t>担保情况</w:t>
      </w:r>
      <w:r>
        <w:rPr>
          <w:rFonts w:ascii="宋体" w:hAnsi="宋体" w:cs="宋体" w:eastAsia="宋体" w:hint="default"/>
          <w:sz w:val="21"/>
          <w:szCs w:val="21"/>
        </w:rPr>
      </w:r>
    </w:p>
    <w:p>
      <w:pPr>
        <w:pStyle w:val="BodyText"/>
        <w:spacing w:line="240" w:lineRule="auto" w:before="12"/>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642" w:val="left" w:leader="none"/>
          <w:tab w:pos="1057" w:val="left" w:leader="none"/>
        </w:tabs>
        <w:spacing w:line="290" w:lineRule="auto" w:before="59"/>
        <w:ind w:right="1580"/>
        <w:jc w:val="left"/>
        <w:rPr>
          <w:rFonts w:ascii="宋体" w:hAnsi="宋体" w:cs="宋体" w:eastAsia="宋体" w:hint="default"/>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14"/>
        <w:ind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spacing w:line="240" w:lineRule="auto" w:before="56"/>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27"/>
          <w:pgSz w:w="11910" w:h="16840"/>
          <w:pgMar w:footer="1537" w:header="825" w:top="1360" w:bottom="1720" w:left="1580" w:right="1040"/>
          <w:cols w:num="2" w:equalWidth="0">
            <w:col w:w="5804" w:space="717"/>
            <w:col w:w="2769"/>
          </w:cols>
        </w:sectPr>
      </w:pPr>
    </w:p>
    <w:p>
      <w:pPr>
        <w:spacing w:line="240" w:lineRule="auto" w:before="4"/>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1738;height:2" coordorigin="10,10" coordsize="1738,2">
              <v:shape style="position:absolute;left:10;top:10;width:1738;height:2" coordorigin="10,10" coordsize="1738,0" path="m10,10l1747,10e" filled="false" stroked="true" strokeweight=".95996pt" strokecolor="#41b7ee">
                <v:path arrowok="t"/>
              </v:shape>
            </v:group>
            <v:group style="position:absolute;left:1747;top:10;width:58;height:2" coordorigin="1747,10" coordsize="58,2">
              <v:shape style="position:absolute;left:1747;top:10;width:58;height:2" coordorigin="1747,10" coordsize="58,0" path="m1747,10l1805,10e" filled="false" stroked="true" strokeweight=".95996pt" strokecolor="#41b7ee">
                <v:path arrowok="t"/>
              </v:shape>
            </v:group>
            <v:group style="position:absolute;left:1805;top:10;width:1542;height:2" coordorigin="1805,10" coordsize="1542,2">
              <v:shape style="position:absolute;left:1805;top:10;width:1542;height:2" coordorigin="1805,10" coordsize="1542,0" path="m1805,10l3346,10e" filled="false" stroked="true" strokeweight=".95996pt" strokecolor="#41b7ee">
                <v:path arrowok="t"/>
              </v:shape>
            </v:group>
            <v:group style="position:absolute;left:3346;top:10;width:58;height:2" coordorigin="3346,10" coordsize="58,2">
              <v:shape style="position:absolute;left:3346;top:10;width:58;height:2" coordorigin="3346,10" coordsize="58,0" path="m3346,10l3404,10e" filled="false" stroked="true" strokeweight=".95996pt" strokecolor="#41b7ee">
                <v:path arrowok="t"/>
              </v:shape>
            </v:group>
            <v:group style="position:absolute;left:3404;top:10;width:2007;height:2" coordorigin="3404,10" coordsize="2007,2">
              <v:shape style="position:absolute;left:3404;top:10;width:2007;height:2" coordorigin="3404,10" coordsize="2007,0" path="m3404,10l5411,10e" filled="false" stroked="true" strokeweight=".95996pt" strokecolor="#41b7ee">
                <v:path arrowok="t"/>
              </v:shape>
            </v:group>
            <v:group style="position:absolute;left:5411;top:10;width:58;height:2" coordorigin="5411,10" coordsize="58,2">
              <v:shape style="position:absolute;left:5411;top:10;width:58;height:2" coordorigin="5411,10" coordsize="58,0" path="m5411,10l5468,10e" filled="false" stroked="true" strokeweight=".95996pt" strokecolor="#41b7ee">
                <v:path arrowok="t"/>
              </v:shape>
            </v:group>
            <v:group style="position:absolute;left:5468;top:10;width:1839;height:2" coordorigin="5468,10" coordsize="1839,2">
              <v:shape style="position:absolute;left:5468;top:10;width:1839;height:2" coordorigin="5468,10" coordsize="1839,0" path="m5468,10l7307,10e" filled="false" stroked="true" strokeweight=".95996pt" strokecolor="#41b7ee">
                <v:path arrowok="t"/>
              </v:shape>
            </v:group>
            <v:group style="position:absolute;left:7307;top:10;width:58;height:2" coordorigin="7307,10" coordsize="58,2">
              <v:shape style="position:absolute;left:7307;top:10;width:58;height:2" coordorigin="7307,10" coordsize="58,0" path="m7307,10l7364,10e" filled="false" stroked="true" strokeweight=".95996pt" strokecolor="#41b7ee">
                <v:path arrowok="t"/>
              </v:shape>
            </v:group>
            <v:group style="position:absolute;left:7364;top:10;width:1695;height:2" coordorigin="7364,10" coordsize="1695,2">
              <v:shape style="position:absolute;left:7364;top:10;width:1695;height:2" coordorigin="7364,10" coordsize="1695,0" path="m7364,10l9059,10e" filled="false" stroked="true" strokeweight=".95996pt" strokecolor="#41b7ee">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1742"/>
        <w:gridCol w:w="1599"/>
        <w:gridCol w:w="2064"/>
        <w:gridCol w:w="1896"/>
        <w:gridCol w:w="1748"/>
      </w:tblGrid>
      <w:tr>
        <w:trPr>
          <w:trHeight w:val="365" w:hRule="exact"/>
        </w:trPr>
        <w:tc>
          <w:tcPr>
            <w:tcW w:w="1742"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6"/>
              <w:ind w:left="799" w:right="0"/>
              <w:jc w:val="left"/>
              <w:rPr>
                <w:rFonts w:ascii="宋体" w:hAnsi="宋体" w:cs="宋体" w:eastAsia="宋体" w:hint="default"/>
                <w:sz w:val="21"/>
                <w:szCs w:val="21"/>
              </w:rPr>
            </w:pPr>
            <w:r>
              <w:rPr>
                <w:rFonts w:ascii="宋体" w:hAnsi="宋体" w:cs="宋体" w:eastAsia="宋体" w:hint="default"/>
                <w:sz w:val="21"/>
                <w:szCs w:val="21"/>
              </w:rPr>
              <w:t>类型</w:t>
            </w:r>
            <w:r>
              <w:rPr>
                <w:rFonts w:ascii="宋体" w:hAnsi="宋体" w:cs="宋体" w:eastAsia="宋体" w:hint="default"/>
                <w:sz w:val="21"/>
                <w:szCs w:val="21"/>
              </w:rPr>
              <w:t> </w:t>
            </w:r>
          </w:p>
        </w:tc>
        <w:tc>
          <w:tcPr>
            <w:tcW w:w="1599"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6"/>
              <w:ind w:left="374" w:right="0"/>
              <w:jc w:val="left"/>
              <w:rPr>
                <w:rFonts w:ascii="宋体" w:hAnsi="宋体" w:cs="宋体" w:eastAsia="宋体" w:hint="default"/>
                <w:sz w:val="21"/>
                <w:szCs w:val="21"/>
              </w:rPr>
            </w:pPr>
            <w:r>
              <w:rPr>
                <w:rFonts w:ascii="宋体" w:hAnsi="宋体" w:cs="宋体" w:eastAsia="宋体" w:hint="default"/>
                <w:sz w:val="21"/>
                <w:szCs w:val="21"/>
              </w:rPr>
              <w:t>资金来源</w:t>
            </w:r>
            <w:r>
              <w:rPr>
                <w:rFonts w:ascii="宋体" w:hAnsi="宋体" w:cs="宋体" w:eastAsia="宋体" w:hint="default"/>
                <w:sz w:val="21"/>
                <w:szCs w:val="21"/>
              </w:rPr>
              <w:t> </w:t>
            </w:r>
          </w:p>
        </w:tc>
        <w:tc>
          <w:tcPr>
            <w:tcW w:w="2064"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6"/>
              <w:ind w:left="710" w:right="0"/>
              <w:jc w:val="left"/>
              <w:rPr>
                <w:rFonts w:ascii="宋体" w:hAnsi="宋体" w:cs="宋体" w:eastAsia="宋体" w:hint="default"/>
                <w:sz w:val="21"/>
                <w:szCs w:val="21"/>
              </w:rPr>
            </w:pPr>
            <w:r>
              <w:rPr>
                <w:rFonts w:ascii="宋体" w:hAnsi="宋体" w:cs="宋体" w:eastAsia="宋体" w:hint="default"/>
                <w:sz w:val="21"/>
                <w:szCs w:val="21"/>
              </w:rPr>
              <w:t>发生额</w:t>
            </w:r>
            <w:r>
              <w:rPr>
                <w:rFonts w:ascii="宋体" w:hAnsi="宋体" w:cs="宋体" w:eastAsia="宋体" w:hint="default"/>
                <w:sz w:val="21"/>
                <w:szCs w:val="21"/>
              </w:rPr>
              <w:t> </w:t>
            </w:r>
          </w:p>
        </w:tc>
        <w:tc>
          <w:tcPr>
            <w:tcW w:w="1896"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6"/>
              <w:ind w:left="100" w:right="0"/>
              <w:jc w:val="center"/>
              <w:rPr>
                <w:rFonts w:ascii="宋体" w:hAnsi="宋体" w:cs="宋体" w:eastAsia="宋体" w:hint="default"/>
                <w:sz w:val="21"/>
                <w:szCs w:val="21"/>
              </w:rPr>
            </w:pPr>
            <w:r>
              <w:rPr>
                <w:rFonts w:ascii="宋体" w:hAnsi="宋体" w:cs="宋体" w:eastAsia="宋体" w:hint="default"/>
                <w:sz w:val="21"/>
                <w:szCs w:val="21"/>
              </w:rPr>
              <w:t>未到期余额</w:t>
            </w:r>
            <w:r>
              <w:rPr>
                <w:rFonts w:ascii="宋体" w:hAnsi="宋体" w:cs="宋体" w:eastAsia="宋体" w:hint="default"/>
                <w:sz w:val="21"/>
                <w:szCs w:val="21"/>
              </w:rPr>
              <w:t> </w:t>
            </w:r>
          </w:p>
        </w:tc>
        <w:tc>
          <w:tcPr>
            <w:tcW w:w="1748"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6"/>
              <w:ind w:right="31"/>
              <w:jc w:val="right"/>
              <w:rPr>
                <w:rFonts w:ascii="宋体" w:hAnsi="宋体" w:cs="宋体" w:eastAsia="宋体" w:hint="default"/>
                <w:sz w:val="21"/>
                <w:szCs w:val="21"/>
              </w:rPr>
            </w:pPr>
            <w:r>
              <w:rPr>
                <w:rFonts w:ascii="宋体" w:hAnsi="宋体" w:cs="宋体" w:eastAsia="宋体" w:hint="default"/>
                <w:spacing w:val="-2"/>
                <w:sz w:val="21"/>
                <w:szCs w:val="21"/>
              </w:rPr>
              <w:t>逾期未收回金额</w:t>
            </w:r>
            <w:r>
              <w:rPr>
                <w:rFonts w:ascii="宋体" w:hAnsi="宋体" w:cs="宋体" w:eastAsia="宋体" w:hint="default"/>
                <w:sz w:val="21"/>
                <w:szCs w:val="21"/>
              </w:rPr>
              <w:t> </w:t>
            </w:r>
          </w:p>
        </w:tc>
      </w:tr>
      <w:tr>
        <w:trPr>
          <w:trHeight w:val="362" w:hRule="exact"/>
        </w:trPr>
        <w:tc>
          <w:tcPr>
            <w:tcW w:w="1742"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结构性存款</w:t>
            </w:r>
            <w:r>
              <w:rPr>
                <w:rFonts w:ascii="宋体" w:hAnsi="宋体" w:cs="宋体" w:eastAsia="宋体" w:hint="default"/>
                <w:sz w:val="21"/>
                <w:szCs w:val="21"/>
              </w:rPr>
              <w:t> </w:t>
            </w:r>
          </w:p>
        </w:tc>
        <w:tc>
          <w:tcPr>
            <w:tcW w:w="1599"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自有资金</w:t>
            </w:r>
            <w:r>
              <w:rPr>
                <w:rFonts w:ascii="宋体" w:hAnsi="宋体" w:cs="宋体" w:eastAsia="宋体" w:hint="default"/>
                <w:sz w:val="21"/>
                <w:szCs w:val="21"/>
              </w:rPr>
              <w:t> </w:t>
            </w:r>
          </w:p>
        </w:tc>
        <w:tc>
          <w:tcPr>
            <w:tcW w:w="2064"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left="316" w:right="0"/>
              <w:jc w:val="left"/>
              <w:rPr>
                <w:rFonts w:ascii="Arial" w:hAnsi="Arial" w:cs="Arial" w:eastAsia="Arial" w:hint="default"/>
                <w:sz w:val="21"/>
                <w:szCs w:val="21"/>
              </w:rPr>
            </w:pPr>
            <w:r>
              <w:rPr>
                <w:rFonts w:ascii="Arial"/>
                <w:sz w:val="21"/>
              </w:rPr>
              <w:t>1,250,000,000.00</w:t>
            </w:r>
          </w:p>
        </w:tc>
        <w:tc>
          <w:tcPr>
            <w:tcW w:w="1896"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left="43" w:right="0"/>
              <w:jc w:val="center"/>
              <w:rPr>
                <w:rFonts w:ascii="Arial" w:hAnsi="Arial" w:cs="Arial" w:eastAsia="Arial" w:hint="default"/>
                <w:sz w:val="21"/>
                <w:szCs w:val="21"/>
              </w:rPr>
            </w:pPr>
            <w:r>
              <w:rPr>
                <w:rFonts w:ascii="Arial"/>
                <w:sz w:val="21"/>
              </w:rPr>
              <w:t>1,250,000,000.00</w:t>
            </w:r>
          </w:p>
        </w:tc>
        <w:tc>
          <w:tcPr>
            <w:tcW w:w="1748"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2"/>
              <w:ind w:right="0"/>
              <w:jc w:val="right"/>
              <w:rPr>
                <w:rFonts w:ascii="宋体" w:hAnsi="宋体" w:cs="宋体" w:eastAsia="宋体" w:hint="default"/>
                <w:sz w:val="21"/>
                <w:szCs w:val="21"/>
              </w:rPr>
            </w:pPr>
            <w:r>
              <w:rPr>
                <w:rFonts w:ascii="宋体"/>
                <w:w w:val="100"/>
                <w:sz w:val="21"/>
              </w:rPr>
              <w:t> </w:t>
            </w:r>
          </w:p>
        </w:tc>
      </w:tr>
    </w:tbl>
    <w:p>
      <w:pPr>
        <w:spacing w:before="22"/>
        <w:ind w:left="218" w:right="241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其他情</w:t>
      </w:r>
      <w:r>
        <w:rPr>
          <w:rFonts w:ascii="宋体" w:hAnsi="宋体" w:cs="宋体" w:eastAsia="宋体" w:hint="default"/>
          <w:b/>
          <w:bCs/>
          <w:spacing w:val="-3"/>
          <w:w w:val="100"/>
          <w:sz w:val="21"/>
          <w:szCs w:val="21"/>
        </w:rPr>
        <w:t>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360" w:bottom="1380" w:left="1580" w:right="1040"/>
        </w:sectPr>
      </w:pPr>
    </w:p>
    <w:p>
      <w:pPr>
        <w:spacing w:line="240" w:lineRule="auto" w:before="4"/>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headerReference w:type="default" r:id="rId28"/>
          <w:footerReference w:type="default" r:id="rId29"/>
          <w:pgSz w:w="16840" w:h="11910" w:orient="landscape"/>
          <w:pgMar w:header="826" w:footer="1358" w:top="1360" w:bottom="1600" w:left="1300" w:right="1300"/>
          <w:pgNumType w:start="43"/>
        </w:sectPr>
      </w:pPr>
    </w:p>
    <w:p>
      <w:pPr>
        <w:pStyle w:val="Heading2"/>
        <w:spacing w:line="240" w:lineRule="auto" w:before="36"/>
        <w:ind w:left="140" w:right="-19"/>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pStyle w:val="BodyText"/>
        <w:spacing w:line="240" w:lineRule="auto" w:before="56"/>
        <w:ind w:left="140" w:right="-19"/>
        <w:jc w:val="left"/>
        <w:rPr>
          <w:rFonts w:ascii="宋体" w:hAnsi="宋体" w:cs="宋体" w:eastAsia="宋体" w:hint="default"/>
        </w:rPr>
      </w:pPr>
      <w:r>
        <w:rPr/>
        <w:t>√适用  </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40" w:right="0"/>
        <w:jc w:val="left"/>
        <w:rPr>
          <w:rFonts w:ascii="宋体" w:hAnsi="宋体" w:cs="宋体" w:eastAsia="宋体" w:hint="default"/>
        </w:rPr>
      </w:pPr>
      <w:r>
        <w:rPr/>
        <w:pict>
          <v:group style="position:absolute;margin-left:532.75pt;margin-top:59.183666pt;width:35.2pt;height:13.6pt;mso-position-horizontal-relative:page;mso-position-vertical-relative:paragraph;z-index:-943504" coordorigin="10655,1184" coordsize="704,272">
            <v:shape style="position:absolute;left:10655;top:1184;width:704;height:272" coordorigin="10655,1184" coordsize="704,272" path="m10655,1455l11358,1455,11358,1184,10655,1184,10655,1455xe" filled="true" fillcolor="#ffffff" stroked="false">
              <v:path arrowok="t"/>
              <v:fill type="solid"/>
            </v:shape>
            <w10:wrap type="none"/>
          </v:group>
        </w:pict>
      </w:r>
      <w:r>
        <w:rPr/>
        <w:t>单位：万元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360" w:bottom="1380" w:left="1300" w:right="1300"/>
          <w:cols w:num="2" w:equalWidth="0">
            <w:col w:w="2191" w:space="9161"/>
            <w:col w:w="2888"/>
          </w:cols>
        </w:sectPr>
      </w:pPr>
    </w:p>
    <w:p>
      <w:pPr>
        <w:spacing w:line="240" w:lineRule="auto" w:before="4"/>
        <w:rPr>
          <w:rFonts w:ascii="宋体" w:hAnsi="宋体" w:cs="宋体" w:eastAsia="宋体" w:hint="default"/>
          <w:sz w:val="2"/>
          <w:szCs w:val="2"/>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697.55pt;height:1pt;mso-position-horizontal-relative:char;mso-position-vertical-relative:line" coordorigin="0,0" coordsize="13951,20">
            <v:group style="position:absolute;left:10;top:10;width:2269;height:2" coordorigin="10,10" coordsize="2269,2">
              <v:shape style="position:absolute;left:10;top:10;width:2269;height:2" coordorigin="10,10" coordsize="2269,0" path="m10,10l2278,10e" filled="false" stroked="true" strokeweight=".96001pt" strokecolor="#009eea">
                <v:path arrowok="t"/>
              </v:shape>
            </v:group>
            <v:group style="position:absolute;left:2278;top:10;width:58;height:2" coordorigin="2278,10" coordsize="58,2">
              <v:shape style="position:absolute;left:2278;top:10;width:58;height:2" coordorigin="2278,10" coordsize="58,0" path="m2278,10l2336,10e" filled="false" stroked="true" strokeweight=".96001pt" strokecolor="#009eea">
                <v:path arrowok="t"/>
              </v:shape>
            </v:group>
            <v:group style="position:absolute;left:2336;top:10;width:1366;height:2" coordorigin="2336,10" coordsize="1366,2">
              <v:shape style="position:absolute;left:2336;top:10;width:1366;height:2" coordorigin="2336,10" coordsize="1366,0" path="m2336,10l3701,10e" filled="false" stroked="true" strokeweight=".96001pt" strokecolor="#009eea">
                <v:path arrowok="t"/>
              </v:shape>
            </v:group>
            <v:group style="position:absolute;left:3701;top:10;width:58;height:2" coordorigin="3701,10" coordsize="58,2">
              <v:shape style="position:absolute;left:3701;top:10;width:58;height:2" coordorigin="3701,10" coordsize="58,0" path="m3701,10l3759,10e" filled="false" stroked="true" strokeweight=".96001pt" strokecolor="#009eea">
                <v:path arrowok="t"/>
              </v:shape>
            </v:group>
            <v:group style="position:absolute;left:3759;top:10;width:937;height:2" coordorigin="3759,10" coordsize="937,2">
              <v:shape style="position:absolute;left:3759;top:10;width:937;height:2" coordorigin="3759,10" coordsize="937,0" path="m3759,10l4695,10e" filled="false" stroked="true" strokeweight=".96001pt" strokecolor="#009eea">
                <v:path arrowok="t"/>
              </v:shape>
            </v:group>
            <v:group style="position:absolute;left:4695;top:10;width:58;height:2" coordorigin="4695,10" coordsize="58,2">
              <v:shape style="position:absolute;left:4695;top:10;width:58;height:2" coordorigin="4695,10" coordsize="58,0" path="m4695,10l4753,10e" filled="false" stroked="true" strokeweight=".96001pt" strokecolor="#009eea">
                <v:path arrowok="t"/>
              </v:shape>
            </v:group>
            <v:group style="position:absolute;left:4753;top:10;width:1224;height:2" coordorigin="4753,10" coordsize="1224,2">
              <v:shape style="position:absolute;left:4753;top:10;width:1224;height:2" coordorigin="4753,10" coordsize="1224,0" path="m4753,10l5977,10e" filled="false" stroked="true" strokeweight=".96001pt" strokecolor="#009eea">
                <v:path arrowok="t"/>
              </v:shape>
            </v:group>
            <v:group style="position:absolute;left:5977;top:10;width:58;height:2" coordorigin="5977,10" coordsize="58,2">
              <v:shape style="position:absolute;left:5977;top:10;width:58;height:2" coordorigin="5977,10" coordsize="58,0" path="m5977,10l6035,10e" filled="false" stroked="true" strokeweight=".96001pt" strokecolor="#009eea">
                <v:path arrowok="t"/>
              </v:shape>
            </v:group>
            <v:group style="position:absolute;left:6035;top:10;width:1222;height:2" coordorigin="6035,10" coordsize="1222,2">
              <v:shape style="position:absolute;left:6035;top:10;width:1222;height:2" coordorigin="6035,10" coordsize="1222,0" path="m6035,10l7256,10e" filled="false" stroked="true" strokeweight=".96001pt" strokecolor="#009eea">
                <v:path arrowok="t"/>
              </v:shape>
            </v:group>
            <v:group style="position:absolute;left:7256;top:10;width:58;height:2" coordorigin="7256,10" coordsize="58,2">
              <v:shape style="position:absolute;left:7256;top:10;width:58;height:2" coordorigin="7256,10" coordsize="58,0" path="m7256,10l7314,10e" filled="false" stroked="true" strokeweight=".96001pt" strokecolor="#009eea">
                <v:path arrowok="t"/>
              </v:shape>
            </v:group>
            <v:group style="position:absolute;left:7314;top:10;width:795;height:2" coordorigin="7314,10" coordsize="795,2">
              <v:shape style="position:absolute;left:7314;top:10;width:795;height:2" coordorigin="7314,10" coordsize="795,0" path="m7314,10l8109,10e" filled="false" stroked="true" strokeweight=".96001pt" strokecolor="#009eea">
                <v:path arrowok="t"/>
              </v:shape>
            </v:group>
            <v:group style="position:absolute;left:8109;top:10;width:58;height:2" coordorigin="8109,10" coordsize="58,2">
              <v:shape style="position:absolute;left:8109;top:10;width:58;height:2" coordorigin="8109,10" coordsize="58,0" path="m8109,10l8166,10e" filled="false" stroked="true" strokeweight=".96001pt" strokecolor="#009eea">
                <v:path arrowok="t"/>
              </v:shape>
            </v:group>
            <v:group style="position:absolute;left:8166;top:10;width:509;height:2" coordorigin="8166,10" coordsize="509,2">
              <v:shape style="position:absolute;left:8166;top:10;width:509;height:2" coordorigin="8166,10" coordsize="509,0" path="m8166,10l8675,10e" filled="false" stroked="true" strokeweight=".96001pt" strokecolor="#009eea">
                <v:path arrowok="t"/>
              </v:shape>
            </v:group>
            <v:group style="position:absolute;left:8675;top:10;width:58;height:2" coordorigin="8675,10" coordsize="58,2">
              <v:shape style="position:absolute;left:8675;top:10;width:58;height:2" coordorigin="8675,10" coordsize="58,0" path="m8675,10l8733,10e" filled="false" stroked="true" strokeweight=".96001pt" strokecolor="#009eea">
                <v:path arrowok="t"/>
              </v:shape>
            </v:group>
            <v:group style="position:absolute;left:8733;top:10;width:512;height:2" coordorigin="8733,10" coordsize="512,2">
              <v:shape style="position:absolute;left:8733;top:10;width:512;height:2" coordorigin="8733,10" coordsize="512,0" path="m8733,10l9244,10e" filled="false" stroked="true" strokeweight=".96001pt" strokecolor="#009eea">
                <v:path arrowok="t"/>
              </v:shape>
            </v:group>
            <v:group style="position:absolute;left:9244;top:10;width:58;height:2" coordorigin="9244,10" coordsize="58,2">
              <v:shape style="position:absolute;left:9244;top:10;width:58;height:2" coordorigin="9244,10" coordsize="58,0" path="m9244,10l9301,10e" filled="false" stroked="true" strokeweight=".96001pt" strokecolor="#009eea">
                <v:path arrowok="t"/>
              </v:shape>
            </v:group>
            <v:group style="position:absolute;left:9301;top:10;width:656;height:2" coordorigin="9301,10" coordsize="656,2">
              <v:shape style="position:absolute;left:9301;top:10;width:656;height:2" coordorigin="9301,10" coordsize="656,0" path="m9301,10l9957,10e" filled="false" stroked="true" strokeweight=".96001pt" strokecolor="#009eea">
                <v:path arrowok="t"/>
              </v:shape>
            </v:group>
            <v:group style="position:absolute;left:9957;top:10;width:58;height:2" coordorigin="9957,10" coordsize="58,2">
              <v:shape style="position:absolute;left:9957;top:10;width:58;height:2" coordorigin="9957,10" coordsize="58,0" path="m9957,10l10014,10e" filled="false" stroked="true" strokeweight=".96001pt" strokecolor="#009eea">
                <v:path arrowok="t"/>
              </v:shape>
            </v:group>
            <v:group style="position:absolute;left:10014;top:10;width:651;height:2" coordorigin="10014,10" coordsize="651,2">
              <v:shape style="position:absolute;left:10014;top:10;width:651;height:2" coordorigin="10014,10" coordsize="651,0" path="m10014,10l10665,10e" filled="false" stroked="true" strokeweight=".96001pt" strokecolor="#009eea">
                <v:path arrowok="t"/>
              </v:shape>
            </v:group>
            <v:group style="position:absolute;left:10665;top:10;width:58;height:2" coordorigin="10665,10" coordsize="58,2">
              <v:shape style="position:absolute;left:10665;top:10;width:58;height:2" coordorigin="10665,10" coordsize="58,0" path="m10665,10l10722,10e" filled="false" stroked="true" strokeweight=".96001pt" strokecolor="#009eea">
                <v:path arrowok="t"/>
              </v:shape>
            </v:group>
            <v:group style="position:absolute;left:10722;top:10;width:803;height:2" coordorigin="10722,10" coordsize="803,2">
              <v:shape style="position:absolute;left:10722;top:10;width:803;height:2" coordorigin="10722,10" coordsize="803,0" path="m10722,10l11524,10e" filled="false" stroked="true" strokeweight=".96001pt" strokecolor="#009eea">
                <v:path arrowok="t"/>
              </v:shape>
            </v:group>
            <v:group style="position:absolute;left:11524;top:10;width:58;height:2" coordorigin="11524,10" coordsize="58,2">
              <v:shape style="position:absolute;left:11524;top:10;width:58;height:2" coordorigin="11524,10" coordsize="58,0" path="m11524,10l11582,10e" filled="false" stroked="true" strokeweight=".96001pt" strokecolor="#009eea">
                <v:path arrowok="t"/>
              </v:shape>
            </v:group>
            <v:group style="position:absolute;left:11582;top:10;width:1078;height:2" coordorigin="11582,10" coordsize="1078,2">
              <v:shape style="position:absolute;left:11582;top:10;width:1078;height:2" coordorigin="11582,10" coordsize="1078,0" path="m11582,10l12660,10e" filled="false" stroked="true" strokeweight=".96001pt" strokecolor="#009eea">
                <v:path arrowok="t"/>
              </v:shape>
            </v:group>
            <v:group style="position:absolute;left:12660;top:10;width:58;height:2" coordorigin="12660,10" coordsize="58,2">
              <v:shape style="position:absolute;left:12660;top:10;width:58;height:2" coordorigin="12660,10" coordsize="58,0" path="m12660,10l12717,10e" filled="false" stroked="true" strokeweight=".96001pt" strokecolor="#009eea">
                <v:path arrowok="t"/>
              </v:shape>
            </v:group>
            <v:group style="position:absolute;left:12717;top:10;width:512;height:2" coordorigin="12717,10" coordsize="512,2">
              <v:shape style="position:absolute;left:12717;top:10;width:512;height:2" coordorigin="12717,10" coordsize="512,0" path="m12717,10l13228,10e" filled="false" stroked="true" strokeweight=".96001pt" strokecolor="#009eea">
                <v:path arrowok="t"/>
              </v:shape>
            </v:group>
            <v:group style="position:absolute;left:13228;top:10;width:58;height:2" coordorigin="13228,10" coordsize="58,2">
              <v:shape style="position:absolute;left:13228;top:10;width:58;height:2" coordorigin="13228,10" coordsize="58,0" path="m13228,10l13286,10e" filled="false" stroked="true" strokeweight=".96001pt" strokecolor="#009eea">
                <v:path arrowok="t"/>
              </v:shape>
            </v:group>
            <v:group style="position:absolute;left:13286;top:10;width:656;height:2" coordorigin="13286,10" coordsize="656,2">
              <v:shape style="position:absolute;left:13286;top:10;width:656;height:2" coordorigin="13286,10" coordsize="656,0" path="m13286,10l13941,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2273"/>
        <w:gridCol w:w="1423"/>
        <w:gridCol w:w="994"/>
        <w:gridCol w:w="1282"/>
        <w:gridCol w:w="1279"/>
        <w:gridCol w:w="852"/>
        <w:gridCol w:w="566"/>
        <w:gridCol w:w="569"/>
        <w:gridCol w:w="713"/>
        <w:gridCol w:w="708"/>
        <w:gridCol w:w="860"/>
        <w:gridCol w:w="1135"/>
        <w:gridCol w:w="569"/>
        <w:gridCol w:w="708"/>
      </w:tblGrid>
      <w:tr>
        <w:trPr>
          <w:trHeight w:val="1106" w:hRule="exact"/>
        </w:trPr>
        <w:tc>
          <w:tcPr>
            <w:tcW w:w="2273"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821" w:right="0"/>
              <w:jc w:val="left"/>
              <w:rPr>
                <w:rFonts w:ascii="宋体" w:hAnsi="宋体" w:cs="宋体" w:eastAsia="宋体" w:hint="default"/>
                <w:sz w:val="21"/>
                <w:szCs w:val="21"/>
              </w:rPr>
            </w:pPr>
            <w:r>
              <w:rPr>
                <w:rFonts w:ascii="宋体" w:hAnsi="宋体" w:cs="宋体" w:eastAsia="宋体" w:hint="default"/>
                <w:sz w:val="21"/>
                <w:szCs w:val="21"/>
              </w:rPr>
              <w:t>受托人</w:t>
            </w:r>
            <w:r>
              <w:rPr>
                <w:rFonts w:ascii="宋体" w:hAnsi="宋体" w:cs="宋体" w:eastAsia="宋体" w:hint="default"/>
                <w:sz w:val="21"/>
                <w:szCs w:val="21"/>
              </w:rPr>
              <w:t> </w:t>
            </w:r>
          </w:p>
        </w:tc>
        <w:tc>
          <w:tcPr>
            <w:tcW w:w="1423" w:type="dxa"/>
            <w:tcBorders>
              <w:top w:val="single" w:sz="8" w:space="0" w:color="009EEA"/>
              <w:left w:val="single" w:sz="4" w:space="0" w:color="009EEA"/>
              <w:bottom w:val="single" w:sz="4" w:space="0" w:color="009EEA"/>
              <w:right w:val="single" w:sz="9" w:space="0" w:color="FFFFFF"/>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76" w:right="-35"/>
              <w:jc w:val="left"/>
              <w:rPr>
                <w:rFonts w:ascii="宋体" w:hAnsi="宋体" w:cs="宋体" w:eastAsia="宋体" w:hint="default"/>
                <w:sz w:val="21"/>
                <w:szCs w:val="21"/>
              </w:rPr>
            </w:pPr>
            <w:r>
              <w:rPr>
                <w:rFonts w:ascii="宋体" w:hAnsi="宋体" w:cs="宋体" w:eastAsia="宋体" w:hint="default"/>
                <w:sz w:val="21"/>
                <w:szCs w:val="21"/>
              </w:rPr>
              <w:t>委托理财类型</w:t>
            </w:r>
            <w:r>
              <w:rPr>
                <w:rFonts w:ascii="宋体" w:hAnsi="宋体" w:cs="宋体" w:eastAsia="宋体" w:hint="default"/>
                <w:sz w:val="21"/>
                <w:szCs w:val="21"/>
              </w:rPr>
              <w:t> </w:t>
            </w:r>
          </w:p>
        </w:tc>
        <w:tc>
          <w:tcPr>
            <w:tcW w:w="994" w:type="dxa"/>
            <w:tcBorders>
              <w:top w:val="single" w:sz="8" w:space="0" w:color="009EEA"/>
              <w:left w:val="single" w:sz="9" w:space="0" w:color="FFFFFF"/>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275" w:right="70" w:hanging="212"/>
              <w:jc w:val="left"/>
              <w:rPr>
                <w:rFonts w:ascii="宋体" w:hAnsi="宋体" w:cs="宋体" w:eastAsia="宋体" w:hint="default"/>
                <w:sz w:val="21"/>
                <w:szCs w:val="21"/>
              </w:rPr>
            </w:pPr>
            <w:r>
              <w:rPr>
                <w:rFonts w:ascii="宋体" w:hAnsi="宋体" w:cs="宋体" w:eastAsia="宋体" w:hint="default"/>
                <w:sz w:val="21"/>
                <w:szCs w:val="21"/>
              </w:rPr>
              <w:t>委托理财</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282"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319" w:right="105" w:hanging="209"/>
              <w:jc w:val="left"/>
              <w:rPr>
                <w:rFonts w:ascii="宋体" w:hAnsi="宋体" w:cs="宋体" w:eastAsia="宋体" w:hint="default"/>
                <w:sz w:val="21"/>
                <w:szCs w:val="21"/>
              </w:rPr>
            </w:pPr>
            <w:r>
              <w:rPr>
                <w:rFonts w:ascii="宋体" w:hAnsi="宋体" w:cs="宋体" w:eastAsia="宋体" w:hint="default"/>
                <w:sz w:val="21"/>
                <w:szCs w:val="21"/>
              </w:rPr>
              <w:t>委托理财起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始日期</w:t>
            </w:r>
            <w:r>
              <w:rPr>
                <w:rFonts w:ascii="宋体" w:hAnsi="宋体" w:cs="宋体" w:eastAsia="宋体" w:hint="default"/>
                <w:sz w:val="21"/>
                <w:szCs w:val="21"/>
              </w:rPr>
              <w:t> </w:t>
            </w:r>
          </w:p>
        </w:tc>
        <w:tc>
          <w:tcPr>
            <w:tcW w:w="1279"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319" w:right="103" w:hanging="209"/>
              <w:jc w:val="left"/>
              <w:rPr>
                <w:rFonts w:ascii="宋体" w:hAnsi="宋体" w:cs="宋体" w:eastAsia="宋体" w:hint="default"/>
                <w:sz w:val="21"/>
                <w:szCs w:val="21"/>
              </w:rPr>
            </w:pPr>
            <w:r>
              <w:rPr>
                <w:rFonts w:ascii="宋体" w:hAnsi="宋体" w:cs="宋体" w:eastAsia="宋体" w:hint="default"/>
                <w:sz w:val="21"/>
                <w:szCs w:val="21"/>
              </w:rPr>
              <w:t>委托理财终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止日期</w:t>
            </w:r>
            <w:r>
              <w:rPr>
                <w:rFonts w:ascii="宋体" w:hAnsi="宋体" w:cs="宋体" w:eastAsia="宋体" w:hint="default"/>
                <w:sz w:val="21"/>
                <w:szCs w:val="21"/>
              </w:rPr>
              <w:t> </w:t>
            </w:r>
          </w:p>
        </w:tc>
        <w:tc>
          <w:tcPr>
            <w:tcW w:w="852" w:type="dxa"/>
            <w:tcBorders>
              <w:top w:val="single" w:sz="8" w:space="0" w:color="009EEA"/>
              <w:left w:val="single" w:sz="4" w:space="0" w:color="009EEA"/>
              <w:bottom w:val="single" w:sz="4" w:space="0" w:color="009EEA"/>
              <w:right w:val="single" w:sz="4" w:space="0" w:color="009EEA"/>
            </w:tcBorders>
          </w:tcPr>
          <w:p>
            <w:pPr>
              <w:pStyle w:val="TableParagraph"/>
              <w:spacing w:line="272" w:lineRule="exact" w:before="132"/>
              <w:ind w:left="209" w:right="107"/>
              <w:jc w:val="center"/>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w w:val="100"/>
                <w:sz w:val="21"/>
                <w:szCs w:val="21"/>
              </w:rPr>
              <w:t> </w:t>
            </w:r>
            <w:r>
              <w:rPr>
                <w:rFonts w:ascii="宋体" w:hAnsi="宋体" w:cs="宋体" w:eastAsia="宋体" w:hint="default"/>
                <w:sz w:val="21"/>
                <w:szCs w:val="21"/>
              </w:rPr>
              <w:t>来源</w:t>
            </w:r>
            <w:r>
              <w:rPr>
                <w:rFonts w:ascii="宋体" w:hAnsi="宋体" w:cs="宋体" w:eastAsia="宋体" w:hint="default"/>
                <w:sz w:val="21"/>
                <w:szCs w:val="21"/>
              </w:rPr>
              <w:t> </w:t>
            </w:r>
          </w:p>
          <w:p>
            <w:pPr>
              <w:pStyle w:val="TableParagraph"/>
              <w:spacing w:line="249" w:lineRule="exact"/>
              <w:ind w:left="103" w:right="0"/>
              <w:jc w:val="center"/>
              <w:rPr>
                <w:rFonts w:ascii="宋体" w:hAnsi="宋体" w:cs="宋体" w:eastAsia="宋体" w:hint="default"/>
                <w:sz w:val="21"/>
                <w:szCs w:val="21"/>
              </w:rPr>
            </w:pPr>
            <w:r>
              <w:rPr>
                <w:rFonts w:ascii="宋体"/>
                <w:w w:val="100"/>
                <w:sz w:val="21"/>
              </w:rPr>
              <w:t> </w:t>
            </w:r>
          </w:p>
        </w:tc>
        <w:tc>
          <w:tcPr>
            <w:tcW w:w="566" w:type="dxa"/>
            <w:tcBorders>
              <w:top w:val="single" w:sz="8" w:space="0" w:color="009EEA"/>
              <w:left w:val="single" w:sz="4" w:space="0" w:color="009EEA"/>
              <w:bottom w:val="single" w:sz="4" w:space="0" w:color="009EEA"/>
              <w:right w:val="single" w:sz="13" w:space="0" w:color="FFFFFF"/>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67" w:right="-48"/>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w w:val="100"/>
                <w:sz w:val="21"/>
                <w:szCs w:val="21"/>
              </w:rPr>
              <w:t> </w:t>
            </w:r>
            <w:r>
              <w:rPr>
                <w:rFonts w:ascii="宋体" w:hAnsi="宋体" w:cs="宋体" w:eastAsia="宋体" w:hint="default"/>
                <w:sz w:val="21"/>
                <w:szCs w:val="21"/>
              </w:rPr>
              <w:t>投向</w:t>
            </w:r>
            <w:r>
              <w:rPr>
                <w:rFonts w:ascii="宋体" w:hAnsi="宋体" w:cs="宋体" w:eastAsia="宋体" w:hint="default"/>
                <w:sz w:val="21"/>
                <w:szCs w:val="21"/>
              </w:rPr>
              <w:t> </w:t>
            </w:r>
          </w:p>
        </w:tc>
        <w:tc>
          <w:tcPr>
            <w:tcW w:w="569" w:type="dxa"/>
            <w:tcBorders>
              <w:top w:val="single" w:sz="8" w:space="0" w:color="009EEA"/>
              <w:left w:val="single" w:sz="13" w:space="0" w:color="FFFFFF"/>
              <w:bottom w:val="single" w:sz="4" w:space="0" w:color="009EEA"/>
              <w:right w:val="single" w:sz="13" w:space="0" w:color="FFFFFF"/>
            </w:tcBorders>
          </w:tcPr>
          <w:p>
            <w:pPr>
              <w:pStyle w:val="TableParagraph"/>
              <w:spacing w:line="237" w:lineRule="auto" w:before="107"/>
              <w:ind w:left="57" w:right="-49"/>
              <w:jc w:val="left"/>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pacing w:val="-103"/>
                <w:sz w:val="21"/>
                <w:szCs w:val="21"/>
              </w:rPr>
              <w:t> </w:t>
            </w:r>
            <w:r>
              <w:rPr>
                <w:rFonts w:ascii="宋体" w:hAnsi="宋体" w:cs="宋体" w:eastAsia="宋体" w:hint="default"/>
                <w:sz w:val="21"/>
                <w:szCs w:val="21"/>
              </w:rPr>
              <w:t>确定</w:t>
            </w:r>
            <w:r>
              <w:rPr>
                <w:rFonts w:ascii="宋体" w:hAnsi="宋体" w:cs="宋体" w:eastAsia="宋体" w:hint="default"/>
                <w:w w:val="100"/>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c>
          <w:tcPr>
            <w:tcW w:w="713" w:type="dxa"/>
            <w:tcBorders>
              <w:top w:val="single" w:sz="8" w:space="0" w:color="009EEA"/>
              <w:left w:val="single" w:sz="13" w:space="0" w:color="FFFFFF"/>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24" w:right="31" w:firstLine="105"/>
              <w:jc w:val="left"/>
              <w:rPr>
                <w:rFonts w:ascii="宋体" w:hAnsi="宋体" w:cs="宋体" w:eastAsia="宋体" w:hint="default"/>
                <w:sz w:val="21"/>
                <w:szCs w:val="21"/>
              </w:rPr>
            </w:pPr>
            <w:r>
              <w:rPr>
                <w:rFonts w:ascii="宋体" w:hAnsi="宋体" w:cs="宋体" w:eastAsia="宋体" w:hint="default"/>
                <w:sz w:val="21"/>
                <w:szCs w:val="21"/>
              </w:rPr>
              <w:t>年化</w:t>
            </w:r>
            <w:r>
              <w:rPr>
                <w:rFonts w:ascii="宋体" w:hAnsi="宋体" w:cs="宋体" w:eastAsia="宋体" w:hint="default"/>
                <w:w w:val="100"/>
                <w:sz w:val="21"/>
                <w:szCs w:val="21"/>
              </w:rPr>
              <w:t> </w:t>
            </w:r>
            <w:r>
              <w:rPr>
                <w:rFonts w:ascii="宋体" w:hAnsi="宋体" w:cs="宋体" w:eastAsia="宋体" w:hint="default"/>
                <w:sz w:val="21"/>
                <w:szCs w:val="21"/>
              </w:rPr>
              <w:t>收益率</w:t>
            </w:r>
          </w:p>
        </w:tc>
        <w:tc>
          <w:tcPr>
            <w:tcW w:w="708" w:type="dxa"/>
            <w:tcBorders>
              <w:top w:val="single" w:sz="8" w:space="0" w:color="009EEA"/>
              <w:left w:val="single" w:sz="4" w:space="0" w:color="009EEA"/>
              <w:bottom w:val="single" w:sz="4" w:space="0" w:color="009EEA"/>
              <w:right w:val="single" w:sz="4" w:space="0" w:color="009EEA"/>
            </w:tcBorders>
          </w:tcPr>
          <w:p>
            <w:pPr>
              <w:pStyle w:val="TableParagraph"/>
              <w:spacing w:line="237" w:lineRule="auto" w:before="107"/>
              <w:ind w:left="33" w:right="29"/>
              <w:jc w:val="right"/>
              <w:rPr>
                <w:rFonts w:ascii="宋体" w:hAnsi="宋体" w:cs="宋体" w:eastAsia="宋体" w:hint="default"/>
                <w:sz w:val="21"/>
                <w:szCs w:val="21"/>
              </w:rPr>
            </w:pPr>
            <w:r>
              <w:rPr>
                <w:rFonts w:ascii="宋体" w:hAnsi="宋体" w:cs="宋体" w:eastAsia="宋体" w:hint="default"/>
                <w:sz w:val="21"/>
                <w:szCs w:val="21"/>
              </w:rPr>
              <w:t>预期收</w:t>
            </w:r>
            <w:r>
              <w:rPr>
                <w:rFonts w:ascii="宋体" w:hAnsi="宋体" w:cs="宋体" w:eastAsia="宋体" w:hint="default"/>
                <w:w w:val="100"/>
                <w:sz w:val="21"/>
                <w:szCs w:val="21"/>
              </w:rPr>
              <w:t> </w:t>
            </w:r>
            <w:r>
              <w:rPr>
                <w:rFonts w:ascii="宋体" w:hAnsi="宋体" w:cs="宋体" w:eastAsia="宋体" w:hint="default"/>
                <w:sz w:val="21"/>
                <w:szCs w:val="21"/>
              </w:rPr>
              <w:t>益（如</w:t>
            </w:r>
            <w:r>
              <w:rPr>
                <w:rFonts w:ascii="宋体" w:hAnsi="宋体" w:cs="宋体" w:eastAsia="宋体" w:hint="default"/>
                <w:w w:val="100"/>
                <w:sz w:val="21"/>
                <w:szCs w:val="21"/>
              </w:rPr>
              <w:t> </w:t>
            </w:r>
            <w:r>
              <w:rPr>
                <w:rFonts w:ascii="宋体" w:hAnsi="宋体" w:cs="宋体" w:eastAsia="宋体" w:hint="default"/>
                <w:spacing w:val="-2"/>
                <w:sz w:val="21"/>
                <w:szCs w:val="21"/>
              </w:rPr>
              <w:t>有</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860" w:type="dxa"/>
            <w:tcBorders>
              <w:top w:val="single" w:sz="8" w:space="0" w:color="009EEA"/>
              <w:left w:val="single" w:sz="4" w:space="0" w:color="009EEA"/>
              <w:bottom w:val="single" w:sz="4" w:space="0" w:color="009EEA"/>
              <w:right w:val="single" w:sz="4" w:space="0" w:color="009EEA"/>
            </w:tcBorders>
          </w:tcPr>
          <w:p>
            <w:pPr>
              <w:pStyle w:val="TableParagraph"/>
              <w:spacing w:line="237" w:lineRule="auto" w:before="107"/>
              <w:ind w:left="108" w:right="106"/>
              <w:jc w:val="center"/>
              <w:rPr>
                <w:rFonts w:ascii="宋体" w:hAnsi="宋体" w:cs="宋体" w:eastAsia="宋体" w:hint="default"/>
                <w:sz w:val="21"/>
                <w:szCs w:val="21"/>
              </w:rPr>
            </w:pPr>
            <w:r>
              <w:rPr>
                <w:rFonts w:ascii="宋体" w:hAnsi="宋体" w:cs="宋体" w:eastAsia="宋体" w:hint="default"/>
                <w:sz w:val="21"/>
                <w:szCs w:val="21"/>
              </w:rPr>
              <w:t>实际收</w:t>
            </w:r>
            <w:r>
              <w:rPr>
                <w:rFonts w:ascii="宋体" w:hAnsi="宋体" w:cs="宋体" w:eastAsia="宋体" w:hint="default"/>
                <w:w w:val="100"/>
                <w:sz w:val="21"/>
                <w:szCs w:val="21"/>
              </w:rPr>
              <w:t> </w:t>
            </w:r>
            <w:r>
              <w:rPr>
                <w:rFonts w:ascii="宋体" w:hAnsi="宋体" w:cs="宋体" w:eastAsia="宋体" w:hint="default"/>
                <w:sz w:val="21"/>
                <w:szCs w:val="21"/>
              </w:rPr>
              <w:t>益或损</w:t>
            </w:r>
            <w:r>
              <w:rPr>
                <w:rFonts w:ascii="宋体" w:hAnsi="宋体" w:cs="宋体" w:eastAsia="宋体" w:hint="default"/>
                <w:w w:val="100"/>
                <w:sz w:val="21"/>
                <w:szCs w:val="21"/>
              </w:rPr>
              <w:t> </w:t>
            </w:r>
            <w:r>
              <w:rPr>
                <w:rFonts w:ascii="宋体" w:hAnsi="宋体" w:cs="宋体" w:eastAsia="宋体" w:hint="default"/>
                <w:sz w:val="21"/>
                <w:szCs w:val="21"/>
              </w:rPr>
              <w:t>失</w:t>
            </w:r>
            <w:r>
              <w:rPr>
                <w:rFonts w:ascii="宋体" w:hAnsi="宋体" w:cs="宋体" w:eastAsia="宋体" w:hint="default"/>
                <w:sz w:val="21"/>
                <w:szCs w:val="21"/>
              </w:rPr>
              <w:t> </w:t>
            </w:r>
          </w:p>
        </w:tc>
        <w:tc>
          <w:tcPr>
            <w:tcW w:w="1135"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456" w:right="33" w:hanging="420"/>
              <w:jc w:val="left"/>
              <w:rPr>
                <w:rFonts w:ascii="宋体" w:hAnsi="宋体" w:cs="宋体" w:eastAsia="宋体" w:hint="default"/>
                <w:sz w:val="21"/>
                <w:szCs w:val="21"/>
              </w:rPr>
            </w:pPr>
            <w:r>
              <w:rPr>
                <w:rFonts w:ascii="宋体" w:hAnsi="宋体" w:cs="宋体" w:eastAsia="宋体" w:hint="default"/>
                <w:sz w:val="21"/>
                <w:szCs w:val="21"/>
              </w:rPr>
              <w:t>实际收回情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况</w:t>
            </w:r>
            <w:r>
              <w:rPr>
                <w:rFonts w:ascii="宋体" w:hAnsi="宋体" w:cs="宋体" w:eastAsia="宋体" w:hint="default"/>
                <w:sz w:val="21"/>
                <w:szCs w:val="21"/>
              </w:rPr>
              <w:t> </w:t>
            </w:r>
          </w:p>
        </w:tc>
        <w:tc>
          <w:tcPr>
            <w:tcW w:w="569" w:type="dxa"/>
            <w:tcBorders>
              <w:top w:val="single" w:sz="8" w:space="0" w:color="009EEA"/>
              <w:left w:val="single" w:sz="4" w:space="0" w:color="009EEA"/>
              <w:bottom w:val="single" w:sz="4" w:space="0" w:color="009EEA"/>
              <w:right w:val="single" w:sz="13" w:space="0" w:color="FFFFFF"/>
            </w:tcBorders>
          </w:tcPr>
          <w:p>
            <w:pPr>
              <w:pStyle w:val="TableParagraph"/>
              <w:spacing w:line="243" w:lineRule="exact"/>
              <w:ind w:left="69"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7" w:lineRule="auto" w:before="2"/>
              <w:ind w:left="69" w:right="-49"/>
              <w:jc w:val="both"/>
              <w:rPr>
                <w:rFonts w:ascii="宋体" w:hAnsi="宋体" w:cs="宋体" w:eastAsia="宋体" w:hint="default"/>
                <w:sz w:val="21"/>
                <w:szCs w:val="21"/>
              </w:rPr>
            </w:pPr>
            <w:r>
              <w:rPr>
                <w:rFonts w:ascii="宋体" w:hAnsi="宋体" w:cs="宋体" w:eastAsia="宋体" w:hint="default"/>
                <w:sz w:val="21"/>
                <w:szCs w:val="21"/>
              </w:rPr>
              <w:t>经过</w:t>
            </w:r>
            <w:r>
              <w:rPr>
                <w:rFonts w:ascii="宋体" w:hAnsi="宋体" w:cs="宋体" w:eastAsia="宋体" w:hint="default"/>
                <w:spacing w:val="-103"/>
                <w:sz w:val="21"/>
                <w:szCs w:val="21"/>
              </w:rPr>
              <w:t> </w:t>
            </w:r>
            <w:r>
              <w:rPr>
                <w:rFonts w:ascii="宋体" w:hAnsi="宋体" w:cs="宋体" w:eastAsia="宋体" w:hint="default"/>
                <w:sz w:val="21"/>
                <w:szCs w:val="21"/>
              </w:rPr>
              <w:t>法定</w:t>
            </w:r>
            <w:r>
              <w:rPr>
                <w:rFonts w:ascii="宋体" w:hAnsi="宋体" w:cs="宋体" w:eastAsia="宋体" w:hint="default"/>
                <w:spacing w:val="-103"/>
                <w:sz w:val="21"/>
                <w:szCs w:val="21"/>
              </w:rPr>
              <w:t> </w:t>
            </w:r>
            <w:r>
              <w:rPr>
                <w:rFonts w:ascii="宋体" w:hAnsi="宋体" w:cs="宋体" w:eastAsia="宋体" w:hint="default"/>
                <w:sz w:val="21"/>
                <w:szCs w:val="21"/>
              </w:rPr>
              <w:t>程序</w:t>
            </w:r>
            <w:r>
              <w:rPr>
                <w:rFonts w:ascii="宋体" w:hAnsi="宋体" w:cs="宋体" w:eastAsia="宋体" w:hint="default"/>
                <w:sz w:val="21"/>
                <w:szCs w:val="21"/>
              </w:rPr>
              <w:t> </w:t>
            </w:r>
          </w:p>
        </w:tc>
        <w:tc>
          <w:tcPr>
            <w:tcW w:w="708" w:type="dxa"/>
            <w:tcBorders>
              <w:top w:val="single" w:sz="8" w:space="0" w:color="009EEA"/>
              <w:left w:val="single" w:sz="13" w:space="0" w:color="FFFFFF"/>
              <w:bottom w:val="single" w:sz="4" w:space="0" w:color="009EEA"/>
              <w:right w:val="nil" w:sz="6" w:space="0" w:color="auto"/>
            </w:tcBorders>
          </w:tcPr>
          <w:p>
            <w:pPr>
              <w:pStyle w:val="TableParagraph"/>
              <w:spacing w:line="243" w:lineRule="exact"/>
              <w:ind w:left="21" w:right="0"/>
              <w:jc w:val="both"/>
              <w:rPr>
                <w:rFonts w:ascii="宋体" w:hAnsi="宋体" w:cs="宋体" w:eastAsia="宋体" w:hint="default"/>
                <w:sz w:val="21"/>
                <w:szCs w:val="21"/>
              </w:rPr>
            </w:pPr>
            <w:r>
              <w:rPr>
                <w:rFonts w:ascii="宋体" w:hAnsi="宋体" w:cs="宋体" w:eastAsia="宋体" w:hint="default"/>
                <w:sz w:val="21"/>
                <w:szCs w:val="21"/>
              </w:rPr>
              <w:t>未来是</w:t>
            </w:r>
          </w:p>
          <w:p>
            <w:pPr>
              <w:pStyle w:val="TableParagraph"/>
              <w:spacing w:line="237" w:lineRule="auto" w:before="2"/>
              <w:ind w:left="21" w:right="35"/>
              <w:jc w:val="both"/>
              <w:rPr>
                <w:rFonts w:ascii="宋体" w:hAnsi="宋体" w:cs="宋体" w:eastAsia="宋体" w:hint="default"/>
                <w:sz w:val="21"/>
                <w:szCs w:val="21"/>
              </w:rPr>
            </w:pPr>
            <w:r>
              <w:rPr>
                <w:rFonts w:ascii="宋体" w:hAnsi="宋体" w:cs="宋体" w:eastAsia="宋体" w:hint="default"/>
                <w:sz w:val="21"/>
                <w:szCs w:val="21"/>
              </w:rPr>
              <w:t>否有委</w:t>
            </w:r>
            <w:r>
              <w:rPr>
                <w:rFonts w:ascii="宋体" w:hAnsi="宋体" w:cs="宋体" w:eastAsia="宋体" w:hint="default"/>
                <w:spacing w:val="-102"/>
                <w:sz w:val="21"/>
                <w:szCs w:val="21"/>
              </w:rPr>
              <w:t> </w:t>
            </w:r>
            <w:r>
              <w:rPr>
                <w:rFonts w:ascii="宋体" w:hAnsi="宋体" w:cs="宋体" w:eastAsia="宋体" w:hint="default"/>
                <w:sz w:val="21"/>
                <w:szCs w:val="21"/>
              </w:rPr>
              <w:t>托理财</w:t>
            </w:r>
            <w:r>
              <w:rPr>
                <w:rFonts w:ascii="宋体" w:hAnsi="宋体" w:cs="宋体" w:eastAsia="宋体" w:hint="default"/>
                <w:spacing w:val="-102"/>
                <w:sz w:val="21"/>
                <w:szCs w:val="21"/>
              </w:rPr>
              <w:t> </w:t>
            </w:r>
            <w:r>
              <w:rPr>
                <w:rFonts w:ascii="宋体" w:hAnsi="宋体" w:cs="宋体" w:eastAsia="宋体" w:hint="default"/>
                <w:sz w:val="21"/>
                <w:szCs w:val="21"/>
              </w:rPr>
              <w:t>计划</w:t>
            </w:r>
            <w:r>
              <w:rPr>
                <w:rFonts w:ascii="宋体" w:hAnsi="宋体" w:cs="宋体" w:eastAsia="宋体" w:hint="default"/>
                <w:sz w:val="21"/>
                <w:szCs w:val="21"/>
              </w:rPr>
              <w:t> </w:t>
            </w:r>
          </w:p>
        </w:tc>
      </w:tr>
      <w:tr>
        <w:trPr>
          <w:trHeight w:val="555" w:hRule="exact"/>
        </w:trPr>
        <w:tc>
          <w:tcPr>
            <w:tcW w:w="2273" w:type="dxa"/>
            <w:tcBorders>
              <w:top w:val="single" w:sz="4" w:space="0" w:color="009EEA"/>
              <w:left w:val="nil" w:sz="6" w:space="0" w:color="auto"/>
              <w:bottom w:val="single" w:sz="4" w:space="0" w:color="009EEA"/>
              <w:right w:val="single" w:sz="4" w:space="0" w:color="009EEA"/>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兴业银行股份有限公司</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哈尔滨分行</w:t>
            </w:r>
            <w:r>
              <w:rPr>
                <w:rFonts w:ascii="宋体" w:hAnsi="宋体" w:cs="宋体" w:eastAsia="宋体" w:hint="default"/>
                <w:sz w:val="21"/>
                <w:szCs w:val="21"/>
              </w:rPr>
              <w:t> </w:t>
            </w:r>
          </w:p>
        </w:tc>
        <w:tc>
          <w:tcPr>
            <w:tcW w:w="142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结构性存款</w:t>
            </w:r>
            <w:r>
              <w:rPr>
                <w:rFonts w:ascii="宋体" w:hAnsi="宋体" w:cs="宋体" w:eastAsia="宋体" w:hint="default"/>
                <w:sz w:val="21"/>
                <w:szCs w:val="21"/>
              </w:rPr>
              <w:t> </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7"/>
              <w:ind w:right="20"/>
              <w:jc w:val="right"/>
              <w:rPr>
                <w:rFonts w:ascii="Arial" w:hAnsi="Arial" w:cs="Arial" w:eastAsia="Arial" w:hint="default"/>
                <w:sz w:val="21"/>
                <w:szCs w:val="21"/>
              </w:rPr>
            </w:pPr>
            <w:r>
              <w:rPr>
                <w:rFonts w:ascii="Arial"/>
                <w:spacing w:val="-1"/>
                <w:sz w:val="21"/>
              </w:rPr>
              <w:t>15,000</w:t>
            </w:r>
          </w:p>
        </w:tc>
        <w:tc>
          <w:tcPr>
            <w:tcW w:w="12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7"/>
              <w:ind w:right="41"/>
              <w:jc w:val="center"/>
              <w:rPr>
                <w:rFonts w:ascii="宋体" w:hAnsi="宋体" w:cs="宋体" w:eastAsia="宋体" w:hint="default"/>
                <w:sz w:val="21"/>
                <w:szCs w:val="21"/>
              </w:rPr>
            </w:pPr>
            <w:r>
              <w:rPr>
                <w:rFonts w:ascii="Arial"/>
                <w:sz w:val="21"/>
              </w:rPr>
              <w:t>2019-01-08</w:t>
            </w:r>
            <w:r>
              <w:rPr>
                <w:rFonts w:ascii="宋体"/>
                <w:w w:val="100"/>
                <w:sz w:val="21"/>
              </w:rPr>
              <w:t> </w:t>
            </w:r>
          </w:p>
        </w:tc>
        <w:tc>
          <w:tcPr>
            <w:tcW w:w="12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7"/>
              <w:ind w:right="38"/>
              <w:jc w:val="center"/>
              <w:rPr>
                <w:rFonts w:ascii="宋体" w:hAnsi="宋体" w:cs="宋体" w:eastAsia="宋体" w:hint="default"/>
                <w:sz w:val="21"/>
                <w:szCs w:val="21"/>
              </w:rPr>
            </w:pPr>
            <w:r>
              <w:rPr>
                <w:rFonts w:ascii="Arial"/>
                <w:sz w:val="21"/>
              </w:rPr>
              <w:t>2019-04-08</w:t>
            </w:r>
            <w:r>
              <w:rPr>
                <w:rFonts w:ascii="宋体"/>
                <w:w w:val="100"/>
                <w:sz w:val="21"/>
              </w:rPr>
              <w:t> </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自有闲</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置资金</w:t>
            </w:r>
            <w:r>
              <w:rPr>
                <w:rFonts w:ascii="宋体" w:hAnsi="宋体" w:cs="宋体" w:eastAsia="宋体" w:hint="default"/>
                <w:sz w:val="21"/>
                <w:szCs w:val="21"/>
              </w:rPr>
              <w:t> </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z w:val="21"/>
                <w:szCs w:val="21"/>
              </w:rPr>
              <w:t> </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约定</w:t>
            </w:r>
            <w:r>
              <w:rPr>
                <w:rFonts w:ascii="宋体" w:hAnsi="宋体" w:cs="宋体" w:eastAsia="宋体" w:hint="default"/>
                <w:sz w:val="21"/>
                <w:szCs w:val="21"/>
              </w:rPr>
              <w:t> </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7"/>
              <w:ind w:right="16"/>
              <w:jc w:val="right"/>
              <w:rPr>
                <w:rFonts w:ascii="Arial" w:hAnsi="Arial" w:cs="Arial" w:eastAsia="Arial" w:hint="default"/>
                <w:sz w:val="21"/>
                <w:szCs w:val="21"/>
              </w:rPr>
            </w:pPr>
            <w:r>
              <w:rPr>
                <w:rFonts w:ascii="Arial"/>
                <w:spacing w:val="-1"/>
                <w:sz w:val="21"/>
              </w:rPr>
              <w:t>4.20%</w:t>
            </w:r>
          </w:p>
        </w:tc>
        <w:tc>
          <w:tcPr>
            <w:tcW w:w="708" w:type="dxa"/>
            <w:tcBorders>
              <w:top w:val="single" w:sz="4" w:space="0" w:color="009EEA"/>
              <w:left w:val="single" w:sz="4" w:space="0" w:color="009EEA"/>
              <w:bottom w:val="single" w:sz="4" w:space="0" w:color="009EEA"/>
              <w:right w:val="single" w:sz="4" w:space="0" w:color="009EEA"/>
            </w:tcBorders>
          </w:tcPr>
          <w:p>
            <w:pPr/>
          </w:p>
        </w:tc>
        <w:tc>
          <w:tcPr>
            <w:tcW w:w="8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7"/>
              <w:ind w:right="19"/>
              <w:jc w:val="right"/>
              <w:rPr>
                <w:rFonts w:ascii="Arial" w:hAnsi="Arial" w:cs="Arial" w:eastAsia="Arial" w:hint="default"/>
                <w:sz w:val="21"/>
                <w:szCs w:val="21"/>
              </w:rPr>
            </w:pPr>
            <w:r>
              <w:rPr>
                <w:rFonts w:ascii="Arial"/>
                <w:sz w:val="21"/>
              </w:rPr>
              <w:t>155.34</w:t>
            </w: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60" w:lineRule="exact" w:before="8"/>
              <w:ind w:left="21" w:right="103"/>
              <w:jc w:val="left"/>
              <w:rPr>
                <w:rFonts w:ascii="宋体" w:hAnsi="宋体" w:cs="宋体" w:eastAsia="宋体" w:hint="default"/>
                <w:sz w:val="20"/>
                <w:szCs w:val="20"/>
              </w:rPr>
            </w:pPr>
            <w:r>
              <w:rPr>
                <w:rFonts w:ascii="宋体" w:hAnsi="宋体" w:cs="宋体" w:eastAsia="宋体" w:hint="default"/>
                <w:sz w:val="20"/>
                <w:szCs w:val="20"/>
              </w:rPr>
              <w:t>本息收回与</w:t>
            </w:r>
            <w:r>
              <w:rPr>
                <w:rFonts w:ascii="宋体" w:hAnsi="宋体" w:cs="宋体" w:eastAsia="宋体" w:hint="default"/>
                <w:w w:val="99"/>
                <w:sz w:val="20"/>
                <w:szCs w:val="20"/>
              </w:rPr>
              <w:t> </w:t>
            </w:r>
            <w:r>
              <w:rPr>
                <w:rFonts w:ascii="宋体" w:hAnsi="宋体" w:cs="宋体" w:eastAsia="宋体" w:hint="default"/>
                <w:sz w:val="20"/>
                <w:szCs w:val="20"/>
              </w:rPr>
              <w:t>预期相符</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3"/>
              <w:ind w:right="6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3"/>
              <w:ind w:right="13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2273"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兴业银行股份有限公司</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哈尔滨分行</w:t>
            </w:r>
            <w:r>
              <w:rPr>
                <w:rFonts w:ascii="宋体" w:hAnsi="宋体" w:cs="宋体" w:eastAsia="宋体" w:hint="default"/>
                <w:sz w:val="21"/>
                <w:szCs w:val="21"/>
              </w:rPr>
              <w:t> </w:t>
            </w:r>
          </w:p>
        </w:tc>
        <w:tc>
          <w:tcPr>
            <w:tcW w:w="142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结构性存款</w:t>
            </w:r>
            <w:r>
              <w:rPr>
                <w:rFonts w:ascii="宋体" w:hAnsi="宋体" w:cs="宋体" w:eastAsia="宋体" w:hint="default"/>
                <w:sz w:val="21"/>
                <w:szCs w:val="21"/>
              </w:rPr>
              <w:t> </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20"/>
              <w:jc w:val="right"/>
              <w:rPr>
                <w:rFonts w:ascii="Arial" w:hAnsi="Arial" w:cs="Arial" w:eastAsia="Arial" w:hint="default"/>
                <w:sz w:val="21"/>
                <w:szCs w:val="21"/>
              </w:rPr>
            </w:pPr>
            <w:r>
              <w:rPr>
                <w:rFonts w:ascii="Arial"/>
                <w:spacing w:val="-1"/>
                <w:sz w:val="21"/>
              </w:rPr>
              <w:t>10,000</w:t>
            </w:r>
          </w:p>
        </w:tc>
        <w:tc>
          <w:tcPr>
            <w:tcW w:w="12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41"/>
              <w:jc w:val="center"/>
              <w:rPr>
                <w:rFonts w:ascii="宋体" w:hAnsi="宋体" w:cs="宋体" w:eastAsia="宋体" w:hint="default"/>
                <w:sz w:val="21"/>
                <w:szCs w:val="21"/>
              </w:rPr>
            </w:pPr>
            <w:r>
              <w:rPr>
                <w:rFonts w:ascii="Arial"/>
                <w:sz w:val="21"/>
              </w:rPr>
              <w:t>2019-01-23</w:t>
            </w:r>
            <w:r>
              <w:rPr>
                <w:rFonts w:ascii="宋体"/>
                <w:w w:val="100"/>
                <w:sz w:val="21"/>
              </w:rPr>
              <w:t> </w:t>
            </w:r>
          </w:p>
        </w:tc>
        <w:tc>
          <w:tcPr>
            <w:tcW w:w="12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38"/>
              <w:jc w:val="center"/>
              <w:rPr>
                <w:rFonts w:ascii="宋体" w:hAnsi="宋体" w:cs="宋体" w:eastAsia="宋体" w:hint="default"/>
                <w:sz w:val="21"/>
                <w:szCs w:val="21"/>
              </w:rPr>
            </w:pPr>
            <w:r>
              <w:rPr>
                <w:rFonts w:ascii="Arial"/>
                <w:sz w:val="21"/>
              </w:rPr>
              <w:t>2019-04-23</w:t>
            </w:r>
            <w:r>
              <w:rPr>
                <w:rFonts w:ascii="宋体"/>
                <w:w w:val="100"/>
                <w:sz w:val="21"/>
              </w:rPr>
              <w:t> </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自有闲</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置资金</w:t>
            </w:r>
            <w:r>
              <w:rPr>
                <w:rFonts w:ascii="宋体" w:hAnsi="宋体" w:cs="宋体" w:eastAsia="宋体" w:hint="default"/>
                <w:sz w:val="21"/>
                <w:szCs w:val="21"/>
              </w:rPr>
              <w:t> </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z w:val="21"/>
                <w:szCs w:val="21"/>
              </w:rPr>
              <w:t> </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约定</w:t>
            </w:r>
            <w:r>
              <w:rPr>
                <w:rFonts w:ascii="宋体" w:hAnsi="宋体" w:cs="宋体" w:eastAsia="宋体" w:hint="default"/>
                <w:sz w:val="21"/>
                <w:szCs w:val="21"/>
              </w:rPr>
              <w:t> </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16"/>
              <w:jc w:val="right"/>
              <w:rPr>
                <w:rFonts w:ascii="Arial" w:hAnsi="Arial" w:cs="Arial" w:eastAsia="Arial" w:hint="default"/>
                <w:sz w:val="21"/>
                <w:szCs w:val="21"/>
              </w:rPr>
            </w:pPr>
            <w:r>
              <w:rPr>
                <w:rFonts w:ascii="Arial"/>
                <w:spacing w:val="-1"/>
                <w:sz w:val="21"/>
              </w:rPr>
              <w:t>4.10%</w:t>
            </w:r>
          </w:p>
        </w:tc>
        <w:tc>
          <w:tcPr>
            <w:tcW w:w="708" w:type="dxa"/>
            <w:tcBorders>
              <w:top w:val="single" w:sz="4" w:space="0" w:color="009EEA"/>
              <w:left w:val="single" w:sz="4" w:space="0" w:color="009EEA"/>
              <w:bottom w:val="single" w:sz="4" w:space="0" w:color="009EEA"/>
              <w:right w:val="single" w:sz="4" w:space="0" w:color="009EEA"/>
            </w:tcBorders>
          </w:tcPr>
          <w:p>
            <w:pPr/>
          </w:p>
        </w:tc>
        <w:tc>
          <w:tcPr>
            <w:tcW w:w="8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19"/>
              <w:jc w:val="right"/>
              <w:rPr>
                <w:rFonts w:ascii="Arial" w:hAnsi="Arial" w:cs="Arial" w:eastAsia="Arial" w:hint="default"/>
                <w:sz w:val="21"/>
                <w:szCs w:val="21"/>
              </w:rPr>
            </w:pPr>
            <w:r>
              <w:rPr>
                <w:rFonts w:ascii="Arial"/>
                <w:sz w:val="21"/>
              </w:rPr>
              <w:t>101.10</w:t>
            </w: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60" w:lineRule="exact" w:before="8"/>
              <w:ind w:left="21" w:right="103"/>
              <w:jc w:val="left"/>
              <w:rPr>
                <w:rFonts w:ascii="宋体" w:hAnsi="宋体" w:cs="宋体" w:eastAsia="宋体" w:hint="default"/>
                <w:sz w:val="20"/>
                <w:szCs w:val="20"/>
              </w:rPr>
            </w:pPr>
            <w:r>
              <w:rPr>
                <w:rFonts w:ascii="宋体" w:hAnsi="宋体" w:cs="宋体" w:eastAsia="宋体" w:hint="default"/>
                <w:sz w:val="20"/>
                <w:szCs w:val="20"/>
              </w:rPr>
              <w:t>本息收回与</w:t>
            </w:r>
            <w:r>
              <w:rPr>
                <w:rFonts w:ascii="宋体" w:hAnsi="宋体" w:cs="宋体" w:eastAsia="宋体" w:hint="default"/>
                <w:w w:val="99"/>
                <w:sz w:val="20"/>
                <w:szCs w:val="20"/>
              </w:rPr>
              <w:t> </w:t>
            </w:r>
            <w:r>
              <w:rPr>
                <w:rFonts w:ascii="宋体" w:hAnsi="宋体" w:cs="宋体" w:eastAsia="宋体" w:hint="default"/>
                <w:sz w:val="20"/>
                <w:szCs w:val="20"/>
              </w:rPr>
              <w:t>预期相符</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2273"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上海浦东发展银行股份</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有限公司哈尔滨分行</w:t>
            </w:r>
            <w:r>
              <w:rPr>
                <w:rFonts w:ascii="宋体" w:hAnsi="宋体" w:cs="宋体" w:eastAsia="宋体" w:hint="default"/>
                <w:sz w:val="21"/>
                <w:szCs w:val="21"/>
              </w:rPr>
              <w:t> </w:t>
            </w:r>
          </w:p>
        </w:tc>
        <w:tc>
          <w:tcPr>
            <w:tcW w:w="142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结构性存款</w:t>
            </w:r>
            <w:r>
              <w:rPr>
                <w:rFonts w:ascii="宋体" w:hAnsi="宋体" w:cs="宋体" w:eastAsia="宋体" w:hint="default"/>
                <w:sz w:val="21"/>
                <w:szCs w:val="21"/>
              </w:rPr>
              <w:t> </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20"/>
              <w:jc w:val="right"/>
              <w:rPr>
                <w:rFonts w:ascii="Arial" w:hAnsi="Arial" w:cs="Arial" w:eastAsia="Arial" w:hint="default"/>
                <w:sz w:val="21"/>
                <w:szCs w:val="21"/>
              </w:rPr>
            </w:pPr>
            <w:r>
              <w:rPr>
                <w:rFonts w:ascii="Arial"/>
                <w:spacing w:val="-1"/>
                <w:sz w:val="21"/>
              </w:rPr>
              <w:t>12,500</w:t>
            </w:r>
          </w:p>
        </w:tc>
        <w:tc>
          <w:tcPr>
            <w:tcW w:w="12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41"/>
              <w:jc w:val="center"/>
              <w:rPr>
                <w:rFonts w:ascii="宋体" w:hAnsi="宋体" w:cs="宋体" w:eastAsia="宋体" w:hint="default"/>
                <w:sz w:val="21"/>
                <w:szCs w:val="21"/>
              </w:rPr>
            </w:pPr>
            <w:r>
              <w:rPr>
                <w:rFonts w:ascii="Arial"/>
                <w:sz w:val="21"/>
              </w:rPr>
              <w:t>2019-01-28</w:t>
            </w:r>
            <w:r>
              <w:rPr>
                <w:rFonts w:ascii="宋体"/>
                <w:w w:val="100"/>
                <w:sz w:val="21"/>
              </w:rPr>
              <w:t> </w:t>
            </w:r>
          </w:p>
        </w:tc>
        <w:tc>
          <w:tcPr>
            <w:tcW w:w="12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38"/>
              <w:jc w:val="center"/>
              <w:rPr>
                <w:rFonts w:ascii="宋体" w:hAnsi="宋体" w:cs="宋体" w:eastAsia="宋体" w:hint="default"/>
                <w:sz w:val="21"/>
                <w:szCs w:val="21"/>
              </w:rPr>
            </w:pPr>
            <w:r>
              <w:rPr>
                <w:rFonts w:ascii="Arial"/>
                <w:sz w:val="21"/>
              </w:rPr>
              <w:t>2019-04-29</w:t>
            </w:r>
            <w:r>
              <w:rPr>
                <w:rFonts w:ascii="宋体"/>
                <w:w w:val="100"/>
                <w:sz w:val="21"/>
              </w:rPr>
              <w:t> </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自有闲</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置资金</w:t>
            </w:r>
            <w:r>
              <w:rPr>
                <w:rFonts w:ascii="宋体" w:hAnsi="宋体" w:cs="宋体" w:eastAsia="宋体" w:hint="default"/>
                <w:sz w:val="21"/>
                <w:szCs w:val="21"/>
              </w:rPr>
              <w:t> </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z w:val="21"/>
                <w:szCs w:val="21"/>
              </w:rPr>
              <w:t> </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约定</w:t>
            </w:r>
            <w:r>
              <w:rPr>
                <w:rFonts w:ascii="宋体" w:hAnsi="宋体" w:cs="宋体" w:eastAsia="宋体" w:hint="default"/>
                <w:sz w:val="21"/>
                <w:szCs w:val="21"/>
              </w:rPr>
              <w:t> </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16"/>
              <w:jc w:val="right"/>
              <w:rPr>
                <w:rFonts w:ascii="Arial" w:hAnsi="Arial" w:cs="Arial" w:eastAsia="Arial" w:hint="default"/>
                <w:sz w:val="21"/>
                <w:szCs w:val="21"/>
              </w:rPr>
            </w:pPr>
            <w:r>
              <w:rPr>
                <w:rFonts w:ascii="Arial"/>
                <w:spacing w:val="-1"/>
                <w:sz w:val="21"/>
              </w:rPr>
              <w:t>4.10%</w:t>
            </w:r>
          </w:p>
        </w:tc>
        <w:tc>
          <w:tcPr>
            <w:tcW w:w="708" w:type="dxa"/>
            <w:tcBorders>
              <w:top w:val="single" w:sz="4" w:space="0" w:color="009EEA"/>
              <w:left w:val="single" w:sz="4" w:space="0" w:color="009EEA"/>
              <w:bottom w:val="single" w:sz="4" w:space="0" w:color="009EEA"/>
              <w:right w:val="single" w:sz="4" w:space="0" w:color="009EEA"/>
            </w:tcBorders>
          </w:tcPr>
          <w:p>
            <w:pPr/>
          </w:p>
        </w:tc>
        <w:tc>
          <w:tcPr>
            <w:tcW w:w="8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19"/>
              <w:jc w:val="right"/>
              <w:rPr>
                <w:rFonts w:ascii="Arial" w:hAnsi="Arial" w:cs="Arial" w:eastAsia="Arial" w:hint="default"/>
                <w:sz w:val="21"/>
                <w:szCs w:val="21"/>
              </w:rPr>
            </w:pPr>
            <w:r>
              <w:rPr>
                <w:rFonts w:ascii="Arial"/>
                <w:sz w:val="21"/>
              </w:rPr>
              <w:t>129.55</w:t>
            </w: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60" w:lineRule="exact" w:before="8"/>
              <w:ind w:left="21" w:right="103"/>
              <w:jc w:val="left"/>
              <w:rPr>
                <w:rFonts w:ascii="宋体" w:hAnsi="宋体" w:cs="宋体" w:eastAsia="宋体" w:hint="default"/>
                <w:sz w:val="20"/>
                <w:szCs w:val="20"/>
              </w:rPr>
            </w:pPr>
            <w:r>
              <w:rPr>
                <w:rFonts w:ascii="宋体" w:hAnsi="宋体" w:cs="宋体" w:eastAsia="宋体" w:hint="default"/>
                <w:sz w:val="20"/>
                <w:szCs w:val="20"/>
              </w:rPr>
              <w:t>本息收回与</w:t>
            </w:r>
            <w:r>
              <w:rPr>
                <w:rFonts w:ascii="宋体" w:hAnsi="宋体" w:cs="宋体" w:eastAsia="宋体" w:hint="default"/>
                <w:w w:val="99"/>
                <w:sz w:val="20"/>
                <w:szCs w:val="20"/>
              </w:rPr>
              <w:t> </w:t>
            </w:r>
            <w:r>
              <w:rPr>
                <w:rFonts w:ascii="宋体" w:hAnsi="宋体" w:cs="宋体" w:eastAsia="宋体" w:hint="default"/>
                <w:sz w:val="20"/>
                <w:szCs w:val="20"/>
              </w:rPr>
              <w:t>预期相符</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7" w:hRule="exact"/>
        </w:trPr>
        <w:tc>
          <w:tcPr>
            <w:tcW w:w="2273" w:type="dxa"/>
            <w:tcBorders>
              <w:top w:val="single" w:sz="4" w:space="0" w:color="009EEA"/>
              <w:left w:val="nil" w:sz="6" w:space="0" w:color="auto"/>
              <w:bottom w:val="single" w:sz="4" w:space="0" w:color="009EEA"/>
              <w:right w:val="single" w:sz="4" w:space="0" w:color="009EEA"/>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上海浦东发展银行股份</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有限公司哈尔滨分行</w:t>
            </w:r>
            <w:r>
              <w:rPr>
                <w:rFonts w:ascii="宋体" w:hAnsi="宋体" w:cs="宋体" w:eastAsia="宋体" w:hint="default"/>
                <w:sz w:val="21"/>
                <w:szCs w:val="21"/>
              </w:rPr>
              <w:t> </w:t>
            </w:r>
          </w:p>
        </w:tc>
        <w:tc>
          <w:tcPr>
            <w:tcW w:w="142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结构性存款</w:t>
            </w:r>
            <w:r>
              <w:rPr>
                <w:rFonts w:ascii="宋体" w:hAnsi="宋体" w:cs="宋体" w:eastAsia="宋体" w:hint="default"/>
                <w:sz w:val="21"/>
                <w:szCs w:val="21"/>
              </w:rPr>
              <w:t> </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20"/>
              <w:jc w:val="right"/>
              <w:rPr>
                <w:rFonts w:ascii="Arial" w:hAnsi="Arial" w:cs="Arial" w:eastAsia="Arial" w:hint="default"/>
                <w:sz w:val="21"/>
                <w:szCs w:val="21"/>
              </w:rPr>
            </w:pPr>
            <w:r>
              <w:rPr>
                <w:rFonts w:ascii="Arial"/>
                <w:spacing w:val="-1"/>
                <w:sz w:val="21"/>
              </w:rPr>
              <w:t>15,000</w:t>
            </w:r>
          </w:p>
        </w:tc>
        <w:tc>
          <w:tcPr>
            <w:tcW w:w="12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41"/>
              <w:jc w:val="center"/>
              <w:rPr>
                <w:rFonts w:ascii="宋体" w:hAnsi="宋体" w:cs="宋体" w:eastAsia="宋体" w:hint="default"/>
                <w:sz w:val="21"/>
                <w:szCs w:val="21"/>
              </w:rPr>
            </w:pPr>
            <w:r>
              <w:rPr>
                <w:rFonts w:ascii="Arial"/>
                <w:sz w:val="21"/>
              </w:rPr>
              <w:t>2019-01-30</w:t>
            </w:r>
            <w:r>
              <w:rPr>
                <w:rFonts w:ascii="宋体"/>
                <w:w w:val="100"/>
                <w:sz w:val="21"/>
              </w:rPr>
              <w:t> </w:t>
            </w:r>
          </w:p>
        </w:tc>
        <w:tc>
          <w:tcPr>
            <w:tcW w:w="12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38"/>
              <w:jc w:val="center"/>
              <w:rPr>
                <w:rFonts w:ascii="宋体" w:hAnsi="宋体" w:cs="宋体" w:eastAsia="宋体" w:hint="default"/>
                <w:sz w:val="21"/>
                <w:szCs w:val="21"/>
              </w:rPr>
            </w:pPr>
            <w:r>
              <w:rPr>
                <w:rFonts w:ascii="Arial"/>
                <w:sz w:val="21"/>
              </w:rPr>
              <w:t>2019-04-30</w:t>
            </w:r>
            <w:r>
              <w:rPr>
                <w:rFonts w:ascii="宋体"/>
                <w:w w:val="100"/>
                <w:sz w:val="21"/>
              </w:rPr>
              <w:t> </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自有闲</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置资金</w:t>
            </w:r>
            <w:r>
              <w:rPr>
                <w:rFonts w:ascii="宋体" w:hAnsi="宋体" w:cs="宋体" w:eastAsia="宋体" w:hint="default"/>
                <w:sz w:val="21"/>
                <w:szCs w:val="21"/>
              </w:rPr>
              <w:t> </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z w:val="21"/>
                <w:szCs w:val="21"/>
              </w:rPr>
              <w:t> </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约定</w:t>
            </w:r>
            <w:r>
              <w:rPr>
                <w:rFonts w:ascii="宋体" w:hAnsi="宋体" w:cs="宋体" w:eastAsia="宋体" w:hint="default"/>
                <w:sz w:val="21"/>
                <w:szCs w:val="21"/>
              </w:rPr>
              <w:t> </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16"/>
              <w:jc w:val="right"/>
              <w:rPr>
                <w:rFonts w:ascii="Arial" w:hAnsi="Arial" w:cs="Arial" w:eastAsia="Arial" w:hint="default"/>
                <w:sz w:val="21"/>
                <w:szCs w:val="21"/>
              </w:rPr>
            </w:pPr>
            <w:r>
              <w:rPr>
                <w:rFonts w:ascii="Arial"/>
                <w:spacing w:val="-1"/>
                <w:sz w:val="21"/>
              </w:rPr>
              <w:t>4.10%</w:t>
            </w:r>
          </w:p>
        </w:tc>
        <w:tc>
          <w:tcPr>
            <w:tcW w:w="708" w:type="dxa"/>
            <w:tcBorders>
              <w:top w:val="single" w:sz="4" w:space="0" w:color="009EEA"/>
              <w:left w:val="single" w:sz="4" w:space="0" w:color="009EEA"/>
              <w:bottom w:val="single" w:sz="4" w:space="0" w:color="009EEA"/>
              <w:right w:val="single" w:sz="4" w:space="0" w:color="009EEA"/>
            </w:tcBorders>
          </w:tcPr>
          <w:p>
            <w:pPr/>
          </w:p>
        </w:tc>
        <w:tc>
          <w:tcPr>
            <w:tcW w:w="8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19"/>
              <w:jc w:val="right"/>
              <w:rPr>
                <w:rFonts w:ascii="Arial" w:hAnsi="Arial" w:cs="Arial" w:eastAsia="Arial" w:hint="default"/>
                <w:sz w:val="21"/>
                <w:szCs w:val="21"/>
              </w:rPr>
            </w:pPr>
            <w:r>
              <w:rPr>
                <w:rFonts w:ascii="Arial"/>
                <w:sz w:val="21"/>
              </w:rPr>
              <w:t>153.75</w:t>
            </w: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60" w:lineRule="exact" w:before="8"/>
              <w:ind w:left="21" w:right="103"/>
              <w:jc w:val="left"/>
              <w:rPr>
                <w:rFonts w:ascii="宋体" w:hAnsi="宋体" w:cs="宋体" w:eastAsia="宋体" w:hint="default"/>
                <w:sz w:val="20"/>
                <w:szCs w:val="20"/>
              </w:rPr>
            </w:pPr>
            <w:r>
              <w:rPr>
                <w:rFonts w:ascii="宋体" w:hAnsi="宋体" w:cs="宋体" w:eastAsia="宋体" w:hint="default"/>
                <w:sz w:val="20"/>
                <w:szCs w:val="20"/>
              </w:rPr>
              <w:t>本息收回与</w:t>
            </w:r>
            <w:r>
              <w:rPr>
                <w:rFonts w:ascii="宋体" w:hAnsi="宋体" w:cs="宋体" w:eastAsia="宋体" w:hint="default"/>
                <w:w w:val="99"/>
                <w:sz w:val="20"/>
                <w:szCs w:val="20"/>
              </w:rPr>
              <w:t> </w:t>
            </w:r>
            <w:r>
              <w:rPr>
                <w:rFonts w:ascii="宋体" w:hAnsi="宋体" w:cs="宋体" w:eastAsia="宋体" w:hint="default"/>
                <w:sz w:val="20"/>
                <w:szCs w:val="20"/>
              </w:rPr>
              <w:t>预期相符</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5" w:hRule="exact"/>
        </w:trPr>
        <w:tc>
          <w:tcPr>
            <w:tcW w:w="2273" w:type="dxa"/>
            <w:tcBorders>
              <w:top w:val="single" w:sz="4" w:space="0" w:color="009EEA"/>
              <w:left w:val="nil" w:sz="6" w:space="0" w:color="auto"/>
              <w:bottom w:val="single" w:sz="4" w:space="0" w:color="009EEA"/>
              <w:right w:val="single" w:sz="4" w:space="0" w:color="009EEA"/>
            </w:tcBorders>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sz w:val="21"/>
                <w:szCs w:val="21"/>
              </w:rPr>
              <w:t>上海浦东发展银行股份</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有限公司哈尔滨分行</w:t>
            </w:r>
            <w:r>
              <w:rPr>
                <w:rFonts w:ascii="宋体" w:hAnsi="宋体" w:cs="宋体" w:eastAsia="宋体" w:hint="default"/>
                <w:sz w:val="21"/>
                <w:szCs w:val="21"/>
              </w:rPr>
              <w:t> </w:t>
            </w:r>
          </w:p>
        </w:tc>
        <w:tc>
          <w:tcPr>
            <w:tcW w:w="142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结构性存款</w:t>
            </w:r>
            <w:r>
              <w:rPr>
                <w:rFonts w:ascii="宋体" w:hAnsi="宋体" w:cs="宋体" w:eastAsia="宋体" w:hint="default"/>
                <w:sz w:val="21"/>
                <w:szCs w:val="21"/>
              </w:rPr>
              <w:t> </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20"/>
              <w:jc w:val="right"/>
              <w:rPr>
                <w:rFonts w:ascii="Arial" w:hAnsi="Arial" w:cs="Arial" w:eastAsia="Arial" w:hint="default"/>
                <w:sz w:val="21"/>
                <w:szCs w:val="21"/>
              </w:rPr>
            </w:pPr>
            <w:r>
              <w:rPr>
                <w:rFonts w:ascii="Arial"/>
                <w:spacing w:val="-1"/>
                <w:sz w:val="21"/>
              </w:rPr>
              <w:t>10,000</w:t>
            </w:r>
          </w:p>
        </w:tc>
        <w:tc>
          <w:tcPr>
            <w:tcW w:w="12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41"/>
              <w:jc w:val="center"/>
              <w:rPr>
                <w:rFonts w:ascii="宋体" w:hAnsi="宋体" w:cs="宋体" w:eastAsia="宋体" w:hint="default"/>
                <w:sz w:val="21"/>
                <w:szCs w:val="21"/>
              </w:rPr>
            </w:pPr>
            <w:r>
              <w:rPr>
                <w:rFonts w:ascii="Arial"/>
                <w:sz w:val="21"/>
              </w:rPr>
              <w:t>2019-01-31</w:t>
            </w:r>
            <w:r>
              <w:rPr>
                <w:rFonts w:ascii="宋体"/>
                <w:w w:val="100"/>
                <w:sz w:val="21"/>
              </w:rPr>
              <w:t> </w:t>
            </w:r>
          </w:p>
        </w:tc>
        <w:tc>
          <w:tcPr>
            <w:tcW w:w="12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38"/>
              <w:jc w:val="center"/>
              <w:rPr>
                <w:rFonts w:ascii="宋体" w:hAnsi="宋体" w:cs="宋体" w:eastAsia="宋体" w:hint="default"/>
                <w:sz w:val="21"/>
                <w:szCs w:val="21"/>
              </w:rPr>
            </w:pPr>
            <w:r>
              <w:rPr>
                <w:rFonts w:ascii="Arial"/>
                <w:sz w:val="21"/>
              </w:rPr>
              <w:t>2019-05-02</w:t>
            </w:r>
            <w:r>
              <w:rPr>
                <w:rFonts w:ascii="宋体"/>
                <w:w w:val="100"/>
                <w:sz w:val="21"/>
              </w:rPr>
              <w:t> </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自有闲</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置资金</w:t>
            </w:r>
            <w:r>
              <w:rPr>
                <w:rFonts w:ascii="宋体" w:hAnsi="宋体" w:cs="宋体" w:eastAsia="宋体" w:hint="default"/>
                <w:sz w:val="21"/>
                <w:szCs w:val="21"/>
              </w:rPr>
              <w:t> </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z w:val="21"/>
                <w:szCs w:val="21"/>
              </w:rPr>
              <w:t> </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约定</w:t>
            </w:r>
            <w:r>
              <w:rPr>
                <w:rFonts w:ascii="宋体" w:hAnsi="宋体" w:cs="宋体" w:eastAsia="宋体" w:hint="default"/>
                <w:sz w:val="21"/>
                <w:szCs w:val="21"/>
              </w:rPr>
              <w:t> </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6"/>
              <w:jc w:val="right"/>
              <w:rPr>
                <w:rFonts w:ascii="Arial" w:hAnsi="Arial" w:cs="Arial" w:eastAsia="Arial" w:hint="default"/>
                <w:sz w:val="21"/>
                <w:szCs w:val="21"/>
              </w:rPr>
            </w:pPr>
            <w:r>
              <w:rPr>
                <w:rFonts w:ascii="Arial"/>
                <w:spacing w:val="-1"/>
                <w:sz w:val="21"/>
              </w:rPr>
              <w:t>4.10%</w:t>
            </w:r>
          </w:p>
        </w:tc>
        <w:tc>
          <w:tcPr>
            <w:tcW w:w="708" w:type="dxa"/>
            <w:tcBorders>
              <w:top w:val="single" w:sz="4" w:space="0" w:color="009EEA"/>
              <w:left w:val="single" w:sz="4" w:space="0" w:color="009EEA"/>
              <w:bottom w:val="single" w:sz="4" w:space="0" w:color="009EEA"/>
              <w:right w:val="single" w:sz="4" w:space="0" w:color="009EEA"/>
            </w:tcBorders>
          </w:tcPr>
          <w:p>
            <w:pPr/>
          </w:p>
        </w:tc>
        <w:tc>
          <w:tcPr>
            <w:tcW w:w="8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9"/>
              <w:jc w:val="right"/>
              <w:rPr>
                <w:rFonts w:ascii="Arial" w:hAnsi="Arial" w:cs="Arial" w:eastAsia="Arial" w:hint="default"/>
                <w:sz w:val="21"/>
                <w:szCs w:val="21"/>
              </w:rPr>
            </w:pPr>
            <w:r>
              <w:rPr>
                <w:rFonts w:ascii="Arial"/>
                <w:sz w:val="21"/>
              </w:rPr>
              <w:t>108.19</w:t>
            </w: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60" w:lineRule="exact" w:before="5"/>
              <w:ind w:left="21" w:right="103"/>
              <w:jc w:val="left"/>
              <w:rPr>
                <w:rFonts w:ascii="宋体" w:hAnsi="宋体" w:cs="宋体" w:eastAsia="宋体" w:hint="default"/>
                <w:sz w:val="20"/>
                <w:szCs w:val="20"/>
              </w:rPr>
            </w:pPr>
            <w:r>
              <w:rPr>
                <w:rFonts w:ascii="宋体" w:hAnsi="宋体" w:cs="宋体" w:eastAsia="宋体" w:hint="default"/>
                <w:sz w:val="20"/>
                <w:szCs w:val="20"/>
              </w:rPr>
              <w:t>本息收回与</w:t>
            </w:r>
            <w:r>
              <w:rPr>
                <w:rFonts w:ascii="宋体" w:hAnsi="宋体" w:cs="宋体" w:eastAsia="宋体" w:hint="default"/>
                <w:w w:val="99"/>
                <w:sz w:val="20"/>
                <w:szCs w:val="20"/>
              </w:rPr>
              <w:t> </w:t>
            </w:r>
            <w:r>
              <w:rPr>
                <w:rFonts w:ascii="宋体" w:hAnsi="宋体" w:cs="宋体" w:eastAsia="宋体" w:hint="default"/>
                <w:sz w:val="20"/>
                <w:szCs w:val="20"/>
              </w:rPr>
              <w:t>预期相符</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right="6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0"/>
              <w:ind w:right="13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2273" w:type="dxa"/>
            <w:tcBorders>
              <w:top w:val="single" w:sz="4" w:space="0" w:color="009EEA"/>
              <w:left w:val="nil" w:sz="6" w:space="0" w:color="auto"/>
              <w:bottom w:val="single" w:sz="4" w:space="0" w:color="009EEA"/>
              <w:right w:val="single" w:sz="4" w:space="0" w:color="009EEA"/>
            </w:tcBorders>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sz w:val="21"/>
                <w:szCs w:val="21"/>
              </w:rPr>
              <w:t>上海浦东发展银行股份</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有限公司哈尔滨分行</w:t>
            </w:r>
            <w:r>
              <w:rPr>
                <w:rFonts w:ascii="宋体" w:hAnsi="宋体" w:cs="宋体" w:eastAsia="宋体" w:hint="default"/>
                <w:sz w:val="21"/>
                <w:szCs w:val="21"/>
              </w:rPr>
              <w:t> </w:t>
            </w:r>
          </w:p>
        </w:tc>
        <w:tc>
          <w:tcPr>
            <w:tcW w:w="142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结构性存款</w:t>
            </w:r>
            <w:r>
              <w:rPr>
                <w:rFonts w:ascii="宋体" w:hAnsi="宋体" w:cs="宋体" w:eastAsia="宋体" w:hint="default"/>
                <w:sz w:val="21"/>
                <w:szCs w:val="21"/>
              </w:rPr>
              <w:t> </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20"/>
              <w:jc w:val="right"/>
              <w:rPr>
                <w:rFonts w:ascii="Arial" w:hAnsi="Arial" w:cs="Arial" w:eastAsia="Arial" w:hint="default"/>
                <w:sz w:val="21"/>
                <w:szCs w:val="21"/>
              </w:rPr>
            </w:pPr>
            <w:r>
              <w:rPr>
                <w:rFonts w:ascii="Arial"/>
                <w:spacing w:val="-1"/>
                <w:sz w:val="21"/>
              </w:rPr>
              <w:t>20,000</w:t>
            </w:r>
          </w:p>
        </w:tc>
        <w:tc>
          <w:tcPr>
            <w:tcW w:w="12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41"/>
              <w:jc w:val="center"/>
              <w:rPr>
                <w:rFonts w:ascii="宋体" w:hAnsi="宋体" w:cs="宋体" w:eastAsia="宋体" w:hint="default"/>
                <w:sz w:val="21"/>
                <w:szCs w:val="21"/>
              </w:rPr>
            </w:pPr>
            <w:r>
              <w:rPr>
                <w:rFonts w:ascii="Arial"/>
                <w:sz w:val="21"/>
              </w:rPr>
              <w:t>2019-02-01</w:t>
            </w:r>
            <w:r>
              <w:rPr>
                <w:rFonts w:ascii="宋体"/>
                <w:w w:val="100"/>
                <w:sz w:val="21"/>
              </w:rPr>
              <w:t> </w:t>
            </w:r>
          </w:p>
        </w:tc>
        <w:tc>
          <w:tcPr>
            <w:tcW w:w="12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38"/>
              <w:jc w:val="center"/>
              <w:rPr>
                <w:rFonts w:ascii="宋体" w:hAnsi="宋体" w:cs="宋体" w:eastAsia="宋体" w:hint="default"/>
                <w:sz w:val="21"/>
                <w:szCs w:val="21"/>
              </w:rPr>
            </w:pPr>
            <w:r>
              <w:rPr>
                <w:rFonts w:ascii="Arial"/>
                <w:sz w:val="21"/>
              </w:rPr>
              <w:t>2019-05-03</w:t>
            </w:r>
            <w:r>
              <w:rPr>
                <w:rFonts w:ascii="宋体"/>
                <w:w w:val="100"/>
                <w:sz w:val="21"/>
              </w:rPr>
              <w:t> </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自有闲</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置资金</w:t>
            </w:r>
            <w:r>
              <w:rPr>
                <w:rFonts w:ascii="宋体" w:hAnsi="宋体" w:cs="宋体" w:eastAsia="宋体" w:hint="default"/>
                <w:sz w:val="21"/>
                <w:szCs w:val="21"/>
              </w:rPr>
              <w:t> </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z w:val="21"/>
                <w:szCs w:val="21"/>
              </w:rPr>
              <w:t> </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约定</w:t>
            </w:r>
            <w:r>
              <w:rPr>
                <w:rFonts w:ascii="宋体" w:hAnsi="宋体" w:cs="宋体" w:eastAsia="宋体" w:hint="default"/>
                <w:sz w:val="21"/>
                <w:szCs w:val="21"/>
              </w:rPr>
              <w:t> </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6"/>
              <w:jc w:val="right"/>
              <w:rPr>
                <w:rFonts w:ascii="Arial" w:hAnsi="Arial" w:cs="Arial" w:eastAsia="Arial" w:hint="default"/>
                <w:sz w:val="21"/>
                <w:szCs w:val="21"/>
              </w:rPr>
            </w:pPr>
            <w:r>
              <w:rPr>
                <w:rFonts w:ascii="Arial"/>
                <w:spacing w:val="-1"/>
                <w:sz w:val="21"/>
              </w:rPr>
              <w:t>4.10%</w:t>
            </w:r>
          </w:p>
        </w:tc>
        <w:tc>
          <w:tcPr>
            <w:tcW w:w="708" w:type="dxa"/>
            <w:tcBorders>
              <w:top w:val="single" w:sz="4" w:space="0" w:color="009EEA"/>
              <w:left w:val="single" w:sz="4" w:space="0" w:color="009EEA"/>
              <w:bottom w:val="single" w:sz="4" w:space="0" w:color="009EEA"/>
              <w:right w:val="single" w:sz="4" w:space="0" w:color="009EEA"/>
            </w:tcBorders>
          </w:tcPr>
          <w:p>
            <w:pPr/>
          </w:p>
        </w:tc>
        <w:tc>
          <w:tcPr>
            <w:tcW w:w="8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9"/>
              <w:jc w:val="right"/>
              <w:rPr>
                <w:rFonts w:ascii="Arial" w:hAnsi="Arial" w:cs="Arial" w:eastAsia="Arial" w:hint="default"/>
                <w:sz w:val="21"/>
                <w:szCs w:val="21"/>
              </w:rPr>
            </w:pPr>
            <w:r>
              <w:rPr>
                <w:rFonts w:ascii="Arial"/>
                <w:sz w:val="21"/>
              </w:rPr>
              <w:t>214.11</w:t>
            </w: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60" w:lineRule="exact" w:before="5"/>
              <w:ind w:left="21" w:right="103"/>
              <w:jc w:val="left"/>
              <w:rPr>
                <w:rFonts w:ascii="宋体" w:hAnsi="宋体" w:cs="宋体" w:eastAsia="宋体" w:hint="default"/>
                <w:sz w:val="20"/>
                <w:szCs w:val="20"/>
              </w:rPr>
            </w:pPr>
            <w:r>
              <w:rPr>
                <w:rFonts w:ascii="宋体" w:hAnsi="宋体" w:cs="宋体" w:eastAsia="宋体" w:hint="default"/>
                <w:sz w:val="20"/>
                <w:szCs w:val="20"/>
              </w:rPr>
              <w:t>本息收回与</w:t>
            </w:r>
            <w:r>
              <w:rPr>
                <w:rFonts w:ascii="宋体" w:hAnsi="宋体" w:cs="宋体" w:eastAsia="宋体" w:hint="default"/>
                <w:w w:val="99"/>
                <w:sz w:val="20"/>
                <w:szCs w:val="20"/>
              </w:rPr>
              <w:t> </w:t>
            </w:r>
            <w:r>
              <w:rPr>
                <w:rFonts w:ascii="宋体" w:hAnsi="宋体" w:cs="宋体" w:eastAsia="宋体" w:hint="default"/>
                <w:sz w:val="20"/>
                <w:szCs w:val="20"/>
              </w:rPr>
              <w:t>预期相符</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2273" w:type="dxa"/>
            <w:tcBorders>
              <w:top w:val="single" w:sz="4" w:space="0" w:color="009EEA"/>
              <w:left w:val="nil" w:sz="6" w:space="0" w:color="auto"/>
              <w:bottom w:val="single" w:sz="4" w:space="0" w:color="009EEA"/>
              <w:right w:val="single" w:sz="4" w:space="0" w:color="009EEA"/>
            </w:tcBorders>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sz w:val="21"/>
                <w:szCs w:val="21"/>
              </w:rPr>
              <w:t>中国光大银行股份有限</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公司黑龙江分行</w:t>
            </w:r>
            <w:r>
              <w:rPr>
                <w:rFonts w:ascii="宋体" w:hAnsi="宋体" w:cs="宋体" w:eastAsia="宋体" w:hint="default"/>
                <w:sz w:val="21"/>
                <w:szCs w:val="21"/>
              </w:rPr>
              <w:t> </w:t>
            </w:r>
          </w:p>
        </w:tc>
        <w:tc>
          <w:tcPr>
            <w:tcW w:w="142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结构性存款</w:t>
            </w:r>
            <w:r>
              <w:rPr>
                <w:rFonts w:ascii="宋体" w:hAnsi="宋体" w:cs="宋体" w:eastAsia="宋体" w:hint="default"/>
                <w:sz w:val="21"/>
                <w:szCs w:val="21"/>
              </w:rPr>
              <w:t> </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20"/>
              <w:jc w:val="right"/>
              <w:rPr>
                <w:rFonts w:ascii="Arial" w:hAnsi="Arial" w:cs="Arial" w:eastAsia="Arial" w:hint="default"/>
                <w:sz w:val="21"/>
                <w:szCs w:val="21"/>
              </w:rPr>
            </w:pPr>
            <w:r>
              <w:rPr>
                <w:rFonts w:ascii="Arial"/>
                <w:spacing w:val="-1"/>
                <w:sz w:val="21"/>
              </w:rPr>
              <w:t>20,000</w:t>
            </w:r>
          </w:p>
        </w:tc>
        <w:tc>
          <w:tcPr>
            <w:tcW w:w="12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41"/>
              <w:jc w:val="center"/>
              <w:rPr>
                <w:rFonts w:ascii="宋体" w:hAnsi="宋体" w:cs="宋体" w:eastAsia="宋体" w:hint="default"/>
                <w:sz w:val="21"/>
                <w:szCs w:val="21"/>
              </w:rPr>
            </w:pPr>
            <w:r>
              <w:rPr>
                <w:rFonts w:ascii="Arial"/>
                <w:sz w:val="21"/>
              </w:rPr>
              <w:t>2019-02-18</w:t>
            </w:r>
            <w:r>
              <w:rPr>
                <w:rFonts w:ascii="宋体"/>
                <w:w w:val="100"/>
                <w:sz w:val="21"/>
              </w:rPr>
              <w:t> </w:t>
            </w:r>
          </w:p>
        </w:tc>
        <w:tc>
          <w:tcPr>
            <w:tcW w:w="12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38"/>
              <w:jc w:val="center"/>
              <w:rPr>
                <w:rFonts w:ascii="宋体" w:hAnsi="宋体" w:cs="宋体" w:eastAsia="宋体" w:hint="default"/>
                <w:sz w:val="21"/>
                <w:szCs w:val="21"/>
              </w:rPr>
            </w:pPr>
            <w:r>
              <w:rPr>
                <w:rFonts w:ascii="Arial"/>
                <w:sz w:val="21"/>
              </w:rPr>
              <w:t>2019-05-18</w:t>
            </w:r>
            <w:r>
              <w:rPr>
                <w:rFonts w:ascii="宋体"/>
                <w:w w:val="100"/>
                <w:sz w:val="21"/>
              </w:rPr>
              <w:t> </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自有闲</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置资金</w:t>
            </w:r>
            <w:r>
              <w:rPr>
                <w:rFonts w:ascii="宋体" w:hAnsi="宋体" w:cs="宋体" w:eastAsia="宋体" w:hint="default"/>
                <w:sz w:val="21"/>
                <w:szCs w:val="21"/>
              </w:rPr>
              <w:t> </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z w:val="21"/>
                <w:szCs w:val="21"/>
              </w:rPr>
              <w:t> </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约定</w:t>
            </w:r>
            <w:r>
              <w:rPr>
                <w:rFonts w:ascii="宋体" w:hAnsi="宋体" w:cs="宋体" w:eastAsia="宋体" w:hint="default"/>
                <w:sz w:val="21"/>
                <w:szCs w:val="21"/>
              </w:rPr>
              <w:t> </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6"/>
              <w:jc w:val="right"/>
              <w:rPr>
                <w:rFonts w:ascii="Arial" w:hAnsi="Arial" w:cs="Arial" w:eastAsia="Arial" w:hint="default"/>
                <w:sz w:val="21"/>
                <w:szCs w:val="21"/>
              </w:rPr>
            </w:pPr>
            <w:r>
              <w:rPr>
                <w:rFonts w:ascii="Arial"/>
                <w:spacing w:val="-1"/>
                <w:sz w:val="21"/>
              </w:rPr>
              <w:t>4.00%</w:t>
            </w:r>
          </w:p>
        </w:tc>
        <w:tc>
          <w:tcPr>
            <w:tcW w:w="708" w:type="dxa"/>
            <w:tcBorders>
              <w:top w:val="single" w:sz="4" w:space="0" w:color="009EEA"/>
              <w:left w:val="single" w:sz="4" w:space="0" w:color="009EEA"/>
              <w:bottom w:val="single" w:sz="4" w:space="0" w:color="009EEA"/>
              <w:right w:val="single" w:sz="4" w:space="0" w:color="009EEA"/>
            </w:tcBorders>
          </w:tcPr>
          <w:p>
            <w:pPr/>
          </w:p>
        </w:tc>
        <w:tc>
          <w:tcPr>
            <w:tcW w:w="8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9"/>
              <w:jc w:val="right"/>
              <w:rPr>
                <w:rFonts w:ascii="Arial" w:hAnsi="Arial" w:cs="Arial" w:eastAsia="Arial" w:hint="default"/>
                <w:sz w:val="21"/>
                <w:szCs w:val="21"/>
              </w:rPr>
            </w:pPr>
            <w:r>
              <w:rPr>
                <w:rFonts w:ascii="Arial"/>
                <w:sz w:val="21"/>
              </w:rPr>
              <w:t>200.00</w:t>
            </w: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60" w:lineRule="exact" w:before="5"/>
              <w:ind w:left="21" w:right="103"/>
              <w:jc w:val="left"/>
              <w:rPr>
                <w:rFonts w:ascii="宋体" w:hAnsi="宋体" w:cs="宋体" w:eastAsia="宋体" w:hint="default"/>
                <w:sz w:val="20"/>
                <w:szCs w:val="20"/>
              </w:rPr>
            </w:pPr>
            <w:r>
              <w:rPr>
                <w:rFonts w:ascii="宋体" w:hAnsi="宋体" w:cs="宋体" w:eastAsia="宋体" w:hint="default"/>
                <w:sz w:val="20"/>
                <w:szCs w:val="20"/>
              </w:rPr>
              <w:t>本息收回与</w:t>
            </w:r>
            <w:r>
              <w:rPr>
                <w:rFonts w:ascii="宋体" w:hAnsi="宋体" w:cs="宋体" w:eastAsia="宋体" w:hint="default"/>
                <w:w w:val="99"/>
                <w:sz w:val="20"/>
                <w:szCs w:val="20"/>
              </w:rPr>
              <w:t> </w:t>
            </w:r>
            <w:r>
              <w:rPr>
                <w:rFonts w:ascii="宋体" w:hAnsi="宋体" w:cs="宋体" w:eastAsia="宋体" w:hint="default"/>
                <w:sz w:val="20"/>
                <w:szCs w:val="20"/>
              </w:rPr>
              <w:t>预期相符</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2273"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中国光大银行股份有限</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公司黑龙江分行</w:t>
            </w:r>
            <w:r>
              <w:rPr>
                <w:rFonts w:ascii="宋体" w:hAnsi="宋体" w:cs="宋体" w:eastAsia="宋体" w:hint="default"/>
                <w:sz w:val="21"/>
                <w:szCs w:val="21"/>
              </w:rPr>
              <w:t> </w:t>
            </w:r>
          </w:p>
        </w:tc>
        <w:tc>
          <w:tcPr>
            <w:tcW w:w="142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结构性存款</w:t>
            </w:r>
            <w:r>
              <w:rPr>
                <w:rFonts w:ascii="宋体" w:hAnsi="宋体" w:cs="宋体" w:eastAsia="宋体" w:hint="default"/>
                <w:sz w:val="21"/>
                <w:szCs w:val="21"/>
              </w:rPr>
              <w:t> </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20"/>
              <w:jc w:val="right"/>
              <w:rPr>
                <w:rFonts w:ascii="Arial" w:hAnsi="Arial" w:cs="Arial" w:eastAsia="Arial" w:hint="default"/>
                <w:sz w:val="21"/>
                <w:szCs w:val="21"/>
              </w:rPr>
            </w:pPr>
            <w:r>
              <w:rPr>
                <w:rFonts w:ascii="Arial"/>
                <w:spacing w:val="-1"/>
                <w:sz w:val="21"/>
              </w:rPr>
              <w:t>20,000</w:t>
            </w:r>
          </w:p>
        </w:tc>
        <w:tc>
          <w:tcPr>
            <w:tcW w:w="12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41"/>
              <w:jc w:val="center"/>
              <w:rPr>
                <w:rFonts w:ascii="宋体" w:hAnsi="宋体" w:cs="宋体" w:eastAsia="宋体" w:hint="default"/>
                <w:sz w:val="21"/>
                <w:szCs w:val="21"/>
              </w:rPr>
            </w:pPr>
            <w:r>
              <w:rPr>
                <w:rFonts w:ascii="Arial"/>
                <w:sz w:val="21"/>
              </w:rPr>
              <w:t>2019-02-19</w:t>
            </w:r>
            <w:r>
              <w:rPr>
                <w:rFonts w:ascii="宋体"/>
                <w:w w:val="100"/>
                <w:sz w:val="21"/>
              </w:rPr>
              <w:t> </w:t>
            </w:r>
          </w:p>
        </w:tc>
        <w:tc>
          <w:tcPr>
            <w:tcW w:w="12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38"/>
              <w:jc w:val="center"/>
              <w:rPr>
                <w:rFonts w:ascii="宋体" w:hAnsi="宋体" w:cs="宋体" w:eastAsia="宋体" w:hint="default"/>
                <w:sz w:val="21"/>
                <w:szCs w:val="21"/>
              </w:rPr>
            </w:pPr>
            <w:r>
              <w:rPr>
                <w:rFonts w:ascii="Arial"/>
                <w:sz w:val="21"/>
              </w:rPr>
              <w:t>2019-05-19</w:t>
            </w:r>
            <w:r>
              <w:rPr>
                <w:rFonts w:ascii="宋体"/>
                <w:w w:val="100"/>
                <w:sz w:val="21"/>
              </w:rPr>
              <w:t> </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自有闲</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置资金</w:t>
            </w:r>
            <w:r>
              <w:rPr>
                <w:rFonts w:ascii="宋体" w:hAnsi="宋体" w:cs="宋体" w:eastAsia="宋体" w:hint="default"/>
                <w:sz w:val="21"/>
                <w:szCs w:val="21"/>
              </w:rPr>
              <w:t> </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z w:val="21"/>
                <w:szCs w:val="21"/>
              </w:rPr>
              <w:t> </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约定</w:t>
            </w:r>
            <w:r>
              <w:rPr>
                <w:rFonts w:ascii="宋体" w:hAnsi="宋体" w:cs="宋体" w:eastAsia="宋体" w:hint="default"/>
                <w:sz w:val="21"/>
                <w:szCs w:val="21"/>
              </w:rPr>
              <w:t> </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6"/>
              <w:jc w:val="right"/>
              <w:rPr>
                <w:rFonts w:ascii="Arial" w:hAnsi="Arial" w:cs="Arial" w:eastAsia="Arial" w:hint="default"/>
                <w:sz w:val="21"/>
                <w:szCs w:val="21"/>
              </w:rPr>
            </w:pPr>
            <w:r>
              <w:rPr>
                <w:rFonts w:ascii="Arial"/>
                <w:spacing w:val="-1"/>
                <w:sz w:val="21"/>
              </w:rPr>
              <w:t>4.00%</w:t>
            </w:r>
          </w:p>
        </w:tc>
        <w:tc>
          <w:tcPr>
            <w:tcW w:w="708" w:type="dxa"/>
            <w:tcBorders>
              <w:top w:val="single" w:sz="4" w:space="0" w:color="009EEA"/>
              <w:left w:val="single" w:sz="4" w:space="0" w:color="009EEA"/>
              <w:bottom w:val="single" w:sz="4" w:space="0" w:color="009EEA"/>
              <w:right w:val="single" w:sz="4" w:space="0" w:color="009EEA"/>
            </w:tcBorders>
          </w:tcPr>
          <w:p>
            <w:pPr/>
          </w:p>
        </w:tc>
        <w:tc>
          <w:tcPr>
            <w:tcW w:w="8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9"/>
              <w:jc w:val="right"/>
              <w:rPr>
                <w:rFonts w:ascii="Arial" w:hAnsi="Arial" w:cs="Arial" w:eastAsia="Arial" w:hint="default"/>
                <w:sz w:val="21"/>
                <w:szCs w:val="21"/>
              </w:rPr>
            </w:pPr>
            <w:r>
              <w:rPr>
                <w:rFonts w:ascii="Arial"/>
                <w:sz w:val="21"/>
              </w:rPr>
              <w:t>200.00</w:t>
            </w: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62" w:lineRule="exact" w:before="4"/>
              <w:ind w:left="21" w:right="103"/>
              <w:jc w:val="left"/>
              <w:rPr>
                <w:rFonts w:ascii="宋体" w:hAnsi="宋体" w:cs="宋体" w:eastAsia="宋体" w:hint="default"/>
                <w:sz w:val="20"/>
                <w:szCs w:val="20"/>
              </w:rPr>
            </w:pPr>
            <w:r>
              <w:rPr>
                <w:rFonts w:ascii="宋体" w:hAnsi="宋体" w:cs="宋体" w:eastAsia="宋体" w:hint="default"/>
                <w:sz w:val="20"/>
                <w:szCs w:val="20"/>
              </w:rPr>
              <w:t>本息收回与</w:t>
            </w:r>
            <w:r>
              <w:rPr>
                <w:rFonts w:ascii="宋体" w:hAnsi="宋体" w:cs="宋体" w:eastAsia="宋体" w:hint="default"/>
                <w:w w:val="99"/>
                <w:sz w:val="20"/>
                <w:szCs w:val="20"/>
              </w:rPr>
              <w:t> </w:t>
            </w:r>
            <w:r>
              <w:rPr>
                <w:rFonts w:ascii="宋体" w:hAnsi="宋体" w:cs="宋体" w:eastAsia="宋体" w:hint="default"/>
                <w:sz w:val="20"/>
                <w:szCs w:val="20"/>
              </w:rPr>
              <w:t>预期相符</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2273"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中国光大银行股份有限</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公司黑龙江分行</w:t>
            </w:r>
            <w:r>
              <w:rPr>
                <w:rFonts w:ascii="宋体" w:hAnsi="宋体" w:cs="宋体" w:eastAsia="宋体" w:hint="default"/>
                <w:sz w:val="21"/>
                <w:szCs w:val="21"/>
              </w:rPr>
              <w:t> </w:t>
            </w:r>
          </w:p>
        </w:tc>
        <w:tc>
          <w:tcPr>
            <w:tcW w:w="142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结构性存款</w:t>
            </w:r>
            <w:r>
              <w:rPr>
                <w:rFonts w:ascii="宋体" w:hAnsi="宋体" w:cs="宋体" w:eastAsia="宋体" w:hint="default"/>
                <w:sz w:val="21"/>
                <w:szCs w:val="21"/>
              </w:rPr>
              <w:t> </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20"/>
              <w:jc w:val="right"/>
              <w:rPr>
                <w:rFonts w:ascii="Arial" w:hAnsi="Arial" w:cs="Arial" w:eastAsia="Arial" w:hint="default"/>
                <w:sz w:val="21"/>
                <w:szCs w:val="21"/>
              </w:rPr>
            </w:pPr>
            <w:r>
              <w:rPr>
                <w:rFonts w:ascii="Arial"/>
                <w:spacing w:val="-1"/>
                <w:sz w:val="21"/>
              </w:rPr>
              <w:t>12,500</w:t>
            </w:r>
          </w:p>
        </w:tc>
        <w:tc>
          <w:tcPr>
            <w:tcW w:w="12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41"/>
              <w:jc w:val="center"/>
              <w:rPr>
                <w:rFonts w:ascii="宋体" w:hAnsi="宋体" w:cs="宋体" w:eastAsia="宋体" w:hint="default"/>
                <w:sz w:val="21"/>
                <w:szCs w:val="21"/>
              </w:rPr>
            </w:pPr>
            <w:r>
              <w:rPr>
                <w:rFonts w:ascii="Arial"/>
                <w:sz w:val="21"/>
              </w:rPr>
              <w:t>2019-03-04</w:t>
            </w:r>
            <w:r>
              <w:rPr>
                <w:rFonts w:ascii="宋体"/>
                <w:w w:val="100"/>
                <w:sz w:val="21"/>
              </w:rPr>
              <w:t> </w:t>
            </w:r>
          </w:p>
        </w:tc>
        <w:tc>
          <w:tcPr>
            <w:tcW w:w="12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38"/>
              <w:jc w:val="center"/>
              <w:rPr>
                <w:rFonts w:ascii="宋体" w:hAnsi="宋体" w:cs="宋体" w:eastAsia="宋体" w:hint="default"/>
                <w:sz w:val="21"/>
                <w:szCs w:val="21"/>
              </w:rPr>
            </w:pPr>
            <w:r>
              <w:rPr>
                <w:rFonts w:ascii="Arial"/>
                <w:sz w:val="21"/>
              </w:rPr>
              <w:t>2019-06-04</w:t>
            </w:r>
            <w:r>
              <w:rPr>
                <w:rFonts w:ascii="宋体"/>
                <w:w w:val="100"/>
                <w:sz w:val="21"/>
              </w:rPr>
              <w:t> </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自有闲</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置资金</w:t>
            </w:r>
            <w:r>
              <w:rPr>
                <w:rFonts w:ascii="宋体" w:hAnsi="宋体" w:cs="宋体" w:eastAsia="宋体" w:hint="default"/>
                <w:sz w:val="21"/>
                <w:szCs w:val="21"/>
              </w:rPr>
              <w:t> </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z w:val="21"/>
                <w:szCs w:val="21"/>
              </w:rPr>
              <w:t> </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约定</w:t>
            </w:r>
            <w:r>
              <w:rPr>
                <w:rFonts w:ascii="宋体" w:hAnsi="宋体" w:cs="宋体" w:eastAsia="宋体" w:hint="default"/>
                <w:sz w:val="21"/>
                <w:szCs w:val="21"/>
              </w:rPr>
              <w:t> </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6"/>
              <w:jc w:val="right"/>
              <w:rPr>
                <w:rFonts w:ascii="Arial" w:hAnsi="Arial" w:cs="Arial" w:eastAsia="Arial" w:hint="default"/>
                <w:sz w:val="21"/>
                <w:szCs w:val="21"/>
              </w:rPr>
            </w:pPr>
            <w:r>
              <w:rPr>
                <w:rFonts w:ascii="Arial"/>
                <w:spacing w:val="-1"/>
                <w:sz w:val="21"/>
              </w:rPr>
              <w:t>4.10%</w:t>
            </w:r>
          </w:p>
        </w:tc>
        <w:tc>
          <w:tcPr>
            <w:tcW w:w="708" w:type="dxa"/>
            <w:tcBorders>
              <w:top w:val="single" w:sz="4" w:space="0" w:color="009EEA"/>
              <w:left w:val="single" w:sz="4" w:space="0" w:color="009EEA"/>
              <w:bottom w:val="single" w:sz="4" w:space="0" w:color="009EEA"/>
              <w:right w:val="single" w:sz="4" w:space="0" w:color="009EEA"/>
            </w:tcBorders>
          </w:tcPr>
          <w:p>
            <w:pPr/>
          </w:p>
        </w:tc>
        <w:tc>
          <w:tcPr>
            <w:tcW w:w="8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9"/>
              <w:jc w:val="right"/>
              <w:rPr>
                <w:rFonts w:ascii="Arial" w:hAnsi="Arial" w:cs="Arial" w:eastAsia="Arial" w:hint="default"/>
                <w:sz w:val="21"/>
                <w:szCs w:val="21"/>
              </w:rPr>
            </w:pPr>
            <w:r>
              <w:rPr>
                <w:rFonts w:ascii="Arial"/>
                <w:sz w:val="21"/>
              </w:rPr>
              <w:t>128.13</w:t>
            </w: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60" w:lineRule="exact" w:before="8"/>
              <w:ind w:left="21" w:right="103"/>
              <w:jc w:val="left"/>
              <w:rPr>
                <w:rFonts w:ascii="宋体" w:hAnsi="宋体" w:cs="宋体" w:eastAsia="宋体" w:hint="default"/>
                <w:sz w:val="20"/>
                <w:szCs w:val="20"/>
              </w:rPr>
            </w:pPr>
            <w:r>
              <w:rPr>
                <w:rFonts w:ascii="宋体" w:hAnsi="宋体" w:cs="宋体" w:eastAsia="宋体" w:hint="default"/>
                <w:sz w:val="20"/>
                <w:szCs w:val="20"/>
              </w:rPr>
              <w:t>本息收回与</w:t>
            </w:r>
            <w:r>
              <w:rPr>
                <w:rFonts w:ascii="宋体" w:hAnsi="宋体" w:cs="宋体" w:eastAsia="宋体" w:hint="default"/>
                <w:w w:val="99"/>
                <w:sz w:val="20"/>
                <w:szCs w:val="20"/>
              </w:rPr>
              <w:t> </w:t>
            </w:r>
            <w:r>
              <w:rPr>
                <w:rFonts w:ascii="宋体" w:hAnsi="宋体" w:cs="宋体" w:eastAsia="宋体" w:hint="default"/>
                <w:sz w:val="20"/>
                <w:szCs w:val="20"/>
              </w:rPr>
              <w:t>预期相符</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5" w:hRule="exact"/>
        </w:trPr>
        <w:tc>
          <w:tcPr>
            <w:tcW w:w="2273"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上海浦东发展银行股份</w:t>
            </w:r>
          </w:p>
          <w:p>
            <w:pPr>
              <w:pStyle w:val="TableParagraph"/>
              <w:spacing w:line="275" w:lineRule="exact"/>
              <w:ind w:left="28" w:right="0"/>
              <w:jc w:val="left"/>
              <w:rPr>
                <w:rFonts w:ascii="宋体" w:hAnsi="宋体" w:cs="宋体" w:eastAsia="宋体" w:hint="default"/>
                <w:sz w:val="21"/>
                <w:szCs w:val="21"/>
              </w:rPr>
            </w:pPr>
            <w:r>
              <w:rPr>
                <w:rFonts w:ascii="宋体" w:hAnsi="宋体" w:cs="宋体" w:eastAsia="宋体" w:hint="default"/>
                <w:sz w:val="21"/>
                <w:szCs w:val="21"/>
              </w:rPr>
              <w:t>有限公司哈尔滨分行</w:t>
            </w:r>
            <w:r>
              <w:rPr>
                <w:rFonts w:ascii="宋体" w:hAnsi="宋体" w:cs="宋体" w:eastAsia="宋体" w:hint="default"/>
                <w:sz w:val="21"/>
                <w:szCs w:val="21"/>
              </w:rPr>
              <w:t> </w:t>
            </w:r>
          </w:p>
        </w:tc>
        <w:tc>
          <w:tcPr>
            <w:tcW w:w="142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结构性存款</w:t>
            </w:r>
            <w:r>
              <w:rPr>
                <w:rFonts w:ascii="宋体" w:hAnsi="宋体" w:cs="宋体" w:eastAsia="宋体" w:hint="default"/>
                <w:sz w:val="21"/>
                <w:szCs w:val="21"/>
              </w:rPr>
              <w:t> </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7"/>
              <w:ind w:right="20"/>
              <w:jc w:val="right"/>
              <w:rPr>
                <w:rFonts w:ascii="Arial" w:hAnsi="Arial" w:cs="Arial" w:eastAsia="Arial" w:hint="default"/>
                <w:sz w:val="21"/>
                <w:szCs w:val="21"/>
              </w:rPr>
            </w:pPr>
            <w:r>
              <w:rPr>
                <w:rFonts w:ascii="Arial"/>
                <w:spacing w:val="-1"/>
                <w:sz w:val="21"/>
              </w:rPr>
              <w:t>15,000</w:t>
            </w:r>
          </w:p>
        </w:tc>
        <w:tc>
          <w:tcPr>
            <w:tcW w:w="12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7"/>
              <w:ind w:right="41"/>
              <w:jc w:val="center"/>
              <w:rPr>
                <w:rFonts w:ascii="宋体" w:hAnsi="宋体" w:cs="宋体" w:eastAsia="宋体" w:hint="default"/>
                <w:sz w:val="21"/>
                <w:szCs w:val="21"/>
              </w:rPr>
            </w:pPr>
            <w:r>
              <w:rPr>
                <w:rFonts w:ascii="Arial"/>
                <w:sz w:val="21"/>
              </w:rPr>
              <w:t>2019-03-08</w:t>
            </w:r>
            <w:r>
              <w:rPr>
                <w:rFonts w:ascii="宋体"/>
                <w:w w:val="100"/>
                <w:sz w:val="21"/>
              </w:rPr>
              <w:t> </w:t>
            </w:r>
          </w:p>
        </w:tc>
        <w:tc>
          <w:tcPr>
            <w:tcW w:w="12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7"/>
              <w:ind w:right="38"/>
              <w:jc w:val="center"/>
              <w:rPr>
                <w:rFonts w:ascii="宋体" w:hAnsi="宋体" w:cs="宋体" w:eastAsia="宋体" w:hint="default"/>
                <w:sz w:val="21"/>
                <w:szCs w:val="21"/>
              </w:rPr>
            </w:pPr>
            <w:r>
              <w:rPr>
                <w:rFonts w:ascii="Arial"/>
                <w:sz w:val="21"/>
              </w:rPr>
              <w:t>2019-06-10</w:t>
            </w:r>
            <w:r>
              <w:rPr>
                <w:rFonts w:ascii="宋体"/>
                <w:w w:val="100"/>
                <w:sz w:val="21"/>
              </w:rPr>
              <w:t> </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自有闲</w:t>
            </w:r>
          </w:p>
          <w:p>
            <w:pPr>
              <w:pStyle w:val="TableParagraph"/>
              <w:spacing w:line="275" w:lineRule="exact"/>
              <w:ind w:left="21" w:right="0"/>
              <w:jc w:val="left"/>
              <w:rPr>
                <w:rFonts w:ascii="宋体" w:hAnsi="宋体" w:cs="宋体" w:eastAsia="宋体" w:hint="default"/>
                <w:sz w:val="21"/>
                <w:szCs w:val="21"/>
              </w:rPr>
            </w:pPr>
            <w:r>
              <w:rPr>
                <w:rFonts w:ascii="宋体" w:hAnsi="宋体" w:cs="宋体" w:eastAsia="宋体" w:hint="default"/>
                <w:sz w:val="21"/>
                <w:szCs w:val="21"/>
              </w:rPr>
              <w:t>置资金</w:t>
            </w:r>
            <w:r>
              <w:rPr>
                <w:rFonts w:ascii="宋体" w:hAnsi="宋体" w:cs="宋体" w:eastAsia="宋体" w:hint="default"/>
                <w:sz w:val="21"/>
                <w:szCs w:val="21"/>
              </w:rPr>
              <w:t> </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5" w:lineRule="exact"/>
              <w:ind w:left="21" w:right="0"/>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z w:val="21"/>
                <w:szCs w:val="21"/>
              </w:rPr>
              <w:t> </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w:t>
            </w:r>
          </w:p>
          <w:p>
            <w:pPr>
              <w:pStyle w:val="TableParagraph"/>
              <w:spacing w:line="275" w:lineRule="exact"/>
              <w:ind w:left="23" w:right="0"/>
              <w:jc w:val="left"/>
              <w:rPr>
                <w:rFonts w:ascii="宋体" w:hAnsi="宋体" w:cs="宋体" w:eastAsia="宋体" w:hint="default"/>
                <w:sz w:val="21"/>
                <w:szCs w:val="21"/>
              </w:rPr>
            </w:pPr>
            <w:r>
              <w:rPr>
                <w:rFonts w:ascii="宋体" w:hAnsi="宋体" w:cs="宋体" w:eastAsia="宋体" w:hint="default"/>
                <w:sz w:val="21"/>
                <w:szCs w:val="21"/>
              </w:rPr>
              <w:t>约定</w:t>
            </w:r>
            <w:r>
              <w:rPr>
                <w:rFonts w:ascii="宋体" w:hAnsi="宋体" w:cs="宋体" w:eastAsia="宋体" w:hint="default"/>
                <w:sz w:val="21"/>
                <w:szCs w:val="21"/>
              </w:rPr>
              <w:t> </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7"/>
              <w:ind w:right="16"/>
              <w:jc w:val="right"/>
              <w:rPr>
                <w:rFonts w:ascii="Arial" w:hAnsi="Arial" w:cs="Arial" w:eastAsia="Arial" w:hint="default"/>
                <w:sz w:val="21"/>
                <w:szCs w:val="21"/>
              </w:rPr>
            </w:pPr>
            <w:r>
              <w:rPr>
                <w:rFonts w:ascii="Arial"/>
                <w:spacing w:val="-1"/>
                <w:sz w:val="21"/>
              </w:rPr>
              <w:t>4.00%</w:t>
            </w:r>
          </w:p>
        </w:tc>
        <w:tc>
          <w:tcPr>
            <w:tcW w:w="708" w:type="dxa"/>
            <w:tcBorders>
              <w:top w:val="single" w:sz="4" w:space="0" w:color="009EEA"/>
              <w:left w:val="single" w:sz="4" w:space="0" w:color="009EEA"/>
              <w:bottom w:val="single" w:sz="4" w:space="0" w:color="009EEA"/>
              <w:right w:val="single" w:sz="4" w:space="0" w:color="009EEA"/>
            </w:tcBorders>
          </w:tcPr>
          <w:p>
            <w:pPr/>
          </w:p>
        </w:tc>
        <w:tc>
          <w:tcPr>
            <w:tcW w:w="8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7"/>
              <w:ind w:right="19"/>
              <w:jc w:val="right"/>
              <w:rPr>
                <w:rFonts w:ascii="Arial" w:hAnsi="Arial" w:cs="Arial" w:eastAsia="Arial" w:hint="default"/>
                <w:sz w:val="21"/>
                <w:szCs w:val="21"/>
              </w:rPr>
            </w:pPr>
            <w:r>
              <w:rPr>
                <w:rFonts w:ascii="Arial"/>
                <w:sz w:val="21"/>
              </w:rPr>
              <w:t>153.33</w:t>
            </w: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60" w:lineRule="exact" w:before="8"/>
              <w:ind w:left="21" w:right="103"/>
              <w:jc w:val="left"/>
              <w:rPr>
                <w:rFonts w:ascii="宋体" w:hAnsi="宋体" w:cs="宋体" w:eastAsia="宋体" w:hint="default"/>
                <w:sz w:val="20"/>
                <w:szCs w:val="20"/>
              </w:rPr>
            </w:pPr>
            <w:r>
              <w:rPr>
                <w:rFonts w:ascii="宋体" w:hAnsi="宋体" w:cs="宋体" w:eastAsia="宋体" w:hint="default"/>
                <w:sz w:val="20"/>
                <w:szCs w:val="20"/>
              </w:rPr>
              <w:t>本息收回与</w:t>
            </w:r>
            <w:r>
              <w:rPr>
                <w:rFonts w:ascii="宋体" w:hAnsi="宋体" w:cs="宋体" w:eastAsia="宋体" w:hint="default"/>
                <w:w w:val="99"/>
                <w:sz w:val="20"/>
                <w:szCs w:val="20"/>
              </w:rPr>
              <w:t> </w:t>
            </w:r>
            <w:r>
              <w:rPr>
                <w:rFonts w:ascii="宋体" w:hAnsi="宋体" w:cs="宋体" w:eastAsia="宋体" w:hint="default"/>
                <w:sz w:val="20"/>
                <w:szCs w:val="20"/>
              </w:rPr>
              <w:t>预期相符</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3"/>
              <w:ind w:right="6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3"/>
              <w:ind w:right="13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2273"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上海浦东发展银行股份</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有限公司哈尔滨分行</w:t>
            </w:r>
            <w:r>
              <w:rPr>
                <w:rFonts w:ascii="宋体" w:hAnsi="宋体" w:cs="宋体" w:eastAsia="宋体" w:hint="default"/>
                <w:sz w:val="21"/>
                <w:szCs w:val="21"/>
              </w:rPr>
              <w:t> </w:t>
            </w:r>
          </w:p>
        </w:tc>
        <w:tc>
          <w:tcPr>
            <w:tcW w:w="142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结构性存款</w:t>
            </w:r>
            <w:r>
              <w:rPr>
                <w:rFonts w:ascii="宋体" w:hAnsi="宋体" w:cs="宋体" w:eastAsia="宋体" w:hint="default"/>
                <w:sz w:val="21"/>
                <w:szCs w:val="21"/>
              </w:rPr>
              <w:t> </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20"/>
              <w:jc w:val="right"/>
              <w:rPr>
                <w:rFonts w:ascii="Arial" w:hAnsi="Arial" w:cs="Arial" w:eastAsia="Arial" w:hint="default"/>
                <w:sz w:val="21"/>
                <w:szCs w:val="21"/>
              </w:rPr>
            </w:pPr>
            <w:r>
              <w:rPr>
                <w:rFonts w:ascii="Arial"/>
                <w:spacing w:val="-1"/>
                <w:sz w:val="21"/>
              </w:rPr>
              <w:t>27,500</w:t>
            </w:r>
          </w:p>
        </w:tc>
        <w:tc>
          <w:tcPr>
            <w:tcW w:w="12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41"/>
              <w:jc w:val="center"/>
              <w:rPr>
                <w:rFonts w:ascii="宋体" w:hAnsi="宋体" w:cs="宋体" w:eastAsia="宋体" w:hint="default"/>
                <w:sz w:val="21"/>
                <w:szCs w:val="21"/>
              </w:rPr>
            </w:pPr>
            <w:r>
              <w:rPr>
                <w:rFonts w:ascii="Arial"/>
                <w:sz w:val="21"/>
              </w:rPr>
              <w:t>2019-04-30</w:t>
            </w:r>
            <w:r>
              <w:rPr>
                <w:rFonts w:ascii="宋体"/>
                <w:w w:val="100"/>
                <w:sz w:val="21"/>
              </w:rPr>
              <w:t> </w:t>
            </w:r>
          </w:p>
        </w:tc>
        <w:tc>
          <w:tcPr>
            <w:tcW w:w="12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38"/>
              <w:jc w:val="center"/>
              <w:rPr>
                <w:rFonts w:ascii="宋体" w:hAnsi="宋体" w:cs="宋体" w:eastAsia="宋体" w:hint="default"/>
                <w:sz w:val="21"/>
                <w:szCs w:val="21"/>
              </w:rPr>
            </w:pPr>
            <w:r>
              <w:rPr>
                <w:rFonts w:ascii="Arial"/>
                <w:sz w:val="21"/>
              </w:rPr>
              <w:t>2019-07-30</w:t>
            </w:r>
            <w:r>
              <w:rPr>
                <w:rFonts w:ascii="宋体"/>
                <w:w w:val="100"/>
                <w:sz w:val="21"/>
              </w:rPr>
              <w:t> </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自有闲</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置资金</w:t>
            </w:r>
            <w:r>
              <w:rPr>
                <w:rFonts w:ascii="宋体" w:hAnsi="宋体" w:cs="宋体" w:eastAsia="宋体" w:hint="default"/>
                <w:sz w:val="21"/>
                <w:szCs w:val="21"/>
              </w:rPr>
              <w:t> </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z w:val="21"/>
                <w:szCs w:val="21"/>
              </w:rPr>
              <w:t> </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约定</w:t>
            </w:r>
            <w:r>
              <w:rPr>
                <w:rFonts w:ascii="宋体" w:hAnsi="宋体" w:cs="宋体" w:eastAsia="宋体" w:hint="default"/>
                <w:sz w:val="21"/>
                <w:szCs w:val="21"/>
              </w:rPr>
              <w:t> </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16"/>
              <w:jc w:val="right"/>
              <w:rPr>
                <w:rFonts w:ascii="Arial" w:hAnsi="Arial" w:cs="Arial" w:eastAsia="Arial" w:hint="default"/>
                <w:sz w:val="21"/>
                <w:szCs w:val="21"/>
              </w:rPr>
            </w:pPr>
            <w:r>
              <w:rPr>
                <w:rFonts w:ascii="Arial"/>
                <w:spacing w:val="-1"/>
                <w:sz w:val="21"/>
              </w:rPr>
              <w:t>3.95%</w:t>
            </w:r>
          </w:p>
        </w:tc>
        <w:tc>
          <w:tcPr>
            <w:tcW w:w="708" w:type="dxa"/>
            <w:tcBorders>
              <w:top w:val="single" w:sz="4" w:space="0" w:color="009EEA"/>
              <w:left w:val="single" w:sz="4" w:space="0" w:color="009EEA"/>
              <w:bottom w:val="single" w:sz="4" w:space="0" w:color="009EEA"/>
              <w:right w:val="single" w:sz="4" w:space="0" w:color="009EEA"/>
            </w:tcBorders>
          </w:tcPr>
          <w:p>
            <w:pPr/>
          </w:p>
        </w:tc>
        <w:tc>
          <w:tcPr>
            <w:tcW w:w="8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19"/>
              <w:jc w:val="right"/>
              <w:rPr>
                <w:rFonts w:ascii="Arial" w:hAnsi="Arial" w:cs="Arial" w:eastAsia="Arial" w:hint="default"/>
                <w:sz w:val="21"/>
                <w:szCs w:val="21"/>
              </w:rPr>
            </w:pPr>
            <w:r>
              <w:rPr>
                <w:rFonts w:ascii="Arial"/>
                <w:sz w:val="21"/>
              </w:rPr>
              <w:t>271.56</w:t>
            </w: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60" w:lineRule="exact" w:before="8"/>
              <w:ind w:left="21" w:right="103"/>
              <w:jc w:val="left"/>
              <w:rPr>
                <w:rFonts w:ascii="宋体" w:hAnsi="宋体" w:cs="宋体" w:eastAsia="宋体" w:hint="default"/>
                <w:sz w:val="20"/>
                <w:szCs w:val="20"/>
              </w:rPr>
            </w:pPr>
            <w:r>
              <w:rPr>
                <w:rFonts w:ascii="宋体" w:hAnsi="宋体" w:cs="宋体" w:eastAsia="宋体" w:hint="default"/>
                <w:sz w:val="20"/>
                <w:szCs w:val="20"/>
              </w:rPr>
              <w:t>本息收回与</w:t>
            </w:r>
            <w:r>
              <w:rPr>
                <w:rFonts w:ascii="宋体" w:hAnsi="宋体" w:cs="宋体" w:eastAsia="宋体" w:hint="default"/>
                <w:w w:val="99"/>
                <w:sz w:val="20"/>
                <w:szCs w:val="20"/>
              </w:rPr>
              <w:t> </w:t>
            </w:r>
            <w:r>
              <w:rPr>
                <w:rFonts w:ascii="宋体" w:hAnsi="宋体" w:cs="宋体" w:eastAsia="宋体" w:hint="default"/>
                <w:sz w:val="20"/>
                <w:szCs w:val="20"/>
              </w:rPr>
              <w:t>预期相符</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65" w:hRule="exact"/>
        </w:trPr>
        <w:tc>
          <w:tcPr>
            <w:tcW w:w="2273"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上海浦东发展银行股份</w:t>
            </w:r>
          </w:p>
        </w:tc>
        <w:tc>
          <w:tcPr>
            <w:tcW w:w="1423"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结构性存款</w:t>
            </w:r>
            <w:r>
              <w:rPr>
                <w:rFonts w:ascii="宋体" w:hAnsi="宋体" w:cs="宋体" w:eastAsia="宋体" w:hint="default"/>
                <w:sz w:val="21"/>
                <w:szCs w:val="21"/>
              </w:rPr>
              <w:t> </w:t>
            </w:r>
          </w:p>
        </w:tc>
        <w:tc>
          <w:tcPr>
            <w:tcW w:w="99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30,000</w:t>
            </w:r>
          </w:p>
        </w:tc>
        <w:tc>
          <w:tcPr>
            <w:tcW w:w="128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41"/>
              <w:jc w:val="center"/>
              <w:rPr>
                <w:rFonts w:ascii="宋体" w:hAnsi="宋体" w:cs="宋体" w:eastAsia="宋体" w:hint="default"/>
                <w:sz w:val="21"/>
                <w:szCs w:val="21"/>
              </w:rPr>
            </w:pPr>
            <w:r>
              <w:rPr>
                <w:rFonts w:ascii="Arial"/>
                <w:sz w:val="21"/>
              </w:rPr>
              <w:t>2019-05-08</w:t>
            </w:r>
            <w:r>
              <w:rPr>
                <w:rFonts w:ascii="宋体"/>
                <w:w w:val="100"/>
                <w:sz w:val="21"/>
              </w:rPr>
              <w:t> </w:t>
            </w:r>
          </w:p>
        </w:tc>
        <w:tc>
          <w:tcPr>
            <w:tcW w:w="127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38"/>
              <w:jc w:val="center"/>
              <w:rPr>
                <w:rFonts w:ascii="宋体" w:hAnsi="宋体" w:cs="宋体" w:eastAsia="宋体" w:hint="default"/>
                <w:sz w:val="21"/>
                <w:szCs w:val="21"/>
              </w:rPr>
            </w:pPr>
            <w:r>
              <w:rPr>
                <w:rFonts w:ascii="Arial"/>
                <w:sz w:val="21"/>
              </w:rPr>
              <w:t>2019-08-08</w:t>
            </w:r>
            <w:r>
              <w:rPr>
                <w:rFonts w:ascii="宋体"/>
                <w:w w:val="100"/>
                <w:sz w:val="21"/>
              </w:rPr>
              <w:t> </w:t>
            </w:r>
          </w:p>
        </w:tc>
        <w:tc>
          <w:tcPr>
            <w:tcW w:w="85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自有闲</w:t>
            </w:r>
          </w:p>
        </w:tc>
        <w:tc>
          <w:tcPr>
            <w:tcW w:w="566"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56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协议</w:t>
            </w:r>
          </w:p>
        </w:tc>
        <w:tc>
          <w:tcPr>
            <w:tcW w:w="713"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16"/>
              <w:jc w:val="right"/>
              <w:rPr>
                <w:rFonts w:ascii="Arial" w:hAnsi="Arial" w:cs="Arial" w:eastAsia="Arial" w:hint="default"/>
                <w:sz w:val="21"/>
                <w:szCs w:val="21"/>
              </w:rPr>
            </w:pPr>
            <w:r>
              <w:rPr>
                <w:rFonts w:ascii="Arial"/>
                <w:spacing w:val="-1"/>
                <w:sz w:val="21"/>
              </w:rPr>
              <w:t>4.00%</w:t>
            </w:r>
          </w:p>
        </w:tc>
        <w:tc>
          <w:tcPr>
            <w:tcW w:w="708" w:type="dxa"/>
            <w:tcBorders>
              <w:top w:val="single" w:sz="4" w:space="0" w:color="009EEA"/>
              <w:left w:val="single" w:sz="4" w:space="0" w:color="009EEA"/>
              <w:bottom w:val="single" w:sz="8" w:space="0" w:color="009EEA"/>
              <w:right w:val="single" w:sz="4" w:space="0" w:color="009EEA"/>
            </w:tcBorders>
          </w:tcPr>
          <w:p>
            <w:pPr/>
          </w:p>
        </w:tc>
        <w:tc>
          <w:tcPr>
            <w:tcW w:w="860"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z w:val="21"/>
              </w:rPr>
              <w:t>300.00</w:t>
            </w:r>
          </w:p>
        </w:tc>
        <w:tc>
          <w:tcPr>
            <w:tcW w:w="113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3"/>
              <w:ind w:left="21" w:right="0"/>
              <w:jc w:val="left"/>
              <w:rPr>
                <w:rFonts w:ascii="宋体" w:hAnsi="宋体" w:cs="宋体" w:eastAsia="宋体" w:hint="default"/>
                <w:sz w:val="20"/>
                <w:szCs w:val="20"/>
              </w:rPr>
            </w:pPr>
            <w:r>
              <w:rPr>
                <w:rFonts w:ascii="宋体" w:hAnsi="宋体" w:cs="宋体" w:eastAsia="宋体" w:hint="default"/>
                <w:sz w:val="20"/>
                <w:szCs w:val="20"/>
              </w:rPr>
              <w:t>本息收回与</w:t>
            </w:r>
          </w:p>
        </w:tc>
        <w:tc>
          <w:tcPr>
            <w:tcW w:w="56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
              <w:ind w:right="6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
              <w:ind w:right="13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bl>
    <w:p>
      <w:pPr>
        <w:spacing w:after="0" w:line="240" w:lineRule="auto"/>
        <w:jc w:val="right"/>
        <w:rPr>
          <w:rFonts w:ascii="宋体" w:hAnsi="宋体" w:cs="宋体" w:eastAsia="宋体" w:hint="default"/>
          <w:sz w:val="21"/>
          <w:szCs w:val="21"/>
        </w:rPr>
        <w:sectPr>
          <w:type w:val="continuous"/>
          <w:pgSz w:w="16840" w:h="11910" w:orient="landscape"/>
          <w:pgMar w:top="1360" w:bottom="13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p>
      <w:pPr>
        <w:spacing w:line="20" w:lineRule="exact"/>
        <w:ind w:left="10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7.55pt;height:1pt;mso-position-horizontal-relative:char;mso-position-vertical-relative:line" coordorigin="0,0" coordsize="13951,20">
            <v:group style="position:absolute;left:10;top:10;width:2269;height:2" coordorigin="10,10" coordsize="2269,2">
              <v:shape style="position:absolute;left:10;top:10;width:2269;height:2" coordorigin="10,10" coordsize="2269,0" path="m10,10l2278,10e" filled="false" stroked="true" strokeweight=".96pt" strokecolor="#009eea">
                <v:path arrowok="t"/>
              </v:shape>
            </v:group>
            <v:group style="position:absolute;left:2278;top:10;width:58;height:2" coordorigin="2278,10" coordsize="58,2">
              <v:shape style="position:absolute;left:2278;top:10;width:58;height:2" coordorigin="2278,10" coordsize="58,0" path="m2278,10l2336,10e" filled="false" stroked="true" strokeweight=".96pt" strokecolor="#009eea">
                <v:path arrowok="t"/>
              </v:shape>
            </v:group>
            <v:group style="position:absolute;left:2336;top:10;width:1366;height:2" coordorigin="2336,10" coordsize="1366,2">
              <v:shape style="position:absolute;left:2336;top:10;width:1366;height:2" coordorigin="2336,10" coordsize="1366,0" path="m2336,10l3701,10e" filled="false" stroked="true" strokeweight=".96pt" strokecolor="#009eea">
                <v:path arrowok="t"/>
              </v:shape>
            </v:group>
            <v:group style="position:absolute;left:3701;top:10;width:58;height:2" coordorigin="3701,10" coordsize="58,2">
              <v:shape style="position:absolute;left:3701;top:10;width:58;height:2" coordorigin="3701,10" coordsize="58,0" path="m3701,10l3759,10e" filled="false" stroked="true" strokeweight=".96pt" strokecolor="#009eea">
                <v:path arrowok="t"/>
              </v:shape>
            </v:group>
            <v:group style="position:absolute;left:3759;top:10;width:937;height:2" coordorigin="3759,10" coordsize="937,2">
              <v:shape style="position:absolute;left:3759;top:10;width:937;height:2" coordorigin="3759,10" coordsize="937,0" path="m3759,10l4695,10e" filled="false" stroked="true" strokeweight=".96pt" strokecolor="#009eea">
                <v:path arrowok="t"/>
              </v:shape>
            </v:group>
            <v:group style="position:absolute;left:4695;top:10;width:58;height:2" coordorigin="4695,10" coordsize="58,2">
              <v:shape style="position:absolute;left:4695;top:10;width:58;height:2" coordorigin="4695,10" coordsize="58,0" path="m4695,10l4753,10e" filled="false" stroked="true" strokeweight=".96pt" strokecolor="#009eea">
                <v:path arrowok="t"/>
              </v:shape>
            </v:group>
            <v:group style="position:absolute;left:4753;top:10;width:1224;height:2" coordorigin="4753,10" coordsize="1224,2">
              <v:shape style="position:absolute;left:4753;top:10;width:1224;height:2" coordorigin="4753,10" coordsize="1224,0" path="m4753,10l5977,10e" filled="false" stroked="true" strokeweight=".96pt" strokecolor="#009eea">
                <v:path arrowok="t"/>
              </v:shape>
            </v:group>
            <v:group style="position:absolute;left:5977;top:10;width:58;height:2" coordorigin="5977,10" coordsize="58,2">
              <v:shape style="position:absolute;left:5977;top:10;width:58;height:2" coordorigin="5977,10" coordsize="58,0" path="m5977,10l6035,10e" filled="false" stroked="true" strokeweight=".96pt" strokecolor="#009eea">
                <v:path arrowok="t"/>
              </v:shape>
            </v:group>
            <v:group style="position:absolute;left:6035;top:10;width:1222;height:2" coordorigin="6035,10" coordsize="1222,2">
              <v:shape style="position:absolute;left:6035;top:10;width:1222;height:2" coordorigin="6035,10" coordsize="1222,0" path="m6035,10l7256,10e" filled="false" stroked="true" strokeweight=".96pt" strokecolor="#009eea">
                <v:path arrowok="t"/>
              </v:shape>
            </v:group>
            <v:group style="position:absolute;left:7256;top:10;width:58;height:2" coordorigin="7256,10" coordsize="58,2">
              <v:shape style="position:absolute;left:7256;top:10;width:58;height:2" coordorigin="7256,10" coordsize="58,0" path="m7256,10l7314,10e" filled="false" stroked="true" strokeweight=".96pt" strokecolor="#009eea">
                <v:path arrowok="t"/>
              </v:shape>
            </v:group>
            <v:group style="position:absolute;left:7314;top:10;width:795;height:2" coordorigin="7314,10" coordsize="795,2">
              <v:shape style="position:absolute;left:7314;top:10;width:795;height:2" coordorigin="7314,10" coordsize="795,0" path="m7314,10l8109,10e" filled="false" stroked="true" strokeweight=".96pt" strokecolor="#009eea">
                <v:path arrowok="t"/>
              </v:shape>
            </v:group>
            <v:group style="position:absolute;left:8109;top:10;width:58;height:2" coordorigin="8109,10" coordsize="58,2">
              <v:shape style="position:absolute;left:8109;top:10;width:58;height:2" coordorigin="8109,10" coordsize="58,0" path="m8109,10l8166,10e" filled="false" stroked="true" strokeweight=".96pt" strokecolor="#009eea">
                <v:path arrowok="t"/>
              </v:shape>
            </v:group>
            <v:group style="position:absolute;left:8166;top:10;width:509;height:2" coordorigin="8166,10" coordsize="509,2">
              <v:shape style="position:absolute;left:8166;top:10;width:509;height:2" coordorigin="8166,10" coordsize="509,0" path="m8166,10l8675,10e" filled="false" stroked="true" strokeweight=".96pt" strokecolor="#009eea">
                <v:path arrowok="t"/>
              </v:shape>
            </v:group>
            <v:group style="position:absolute;left:8675;top:10;width:58;height:2" coordorigin="8675,10" coordsize="58,2">
              <v:shape style="position:absolute;left:8675;top:10;width:58;height:2" coordorigin="8675,10" coordsize="58,0" path="m8675,10l8733,10e" filled="false" stroked="true" strokeweight=".96pt" strokecolor="#009eea">
                <v:path arrowok="t"/>
              </v:shape>
            </v:group>
            <v:group style="position:absolute;left:8733;top:10;width:512;height:2" coordorigin="8733,10" coordsize="512,2">
              <v:shape style="position:absolute;left:8733;top:10;width:512;height:2" coordorigin="8733,10" coordsize="512,0" path="m8733,10l9244,10e" filled="false" stroked="true" strokeweight=".96pt" strokecolor="#009eea">
                <v:path arrowok="t"/>
              </v:shape>
            </v:group>
            <v:group style="position:absolute;left:9244;top:10;width:58;height:2" coordorigin="9244,10" coordsize="58,2">
              <v:shape style="position:absolute;left:9244;top:10;width:58;height:2" coordorigin="9244,10" coordsize="58,0" path="m9244,10l9301,10e" filled="false" stroked="true" strokeweight=".96pt" strokecolor="#009eea">
                <v:path arrowok="t"/>
              </v:shape>
            </v:group>
            <v:group style="position:absolute;left:9301;top:10;width:656;height:2" coordorigin="9301,10" coordsize="656,2">
              <v:shape style="position:absolute;left:9301;top:10;width:656;height:2" coordorigin="9301,10" coordsize="656,0" path="m9301,10l9957,10e" filled="false" stroked="true" strokeweight=".96pt" strokecolor="#009eea">
                <v:path arrowok="t"/>
              </v:shape>
            </v:group>
            <v:group style="position:absolute;left:9957;top:10;width:58;height:2" coordorigin="9957,10" coordsize="58,2">
              <v:shape style="position:absolute;left:9957;top:10;width:58;height:2" coordorigin="9957,10" coordsize="58,0" path="m9957,10l10014,10e" filled="false" stroked="true" strokeweight=".96pt" strokecolor="#009eea">
                <v:path arrowok="t"/>
              </v:shape>
            </v:group>
            <v:group style="position:absolute;left:10014;top:10;width:651;height:2" coordorigin="10014,10" coordsize="651,2">
              <v:shape style="position:absolute;left:10014;top:10;width:651;height:2" coordorigin="10014,10" coordsize="651,0" path="m10014,10l10665,10e" filled="false" stroked="true" strokeweight=".96pt" strokecolor="#009eea">
                <v:path arrowok="t"/>
              </v:shape>
            </v:group>
            <v:group style="position:absolute;left:10665;top:10;width:58;height:2" coordorigin="10665,10" coordsize="58,2">
              <v:shape style="position:absolute;left:10665;top:10;width:58;height:2" coordorigin="10665,10" coordsize="58,0" path="m10665,10l10722,10e" filled="false" stroked="true" strokeweight=".96pt" strokecolor="#009eea">
                <v:path arrowok="t"/>
              </v:shape>
            </v:group>
            <v:group style="position:absolute;left:10722;top:10;width:803;height:2" coordorigin="10722,10" coordsize="803,2">
              <v:shape style="position:absolute;left:10722;top:10;width:803;height:2" coordorigin="10722,10" coordsize="803,0" path="m10722,10l11524,10e" filled="false" stroked="true" strokeweight=".96pt" strokecolor="#009eea">
                <v:path arrowok="t"/>
              </v:shape>
            </v:group>
            <v:group style="position:absolute;left:11524;top:10;width:58;height:2" coordorigin="11524,10" coordsize="58,2">
              <v:shape style="position:absolute;left:11524;top:10;width:58;height:2" coordorigin="11524,10" coordsize="58,0" path="m11524,10l11582,10e" filled="false" stroked="true" strokeweight=".96pt" strokecolor="#009eea">
                <v:path arrowok="t"/>
              </v:shape>
            </v:group>
            <v:group style="position:absolute;left:11582;top:10;width:1078;height:2" coordorigin="11582,10" coordsize="1078,2">
              <v:shape style="position:absolute;left:11582;top:10;width:1078;height:2" coordorigin="11582,10" coordsize="1078,0" path="m11582,10l12660,10e" filled="false" stroked="true" strokeweight=".96pt" strokecolor="#009eea">
                <v:path arrowok="t"/>
              </v:shape>
            </v:group>
            <v:group style="position:absolute;left:12660;top:10;width:58;height:2" coordorigin="12660,10" coordsize="58,2">
              <v:shape style="position:absolute;left:12660;top:10;width:58;height:2" coordorigin="12660,10" coordsize="58,0" path="m12660,10l12717,10e" filled="false" stroked="true" strokeweight=".96pt" strokecolor="#009eea">
                <v:path arrowok="t"/>
              </v:shape>
            </v:group>
            <v:group style="position:absolute;left:12717;top:10;width:512;height:2" coordorigin="12717,10" coordsize="512,2">
              <v:shape style="position:absolute;left:12717;top:10;width:512;height:2" coordorigin="12717,10" coordsize="512,0" path="m12717,10l13228,10e" filled="false" stroked="true" strokeweight=".96pt" strokecolor="#009eea">
                <v:path arrowok="t"/>
              </v:shape>
            </v:group>
            <v:group style="position:absolute;left:13228;top:10;width:58;height:2" coordorigin="13228,10" coordsize="58,2">
              <v:shape style="position:absolute;left:13228;top:10;width:58;height:2" coordorigin="13228,10" coordsize="58,0" path="m13228,10l13286,10e" filled="false" stroked="true" strokeweight=".96pt" strokecolor="#009eea">
                <v:path arrowok="t"/>
              </v:shape>
            </v:group>
            <v:group style="position:absolute;left:13286;top:10;width:656;height:2" coordorigin="13286,10" coordsize="656,2">
              <v:shape style="position:absolute;left:13286;top:10;width:656;height:2" coordorigin="13286,10" coordsize="656,0" path="m13286,10l13941,10e" filled="false" stroked="true" strokeweight=".96pt" strokecolor="#009eea">
                <v:path arrowok="t"/>
              </v:shape>
            </v:group>
          </v:group>
        </w:pict>
      </w:r>
      <w:r>
        <w:rPr>
          <w:rFonts w:ascii="Times New Roman" w:hAnsi="Times New Roman" w:cs="Times New Roman" w:eastAsia="Times New Roman"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2273"/>
        <w:gridCol w:w="1423"/>
        <w:gridCol w:w="994"/>
        <w:gridCol w:w="1282"/>
        <w:gridCol w:w="1279"/>
        <w:gridCol w:w="852"/>
        <w:gridCol w:w="566"/>
        <w:gridCol w:w="569"/>
        <w:gridCol w:w="713"/>
        <w:gridCol w:w="708"/>
        <w:gridCol w:w="860"/>
        <w:gridCol w:w="1135"/>
        <w:gridCol w:w="569"/>
        <w:gridCol w:w="708"/>
      </w:tblGrid>
      <w:tr>
        <w:trPr>
          <w:trHeight w:val="362" w:hRule="exact"/>
        </w:trPr>
        <w:tc>
          <w:tcPr>
            <w:tcW w:w="2273" w:type="dxa"/>
            <w:tcBorders>
              <w:top w:val="single" w:sz="8" w:space="0" w:color="009EEA"/>
              <w:left w:val="nil" w:sz="6" w:space="0" w:color="auto"/>
              <w:bottom w:val="single" w:sz="4" w:space="0" w:color="009EEA"/>
              <w:right w:val="single" w:sz="4" w:space="0" w:color="009EEA"/>
            </w:tcBorders>
          </w:tcPr>
          <w:p>
            <w:pPr>
              <w:pStyle w:val="TableParagraph"/>
              <w:spacing w:line="243" w:lineRule="exact"/>
              <w:ind w:left="28" w:right="0"/>
              <w:jc w:val="left"/>
              <w:rPr>
                <w:rFonts w:ascii="宋体" w:hAnsi="宋体" w:cs="宋体" w:eastAsia="宋体" w:hint="default"/>
                <w:sz w:val="21"/>
                <w:szCs w:val="21"/>
              </w:rPr>
            </w:pPr>
            <w:r>
              <w:rPr>
                <w:rFonts w:ascii="宋体" w:hAnsi="宋体" w:cs="宋体" w:eastAsia="宋体" w:hint="default"/>
                <w:sz w:val="21"/>
                <w:szCs w:val="21"/>
              </w:rPr>
              <w:t>有限公司哈尔滨分行</w:t>
            </w:r>
            <w:r>
              <w:rPr>
                <w:rFonts w:ascii="宋体" w:hAnsi="宋体" w:cs="宋体" w:eastAsia="宋体" w:hint="default"/>
                <w:sz w:val="21"/>
                <w:szCs w:val="21"/>
              </w:rPr>
              <w:t> </w:t>
            </w:r>
          </w:p>
        </w:tc>
        <w:tc>
          <w:tcPr>
            <w:tcW w:w="1423" w:type="dxa"/>
            <w:tcBorders>
              <w:top w:val="single" w:sz="8" w:space="0" w:color="009EEA"/>
              <w:left w:val="single" w:sz="4" w:space="0" w:color="009EEA"/>
              <w:bottom w:val="single" w:sz="4" w:space="0" w:color="009EEA"/>
              <w:right w:val="single" w:sz="4" w:space="0" w:color="009EEA"/>
            </w:tcBorders>
          </w:tcPr>
          <w:p>
            <w:pPr/>
          </w:p>
        </w:tc>
        <w:tc>
          <w:tcPr>
            <w:tcW w:w="994" w:type="dxa"/>
            <w:tcBorders>
              <w:top w:val="single" w:sz="8" w:space="0" w:color="009EEA"/>
              <w:left w:val="single" w:sz="4" w:space="0" w:color="009EEA"/>
              <w:bottom w:val="single" w:sz="4" w:space="0" w:color="009EEA"/>
              <w:right w:val="single" w:sz="4" w:space="0" w:color="009EEA"/>
            </w:tcBorders>
          </w:tcPr>
          <w:p>
            <w:pPr/>
          </w:p>
        </w:tc>
        <w:tc>
          <w:tcPr>
            <w:tcW w:w="1282" w:type="dxa"/>
            <w:tcBorders>
              <w:top w:val="single" w:sz="8" w:space="0" w:color="009EEA"/>
              <w:left w:val="single" w:sz="4" w:space="0" w:color="009EEA"/>
              <w:bottom w:val="single" w:sz="4" w:space="0" w:color="009EEA"/>
              <w:right w:val="single" w:sz="4" w:space="0" w:color="009EEA"/>
            </w:tcBorders>
          </w:tcPr>
          <w:p>
            <w:pPr/>
          </w:p>
        </w:tc>
        <w:tc>
          <w:tcPr>
            <w:tcW w:w="1279" w:type="dxa"/>
            <w:tcBorders>
              <w:top w:val="single" w:sz="8" w:space="0" w:color="009EEA"/>
              <w:left w:val="single" w:sz="4" w:space="0" w:color="009EEA"/>
              <w:bottom w:val="single" w:sz="4" w:space="0" w:color="009EEA"/>
              <w:right w:val="single" w:sz="4" w:space="0" w:color="009EEA"/>
            </w:tcBorders>
          </w:tcPr>
          <w:p>
            <w:pPr/>
          </w:p>
        </w:tc>
        <w:tc>
          <w:tcPr>
            <w:tcW w:w="852" w:type="dxa"/>
            <w:tcBorders>
              <w:top w:val="single" w:sz="8" w:space="0" w:color="009EEA"/>
              <w:left w:val="single" w:sz="4" w:space="0" w:color="009EEA"/>
              <w:bottom w:val="single" w:sz="4" w:space="0" w:color="009EEA"/>
              <w:right w:val="single" w:sz="4" w:space="0" w:color="009EEA"/>
            </w:tcBorders>
          </w:tcPr>
          <w:p>
            <w:pPr>
              <w:pStyle w:val="TableParagraph"/>
              <w:spacing w:line="243" w:lineRule="exact"/>
              <w:ind w:right="60"/>
              <w:jc w:val="center"/>
              <w:rPr>
                <w:rFonts w:ascii="宋体" w:hAnsi="宋体" w:cs="宋体" w:eastAsia="宋体" w:hint="default"/>
                <w:sz w:val="21"/>
                <w:szCs w:val="21"/>
              </w:rPr>
            </w:pPr>
            <w:r>
              <w:rPr>
                <w:rFonts w:ascii="宋体" w:hAnsi="宋体" w:cs="宋体" w:eastAsia="宋体" w:hint="default"/>
                <w:sz w:val="21"/>
                <w:szCs w:val="21"/>
              </w:rPr>
              <w:t>置资金</w:t>
            </w:r>
            <w:r>
              <w:rPr>
                <w:rFonts w:ascii="宋体" w:hAnsi="宋体" w:cs="宋体" w:eastAsia="宋体" w:hint="default"/>
                <w:sz w:val="21"/>
                <w:szCs w:val="21"/>
              </w:rPr>
              <w:t> </w:t>
            </w:r>
          </w:p>
        </w:tc>
        <w:tc>
          <w:tcPr>
            <w:tcW w:w="566" w:type="dxa"/>
            <w:tcBorders>
              <w:top w:val="single" w:sz="8" w:space="0" w:color="009EEA"/>
              <w:left w:val="single" w:sz="4" w:space="0" w:color="009EEA"/>
              <w:bottom w:val="single" w:sz="4" w:space="0" w:color="009EEA"/>
              <w:right w:val="single" w:sz="4" w:space="0" w:color="009EEA"/>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z w:val="21"/>
                <w:szCs w:val="21"/>
              </w:rPr>
              <w:t> </w:t>
            </w:r>
          </w:p>
        </w:tc>
        <w:tc>
          <w:tcPr>
            <w:tcW w:w="569" w:type="dxa"/>
            <w:tcBorders>
              <w:top w:val="single" w:sz="8" w:space="0" w:color="009EEA"/>
              <w:left w:val="single" w:sz="4" w:space="0" w:color="009EEA"/>
              <w:bottom w:val="single" w:sz="4" w:space="0" w:color="009EEA"/>
              <w:right w:val="single" w:sz="4" w:space="0" w:color="009EEA"/>
            </w:tcBorders>
          </w:tcPr>
          <w:p>
            <w:pPr>
              <w:pStyle w:val="TableParagraph"/>
              <w:spacing w:line="243" w:lineRule="exact"/>
              <w:ind w:left="14" w:right="0"/>
              <w:jc w:val="center"/>
              <w:rPr>
                <w:rFonts w:ascii="宋体" w:hAnsi="宋体" w:cs="宋体" w:eastAsia="宋体" w:hint="default"/>
                <w:sz w:val="21"/>
                <w:szCs w:val="21"/>
              </w:rPr>
            </w:pPr>
            <w:r>
              <w:rPr>
                <w:rFonts w:ascii="宋体" w:hAnsi="宋体" w:cs="宋体" w:eastAsia="宋体" w:hint="default"/>
                <w:sz w:val="21"/>
                <w:szCs w:val="21"/>
              </w:rPr>
              <w:t>约定</w:t>
            </w:r>
            <w:r>
              <w:rPr>
                <w:rFonts w:ascii="宋体" w:hAnsi="宋体" w:cs="宋体" w:eastAsia="宋体" w:hint="default"/>
                <w:sz w:val="21"/>
                <w:szCs w:val="21"/>
              </w:rPr>
              <w:t> </w:t>
            </w:r>
          </w:p>
        </w:tc>
        <w:tc>
          <w:tcPr>
            <w:tcW w:w="713" w:type="dxa"/>
            <w:tcBorders>
              <w:top w:val="single" w:sz="8" w:space="0" w:color="009EEA"/>
              <w:left w:val="single" w:sz="4" w:space="0" w:color="009EEA"/>
              <w:bottom w:val="single" w:sz="4" w:space="0" w:color="009EEA"/>
              <w:right w:val="single" w:sz="4" w:space="0" w:color="009EEA"/>
            </w:tcBorders>
          </w:tcPr>
          <w:p>
            <w:pPr/>
          </w:p>
        </w:tc>
        <w:tc>
          <w:tcPr>
            <w:tcW w:w="708" w:type="dxa"/>
            <w:tcBorders>
              <w:top w:val="single" w:sz="8" w:space="0" w:color="009EEA"/>
              <w:left w:val="single" w:sz="4" w:space="0" w:color="009EEA"/>
              <w:bottom w:val="single" w:sz="4" w:space="0" w:color="009EEA"/>
              <w:right w:val="single" w:sz="4" w:space="0" w:color="009EEA"/>
            </w:tcBorders>
          </w:tcPr>
          <w:p>
            <w:pPr/>
          </w:p>
        </w:tc>
        <w:tc>
          <w:tcPr>
            <w:tcW w:w="860" w:type="dxa"/>
            <w:tcBorders>
              <w:top w:val="single" w:sz="8" w:space="0" w:color="009EEA"/>
              <w:left w:val="single" w:sz="4" w:space="0" w:color="009EEA"/>
              <w:bottom w:val="single" w:sz="4" w:space="0" w:color="009EEA"/>
              <w:right w:val="single" w:sz="4" w:space="0" w:color="009EEA"/>
            </w:tcBorders>
          </w:tcPr>
          <w:p>
            <w:pPr/>
          </w:p>
        </w:tc>
        <w:tc>
          <w:tcPr>
            <w:tcW w:w="1135" w:type="dxa"/>
            <w:tcBorders>
              <w:top w:val="single" w:sz="8" w:space="0" w:color="009EEA"/>
              <w:left w:val="single" w:sz="4" w:space="0" w:color="009EEA"/>
              <w:bottom w:val="single" w:sz="4" w:space="0" w:color="009EEA"/>
              <w:right w:val="single" w:sz="4" w:space="0" w:color="009EEA"/>
            </w:tcBorders>
          </w:tcPr>
          <w:p>
            <w:pPr>
              <w:pStyle w:val="TableParagraph"/>
              <w:spacing w:line="232" w:lineRule="exact"/>
              <w:ind w:left="21" w:right="0"/>
              <w:jc w:val="left"/>
              <w:rPr>
                <w:rFonts w:ascii="宋体" w:hAnsi="宋体" w:cs="宋体" w:eastAsia="宋体" w:hint="default"/>
                <w:sz w:val="20"/>
                <w:szCs w:val="20"/>
              </w:rPr>
            </w:pPr>
            <w:r>
              <w:rPr>
                <w:rFonts w:ascii="宋体" w:hAnsi="宋体" w:cs="宋体" w:eastAsia="宋体" w:hint="default"/>
                <w:sz w:val="20"/>
                <w:szCs w:val="20"/>
              </w:rPr>
              <w:t>预期相符</w:t>
            </w:r>
          </w:p>
        </w:tc>
        <w:tc>
          <w:tcPr>
            <w:tcW w:w="569" w:type="dxa"/>
            <w:tcBorders>
              <w:top w:val="single" w:sz="8" w:space="0" w:color="009EEA"/>
              <w:left w:val="single" w:sz="4" w:space="0" w:color="009EEA"/>
              <w:bottom w:val="single" w:sz="4" w:space="0" w:color="009EEA"/>
              <w:right w:val="single" w:sz="4" w:space="0" w:color="009EEA"/>
            </w:tcBorders>
          </w:tcPr>
          <w:p>
            <w:pPr/>
          </w:p>
        </w:tc>
        <w:tc>
          <w:tcPr>
            <w:tcW w:w="708" w:type="dxa"/>
            <w:tcBorders>
              <w:top w:val="single" w:sz="8" w:space="0" w:color="009EEA"/>
              <w:left w:val="single" w:sz="4" w:space="0" w:color="009EEA"/>
              <w:bottom w:val="single" w:sz="4" w:space="0" w:color="009EEA"/>
              <w:right w:val="nil" w:sz="6" w:space="0" w:color="auto"/>
            </w:tcBorders>
          </w:tcPr>
          <w:p>
            <w:pPr/>
          </w:p>
        </w:tc>
      </w:tr>
      <w:tr>
        <w:trPr>
          <w:trHeight w:val="554" w:hRule="exact"/>
        </w:trPr>
        <w:tc>
          <w:tcPr>
            <w:tcW w:w="2273"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中国光大银行股份有限</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公司黑龙江分行</w:t>
            </w:r>
            <w:r>
              <w:rPr>
                <w:rFonts w:ascii="宋体" w:hAnsi="宋体" w:cs="宋体" w:eastAsia="宋体" w:hint="default"/>
                <w:sz w:val="21"/>
                <w:szCs w:val="21"/>
              </w:rPr>
              <w:t> </w:t>
            </w:r>
          </w:p>
        </w:tc>
        <w:tc>
          <w:tcPr>
            <w:tcW w:w="142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结构性存款</w:t>
            </w:r>
            <w:r>
              <w:rPr>
                <w:rFonts w:ascii="宋体" w:hAnsi="宋体" w:cs="宋体" w:eastAsia="宋体" w:hint="default"/>
                <w:sz w:val="21"/>
                <w:szCs w:val="21"/>
              </w:rPr>
              <w:t> </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20"/>
              <w:jc w:val="right"/>
              <w:rPr>
                <w:rFonts w:ascii="Arial" w:hAnsi="Arial" w:cs="Arial" w:eastAsia="Arial" w:hint="default"/>
                <w:sz w:val="21"/>
                <w:szCs w:val="21"/>
              </w:rPr>
            </w:pPr>
            <w:r>
              <w:rPr>
                <w:rFonts w:ascii="Arial"/>
                <w:spacing w:val="-1"/>
                <w:sz w:val="21"/>
              </w:rPr>
              <w:t>20,000</w:t>
            </w:r>
          </w:p>
        </w:tc>
        <w:tc>
          <w:tcPr>
            <w:tcW w:w="12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41"/>
              <w:jc w:val="center"/>
              <w:rPr>
                <w:rFonts w:ascii="宋体" w:hAnsi="宋体" w:cs="宋体" w:eastAsia="宋体" w:hint="default"/>
                <w:sz w:val="21"/>
                <w:szCs w:val="21"/>
              </w:rPr>
            </w:pPr>
            <w:r>
              <w:rPr>
                <w:rFonts w:ascii="Arial"/>
                <w:sz w:val="21"/>
              </w:rPr>
              <w:t>2019-05-23</w:t>
            </w:r>
            <w:r>
              <w:rPr>
                <w:rFonts w:ascii="宋体"/>
                <w:w w:val="100"/>
                <w:sz w:val="21"/>
              </w:rPr>
              <w:t> </w:t>
            </w:r>
          </w:p>
        </w:tc>
        <w:tc>
          <w:tcPr>
            <w:tcW w:w="12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38"/>
              <w:jc w:val="center"/>
              <w:rPr>
                <w:rFonts w:ascii="宋体" w:hAnsi="宋体" w:cs="宋体" w:eastAsia="宋体" w:hint="default"/>
                <w:sz w:val="21"/>
                <w:szCs w:val="21"/>
              </w:rPr>
            </w:pPr>
            <w:r>
              <w:rPr>
                <w:rFonts w:ascii="Arial"/>
                <w:sz w:val="21"/>
              </w:rPr>
              <w:t>2019-08-23</w:t>
            </w:r>
            <w:r>
              <w:rPr>
                <w:rFonts w:ascii="宋体"/>
                <w:w w:val="100"/>
                <w:sz w:val="21"/>
              </w:rPr>
              <w:t> </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自有闲</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置资金</w:t>
            </w:r>
            <w:r>
              <w:rPr>
                <w:rFonts w:ascii="宋体" w:hAnsi="宋体" w:cs="宋体" w:eastAsia="宋体" w:hint="default"/>
                <w:sz w:val="21"/>
                <w:szCs w:val="21"/>
              </w:rPr>
              <w:t> </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z w:val="21"/>
                <w:szCs w:val="21"/>
              </w:rPr>
              <w:t> </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约定</w:t>
            </w:r>
            <w:r>
              <w:rPr>
                <w:rFonts w:ascii="宋体" w:hAnsi="宋体" w:cs="宋体" w:eastAsia="宋体" w:hint="default"/>
                <w:sz w:val="21"/>
                <w:szCs w:val="21"/>
              </w:rPr>
              <w:t> </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6"/>
              <w:jc w:val="right"/>
              <w:rPr>
                <w:rFonts w:ascii="Arial" w:hAnsi="Arial" w:cs="Arial" w:eastAsia="Arial" w:hint="default"/>
                <w:sz w:val="21"/>
                <w:szCs w:val="21"/>
              </w:rPr>
            </w:pPr>
            <w:r>
              <w:rPr>
                <w:rFonts w:ascii="Arial"/>
                <w:spacing w:val="-1"/>
                <w:sz w:val="21"/>
              </w:rPr>
              <w:t>3.95%</w:t>
            </w:r>
          </w:p>
        </w:tc>
        <w:tc>
          <w:tcPr>
            <w:tcW w:w="708" w:type="dxa"/>
            <w:tcBorders>
              <w:top w:val="single" w:sz="4" w:space="0" w:color="009EEA"/>
              <w:left w:val="single" w:sz="4" w:space="0" w:color="009EEA"/>
              <w:bottom w:val="single" w:sz="4" w:space="0" w:color="009EEA"/>
              <w:right w:val="single" w:sz="4" w:space="0" w:color="009EEA"/>
            </w:tcBorders>
          </w:tcPr>
          <w:p>
            <w:pPr/>
          </w:p>
        </w:tc>
        <w:tc>
          <w:tcPr>
            <w:tcW w:w="8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9"/>
              <w:jc w:val="right"/>
              <w:rPr>
                <w:rFonts w:ascii="Arial" w:hAnsi="Arial" w:cs="Arial" w:eastAsia="Arial" w:hint="default"/>
                <w:sz w:val="21"/>
                <w:szCs w:val="21"/>
              </w:rPr>
            </w:pPr>
            <w:r>
              <w:rPr>
                <w:rFonts w:ascii="Arial"/>
                <w:sz w:val="21"/>
              </w:rPr>
              <w:t>197.50</w:t>
            </w: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62" w:lineRule="exact" w:before="4"/>
              <w:ind w:left="21" w:right="103"/>
              <w:jc w:val="left"/>
              <w:rPr>
                <w:rFonts w:ascii="宋体" w:hAnsi="宋体" w:cs="宋体" w:eastAsia="宋体" w:hint="default"/>
                <w:sz w:val="20"/>
                <w:szCs w:val="20"/>
              </w:rPr>
            </w:pPr>
            <w:r>
              <w:rPr>
                <w:rFonts w:ascii="宋体" w:hAnsi="宋体" w:cs="宋体" w:eastAsia="宋体" w:hint="default"/>
                <w:sz w:val="20"/>
                <w:szCs w:val="20"/>
              </w:rPr>
              <w:t>本息收回与</w:t>
            </w:r>
            <w:r>
              <w:rPr>
                <w:rFonts w:ascii="宋体" w:hAnsi="宋体" w:cs="宋体" w:eastAsia="宋体" w:hint="default"/>
                <w:w w:val="99"/>
                <w:sz w:val="20"/>
                <w:szCs w:val="20"/>
              </w:rPr>
              <w:t> </w:t>
            </w:r>
            <w:r>
              <w:rPr>
                <w:rFonts w:ascii="宋体" w:hAnsi="宋体" w:cs="宋体" w:eastAsia="宋体" w:hint="default"/>
                <w:sz w:val="20"/>
                <w:szCs w:val="20"/>
              </w:rPr>
              <w:t>预期相符</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2273"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中国光大银行股份有限</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公司黑龙江分行</w:t>
            </w:r>
            <w:r>
              <w:rPr>
                <w:rFonts w:ascii="宋体" w:hAnsi="宋体" w:cs="宋体" w:eastAsia="宋体" w:hint="default"/>
                <w:sz w:val="21"/>
                <w:szCs w:val="21"/>
              </w:rPr>
              <w:t> </w:t>
            </w:r>
          </w:p>
        </w:tc>
        <w:tc>
          <w:tcPr>
            <w:tcW w:w="142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结构性存款</w:t>
            </w:r>
            <w:r>
              <w:rPr>
                <w:rFonts w:ascii="宋体" w:hAnsi="宋体" w:cs="宋体" w:eastAsia="宋体" w:hint="default"/>
                <w:sz w:val="21"/>
                <w:szCs w:val="21"/>
              </w:rPr>
              <w:t> </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20"/>
              <w:jc w:val="right"/>
              <w:rPr>
                <w:rFonts w:ascii="Arial" w:hAnsi="Arial" w:cs="Arial" w:eastAsia="Arial" w:hint="default"/>
                <w:sz w:val="21"/>
                <w:szCs w:val="21"/>
              </w:rPr>
            </w:pPr>
            <w:r>
              <w:rPr>
                <w:rFonts w:ascii="Arial"/>
                <w:spacing w:val="-1"/>
                <w:sz w:val="21"/>
              </w:rPr>
              <w:t>20,000</w:t>
            </w:r>
          </w:p>
        </w:tc>
        <w:tc>
          <w:tcPr>
            <w:tcW w:w="12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41"/>
              <w:jc w:val="center"/>
              <w:rPr>
                <w:rFonts w:ascii="宋体" w:hAnsi="宋体" w:cs="宋体" w:eastAsia="宋体" w:hint="default"/>
                <w:sz w:val="21"/>
                <w:szCs w:val="21"/>
              </w:rPr>
            </w:pPr>
            <w:r>
              <w:rPr>
                <w:rFonts w:ascii="Arial"/>
                <w:sz w:val="21"/>
              </w:rPr>
              <w:t>2019-05-23</w:t>
            </w:r>
            <w:r>
              <w:rPr>
                <w:rFonts w:ascii="宋体"/>
                <w:w w:val="100"/>
                <w:sz w:val="21"/>
              </w:rPr>
              <w:t> </w:t>
            </w:r>
          </w:p>
        </w:tc>
        <w:tc>
          <w:tcPr>
            <w:tcW w:w="12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38"/>
              <w:jc w:val="center"/>
              <w:rPr>
                <w:rFonts w:ascii="宋体" w:hAnsi="宋体" w:cs="宋体" w:eastAsia="宋体" w:hint="default"/>
                <w:sz w:val="21"/>
                <w:szCs w:val="21"/>
              </w:rPr>
            </w:pPr>
            <w:r>
              <w:rPr>
                <w:rFonts w:ascii="Arial"/>
                <w:sz w:val="21"/>
              </w:rPr>
              <w:t>2019-08-23</w:t>
            </w:r>
            <w:r>
              <w:rPr>
                <w:rFonts w:ascii="宋体"/>
                <w:w w:val="100"/>
                <w:sz w:val="21"/>
              </w:rPr>
              <w:t> </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自有闲</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置资金</w:t>
            </w:r>
            <w:r>
              <w:rPr>
                <w:rFonts w:ascii="宋体" w:hAnsi="宋体" w:cs="宋体" w:eastAsia="宋体" w:hint="default"/>
                <w:sz w:val="21"/>
                <w:szCs w:val="21"/>
              </w:rPr>
              <w:t> </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z w:val="21"/>
                <w:szCs w:val="21"/>
              </w:rPr>
              <w:t> </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约定</w:t>
            </w:r>
            <w:r>
              <w:rPr>
                <w:rFonts w:ascii="宋体" w:hAnsi="宋体" w:cs="宋体" w:eastAsia="宋体" w:hint="default"/>
                <w:sz w:val="21"/>
                <w:szCs w:val="21"/>
              </w:rPr>
              <w:t> </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6"/>
              <w:jc w:val="right"/>
              <w:rPr>
                <w:rFonts w:ascii="Arial" w:hAnsi="Arial" w:cs="Arial" w:eastAsia="Arial" w:hint="default"/>
                <w:sz w:val="21"/>
                <w:szCs w:val="21"/>
              </w:rPr>
            </w:pPr>
            <w:r>
              <w:rPr>
                <w:rFonts w:ascii="Arial"/>
                <w:spacing w:val="-1"/>
                <w:sz w:val="21"/>
              </w:rPr>
              <w:t>3.95%</w:t>
            </w:r>
          </w:p>
        </w:tc>
        <w:tc>
          <w:tcPr>
            <w:tcW w:w="708" w:type="dxa"/>
            <w:tcBorders>
              <w:top w:val="single" w:sz="4" w:space="0" w:color="009EEA"/>
              <w:left w:val="single" w:sz="4" w:space="0" w:color="009EEA"/>
              <w:bottom w:val="single" w:sz="4" w:space="0" w:color="009EEA"/>
              <w:right w:val="single" w:sz="4" w:space="0" w:color="009EEA"/>
            </w:tcBorders>
          </w:tcPr>
          <w:p>
            <w:pPr/>
          </w:p>
        </w:tc>
        <w:tc>
          <w:tcPr>
            <w:tcW w:w="8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9"/>
              <w:jc w:val="right"/>
              <w:rPr>
                <w:rFonts w:ascii="Arial" w:hAnsi="Arial" w:cs="Arial" w:eastAsia="Arial" w:hint="default"/>
                <w:sz w:val="21"/>
                <w:szCs w:val="21"/>
              </w:rPr>
            </w:pPr>
            <w:r>
              <w:rPr>
                <w:rFonts w:ascii="Arial"/>
                <w:sz w:val="21"/>
              </w:rPr>
              <w:t>197.50</w:t>
            </w: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60" w:lineRule="exact" w:before="8"/>
              <w:ind w:left="21" w:right="103"/>
              <w:jc w:val="left"/>
              <w:rPr>
                <w:rFonts w:ascii="宋体" w:hAnsi="宋体" w:cs="宋体" w:eastAsia="宋体" w:hint="default"/>
                <w:sz w:val="20"/>
                <w:szCs w:val="20"/>
              </w:rPr>
            </w:pPr>
            <w:r>
              <w:rPr>
                <w:rFonts w:ascii="宋体" w:hAnsi="宋体" w:cs="宋体" w:eastAsia="宋体" w:hint="default"/>
                <w:sz w:val="20"/>
                <w:szCs w:val="20"/>
              </w:rPr>
              <w:t>本息收回与</w:t>
            </w:r>
            <w:r>
              <w:rPr>
                <w:rFonts w:ascii="宋体" w:hAnsi="宋体" w:cs="宋体" w:eastAsia="宋体" w:hint="default"/>
                <w:w w:val="99"/>
                <w:sz w:val="20"/>
                <w:szCs w:val="20"/>
              </w:rPr>
              <w:t> </w:t>
            </w:r>
            <w:r>
              <w:rPr>
                <w:rFonts w:ascii="宋体" w:hAnsi="宋体" w:cs="宋体" w:eastAsia="宋体" w:hint="default"/>
                <w:sz w:val="20"/>
                <w:szCs w:val="20"/>
              </w:rPr>
              <w:t>预期相符</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2273"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中国光大银行股份有限</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公司黑龙江分行</w:t>
            </w:r>
            <w:r>
              <w:rPr>
                <w:rFonts w:ascii="宋体" w:hAnsi="宋体" w:cs="宋体" w:eastAsia="宋体" w:hint="default"/>
                <w:sz w:val="21"/>
                <w:szCs w:val="21"/>
              </w:rPr>
              <w:t> </w:t>
            </w:r>
          </w:p>
        </w:tc>
        <w:tc>
          <w:tcPr>
            <w:tcW w:w="142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结构性存款</w:t>
            </w:r>
            <w:r>
              <w:rPr>
                <w:rFonts w:ascii="宋体" w:hAnsi="宋体" w:cs="宋体" w:eastAsia="宋体" w:hint="default"/>
                <w:sz w:val="21"/>
                <w:szCs w:val="21"/>
              </w:rPr>
              <w:t> </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20"/>
              <w:jc w:val="right"/>
              <w:rPr>
                <w:rFonts w:ascii="Arial" w:hAnsi="Arial" w:cs="Arial" w:eastAsia="Arial" w:hint="default"/>
                <w:sz w:val="21"/>
                <w:szCs w:val="21"/>
              </w:rPr>
            </w:pPr>
            <w:r>
              <w:rPr>
                <w:rFonts w:ascii="Arial"/>
                <w:spacing w:val="-1"/>
                <w:sz w:val="21"/>
              </w:rPr>
              <w:t>12,500</w:t>
            </w:r>
          </w:p>
        </w:tc>
        <w:tc>
          <w:tcPr>
            <w:tcW w:w="12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41"/>
              <w:jc w:val="center"/>
              <w:rPr>
                <w:rFonts w:ascii="宋体" w:hAnsi="宋体" w:cs="宋体" w:eastAsia="宋体" w:hint="default"/>
                <w:sz w:val="21"/>
                <w:szCs w:val="21"/>
              </w:rPr>
            </w:pPr>
            <w:r>
              <w:rPr>
                <w:rFonts w:ascii="Arial"/>
                <w:sz w:val="21"/>
              </w:rPr>
              <w:t>2019-06-05</w:t>
            </w:r>
            <w:r>
              <w:rPr>
                <w:rFonts w:ascii="宋体"/>
                <w:w w:val="100"/>
                <w:sz w:val="21"/>
              </w:rPr>
              <w:t> </w:t>
            </w:r>
          </w:p>
        </w:tc>
        <w:tc>
          <w:tcPr>
            <w:tcW w:w="12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38"/>
              <w:jc w:val="center"/>
              <w:rPr>
                <w:rFonts w:ascii="宋体" w:hAnsi="宋体" w:cs="宋体" w:eastAsia="宋体" w:hint="default"/>
                <w:sz w:val="21"/>
                <w:szCs w:val="21"/>
              </w:rPr>
            </w:pPr>
            <w:r>
              <w:rPr>
                <w:rFonts w:ascii="Arial"/>
                <w:sz w:val="21"/>
              </w:rPr>
              <w:t>2019-09-05</w:t>
            </w:r>
            <w:r>
              <w:rPr>
                <w:rFonts w:ascii="宋体"/>
                <w:w w:val="100"/>
                <w:sz w:val="21"/>
              </w:rPr>
              <w:t> </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自有闲</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置资金</w:t>
            </w:r>
            <w:r>
              <w:rPr>
                <w:rFonts w:ascii="宋体" w:hAnsi="宋体" w:cs="宋体" w:eastAsia="宋体" w:hint="default"/>
                <w:sz w:val="21"/>
                <w:szCs w:val="21"/>
              </w:rPr>
              <w:t> </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z w:val="21"/>
                <w:szCs w:val="21"/>
              </w:rPr>
              <w:t> </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约定</w:t>
            </w:r>
            <w:r>
              <w:rPr>
                <w:rFonts w:ascii="宋体" w:hAnsi="宋体" w:cs="宋体" w:eastAsia="宋体" w:hint="default"/>
                <w:sz w:val="21"/>
                <w:szCs w:val="21"/>
              </w:rPr>
              <w:t> </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6"/>
              <w:jc w:val="right"/>
              <w:rPr>
                <w:rFonts w:ascii="Arial" w:hAnsi="Arial" w:cs="Arial" w:eastAsia="Arial" w:hint="default"/>
                <w:sz w:val="21"/>
                <w:szCs w:val="21"/>
              </w:rPr>
            </w:pPr>
            <w:r>
              <w:rPr>
                <w:rFonts w:ascii="Arial"/>
                <w:spacing w:val="-1"/>
                <w:sz w:val="21"/>
              </w:rPr>
              <w:t>3.90%</w:t>
            </w:r>
          </w:p>
        </w:tc>
        <w:tc>
          <w:tcPr>
            <w:tcW w:w="708" w:type="dxa"/>
            <w:tcBorders>
              <w:top w:val="single" w:sz="4" w:space="0" w:color="009EEA"/>
              <w:left w:val="single" w:sz="4" w:space="0" w:color="009EEA"/>
              <w:bottom w:val="single" w:sz="4" w:space="0" w:color="009EEA"/>
              <w:right w:val="single" w:sz="4" w:space="0" w:color="009EEA"/>
            </w:tcBorders>
          </w:tcPr>
          <w:p>
            <w:pPr/>
          </w:p>
        </w:tc>
        <w:tc>
          <w:tcPr>
            <w:tcW w:w="8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9"/>
              <w:jc w:val="right"/>
              <w:rPr>
                <w:rFonts w:ascii="Arial" w:hAnsi="Arial" w:cs="Arial" w:eastAsia="Arial" w:hint="default"/>
                <w:sz w:val="21"/>
                <w:szCs w:val="21"/>
              </w:rPr>
            </w:pPr>
            <w:r>
              <w:rPr>
                <w:rFonts w:ascii="Arial"/>
                <w:sz w:val="21"/>
              </w:rPr>
              <w:t>121.88</w:t>
            </w: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60" w:lineRule="exact" w:before="8"/>
              <w:ind w:left="21" w:right="103"/>
              <w:jc w:val="left"/>
              <w:rPr>
                <w:rFonts w:ascii="宋体" w:hAnsi="宋体" w:cs="宋体" w:eastAsia="宋体" w:hint="default"/>
                <w:sz w:val="20"/>
                <w:szCs w:val="20"/>
              </w:rPr>
            </w:pPr>
            <w:r>
              <w:rPr>
                <w:rFonts w:ascii="宋体" w:hAnsi="宋体" w:cs="宋体" w:eastAsia="宋体" w:hint="default"/>
                <w:sz w:val="20"/>
                <w:szCs w:val="20"/>
              </w:rPr>
              <w:t>本息收回与</w:t>
            </w:r>
            <w:r>
              <w:rPr>
                <w:rFonts w:ascii="宋体" w:hAnsi="宋体" w:cs="宋体" w:eastAsia="宋体" w:hint="default"/>
                <w:w w:val="99"/>
                <w:sz w:val="20"/>
                <w:szCs w:val="20"/>
              </w:rPr>
              <w:t> </w:t>
            </w:r>
            <w:r>
              <w:rPr>
                <w:rFonts w:ascii="宋体" w:hAnsi="宋体" w:cs="宋体" w:eastAsia="宋体" w:hint="default"/>
                <w:sz w:val="20"/>
                <w:szCs w:val="20"/>
              </w:rPr>
              <w:t>预期相符</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5" w:hRule="exact"/>
        </w:trPr>
        <w:tc>
          <w:tcPr>
            <w:tcW w:w="2273" w:type="dxa"/>
            <w:tcBorders>
              <w:top w:val="single" w:sz="4" w:space="0" w:color="009EEA"/>
              <w:left w:val="nil" w:sz="6" w:space="0" w:color="auto"/>
              <w:bottom w:val="single" w:sz="4" w:space="0" w:color="009EEA"/>
              <w:right w:val="single" w:sz="4" w:space="0" w:color="009EEA"/>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上海浦东发展银行股份</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有限公司哈尔滨分行</w:t>
            </w:r>
            <w:r>
              <w:rPr>
                <w:rFonts w:ascii="宋体" w:hAnsi="宋体" w:cs="宋体" w:eastAsia="宋体" w:hint="default"/>
                <w:sz w:val="21"/>
                <w:szCs w:val="21"/>
              </w:rPr>
              <w:t> </w:t>
            </w:r>
          </w:p>
        </w:tc>
        <w:tc>
          <w:tcPr>
            <w:tcW w:w="142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结构性存款</w:t>
            </w:r>
            <w:r>
              <w:rPr>
                <w:rFonts w:ascii="宋体" w:hAnsi="宋体" w:cs="宋体" w:eastAsia="宋体" w:hint="default"/>
                <w:sz w:val="21"/>
                <w:szCs w:val="21"/>
              </w:rPr>
              <w:t> </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9"/>
              <w:ind w:right="20"/>
              <w:jc w:val="right"/>
              <w:rPr>
                <w:rFonts w:ascii="Arial" w:hAnsi="Arial" w:cs="Arial" w:eastAsia="Arial" w:hint="default"/>
                <w:sz w:val="21"/>
                <w:szCs w:val="21"/>
              </w:rPr>
            </w:pPr>
            <w:r>
              <w:rPr>
                <w:rFonts w:ascii="Arial"/>
                <w:spacing w:val="-1"/>
                <w:sz w:val="21"/>
              </w:rPr>
              <w:t>35,000</w:t>
            </w:r>
          </w:p>
        </w:tc>
        <w:tc>
          <w:tcPr>
            <w:tcW w:w="12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9"/>
              <w:ind w:right="41"/>
              <w:jc w:val="center"/>
              <w:rPr>
                <w:rFonts w:ascii="宋体" w:hAnsi="宋体" w:cs="宋体" w:eastAsia="宋体" w:hint="default"/>
                <w:sz w:val="21"/>
                <w:szCs w:val="21"/>
              </w:rPr>
            </w:pPr>
            <w:r>
              <w:rPr>
                <w:rFonts w:ascii="Arial"/>
                <w:sz w:val="21"/>
              </w:rPr>
              <w:t>2019-06-13</w:t>
            </w:r>
            <w:r>
              <w:rPr>
                <w:rFonts w:ascii="宋体"/>
                <w:w w:val="100"/>
                <w:sz w:val="21"/>
              </w:rPr>
              <w:t> </w:t>
            </w:r>
          </w:p>
        </w:tc>
        <w:tc>
          <w:tcPr>
            <w:tcW w:w="12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9"/>
              <w:ind w:right="38"/>
              <w:jc w:val="center"/>
              <w:rPr>
                <w:rFonts w:ascii="宋体" w:hAnsi="宋体" w:cs="宋体" w:eastAsia="宋体" w:hint="default"/>
                <w:sz w:val="21"/>
                <w:szCs w:val="21"/>
              </w:rPr>
            </w:pPr>
            <w:r>
              <w:rPr>
                <w:rFonts w:ascii="Arial"/>
                <w:sz w:val="21"/>
              </w:rPr>
              <w:t>2019-09-16</w:t>
            </w:r>
            <w:r>
              <w:rPr>
                <w:rFonts w:ascii="宋体"/>
                <w:w w:val="100"/>
                <w:sz w:val="21"/>
              </w:rPr>
              <w:t> </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自有闲</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置资金</w:t>
            </w:r>
            <w:r>
              <w:rPr>
                <w:rFonts w:ascii="宋体" w:hAnsi="宋体" w:cs="宋体" w:eastAsia="宋体" w:hint="default"/>
                <w:sz w:val="21"/>
                <w:szCs w:val="21"/>
              </w:rPr>
              <w:t> </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z w:val="21"/>
                <w:szCs w:val="21"/>
              </w:rPr>
              <w:t> </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约定</w:t>
            </w:r>
            <w:r>
              <w:rPr>
                <w:rFonts w:ascii="宋体" w:hAnsi="宋体" w:cs="宋体" w:eastAsia="宋体" w:hint="default"/>
                <w:sz w:val="21"/>
                <w:szCs w:val="21"/>
              </w:rPr>
              <w:t> </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9"/>
              <w:ind w:right="16"/>
              <w:jc w:val="right"/>
              <w:rPr>
                <w:rFonts w:ascii="Arial" w:hAnsi="Arial" w:cs="Arial" w:eastAsia="Arial" w:hint="default"/>
                <w:sz w:val="21"/>
                <w:szCs w:val="21"/>
              </w:rPr>
            </w:pPr>
            <w:r>
              <w:rPr>
                <w:rFonts w:ascii="Arial"/>
                <w:spacing w:val="-1"/>
                <w:sz w:val="21"/>
              </w:rPr>
              <w:t>4.05%</w:t>
            </w:r>
          </w:p>
        </w:tc>
        <w:tc>
          <w:tcPr>
            <w:tcW w:w="708" w:type="dxa"/>
            <w:tcBorders>
              <w:top w:val="single" w:sz="4" w:space="0" w:color="009EEA"/>
              <w:left w:val="single" w:sz="4" w:space="0" w:color="009EEA"/>
              <w:bottom w:val="single" w:sz="4" w:space="0" w:color="009EEA"/>
              <w:right w:val="single" w:sz="4" w:space="0" w:color="009EEA"/>
            </w:tcBorders>
          </w:tcPr>
          <w:p>
            <w:pPr/>
          </w:p>
        </w:tc>
        <w:tc>
          <w:tcPr>
            <w:tcW w:w="8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9"/>
              <w:ind w:right="19"/>
              <w:jc w:val="right"/>
              <w:rPr>
                <w:rFonts w:ascii="Arial" w:hAnsi="Arial" w:cs="Arial" w:eastAsia="Arial" w:hint="default"/>
                <w:sz w:val="21"/>
                <w:szCs w:val="21"/>
              </w:rPr>
            </w:pPr>
            <w:r>
              <w:rPr>
                <w:rFonts w:ascii="Arial"/>
                <w:sz w:val="21"/>
              </w:rPr>
              <w:t>366.19</w:t>
            </w: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60" w:lineRule="exact" w:before="8"/>
              <w:ind w:left="21" w:right="103"/>
              <w:jc w:val="left"/>
              <w:rPr>
                <w:rFonts w:ascii="宋体" w:hAnsi="宋体" w:cs="宋体" w:eastAsia="宋体" w:hint="default"/>
                <w:sz w:val="20"/>
                <w:szCs w:val="20"/>
              </w:rPr>
            </w:pPr>
            <w:r>
              <w:rPr>
                <w:rFonts w:ascii="宋体" w:hAnsi="宋体" w:cs="宋体" w:eastAsia="宋体" w:hint="default"/>
                <w:sz w:val="20"/>
                <w:szCs w:val="20"/>
              </w:rPr>
              <w:t>本息收回与</w:t>
            </w:r>
            <w:r>
              <w:rPr>
                <w:rFonts w:ascii="宋体" w:hAnsi="宋体" w:cs="宋体" w:eastAsia="宋体" w:hint="default"/>
                <w:w w:val="99"/>
                <w:sz w:val="20"/>
                <w:szCs w:val="20"/>
              </w:rPr>
              <w:t> </w:t>
            </w:r>
            <w:r>
              <w:rPr>
                <w:rFonts w:ascii="宋体" w:hAnsi="宋体" w:cs="宋体" w:eastAsia="宋体" w:hint="default"/>
                <w:sz w:val="20"/>
                <w:szCs w:val="20"/>
              </w:rPr>
              <w:t>预期相符</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3"/>
              <w:ind w:right="6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3"/>
              <w:ind w:right="13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7" w:hRule="exact"/>
        </w:trPr>
        <w:tc>
          <w:tcPr>
            <w:tcW w:w="2273" w:type="dxa"/>
            <w:tcBorders>
              <w:top w:val="single" w:sz="4" w:space="0" w:color="009EEA"/>
              <w:left w:val="nil" w:sz="6" w:space="0" w:color="auto"/>
              <w:bottom w:val="single" w:sz="4" w:space="0" w:color="009EEA"/>
              <w:right w:val="single" w:sz="4" w:space="0" w:color="009EEA"/>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上海浦东发展银行股份</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有限公司哈尔滨分行</w:t>
            </w:r>
            <w:r>
              <w:rPr>
                <w:rFonts w:ascii="宋体" w:hAnsi="宋体" w:cs="宋体" w:eastAsia="宋体" w:hint="default"/>
                <w:sz w:val="21"/>
                <w:szCs w:val="21"/>
              </w:rPr>
              <w:t> </w:t>
            </w:r>
          </w:p>
        </w:tc>
        <w:tc>
          <w:tcPr>
            <w:tcW w:w="142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结构性存款</w:t>
            </w:r>
            <w:r>
              <w:rPr>
                <w:rFonts w:ascii="宋体" w:hAnsi="宋体" w:cs="宋体" w:eastAsia="宋体" w:hint="default"/>
                <w:sz w:val="21"/>
                <w:szCs w:val="21"/>
              </w:rPr>
              <w:t> </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20"/>
              <w:jc w:val="right"/>
              <w:rPr>
                <w:rFonts w:ascii="Arial" w:hAnsi="Arial" w:cs="Arial" w:eastAsia="Arial" w:hint="default"/>
                <w:sz w:val="21"/>
                <w:szCs w:val="21"/>
              </w:rPr>
            </w:pPr>
            <w:r>
              <w:rPr>
                <w:rFonts w:ascii="Arial"/>
                <w:spacing w:val="-1"/>
                <w:sz w:val="21"/>
              </w:rPr>
              <w:t>40,000</w:t>
            </w:r>
          </w:p>
        </w:tc>
        <w:tc>
          <w:tcPr>
            <w:tcW w:w="12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41"/>
              <w:jc w:val="center"/>
              <w:rPr>
                <w:rFonts w:ascii="宋体" w:hAnsi="宋体" w:cs="宋体" w:eastAsia="宋体" w:hint="default"/>
                <w:sz w:val="21"/>
                <w:szCs w:val="21"/>
              </w:rPr>
            </w:pPr>
            <w:r>
              <w:rPr>
                <w:rFonts w:ascii="Arial"/>
                <w:sz w:val="21"/>
              </w:rPr>
              <w:t>2019-06-13</w:t>
            </w:r>
            <w:r>
              <w:rPr>
                <w:rFonts w:ascii="宋体"/>
                <w:w w:val="100"/>
                <w:sz w:val="21"/>
              </w:rPr>
              <w:t> </w:t>
            </w:r>
          </w:p>
        </w:tc>
        <w:tc>
          <w:tcPr>
            <w:tcW w:w="12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38"/>
              <w:jc w:val="center"/>
              <w:rPr>
                <w:rFonts w:ascii="宋体" w:hAnsi="宋体" w:cs="宋体" w:eastAsia="宋体" w:hint="default"/>
                <w:sz w:val="21"/>
                <w:szCs w:val="21"/>
              </w:rPr>
            </w:pPr>
            <w:r>
              <w:rPr>
                <w:rFonts w:ascii="Arial"/>
                <w:sz w:val="21"/>
              </w:rPr>
              <w:t>2019-09-16</w:t>
            </w:r>
            <w:r>
              <w:rPr>
                <w:rFonts w:ascii="宋体"/>
                <w:w w:val="100"/>
                <w:sz w:val="21"/>
              </w:rPr>
              <w:t> </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自有闲</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置资金</w:t>
            </w:r>
            <w:r>
              <w:rPr>
                <w:rFonts w:ascii="宋体" w:hAnsi="宋体" w:cs="宋体" w:eastAsia="宋体" w:hint="default"/>
                <w:sz w:val="21"/>
                <w:szCs w:val="21"/>
              </w:rPr>
              <w:t> </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z w:val="21"/>
                <w:szCs w:val="21"/>
              </w:rPr>
              <w:t> </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约定</w:t>
            </w:r>
            <w:r>
              <w:rPr>
                <w:rFonts w:ascii="宋体" w:hAnsi="宋体" w:cs="宋体" w:eastAsia="宋体" w:hint="default"/>
                <w:sz w:val="21"/>
                <w:szCs w:val="21"/>
              </w:rPr>
              <w:t> </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16"/>
              <w:jc w:val="right"/>
              <w:rPr>
                <w:rFonts w:ascii="Arial" w:hAnsi="Arial" w:cs="Arial" w:eastAsia="Arial" w:hint="default"/>
                <w:sz w:val="21"/>
                <w:szCs w:val="21"/>
              </w:rPr>
            </w:pPr>
            <w:r>
              <w:rPr>
                <w:rFonts w:ascii="Arial"/>
                <w:spacing w:val="-1"/>
                <w:sz w:val="21"/>
              </w:rPr>
              <w:t>4.05%</w:t>
            </w:r>
          </w:p>
        </w:tc>
        <w:tc>
          <w:tcPr>
            <w:tcW w:w="708" w:type="dxa"/>
            <w:tcBorders>
              <w:top w:val="single" w:sz="4" w:space="0" w:color="009EEA"/>
              <w:left w:val="single" w:sz="4" w:space="0" w:color="009EEA"/>
              <w:bottom w:val="single" w:sz="4" w:space="0" w:color="009EEA"/>
              <w:right w:val="single" w:sz="4" w:space="0" w:color="009EEA"/>
            </w:tcBorders>
          </w:tcPr>
          <w:p>
            <w:pPr/>
          </w:p>
        </w:tc>
        <w:tc>
          <w:tcPr>
            <w:tcW w:w="8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19"/>
              <w:jc w:val="right"/>
              <w:rPr>
                <w:rFonts w:ascii="Arial" w:hAnsi="Arial" w:cs="Arial" w:eastAsia="Arial" w:hint="default"/>
                <w:sz w:val="21"/>
                <w:szCs w:val="21"/>
              </w:rPr>
            </w:pPr>
            <w:r>
              <w:rPr>
                <w:rFonts w:ascii="Arial"/>
                <w:sz w:val="21"/>
              </w:rPr>
              <w:t>418.50</w:t>
            </w: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60" w:lineRule="exact" w:before="8"/>
              <w:ind w:left="21" w:right="103"/>
              <w:jc w:val="left"/>
              <w:rPr>
                <w:rFonts w:ascii="宋体" w:hAnsi="宋体" w:cs="宋体" w:eastAsia="宋体" w:hint="default"/>
                <w:sz w:val="20"/>
                <w:szCs w:val="20"/>
              </w:rPr>
            </w:pPr>
            <w:r>
              <w:rPr>
                <w:rFonts w:ascii="宋体" w:hAnsi="宋体" w:cs="宋体" w:eastAsia="宋体" w:hint="default"/>
                <w:sz w:val="20"/>
                <w:szCs w:val="20"/>
              </w:rPr>
              <w:t>本息收回与</w:t>
            </w:r>
            <w:r>
              <w:rPr>
                <w:rFonts w:ascii="宋体" w:hAnsi="宋体" w:cs="宋体" w:eastAsia="宋体" w:hint="default"/>
                <w:w w:val="99"/>
                <w:sz w:val="20"/>
                <w:szCs w:val="20"/>
              </w:rPr>
              <w:t> </w:t>
            </w:r>
            <w:r>
              <w:rPr>
                <w:rFonts w:ascii="宋体" w:hAnsi="宋体" w:cs="宋体" w:eastAsia="宋体" w:hint="default"/>
                <w:sz w:val="20"/>
                <w:szCs w:val="20"/>
              </w:rPr>
              <w:t>预期相符</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2273" w:type="dxa"/>
            <w:tcBorders>
              <w:top w:val="single" w:sz="4" w:space="0" w:color="009EEA"/>
              <w:left w:val="nil" w:sz="6" w:space="0" w:color="auto"/>
              <w:bottom w:val="single" w:sz="4" w:space="0" w:color="009EEA"/>
              <w:right w:val="single" w:sz="4" w:space="0" w:color="009EEA"/>
            </w:tcBorders>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sz w:val="21"/>
                <w:szCs w:val="21"/>
              </w:rPr>
              <w:t>中国光大银行股份有限</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公司黑龙江分行</w:t>
            </w:r>
            <w:r>
              <w:rPr>
                <w:rFonts w:ascii="宋体" w:hAnsi="宋体" w:cs="宋体" w:eastAsia="宋体" w:hint="default"/>
                <w:sz w:val="21"/>
                <w:szCs w:val="21"/>
              </w:rPr>
              <w:t> </w:t>
            </w:r>
          </w:p>
        </w:tc>
        <w:tc>
          <w:tcPr>
            <w:tcW w:w="142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结构性存款</w:t>
            </w:r>
            <w:r>
              <w:rPr>
                <w:rFonts w:ascii="宋体" w:hAnsi="宋体" w:cs="宋体" w:eastAsia="宋体" w:hint="default"/>
                <w:sz w:val="21"/>
                <w:szCs w:val="21"/>
              </w:rPr>
              <w:t> </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20"/>
              <w:jc w:val="right"/>
              <w:rPr>
                <w:rFonts w:ascii="Arial" w:hAnsi="Arial" w:cs="Arial" w:eastAsia="Arial" w:hint="default"/>
                <w:sz w:val="21"/>
                <w:szCs w:val="21"/>
              </w:rPr>
            </w:pPr>
            <w:r>
              <w:rPr>
                <w:rFonts w:ascii="Arial"/>
                <w:spacing w:val="-1"/>
                <w:sz w:val="21"/>
              </w:rPr>
              <w:t>20,000</w:t>
            </w:r>
          </w:p>
        </w:tc>
        <w:tc>
          <w:tcPr>
            <w:tcW w:w="12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41"/>
              <w:jc w:val="center"/>
              <w:rPr>
                <w:rFonts w:ascii="宋体" w:hAnsi="宋体" w:cs="宋体" w:eastAsia="宋体" w:hint="default"/>
                <w:sz w:val="21"/>
                <w:szCs w:val="21"/>
              </w:rPr>
            </w:pPr>
            <w:r>
              <w:rPr>
                <w:rFonts w:ascii="Arial"/>
                <w:sz w:val="21"/>
              </w:rPr>
              <w:t>2019-06-14</w:t>
            </w:r>
            <w:r>
              <w:rPr>
                <w:rFonts w:ascii="宋体"/>
                <w:w w:val="100"/>
                <w:sz w:val="21"/>
              </w:rPr>
              <w:t> </w:t>
            </w:r>
          </w:p>
        </w:tc>
        <w:tc>
          <w:tcPr>
            <w:tcW w:w="12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38"/>
              <w:jc w:val="center"/>
              <w:rPr>
                <w:rFonts w:ascii="宋体" w:hAnsi="宋体" w:cs="宋体" w:eastAsia="宋体" w:hint="default"/>
                <w:sz w:val="21"/>
                <w:szCs w:val="21"/>
              </w:rPr>
            </w:pPr>
            <w:r>
              <w:rPr>
                <w:rFonts w:ascii="Arial"/>
                <w:sz w:val="21"/>
              </w:rPr>
              <w:t>2019-09-16</w:t>
            </w:r>
            <w:r>
              <w:rPr>
                <w:rFonts w:ascii="宋体"/>
                <w:w w:val="100"/>
                <w:sz w:val="21"/>
              </w:rPr>
              <w:t> </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自有闲</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置资金</w:t>
            </w:r>
            <w:r>
              <w:rPr>
                <w:rFonts w:ascii="宋体" w:hAnsi="宋体" w:cs="宋体" w:eastAsia="宋体" w:hint="default"/>
                <w:sz w:val="21"/>
                <w:szCs w:val="21"/>
              </w:rPr>
              <w:t> </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z w:val="21"/>
                <w:szCs w:val="21"/>
              </w:rPr>
              <w:t> </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约定</w:t>
            </w:r>
            <w:r>
              <w:rPr>
                <w:rFonts w:ascii="宋体" w:hAnsi="宋体" w:cs="宋体" w:eastAsia="宋体" w:hint="default"/>
                <w:sz w:val="21"/>
                <w:szCs w:val="21"/>
              </w:rPr>
              <w:t> </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6"/>
              <w:jc w:val="right"/>
              <w:rPr>
                <w:rFonts w:ascii="Arial" w:hAnsi="Arial" w:cs="Arial" w:eastAsia="Arial" w:hint="default"/>
                <w:sz w:val="21"/>
                <w:szCs w:val="21"/>
              </w:rPr>
            </w:pPr>
            <w:r>
              <w:rPr>
                <w:rFonts w:ascii="Arial"/>
                <w:spacing w:val="-1"/>
                <w:sz w:val="21"/>
              </w:rPr>
              <w:t>4.00%</w:t>
            </w:r>
          </w:p>
        </w:tc>
        <w:tc>
          <w:tcPr>
            <w:tcW w:w="708" w:type="dxa"/>
            <w:tcBorders>
              <w:top w:val="single" w:sz="4" w:space="0" w:color="009EEA"/>
              <w:left w:val="single" w:sz="4" w:space="0" w:color="009EEA"/>
              <w:bottom w:val="single" w:sz="4" w:space="0" w:color="009EEA"/>
              <w:right w:val="single" w:sz="4" w:space="0" w:color="009EEA"/>
            </w:tcBorders>
          </w:tcPr>
          <w:p>
            <w:pPr/>
          </w:p>
        </w:tc>
        <w:tc>
          <w:tcPr>
            <w:tcW w:w="8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9"/>
              <w:jc w:val="right"/>
              <w:rPr>
                <w:rFonts w:ascii="Arial" w:hAnsi="Arial" w:cs="Arial" w:eastAsia="Arial" w:hint="default"/>
                <w:sz w:val="21"/>
                <w:szCs w:val="21"/>
              </w:rPr>
            </w:pPr>
            <w:r>
              <w:rPr>
                <w:rFonts w:ascii="Arial"/>
                <w:sz w:val="21"/>
              </w:rPr>
              <w:t>204.44</w:t>
            </w: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60" w:lineRule="exact" w:before="5"/>
              <w:ind w:left="21" w:right="103"/>
              <w:jc w:val="left"/>
              <w:rPr>
                <w:rFonts w:ascii="宋体" w:hAnsi="宋体" w:cs="宋体" w:eastAsia="宋体" w:hint="default"/>
                <w:sz w:val="20"/>
                <w:szCs w:val="20"/>
              </w:rPr>
            </w:pPr>
            <w:r>
              <w:rPr>
                <w:rFonts w:ascii="宋体" w:hAnsi="宋体" w:cs="宋体" w:eastAsia="宋体" w:hint="default"/>
                <w:sz w:val="20"/>
                <w:szCs w:val="20"/>
              </w:rPr>
              <w:t>本息收回与</w:t>
            </w:r>
            <w:r>
              <w:rPr>
                <w:rFonts w:ascii="宋体" w:hAnsi="宋体" w:cs="宋体" w:eastAsia="宋体" w:hint="default"/>
                <w:w w:val="99"/>
                <w:sz w:val="20"/>
                <w:szCs w:val="20"/>
              </w:rPr>
              <w:t> </w:t>
            </w:r>
            <w:r>
              <w:rPr>
                <w:rFonts w:ascii="宋体" w:hAnsi="宋体" w:cs="宋体" w:eastAsia="宋体" w:hint="default"/>
                <w:sz w:val="20"/>
                <w:szCs w:val="20"/>
              </w:rPr>
              <w:t>预期相符</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right="6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0"/>
              <w:ind w:right="13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2273" w:type="dxa"/>
            <w:tcBorders>
              <w:top w:val="single" w:sz="4" w:space="0" w:color="009EEA"/>
              <w:left w:val="nil" w:sz="6" w:space="0" w:color="auto"/>
              <w:bottom w:val="single" w:sz="4" w:space="0" w:color="009EEA"/>
              <w:right w:val="single" w:sz="4" w:space="0" w:color="009EEA"/>
            </w:tcBorders>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sz w:val="21"/>
                <w:szCs w:val="21"/>
              </w:rPr>
              <w:t>中国光大银行股份有限</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公司黑龙江分行</w:t>
            </w:r>
            <w:r>
              <w:rPr>
                <w:rFonts w:ascii="宋体" w:hAnsi="宋体" w:cs="宋体" w:eastAsia="宋体" w:hint="default"/>
                <w:sz w:val="21"/>
                <w:szCs w:val="21"/>
              </w:rPr>
              <w:t> </w:t>
            </w:r>
          </w:p>
        </w:tc>
        <w:tc>
          <w:tcPr>
            <w:tcW w:w="142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结构性存款</w:t>
            </w:r>
            <w:r>
              <w:rPr>
                <w:rFonts w:ascii="宋体" w:hAnsi="宋体" w:cs="宋体" w:eastAsia="宋体" w:hint="default"/>
                <w:sz w:val="21"/>
                <w:szCs w:val="21"/>
              </w:rPr>
              <w:t> </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20"/>
              <w:jc w:val="right"/>
              <w:rPr>
                <w:rFonts w:ascii="Arial" w:hAnsi="Arial" w:cs="Arial" w:eastAsia="Arial" w:hint="default"/>
                <w:sz w:val="21"/>
                <w:szCs w:val="21"/>
              </w:rPr>
            </w:pPr>
            <w:r>
              <w:rPr>
                <w:rFonts w:ascii="Arial"/>
                <w:spacing w:val="-1"/>
                <w:sz w:val="21"/>
              </w:rPr>
              <w:t>20,000</w:t>
            </w:r>
          </w:p>
        </w:tc>
        <w:tc>
          <w:tcPr>
            <w:tcW w:w="12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41"/>
              <w:jc w:val="center"/>
              <w:rPr>
                <w:rFonts w:ascii="宋体" w:hAnsi="宋体" w:cs="宋体" w:eastAsia="宋体" w:hint="default"/>
                <w:sz w:val="21"/>
                <w:szCs w:val="21"/>
              </w:rPr>
            </w:pPr>
            <w:r>
              <w:rPr>
                <w:rFonts w:ascii="Arial"/>
                <w:sz w:val="21"/>
              </w:rPr>
              <w:t>2019-06-19</w:t>
            </w:r>
            <w:r>
              <w:rPr>
                <w:rFonts w:ascii="宋体"/>
                <w:w w:val="100"/>
                <w:sz w:val="21"/>
              </w:rPr>
              <w:t> </w:t>
            </w:r>
          </w:p>
        </w:tc>
        <w:tc>
          <w:tcPr>
            <w:tcW w:w="12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38"/>
              <w:jc w:val="center"/>
              <w:rPr>
                <w:rFonts w:ascii="宋体" w:hAnsi="宋体" w:cs="宋体" w:eastAsia="宋体" w:hint="default"/>
                <w:sz w:val="21"/>
                <w:szCs w:val="21"/>
              </w:rPr>
            </w:pPr>
            <w:r>
              <w:rPr>
                <w:rFonts w:ascii="Arial"/>
                <w:sz w:val="21"/>
              </w:rPr>
              <w:t>2019-09-19</w:t>
            </w:r>
            <w:r>
              <w:rPr>
                <w:rFonts w:ascii="宋体"/>
                <w:w w:val="100"/>
                <w:sz w:val="21"/>
              </w:rPr>
              <w:t> </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自有闲</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置资金</w:t>
            </w:r>
            <w:r>
              <w:rPr>
                <w:rFonts w:ascii="宋体" w:hAnsi="宋体" w:cs="宋体" w:eastAsia="宋体" w:hint="default"/>
                <w:sz w:val="21"/>
                <w:szCs w:val="21"/>
              </w:rPr>
              <w:t> </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z w:val="21"/>
                <w:szCs w:val="21"/>
              </w:rPr>
              <w:t> </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约定</w:t>
            </w:r>
            <w:r>
              <w:rPr>
                <w:rFonts w:ascii="宋体" w:hAnsi="宋体" w:cs="宋体" w:eastAsia="宋体" w:hint="default"/>
                <w:sz w:val="21"/>
                <w:szCs w:val="21"/>
              </w:rPr>
              <w:t> </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6"/>
              <w:jc w:val="right"/>
              <w:rPr>
                <w:rFonts w:ascii="Arial" w:hAnsi="Arial" w:cs="Arial" w:eastAsia="Arial" w:hint="default"/>
                <w:sz w:val="21"/>
                <w:szCs w:val="21"/>
              </w:rPr>
            </w:pPr>
            <w:r>
              <w:rPr>
                <w:rFonts w:ascii="Arial"/>
                <w:spacing w:val="-1"/>
                <w:sz w:val="21"/>
              </w:rPr>
              <w:t>3.70%</w:t>
            </w:r>
          </w:p>
        </w:tc>
        <w:tc>
          <w:tcPr>
            <w:tcW w:w="708" w:type="dxa"/>
            <w:tcBorders>
              <w:top w:val="single" w:sz="4" w:space="0" w:color="009EEA"/>
              <w:left w:val="single" w:sz="4" w:space="0" w:color="009EEA"/>
              <w:bottom w:val="single" w:sz="4" w:space="0" w:color="009EEA"/>
              <w:right w:val="single" w:sz="4" w:space="0" w:color="009EEA"/>
            </w:tcBorders>
          </w:tcPr>
          <w:p>
            <w:pPr/>
          </w:p>
        </w:tc>
        <w:tc>
          <w:tcPr>
            <w:tcW w:w="8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9"/>
              <w:jc w:val="right"/>
              <w:rPr>
                <w:rFonts w:ascii="Arial" w:hAnsi="Arial" w:cs="Arial" w:eastAsia="Arial" w:hint="default"/>
                <w:sz w:val="21"/>
                <w:szCs w:val="21"/>
              </w:rPr>
            </w:pPr>
            <w:r>
              <w:rPr>
                <w:rFonts w:ascii="Arial"/>
                <w:sz w:val="21"/>
              </w:rPr>
              <w:t>185.00</w:t>
            </w: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60" w:lineRule="exact" w:before="5"/>
              <w:ind w:left="21" w:right="103"/>
              <w:jc w:val="left"/>
              <w:rPr>
                <w:rFonts w:ascii="宋体" w:hAnsi="宋体" w:cs="宋体" w:eastAsia="宋体" w:hint="default"/>
                <w:sz w:val="20"/>
                <w:szCs w:val="20"/>
              </w:rPr>
            </w:pPr>
            <w:r>
              <w:rPr>
                <w:rFonts w:ascii="宋体" w:hAnsi="宋体" w:cs="宋体" w:eastAsia="宋体" w:hint="default"/>
                <w:sz w:val="20"/>
                <w:szCs w:val="20"/>
              </w:rPr>
              <w:t>本息收回与</w:t>
            </w:r>
            <w:r>
              <w:rPr>
                <w:rFonts w:ascii="宋体" w:hAnsi="宋体" w:cs="宋体" w:eastAsia="宋体" w:hint="default"/>
                <w:w w:val="99"/>
                <w:sz w:val="20"/>
                <w:szCs w:val="20"/>
              </w:rPr>
              <w:t> </w:t>
            </w:r>
            <w:r>
              <w:rPr>
                <w:rFonts w:ascii="宋体" w:hAnsi="宋体" w:cs="宋体" w:eastAsia="宋体" w:hint="default"/>
                <w:sz w:val="20"/>
                <w:szCs w:val="20"/>
              </w:rPr>
              <w:t>预期相符</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5" w:hRule="exact"/>
        </w:trPr>
        <w:tc>
          <w:tcPr>
            <w:tcW w:w="2273" w:type="dxa"/>
            <w:tcBorders>
              <w:top w:val="single" w:sz="4" w:space="0" w:color="009EEA"/>
              <w:left w:val="nil" w:sz="6" w:space="0" w:color="auto"/>
              <w:bottom w:val="single" w:sz="4" w:space="0" w:color="009EEA"/>
              <w:right w:val="single" w:sz="4" w:space="0" w:color="009EEA"/>
            </w:tcBorders>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sz w:val="21"/>
                <w:szCs w:val="21"/>
              </w:rPr>
              <w:t>兴业银行股份有限公司</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哈尔滨分行</w:t>
            </w:r>
            <w:r>
              <w:rPr>
                <w:rFonts w:ascii="宋体" w:hAnsi="宋体" w:cs="宋体" w:eastAsia="宋体" w:hint="default"/>
                <w:sz w:val="21"/>
                <w:szCs w:val="21"/>
              </w:rPr>
              <w:t> </w:t>
            </w:r>
          </w:p>
        </w:tc>
        <w:tc>
          <w:tcPr>
            <w:tcW w:w="142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结构性存款</w:t>
            </w:r>
            <w:r>
              <w:rPr>
                <w:rFonts w:ascii="宋体" w:hAnsi="宋体" w:cs="宋体" w:eastAsia="宋体" w:hint="default"/>
                <w:sz w:val="21"/>
                <w:szCs w:val="21"/>
              </w:rPr>
              <w:t> </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20"/>
              <w:jc w:val="right"/>
              <w:rPr>
                <w:rFonts w:ascii="Arial" w:hAnsi="Arial" w:cs="Arial" w:eastAsia="Arial" w:hint="default"/>
                <w:sz w:val="21"/>
                <w:szCs w:val="21"/>
              </w:rPr>
            </w:pPr>
            <w:r>
              <w:rPr>
                <w:rFonts w:ascii="Arial"/>
                <w:spacing w:val="-1"/>
                <w:sz w:val="21"/>
              </w:rPr>
              <w:t>20,000</w:t>
            </w:r>
          </w:p>
        </w:tc>
        <w:tc>
          <w:tcPr>
            <w:tcW w:w="12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41"/>
              <w:jc w:val="center"/>
              <w:rPr>
                <w:rFonts w:ascii="宋体" w:hAnsi="宋体" w:cs="宋体" w:eastAsia="宋体" w:hint="default"/>
                <w:sz w:val="21"/>
                <w:szCs w:val="21"/>
              </w:rPr>
            </w:pPr>
            <w:r>
              <w:rPr>
                <w:rFonts w:ascii="Arial"/>
                <w:sz w:val="21"/>
              </w:rPr>
              <w:t>2019-07-17</w:t>
            </w:r>
            <w:r>
              <w:rPr>
                <w:rFonts w:ascii="宋体"/>
                <w:w w:val="100"/>
                <w:sz w:val="21"/>
              </w:rPr>
              <w:t> </w:t>
            </w:r>
          </w:p>
        </w:tc>
        <w:tc>
          <w:tcPr>
            <w:tcW w:w="12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38"/>
              <w:jc w:val="center"/>
              <w:rPr>
                <w:rFonts w:ascii="宋体" w:hAnsi="宋体" w:cs="宋体" w:eastAsia="宋体" w:hint="default"/>
                <w:sz w:val="21"/>
                <w:szCs w:val="21"/>
              </w:rPr>
            </w:pPr>
            <w:r>
              <w:rPr>
                <w:rFonts w:ascii="Arial"/>
                <w:sz w:val="21"/>
              </w:rPr>
              <w:t>2019-10-17</w:t>
            </w:r>
            <w:r>
              <w:rPr>
                <w:rFonts w:ascii="宋体"/>
                <w:w w:val="100"/>
                <w:sz w:val="21"/>
              </w:rPr>
              <w:t> </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自有闲</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置资金</w:t>
            </w:r>
            <w:r>
              <w:rPr>
                <w:rFonts w:ascii="宋体" w:hAnsi="宋体" w:cs="宋体" w:eastAsia="宋体" w:hint="default"/>
                <w:sz w:val="21"/>
                <w:szCs w:val="21"/>
              </w:rPr>
              <w:t> </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z w:val="21"/>
                <w:szCs w:val="21"/>
              </w:rPr>
              <w:t> </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约定</w:t>
            </w:r>
            <w:r>
              <w:rPr>
                <w:rFonts w:ascii="宋体" w:hAnsi="宋体" w:cs="宋体" w:eastAsia="宋体" w:hint="default"/>
                <w:sz w:val="21"/>
                <w:szCs w:val="21"/>
              </w:rPr>
              <w:t> </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6"/>
              <w:jc w:val="right"/>
              <w:rPr>
                <w:rFonts w:ascii="Arial" w:hAnsi="Arial" w:cs="Arial" w:eastAsia="Arial" w:hint="default"/>
                <w:sz w:val="21"/>
                <w:szCs w:val="21"/>
              </w:rPr>
            </w:pPr>
            <w:r>
              <w:rPr>
                <w:rFonts w:ascii="Arial"/>
                <w:spacing w:val="-1"/>
                <w:sz w:val="21"/>
              </w:rPr>
              <w:t>4.11%</w:t>
            </w:r>
          </w:p>
        </w:tc>
        <w:tc>
          <w:tcPr>
            <w:tcW w:w="708" w:type="dxa"/>
            <w:tcBorders>
              <w:top w:val="single" w:sz="4" w:space="0" w:color="009EEA"/>
              <w:left w:val="single" w:sz="4" w:space="0" w:color="009EEA"/>
              <w:bottom w:val="single" w:sz="4" w:space="0" w:color="009EEA"/>
              <w:right w:val="single" w:sz="4" w:space="0" w:color="009EEA"/>
            </w:tcBorders>
          </w:tcPr>
          <w:p>
            <w:pPr/>
          </w:p>
        </w:tc>
        <w:tc>
          <w:tcPr>
            <w:tcW w:w="8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9"/>
              <w:jc w:val="right"/>
              <w:rPr>
                <w:rFonts w:ascii="Arial" w:hAnsi="Arial" w:cs="Arial" w:eastAsia="Arial" w:hint="default"/>
                <w:sz w:val="21"/>
                <w:szCs w:val="21"/>
              </w:rPr>
            </w:pPr>
            <w:r>
              <w:rPr>
                <w:rFonts w:ascii="Arial"/>
                <w:sz w:val="21"/>
              </w:rPr>
              <w:t>207.59</w:t>
            </w: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60" w:lineRule="exact" w:before="5"/>
              <w:ind w:left="21" w:right="103"/>
              <w:jc w:val="left"/>
              <w:rPr>
                <w:rFonts w:ascii="宋体" w:hAnsi="宋体" w:cs="宋体" w:eastAsia="宋体" w:hint="default"/>
                <w:sz w:val="20"/>
                <w:szCs w:val="20"/>
              </w:rPr>
            </w:pPr>
            <w:r>
              <w:rPr>
                <w:rFonts w:ascii="宋体" w:hAnsi="宋体" w:cs="宋体" w:eastAsia="宋体" w:hint="default"/>
                <w:sz w:val="20"/>
                <w:szCs w:val="20"/>
              </w:rPr>
              <w:t>本息收回与</w:t>
            </w:r>
            <w:r>
              <w:rPr>
                <w:rFonts w:ascii="宋体" w:hAnsi="宋体" w:cs="宋体" w:eastAsia="宋体" w:hint="default"/>
                <w:w w:val="99"/>
                <w:sz w:val="20"/>
                <w:szCs w:val="20"/>
              </w:rPr>
              <w:t> </w:t>
            </w:r>
            <w:r>
              <w:rPr>
                <w:rFonts w:ascii="宋体" w:hAnsi="宋体" w:cs="宋体" w:eastAsia="宋体" w:hint="default"/>
                <w:sz w:val="20"/>
                <w:szCs w:val="20"/>
              </w:rPr>
              <w:t>预期相符</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2273"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上海浦东发展银行股份</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有限公司哈尔滨分行</w:t>
            </w:r>
            <w:r>
              <w:rPr>
                <w:rFonts w:ascii="宋体" w:hAnsi="宋体" w:cs="宋体" w:eastAsia="宋体" w:hint="default"/>
                <w:sz w:val="21"/>
                <w:szCs w:val="21"/>
              </w:rPr>
              <w:t> </w:t>
            </w:r>
          </w:p>
        </w:tc>
        <w:tc>
          <w:tcPr>
            <w:tcW w:w="142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结构性存款</w:t>
            </w:r>
            <w:r>
              <w:rPr>
                <w:rFonts w:ascii="宋体" w:hAnsi="宋体" w:cs="宋体" w:eastAsia="宋体" w:hint="default"/>
                <w:sz w:val="21"/>
                <w:szCs w:val="21"/>
              </w:rPr>
              <w:t> </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20"/>
              <w:jc w:val="right"/>
              <w:rPr>
                <w:rFonts w:ascii="Arial" w:hAnsi="Arial" w:cs="Arial" w:eastAsia="Arial" w:hint="default"/>
                <w:sz w:val="21"/>
                <w:szCs w:val="21"/>
              </w:rPr>
            </w:pPr>
            <w:r>
              <w:rPr>
                <w:rFonts w:ascii="Arial"/>
                <w:spacing w:val="-1"/>
                <w:sz w:val="21"/>
              </w:rPr>
              <w:t>15,000</w:t>
            </w:r>
          </w:p>
        </w:tc>
        <w:tc>
          <w:tcPr>
            <w:tcW w:w="12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41"/>
              <w:jc w:val="center"/>
              <w:rPr>
                <w:rFonts w:ascii="宋体" w:hAnsi="宋体" w:cs="宋体" w:eastAsia="宋体" w:hint="default"/>
                <w:sz w:val="21"/>
                <w:szCs w:val="21"/>
              </w:rPr>
            </w:pPr>
            <w:r>
              <w:rPr>
                <w:rFonts w:ascii="Arial"/>
                <w:sz w:val="21"/>
              </w:rPr>
              <w:t>2019-07-18</w:t>
            </w:r>
            <w:r>
              <w:rPr>
                <w:rFonts w:ascii="宋体"/>
                <w:w w:val="100"/>
                <w:sz w:val="21"/>
              </w:rPr>
              <w:t> </w:t>
            </w:r>
          </w:p>
        </w:tc>
        <w:tc>
          <w:tcPr>
            <w:tcW w:w="12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38"/>
              <w:jc w:val="center"/>
              <w:rPr>
                <w:rFonts w:ascii="宋体" w:hAnsi="宋体" w:cs="宋体" w:eastAsia="宋体" w:hint="default"/>
                <w:sz w:val="21"/>
                <w:szCs w:val="21"/>
              </w:rPr>
            </w:pPr>
            <w:r>
              <w:rPr>
                <w:rFonts w:ascii="Arial"/>
                <w:sz w:val="21"/>
              </w:rPr>
              <w:t>2019-10-16</w:t>
            </w:r>
            <w:r>
              <w:rPr>
                <w:rFonts w:ascii="宋体"/>
                <w:w w:val="100"/>
                <w:sz w:val="21"/>
              </w:rPr>
              <w:t> </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自有闲</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置资金</w:t>
            </w:r>
            <w:r>
              <w:rPr>
                <w:rFonts w:ascii="宋体" w:hAnsi="宋体" w:cs="宋体" w:eastAsia="宋体" w:hint="default"/>
                <w:sz w:val="21"/>
                <w:szCs w:val="21"/>
              </w:rPr>
              <w:t> </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z w:val="21"/>
                <w:szCs w:val="21"/>
              </w:rPr>
              <w:t> </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约定</w:t>
            </w:r>
            <w:r>
              <w:rPr>
                <w:rFonts w:ascii="宋体" w:hAnsi="宋体" w:cs="宋体" w:eastAsia="宋体" w:hint="default"/>
                <w:sz w:val="21"/>
                <w:szCs w:val="21"/>
              </w:rPr>
              <w:t> </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6"/>
              <w:jc w:val="right"/>
              <w:rPr>
                <w:rFonts w:ascii="Arial" w:hAnsi="Arial" w:cs="Arial" w:eastAsia="Arial" w:hint="default"/>
                <w:sz w:val="21"/>
                <w:szCs w:val="21"/>
              </w:rPr>
            </w:pPr>
            <w:r>
              <w:rPr>
                <w:rFonts w:ascii="Arial"/>
                <w:spacing w:val="-1"/>
                <w:sz w:val="21"/>
              </w:rPr>
              <w:t>4.00%</w:t>
            </w:r>
          </w:p>
        </w:tc>
        <w:tc>
          <w:tcPr>
            <w:tcW w:w="708" w:type="dxa"/>
            <w:tcBorders>
              <w:top w:val="single" w:sz="4" w:space="0" w:color="009EEA"/>
              <w:left w:val="single" w:sz="4" w:space="0" w:color="009EEA"/>
              <w:bottom w:val="single" w:sz="4" w:space="0" w:color="009EEA"/>
              <w:right w:val="single" w:sz="4" w:space="0" w:color="009EEA"/>
            </w:tcBorders>
          </w:tcPr>
          <w:p>
            <w:pPr/>
          </w:p>
        </w:tc>
        <w:tc>
          <w:tcPr>
            <w:tcW w:w="8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9"/>
              <w:jc w:val="right"/>
              <w:rPr>
                <w:rFonts w:ascii="Arial" w:hAnsi="Arial" w:cs="Arial" w:eastAsia="Arial" w:hint="default"/>
                <w:sz w:val="21"/>
                <w:szCs w:val="21"/>
              </w:rPr>
            </w:pPr>
            <w:r>
              <w:rPr>
                <w:rFonts w:ascii="Arial"/>
                <w:sz w:val="21"/>
              </w:rPr>
              <w:t>146.67</w:t>
            </w: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62" w:lineRule="exact" w:before="4"/>
              <w:ind w:left="21" w:right="103"/>
              <w:jc w:val="left"/>
              <w:rPr>
                <w:rFonts w:ascii="宋体" w:hAnsi="宋体" w:cs="宋体" w:eastAsia="宋体" w:hint="default"/>
                <w:sz w:val="20"/>
                <w:szCs w:val="20"/>
              </w:rPr>
            </w:pPr>
            <w:r>
              <w:rPr>
                <w:rFonts w:ascii="宋体" w:hAnsi="宋体" w:cs="宋体" w:eastAsia="宋体" w:hint="default"/>
                <w:sz w:val="20"/>
                <w:szCs w:val="20"/>
              </w:rPr>
              <w:t>本息收回与</w:t>
            </w:r>
            <w:r>
              <w:rPr>
                <w:rFonts w:ascii="宋体" w:hAnsi="宋体" w:cs="宋体" w:eastAsia="宋体" w:hint="default"/>
                <w:w w:val="99"/>
                <w:sz w:val="20"/>
                <w:szCs w:val="20"/>
              </w:rPr>
              <w:t> </w:t>
            </w:r>
            <w:r>
              <w:rPr>
                <w:rFonts w:ascii="宋体" w:hAnsi="宋体" w:cs="宋体" w:eastAsia="宋体" w:hint="default"/>
                <w:sz w:val="20"/>
                <w:szCs w:val="20"/>
              </w:rPr>
              <w:t>预期相符</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2273"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上海浦东发展银行股份</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有限公司哈尔滨分行</w:t>
            </w:r>
            <w:r>
              <w:rPr>
                <w:rFonts w:ascii="宋体" w:hAnsi="宋体" w:cs="宋体" w:eastAsia="宋体" w:hint="default"/>
                <w:sz w:val="21"/>
                <w:szCs w:val="21"/>
              </w:rPr>
              <w:t> </w:t>
            </w:r>
          </w:p>
        </w:tc>
        <w:tc>
          <w:tcPr>
            <w:tcW w:w="142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结构性存款</w:t>
            </w:r>
            <w:r>
              <w:rPr>
                <w:rFonts w:ascii="宋体" w:hAnsi="宋体" w:cs="宋体" w:eastAsia="宋体" w:hint="default"/>
                <w:sz w:val="21"/>
                <w:szCs w:val="21"/>
              </w:rPr>
              <w:t> </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20"/>
              <w:jc w:val="right"/>
              <w:rPr>
                <w:rFonts w:ascii="Arial" w:hAnsi="Arial" w:cs="Arial" w:eastAsia="Arial" w:hint="default"/>
                <w:sz w:val="21"/>
                <w:szCs w:val="21"/>
              </w:rPr>
            </w:pPr>
            <w:r>
              <w:rPr>
                <w:rFonts w:ascii="Arial"/>
                <w:spacing w:val="-1"/>
                <w:sz w:val="21"/>
              </w:rPr>
              <w:t>27,500</w:t>
            </w:r>
          </w:p>
        </w:tc>
        <w:tc>
          <w:tcPr>
            <w:tcW w:w="12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41"/>
              <w:jc w:val="center"/>
              <w:rPr>
                <w:rFonts w:ascii="宋体" w:hAnsi="宋体" w:cs="宋体" w:eastAsia="宋体" w:hint="default"/>
                <w:sz w:val="21"/>
                <w:szCs w:val="21"/>
              </w:rPr>
            </w:pPr>
            <w:r>
              <w:rPr>
                <w:rFonts w:ascii="Arial"/>
                <w:sz w:val="21"/>
              </w:rPr>
              <w:t>2019-08-02</w:t>
            </w:r>
            <w:r>
              <w:rPr>
                <w:rFonts w:ascii="宋体"/>
                <w:w w:val="100"/>
                <w:sz w:val="21"/>
              </w:rPr>
              <w:t> </w:t>
            </w:r>
          </w:p>
        </w:tc>
        <w:tc>
          <w:tcPr>
            <w:tcW w:w="12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38"/>
              <w:jc w:val="center"/>
              <w:rPr>
                <w:rFonts w:ascii="宋体" w:hAnsi="宋体" w:cs="宋体" w:eastAsia="宋体" w:hint="default"/>
                <w:sz w:val="21"/>
                <w:szCs w:val="21"/>
              </w:rPr>
            </w:pPr>
            <w:r>
              <w:rPr>
                <w:rFonts w:ascii="Arial"/>
                <w:sz w:val="21"/>
              </w:rPr>
              <w:t>2019-10-31</w:t>
            </w:r>
            <w:r>
              <w:rPr>
                <w:rFonts w:ascii="宋体"/>
                <w:w w:val="100"/>
                <w:sz w:val="21"/>
              </w:rPr>
              <w:t> </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自有闲</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置资金</w:t>
            </w:r>
            <w:r>
              <w:rPr>
                <w:rFonts w:ascii="宋体" w:hAnsi="宋体" w:cs="宋体" w:eastAsia="宋体" w:hint="default"/>
                <w:sz w:val="21"/>
                <w:szCs w:val="21"/>
              </w:rPr>
              <w:t> </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z w:val="21"/>
                <w:szCs w:val="21"/>
              </w:rPr>
              <w:t> </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约定</w:t>
            </w:r>
            <w:r>
              <w:rPr>
                <w:rFonts w:ascii="宋体" w:hAnsi="宋体" w:cs="宋体" w:eastAsia="宋体" w:hint="default"/>
                <w:sz w:val="21"/>
                <w:szCs w:val="21"/>
              </w:rPr>
              <w:t> </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6"/>
              <w:jc w:val="right"/>
              <w:rPr>
                <w:rFonts w:ascii="Arial" w:hAnsi="Arial" w:cs="Arial" w:eastAsia="Arial" w:hint="default"/>
                <w:sz w:val="21"/>
                <w:szCs w:val="21"/>
              </w:rPr>
            </w:pPr>
            <w:r>
              <w:rPr>
                <w:rFonts w:ascii="Arial"/>
                <w:spacing w:val="-1"/>
                <w:sz w:val="21"/>
              </w:rPr>
              <w:t>3.95%</w:t>
            </w:r>
          </w:p>
        </w:tc>
        <w:tc>
          <w:tcPr>
            <w:tcW w:w="708" w:type="dxa"/>
            <w:tcBorders>
              <w:top w:val="single" w:sz="4" w:space="0" w:color="009EEA"/>
              <w:left w:val="single" w:sz="4" w:space="0" w:color="009EEA"/>
              <w:bottom w:val="single" w:sz="4" w:space="0" w:color="009EEA"/>
              <w:right w:val="single" w:sz="4" w:space="0" w:color="009EEA"/>
            </w:tcBorders>
          </w:tcPr>
          <w:p>
            <w:pPr/>
          </w:p>
        </w:tc>
        <w:tc>
          <w:tcPr>
            <w:tcW w:w="8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9"/>
              <w:jc w:val="right"/>
              <w:rPr>
                <w:rFonts w:ascii="Arial" w:hAnsi="Arial" w:cs="Arial" w:eastAsia="Arial" w:hint="default"/>
                <w:sz w:val="21"/>
                <w:szCs w:val="21"/>
              </w:rPr>
            </w:pPr>
            <w:r>
              <w:rPr>
                <w:rFonts w:ascii="Arial"/>
                <w:sz w:val="21"/>
              </w:rPr>
              <w:t>268.55</w:t>
            </w: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60" w:lineRule="exact" w:before="8"/>
              <w:ind w:left="21" w:right="103"/>
              <w:jc w:val="left"/>
              <w:rPr>
                <w:rFonts w:ascii="宋体" w:hAnsi="宋体" w:cs="宋体" w:eastAsia="宋体" w:hint="default"/>
                <w:sz w:val="20"/>
                <w:szCs w:val="20"/>
              </w:rPr>
            </w:pPr>
            <w:r>
              <w:rPr>
                <w:rFonts w:ascii="宋体" w:hAnsi="宋体" w:cs="宋体" w:eastAsia="宋体" w:hint="default"/>
                <w:sz w:val="20"/>
                <w:szCs w:val="20"/>
              </w:rPr>
              <w:t>本息收回与</w:t>
            </w:r>
            <w:r>
              <w:rPr>
                <w:rFonts w:ascii="宋体" w:hAnsi="宋体" w:cs="宋体" w:eastAsia="宋体" w:hint="default"/>
                <w:w w:val="99"/>
                <w:sz w:val="20"/>
                <w:szCs w:val="20"/>
              </w:rPr>
              <w:t> </w:t>
            </w:r>
            <w:r>
              <w:rPr>
                <w:rFonts w:ascii="宋体" w:hAnsi="宋体" w:cs="宋体" w:eastAsia="宋体" w:hint="default"/>
                <w:sz w:val="20"/>
                <w:szCs w:val="20"/>
              </w:rPr>
              <w:t>预期相符</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2273"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上海浦东发展银行股份</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有限公司哈尔滨分行</w:t>
            </w:r>
            <w:r>
              <w:rPr>
                <w:rFonts w:ascii="宋体" w:hAnsi="宋体" w:cs="宋体" w:eastAsia="宋体" w:hint="default"/>
                <w:sz w:val="21"/>
                <w:szCs w:val="21"/>
              </w:rPr>
              <w:t> </w:t>
            </w:r>
          </w:p>
        </w:tc>
        <w:tc>
          <w:tcPr>
            <w:tcW w:w="142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结构性存款</w:t>
            </w:r>
            <w:r>
              <w:rPr>
                <w:rFonts w:ascii="宋体" w:hAnsi="宋体" w:cs="宋体" w:eastAsia="宋体" w:hint="default"/>
                <w:sz w:val="21"/>
                <w:szCs w:val="21"/>
              </w:rPr>
              <w:t> </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20"/>
              <w:jc w:val="right"/>
              <w:rPr>
                <w:rFonts w:ascii="Arial" w:hAnsi="Arial" w:cs="Arial" w:eastAsia="Arial" w:hint="default"/>
                <w:sz w:val="21"/>
                <w:szCs w:val="21"/>
              </w:rPr>
            </w:pPr>
            <w:r>
              <w:rPr>
                <w:rFonts w:ascii="Arial"/>
                <w:spacing w:val="-1"/>
                <w:sz w:val="21"/>
              </w:rPr>
              <w:t>40,000</w:t>
            </w:r>
          </w:p>
        </w:tc>
        <w:tc>
          <w:tcPr>
            <w:tcW w:w="12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41"/>
              <w:jc w:val="center"/>
              <w:rPr>
                <w:rFonts w:ascii="宋体" w:hAnsi="宋体" w:cs="宋体" w:eastAsia="宋体" w:hint="default"/>
                <w:sz w:val="21"/>
                <w:szCs w:val="21"/>
              </w:rPr>
            </w:pPr>
            <w:r>
              <w:rPr>
                <w:rFonts w:ascii="Arial"/>
                <w:sz w:val="21"/>
              </w:rPr>
              <w:t>2019-08-09</w:t>
            </w:r>
            <w:r>
              <w:rPr>
                <w:rFonts w:ascii="宋体"/>
                <w:w w:val="100"/>
                <w:sz w:val="21"/>
              </w:rPr>
              <w:t> </w:t>
            </w:r>
          </w:p>
        </w:tc>
        <w:tc>
          <w:tcPr>
            <w:tcW w:w="12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38"/>
              <w:jc w:val="center"/>
              <w:rPr>
                <w:rFonts w:ascii="宋体" w:hAnsi="宋体" w:cs="宋体" w:eastAsia="宋体" w:hint="default"/>
                <w:sz w:val="21"/>
                <w:szCs w:val="21"/>
              </w:rPr>
            </w:pPr>
            <w:r>
              <w:rPr>
                <w:rFonts w:ascii="Arial"/>
                <w:sz w:val="21"/>
              </w:rPr>
              <w:t>2019-11-11</w:t>
            </w:r>
            <w:r>
              <w:rPr>
                <w:rFonts w:ascii="宋体"/>
                <w:w w:val="100"/>
                <w:sz w:val="21"/>
              </w:rPr>
              <w:t> </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自有闲</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置资金</w:t>
            </w:r>
            <w:r>
              <w:rPr>
                <w:rFonts w:ascii="宋体" w:hAnsi="宋体" w:cs="宋体" w:eastAsia="宋体" w:hint="default"/>
                <w:sz w:val="21"/>
                <w:szCs w:val="21"/>
              </w:rPr>
              <w:t> </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z w:val="21"/>
                <w:szCs w:val="21"/>
              </w:rPr>
              <w:t> </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约定</w:t>
            </w:r>
            <w:r>
              <w:rPr>
                <w:rFonts w:ascii="宋体" w:hAnsi="宋体" w:cs="宋体" w:eastAsia="宋体" w:hint="default"/>
                <w:sz w:val="21"/>
                <w:szCs w:val="21"/>
              </w:rPr>
              <w:t> </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6"/>
              <w:jc w:val="right"/>
              <w:rPr>
                <w:rFonts w:ascii="Arial" w:hAnsi="Arial" w:cs="Arial" w:eastAsia="Arial" w:hint="default"/>
                <w:sz w:val="21"/>
                <w:szCs w:val="21"/>
              </w:rPr>
            </w:pPr>
            <w:r>
              <w:rPr>
                <w:rFonts w:ascii="Arial"/>
                <w:spacing w:val="-1"/>
                <w:sz w:val="21"/>
              </w:rPr>
              <w:t>3.95%</w:t>
            </w:r>
          </w:p>
        </w:tc>
        <w:tc>
          <w:tcPr>
            <w:tcW w:w="708" w:type="dxa"/>
            <w:tcBorders>
              <w:top w:val="single" w:sz="4" w:space="0" w:color="009EEA"/>
              <w:left w:val="single" w:sz="4" w:space="0" w:color="009EEA"/>
              <w:bottom w:val="single" w:sz="4" w:space="0" w:color="009EEA"/>
              <w:right w:val="single" w:sz="4" w:space="0" w:color="009EEA"/>
            </w:tcBorders>
          </w:tcPr>
          <w:p>
            <w:pPr/>
          </w:p>
        </w:tc>
        <w:tc>
          <w:tcPr>
            <w:tcW w:w="8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9"/>
              <w:jc w:val="right"/>
              <w:rPr>
                <w:rFonts w:ascii="Arial" w:hAnsi="Arial" w:cs="Arial" w:eastAsia="Arial" w:hint="default"/>
                <w:sz w:val="21"/>
                <w:szCs w:val="21"/>
              </w:rPr>
            </w:pPr>
            <w:r>
              <w:rPr>
                <w:rFonts w:ascii="Arial"/>
                <w:sz w:val="21"/>
              </w:rPr>
              <w:t>403.78</w:t>
            </w: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60" w:lineRule="exact" w:before="8"/>
              <w:ind w:left="21" w:right="103"/>
              <w:jc w:val="left"/>
              <w:rPr>
                <w:rFonts w:ascii="宋体" w:hAnsi="宋体" w:cs="宋体" w:eastAsia="宋体" w:hint="default"/>
                <w:sz w:val="20"/>
                <w:szCs w:val="20"/>
              </w:rPr>
            </w:pPr>
            <w:r>
              <w:rPr>
                <w:rFonts w:ascii="宋体" w:hAnsi="宋体" w:cs="宋体" w:eastAsia="宋体" w:hint="default"/>
                <w:sz w:val="20"/>
                <w:szCs w:val="20"/>
              </w:rPr>
              <w:t>本息收回与</w:t>
            </w:r>
            <w:r>
              <w:rPr>
                <w:rFonts w:ascii="宋体" w:hAnsi="宋体" w:cs="宋体" w:eastAsia="宋体" w:hint="default"/>
                <w:w w:val="99"/>
                <w:sz w:val="20"/>
                <w:szCs w:val="20"/>
              </w:rPr>
              <w:t> </w:t>
            </w:r>
            <w:r>
              <w:rPr>
                <w:rFonts w:ascii="宋体" w:hAnsi="宋体" w:cs="宋体" w:eastAsia="宋体" w:hint="default"/>
                <w:sz w:val="20"/>
                <w:szCs w:val="20"/>
              </w:rPr>
              <w:t>预期相符</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2273"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华夏银行股份有限公司</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哈尔滨分行</w:t>
            </w:r>
            <w:r>
              <w:rPr>
                <w:rFonts w:ascii="宋体" w:hAnsi="宋体" w:cs="宋体" w:eastAsia="宋体" w:hint="default"/>
                <w:sz w:val="21"/>
                <w:szCs w:val="21"/>
              </w:rPr>
              <w:t> </w:t>
            </w:r>
          </w:p>
        </w:tc>
        <w:tc>
          <w:tcPr>
            <w:tcW w:w="142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结构性存款</w:t>
            </w:r>
            <w:r>
              <w:rPr>
                <w:rFonts w:ascii="宋体" w:hAnsi="宋体" w:cs="宋体" w:eastAsia="宋体" w:hint="default"/>
                <w:sz w:val="21"/>
                <w:szCs w:val="21"/>
              </w:rPr>
              <w:t> </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20"/>
              <w:jc w:val="right"/>
              <w:rPr>
                <w:rFonts w:ascii="Arial" w:hAnsi="Arial" w:cs="Arial" w:eastAsia="Arial" w:hint="default"/>
                <w:sz w:val="21"/>
                <w:szCs w:val="21"/>
              </w:rPr>
            </w:pPr>
            <w:r>
              <w:rPr>
                <w:rFonts w:ascii="Arial"/>
                <w:spacing w:val="-1"/>
                <w:sz w:val="21"/>
              </w:rPr>
              <w:t>40,000</w:t>
            </w:r>
          </w:p>
        </w:tc>
        <w:tc>
          <w:tcPr>
            <w:tcW w:w="12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41"/>
              <w:jc w:val="center"/>
              <w:rPr>
                <w:rFonts w:ascii="宋体" w:hAnsi="宋体" w:cs="宋体" w:eastAsia="宋体" w:hint="default"/>
                <w:sz w:val="21"/>
                <w:szCs w:val="21"/>
              </w:rPr>
            </w:pPr>
            <w:r>
              <w:rPr>
                <w:rFonts w:ascii="Arial"/>
                <w:sz w:val="21"/>
              </w:rPr>
              <w:t>2019-08-30</w:t>
            </w:r>
            <w:r>
              <w:rPr>
                <w:rFonts w:ascii="宋体"/>
                <w:w w:val="100"/>
                <w:sz w:val="21"/>
              </w:rPr>
              <w:t> </w:t>
            </w:r>
          </w:p>
        </w:tc>
        <w:tc>
          <w:tcPr>
            <w:tcW w:w="12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38"/>
              <w:jc w:val="center"/>
              <w:rPr>
                <w:rFonts w:ascii="宋体" w:hAnsi="宋体" w:cs="宋体" w:eastAsia="宋体" w:hint="default"/>
                <w:sz w:val="21"/>
                <w:szCs w:val="21"/>
              </w:rPr>
            </w:pPr>
            <w:r>
              <w:rPr>
                <w:rFonts w:ascii="Arial"/>
                <w:sz w:val="21"/>
              </w:rPr>
              <w:t>2019-12-08</w:t>
            </w:r>
            <w:r>
              <w:rPr>
                <w:rFonts w:ascii="宋体"/>
                <w:w w:val="100"/>
                <w:sz w:val="21"/>
              </w:rPr>
              <w:t> </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自有闲</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置资金</w:t>
            </w:r>
            <w:r>
              <w:rPr>
                <w:rFonts w:ascii="宋体" w:hAnsi="宋体" w:cs="宋体" w:eastAsia="宋体" w:hint="default"/>
                <w:sz w:val="21"/>
                <w:szCs w:val="21"/>
              </w:rPr>
              <w:t> </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z w:val="21"/>
                <w:szCs w:val="21"/>
              </w:rPr>
              <w:t> </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约定</w:t>
            </w:r>
            <w:r>
              <w:rPr>
                <w:rFonts w:ascii="宋体" w:hAnsi="宋体" w:cs="宋体" w:eastAsia="宋体" w:hint="default"/>
                <w:sz w:val="21"/>
                <w:szCs w:val="21"/>
              </w:rPr>
              <w:t> </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16"/>
              <w:jc w:val="right"/>
              <w:rPr>
                <w:rFonts w:ascii="Arial" w:hAnsi="Arial" w:cs="Arial" w:eastAsia="Arial" w:hint="default"/>
                <w:sz w:val="21"/>
                <w:szCs w:val="21"/>
              </w:rPr>
            </w:pPr>
            <w:r>
              <w:rPr>
                <w:rFonts w:ascii="Arial"/>
                <w:spacing w:val="-1"/>
                <w:sz w:val="21"/>
              </w:rPr>
              <w:t>4.10%</w:t>
            </w:r>
          </w:p>
        </w:tc>
        <w:tc>
          <w:tcPr>
            <w:tcW w:w="708" w:type="dxa"/>
            <w:tcBorders>
              <w:top w:val="single" w:sz="4" w:space="0" w:color="009EEA"/>
              <w:left w:val="single" w:sz="4" w:space="0" w:color="009EEA"/>
              <w:bottom w:val="single" w:sz="4" w:space="0" w:color="009EEA"/>
              <w:right w:val="single" w:sz="4" w:space="0" w:color="009EEA"/>
            </w:tcBorders>
          </w:tcPr>
          <w:p>
            <w:pPr/>
          </w:p>
        </w:tc>
        <w:tc>
          <w:tcPr>
            <w:tcW w:w="8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19"/>
              <w:jc w:val="right"/>
              <w:rPr>
                <w:rFonts w:ascii="Arial" w:hAnsi="Arial" w:cs="Arial" w:eastAsia="Arial" w:hint="default"/>
                <w:sz w:val="21"/>
                <w:szCs w:val="21"/>
              </w:rPr>
            </w:pPr>
            <w:r>
              <w:rPr>
                <w:rFonts w:ascii="Arial"/>
                <w:sz w:val="21"/>
              </w:rPr>
              <w:t>440.33</w:t>
            </w: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60" w:lineRule="exact" w:before="8"/>
              <w:ind w:left="21" w:right="103"/>
              <w:jc w:val="left"/>
              <w:rPr>
                <w:rFonts w:ascii="宋体" w:hAnsi="宋体" w:cs="宋体" w:eastAsia="宋体" w:hint="default"/>
                <w:sz w:val="20"/>
                <w:szCs w:val="20"/>
              </w:rPr>
            </w:pPr>
            <w:r>
              <w:rPr>
                <w:rFonts w:ascii="宋体" w:hAnsi="宋体" w:cs="宋体" w:eastAsia="宋体" w:hint="default"/>
                <w:sz w:val="20"/>
                <w:szCs w:val="20"/>
              </w:rPr>
              <w:t>本息收回与</w:t>
            </w:r>
            <w:r>
              <w:rPr>
                <w:rFonts w:ascii="宋体" w:hAnsi="宋体" w:cs="宋体" w:eastAsia="宋体" w:hint="default"/>
                <w:w w:val="99"/>
                <w:sz w:val="20"/>
                <w:szCs w:val="20"/>
              </w:rPr>
              <w:t> </w:t>
            </w:r>
            <w:r>
              <w:rPr>
                <w:rFonts w:ascii="宋体" w:hAnsi="宋体" w:cs="宋体" w:eastAsia="宋体" w:hint="default"/>
                <w:sz w:val="20"/>
                <w:szCs w:val="20"/>
              </w:rPr>
              <w:t>预期相符</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5" w:hRule="exact"/>
        </w:trPr>
        <w:tc>
          <w:tcPr>
            <w:tcW w:w="2273" w:type="dxa"/>
            <w:tcBorders>
              <w:top w:val="single" w:sz="4" w:space="0" w:color="009EEA"/>
              <w:left w:val="nil" w:sz="6" w:space="0" w:color="auto"/>
              <w:bottom w:val="single" w:sz="4" w:space="0" w:color="009EEA"/>
              <w:right w:val="single" w:sz="4" w:space="0" w:color="009EEA"/>
            </w:tcBorders>
          </w:tcPr>
          <w:p>
            <w:pPr>
              <w:pStyle w:val="TableParagraph"/>
              <w:spacing w:line="242" w:lineRule="exact"/>
              <w:ind w:left="28" w:right="0"/>
              <w:jc w:val="left"/>
              <w:rPr>
                <w:rFonts w:ascii="宋体" w:hAnsi="宋体" w:cs="宋体" w:eastAsia="宋体" w:hint="default"/>
                <w:sz w:val="21"/>
                <w:szCs w:val="21"/>
              </w:rPr>
            </w:pPr>
            <w:r>
              <w:rPr>
                <w:rFonts w:ascii="宋体" w:hAnsi="宋体" w:cs="宋体" w:eastAsia="宋体" w:hint="default"/>
                <w:sz w:val="21"/>
                <w:szCs w:val="21"/>
              </w:rPr>
              <w:t>中国光大银行股份有限</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公司黑龙江分行</w:t>
            </w:r>
            <w:r>
              <w:rPr>
                <w:rFonts w:ascii="宋体" w:hAnsi="宋体" w:cs="宋体" w:eastAsia="宋体" w:hint="default"/>
                <w:sz w:val="21"/>
                <w:szCs w:val="21"/>
              </w:rPr>
              <w:t> </w:t>
            </w:r>
          </w:p>
        </w:tc>
        <w:tc>
          <w:tcPr>
            <w:tcW w:w="142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结构性存款</w:t>
            </w:r>
            <w:r>
              <w:rPr>
                <w:rFonts w:ascii="宋体" w:hAnsi="宋体" w:cs="宋体" w:eastAsia="宋体" w:hint="default"/>
                <w:sz w:val="21"/>
                <w:szCs w:val="21"/>
              </w:rPr>
              <w:t> </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9"/>
              <w:ind w:right="20"/>
              <w:jc w:val="right"/>
              <w:rPr>
                <w:rFonts w:ascii="Arial" w:hAnsi="Arial" w:cs="Arial" w:eastAsia="Arial" w:hint="default"/>
                <w:sz w:val="21"/>
                <w:szCs w:val="21"/>
              </w:rPr>
            </w:pPr>
            <w:r>
              <w:rPr>
                <w:rFonts w:ascii="Arial"/>
                <w:spacing w:val="-1"/>
                <w:sz w:val="21"/>
              </w:rPr>
              <w:t>25,000</w:t>
            </w:r>
          </w:p>
        </w:tc>
        <w:tc>
          <w:tcPr>
            <w:tcW w:w="12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9"/>
              <w:ind w:right="41"/>
              <w:jc w:val="center"/>
              <w:rPr>
                <w:rFonts w:ascii="宋体" w:hAnsi="宋体" w:cs="宋体" w:eastAsia="宋体" w:hint="default"/>
                <w:sz w:val="21"/>
                <w:szCs w:val="21"/>
              </w:rPr>
            </w:pPr>
            <w:r>
              <w:rPr>
                <w:rFonts w:ascii="Arial"/>
                <w:sz w:val="21"/>
              </w:rPr>
              <w:t>2019-09-16</w:t>
            </w:r>
            <w:r>
              <w:rPr>
                <w:rFonts w:ascii="宋体"/>
                <w:w w:val="100"/>
                <w:sz w:val="21"/>
              </w:rPr>
              <w:t> </w:t>
            </w:r>
          </w:p>
        </w:tc>
        <w:tc>
          <w:tcPr>
            <w:tcW w:w="12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9"/>
              <w:ind w:right="38"/>
              <w:jc w:val="center"/>
              <w:rPr>
                <w:rFonts w:ascii="宋体" w:hAnsi="宋体" w:cs="宋体" w:eastAsia="宋体" w:hint="default"/>
                <w:sz w:val="21"/>
                <w:szCs w:val="21"/>
              </w:rPr>
            </w:pPr>
            <w:r>
              <w:rPr>
                <w:rFonts w:ascii="Arial"/>
                <w:sz w:val="21"/>
              </w:rPr>
              <w:t>2019-12-16</w:t>
            </w:r>
            <w:r>
              <w:rPr>
                <w:rFonts w:ascii="宋体"/>
                <w:w w:val="100"/>
                <w:sz w:val="21"/>
              </w:rPr>
              <w:t> </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2" w:lineRule="exact"/>
              <w:ind w:left="21" w:right="0"/>
              <w:jc w:val="left"/>
              <w:rPr>
                <w:rFonts w:ascii="宋体" w:hAnsi="宋体" w:cs="宋体" w:eastAsia="宋体" w:hint="default"/>
                <w:sz w:val="21"/>
                <w:szCs w:val="21"/>
              </w:rPr>
            </w:pPr>
            <w:r>
              <w:rPr>
                <w:rFonts w:ascii="宋体" w:hAnsi="宋体" w:cs="宋体" w:eastAsia="宋体" w:hint="default"/>
                <w:sz w:val="21"/>
                <w:szCs w:val="21"/>
              </w:rPr>
              <w:t>自有闲</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置资金</w:t>
            </w:r>
            <w:r>
              <w:rPr>
                <w:rFonts w:ascii="宋体" w:hAnsi="宋体" w:cs="宋体" w:eastAsia="宋体" w:hint="default"/>
                <w:sz w:val="21"/>
                <w:szCs w:val="21"/>
              </w:rPr>
              <w:t> </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42"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z w:val="21"/>
                <w:szCs w:val="21"/>
              </w:rPr>
              <w:t> </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约定</w:t>
            </w:r>
            <w:r>
              <w:rPr>
                <w:rFonts w:ascii="宋体" w:hAnsi="宋体" w:cs="宋体" w:eastAsia="宋体" w:hint="default"/>
                <w:sz w:val="21"/>
                <w:szCs w:val="21"/>
              </w:rPr>
              <w:t> </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9"/>
              <w:ind w:right="16"/>
              <w:jc w:val="right"/>
              <w:rPr>
                <w:rFonts w:ascii="Arial" w:hAnsi="Arial" w:cs="Arial" w:eastAsia="Arial" w:hint="default"/>
                <w:sz w:val="21"/>
                <w:szCs w:val="21"/>
              </w:rPr>
            </w:pPr>
            <w:r>
              <w:rPr>
                <w:rFonts w:ascii="Arial"/>
                <w:spacing w:val="-1"/>
                <w:sz w:val="21"/>
              </w:rPr>
              <w:t>4.05%</w:t>
            </w:r>
          </w:p>
        </w:tc>
        <w:tc>
          <w:tcPr>
            <w:tcW w:w="708" w:type="dxa"/>
            <w:tcBorders>
              <w:top w:val="single" w:sz="4" w:space="0" w:color="009EEA"/>
              <w:left w:val="single" w:sz="4" w:space="0" w:color="009EEA"/>
              <w:bottom w:val="single" w:sz="4" w:space="0" w:color="009EEA"/>
              <w:right w:val="single" w:sz="4" w:space="0" w:color="009EEA"/>
            </w:tcBorders>
          </w:tcPr>
          <w:p>
            <w:pPr/>
          </w:p>
        </w:tc>
        <w:tc>
          <w:tcPr>
            <w:tcW w:w="8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9"/>
              <w:ind w:right="19"/>
              <w:jc w:val="right"/>
              <w:rPr>
                <w:rFonts w:ascii="Arial" w:hAnsi="Arial" w:cs="Arial" w:eastAsia="Arial" w:hint="default"/>
                <w:sz w:val="21"/>
                <w:szCs w:val="21"/>
              </w:rPr>
            </w:pPr>
            <w:r>
              <w:rPr>
                <w:rFonts w:ascii="Arial"/>
                <w:sz w:val="21"/>
              </w:rPr>
              <w:t>253.13</w:t>
            </w: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60" w:lineRule="exact" w:before="8"/>
              <w:ind w:left="21" w:right="103"/>
              <w:jc w:val="left"/>
              <w:rPr>
                <w:rFonts w:ascii="宋体" w:hAnsi="宋体" w:cs="宋体" w:eastAsia="宋体" w:hint="default"/>
                <w:sz w:val="20"/>
                <w:szCs w:val="20"/>
              </w:rPr>
            </w:pPr>
            <w:r>
              <w:rPr>
                <w:rFonts w:ascii="宋体" w:hAnsi="宋体" w:cs="宋体" w:eastAsia="宋体" w:hint="default"/>
                <w:sz w:val="20"/>
                <w:szCs w:val="20"/>
              </w:rPr>
              <w:t>本息收回与</w:t>
            </w:r>
            <w:r>
              <w:rPr>
                <w:rFonts w:ascii="宋体" w:hAnsi="宋体" w:cs="宋体" w:eastAsia="宋体" w:hint="default"/>
                <w:w w:val="99"/>
                <w:sz w:val="20"/>
                <w:szCs w:val="20"/>
              </w:rPr>
              <w:t> </w:t>
            </w:r>
            <w:r>
              <w:rPr>
                <w:rFonts w:ascii="宋体" w:hAnsi="宋体" w:cs="宋体" w:eastAsia="宋体" w:hint="default"/>
                <w:sz w:val="20"/>
                <w:szCs w:val="20"/>
              </w:rPr>
              <w:t>预期相符</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3"/>
              <w:ind w:right="6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3"/>
              <w:ind w:right="13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7" w:hRule="exact"/>
        </w:trPr>
        <w:tc>
          <w:tcPr>
            <w:tcW w:w="2273" w:type="dxa"/>
            <w:tcBorders>
              <w:top w:val="single" w:sz="4" w:space="0" w:color="009EEA"/>
              <w:left w:val="nil" w:sz="6" w:space="0" w:color="auto"/>
              <w:bottom w:val="single" w:sz="4" w:space="0" w:color="009EEA"/>
              <w:right w:val="single" w:sz="4" w:space="0" w:color="009EEA"/>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中国光大银行股份有限</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公司黑龙江分行</w:t>
            </w:r>
            <w:r>
              <w:rPr>
                <w:rFonts w:ascii="宋体" w:hAnsi="宋体" w:cs="宋体" w:eastAsia="宋体" w:hint="default"/>
                <w:sz w:val="21"/>
                <w:szCs w:val="21"/>
              </w:rPr>
              <w:t> </w:t>
            </w:r>
          </w:p>
        </w:tc>
        <w:tc>
          <w:tcPr>
            <w:tcW w:w="142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结构性存款</w:t>
            </w:r>
            <w:r>
              <w:rPr>
                <w:rFonts w:ascii="宋体" w:hAnsi="宋体" w:cs="宋体" w:eastAsia="宋体" w:hint="default"/>
                <w:sz w:val="21"/>
                <w:szCs w:val="21"/>
              </w:rPr>
              <w:t> </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20"/>
              <w:jc w:val="right"/>
              <w:rPr>
                <w:rFonts w:ascii="Arial" w:hAnsi="Arial" w:cs="Arial" w:eastAsia="Arial" w:hint="default"/>
                <w:sz w:val="21"/>
                <w:szCs w:val="21"/>
              </w:rPr>
            </w:pPr>
            <w:r>
              <w:rPr>
                <w:rFonts w:ascii="Arial"/>
                <w:spacing w:val="-1"/>
                <w:sz w:val="21"/>
              </w:rPr>
              <w:t>20,000</w:t>
            </w:r>
          </w:p>
        </w:tc>
        <w:tc>
          <w:tcPr>
            <w:tcW w:w="12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41"/>
              <w:jc w:val="center"/>
              <w:rPr>
                <w:rFonts w:ascii="宋体" w:hAnsi="宋体" w:cs="宋体" w:eastAsia="宋体" w:hint="default"/>
                <w:sz w:val="21"/>
                <w:szCs w:val="21"/>
              </w:rPr>
            </w:pPr>
            <w:r>
              <w:rPr>
                <w:rFonts w:ascii="Arial"/>
                <w:sz w:val="21"/>
              </w:rPr>
              <w:t>2019-09-18</w:t>
            </w:r>
            <w:r>
              <w:rPr>
                <w:rFonts w:ascii="宋体"/>
                <w:w w:val="100"/>
                <w:sz w:val="21"/>
              </w:rPr>
              <w:t> </w:t>
            </w:r>
          </w:p>
        </w:tc>
        <w:tc>
          <w:tcPr>
            <w:tcW w:w="12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38"/>
              <w:jc w:val="center"/>
              <w:rPr>
                <w:rFonts w:ascii="宋体" w:hAnsi="宋体" w:cs="宋体" w:eastAsia="宋体" w:hint="default"/>
                <w:sz w:val="21"/>
                <w:szCs w:val="21"/>
              </w:rPr>
            </w:pPr>
            <w:r>
              <w:rPr>
                <w:rFonts w:ascii="Arial"/>
                <w:sz w:val="21"/>
              </w:rPr>
              <w:t>2019-12-18</w:t>
            </w:r>
            <w:r>
              <w:rPr>
                <w:rFonts w:ascii="宋体"/>
                <w:w w:val="100"/>
                <w:sz w:val="21"/>
              </w:rPr>
              <w:t> </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自有闲</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置资金</w:t>
            </w:r>
            <w:r>
              <w:rPr>
                <w:rFonts w:ascii="宋体" w:hAnsi="宋体" w:cs="宋体" w:eastAsia="宋体" w:hint="default"/>
                <w:sz w:val="21"/>
                <w:szCs w:val="21"/>
              </w:rPr>
              <w:t> </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z w:val="21"/>
                <w:szCs w:val="21"/>
              </w:rPr>
              <w:t> </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约定</w:t>
            </w:r>
            <w:r>
              <w:rPr>
                <w:rFonts w:ascii="宋体" w:hAnsi="宋体" w:cs="宋体" w:eastAsia="宋体" w:hint="default"/>
                <w:sz w:val="21"/>
                <w:szCs w:val="21"/>
              </w:rPr>
              <w:t> </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16"/>
              <w:jc w:val="right"/>
              <w:rPr>
                <w:rFonts w:ascii="Arial" w:hAnsi="Arial" w:cs="Arial" w:eastAsia="Arial" w:hint="default"/>
                <w:sz w:val="21"/>
                <w:szCs w:val="21"/>
              </w:rPr>
            </w:pPr>
            <w:r>
              <w:rPr>
                <w:rFonts w:ascii="Arial"/>
                <w:spacing w:val="-1"/>
                <w:sz w:val="21"/>
              </w:rPr>
              <w:t>4.05%</w:t>
            </w:r>
          </w:p>
        </w:tc>
        <w:tc>
          <w:tcPr>
            <w:tcW w:w="708" w:type="dxa"/>
            <w:tcBorders>
              <w:top w:val="single" w:sz="4" w:space="0" w:color="009EEA"/>
              <w:left w:val="single" w:sz="4" w:space="0" w:color="009EEA"/>
              <w:bottom w:val="single" w:sz="4" w:space="0" w:color="009EEA"/>
              <w:right w:val="single" w:sz="4" w:space="0" w:color="009EEA"/>
            </w:tcBorders>
          </w:tcPr>
          <w:p>
            <w:pPr/>
          </w:p>
        </w:tc>
        <w:tc>
          <w:tcPr>
            <w:tcW w:w="8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19"/>
              <w:jc w:val="right"/>
              <w:rPr>
                <w:rFonts w:ascii="Arial" w:hAnsi="Arial" w:cs="Arial" w:eastAsia="Arial" w:hint="default"/>
                <w:sz w:val="21"/>
                <w:szCs w:val="21"/>
              </w:rPr>
            </w:pPr>
            <w:r>
              <w:rPr>
                <w:rFonts w:ascii="Arial"/>
                <w:sz w:val="21"/>
              </w:rPr>
              <w:t>202.50</w:t>
            </w: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60" w:lineRule="exact" w:before="8"/>
              <w:ind w:left="21" w:right="103"/>
              <w:jc w:val="left"/>
              <w:rPr>
                <w:rFonts w:ascii="宋体" w:hAnsi="宋体" w:cs="宋体" w:eastAsia="宋体" w:hint="default"/>
                <w:sz w:val="20"/>
                <w:szCs w:val="20"/>
              </w:rPr>
            </w:pPr>
            <w:r>
              <w:rPr>
                <w:rFonts w:ascii="宋体" w:hAnsi="宋体" w:cs="宋体" w:eastAsia="宋体" w:hint="default"/>
                <w:sz w:val="20"/>
                <w:szCs w:val="20"/>
              </w:rPr>
              <w:t>本息收回与</w:t>
            </w:r>
            <w:r>
              <w:rPr>
                <w:rFonts w:ascii="宋体" w:hAnsi="宋体" w:cs="宋体" w:eastAsia="宋体" w:hint="default"/>
                <w:w w:val="99"/>
                <w:sz w:val="20"/>
                <w:szCs w:val="20"/>
              </w:rPr>
              <w:t> </w:t>
            </w:r>
            <w:r>
              <w:rPr>
                <w:rFonts w:ascii="宋体" w:hAnsi="宋体" w:cs="宋体" w:eastAsia="宋体" w:hint="default"/>
                <w:sz w:val="20"/>
                <w:szCs w:val="20"/>
              </w:rPr>
              <w:t>预期相符</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62" w:hRule="exact"/>
        </w:trPr>
        <w:tc>
          <w:tcPr>
            <w:tcW w:w="2273"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华夏银行股份有限公司</w:t>
            </w:r>
          </w:p>
        </w:tc>
        <w:tc>
          <w:tcPr>
            <w:tcW w:w="1423"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结构性存款</w:t>
            </w:r>
            <w:r>
              <w:rPr>
                <w:rFonts w:ascii="宋体" w:hAnsi="宋体" w:cs="宋体" w:eastAsia="宋体" w:hint="default"/>
                <w:sz w:val="21"/>
                <w:szCs w:val="21"/>
              </w:rPr>
              <w:t> </w:t>
            </w:r>
          </w:p>
        </w:tc>
        <w:tc>
          <w:tcPr>
            <w:tcW w:w="99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25,000</w:t>
            </w:r>
          </w:p>
        </w:tc>
        <w:tc>
          <w:tcPr>
            <w:tcW w:w="128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41"/>
              <w:jc w:val="center"/>
              <w:rPr>
                <w:rFonts w:ascii="宋体" w:hAnsi="宋体" w:cs="宋体" w:eastAsia="宋体" w:hint="default"/>
                <w:sz w:val="21"/>
                <w:szCs w:val="21"/>
              </w:rPr>
            </w:pPr>
            <w:r>
              <w:rPr>
                <w:rFonts w:ascii="Arial"/>
                <w:sz w:val="21"/>
              </w:rPr>
              <w:t>2019-09-20</w:t>
            </w:r>
            <w:r>
              <w:rPr>
                <w:rFonts w:ascii="宋体"/>
                <w:w w:val="100"/>
                <w:sz w:val="21"/>
              </w:rPr>
              <w:t> </w:t>
            </w:r>
          </w:p>
        </w:tc>
        <w:tc>
          <w:tcPr>
            <w:tcW w:w="127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38"/>
              <w:jc w:val="center"/>
              <w:rPr>
                <w:rFonts w:ascii="宋体" w:hAnsi="宋体" w:cs="宋体" w:eastAsia="宋体" w:hint="default"/>
                <w:sz w:val="21"/>
                <w:szCs w:val="21"/>
              </w:rPr>
            </w:pPr>
            <w:r>
              <w:rPr>
                <w:rFonts w:ascii="Arial"/>
                <w:sz w:val="21"/>
              </w:rPr>
              <w:t>2019-12-20</w:t>
            </w:r>
            <w:r>
              <w:rPr>
                <w:rFonts w:ascii="宋体"/>
                <w:w w:val="100"/>
                <w:sz w:val="21"/>
              </w:rPr>
              <w:t> </w:t>
            </w:r>
          </w:p>
        </w:tc>
        <w:tc>
          <w:tcPr>
            <w:tcW w:w="85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2"/>
              <w:ind w:right="164"/>
              <w:jc w:val="center"/>
              <w:rPr>
                <w:rFonts w:ascii="宋体" w:hAnsi="宋体" w:cs="宋体" w:eastAsia="宋体" w:hint="default"/>
                <w:sz w:val="21"/>
                <w:szCs w:val="21"/>
              </w:rPr>
            </w:pPr>
            <w:r>
              <w:rPr>
                <w:rFonts w:ascii="宋体" w:hAnsi="宋体" w:cs="宋体" w:eastAsia="宋体" w:hint="default"/>
                <w:sz w:val="21"/>
                <w:szCs w:val="21"/>
              </w:rPr>
              <w:t>自有闲</w:t>
            </w:r>
          </w:p>
        </w:tc>
        <w:tc>
          <w:tcPr>
            <w:tcW w:w="566"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2"/>
              <w:ind w:left="21"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56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2"/>
              <w:ind w:right="86"/>
              <w:jc w:val="center"/>
              <w:rPr>
                <w:rFonts w:ascii="宋体" w:hAnsi="宋体" w:cs="宋体" w:eastAsia="宋体" w:hint="default"/>
                <w:sz w:val="21"/>
                <w:szCs w:val="21"/>
              </w:rPr>
            </w:pPr>
            <w:r>
              <w:rPr>
                <w:rFonts w:ascii="宋体" w:hAnsi="宋体" w:cs="宋体" w:eastAsia="宋体" w:hint="default"/>
                <w:sz w:val="21"/>
                <w:szCs w:val="21"/>
              </w:rPr>
              <w:t>协议</w:t>
            </w:r>
          </w:p>
        </w:tc>
        <w:tc>
          <w:tcPr>
            <w:tcW w:w="713"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16"/>
              <w:jc w:val="right"/>
              <w:rPr>
                <w:rFonts w:ascii="Arial" w:hAnsi="Arial" w:cs="Arial" w:eastAsia="Arial" w:hint="default"/>
                <w:sz w:val="21"/>
                <w:szCs w:val="21"/>
              </w:rPr>
            </w:pPr>
            <w:r>
              <w:rPr>
                <w:rFonts w:ascii="Arial"/>
                <w:spacing w:val="-1"/>
                <w:sz w:val="21"/>
              </w:rPr>
              <w:t>4.05%</w:t>
            </w:r>
          </w:p>
        </w:tc>
        <w:tc>
          <w:tcPr>
            <w:tcW w:w="708" w:type="dxa"/>
            <w:tcBorders>
              <w:top w:val="single" w:sz="4" w:space="0" w:color="009EEA"/>
              <w:left w:val="single" w:sz="4" w:space="0" w:color="009EEA"/>
              <w:bottom w:val="single" w:sz="8" w:space="0" w:color="009EEA"/>
              <w:right w:val="single" w:sz="4" w:space="0" w:color="009EEA"/>
            </w:tcBorders>
          </w:tcPr>
          <w:p>
            <w:pPr/>
          </w:p>
        </w:tc>
        <w:tc>
          <w:tcPr>
            <w:tcW w:w="860"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z w:val="21"/>
              </w:rPr>
              <w:t>252.43</w:t>
            </w:r>
          </w:p>
        </w:tc>
        <w:tc>
          <w:tcPr>
            <w:tcW w:w="113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1"/>
              <w:ind w:left="21" w:right="0"/>
              <w:jc w:val="left"/>
              <w:rPr>
                <w:rFonts w:ascii="宋体" w:hAnsi="宋体" w:cs="宋体" w:eastAsia="宋体" w:hint="default"/>
                <w:sz w:val="20"/>
                <w:szCs w:val="20"/>
              </w:rPr>
            </w:pPr>
            <w:r>
              <w:rPr>
                <w:rFonts w:ascii="宋体" w:hAnsi="宋体" w:cs="宋体" w:eastAsia="宋体" w:hint="default"/>
                <w:sz w:val="20"/>
                <w:szCs w:val="20"/>
              </w:rPr>
              <w:t>本息收回与</w:t>
            </w:r>
          </w:p>
        </w:tc>
        <w:tc>
          <w:tcPr>
            <w:tcW w:w="56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2"/>
              <w:ind w:right="6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2"/>
              <w:ind w:right="13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bl>
    <w:p>
      <w:pPr>
        <w:spacing w:after="0" w:line="240" w:lineRule="auto"/>
        <w:jc w:val="right"/>
        <w:rPr>
          <w:rFonts w:ascii="宋体" w:hAnsi="宋体" w:cs="宋体" w:eastAsia="宋体" w:hint="default"/>
          <w:sz w:val="21"/>
          <w:szCs w:val="21"/>
        </w:rPr>
        <w:sectPr>
          <w:pgSz w:w="16840" w:h="11910" w:orient="landscape"/>
          <w:pgMar w:header="826" w:footer="1358" w:top="1360" w:bottom="1540" w:left="1300" w:right="136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p>
      <w:pPr>
        <w:spacing w:line="20" w:lineRule="exact"/>
        <w:ind w:left="10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7.55pt;height:1pt;mso-position-horizontal-relative:char;mso-position-vertical-relative:line" coordorigin="0,0" coordsize="13951,20">
            <v:group style="position:absolute;left:10;top:10;width:2269;height:2" coordorigin="10,10" coordsize="2269,2">
              <v:shape style="position:absolute;left:10;top:10;width:2269;height:2" coordorigin="10,10" coordsize="2269,0" path="m10,10l2278,10e" filled="false" stroked="true" strokeweight=".96pt" strokecolor="#009eea">
                <v:path arrowok="t"/>
              </v:shape>
            </v:group>
            <v:group style="position:absolute;left:2278;top:10;width:58;height:2" coordorigin="2278,10" coordsize="58,2">
              <v:shape style="position:absolute;left:2278;top:10;width:58;height:2" coordorigin="2278,10" coordsize="58,0" path="m2278,10l2336,10e" filled="false" stroked="true" strokeweight=".96pt" strokecolor="#009eea">
                <v:path arrowok="t"/>
              </v:shape>
            </v:group>
            <v:group style="position:absolute;left:2336;top:10;width:1366;height:2" coordorigin="2336,10" coordsize="1366,2">
              <v:shape style="position:absolute;left:2336;top:10;width:1366;height:2" coordorigin="2336,10" coordsize="1366,0" path="m2336,10l3701,10e" filled="false" stroked="true" strokeweight=".96pt" strokecolor="#009eea">
                <v:path arrowok="t"/>
              </v:shape>
            </v:group>
            <v:group style="position:absolute;left:3701;top:10;width:58;height:2" coordorigin="3701,10" coordsize="58,2">
              <v:shape style="position:absolute;left:3701;top:10;width:58;height:2" coordorigin="3701,10" coordsize="58,0" path="m3701,10l3759,10e" filled="false" stroked="true" strokeweight=".96pt" strokecolor="#009eea">
                <v:path arrowok="t"/>
              </v:shape>
            </v:group>
            <v:group style="position:absolute;left:3759;top:10;width:937;height:2" coordorigin="3759,10" coordsize="937,2">
              <v:shape style="position:absolute;left:3759;top:10;width:937;height:2" coordorigin="3759,10" coordsize="937,0" path="m3759,10l4695,10e" filled="false" stroked="true" strokeweight=".96pt" strokecolor="#009eea">
                <v:path arrowok="t"/>
              </v:shape>
            </v:group>
            <v:group style="position:absolute;left:4695;top:10;width:58;height:2" coordorigin="4695,10" coordsize="58,2">
              <v:shape style="position:absolute;left:4695;top:10;width:58;height:2" coordorigin="4695,10" coordsize="58,0" path="m4695,10l4753,10e" filled="false" stroked="true" strokeweight=".96pt" strokecolor="#009eea">
                <v:path arrowok="t"/>
              </v:shape>
            </v:group>
            <v:group style="position:absolute;left:4753;top:10;width:1224;height:2" coordorigin="4753,10" coordsize="1224,2">
              <v:shape style="position:absolute;left:4753;top:10;width:1224;height:2" coordorigin="4753,10" coordsize="1224,0" path="m4753,10l5977,10e" filled="false" stroked="true" strokeweight=".96pt" strokecolor="#009eea">
                <v:path arrowok="t"/>
              </v:shape>
            </v:group>
            <v:group style="position:absolute;left:5977;top:10;width:58;height:2" coordorigin="5977,10" coordsize="58,2">
              <v:shape style="position:absolute;left:5977;top:10;width:58;height:2" coordorigin="5977,10" coordsize="58,0" path="m5977,10l6035,10e" filled="false" stroked="true" strokeweight=".96pt" strokecolor="#009eea">
                <v:path arrowok="t"/>
              </v:shape>
            </v:group>
            <v:group style="position:absolute;left:6035;top:10;width:1222;height:2" coordorigin="6035,10" coordsize="1222,2">
              <v:shape style="position:absolute;left:6035;top:10;width:1222;height:2" coordorigin="6035,10" coordsize="1222,0" path="m6035,10l7256,10e" filled="false" stroked="true" strokeweight=".96pt" strokecolor="#009eea">
                <v:path arrowok="t"/>
              </v:shape>
            </v:group>
            <v:group style="position:absolute;left:7256;top:10;width:58;height:2" coordorigin="7256,10" coordsize="58,2">
              <v:shape style="position:absolute;left:7256;top:10;width:58;height:2" coordorigin="7256,10" coordsize="58,0" path="m7256,10l7314,10e" filled="false" stroked="true" strokeweight=".96pt" strokecolor="#009eea">
                <v:path arrowok="t"/>
              </v:shape>
            </v:group>
            <v:group style="position:absolute;left:7314;top:10;width:795;height:2" coordorigin="7314,10" coordsize="795,2">
              <v:shape style="position:absolute;left:7314;top:10;width:795;height:2" coordorigin="7314,10" coordsize="795,0" path="m7314,10l8109,10e" filled="false" stroked="true" strokeweight=".96pt" strokecolor="#009eea">
                <v:path arrowok="t"/>
              </v:shape>
            </v:group>
            <v:group style="position:absolute;left:8109;top:10;width:58;height:2" coordorigin="8109,10" coordsize="58,2">
              <v:shape style="position:absolute;left:8109;top:10;width:58;height:2" coordorigin="8109,10" coordsize="58,0" path="m8109,10l8166,10e" filled="false" stroked="true" strokeweight=".96pt" strokecolor="#009eea">
                <v:path arrowok="t"/>
              </v:shape>
            </v:group>
            <v:group style="position:absolute;left:8166;top:10;width:509;height:2" coordorigin="8166,10" coordsize="509,2">
              <v:shape style="position:absolute;left:8166;top:10;width:509;height:2" coordorigin="8166,10" coordsize="509,0" path="m8166,10l8675,10e" filled="false" stroked="true" strokeweight=".96pt" strokecolor="#009eea">
                <v:path arrowok="t"/>
              </v:shape>
            </v:group>
            <v:group style="position:absolute;left:8675;top:10;width:58;height:2" coordorigin="8675,10" coordsize="58,2">
              <v:shape style="position:absolute;left:8675;top:10;width:58;height:2" coordorigin="8675,10" coordsize="58,0" path="m8675,10l8733,10e" filled="false" stroked="true" strokeweight=".96pt" strokecolor="#009eea">
                <v:path arrowok="t"/>
              </v:shape>
            </v:group>
            <v:group style="position:absolute;left:8733;top:10;width:512;height:2" coordorigin="8733,10" coordsize="512,2">
              <v:shape style="position:absolute;left:8733;top:10;width:512;height:2" coordorigin="8733,10" coordsize="512,0" path="m8733,10l9244,10e" filled="false" stroked="true" strokeweight=".96pt" strokecolor="#009eea">
                <v:path arrowok="t"/>
              </v:shape>
            </v:group>
            <v:group style="position:absolute;left:9244;top:10;width:58;height:2" coordorigin="9244,10" coordsize="58,2">
              <v:shape style="position:absolute;left:9244;top:10;width:58;height:2" coordorigin="9244,10" coordsize="58,0" path="m9244,10l9301,10e" filled="false" stroked="true" strokeweight=".96pt" strokecolor="#009eea">
                <v:path arrowok="t"/>
              </v:shape>
            </v:group>
            <v:group style="position:absolute;left:9301;top:10;width:656;height:2" coordorigin="9301,10" coordsize="656,2">
              <v:shape style="position:absolute;left:9301;top:10;width:656;height:2" coordorigin="9301,10" coordsize="656,0" path="m9301,10l9957,10e" filled="false" stroked="true" strokeweight=".96pt" strokecolor="#009eea">
                <v:path arrowok="t"/>
              </v:shape>
            </v:group>
            <v:group style="position:absolute;left:9957;top:10;width:58;height:2" coordorigin="9957,10" coordsize="58,2">
              <v:shape style="position:absolute;left:9957;top:10;width:58;height:2" coordorigin="9957,10" coordsize="58,0" path="m9957,10l10014,10e" filled="false" stroked="true" strokeweight=".96pt" strokecolor="#009eea">
                <v:path arrowok="t"/>
              </v:shape>
            </v:group>
            <v:group style="position:absolute;left:10014;top:10;width:651;height:2" coordorigin="10014,10" coordsize="651,2">
              <v:shape style="position:absolute;left:10014;top:10;width:651;height:2" coordorigin="10014,10" coordsize="651,0" path="m10014,10l10665,10e" filled="false" stroked="true" strokeweight=".96pt" strokecolor="#009eea">
                <v:path arrowok="t"/>
              </v:shape>
            </v:group>
            <v:group style="position:absolute;left:10665;top:10;width:58;height:2" coordorigin="10665,10" coordsize="58,2">
              <v:shape style="position:absolute;left:10665;top:10;width:58;height:2" coordorigin="10665,10" coordsize="58,0" path="m10665,10l10722,10e" filled="false" stroked="true" strokeweight=".96pt" strokecolor="#009eea">
                <v:path arrowok="t"/>
              </v:shape>
            </v:group>
            <v:group style="position:absolute;left:10722;top:10;width:803;height:2" coordorigin="10722,10" coordsize="803,2">
              <v:shape style="position:absolute;left:10722;top:10;width:803;height:2" coordorigin="10722,10" coordsize="803,0" path="m10722,10l11524,10e" filled="false" stroked="true" strokeweight=".96pt" strokecolor="#009eea">
                <v:path arrowok="t"/>
              </v:shape>
            </v:group>
            <v:group style="position:absolute;left:11524;top:10;width:58;height:2" coordorigin="11524,10" coordsize="58,2">
              <v:shape style="position:absolute;left:11524;top:10;width:58;height:2" coordorigin="11524,10" coordsize="58,0" path="m11524,10l11582,10e" filled="false" stroked="true" strokeweight=".96pt" strokecolor="#009eea">
                <v:path arrowok="t"/>
              </v:shape>
            </v:group>
            <v:group style="position:absolute;left:11582;top:10;width:1078;height:2" coordorigin="11582,10" coordsize="1078,2">
              <v:shape style="position:absolute;left:11582;top:10;width:1078;height:2" coordorigin="11582,10" coordsize="1078,0" path="m11582,10l12660,10e" filled="false" stroked="true" strokeweight=".96pt" strokecolor="#009eea">
                <v:path arrowok="t"/>
              </v:shape>
            </v:group>
            <v:group style="position:absolute;left:12660;top:10;width:58;height:2" coordorigin="12660,10" coordsize="58,2">
              <v:shape style="position:absolute;left:12660;top:10;width:58;height:2" coordorigin="12660,10" coordsize="58,0" path="m12660,10l12717,10e" filled="false" stroked="true" strokeweight=".96pt" strokecolor="#009eea">
                <v:path arrowok="t"/>
              </v:shape>
            </v:group>
            <v:group style="position:absolute;left:12717;top:10;width:512;height:2" coordorigin="12717,10" coordsize="512,2">
              <v:shape style="position:absolute;left:12717;top:10;width:512;height:2" coordorigin="12717,10" coordsize="512,0" path="m12717,10l13228,10e" filled="false" stroked="true" strokeweight=".96pt" strokecolor="#009eea">
                <v:path arrowok="t"/>
              </v:shape>
            </v:group>
            <v:group style="position:absolute;left:13228;top:10;width:58;height:2" coordorigin="13228,10" coordsize="58,2">
              <v:shape style="position:absolute;left:13228;top:10;width:58;height:2" coordorigin="13228,10" coordsize="58,0" path="m13228,10l13286,10e" filled="false" stroked="true" strokeweight=".96pt" strokecolor="#009eea">
                <v:path arrowok="t"/>
              </v:shape>
            </v:group>
            <v:group style="position:absolute;left:13286;top:10;width:656;height:2" coordorigin="13286,10" coordsize="656,2">
              <v:shape style="position:absolute;left:13286;top:10;width:656;height:2" coordorigin="13286,10" coordsize="656,0" path="m13286,10l13941,10e" filled="false" stroked="true" strokeweight=".96pt" strokecolor="#009eea">
                <v:path arrowok="t"/>
              </v:shape>
            </v:group>
          </v:group>
        </w:pict>
      </w:r>
      <w:r>
        <w:rPr>
          <w:rFonts w:ascii="Times New Roman" w:hAnsi="Times New Roman" w:cs="Times New Roman" w:eastAsia="Times New Roman"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2273"/>
        <w:gridCol w:w="1423"/>
        <w:gridCol w:w="994"/>
        <w:gridCol w:w="1282"/>
        <w:gridCol w:w="1279"/>
        <w:gridCol w:w="852"/>
        <w:gridCol w:w="566"/>
        <w:gridCol w:w="569"/>
        <w:gridCol w:w="713"/>
        <w:gridCol w:w="708"/>
        <w:gridCol w:w="860"/>
        <w:gridCol w:w="1135"/>
        <w:gridCol w:w="569"/>
        <w:gridCol w:w="708"/>
      </w:tblGrid>
      <w:tr>
        <w:trPr>
          <w:trHeight w:val="362" w:hRule="exact"/>
        </w:trPr>
        <w:tc>
          <w:tcPr>
            <w:tcW w:w="2273" w:type="dxa"/>
            <w:tcBorders>
              <w:top w:val="single" w:sz="8" w:space="0" w:color="009EEA"/>
              <w:left w:val="nil" w:sz="6" w:space="0" w:color="auto"/>
              <w:bottom w:val="single" w:sz="4" w:space="0" w:color="009EEA"/>
              <w:right w:val="single" w:sz="4" w:space="0" w:color="009EEA"/>
            </w:tcBorders>
          </w:tcPr>
          <w:p>
            <w:pPr>
              <w:pStyle w:val="TableParagraph"/>
              <w:spacing w:line="243" w:lineRule="exact"/>
              <w:ind w:left="28" w:right="0"/>
              <w:jc w:val="left"/>
              <w:rPr>
                <w:rFonts w:ascii="宋体" w:hAnsi="宋体" w:cs="宋体" w:eastAsia="宋体" w:hint="default"/>
                <w:sz w:val="21"/>
                <w:szCs w:val="21"/>
              </w:rPr>
            </w:pPr>
            <w:r>
              <w:rPr>
                <w:rFonts w:ascii="宋体" w:hAnsi="宋体" w:cs="宋体" w:eastAsia="宋体" w:hint="default"/>
                <w:sz w:val="21"/>
                <w:szCs w:val="21"/>
              </w:rPr>
              <w:t>哈尔滨分行</w:t>
            </w:r>
            <w:r>
              <w:rPr>
                <w:rFonts w:ascii="宋体" w:hAnsi="宋体" w:cs="宋体" w:eastAsia="宋体" w:hint="default"/>
                <w:sz w:val="21"/>
                <w:szCs w:val="21"/>
              </w:rPr>
              <w:t> </w:t>
            </w:r>
          </w:p>
        </w:tc>
        <w:tc>
          <w:tcPr>
            <w:tcW w:w="1423" w:type="dxa"/>
            <w:tcBorders>
              <w:top w:val="single" w:sz="8" w:space="0" w:color="009EEA"/>
              <w:left w:val="single" w:sz="4" w:space="0" w:color="009EEA"/>
              <w:bottom w:val="single" w:sz="4" w:space="0" w:color="009EEA"/>
              <w:right w:val="single" w:sz="4" w:space="0" w:color="009EEA"/>
            </w:tcBorders>
          </w:tcPr>
          <w:p>
            <w:pPr/>
          </w:p>
        </w:tc>
        <w:tc>
          <w:tcPr>
            <w:tcW w:w="994" w:type="dxa"/>
            <w:tcBorders>
              <w:top w:val="single" w:sz="8" w:space="0" w:color="009EEA"/>
              <w:left w:val="single" w:sz="4" w:space="0" w:color="009EEA"/>
              <w:bottom w:val="single" w:sz="4" w:space="0" w:color="009EEA"/>
              <w:right w:val="single" w:sz="4" w:space="0" w:color="009EEA"/>
            </w:tcBorders>
          </w:tcPr>
          <w:p>
            <w:pPr/>
          </w:p>
        </w:tc>
        <w:tc>
          <w:tcPr>
            <w:tcW w:w="1282" w:type="dxa"/>
            <w:tcBorders>
              <w:top w:val="single" w:sz="8" w:space="0" w:color="009EEA"/>
              <w:left w:val="single" w:sz="4" w:space="0" w:color="009EEA"/>
              <w:bottom w:val="single" w:sz="4" w:space="0" w:color="009EEA"/>
              <w:right w:val="single" w:sz="4" w:space="0" w:color="009EEA"/>
            </w:tcBorders>
          </w:tcPr>
          <w:p>
            <w:pPr/>
          </w:p>
        </w:tc>
        <w:tc>
          <w:tcPr>
            <w:tcW w:w="1279" w:type="dxa"/>
            <w:tcBorders>
              <w:top w:val="single" w:sz="8" w:space="0" w:color="009EEA"/>
              <w:left w:val="single" w:sz="4" w:space="0" w:color="009EEA"/>
              <w:bottom w:val="single" w:sz="4" w:space="0" w:color="009EEA"/>
              <w:right w:val="single" w:sz="4" w:space="0" w:color="009EEA"/>
            </w:tcBorders>
          </w:tcPr>
          <w:p>
            <w:pPr/>
          </w:p>
        </w:tc>
        <w:tc>
          <w:tcPr>
            <w:tcW w:w="852" w:type="dxa"/>
            <w:tcBorders>
              <w:top w:val="single" w:sz="8" w:space="0" w:color="009EEA"/>
              <w:left w:val="single" w:sz="4" w:space="0" w:color="009EEA"/>
              <w:bottom w:val="single" w:sz="4" w:space="0" w:color="009EEA"/>
              <w:right w:val="single" w:sz="4" w:space="0" w:color="009EEA"/>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置资金</w:t>
            </w:r>
            <w:r>
              <w:rPr>
                <w:rFonts w:ascii="宋体" w:hAnsi="宋体" w:cs="宋体" w:eastAsia="宋体" w:hint="default"/>
                <w:sz w:val="21"/>
                <w:szCs w:val="21"/>
              </w:rPr>
              <w:t> </w:t>
            </w:r>
          </w:p>
        </w:tc>
        <w:tc>
          <w:tcPr>
            <w:tcW w:w="566" w:type="dxa"/>
            <w:tcBorders>
              <w:top w:val="single" w:sz="8" w:space="0" w:color="009EEA"/>
              <w:left w:val="single" w:sz="4" w:space="0" w:color="009EEA"/>
              <w:bottom w:val="single" w:sz="4" w:space="0" w:color="009EEA"/>
              <w:right w:val="single" w:sz="4" w:space="0" w:color="009EEA"/>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z w:val="21"/>
                <w:szCs w:val="21"/>
              </w:rPr>
              <w:t> </w:t>
            </w:r>
          </w:p>
        </w:tc>
        <w:tc>
          <w:tcPr>
            <w:tcW w:w="569" w:type="dxa"/>
            <w:tcBorders>
              <w:top w:val="single" w:sz="8" w:space="0" w:color="009EEA"/>
              <w:left w:val="single" w:sz="4" w:space="0" w:color="009EEA"/>
              <w:bottom w:val="single" w:sz="4" w:space="0" w:color="009EEA"/>
              <w:right w:val="single" w:sz="4" w:space="0" w:color="009EEA"/>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约定</w:t>
            </w:r>
            <w:r>
              <w:rPr>
                <w:rFonts w:ascii="宋体" w:hAnsi="宋体" w:cs="宋体" w:eastAsia="宋体" w:hint="default"/>
                <w:sz w:val="21"/>
                <w:szCs w:val="21"/>
              </w:rPr>
              <w:t> </w:t>
            </w:r>
          </w:p>
        </w:tc>
        <w:tc>
          <w:tcPr>
            <w:tcW w:w="713" w:type="dxa"/>
            <w:tcBorders>
              <w:top w:val="single" w:sz="8" w:space="0" w:color="009EEA"/>
              <w:left w:val="single" w:sz="4" w:space="0" w:color="009EEA"/>
              <w:bottom w:val="single" w:sz="4" w:space="0" w:color="009EEA"/>
              <w:right w:val="single" w:sz="4" w:space="0" w:color="009EEA"/>
            </w:tcBorders>
          </w:tcPr>
          <w:p>
            <w:pPr/>
          </w:p>
        </w:tc>
        <w:tc>
          <w:tcPr>
            <w:tcW w:w="708" w:type="dxa"/>
            <w:tcBorders>
              <w:top w:val="single" w:sz="8" w:space="0" w:color="009EEA"/>
              <w:left w:val="single" w:sz="4" w:space="0" w:color="009EEA"/>
              <w:bottom w:val="single" w:sz="4" w:space="0" w:color="009EEA"/>
              <w:right w:val="single" w:sz="4" w:space="0" w:color="009EEA"/>
            </w:tcBorders>
          </w:tcPr>
          <w:p>
            <w:pPr/>
          </w:p>
        </w:tc>
        <w:tc>
          <w:tcPr>
            <w:tcW w:w="860" w:type="dxa"/>
            <w:tcBorders>
              <w:top w:val="single" w:sz="8" w:space="0" w:color="009EEA"/>
              <w:left w:val="single" w:sz="4" w:space="0" w:color="009EEA"/>
              <w:bottom w:val="single" w:sz="4" w:space="0" w:color="009EEA"/>
              <w:right w:val="single" w:sz="4" w:space="0" w:color="009EEA"/>
            </w:tcBorders>
          </w:tcPr>
          <w:p>
            <w:pPr/>
          </w:p>
        </w:tc>
        <w:tc>
          <w:tcPr>
            <w:tcW w:w="1135" w:type="dxa"/>
            <w:tcBorders>
              <w:top w:val="single" w:sz="8" w:space="0" w:color="009EEA"/>
              <w:left w:val="single" w:sz="4" w:space="0" w:color="009EEA"/>
              <w:bottom w:val="single" w:sz="4" w:space="0" w:color="009EEA"/>
              <w:right w:val="single" w:sz="4" w:space="0" w:color="009EEA"/>
            </w:tcBorders>
          </w:tcPr>
          <w:p>
            <w:pPr>
              <w:pStyle w:val="TableParagraph"/>
              <w:spacing w:line="232" w:lineRule="exact"/>
              <w:ind w:left="21" w:right="0"/>
              <w:jc w:val="left"/>
              <w:rPr>
                <w:rFonts w:ascii="宋体" w:hAnsi="宋体" w:cs="宋体" w:eastAsia="宋体" w:hint="default"/>
                <w:sz w:val="20"/>
                <w:szCs w:val="20"/>
              </w:rPr>
            </w:pPr>
            <w:r>
              <w:rPr>
                <w:rFonts w:ascii="宋体" w:hAnsi="宋体" w:cs="宋体" w:eastAsia="宋体" w:hint="default"/>
                <w:sz w:val="20"/>
                <w:szCs w:val="20"/>
              </w:rPr>
              <w:t>预期相符</w:t>
            </w:r>
          </w:p>
        </w:tc>
        <w:tc>
          <w:tcPr>
            <w:tcW w:w="569" w:type="dxa"/>
            <w:tcBorders>
              <w:top w:val="single" w:sz="8" w:space="0" w:color="009EEA"/>
              <w:left w:val="single" w:sz="4" w:space="0" w:color="009EEA"/>
              <w:bottom w:val="single" w:sz="4" w:space="0" w:color="009EEA"/>
              <w:right w:val="single" w:sz="4" w:space="0" w:color="009EEA"/>
            </w:tcBorders>
          </w:tcPr>
          <w:p>
            <w:pPr/>
          </w:p>
        </w:tc>
        <w:tc>
          <w:tcPr>
            <w:tcW w:w="708" w:type="dxa"/>
            <w:tcBorders>
              <w:top w:val="single" w:sz="8" w:space="0" w:color="009EEA"/>
              <w:left w:val="single" w:sz="4" w:space="0" w:color="009EEA"/>
              <w:bottom w:val="single" w:sz="4" w:space="0" w:color="009EEA"/>
              <w:right w:val="nil" w:sz="6" w:space="0" w:color="auto"/>
            </w:tcBorders>
          </w:tcPr>
          <w:p>
            <w:pPr/>
          </w:p>
        </w:tc>
      </w:tr>
      <w:tr>
        <w:trPr>
          <w:trHeight w:val="554" w:hRule="exact"/>
        </w:trPr>
        <w:tc>
          <w:tcPr>
            <w:tcW w:w="2273"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上海浦东发展银行股份</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有限公司哈尔滨分行</w:t>
            </w:r>
            <w:r>
              <w:rPr>
                <w:rFonts w:ascii="宋体" w:hAnsi="宋体" w:cs="宋体" w:eastAsia="宋体" w:hint="default"/>
                <w:sz w:val="21"/>
                <w:szCs w:val="21"/>
              </w:rPr>
              <w:t> </w:t>
            </w:r>
          </w:p>
        </w:tc>
        <w:tc>
          <w:tcPr>
            <w:tcW w:w="142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结构性存款</w:t>
            </w:r>
            <w:r>
              <w:rPr>
                <w:rFonts w:ascii="宋体" w:hAnsi="宋体" w:cs="宋体" w:eastAsia="宋体" w:hint="default"/>
                <w:sz w:val="21"/>
                <w:szCs w:val="21"/>
              </w:rPr>
              <w:t> </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20"/>
              <w:jc w:val="right"/>
              <w:rPr>
                <w:rFonts w:ascii="Arial" w:hAnsi="Arial" w:cs="Arial" w:eastAsia="Arial" w:hint="default"/>
                <w:sz w:val="21"/>
                <w:szCs w:val="21"/>
              </w:rPr>
            </w:pPr>
            <w:r>
              <w:rPr>
                <w:rFonts w:ascii="Arial"/>
                <w:spacing w:val="-1"/>
                <w:sz w:val="21"/>
              </w:rPr>
              <w:t>15,000</w:t>
            </w:r>
          </w:p>
        </w:tc>
        <w:tc>
          <w:tcPr>
            <w:tcW w:w="12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41"/>
              <w:jc w:val="center"/>
              <w:rPr>
                <w:rFonts w:ascii="宋体" w:hAnsi="宋体" w:cs="宋体" w:eastAsia="宋体" w:hint="default"/>
                <w:sz w:val="21"/>
                <w:szCs w:val="21"/>
              </w:rPr>
            </w:pPr>
            <w:r>
              <w:rPr>
                <w:rFonts w:ascii="Arial"/>
                <w:sz w:val="21"/>
              </w:rPr>
              <w:t>2019-09-20</w:t>
            </w:r>
            <w:r>
              <w:rPr>
                <w:rFonts w:ascii="宋体"/>
                <w:w w:val="100"/>
                <w:sz w:val="21"/>
              </w:rPr>
              <w:t> </w:t>
            </w:r>
          </w:p>
        </w:tc>
        <w:tc>
          <w:tcPr>
            <w:tcW w:w="12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38"/>
              <w:jc w:val="center"/>
              <w:rPr>
                <w:rFonts w:ascii="宋体" w:hAnsi="宋体" w:cs="宋体" w:eastAsia="宋体" w:hint="default"/>
                <w:sz w:val="21"/>
                <w:szCs w:val="21"/>
              </w:rPr>
            </w:pPr>
            <w:r>
              <w:rPr>
                <w:rFonts w:ascii="Arial"/>
                <w:sz w:val="21"/>
              </w:rPr>
              <w:t>2019-12-20</w:t>
            </w:r>
            <w:r>
              <w:rPr>
                <w:rFonts w:ascii="宋体"/>
                <w:w w:val="100"/>
                <w:sz w:val="21"/>
              </w:rPr>
              <w:t> </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自有闲</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置资金</w:t>
            </w:r>
            <w:r>
              <w:rPr>
                <w:rFonts w:ascii="宋体" w:hAnsi="宋体" w:cs="宋体" w:eastAsia="宋体" w:hint="default"/>
                <w:sz w:val="21"/>
                <w:szCs w:val="21"/>
              </w:rPr>
              <w:t> </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z w:val="21"/>
                <w:szCs w:val="21"/>
              </w:rPr>
              <w:t> </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约定</w:t>
            </w:r>
            <w:r>
              <w:rPr>
                <w:rFonts w:ascii="宋体" w:hAnsi="宋体" w:cs="宋体" w:eastAsia="宋体" w:hint="default"/>
                <w:sz w:val="21"/>
                <w:szCs w:val="21"/>
              </w:rPr>
              <w:t> </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6"/>
              <w:jc w:val="right"/>
              <w:rPr>
                <w:rFonts w:ascii="Arial" w:hAnsi="Arial" w:cs="Arial" w:eastAsia="Arial" w:hint="default"/>
                <w:sz w:val="21"/>
                <w:szCs w:val="21"/>
              </w:rPr>
            </w:pPr>
            <w:r>
              <w:rPr>
                <w:rFonts w:ascii="Arial"/>
                <w:spacing w:val="-1"/>
                <w:sz w:val="21"/>
              </w:rPr>
              <w:t>3.90%</w:t>
            </w:r>
          </w:p>
        </w:tc>
        <w:tc>
          <w:tcPr>
            <w:tcW w:w="708" w:type="dxa"/>
            <w:tcBorders>
              <w:top w:val="single" w:sz="4" w:space="0" w:color="009EEA"/>
              <w:left w:val="single" w:sz="4" w:space="0" w:color="009EEA"/>
              <w:bottom w:val="single" w:sz="4" w:space="0" w:color="009EEA"/>
              <w:right w:val="single" w:sz="4" w:space="0" w:color="009EEA"/>
            </w:tcBorders>
          </w:tcPr>
          <w:p>
            <w:pPr/>
          </w:p>
        </w:tc>
        <w:tc>
          <w:tcPr>
            <w:tcW w:w="8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left="183" w:right="0"/>
              <w:jc w:val="left"/>
              <w:rPr>
                <w:rFonts w:ascii="Arial" w:hAnsi="Arial" w:cs="Arial" w:eastAsia="Arial" w:hint="default"/>
                <w:sz w:val="21"/>
                <w:szCs w:val="21"/>
              </w:rPr>
            </w:pPr>
            <w:r>
              <w:rPr>
                <w:rFonts w:ascii="Arial"/>
                <w:sz w:val="21"/>
              </w:rPr>
              <w:t>146.25</w:t>
            </w: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62" w:lineRule="exact" w:before="4"/>
              <w:ind w:left="21" w:right="103"/>
              <w:jc w:val="left"/>
              <w:rPr>
                <w:rFonts w:ascii="宋体" w:hAnsi="宋体" w:cs="宋体" w:eastAsia="宋体" w:hint="default"/>
                <w:sz w:val="20"/>
                <w:szCs w:val="20"/>
              </w:rPr>
            </w:pPr>
            <w:r>
              <w:rPr>
                <w:rFonts w:ascii="宋体" w:hAnsi="宋体" w:cs="宋体" w:eastAsia="宋体" w:hint="default"/>
                <w:sz w:val="20"/>
                <w:szCs w:val="20"/>
              </w:rPr>
              <w:t>本息收回与</w:t>
            </w:r>
            <w:r>
              <w:rPr>
                <w:rFonts w:ascii="宋体" w:hAnsi="宋体" w:cs="宋体" w:eastAsia="宋体" w:hint="default"/>
                <w:w w:val="99"/>
                <w:sz w:val="20"/>
                <w:szCs w:val="20"/>
              </w:rPr>
              <w:t> </w:t>
            </w:r>
            <w:r>
              <w:rPr>
                <w:rFonts w:ascii="宋体" w:hAnsi="宋体" w:cs="宋体" w:eastAsia="宋体" w:hint="default"/>
                <w:sz w:val="20"/>
                <w:szCs w:val="20"/>
              </w:rPr>
              <w:t>预期相符</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2273"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中国光大银行股份有限</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公司黑龙江分行</w:t>
            </w:r>
            <w:r>
              <w:rPr>
                <w:rFonts w:ascii="宋体" w:hAnsi="宋体" w:cs="宋体" w:eastAsia="宋体" w:hint="default"/>
                <w:sz w:val="21"/>
                <w:szCs w:val="21"/>
              </w:rPr>
              <w:t> </w:t>
            </w:r>
          </w:p>
        </w:tc>
        <w:tc>
          <w:tcPr>
            <w:tcW w:w="142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结构性存款</w:t>
            </w:r>
            <w:r>
              <w:rPr>
                <w:rFonts w:ascii="宋体" w:hAnsi="宋体" w:cs="宋体" w:eastAsia="宋体" w:hint="default"/>
                <w:sz w:val="21"/>
                <w:szCs w:val="21"/>
              </w:rPr>
              <w:t> </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20"/>
              <w:jc w:val="right"/>
              <w:rPr>
                <w:rFonts w:ascii="Arial" w:hAnsi="Arial" w:cs="Arial" w:eastAsia="Arial" w:hint="default"/>
                <w:sz w:val="21"/>
                <w:szCs w:val="21"/>
              </w:rPr>
            </w:pPr>
            <w:r>
              <w:rPr>
                <w:rFonts w:ascii="Arial"/>
                <w:spacing w:val="-1"/>
                <w:sz w:val="21"/>
              </w:rPr>
              <w:t>15,000</w:t>
            </w:r>
          </w:p>
        </w:tc>
        <w:tc>
          <w:tcPr>
            <w:tcW w:w="12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41"/>
              <w:jc w:val="center"/>
              <w:rPr>
                <w:rFonts w:ascii="宋体" w:hAnsi="宋体" w:cs="宋体" w:eastAsia="宋体" w:hint="default"/>
                <w:sz w:val="21"/>
                <w:szCs w:val="21"/>
              </w:rPr>
            </w:pPr>
            <w:r>
              <w:rPr>
                <w:rFonts w:ascii="Arial"/>
                <w:sz w:val="21"/>
              </w:rPr>
              <w:t>2019-10-21</w:t>
            </w:r>
            <w:r>
              <w:rPr>
                <w:rFonts w:ascii="宋体"/>
                <w:w w:val="100"/>
                <w:sz w:val="21"/>
              </w:rPr>
              <w:t> </w:t>
            </w:r>
          </w:p>
        </w:tc>
        <w:tc>
          <w:tcPr>
            <w:tcW w:w="12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38"/>
              <w:jc w:val="center"/>
              <w:rPr>
                <w:rFonts w:ascii="宋体" w:hAnsi="宋体" w:cs="宋体" w:eastAsia="宋体" w:hint="default"/>
                <w:sz w:val="21"/>
                <w:szCs w:val="21"/>
              </w:rPr>
            </w:pPr>
            <w:r>
              <w:rPr>
                <w:rFonts w:ascii="Arial"/>
                <w:sz w:val="21"/>
              </w:rPr>
              <w:t>2020-01-21</w:t>
            </w:r>
            <w:r>
              <w:rPr>
                <w:rFonts w:ascii="宋体"/>
                <w:w w:val="100"/>
                <w:sz w:val="21"/>
              </w:rPr>
              <w:t> </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自有闲</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置资金</w:t>
            </w:r>
            <w:r>
              <w:rPr>
                <w:rFonts w:ascii="宋体" w:hAnsi="宋体" w:cs="宋体" w:eastAsia="宋体" w:hint="default"/>
                <w:sz w:val="21"/>
                <w:szCs w:val="21"/>
              </w:rPr>
              <w:t> </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z w:val="21"/>
                <w:szCs w:val="21"/>
              </w:rPr>
              <w:t> </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约定</w:t>
            </w:r>
            <w:r>
              <w:rPr>
                <w:rFonts w:ascii="宋体" w:hAnsi="宋体" w:cs="宋体" w:eastAsia="宋体" w:hint="default"/>
                <w:sz w:val="21"/>
                <w:szCs w:val="21"/>
              </w:rPr>
              <w:t> </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6"/>
              <w:jc w:val="right"/>
              <w:rPr>
                <w:rFonts w:ascii="Arial" w:hAnsi="Arial" w:cs="Arial" w:eastAsia="Arial" w:hint="default"/>
                <w:sz w:val="21"/>
                <w:szCs w:val="21"/>
              </w:rPr>
            </w:pPr>
            <w:r>
              <w:rPr>
                <w:rFonts w:ascii="Arial"/>
                <w:spacing w:val="-1"/>
                <w:sz w:val="21"/>
              </w:rPr>
              <w:t>4.05%</w:t>
            </w:r>
          </w:p>
        </w:tc>
        <w:tc>
          <w:tcPr>
            <w:tcW w:w="70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6"/>
              <w:jc w:val="right"/>
              <w:rPr>
                <w:rFonts w:ascii="Arial" w:hAnsi="Arial" w:cs="Arial" w:eastAsia="Arial" w:hint="default"/>
                <w:sz w:val="21"/>
                <w:szCs w:val="21"/>
              </w:rPr>
            </w:pPr>
            <w:r>
              <w:rPr>
                <w:rFonts w:ascii="Arial"/>
                <w:sz w:val="21"/>
              </w:rPr>
              <w:t>151.88</w:t>
            </w:r>
          </w:p>
        </w:tc>
        <w:tc>
          <w:tcPr>
            <w:tcW w:w="860" w:type="dxa"/>
            <w:tcBorders>
              <w:top w:val="single" w:sz="4" w:space="0" w:color="009EEA"/>
              <w:left w:val="single" w:sz="4" w:space="0" w:color="009EEA"/>
              <w:bottom w:val="single" w:sz="4" w:space="0" w:color="009EEA"/>
              <w:right w:val="single" w:sz="4" w:space="0" w:color="009EEA"/>
            </w:tcBorders>
          </w:tcPr>
          <w:p>
            <w:pP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60" w:lineRule="exact" w:before="8"/>
              <w:ind w:left="21" w:right="103"/>
              <w:jc w:val="left"/>
              <w:rPr>
                <w:rFonts w:ascii="宋体" w:hAnsi="宋体" w:cs="宋体" w:eastAsia="宋体" w:hint="default"/>
                <w:sz w:val="20"/>
                <w:szCs w:val="20"/>
              </w:rPr>
            </w:pPr>
            <w:r>
              <w:rPr>
                <w:rFonts w:ascii="宋体" w:hAnsi="宋体" w:cs="宋体" w:eastAsia="宋体" w:hint="default"/>
                <w:sz w:val="20"/>
                <w:szCs w:val="20"/>
              </w:rPr>
              <w:t>本息收回与</w:t>
            </w:r>
            <w:r>
              <w:rPr>
                <w:rFonts w:ascii="宋体" w:hAnsi="宋体" w:cs="宋体" w:eastAsia="宋体" w:hint="default"/>
                <w:w w:val="99"/>
                <w:sz w:val="20"/>
                <w:szCs w:val="20"/>
              </w:rPr>
              <w:t> </w:t>
            </w:r>
            <w:r>
              <w:rPr>
                <w:rFonts w:ascii="宋体" w:hAnsi="宋体" w:cs="宋体" w:eastAsia="宋体" w:hint="default"/>
                <w:sz w:val="20"/>
                <w:szCs w:val="20"/>
              </w:rPr>
              <w:t>预期相符</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2273"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华夏银行股份有限公司</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哈尔滨分行</w:t>
            </w:r>
            <w:r>
              <w:rPr>
                <w:rFonts w:ascii="宋体" w:hAnsi="宋体" w:cs="宋体" w:eastAsia="宋体" w:hint="default"/>
                <w:sz w:val="21"/>
                <w:szCs w:val="21"/>
              </w:rPr>
              <w:t> </w:t>
            </w:r>
          </w:p>
        </w:tc>
        <w:tc>
          <w:tcPr>
            <w:tcW w:w="142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结构性存款</w:t>
            </w:r>
            <w:r>
              <w:rPr>
                <w:rFonts w:ascii="宋体" w:hAnsi="宋体" w:cs="宋体" w:eastAsia="宋体" w:hint="default"/>
                <w:sz w:val="21"/>
                <w:szCs w:val="21"/>
              </w:rPr>
              <w:t> </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20"/>
              <w:jc w:val="right"/>
              <w:rPr>
                <w:rFonts w:ascii="Arial" w:hAnsi="Arial" w:cs="Arial" w:eastAsia="Arial" w:hint="default"/>
                <w:sz w:val="21"/>
                <w:szCs w:val="21"/>
              </w:rPr>
            </w:pPr>
            <w:r>
              <w:rPr>
                <w:rFonts w:ascii="Arial"/>
                <w:spacing w:val="-1"/>
                <w:sz w:val="21"/>
              </w:rPr>
              <w:t>10,000</w:t>
            </w:r>
          </w:p>
        </w:tc>
        <w:tc>
          <w:tcPr>
            <w:tcW w:w="12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41"/>
              <w:jc w:val="center"/>
              <w:rPr>
                <w:rFonts w:ascii="宋体" w:hAnsi="宋体" w:cs="宋体" w:eastAsia="宋体" w:hint="default"/>
                <w:sz w:val="21"/>
                <w:szCs w:val="21"/>
              </w:rPr>
            </w:pPr>
            <w:r>
              <w:rPr>
                <w:rFonts w:ascii="Arial"/>
                <w:sz w:val="21"/>
              </w:rPr>
              <w:t>2019-10-22</w:t>
            </w:r>
            <w:r>
              <w:rPr>
                <w:rFonts w:ascii="宋体"/>
                <w:w w:val="100"/>
                <w:sz w:val="21"/>
              </w:rPr>
              <w:t> </w:t>
            </w:r>
          </w:p>
        </w:tc>
        <w:tc>
          <w:tcPr>
            <w:tcW w:w="12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38"/>
              <w:jc w:val="center"/>
              <w:rPr>
                <w:rFonts w:ascii="宋体" w:hAnsi="宋体" w:cs="宋体" w:eastAsia="宋体" w:hint="default"/>
                <w:sz w:val="21"/>
                <w:szCs w:val="21"/>
              </w:rPr>
            </w:pPr>
            <w:r>
              <w:rPr>
                <w:rFonts w:ascii="Arial"/>
                <w:sz w:val="21"/>
              </w:rPr>
              <w:t>2020-01-22</w:t>
            </w:r>
            <w:r>
              <w:rPr>
                <w:rFonts w:ascii="宋体"/>
                <w:w w:val="100"/>
                <w:sz w:val="21"/>
              </w:rPr>
              <w:t> </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自有闲</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置资金</w:t>
            </w:r>
            <w:r>
              <w:rPr>
                <w:rFonts w:ascii="宋体" w:hAnsi="宋体" w:cs="宋体" w:eastAsia="宋体" w:hint="default"/>
                <w:sz w:val="21"/>
                <w:szCs w:val="21"/>
              </w:rPr>
              <w:t> </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z w:val="21"/>
                <w:szCs w:val="21"/>
              </w:rPr>
              <w:t> </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约定</w:t>
            </w:r>
            <w:r>
              <w:rPr>
                <w:rFonts w:ascii="宋体" w:hAnsi="宋体" w:cs="宋体" w:eastAsia="宋体" w:hint="default"/>
                <w:sz w:val="21"/>
                <w:szCs w:val="21"/>
              </w:rPr>
              <w:t> </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6"/>
              <w:jc w:val="right"/>
              <w:rPr>
                <w:rFonts w:ascii="Arial" w:hAnsi="Arial" w:cs="Arial" w:eastAsia="Arial" w:hint="default"/>
                <w:sz w:val="21"/>
                <w:szCs w:val="21"/>
              </w:rPr>
            </w:pPr>
            <w:r>
              <w:rPr>
                <w:rFonts w:ascii="Arial"/>
                <w:spacing w:val="-1"/>
                <w:sz w:val="21"/>
              </w:rPr>
              <w:t>4.05%</w:t>
            </w:r>
          </w:p>
        </w:tc>
        <w:tc>
          <w:tcPr>
            <w:tcW w:w="70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6"/>
              <w:jc w:val="right"/>
              <w:rPr>
                <w:rFonts w:ascii="Arial" w:hAnsi="Arial" w:cs="Arial" w:eastAsia="Arial" w:hint="default"/>
                <w:sz w:val="21"/>
                <w:szCs w:val="21"/>
              </w:rPr>
            </w:pPr>
            <w:r>
              <w:rPr>
                <w:rFonts w:ascii="Arial"/>
                <w:sz w:val="21"/>
              </w:rPr>
              <w:t>102.08</w:t>
            </w:r>
          </w:p>
        </w:tc>
        <w:tc>
          <w:tcPr>
            <w:tcW w:w="860" w:type="dxa"/>
            <w:tcBorders>
              <w:top w:val="single" w:sz="4" w:space="0" w:color="009EEA"/>
              <w:left w:val="single" w:sz="4" w:space="0" w:color="009EEA"/>
              <w:bottom w:val="single" w:sz="4" w:space="0" w:color="009EEA"/>
              <w:right w:val="single" w:sz="4" w:space="0" w:color="009EEA"/>
            </w:tcBorders>
          </w:tcPr>
          <w:p>
            <w:pP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60" w:lineRule="exact" w:before="8"/>
              <w:ind w:left="21" w:right="103"/>
              <w:jc w:val="left"/>
              <w:rPr>
                <w:rFonts w:ascii="宋体" w:hAnsi="宋体" w:cs="宋体" w:eastAsia="宋体" w:hint="default"/>
                <w:sz w:val="20"/>
                <w:szCs w:val="20"/>
              </w:rPr>
            </w:pPr>
            <w:r>
              <w:rPr>
                <w:rFonts w:ascii="宋体" w:hAnsi="宋体" w:cs="宋体" w:eastAsia="宋体" w:hint="default"/>
                <w:sz w:val="20"/>
                <w:szCs w:val="20"/>
              </w:rPr>
              <w:t>本息收回与</w:t>
            </w:r>
            <w:r>
              <w:rPr>
                <w:rFonts w:ascii="宋体" w:hAnsi="宋体" w:cs="宋体" w:eastAsia="宋体" w:hint="default"/>
                <w:w w:val="99"/>
                <w:sz w:val="20"/>
                <w:szCs w:val="20"/>
              </w:rPr>
              <w:t> </w:t>
            </w:r>
            <w:r>
              <w:rPr>
                <w:rFonts w:ascii="宋体" w:hAnsi="宋体" w:cs="宋体" w:eastAsia="宋体" w:hint="default"/>
                <w:sz w:val="20"/>
                <w:szCs w:val="20"/>
              </w:rPr>
              <w:t>预期相符</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5" w:hRule="exact"/>
        </w:trPr>
        <w:tc>
          <w:tcPr>
            <w:tcW w:w="2273" w:type="dxa"/>
            <w:tcBorders>
              <w:top w:val="single" w:sz="4" w:space="0" w:color="009EEA"/>
              <w:left w:val="nil" w:sz="6" w:space="0" w:color="auto"/>
              <w:bottom w:val="single" w:sz="4" w:space="0" w:color="009EEA"/>
              <w:right w:val="single" w:sz="4" w:space="0" w:color="009EEA"/>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上海浦东发展银行股份</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有限公司哈尔滨分行</w:t>
            </w:r>
            <w:r>
              <w:rPr>
                <w:rFonts w:ascii="宋体" w:hAnsi="宋体" w:cs="宋体" w:eastAsia="宋体" w:hint="default"/>
                <w:sz w:val="21"/>
                <w:szCs w:val="21"/>
              </w:rPr>
              <w:t> </w:t>
            </w:r>
          </w:p>
        </w:tc>
        <w:tc>
          <w:tcPr>
            <w:tcW w:w="142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结构性存款</w:t>
            </w:r>
            <w:r>
              <w:rPr>
                <w:rFonts w:ascii="宋体" w:hAnsi="宋体" w:cs="宋体" w:eastAsia="宋体" w:hint="default"/>
                <w:sz w:val="21"/>
                <w:szCs w:val="21"/>
              </w:rPr>
              <w:t> </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9"/>
              <w:ind w:right="20"/>
              <w:jc w:val="right"/>
              <w:rPr>
                <w:rFonts w:ascii="Arial" w:hAnsi="Arial" w:cs="Arial" w:eastAsia="Arial" w:hint="default"/>
                <w:sz w:val="21"/>
                <w:szCs w:val="21"/>
              </w:rPr>
            </w:pPr>
            <w:r>
              <w:rPr>
                <w:rFonts w:ascii="Arial"/>
                <w:spacing w:val="-1"/>
                <w:sz w:val="21"/>
              </w:rPr>
              <w:t>40,000</w:t>
            </w:r>
          </w:p>
        </w:tc>
        <w:tc>
          <w:tcPr>
            <w:tcW w:w="12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9"/>
              <w:ind w:right="41"/>
              <w:jc w:val="center"/>
              <w:rPr>
                <w:rFonts w:ascii="宋体" w:hAnsi="宋体" w:cs="宋体" w:eastAsia="宋体" w:hint="default"/>
                <w:sz w:val="21"/>
                <w:szCs w:val="21"/>
              </w:rPr>
            </w:pPr>
            <w:r>
              <w:rPr>
                <w:rFonts w:ascii="Arial"/>
                <w:sz w:val="21"/>
              </w:rPr>
              <w:t>2019-12-19</w:t>
            </w:r>
            <w:r>
              <w:rPr>
                <w:rFonts w:ascii="宋体"/>
                <w:w w:val="100"/>
                <w:sz w:val="21"/>
              </w:rPr>
              <w:t> </w:t>
            </w:r>
          </w:p>
        </w:tc>
        <w:tc>
          <w:tcPr>
            <w:tcW w:w="12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9"/>
              <w:ind w:right="38"/>
              <w:jc w:val="center"/>
              <w:rPr>
                <w:rFonts w:ascii="宋体" w:hAnsi="宋体" w:cs="宋体" w:eastAsia="宋体" w:hint="default"/>
                <w:sz w:val="21"/>
                <w:szCs w:val="21"/>
              </w:rPr>
            </w:pPr>
            <w:r>
              <w:rPr>
                <w:rFonts w:ascii="Arial"/>
                <w:sz w:val="21"/>
              </w:rPr>
              <w:t>2020-03-19</w:t>
            </w:r>
            <w:r>
              <w:rPr>
                <w:rFonts w:ascii="宋体"/>
                <w:w w:val="100"/>
                <w:sz w:val="21"/>
              </w:rPr>
              <w:t> </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自有闲</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置资金</w:t>
            </w:r>
            <w:r>
              <w:rPr>
                <w:rFonts w:ascii="宋体" w:hAnsi="宋体" w:cs="宋体" w:eastAsia="宋体" w:hint="default"/>
                <w:sz w:val="21"/>
                <w:szCs w:val="21"/>
              </w:rPr>
              <w:t> </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z w:val="21"/>
                <w:szCs w:val="21"/>
              </w:rPr>
              <w:t> </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约定</w:t>
            </w:r>
            <w:r>
              <w:rPr>
                <w:rFonts w:ascii="宋体" w:hAnsi="宋体" w:cs="宋体" w:eastAsia="宋体" w:hint="default"/>
                <w:sz w:val="21"/>
                <w:szCs w:val="21"/>
              </w:rPr>
              <w:t> </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9"/>
              <w:ind w:right="16"/>
              <w:jc w:val="right"/>
              <w:rPr>
                <w:rFonts w:ascii="Arial" w:hAnsi="Arial" w:cs="Arial" w:eastAsia="Arial" w:hint="default"/>
                <w:sz w:val="21"/>
                <w:szCs w:val="21"/>
              </w:rPr>
            </w:pPr>
            <w:r>
              <w:rPr>
                <w:rFonts w:ascii="Arial"/>
                <w:spacing w:val="-1"/>
                <w:sz w:val="21"/>
              </w:rPr>
              <w:t>3.85%</w:t>
            </w:r>
          </w:p>
        </w:tc>
        <w:tc>
          <w:tcPr>
            <w:tcW w:w="70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9"/>
              <w:ind w:right="16"/>
              <w:jc w:val="right"/>
              <w:rPr>
                <w:rFonts w:ascii="Arial" w:hAnsi="Arial" w:cs="Arial" w:eastAsia="Arial" w:hint="default"/>
                <w:sz w:val="21"/>
                <w:szCs w:val="21"/>
              </w:rPr>
            </w:pPr>
            <w:r>
              <w:rPr>
                <w:rFonts w:ascii="Arial"/>
                <w:sz w:val="21"/>
              </w:rPr>
              <w:t>385.00</w:t>
            </w:r>
          </w:p>
        </w:tc>
        <w:tc>
          <w:tcPr>
            <w:tcW w:w="860" w:type="dxa"/>
            <w:tcBorders>
              <w:top w:val="single" w:sz="4" w:space="0" w:color="009EEA"/>
              <w:left w:val="single" w:sz="4" w:space="0" w:color="009EEA"/>
              <w:bottom w:val="single" w:sz="4" w:space="0" w:color="009EEA"/>
              <w:right w:val="single" w:sz="4" w:space="0" w:color="009EEA"/>
            </w:tcBorders>
          </w:tcPr>
          <w:p>
            <w:pP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60" w:lineRule="exact" w:before="8"/>
              <w:ind w:left="21" w:right="103"/>
              <w:jc w:val="left"/>
              <w:rPr>
                <w:rFonts w:ascii="宋体" w:hAnsi="宋体" w:cs="宋体" w:eastAsia="宋体" w:hint="default"/>
                <w:sz w:val="20"/>
                <w:szCs w:val="20"/>
              </w:rPr>
            </w:pPr>
            <w:r>
              <w:rPr>
                <w:rFonts w:ascii="宋体" w:hAnsi="宋体" w:cs="宋体" w:eastAsia="宋体" w:hint="default"/>
                <w:sz w:val="20"/>
                <w:szCs w:val="20"/>
              </w:rPr>
              <w:t>本息收回与</w:t>
            </w:r>
            <w:r>
              <w:rPr>
                <w:rFonts w:ascii="宋体" w:hAnsi="宋体" w:cs="宋体" w:eastAsia="宋体" w:hint="default"/>
                <w:w w:val="99"/>
                <w:sz w:val="20"/>
                <w:szCs w:val="20"/>
              </w:rPr>
              <w:t> </w:t>
            </w:r>
            <w:r>
              <w:rPr>
                <w:rFonts w:ascii="宋体" w:hAnsi="宋体" w:cs="宋体" w:eastAsia="宋体" w:hint="default"/>
                <w:sz w:val="20"/>
                <w:szCs w:val="20"/>
              </w:rPr>
              <w:t>预期相符</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3"/>
              <w:ind w:right="6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3"/>
              <w:ind w:right="13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7" w:hRule="exact"/>
        </w:trPr>
        <w:tc>
          <w:tcPr>
            <w:tcW w:w="2273" w:type="dxa"/>
            <w:tcBorders>
              <w:top w:val="single" w:sz="4" w:space="0" w:color="009EEA"/>
              <w:left w:val="nil" w:sz="6" w:space="0" w:color="auto"/>
              <w:bottom w:val="single" w:sz="4" w:space="0" w:color="009EEA"/>
              <w:right w:val="single" w:sz="4" w:space="0" w:color="009EEA"/>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中国光大银行股份有限</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公司黑龙江分行</w:t>
            </w:r>
            <w:r>
              <w:rPr>
                <w:rFonts w:ascii="宋体" w:hAnsi="宋体" w:cs="宋体" w:eastAsia="宋体" w:hint="default"/>
                <w:sz w:val="21"/>
                <w:szCs w:val="21"/>
              </w:rPr>
              <w:t> </w:t>
            </w:r>
          </w:p>
        </w:tc>
        <w:tc>
          <w:tcPr>
            <w:tcW w:w="142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结构性存款</w:t>
            </w:r>
            <w:r>
              <w:rPr>
                <w:rFonts w:ascii="宋体" w:hAnsi="宋体" w:cs="宋体" w:eastAsia="宋体" w:hint="default"/>
                <w:sz w:val="21"/>
                <w:szCs w:val="21"/>
              </w:rPr>
              <w:t> </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20"/>
              <w:jc w:val="right"/>
              <w:rPr>
                <w:rFonts w:ascii="Arial" w:hAnsi="Arial" w:cs="Arial" w:eastAsia="Arial" w:hint="default"/>
                <w:sz w:val="21"/>
                <w:szCs w:val="21"/>
              </w:rPr>
            </w:pPr>
            <w:r>
              <w:rPr>
                <w:rFonts w:ascii="Arial"/>
                <w:spacing w:val="-1"/>
                <w:sz w:val="21"/>
              </w:rPr>
              <w:t>30,000</w:t>
            </w:r>
          </w:p>
        </w:tc>
        <w:tc>
          <w:tcPr>
            <w:tcW w:w="12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41"/>
              <w:jc w:val="center"/>
              <w:rPr>
                <w:rFonts w:ascii="宋体" w:hAnsi="宋体" w:cs="宋体" w:eastAsia="宋体" w:hint="default"/>
                <w:sz w:val="21"/>
                <w:szCs w:val="21"/>
              </w:rPr>
            </w:pPr>
            <w:r>
              <w:rPr>
                <w:rFonts w:ascii="Arial"/>
                <w:sz w:val="21"/>
              </w:rPr>
              <w:t>2019-12-23</w:t>
            </w:r>
            <w:r>
              <w:rPr>
                <w:rFonts w:ascii="宋体"/>
                <w:w w:val="100"/>
                <w:sz w:val="21"/>
              </w:rPr>
              <w:t> </w:t>
            </w:r>
          </w:p>
        </w:tc>
        <w:tc>
          <w:tcPr>
            <w:tcW w:w="12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38"/>
              <w:jc w:val="center"/>
              <w:rPr>
                <w:rFonts w:ascii="宋体" w:hAnsi="宋体" w:cs="宋体" w:eastAsia="宋体" w:hint="default"/>
                <w:sz w:val="21"/>
                <w:szCs w:val="21"/>
              </w:rPr>
            </w:pPr>
            <w:r>
              <w:rPr>
                <w:rFonts w:ascii="Arial"/>
                <w:sz w:val="21"/>
              </w:rPr>
              <w:t>2020-03-23</w:t>
            </w:r>
            <w:r>
              <w:rPr>
                <w:rFonts w:ascii="宋体"/>
                <w:w w:val="100"/>
                <w:sz w:val="21"/>
              </w:rPr>
              <w:t> </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自有闲</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置资金</w:t>
            </w:r>
            <w:r>
              <w:rPr>
                <w:rFonts w:ascii="宋体" w:hAnsi="宋体" w:cs="宋体" w:eastAsia="宋体" w:hint="default"/>
                <w:sz w:val="21"/>
                <w:szCs w:val="21"/>
              </w:rPr>
              <w:t> </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z w:val="21"/>
                <w:szCs w:val="21"/>
              </w:rPr>
              <w:t> </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约定</w:t>
            </w:r>
            <w:r>
              <w:rPr>
                <w:rFonts w:ascii="宋体" w:hAnsi="宋体" w:cs="宋体" w:eastAsia="宋体" w:hint="default"/>
                <w:sz w:val="21"/>
                <w:szCs w:val="21"/>
              </w:rPr>
              <w:t> </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16"/>
              <w:jc w:val="right"/>
              <w:rPr>
                <w:rFonts w:ascii="Arial" w:hAnsi="Arial" w:cs="Arial" w:eastAsia="Arial" w:hint="default"/>
                <w:sz w:val="21"/>
                <w:szCs w:val="21"/>
              </w:rPr>
            </w:pPr>
            <w:r>
              <w:rPr>
                <w:rFonts w:ascii="Arial"/>
                <w:spacing w:val="-1"/>
                <w:sz w:val="21"/>
              </w:rPr>
              <w:t>4.05%</w:t>
            </w:r>
          </w:p>
        </w:tc>
        <w:tc>
          <w:tcPr>
            <w:tcW w:w="70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16"/>
              <w:jc w:val="right"/>
              <w:rPr>
                <w:rFonts w:ascii="Arial" w:hAnsi="Arial" w:cs="Arial" w:eastAsia="Arial" w:hint="default"/>
                <w:sz w:val="21"/>
                <w:szCs w:val="21"/>
              </w:rPr>
            </w:pPr>
            <w:r>
              <w:rPr>
                <w:rFonts w:ascii="Arial"/>
                <w:sz w:val="21"/>
              </w:rPr>
              <w:t>303.75</w:t>
            </w:r>
          </w:p>
        </w:tc>
        <w:tc>
          <w:tcPr>
            <w:tcW w:w="860" w:type="dxa"/>
            <w:tcBorders>
              <w:top w:val="single" w:sz="4" w:space="0" w:color="009EEA"/>
              <w:left w:val="single" w:sz="4" w:space="0" w:color="009EEA"/>
              <w:bottom w:val="single" w:sz="4" w:space="0" w:color="009EEA"/>
              <w:right w:val="single" w:sz="4" w:space="0" w:color="009EEA"/>
            </w:tcBorders>
          </w:tcPr>
          <w:p>
            <w:pP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60" w:lineRule="exact" w:before="8"/>
              <w:ind w:left="21" w:right="103"/>
              <w:jc w:val="left"/>
              <w:rPr>
                <w:rFonts w:ascii="宋体" w:hAnsi="宋体" w:cs="宋体" w:eastAsia="宋体" w:hint="default"/>
                <w:sz w:val="20"/>
                <w:szCs w:val="20"/>
              </w:rPr>
            </w:pPr>
            <w:r>
              <w:rPr>
                <w:rFonts w:ascii="宋体" w:hAnsi="宋体" w:cs="宋体" w:eastAsia="宋体" w:hint="default"/>
                <w:sz w:val="20"/>
                <w:szCs w:val="20"/>
              </w:rPr>
              <w:t>本息收回与</w:t>
            </w:r>
            <w:r>
              <w:rPr>
                <w:rFonts w:ascii="宋体" w:hAnsi="宋体" w:cs="宋体" w:eastAsia="宋体" w:hint="default"/>
                <w:w w:val="99"/>
                <w:sz w:val="20"/>
                <w:szCs w:val="20"/>
              </w:rPr>
              <w:t> </w:t>
            </w:r>
            <w:r>
              <w:rPr>
                <w:rFonts w:ascii="宋体" w:hAnsi="宋体" w:cs="宋体" w:eastAsia="宋体" w:hint="default"/>
                <w:sz w:val="20"/>
                <w:szCs w:val="20"/>
              </w:rPr>
              <w:t>预期相符</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62" w:hRule="exact"/>
        </w:trPr>
        <w:tc>
          <w:tcPr>
            <w:tcW w:w="2273" w:type="dxa"/>
            <w:tcBorders>
              <w:top w:val="single" w:sz="4" w:space="0" w:color="009EEA"/>
              <w:left w:val="nil" w:sz="6" w:space="0" w:color="auto"/>
              <w:bottom w:val="single" w:sz="8" w:space="0" w:color="009EEA"/>
              <w:right w:val="single" w:sz="4" w:space="0" w:color="009EEA"/>
            </w:tcBorders>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sz w:val="21"/>
                <w:szCs w:val="21"/>
              </w:rPr>
              <w:t>华夏银行股份有限公司</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哈尔滨分行</w:t>
            </w:r>
            <w:r>
              <w:rPr>
                <w:rFonts w:ascii="宋体" w:hAnsi="宋体" w:cs="宋体" w:eastAsia="宋体" w:hint="default"/>
                <w:sz w:val="21"/>
                <w:szCs w:val="21"/>
              </w:rPr>
              <w:t> </w:t>
            </w:r>
          </w:p>
        </w:tc>
        <w:tc>
          <w:tcPr>
            <w:tcW w:w="1423"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结构性存款</w:t>
            </w:r>
            <w:r>
              <w:rPr>
                <w:rFonts w:ascii="宋体" w:hAnsi="宋体" w:cs="宋体" w:eastAsia="宋体" w:hint="default"/>
                <w:sz w:val="21"/>
                <w:szCs w:val="21"/>
              </w:rPr>
              <w:t> </w:t>
            </w:r>
          </w:p>
        </w:tc>
        <w:tc>
          <w:tcPr>
            <w:tcW w:w="99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46"/>
              <w:ind w:right="20"/>
              <w:jc w:val="right"/>
              <w:rPr>
                <w:rFonts w:ascii="Arial" w:hAnsi="Arial" w:cs="Arial" w:eastAsia="Arial" w:hint="default"/>
                <w:sz w:val="21"/>
                <w:szCs w:val="21"/>
              </w:rPr>
            </w:pPr>
            <w:r>
              <w:rPr>
                <w:rFonts w:ascii="Arial"/>
                <w:spacing w:val="-1"/>
                <w:sz w:val="21"/>
              </w:rPr>
              <w:t>30,000</w:t>
            </w:r>
          </w:p>
        </w:tc>
        <w:tc>
          <w:tcPr>
            <w:tcW w:w="128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46"/>
              <w:ind w:right="41"/>
              <w:jc w:val="center"/>
              <w:rPr>
                <w:rFonts w:ascii="宋体" w:hAnsi="宋体" w:cs="宋体" w:eastAsia="宋体" w:hint="default"/>
                <w:sz w:val="21"/>
                <w:szCs w:val="21"/>
              </w:rPr>
            </w:pPr>
            <w:r>
              <w:rPr>
                <w:rFonts w:ascii="Arial"/>
                <w:sz w:val="21"/>
              </w:rPr>
              <w:t>2019-12-24</w:t>
            </w:r>
            <w:r>
              <w:rPr>
                <w:rFonts w:ascii="宋体"/>
                <w:w w:val="100"/>
                <w:sz w:val="21"/>
              </w:rPr>
              <w:t> </w:t>
            </w:r>
          </w:p>
        </w:tc>
        <w:tc>
          <w:tcPr>
            <w:tcW w:w="127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46"/>
              <w:ind w:right="38"/>
              <w:jc w:val="center"/>
              <w:rPr>
                <w:rFonts w:ascii="宋体" w:hAnsi="宋体" w:cs="宋体" w:eastAsia="宋体" w:hint="default"/>
                <w:sz w:val="21"/>
                <w:szCs w:val="21"/>
              </w:rPr>
            </w:pPr>
            <w:r>
              <w:rPr>
                <w:rFonts w:ascii="Arial"/>
                <w:sz w:val="21"/>
              </w:rPr>
              <w:t>2020-03-24</w:t>
            </w:r>
            <w:r>
              <w:rPr>
                <w:rFonts w:ascii="宋体"/>
                <w:w w:val="100"/>
                <w:sz w:val="21"/>
              </w:rPr>
              <w:t> </w:t>
            </w:r>
          </w:p>
        </w:tc>
        <w:tc>
          <w:tcPr>
            <w:tcW w:w="852" w:type="dxa"/>
            <w:tcBorders>
              <w:top w:val="single" w:sz="4" w:space="0" w:color="009EEA"/>
              <w:left w:val="single" w:sz="4" w:space="0" w:color="009EEA"/>
              <w:bottom w:val="single" w:sz="8" w:space="0" w:color="009EEA"/>
              <w:right w:val="single" w:sz="4" w:space="0" w:color="009EEA"/>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自有闲</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置资金</w:t>
            </w:r>
            <w:r>
              <w:rPr>
                <w:rFonts w:ascii="宋体" w:hAnsi="宋体" w:cs="宋体" w:eastAsia="宋体" w:hint="default"/>
                <w:sz w:val="21"/>
                <w:szCs w:val="21"/>
              </w:rPr>
              <w:t> </w:t>
            </w:r>
          </w:p>
        </w:tc>
        <w:tc>
          <w:tcPr>
            <w:tcW w:w="566" w:type="dxa"/>
            <w:tcBorders>
              <w:top w:val="single" w:sz="4" w:space="0" w:color="009EEA"/>
              <w:left w:val="single" w:sz="4" w:space="0" w:color="009EEA"/>
              <w:bottom w:val="single" w:sz="8" w:space="0" w:color="009EEA"/>
              <w:right w:val="single" w:sz="4" w:space="0" w:color="009EEA"/>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z w:val="21"/>
                <w:szCs w:val="21"/>
              </w:rPr>
              <w:t> </w:t>
            </w:r>
          </w:p>
        </w:tc>
        <w:tc>
          <w:tcPr>
            <w:tcW w:w="569" w:type="dxa"/>
            <w:tcBorders>
              <w:top w:val="single" w:sz="4" w:space="0" w:color="009EEA"/>
              <w:left w:val="single" w:sz="4" w:space="0" w:color="009EEA"/>
              <w:bottom w:val="single" w:sz="8" w:space="0" w:color="009EEA"/>
              <w:right w:val="single" w:sz="4" w:space="0" w:color="009EEA"/>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约定</w:t>
            </w:r>
            <w:r>
              <w:rPr>
                <w:rFonts w:ascii="宋体" w:hAnsi="宋体" w:cs="宋体" w:eastAsia="宋体" w:hint="default"/>
                <w:sz w:val="21"/>
                <w:szCs w:val="21"/>
              </w:rPr>
              <w:t> </w:t>
            </w:r>
          </w:p>
        </w:tc>
        <w:tc>
          <w:tcPr>
            <w:tcW w:w="713"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46"/>
              <w:ind w:right="16"/>
              <w:jc w:val="right"/>
              <w:rPr>
                <w:rFonts w:ascii="Arial" w:hAnsi="Arial" w:cs="Arial" w:eastAsia="Arial" w:hint="default"/>
                <w:sz w:val="21"/>
                <w:szCs w:val="21"/>
              </w:rPr>
            </w:pPr>
            <w:r>
              <w:rPr>
                <w:rFonts w:ascii="Arial"/>
                <w:spacing w:val="-1"/>
                <w:sz w:val="21"/>
              </w:rPr>
              <w:t>4.05%</w:t>
            </w:r>
          </w:p>
        </w:tc>
        <w:tc>
          <w:tcPr>
            <w:tcW w:w="708"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46"/>
              <w:ind w:right="16"/>
              <w:jc w:val="right"/>
              <w:rPr>
                <w:rFonts w:ascii="Arial" w:hAnsi="Arial" w:cs="Arial" w:eastAsia="Arial" w:hint="default"/>
                <w:sz w:val="21"/>
                <w:szCs w:val="21"/>
              </w:rPr>
            </w:pPr>
            <w:r>
              <w:rPr>
                <w:rFonts w:ascii="Arial"/>
                <w:sz w:val="21"/>
              </w:rPr>
              <w:t>302.92</w:t>
            </w:r>
          </w:p>
        </w:tc>
        <w:tc>
          <w:tcPr>
            <w:tcW w:w="860" w:type="dxa"/>
            <w:tcBorders>
              <w:top w:val="single" w:sz="4" w:space="0" w:color="009EEA"/>
              <w:left w:val="single" w:sz="4" w:space="0" w:color="009EEA"/>
              <w:bottom w:val="single" w:sz="8" w:space="0" w:color="009EEA"/>
              <w:right w:val="single" w:sz="4" w:space="0" w:color="009EEA"/>
            </w:tcBorders>
          </w:tcPr>
          <w:p>
            <w:pPr/>
          </w:p>
        </w:tc>
        <w:tc>
          <w:tcPr>
            <w:tcW w:w="1135" w:type="dxa"/>
            <w:tcBorders>
              <w:top w:val="single" w:sz="4" w:space="0" w:color="009EEA"/>
              <w:left w:val="single" w:sz="4" w:space="0" w:color="009EEA"/>
              <w:bottom w:val="single" w:sz="8" w:space="0" w:color="009EEA"/>
              <w:right w:val="single" w:sz="4" w:space="0" w:color="009EEA"/>
            </w:tcBorders>
          </w:tcPr>
          <w:p>
            <w:pPr>
              <w:pStyle w:val="TableParagraph"/>
              <w:spacing w:line="260" w:lineRule="exact" w:before="5"/>
              <w:ind w:left="21" w:right="103"/>
              <w:jc w:val="left"/>
              <w:rPr>
                <w:rFonts w:ascii="宋体" w:hAnsi="宋体" w:cs="宋体" w:eastAsia="宋体" w:hint="default"/>
                <w:sz w:val="20"/>
                <w:szCs w:val="20"/>
              </w:rPr>
            </w:pPr>
            <w:r>
              <w:rPr>
                <w:rFonts w:ascii="宋体" w:hAnsi="宋体" w:cs="宋体" w:eastAsia="宋体" w:hint="default"/>
                <w:sz w:val="20"/>
                <w:szCs w:val="20"/>
              </w:rPr>
              <w:t>本息收回与</w:t>
            </w:r>
            <w:r>
              <w:rPr>
                <w:rFonts w:ascii="宋体" w:hAnsi="宋体" w:cs="宋体" w:eastAsia="宋体" w:hint="default"/>
                <w:w w:val="99"/>
                <w:sz w:val="20"/>
                <w:szCs w:val="20"/>
              </w:rPr>
              <w:t> </w:t>
            </w:r>
            <w:r>
              <w:rPr>
                <w:rFonts w:ascii="宋体" w:hAnsi="宋体" w:cs="宋体" w:eastAsia="宋体" w:hint="default"/>
                <w:sz w:val="20"/>
                <w:szCs w:val="20"/>
              </w:rPr>
              <w:t>预期相符</w:t>
            </w:r>
          </w:p>
        </w:tc>
        <w:tc>
          <w:tcPr>
            <w:tcW w:w="56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00"/>
              <w:ind w:right="6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100"/>
              <w:ind w:right="13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bl>
    <w:p>
      <w:pPr>
        <w:spacing w:line="240" w:lineRule="auto" w:before="3"/>
        <w:rPr>
          <w:rFonts w:ascii="Times New Roman" w:hAnsi="Times New Roman" w:cs="Times New Roman" w:eastAsia="Times New Roman" w:hint="default"/>
          <w:sz w:val="3"/>
          <w:szCs w:val="3"/>
        </w:rPr>
      </w:pPr>
    </w:p>
    <w:p>
      <w:pPr>
        <w:spacing w:line="20" w:lineRule="exact"/>
        <w:ind w:left="10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7.55pt;height:1pt;mso-position-horizontal-relative:char;mso-position-vertical-relative:line" coordorigin="0,0" coordsize="13951,20">
            <v:group style="position:absolute;left:10;top:10;width:2269;height:2" coordorigin="10,10" coordsize="2269,2">
              <v:shape style="position:absolute;left:10;top:10;width:2269;height:2" coordorigin="10,10" coordsize="2269,0" path="m10,10l2278,10e" filled="false" stroked="true" strokeweight=".96002pt" strokecolor="#009eea">
                <v:path arrowok="t"/>
              </v:shape>
            </v:group>
            <v:group style="position:absolute;left:2278;top:10;width:58;height:2" coordorigin="2278,10" coordsize="58,2">
              <v:shape style="position:absolute;left:2278;top:10;width:58;height:2" coordorigin="2278,10" coordsize="58,0" path="m2278,10l2336,10e" filled="false" stroked="true" strokeweight=".96002pt" strokecolor="#009eea">
                <v:path arrowok="t"/>
              </v:shape>
            </v:group>
            <v:group style="position:absolute;left:2336;top:10;width:1366;height:2" coordorigin="2336,10" coordsize="1366,2">
              <v:shape style="position:absolute;left:2336;top:10;width:1366;height:2" coordorigin="2336,10" coordsize="1366,0" path="m2336,10l3701,10e" filled="false" stroked="true" strokeweight=".96002pt" strokecolor="#009eea">
                <v:path arrowok="t"/>
              </v:shape>
            </v:group>
            <v:group style="position:absolute;left:3701;top:10;width:58;height:2" coordorigin="3701,10" coordsize="58,2">
              <v:shape style="position:absolute;left:3701;top:10;width:58;height:2" coordorigin="3701,10" coordsize="58,0" path="m3701,10l3759,10e" filled="false" stroked="true" strokeweight=".96002pt" strokecolor="#009eea">
                <v:path arrowok="t"/>
              </v:shape>
            </v:group>
            <v:group style="position:absolute;left:3759;top:10;width:937;height:2" coordorigin="3759,10" coordsize="937,2">
              <v:shape style="position:absolute;left:3759;top:10;width:937;height:2" coordorigin="3759,10" coordsize="937,0" path="m3759,10l4695,10e" filled="false" stroked="true" strokeweight=".96002pt" strokecolor="#009eea">
                <v:path arrowok="t"/>
              </v:shape>
            </v:group>
            <v:group style="position:absolute;left:4695;top:10;width:58;height:2" coordorigin="4695,10" coordsize="58,2">
              <v:shape style="position:absolute;left:4695;top:10;width:58;height:2" coordorigin="4695,10" coordsize="58,0" path="m4695,10l4753,10e" filled="false" stroked="true" strokeweight=".96002pt" strokecolor="#009eea">
                <v:path arrowok="t"/>
              </v:shape>
            </v:group>
            <v:group style="position:absolute;left:4753;top:10;width:1224;height:2" coordorigin="4753,10" coordsize="1224,2">
              <v:shape style="position:absolute;left:4753;top:10;width:1224;height:2" coordorigin="4753,10" coordsize="1224,0" path="m4753,10l5977,10e" filled="false" stroked="true" strokeweight=".96002pt" strokecolor="#009eea">
                <v:path arrowok="t"/>
              </v:shape>
            </v:group>
            <v:group style="position:absolute;left:5977;top:10;width:58;height:2" coordorigin="5977,10" coordsize="58,2">
              <v:shape style="position:absolute;left:5977;top:10;width:58;height:2" coordorigin="5977,10" coordsize="58,0" path="m5977,10l6035,10e" filled="false" stroked="true" strokeweight=".96002pt" strokecolor="#009eea">
                <v:path arrowok="t"/>
              </v:shape>
            </v:group>
            <v:group style="position:absolute;left:6035;top:10;width:1222;height:2" coordorigin="6035,10" coordsize="1222,2">
              <v:shape style="position:absolute;left:6035;top:10;width:1222;height:2" coordorigin="6035,10" coordsize="1222,0" path="m6035,10l7256,10e" filled="false" stroked="true" strokeweight=".96002pt" strokecolor="#009eea">
                <v:path arrowok="t"/>
              </v:shape>
            </v:group>
            <v:group style="position:absolute;left:7256;top:10;width:58;height:2" coordorigin="7256,10" coordsize="58,2">
              <v:shape style="position:absolute;left:7256;top:10;width:58;height:2" coordorigin="7256,10" coordsize="58,0" path="m7256,10l7314,10e" filled="false" stroked="true" strokeweight=".96002pt" strokecolor="#009eea">
                <v:path arrowok="t"/>
              </v:shape>
            </v:group>
            <v:group style="position:absolute;left:7314;top:10;width:795;height:2" coordorigin="7314,10" coordsize="795,2">
              <v:shape style="position:absolute;left:7314;top:10;width:795;height:2" coordorigin="7314,10" coordsize="795,0" path="m7314,10l8109,10e" filled="false" stroked="true" strokeweight=".96002pt" strokecolor="#009eea">
                <v:path arrowok="t"/>
              </v:shape>
            </v:group>
            <v:group style="position:absolute;left:8109;top:10;width:58;height:2" coordorigin="8109,10" coordsize="58,2">
              <v:shape style="position:absolute;left:8109;top:10;width:58;height:2" coordorigin="8109,10" coordsize="58,0" path="m8109,10l8166,10e" filled="false" stroked="true" strokeweight=".96002pt" strokecolor="#009eea">
                <v:path arrowok="t"/>
              </v:shape>
            </v:group>
            <v:group style="position:absolute;left:8166;top:10;width:509;height:2" coordorigin="8166,10" coordsize="509,2">
              <v:shape style="position:absolute;left:8166;top:10;width:509;height:2" coordorigin="8166,10" coordsize="509,0" path="m8166,10l8675,10e" filled="false" stroked="true" strokeweight=".96002pt" strokecolor="#009eea">
                <v:path arrowok="t"/>
              </v:shape>
            </v:group>
            <v:group style="position:absolute;left:8675;top:10;width:58;height:2" coordorigin="8675,10" coordsize="58,2">
              <v:shape style="position:absolute;left:8675;top:10;width:58;height:2" coordorigin="8675,10" coordsize="58,0" path="m8675,10l8733,10e" filled="false" stroked="true" strokeweight=".96002pt" strokecolor="#009eea">
                <v:path arrowok="t"/>
              </v:shape>
            </v:group>
            <v:group style="position:absolute;left:8733;top:10;width:512;height:2" coordorigin="8733,10" coordsize="512,2">
              <v:shape style="position:absolute;left:8733;top:10;width:512;height:2" coordorigin="8733,10" coordsize="512,0" path="m8733,10l9244,10e" filled="false" stroked="true" strokeweight=".96002pt" strokecolor="#009eea">
                <v:path arrowok="t"/>
              </v:shape>
            </v:group>
            <v:group style="position:absolute;left:9244;top:10;width:58;height:2" coordorigin="9244,10" coordsize="58,2">
              <v:shape style="position:absolute;left:9244;top:10;width:58;height:2" coordorigin="9244,10" coordsize="58,0" path="m9244,10l9301,10e" filled="false" stroked="true" strokeweight=".96002pt" strokecolor="#009eea">
                <v:path arrowok="t"/>
              </v:shape>
            </v:group>
            <v:group style="position:absolute;left:9301;top:10;width:656;height:2" coordorigin="9301,10" coordsize="656,2">
              <v:shape style="position:absolute;left:9301;top:10;width:656;height:2" coordorigin="9301,10" coordsize="656,0" path="m9301,10l9957,10e" filled="false" stroked="true" strokeweight=".96002pt" strokecolor="#009eea">
                <v:path arrowok="t"/>
              </v:shape>
            </v:group>
            <v:group style="position:absolute;left:9957;top:10;width:58;height:2" coordorigin="9957,10" coordsize="58,2">
              <v:shape style="position:absolute;left:9957;top:10;width:58;height:2" coordorigin="9957,10" coordsize="58,0" path="m9957,10l10014,10e" filled="false" stroked="true" strokeweight=".96002pt" strokecolor="#009eea">
                <v:path arrowok="t"/>
              </v:shape>
            </v:group>
            <v:group style="position:absolute;left:10014;top:10;width:651;height:2" coordorigin="10014,10" coordsize="651,2">
              <v:shape style="position:absolute;left:10014;top:10;width:651;height:2" coordorigin="10014,10" coordsize="651,0" path="m10014,10l10665,10e" filled="false" stroked="true" strokeweight=".96002pt" strokecolor="#009eea">
                <v:path arrowok="t"/>
              </v:shape>
            </v:group>
            <v:group style="position:absolute;left:10665;top:10;width:58;height:2" coordorigin="10665,10" coordsize="58,2">
              <v:shape style="position:absolute;left:10665;top:10;width:58;height:2" coordorigin="10665,10" coordsize="58,0" path="m10665,10l10722,10e" filled="false" stroked="true" strokeweight=".96002pt" strokecolor="#009eea">
                <v:path arrowok="t"/>
              </v:shape>
            </v:group>
            <v:group style="position:absolute;left:10722;top:10;width:803;height:2" coordorigin="10722,10" coordsize="803,2">
              <v:shape style="position:absolute;left:10722;top:10;width:803;height:2" coordorigin="10722,10" coordsize="803,0" path="m10722,10l11524,10e" filled="false" stroked="true" strokeweight=".96002pt" strokecolor="#009eea">
                <v:path arrowok="t"/>
              </v:shape>
            </v:group>
            <v:group style="position:absolute;left:11524;top:10;width:58;height:2" coordorigin="11524,10" coordsize="58,2">
              <v:shape style="position:absolute;left:11524;top:10;width:58;height:2" coordorigin="11524,10" coordsize="58,0" path="m11524,10l11582,10e" filled="false" stroked="true" strokeweight=".96002pt" strokecolor="#009eea">
                <v:path arrowok="t"/>
              </v:shape>
            </v:group>
            <v:group style="position:absolute;left:11582;top:10;width:1078;height:2" coordorigin="11582,10" coordsize="1078,2">
              <v:shape style="position:absolute;left:11582;top:10;width:1078;height:2" coordorigin="11582,10" coordsize="1078,0" path="m11582,10l12660,10e" filled="false" stroked="true" strokeweight=".96002pt" strokecolor="#009eea">
                <v:path arrowok="t"/>
              </v:shape>
            </v:group>
            <v:group style="position:absolute;left:12660;top:10;width:58;height:2" coordorigin="12660,10" coordsize="58,2">
              <v:shape style="position:absolute;left:12660;top:10;width:58;height:2" coordorigin="12660,10" coordsize="58,0" path="m12660,10l12717,10e" filled="false" stroked="true" strokeweight=".96002pt" strokecolor="#009eea">
                <v:path arrowok="t"/>
              </v:shape>
            </v:group>
            <v:group style="position:absolute;left:12717;top:10;width:512;height:2" coordorigin="12717,10" coordsize="512,2">
              <v:shape style="position:absolute;left:12717;top:10;width:512;height:2" coordorigin="12717,10" coordsize="512,0" path="m12717,10l13228,10e" filled="false" stroked="true" strokeweight=".96002pt" strokecolor="#009eea">
                <v:path arrowok="t"/>
              </v:shape>
            </v:group>
            <v:group style="position:absolute;left:13228;top:10;width:58;height:2" coordorigin="13228,10" coordsize="58,2">
              <v:shape style="position:absolute;left:13228;top:10;width:58;height:2" coordorigin="13228,10" coordsize="58,0" path="m13228,10l13286,10e" filled="false" stroked="true" strokeweight=".96002pt" strokecolor="#009eea">
                <v:path arrowok="t"/>
              </v:shape>
            </v:group>
            <v:group style="position:absolute;left:13286;top:10;width:656;height:2" coordorigin="13286,10" coordsize="656,2">
              <v:shape style="position:absolute;left:13286;top:10;width:656;height:2" coordorigin="13286,10" coordsize="656,0" path="m13286,10l13941,10e" filled="false" stroked="true" strokeweight=".96002pt" strokecolor="#009eea">
                <v:path arrowok="t"/>
              </v:shape>
            </v:group>
          </v:group>
        </w:pict>
      </w:r>
      <w:r>
        <w:rPr>
          <w:rFonts w:ascii="Times New Roman" w:hAnsi="Times New Roman" w:cs="Times New Roman" w:eastAsia="Times New Roman" w:hint="default"/>
          <w:sz w:val="2"/>
          <w:szCs w:val="2"/>
        </w:rPr>
      </w:r>
    </w:p>
    <w:p>
      <w:pPr>
        <w:pStyle w:val="BodyText"/>
        <w:spacing w:line="238" w:lineRule="exact"/>
        <w:ind w:left="140" w:right="0"/>
        <w:jc w:val="left"/>
        <w:rPr>
          <w:rFonts w:ascii="宋体" w:hAnsi="宋体" w:cs="宋体" w:eastAsia="宋体" w:hint="default"/>
        </w:rPr>
      </w:pPr>
      <w:r>
        <w:rPr>
          <w:rFonts w:ascii="宋体"/>
          <w:w w:val="100"/>
        </w:rPr>
        <w:t> </w:t>
      </w:r>
    </w:p>
    <w:p>
      <w:pPr>
        <w:pStyle w:val="Heading2"/>
        <w:spacing w:line="272" w:lineRule="exact" w:before="0"/>
        <w:ind w:left="140" w:right="0"/>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40"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footerReference w:type="default" r:id="rId30"/>
          <w:pgSz w:w="16840" w:h="11910" w:orient="landscape"/>
          <w:pgMar w:footer="1195" w:header="826" w:top="1360" w:bottom="1380" w:left="1300" w:right="1360"/>
        </w:sectPr>
      </w:pPr>
    </w:p>
    <w:p>
      <w:pPr>
        <w:pStyle w:val="Heading2"/>
        <w:spacing w:line="240" w:lineRule="auto" w:before="119"/>
        <w:ind w:left="138" w:right="0"/>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tabs>
          <w:tab w:pos="562" w:val="left" w:leader="none"/>
        </w:tabs>
        <w:spacing w:line="290" w:lineRule="auto" w:before="59"/>
        <w:ind w:left="138" w:right="718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委托贷款情况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4"/>
        <w:ind w:left="13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spacing w:before="56"/>
        <w:ind w:left="138" w:right="71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0"/>
        <w:ind w:left="138" w:right="691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61"/>
          <w:sz w:val="21"/>
          <w:szCs w:val="21"/>
        </w:rPr>
        <w:t> </w:t>
      </w:r>
      <w:r>
        <w:rPr>
          <w:rFonts w:ascii="宋体" w:hAnsi="宋体" w:cs="宋体" w:eastAsia="宋体" w:hint="default"/>
          <w:b/>
          <w:bCs/>
          <w:sz w:val="21"/>
          <w:szCs w:val="21"/>
        </w:rPr>
        <w:t>单项委托贷款情况</w:t>
      </w:r>
      <w:r>
        <w:rPr>
          <w:rFonts w:ascii="宋体" w:hAnsi="宋体" w:cs="宋体" w:eastAsia="宋体" w:hint="default"/>
          <w:sz w:val="21"/>
          <w:szCs w:val="21"/>
        </w:rPr>
      </w:r>
    </w:p>
    <w:p>
      <w:pPr>
        <w:spacing w:before="12"/>
        <w:ind w:left="138" w:right="71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0"/>
        <w:ind w:left="138" w:right="691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pacing w:val="-61"/>
          <w:sz w:val="21"/>
          <w:szCs w:val="21"/>
        </w:rPr>
        <w:t> </w:t>
      </w:r>
      <w:r>
        <w:rPr>
          <w:rFonts w:ascii="宋体" w:hAnsi="宋体" w:cs="宋体" w:eastAsia="宋体" w:hint="default"/>
          <w:b/>
          <w:bCs/>
          <w:sz w:val="21"/>
          <w:szCs w:val="21"/>
        </w:rPr>
        <w:t>委托贷款减值准备</w:t>
      </w:r>
      <w:r>
        <w:rPr>
          <w:rFonts w:ascii="宋体" w:hAnsi="宋体" w:cs="宋体" w:eastAsia="宋体" w:hint="default"/>
          <w:sz w:val="21"/>
          <w:szCs w:val="21"/>
        </w:rPr>
      </w:r>
    </w:p>
    <w:p>
      <w:pPr>
        <w:tabs>
          <w:tab w:pos="562" w:val="left" w:leader="none"/>
        </w:tabs>
        <w:spacing w:line="290" w:lineRule="auto" w:before="13"/>
        <w:ind w:left="138" w:right="718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3.</w:t>
        <w:tab/>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8" w:lineRule="auto" w:before="12"/>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经公司第六届董事会第六十五次会议决议，在保证资金安全和日常经营资金需求的前提下，</w:t>
      </w:r>
    </w:p>
    <w:p>
      <w:pPr>
        <w:pStyle w:val="BodyText"/>
        <w:spacing w:line="268" w:lineRule="auto" w:before="10"/>
        <w:ind w:left="138" w:right="126"/>
        <w:jc w:val="left"/>
      </w:pPr>
      <w:r>
        <w:rPr/>
        <w:t>使用最高不超过</w:t>
      </w:r>
      <w:r>
        <w:rPr>
          <w:spacing w:val="-57"/>
        </w:rPr>
        <w:t> </w:t>
      </w:r>
      <w:r>
        <w:rPr>
          <w:rFonts w:ascii="Arial" w:hAnsi="Arial" w:cs="Arial" w:eastAsia="Arial" w:hint="default"/>
        </w:rPr>
        <w:t>50</w:t>
      </w:r>
      <w:r>
        <w:rPr>
          <w:rFonts w:ascii="Arial" w:hAnsi="Arial" w:cs="Arial" w:eastAsia="Arial" w:hint="default"/>
          <w:spacing w:val="-12"/>
        </w:rPr>
        <w:t> </w:t>
      </w:r>
      <w:r>
        <w:rPr/>
        <w:t>亿元（含本数）的闲置资金开展国债逆回购业务。</w:t>
      </w:r>
      <w:r>
        <w:rPr>
          <w:rFonts w:ascii="Arial" w:hAnsi="Arial" w:cs="Arial" w:eastAsia="Arial" w:hint="default"/>
        </w:rPr>
        <w:t>2019</w:t>
      </w:r>
      <w:r>
        <w:rPr>
          <w:rFonts w:ascii="Arial" w:hAnsi="Arial" w:cs="Arial" w:eastAsia="Arial" w:hint="default"/>
          <w:spacing w:val="-12"/>
        </w:rPr>
        <w:t> </w:t>
      </w:r>
      <w:r>
        <w:rPr/>
        <w:t>年公司通过招商证券</w:t>
      </w:r>
      <w:r>
        <w:rPr>
          <w:w w:val="100"/>
        </w:rPr>
        <w:t> </w:t>
      </w:r>
      <w:r>
        <w:rPr/>
        <w:t>股份有限公司、中信证券股份有限公司和中信建投证券股份有限公司开展国债逆回购业务，至</w:t>
      </w:r>
      <w:r>
        <w:rPr>
          <w:w w:val="100"/>
        </w:rPr>
        <w:t> </w:t>
      </w:r>
      <w:r>
        <w:rPr>
          <w:rFonts w:ascii="Arial" w:hAnsi="Arial" w:cs="Arial" w:eastAsia="Arial" w:hint="default"/>
        </w:rPr>
        <w:t>2019</w:t>
      </w:r>
      <w:r>
        <w:rPr>
          <w:rFonts w:ascii="Arial" w:hAnsi="Arial" w:cs="Arial" w:eastAsia="Arial" w:hint="default"/>
          <w:spacing w:val="-9"/>
        </w:rPr>
        <w:t> </w:t>
      </w:r>
      <w:r>
        <w:rPr/>
        <w:t>年</w:t>
      </w:r>
      <w:r>
        <w:rPr>
          <w:spacing w:val="-54"/>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9"/>
        </w:rPr>
        <w:t> </w:t>
      </w:r>
      <w:r>
        <w:rPr/>
        <w:t>日国债逆回购资金余额</w:t>
      </w:r>
      <w:r>
        <w:rPr>
          <w:spacing w:val="-53"/>
        </w:rPr>
        <w:t> </w:t>
      </w:r>
      <w:r>
        <w:rPr>
          <w:rFonts w:ascii="Arial" w:hAnsi="Arial" w:cs="Arial" w:eastAsia="Arial" w:hint="default"/>
        </w:rPr>
        <w:t>15,063.82</w:t>
      </w:r>
      <w:r>
        <w:rPr>
          <w:rFonts w:ascii="Arial" w:hAnsi="Arial" w:cs="Arial" w:eastAsia="Arial" w:hint="default"/>
          <w:spacing w:val="-6"/>
        </w:rPr>
        <w:t> </w:t>
      </w:r>
      <w:r>
        <w:rPr/>
        <w:t>万元，本报告期税后投资收益为</w:t>
      </w:r>
      <w:r>
        <w:rPr>
          <w:spacing w:val="-54"/>
        </w:rPr>
        <w:t> </w:t>
      </w:r>
      <w:r>
        <w:rPr>
          <w:rFonts w:ascii="Arial" w:hAnsi="Arial" w:cs="Arial" w:eastAsia="Arial" w:hint="default"/>
        </w:rPr>
        <w:t>2,268.73</w:t>
      </w:r>
      <w:r>
        <w:rPr>
          <w:rFonts w:ascii="Arial" w:hAnsi="Arial" w:cs="Arial" w:eastAsia="Arial" w:hint="default"/>
          <w:spacing w:val="-7"/>
        </w:rPr>
        <w:t> </w:t>
      </w:r>
      <w:r>
        <w:rPr/>
        <w:t>万</w:t>
      </w:r>
      <w:r>
        <w:rPr>
          <w:w w:val="100"/>
        </w:rPr>
        <w:t> </w:t>
      </w:r>
      <w:r>
        <w:rPr/>
        <w:t>元。</w:t>
      </w:r>
    </w:p>
    <w:p>
      <w:pPr>
        <w:pStyle w:val="Heading2"/>
        <w:tabs>
          <w:tab w:pos="977" w:val="left" w:leader="none"/>
        </w:tabs>
        <w:spacing w:line="240" w:lineRule="auto" w:before="33"/>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spacing w:line="290" w:lineRule="auto" w:before="58"/>
        <w:ind w:left="138" w:right="641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十六、其他重大事项的说明</w:t>
      </w:r>
      <w:r>
        <w:rPr>
          <w:rFonts w:ascii="宋体" w:hAnsi="宋体" w:cs="宋体" w:eastAsia="宋体" w:hint="default"/>
          <w:sz w:val="21"/>
          <w:szCs w:val="21"/>
        </w:rPr>
      </w:r>
    </w:p>
    <w:p>
      <w:pPr>
        <w:pStyle w:val="BodyText"/>
        <w:spacing w:line="240" w:lineRule="auto" w:before="15"/>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68" w:lineRule="auto" w:before="42"/>
        <w:ind w:left="138" w:right="0" w:firstLine="419"/>
        <w:jc w:val="left"/>
        <w:rPr>
          <w:rFonts w:ascii="宋体" w:hAnsi="宋体" w:cs="宋体" w:eastAsia="宋体" w:hint="default"/>
        </w:rPr>
      </w:pPr>
      <w:r>
        <w:rPr>
          <w:rFonts w:ascii="Arial" w:hAnsi="Arial" w:cs="Arial" w:eastAsia="Arial" w:hint="default"/>
        </w:rPr>
        <w:t>2018</w:t>
      </w:r>
      <w:r>
        <w:rPr>
          <w:rFonts w:ascii="Arial" w:hAnsi="Arial" w:cs="Arial" w:eastAsia="Arial" w:hint="default"/>
          <w:spacing w:val="-9"/>
        </w:rPr>
        <w:t> </w:t>
      </w:r>
      <w:r>
        <w:rPr/>
        <w:t>年</w:t>
      </w:r>
      <w:r>
        <w:rPr>
          <w:spacing w:val="-56"/>
        </w:rPr>
        <w:t> </w:t>
      </w:r>
      <w:r>
        <w:rPr>
          <w:rFonts w:ascii="Arial" w:hAnsi="Arial" w:cs="Arial" w:eastAsia="Arial" w:hint="default"/>
        </w:rPr>
        <w:t>9</w:t>
      </w:r>
      <w:r>
        <w:rPr>
          <w:rFonts w:ascii="Arial" w:hAnsi="Arial" w:cs="Arial" w:eastAsia="Arial" w:hint="default"/>
          <w:spacing w:val="-7"/>
        </w:rPr>
        <w:t> </w:t>
      </w:r>
      <w:r>
        <w:rPr/>
        <w:t>月公司主管税务机关因公司非职工承包农业分公司耕地要求补缴企业所得税及滞</w:t>
      </w:r>
      <w:r>
        <w:rPr>
          <w:w w:val="100"/>
        </w:rPr>
        <w:t> </w:t>
      </w:r>
      <w:r>
        <w:rPr>
          <w:spacing w:val="-2"/>
        </w:rPr>
        <w:t>纳金一事，公司认为，按照国家相关税收政策，农垦企业非职工承包耕地仍在免征企业所得税优</w:t>
      </w:r>
      <w:r>
        <w:rPr>
          <w:spacing w:val="-25"/>
        </w:rPr>
        <w:t> </w:t>
      </w:r>
      <w:r>
        <w:rPr>
          <w:spacing w:val="-25"/>
        </w:rPr>
      </w:r>
      <w:r>
        <w:rPr>
          <w:spacing w:val="-11"/>
          <w:w w:val="100"/>
        </w:rPr>
        <w:t>惠政策范围内，无需缴纳企业所得税，不应补缴</w:t>
      </w:r>
      <w:r>
        <w:rPr>
          <w:spacing w:val="-52"/>
          <w:w w:val="100"/>
        </w:rPr>
        <w:t> </w:t>
      </w:r>
      <w:r>
        <w:rPr>
          <w:rFonts w:ascii="Arial" w:hAnsi="Arial" w:cs="Arial" w:eastAsia="Arial" w:hint="default"/>
          <w:spacing w:val="-1"/>
          <w:w w:val="100"/>
        </w:rPr>
        <w:t>2016</w:t>
      </w:r>
      <w:r>
        <w:rPr>
          <w:rFonts w:ascii="Arial" w:hAnsi="Arial" w:cs="Arial" w:eastAsia="Arial" w:hint="default"/>
          <w:spacing w:val="-6"/>
          <w:w w:val="100"/>
        </w:rPr>
        <w:t> </w:t>
      </w:r>
      <w:r>
        <w:rPr>
          <w:w w:val="100"/>
        </w:rPr>
        <w:t>年和</w:t>
      </w:r>
      <w:r>
        <w:rPr>
          <w:spacing w:val="-52"/>
          <w:w w:val="100"/>
        </w:rPr>
        <w:t> </w:t>
      </w:r>
      <w:r>
        <w:rPr>
          <w:rFonts w:ascii="Arial" w:hAnsi="Arial" w:cs="Arial" w:eastAsia="Arial" w:hint="default"/>
          <w:spacing w:val="-2"/>
          <w:w w:val="100"/>
        </w:rPr>
        <w:t>2017</w:t>
      </w:r>
      <w:r>
        <w:rPr>
          <w:rFonts w:ascii="Arial" w:hAnsi="Arial" w:cs="Arial" w:eastAsia="Arial" w:hint="default"/>
          <w:spacing w:val="-5"/>
          <w:w w:val="100"/>
        </w:rPr>
        <w:t> </w:t>
      </w:r>
      <w:r>
        <w:rPr>
          <w:spacing w:val="-8"/>
          <w:w w:val="100"/>
        </w:rPr>
        <w:t>年企业所得税及滞纳金。此意见，</w:t>
      </w:r>
      <w:r>
        <w:rPr>
          <w:w w:val="100"/>
        </w:rPr>
        <w:t> </w:t>
      </w:r>
      <w:r>
        <w:rPr/>
        <w:t>公司已向主管税务机关进行了反馈。</w:t>
      </w:r>
      <w:r>
        <w:rPr>
          <w:rFonts w:ascii="宋体" w:hAnsi="宋体" w:cs="宋体" w:eastAsia="宋体" w:hint="default"/>
        </w:rPr>
        <w:t> </w:t>
      </w:r>
    </w:p>
    <w:p>
      <w:pPr>
        <w:pStyle w:val="Heading2"/>
        <w:tabs>
          <w:tab w:pos="989" w:val="left" w:leader="none"/>
        </w:tabs>
        <w:spacing w:line="290" w:lineRule="auto" w:before="33"/>
        <w:ind w:left="138" w:right="559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BodyText"/>
        <w:spacing w:line="240" w:lineRule="auto" w:before="1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781" w:val="left" w:leader="none"/>
        </w:tabs>
        <w:spacing w:line="240" w:lineRule="auto" w:before="58"/>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64" w:lineRule="auto" w:before="45"/>
        <w:ind w:left="138" w:right="0" w:firstLine="419"/>
        <w:jc w:val="left"/>
      </w:pPr>
      <w:r>
        <w:rPr>
          <w:rFonts w:ascii="Arial" w:hAnsi="Arial" w:cs="Arial" w:eastAsia="Arial" w:hint="default"/>
        </w:rPr>
        <w:t>2019</w:t>
      </w:r>
      <w:r>
        <w:rPr>
          <w:rFonts w:ascii="Arial" w:hAnsi="Arial" w:cs="Arial" w:eastAsia="Arial" w:hint="default"/>
          <w:spacing w:val="50"/>
        </w:rPr>
        <w:t> </w:t>
      </w:r>
      <w:r>
        <w:rPr>
          <w:spacing w:val="-10"/>
        </w:rPr>
        <w:t>年，公司在安全生产、产品质量控制、环境保护与资源节约、促进就业与员工权益保护、</w:t>
      </w:r>
      <w:r>
        <w:rPr>
          <w:w w:val="100"/>
        </w:rPr>
        <w:t> </w:t>
      </w:r>
      <w:r>
        <w:rPr/>
        <w:t>依法履行纳税义务等方面积极履行了社会责任。具体为：</w:t>
      </w:r>
    </w:p>
    <w:p>
      <w:pPr>
        <w:pStyle w:val="Heading2"/>
        <w:spacing w:line="240" w:lineRule="auto" w:before="25"/>
        <w:ind w:left="560" w:right="0"/>
        <w:jc w:val="left"/>
        <w:rPr>
          <w:b w:val="0"/>
          <w:bCs w:val="0"/>
        </w:rPr>
      </w:pPr>
      <w:r>
        <w:rPr>
          <w:rFonts w:ascii="Arial" w:hAnsi="Arial" w:cs="Arial" w:eastAsia="Arial" w:hint="default"/>
        </w:rPr>
        <w:t>1.</w:t>
      </w:r>
      <w:r>
        <w:rPr/>
        <w:t>安全生产</w:t>
      </w:r>
      <w:r>
        <w:rPr>
          <w:b w:val="0"/>
          <w:bCs w:val="0"/>
        </w:rPr>
      </w:r>
    </w:p>
    <w:p>
      <w:pPr>
        <w:pStyle w:val="BodyText"/>
        <w:spacing w:line="268" w:lineRule="auto" w:before="29"/>
        <w:ind w:left="138" w:right="127" w:firstLine="419"/>
        <w:jc w:val="both"/>
      </w:pPr>
      <w:r>
        <w:rPr>
          <w:spacing w:val="-4"/>
        </w:rPr>
        <w:t>（</w:t>
      </w:r>
      <w:r>
        <w:rPr>
          <w:rFonts w:ascii="Arial" w:hAnsi="Arial" w:cs="Arial" w:eastAsia="Arial" w:hint="default"/>
          <w:spacing w:val="-4"/>
        </w:rPr>
        <w:t>1</w:t>
      </w:r>
      <w:r>
        <w:rPr>
          <w:spacing w:val="-4"/>
        </w:rPr>
        <w:t>）安全生产管理组织机构健全。公司设有安全生产委员会和安全生产监督管理办公室，配</w:t>
      </w:r>
      <w:r>
        <w:rPr>
          <w:w w:val="100"/>
        </w:rPr>
        <w:t> </w:t>
      </w:r>
      <w:r>
        <w:rPr>
          <w:spacing w:val="-2"/>
        </w:rPr>
        <w:t>备了专职安全生产管理人员，具体负责公司安全生产工作的综合监督管理。公司建立了完善的安</w:t>
      </w:r>
      <w:r>
        <w:rPr>
          <w:spacing w:val="-25"/>
        </w:rPr>
        <w:t> </w:t>
      </w:r>
      <w:r>
        <w:rPr>
          <w:spacing w:val="-25"/>
        </w:rPr>
      </w:r>
      <w:r>
        <w:rPr>
          <w:spacing w:val="-3"/>
        </w:rPr>
        <w:t>全生产责任制度，明确各级领导和行业部门的安全生产职责，认真落实安全生产</w:t>
      </w:r>
      <w:r>
        <w:rPr>
          <w:rFonts w:ascii="Arial" w:hAnsi="Arial" w:cs="Arial" w:eastAsia="Arial" w:hint="default"/>
          <w:spacing w:val="-3"/>
        </w:rPr>
        <w:t>“</w:t>
      </w:r>
      <w:r>
        <w:rPr>
          <w:spacing w:val="-3"/>
        </w:rPr>
        <w:t>党政同责，一岗</w:t>
      </w:r>
      <w:r>
        <w:rPr>
          <w:spacing w:val="-41"/>
        </w:rPr>
        <w:t> </w:t>
      </w:r>
      <w:r>
        <w:rPr>
          <w:spacing w:val="-41"/>
        </w:rPr>
      </w:r>
      <w:r>
        <w:rPr>
          <w:spacing w:val="-2"/>
        </w:rPr>
        <w:t>双责</w:t>
      </w:r>
      <w:r>
        <w:rPr>
          <w:rFonts w:ascii="Arial" w:hAnsi="Arial" w:cs="Arial" w:eastAsia="Arial" w:hint="default"/>
          <w:spacing w:val="-2"/>
        </w:rPr>
        <w:t>”</w:t>
      </w:r>
      <w:r>
        <w:rPr>
          <w:spacing w:val="-2"/>
        </w:rPr>
        <w:t>和</w:t>
      </w:r>
      <w:r>
        <w:rPr>
          <w:rFonts w:ascii="Arial" w:hAnsi="Arial" w:cs="Arial" w:eastAsia="Arial" w:hint="default"/>
          <w:spacing w:val="-2"/>
        </w:rPr>
        <w:t>“</w:t>
      </w:r>
      <w:r>
        <w:rPr>
          <w:spacing w:val="-2"/>
        </w:rPr>
        <w:t>管行业必须管安全、管业务必须管安全、管生产经营必须管安全</w:t>
      </w:r>
      <w:r>
        <w:rPr>
          <w:rFonts w:ascii="Arial" w:hAnsi="Arial" w:cs="Arial" w:eastAsia="Arial" w:hint="default"/>
          <w:spacing w:val="-2"/>
        </w:rPr>
        <w:t>”</w:t>
      </w:r>
      <w:r>
        <w:rPr>
          <w:spacing w:val="-2"/>
        </w:rPr>
        <w:t>的工作要求，切实加强</w:t>
      </w:r>
      <w:r>
        <w:rPr>
          <w:spacing w:val="-25"/>
        </w:rPr>
        <w:t> </w:t>
      </w:r>
      <w:r>
        <w:rPr>
          <w:spacing w:val="-25"/>
        </w:rPr>
      </w:r>
      <w:r>
        <w:rPr>
          <w:spacing w:val="-6"/>
          <w:w w:val="100"/>
        </w:rPr>
        <w:t>了安全生产工作的组织领导，促进了安全生产主体责任落实，保障了公司安全生产形势持续稳定。</w:t>
      </w:r>
    </w:p>
    <w:p>
      <w:pPr>
        <w:pStyle w:val="BodyText"/>
        <w:spacing w:line="264" w:lineRule="auto" w:before="21"/>
        <w:ind w:left="138" w:right="0" w:firstLine="419"/>
        <w:jc w:val="left"/>
      </w:pPr>
      <w:r>
        <w:rPr>
          <w:spacing w:val="-9"/>
          <w:w w:val="100"/>
        </w:rPr>
        <w:t>（</w:t>
      </w:r>
      <w:r>
        <w:rPr>
          <w:rFonts w:ascii="Arial" w:hAnsi="Arial" w:cs="Arial" w:eastAsia="Arial" w:hint="default"/>
          <w:spacing w:val="-9"/>
          <w:w w:val="100"/>
        </w:rPr>
        <w:t>2</w:t>
      </w:r>
      <w:r>
        <w:rPr>
          <w:spacing w:val="-9"/>
          <w:w w:val="100"/>
        </w:rPr>
        <w:t>）安全生产责任体系建设更加完善。按照《黑龙江省生产经营单位安全生产主体责任规定》</w:t>
      </w:r>
      <w:r>
        <w:rPr>
          <w:w w:val="100"/>
        </w:rPr>
        <w:t> </w:t>
      </w:r>
      <w:r>
        <w:rPr>
          <w:spacing w:val="-2"/>
        </w:rPr>
        <w:t>和公司总部内设部门设置以及部分职能调整等相关要求，公司修订完善了公司《安全生产管理制</w:t>
      </w:r>
    </w:p>
    <w:p>
      <w:pPr>
        <w:spacing w:after="0" w:line="264" w:lineRule="auto"/>
        <w:jc w:val="left"/>
        <w:sectPr>
          <w:headerReference w:type="default" r:id="rId31"/>
          <w:footerReference w:type="default" r:id="rId32"/>
          <w:pgSz w:w="11910" w:h="16840"/>
          <w:pgMar w:header="825" w:footer="1195" w:top="1360" w:bottom="1380" w:left="1660" w:right="1140"/>
          <w:pgNumType w:start="46"/>
        </w:sectPr>
      </w:pPr>
    </w:p>
    <w:p>
      <w:pPr>
        <w:spacing w:line="240" w:lineRule="auto" w:before="12"/>
        <w:rPr>
          <w:rFonts w:ascii="宋体" w:hAnsi="宋体" w:cs="宋体" w:eastAsia="宋体" w:hint="default"/>
          <w:sz w:val="9"/>
          <w:szCs w:val="9"/>
        </w:rPr>
      </w:pPr>
    </w:p>
    <w:p>
      <w:pPr>
        <w:pStyle w:val="BodyText"/>
        <w:spacing w:line="273" w:lineRule="auto" w:before="36"/>
        <w:ind w:left="138" w:right="137"/>
        <w:jc w:val="both"/>
      </w:pPr>
      <w:r>
        <w:rPr>
          <w:spacing w:val="-2"/>
        </w:rPr>
        <w:t>度》和《年度安全生产责任制考核办法》，督促分、子公司进一步加强和落实企业全员安全生产</w:t>
      </w:r>
      <w:r>
        <w:rPr>
          <w:spacing w:val="-25"/>
        </w:rPr>
        <w:t> </w:t>
      </w:r>
      <w:r>
        <w:rPr>
          <w:spacing w:val="-25"/>
        </w:rPr>
      </w:r>
      <w:r>
        <w:rPr/>
        <w:t>责任制，建立起了</w:t>
      </w:r>
      <w:r>
        <w:rPr>
          <w:rFonts w:ascii="Arial" w:hAnsi="Arial" w:cs="Arial" w:eastAsia="Arial" w:hint="default"/>
        </w:rPr>
        <w:t>“</w:t>
      </w:r>
      <w:r>
        <w:rPr/>
        <w:t>层层负责、人人有责、各负其责</w:t>
      </w:r>
      <w:r>
        <w:rPr>
          <w:rFonts w:ascii="Arial" w:hAnsi="Arial" w:cs="Arial" w:eastAsia="Arial" w:hint="default"/>
        </w:rPr>
        <w:t>”</w:t>
      </w:r>
      <w:r>
        <w:rPr/>
        <w:t>的安全生产工作体系。进一步建立健全了安</w:t>
      </w:r>
      <w:r>
        <w:rPr>
          <w:w w:val="100"/>
        </w:rPr>
        <w:t> </w:t>
      </w:r>
      <w:r>
        <w:rPr>
          <w:spacing w:val="-2"/>
        </w:rPr>
        <w:t>全生产工作考核机制，加强对基层单位和行业部门安全生产责任制落实情况的监督考核，提高了</w:t>
      </w:r>
      <w:r>
        <w:rPr>
          <w:spacing w:val="-25"/>
        </w:rPr>
        <w:t> </w:t>
      </w:r>
      <w:r>
        <w:rPr>
          <w:spacing w:val="-25"/>
        </w:rPr>
      </w:r>
      <w:r>
        <w:rPr/>
        <w:t>各级管理人员安全生产责任意识，促进了安全生产责任制的落实。</w:t>
      </w:r>
    </w:p>
    <w:p>
      <w:pPr>
        <w:pStyle w:val="BodyText"/>
        <w:spacing w:line="240" w:lineRule="auto" w:before="17"/>
        <w:ind w:left="558" w:right="0"/>
        <w:jc w:val="left"/>
        <w:rPr>
          <w:rFonts w:ascii="Arial" w:hAnsi="Arial" w:cs="Arial" w:eastAsia="Arial" w:hint="default"/>
        </w:rPr>
      </w:pPr>
      <w:r>
        <w:rPr>
          <w:spacing w:val="-2"/>
        </w:rPr>
        <w:t>（</w:t>
      </w:r>
      <w:r>
        <w:rPr>
          <w:rFonts w:ascii="Arial" w:hAnsi="Arial" w:cs="Arial" w:eastAsia="Arial" w:hint="default"/>
          <w:spacing w:val="-2"/>
        </w:rPr>
        <w:t>3</w:t>
      </w:r>
      <w:r>
        <w:rPr>
          <w:spacing w:val="-2"/>
        </w:rPr>
        <w:t>）安全生产大检查工作深入开展。公司突出加强安全生产重点时段的大检查工作，于</w:t>
      </w:r>
      <w:r>
        <w:rPr>
          <w:spacing w:val="19"/>
        </w:rPr>
        <w:t> </w:t>
      </w:r>
      <w:r>
        <w:rPr>
          <w:rFonts w:ascii="Arial" w:hAnsi="Arial" w:cs="Arial" w:eastAsia="Arial" w:hint="default"/>
        </w:rPr>
        <w:t>5</w:t>
      </w:r>
    </w:p>
    <w:p>
      <w:pPr>
        <w:pStyle w:val="BodyText"/>
        <w:spacing w:line="240" w:lineRule="auto" w:before="29"/>
        <w:ind w:left="138" w:right="0"/>
        <w:jc w:val="both"/>
      </w:pPr>
      <w:r>
        <w:rPr>
          <w:spacing w:val="-5"/>
        </w:rPr>
        <w:t>月份开始，组织开展了为期 </w:t>
      </w:r>
      <w:r>
        <w:rPr>
          <w:rFonts w:ascii="Arial" w:hAnsi="Arial" w:cs="Arial" w:eastAsia="Arial" w:hint="default"/>
        </w:rPr>
        <w:t>6</w:t>
      </w:r>
      <w:r>
        <w:rPr>
          <w:rFonts w:ascii="Arial" w:hAnsi="Arial" w:cs="Arial" w:eastAsia="Arial" w:hint="default"/>
          <w:spacing w:val="7"/>
        </w:rPr>
        <w:t> </w:t>
      </w:r>
      <w:r>
        <w:rPr>
          <w:spacing w:val="-5"/>
        </w:rPr>
        <w:t>个月的</w:t>
      </w:r>
      <w:r>
        <w:rPr>
          <w:rFonts w:ascii="Arial" w:hAnsi="Arial" w:cs="Arial" w:eastAsia="Arial" w:hint="default"/>
          <w:spacing w:val="-5"/>
        </w:rPr>
        <w:t>“</w:t>
      </w:r>
      <w:r>
        <w:rPr>
          <w:spacing w:val="-5"/>
        </w:rPr>
        <w:t>防风险、保平安、迎大庆</w:t>
      </w:r>
      <w:r>
        <w:rPr>
          <w:rFonts w:ascii="Arial" w:hAnsi="Arial" w:cs="Arial" w:eastAsia="Arial" w:hint="default"/>
          <w:spacing w:val="-5"/>
        </w:rPr>
        <w:t>”</w:t>
      </w:r>
      <w:r>
        <w:rPr>
          <w:spacing w:val="-5"/>
        </w:rPr>
        <w:t>消防安全检查专项行动。结合分、</w:t>
      </w:r>
    </w:p>
    <w:p>
      <w:pPr>
        <w:pStyle w:val="BodyText"/>
        <w:spacing w:line="273" w:lineRule="auto" w:before="29"/>
        <w:ind w:left="138" w:right="124"/>
        <w:jc w:val="left"/>
      </w:pPr>
      <w:r>
        <w:rPr/>
        <w:t>子公司安全生产特点，制定印发了《专项行动方案》，列出了专项行动需要重点检查的</w:t>
      </w:r>
      <w:r>
        <w:rPr>
          <w:spacing w:val="-53"/>
        </w:rPr>
        <w:t> </w:t>
      </w:r>
      <w:r>
        <w:rPr>
          <w:rFonts w:ascii="Arial" w:hAnsi="Arial" w:cs="Arial" w:eastAsia="Arial" w:hint="default"/>
        </w:rPr>
        <w:t>17</w:t>
      </w:r>
      <w:r>
        <w:rPr>
          <w:rFonts w:ascii="Arial" w:hAnsi="Arial" w:cs="Arial" w:eastAsia="Arial" w:hint="default"/>
          <w:spacing w:val="-9"/>
        </w:rPr>
        <w:t> </w:t>
      </w:r>
      <w:r>
        <w:rPr/>
        <w:t>项消</w:t>
      </w:r>
      <w:r>
        <w:rPr>
          <w:w w:val="100"/>
        </w:rPr>
        <w:t> </w:t>
      </w:r>
      <w:r>
        <w:rPr>
          <w:spacing w:val="-6"/>
          <w:w w:val="100"/>
        </w:rPr>
        <w:t>防安全隐患和风险，各分、子公司通过研判分析本单位可能发生火灾事故的重点场所和突出风险，</w:t>
      </w:r>
      <w:r>
        <w:rPr>
          <w:spacing w:val="-104"/>
          <w:w w:val="100"/>
        </w:rPr>
        <w:t> </w:t>
      </w:r>
      <w:r>
        <w:rPr>
          <w:spacing w:val="-104"/>
          <w:w w:val="100"/>
        </w:rPr>
      </w:r>
      <w:r>
        <w:rPr>
          <w:spacing w:val="-2"/>
        </w:rPr>
        <w:t>制定了消防专项检查清单及标准，对易发高发火灾事故的重点场所存在的隐患和突出风险进行全</w:t>
      </w:r>
      <w:r>
        <w:rPr>
          <w:spacing w:val="-25"/>
        </w:rPr>
        <w:t> </w:t>
      </w:r>
      <w:r>
        <w:rPr>
          <w:spacing w:val="-25"/>
        </w:rPr>
      </w:r>
      <w:r>
        <w:rPr/>
        <w:t>面排查治理。特别是在元旦、春节、全国</w:t>
      </w:r>
      <w:r>
        <w:rPr>
          <w:rFonts w:ascii="Arial" w:hAnsi="Arial" w:cs="Arial" w:eastAsia="Arial" w:hint="default"/>
        </w:rPr>
        <w:t>“</w:t>
      </w:r>
      <w:r>
        <w:rPr/>
        <w:t>两会</w:t>
      </w:r>
      <w:r>
        <w:rPr>
          <w:rFonts w:ascii="Arial" w:hAnsi="Arial" w:cs="Arial" w:eastAsia="Arial" w:hint="default"/>
        </w:rPr>
        <w:t>”</w:t>
      </w:r>
      <w:r>
        <w:rPr/>
        <w:t>、春播、秋收等时段，公司下发文件通知，对加</w:t>
      </w:r>
      <w:r>
        <w:rPr>
          <w:w w:val="100"/>
        </w:rPr>
        <w:t> </w:t>
      </w:r>
      <w:r>
        <w:rPr>
          <w:spacing w:val="-2"/>
        </w:rPr>
        <w:t>强安全生产工作和开展大检查作出部署要求，组成由公司领导带队的安全生产检查组，深入分、</w:t>
      </w:r>
      <w:r>
        <w:rPr>
          <w:spacing w:val="-25"/>
        </w:rPr>
        <w:t> </w:t>
      </w:r>
      <w:r>
        <w:rPr>
          <w:spacing w:val="-25"/>
        </w:rPr>
      </w:r>
      <w:r>
        <w:rPr/>
        <w:t>子公司开展督促检查活动。全年共组织开展综合大检查</w:t>
      </w:r>
      <w:r>
        <w:rPr>
          <w:spacing w:val="-56"/>
        </w:rPr>
        <w:t> </w:t>
      </w:r>
      <w:r>
        <w:rPr>
          <w:rFonts w:ascii="Arial" w:hAnsi="Arial" w:cs="Arial" w:eastAsia="Arial" w:hint="default"/>
        </w:rPr>
        <w:t>7</w:t>
      </w:r>
      <w:r>
        <w:rPr>
          <w:rFonts w:ascii="Arial" w:hAnsi="Arial" w:cs="Arial" w:eastAsia="Arial" w:hint="default"/>
          <w:spacing w:val="-7"/>
        </w:rPr>
        <w:t> </w:t>
      </w:r>
      <w:r>
        <w:rPr/>
        <w:t>次，下发检查情况通报</w:t>
      </w:r>
      <w:r>
        <w:rPr>
          <w:spacing w:val="-56"/>
        </w:rPr>
        <w:t> </w:t>
      </w:r>
      <w:r>
        <w:rPr>
          <w:rFonts w:ascii="Arial" w:hAnsi="Arial" w:cs="Arial" w:eastAsia="Arial" w:hint="default"/>
        </w:rPr>
        <w:t>3</w:t>
      </w:r>
      <w:r>
        <w:rPr>
          <w:rFonts w:ascii="Arial" w:hAnsi="Arial" w:cs="Arial" w:eastAsia="Arial" w:hint="default"/>
          <w:spacing w:val="-7"/>
        </w:rPr>
        <w:t> </w:t>
      </w:r>
      <w:r>
        <w:rPr>
          <w:spacing w:val="-3"/>
        </w:rPr>
        <w:t>份。</w:t>
      </w:r>
      <w:r>
        <w:rPr/>
      </w:r>
    </w:p>
    <w:p>
      <w:pPr>
        <w:pStyle w:val="BodyText"/>
        <w:spacing w:line="273" w:lineRule="auto"/>
        <w:ind w:left="138" w:right="0" w:firstLine="419"/>
        <w:jc w:val="left"/>
      </w:pPr>
      <w:r>
        <w:rPr>
          <w:spacing w:val="-4"/>
        </w:rPr>
        <w:t>（</w:t>
      </w:r>
      <w:r>
        <w:rPr>
          <w:rFonts w:ascii="Arial" w:hAnsi="Arial" w:cs="Arial" w:eastAsia="Arial" w:hint="default"/>
          <w:spacing w:val="-4"/>
        </w:rPr>
        <w:t>4</w:t>
      </w:r>
      <w:r>
        <w:rPr>
          <w:spacing w:val="-4"/>
        </w:rPr>
        <w:t>）安全生产教育培训力度不断加大。公司印发了《安全生产月活动方案》，组织开展了以</w:t>
      </w:r>
      <w:r>
        <w:rPr>
          <w:w w:val="100"/>
        </w:rPr>
        <w:t> </w:t>
      </w:r>
      <w:r>
        <w:rPr>
          <w:rFonts w:ascii="Arial" w:hAnsi="Arial" w:cs="Arial" w:eastAsia="Arial" w:hint="default"/>
        </w:rPr>
        <w:t>“</w:t>
      </w:r>
      <w:r>
        <w:rPr/>
        <w:t>防风险、除隐患、遏事故</w:t>
      </w:r>
      <w:r>
        <w:rPr>
          <w:rFonts w:ascii="Arial" w:hAnsi="Arial" w:cs="Arial" w:eastAsia="Arial" w:hint="default"/>
        </w:rPr>
        <w:t>”</w:t>
      </w:r>
      <w:r>
        <w:rPr/>
        <w:t>为主题的安全生产月活动。组织分、子公司认真学习贯彻《黑龙江省</w:t>
      </w:r>
      <w:r>
        <w:rPr>
          <w:w w:val="100"/>
        </w:rPr>
        <w:t> </w:t>
      </w:r>
      <w:r>
        <w:rPr>
          <w:spacing w:val="-2"/>
        </w:rPr>
        <w:t>生产经营单位安全生产主体责任规定》，各农业分公司均通过聘请安全法律专家等方式，对管理</w:t>
      </w:r>
      <w:r>
        <w:rPr>
          <w:spacing w:val="-25"/>
        </w:rPr>
        <w:t> </w:t>
      </w:r>
      <w:r>
        <w:rPr>
          <w:spacing w:val="-25"/>
        </w:rPr>
      </w:r>
      <w:r>
        <w:rPr>
          <w:spacing w:val="-3"/>
        </w:rPr>
        <w:t>人员进行了全面培训，共培训</w:t>
      </w:r>
      <w:r>
        <w:rPr>
          <w:spacing w:val="-40"/>
        </w:rPr>
        <w:t> </w:t>
      </w:r>
      <w:r>
        <w:rPr>
          <w:rFonts w:ascii="Arial" w:hAnsi="Arial" w:cs="Arial" w:eastAsia="Arial" w:hint="default"/>
        </w:rPr>
        <w:t>42</w:t>
      </w:r>
      <w:r>
        <w:rPr>
          <w:rFonts w:ascii="Arial" w:hAnsi="Arial" w:cs="Arial" w:eastAsia="Arial" w:hint="default"/>
          <w:spacing w:val="7"/>
        </w:rPr>
        <w:t> </w:t>
      </w:r>
      <w:r>
        <w:rPr>
          <w:spacing w:val="-4"/>
        </w:rPr>
        <w:t>场次，累计培训</w:t>
      </w:r>
      <w:r>
        <w:rPr>
          <w:spacing w:val="-43"/>
        </w:rPr>
        <w:t> </w:t>
      </w:r>
      <w:r>
        <w:rPr>
          <w:rFonts w:ascii="Arial" w:hAnsi="Arial" w:cs="Arial" w:eastAsia="Arial" w:hint="default"/>
        </w:rPr>
        <w:t>6000</w:t>
      </w:r>
      <w:r>
        <w:rPr>
          <w:rFonts w:ascii="Arial" w:hAnsi="Arial" w:cs="Arial" w:eastAsia="Arial" w:hint="default"/>
          <w:spacing w:val="6"/>
        </w:rPr>
        <w:t> </w:t>
      </w:r>
      <w:r>
        <w:rPr>
          <w:spacing w:val="-3"/>
        </w:rPr>
        <w:t>余人次。各分、子公司积极组织开展了安</w:t>
      </w:r>
      <w:r>
        <w:rPr>
          <w:spacing w:val="-100"/>
        </w:rPr>
        <w:t> </w:t>
      </w:r>
      <w:r>
        <w:rPr>
          <w:spacing w:val="-100"/>
        </w:rPr>
      </w:r>
      <w:r>
        <w:rPr>
          <w:spacing w:val="-2"/>
        </w:rPr>
        <w:t>全生产宣讲进基层、安全法律专家专题讲座、事故案例警示教育、安全宣传咨询日和安全文艺演</w:t>
      </w:r>
      <w:r>
        <w:rPr>
          <w:spacing w:val="-25"/>
        </w:rPr>
        <w:t> </w:t>
      </w:r>
      <w:r>
        <w:rPr>
          <w:spacing w:val="-25"/>
        </w:rPr>
      </w:r>
      <w:r>
        <w:rPr>
          <w:spacing w:val="-2"/>
        </w:rPr>
        <w:t>出等活动。进一步加强安全生产常规培训，在不同的生产阶段都组织开展了安全生产集中培训活</w:t>
      </w:r>
      <w:r>
        <w:rPr>
          <w:spacing w:val="-25"/>
        </w:rPr>
        <w:t> </w:t>
      </w:r>
      <w:r>
        <w:rPr>
          <w:spacing w:val="-25"/>
        </w:rPr>
      </w:r>
      <w:r>
        <w:rPr>
          <w:spacing w:val="-2"/>
        </w:rPr>
        <w:t>动，对临时雇佣人员采取发放作业风险告知卡等方式进行现场安全培训。分、子公司全年共开展</w:t>
      </w:r>
      <w:r>
        <w:rPr>
          <w:spacing w:val="-25"/>
        </w:rPr>
        <w:t> </w:t>
      </w:r>
      <w:r>
        <w:rPr>
          <w:spacing w:val="-25"/>
        </w:rPr>
      </w:r>
      <w:r>
        <w:rPr/>
        <w:t>集中培训</w:t>
      </w:r>
      <w:r>
        <w:rPr>
          <w:spacing w:val="-53"/>
        </w:rPr>
        <w:t> </w:t>
      </w:r>
      <w:r>
        <w:rPr>
          <w:rFonts w:ascii="Arial" w:hAnsi="Arial" w:cs="Arial" w:eastAsia="Arial" w:hint="default"/>
        </w:rPr>
        <w:t>172</w:t>
      </w:r>
      <w:r>
        <w:rPr>
          <w:rFonts w:ascii="Arial" w:hAnsi="Arial" w:cs="Arial" w:eastAsia="Arial" w:hint="default"/>
          <w:spacing w:val="-8"/>
        </w:rPr>
        <w:t> </w:t>
      </w:r>
      <w:r>
        <w:rPr/>
        <w:t>场次，培训</w:t>
      </w:r>
      <w:r>
        <w:rPr>
          <w:spacing w:val="-55"/>
        </w:rPr>
        <w:t> </w:t>
      </w:r>
      <w:r>
        <w:rPr>
          <w:rFonts w:ascii="Arial" w:hAnsi="Arial" w:cs="Arial" w:eastAsia="Arial" w:hint="default"/>
        </w:rPr>
        <w:t>56116</w:t>
      </w:r>
      <w:r>
        <w:rPr>
          <w:rFonts w:ascii="Arial" w:hAnsi="Arial" w:cs="Arial" w:eastAsia="Arial" w:hint="default"/>
          <w:spacing w:val="-6"/>
        </w:rPr>
        <w:t> </w:t>
      </w:r>
      <w:r>
        <w:rPr/>
        <w:t>人次。</w:t>
      </w:r>
    </w:p>
    <w:p>
      <w:pPr>
        <w:pStyle w:val="BodyText"/>
        <w:spacing w:line="268" w:lineRule="auto"/>
        <w:ind w:left="138" w:right="0" w:firstLine="419"/>
        <w:jc w:val="left"/>
      </w:pPr>
      <w:r>
        <w:rPr>
          <w:spacing w:val="-3"/>
        </w:rPr>
        <w:t>（</w:t>
      </w:r>
      <w:r>
        <w:rPr>
          <w:rFonts w:ascii="Arial" w:hAnsi="Arial" w:cs="Arial" w:eastAsia="Arial" w:hint="default"/>
          <w:spacing w:val="-3"/>
        </w:rPr>
        <w:t>5</w:t>
      </w:r>
      <w:r>
        <w:rPr>
          <w:spacing w:val="-3"/>
        </w:rPr>
        <w:t>）安全生产管理队伍素质不断提高。公司持续加强安全生产管理队伍建设，</w:t>
      </w:r>
      <w:r>
        <w:rPr>
          <w:rFonts w:ascii="Arial" w:hAnsi="Arial" w:cs="Arial" w:eastAsia="Arial" w:hint="default"/>
          <w:spacing w:val="-3"/>
        </w:rPr>
        <w:t>9</w:t>
      </w:r>
      <w:r>
        <w:rPr>
          <w:rFonts w:ascii="Arial" w:hAnsi="Arial" w:cs="Arial" w:eastAsia="Arial" w:hint="default"/>
          <w:spacing w:val="38"/>
        </w:rPr>
        <w:t> </w:t>
      </w:r>
      <w:r>
        <w:rPr>
          <w:spacing w:val="-5"/>
        </w:rPr>
        <w:t>月上旬，在</w:t>
      </w:r>
      <w:r>
        <w:rPr>
          <w:w w:val="100"/>
        </w:rPr>
        <w:t> </w:t>
      </w:r>
      <w:r>
        <w:rPr>
          <w:spacing w:val="-2"/>
        </w:rPr>
        <w:t>哈尔滨举办了安全生产管理人员培训班，各分、子公司分管安全工作副总经理、安监办主任和专</w:t>
      </w:r>
      <w:r>
        <w:rPr>
          <w:spacing w:val="-25"/>
        </w:rPr>
        <w:t> </w:t>
      </w:r>
      <w:r>
        <w:rPr>
          <w:spacing w:val="-25"/>
        </w:rPr>
      </w:r>
      <w:r>
        <w:rPr/>
        <w:t>职安全生产管理人员，以及公司总部有关安全管理行业部门人员，共计</w:t>
      </w:r>
      <w:r>
        <w:rPr>
          <w:spacing w:val="-55"/>
        </w:rPr>
        <w:t> </w:t>
      </w:r>
      <w:r>
        <w:rPr>
          <w:rFonts w:ascii="Arial" w:hAnsi="Arial" w:cs="Arial" w:eastAsia="Arial" w:hint="default"/>
        </w:rPr>
        <w:t>60</w:t>
      </w:r>
      <w:r>
        <w:rPr>
          <w:rFonts w:ascii="Arial" w:hAnsi="Arial" w:cs="Arial" w:eastAsia="Arial" w:hint="default"/>
          <w:spacing w:val="-10"/>
        </w:rPr>
        <w:t> </w:t>
      </w:r>
      <w:r>
        <w:rPr/>
        <w:t>余人参加了培训。进</w:t>
      </w:r>
      <w:r>
        <w:rPr>
          <w:w w:val="100"/>
        </w:rPr>
        <w:t> </w:t>
      </w:r>
      <w:r>
        <w:rPr/>
        <w:t>一步增强了安全生产管理人员业务能力和安全生产法律意识，提高了履职尽责的能力。</w:t>
      </w:r>
    </w:p>
    <w:p>
      <w:pPr>
        <w:pStyle w:val="BodyText"/>
        <w:spacing w:line="268" w:lineRule="auto" w:before="19"/>
        <w:ind w:left="138" w:right="128" w:firstLine="419"/>
        <w:jc w:val="both"/>
      </w:pPr>
      <w:r>
        <w:rPr>
          <w:spacing w:val="-4"/>
        </w:rPr>
        <w:t>（</w:t>
      </w:r>
      <w:r>
        <w:rPr>
          <w:rFonts w:ascii="Arial" w:hAnsi="Arial" w:cs="Arial" w:eastAsia="Arial" w:hint="default"/>
          <w:spacing w:val="-4"/>
        </w:rPr>
        <w:t>6</w:t>
      </w:r>
      <w:r>
        <w:rPr>
          <w:spacing w:val="-4"/>
        </w:rPr>
        <w:t>）强化安全生产应急管理。公司不断加强应急队伍、物资装备等应急管理工作，积极组织</w:t>
      </w:r>
      <w:r>
        <w:rPr>
          <w:w w:val="100"/>
        </w:rPr>
        <w:t> </w:t>
      </w:r>
      <w:r>
        <w:rPr>
          <w:spacing w:val="-5"/>
        </w:rPr>
        <w:t>开展应急演练，修订完善应急预案。分、子公司全年共组织开展</w:t>
      </w:r>
      <w:r>
        <w:rPr>
          <w:spacing w:val="-35"/>
        </w:rPr>
        <w:t> </w:t>
      </w:r>
      <w:r>
        <w:rPr>
          <w:rFonts w:ascii="Arial" w:hAnsi="Arial" w:cs="Arial" w:eastAsia="Arial" w:hint="default"/>
        </w:rPr>
        <w:t>105</w:t>
      </w:r>
      <w:r>
        <w:rPr>
          <w:rFonts w:ascii="Arial" w:hAnsi="Arial" w:cs="Arial" w:eastAsia="Arial" w:hint="default"/>
          <w:spacing w:val="10"/>
        </w:rPr>
        <w:t> </w:t>
      </w:r>
      <w:r>
        <w:rPr>
          <w:spacing w:val="-5"/>
        </w:rPr>
        <w:t>次应急演练活动，参加</w:t>
      </w:r>
      <w:r>
        <w:rPr>
          <w:spacing w:val="-38"/>
        </w:rPr>
        <w:t> </w:t>
      </w:r>
      <w:r>
        <w:rPr>
          <w:rFonts w:ascii="Arial" w:hAnsi="Arial" w:cs="Arial" w:eastAsia="Arial" w:hint="default"/>
        </w:rPr>
        <w:t>4000</w:t>
      </w:r>
      <w:r>
        <w:rPr>
          <w:rFonts w:ascii="Arial" w:hAnsi="Arial" w:cs="Arial" w:eastAsia="Arial" w:hint="default"/>
          <w:spacing w:val="-51"/>
        </w:rPr>
        <w:t> </w:t>
      </w:r>
      <w:r>
        <w:rPr>
          <w:rFonts w:ascii="Arial" w:hAnsi="Arial" w:cs="Arial" w:eastAsia="Arial" w:hint="default"/>
          <w:spacing w:val="-51"/>
        </w:rPr>
      </w:r>
      <w:r>
        <w:rPr>
          <w:spacing w:val="-2"/>
        </w:rPr>
        <w:t>余人次，进一步提高了从业人员处置突发事故的能力。落实重大节假日和政治敏感时段领导干部</w:t>
      </w:r>
      <w:r>
        <w:rPr>
          <w:spacing w:val="-25"/>
        </w:rPr>
        <w:t> </w:t>
      </w:r>
      <w:r>
        <w:rPr>
          <w:spacing w:val="-25"/>
        </w:rPr>
      </w:r>
      <w:r>
        <w:rPr>
          <w:rFonts w:ascii="Arial" w:hAnsi="Arial" w:cs="Arial" w:eastAsia="Arial" w:hint="default"/>
        </w:rPr>
        <w:t>24 </w:t>
      </w:r>
      <w:r>
        <w:rPr>
          <w:spacing w:val="-4"/>
        </w:rPr>
        <w:t>小时带班值班和事故信息报告制度，加强督促安全生产各项保障措施的有效落实，确保了遇有</w:t>
      </w:r>
      <w:r>
        <w:rPr>
          <w:spacing w:val="-80"/>
        </w:rPr>
        <w:t> </w:t>
      </w:r>
      <w:r>
        <w:rPr>
          <w:spacing w:val="-80"/>
        </w:rPr>
      </w:r>
      <w:r>
        <w:rPr/>
        <w:t>紧急情况能够快速有效应对、妥善处置，并准确上报有关情况。</w:t>
      </w:r>
    </w:p>
    <w:p>
      <w:pPr>
        <w:pStyle w:val="BodyText"/>
        <w:spacing w:line="240" w:lineRule="auto" w:before="19"/>
        <w:ind w:left="558" w:right="0"/>
        <w:jc w:val="left"/>
      </w:pPr>
      <w:r>
        <w:rPr>
          <w:spacing w:val="-3"/>
        </w:rPr>
        <w:t>（</w:t>
      </w:r>
      <w:r>
        <w:rPr>
          <w:rFonts w:ascii="Arial" w:hAnsi="Arial" w:cs="Arial" w:eastAsia="Arial" w:hint="default"/>
          <w:spacing w:val="-3"/>
        </w:rPr>
        <w:t>7</w:t>
      </w:r>
      <w:r>
        <w:rPr>
          <w:spacing w:val="-3"/>
        </w:rPr>
        <w:t>）加强年度安全工作考核。公司兑现了 </w:t>
      </w:r>
      <w:r>
        <w:rPr>
          <w:rFonts w:ascii="Arial" w:hAnsi="Arial" w:cs="Arial" w:eastAsia="Arial" w:hint="default"/>
        </w:rPr>
        <w:t>2018</w:t>
      </w:r>
      <w:r>
        <w:rPr>
          <w:rFonts w:ascii="Arial" w:hAnsi="Arial" w:cs="Arial" w:eastAsia="Arial" w:hint="default"/>
          <w:spacing w:val="4"/>
        </w:rPr>
        <w:t> </w:t>
      </w:r>
      <w:r>
        <w:rPr>
          <w:spacing w:val="-3"/>
        </w:rPr>
        <w:t>年安全生产责任制考核奖罚，制定印发了公</w:t>
      </w:r>
    </w:p>
    <w:p>
      <w:pPr>
        <w:pStyle w:val="BodyText"/>
        <w:spacing w:line="240" w:lineRule="auto" w:before="29"/>
        <w:ind w:left="138" w:right="0"/>
        <w:jc w:val="both"/>
      </w:pPr>
      <w:r>
        <w:rPr>
          <w:spacing w:val="-10"/>
        </w:rPr>
        <w:t>司《</w:t>
      </w:r>
      <w:r>
        <w:rPr>
          <w:rFonts w:ascii="Arial" w:hAnsi="Arial" w:cs="Arial" w:eastAsia="Arial" w:hint="default"/>
          <w:spacing w:val="-10"/>
        </w:rPr>
        <w:t>2019  </w:t>
      </w:r>
      <w:r>
        <w:rPr>
          <w:spacing w:val="-9"/>
        </w:rPr>
        <w:t>年度安全生产责任制考核办法》，于 </w:t>
      </w:r>
      <w:r>
        <w:rPr>
          <w:rFonts w:ascii="Arial" w:hAnsi="Arial" w:cs="Arial" w:eastAsia="Arial" w:hint="default"/>
        </w:rPr>
        <w:t>11</w:t>
      </w:r>
      <w:r>
        <w:rPr>
          <w:rFonts w:ascii="Arial" w:hAnsi="Arial" w:cs="Arial" w:eastAsia="Arial" w:hint="default"/>
          <w:spacing w:val="-31"/>
        </w:rPr>
        <w:t> </w:t>
      </w:r>
      <w:r>
        <w:rPr>
          <w:spacing w:val="-4"/>
        </w:rPr>
        <w:t>月下旬，公司安全生产委员会办公室组织对分、</w:t>
      </w:r>
    </w:p>
    <w:p>
      <w:pPr>
        <w:pStyle w:val="BodyText"/>
        <w:spacing w:line="271" w:lineRule="auto" w:before="32"/>
        <w:ind w:left="138" w:right="137"/>
        <w:jc w:val="both"/>
      </w:pPr>
      <w:r>
        <w:rPr/>
        <w:t>子公司</w:t>
      </w:r>
      <w:r>
        <w:rPr>
          <w:spacing w:val="-55"/>
        </w:rPr>
        <w:t> </w:t>
      </w:r>
      <w:r>
        <w:rPr>
          <w:rFonts w:ascii="Arial" w:hAnsi="Arial" w:cs="Arial" w:eastAsia="Arial" w:hint="default"/>
        </w:rPr>
        <w:t>2019</w:t>
      </w:r>
      <w:r>
        <w:rPr>
          <w:rFonts w:ascii="Arial" w:hAnsi="Arial" w:cs="Arial" w:eastAsia="Arial" w:hint="default"/>
          <w:spacing w:val="-10"/>
        </w:rPr>
        <w:t> </w:t>
      </w:r>
      <w:r>
        <w:rPr/>
        <w:t>年度安全生产工作完成情况进行了全面考核，并严格按照考核结果兑现奖罚。通过</w:t>
      </w:r>
      <w:r>
        <w:rPr>
          <w:w w:val="100"/>
        </w:rPr>
        <w:t> </w:t>
      </w:r>
      <w:r>
        <w:rPr>
          <w:spacing w:val="-2"/>
        </w:rPr>
        <w:t>加强安全生产工作考核，提高了各级领导干部和管理人员的安全生产责任意识，有效推动了各项</w:t>
      </w:r>
      <w:r>
        <w:rPr>
          <w:spacing w:val="-25"/>
        </w:rPr>
        <w:t> </w:t>
      </w:r>
      <w:r>
        <w:rPr>
          <w:spacing w:val="-25"/>
        </w:rPr>
      </w:r>
      <w:r>
        <w:rPr/>
        <w:t>工作落实，实现年度安全生产工作目标。</w:t>
      </w:r>
    </w:p>
    <w:p>
      <w:pPr>
        <w:pStyle w:val="Heading2"/>
        <w:spacing w:line="240" w:lineRule="auto" w:before="19"/>
        <w:ind w:left="560" w:right="0"/>
        <w:jc w:val="left"/>
        <w:rPr>
          <w:b w:val="0"/>
          <w:bCs w:val="0"/>
        </w:rPr>
      </w:pPr>
      <w:r>
        <w:rPr>
          <w:rFonts w:ascii="Arial" w:hAnsi="Arial" w:cs="Arial" w:eastAsia="Arial" w:hint="default"/>
        </w:rPr>
        <w:t>2.</w:t>
      </w:r>
      <w:r>
        <w:rPr/>
        <w:t>产品质量控制</w:t>
      </w:r>
      <w:r>
        <w:rPr>
          <w:b w:val="0"/>
          <w:bCs w:val="0"/>
        </w:rPr>
      </w:r>
    </w:p>
    <w:p>
      <w:pPr>
        <w:pStyle w:val="BodyText"/>
        <w:spacing w:line="273" w:lineRule="auto" w:before="29"/>
        <w:ind w:left="558" w:right="0"/>
        <w:jc w:val="left"/>
      </w:pPr>
      <w:r>
        <w:rPr/>
        <w:t>（</w:t>
      </w:r>
      <w:r>
        <w:rPr>
          <w:rFonts w:ascii="Arial" w:hAnsi="Arial" w:cs="Arial" w:eastAsia="Arial" w:hint="default"/>
        </w:rPr>
        <w:t>1</w:t>
      </w:r>
      <w:r>
        <w:rPr/>
        <w:t>）农产品质量控制</w:t>
      </w:r>
      <w:r>
        <w:rPr>
          <w:w w:val="100"/>
        </w:rPr>
        <w:t> </w:t>
      </w:r>
      <w:r>
        <w:rPr/>
        <w:t>一是推广种植优质作物品种。种植抗病性强、稳定性好的优良品种，确保作物品质优良。</w:t>
      </w:r>
      <w:r>
        <w:rPr>
          <w:w w:val="100"/>
        </w:rPr>
        <w:t> </w:t>
      </w:r>
      <w:r>
        <w:rPr>
          <w:spacing w:val="-2"/>
        </w:rPr>
        <w:t>二是推广绿色生产方式。通过科学合理控制种植密度及灌溉施肥，提高作物自身防病抗病能</w:t>
      </w:r>
    </w:p>
    <w:p>
      <w:pPr>
        <w:pStyle w:val="BodyText"/>
        <w:spacing w:line="278" w:lineRule="auto" w:before="15"/>
        <w:ind w:left="138" w:right="137"/>
        <w:jc w:val="both"/>
      </w:pPr>
      <w:r>
        <w:rPr>
          <w:spacing w:val="-2"/>
        </w:rPr>
        <w:t>力；通过应用测土配方施肥、水稻侧深施肥、缓释肥、有机肥替代等技术措施，实现化肥农药等</w:t>
      </w:r>
      <w:r>
        <w:rPr>
          <w:spacing w:val="-25"/>
        </w:rPr>
        <w:t> </w:t>
      </w:r>
      <w:r>
        <w:rPr>
          <w:spacing w:val="-25"/>
        </w:rPr>
      </w:r>
      <w:r>
        <w:rPr/>
        <w:t>农业投入品减量应用，达到改善土壤环境、提高农产品品质的目的。</w:t>
      </w:r>
    </w:p>
    <w:p>
      <w:pPr>
        <w:pStyle w:val="BodyText"/>
        <w:spacing w:line="278" w:lineRule="auto" w:before="13"/>
        <w:ind w:left="138" w:right="137" w:firstLine="419"/>
        <w:jc w:val="both"/>
      </w:pPr>
      <w:r>
        <w:rPr>
          <w:spacing w:val="-2"/>
        </w:rPr>
        <w:t>三是构建绿色生产基地。依托独特的生态条件，构建有机绿色产品基地，大力发展有机绿色</w:t>
      </w:r>
      <w:r>
        <w:rPr>
          <w:w w:val="100"/>
        </w:rPr>
        <w:t> </w:t>
      </w:r>
      <w:r>
        <w:rPr>
          <w:spacing w:val="-2"/>
        </w:rPr>
        <w:t>种植，加强有机产品认证管理，规范认证流程，使公司生态农业体系建设得到进一步完善，全面</w:t>
      </w:r>
      <w:r>
        <w:rPr>
          <w:spacing w:val="-25"/>
        </w:rPr>
        <w:t> </w:t>
      </w:r>
      <w:r>
        <w:rPr>
          <w:spacing w:val="-25"/>
        </w:rPr>
      </w:r>
      <w:r>
        <w:rPr/>
        <w:t>提升农产品质量和食品安全水平。</w:t>
      </w:r>
    </w:p>
    <w:p>
      <w:pPr>
        <w:spacing w:after="0" w:line="278" w:lineRule="auto"/>
        <w:jc w:val="both"/>
        <w:sectPr>
          <w:pgSz w:w="11910" w:h="16840"/>
          <w:pgMar w:header="825" w:footer="1195" w:top="1360" w:bottom="1380" w:left="1660" w:right="1140"/>
        </w:sectPr>
      </w:pPr>
    </w:p>
    <w:p>
      <w:pPr>
        <w:spacing w:line="240" w:lineRule="auto" w:before="12"/>
        <w:rPr>
          <w:rFonts w:ascii="宋体" w:hAnsi="宋体" w:cs="宋体" w:eastAsia="宋体" w:hint="default"/>
          <w:sz w:val="9"/>
          <w:szCs w:val="9"/>
        </w:rPr>
      </w:pPr>
    </w:p>
    <w:p>
      <w:pPr>
        <w:pStyle w:val="BodyText"/>
        <w:spacing w:line="280" w:lineRule="auto" w:before="36"/>
        <w:ind w:left="138" w:right="137" w:firstLine="419"/>
        <w:jc w:val="both"/>
      </w:pPr>
      <w:r>
        <w:rPr>
          <w:spacing w:val="-2"/>
        </w:rPr>
        <w:t>四是加大农产品质量安全的监管力度。有效利用农业物联网手段，结合标准化生产要求，从</w:t>
      </w:r>
      <w:r>
        <w:rPr>
          <w:w w:val="100"/>
        </w:rPr>
        <w:t> </w:t>
      </w:r>
      <w:r>
        <w:rPr/>
        <w:t>投入品、种植过程、环境等多方面进行监管，确保产品安全。</w:t>
      </w:r>
    </w:p>
    <w:p>
      <w:pPr>
        <w:pStyle w:val="BodyText"/>
        <w:spacing w:line="264" w:lineRule="auto" w:before="8"/>
        <w:ind w:left="558" w:right="0"/>
        <w:jc w:val="left"/>
      </w:pPr>
      <w:r>
        <w:rPr/>
        <w:t>（</w:t>
      </w:r>
      <w:r>
        <w:rPr>
          <w:rFonts w:ascii="Arial" w:hAnsi="Arial" w:cs="Arial" w:eastAsia="Arial" w:hint="default"/>
        </w:rPr>
        <w:t>2</w:t>
      </w:r>
      <w:r>
        <w:rPr/>
        <w:t>）工业产品质量控制</w:t>
      </w:r>
      <w:r>
        <w:rPr>
          <w:w w:val="100"/>
        </w:rPr>
        <w:t> </w:t>
      </w:r>
      <w:r>
        <w:rPr>
          <w:spacing w:val="-2"/>
        </w:rPr>
        <w:t>一是公司及下属工业企业严格执行《中华人民共和国产品质量法》及国家和行业标准，制定</w:t>
      </w:r>
    </w:p>
    <w:p>
      <w:pPr>
        <w:pStyle w:val="BodyText"/>
        <w:spacing w:line="278" w:lineRule="auto" w:before="25"/>
        <w:ind w:left="558" w:right="0" w:hanging="420"/>
        <w:jc w:val="left"/>
      </w:pPr>
      <w:r>
        <w:rPr/>
        <w:t>了产品质量控制、改进和监督管理等保障和改进产品质量的规章制度。</w:t>
      </w:r>
      <w:r>
        <w:rPr>
          <w:w w:val="100"/>
        </w:rPr>
        <w:t> </w:t>
      </w:r>
      <w:r>
        <w:rPr>
          <w:spacing w:val="-2"/>
        </w:rPr>
        <w:t>二是公司及下属工业企业加强生产过程质量管理，严格控制原材料质量、生产流程和具体操</w:t>
      </w:r>
    </w:p>
    <w:p>
      <w:pPr>
        <w:pStyle w:val="BodyText"/>
        <w:spacing w:line="280" w:lineRule="auto" w:before="10"/>
        <w:ind w:left="558" w:right="0" w:hanging="420"/>
        <w:jc w:val="left"/>
      </w:pPr>
      <w:r>
        <w:rPr/>
        <w:t>作，确保产品质量达到既定标准。</w:t>
      </w:r>
      <w:r>
        <w:rPr>
          <w:w w:val="100"/>
        </w:rPr>
        <w:t> </w:t>
      </w:r>
      <w:r>
        <w:rPr>
          <w:spacing w:val="-2"/>
        </w:rPr>
        <w:t>三是公司及下属工业企业加强和完善产品质量检验，严格按照相关规定对产品进行全检或抽</w:t>
      </w:r>
    </w:p>
    <w:p>
      <w:pPr>
        <w:pStyle w:val="BodyText"/>
        <w:spacing w:line="278" w:lineRule="auto" w:before="8"/>
        <w:ind w:left="558" w:right="0" w:hanging="420"/>
        <w:jc w:val="left"/>
      </w:pPr>
      <w:r>
        <w:rPr/>
        <w:t>检，防止有瑕疵或缺陷的产品进入销售或使用环节。</w:t>
      </w:r>
      <w:r>
        <w:rPr>
          <w:w w:val="100"/>
        </w:rPr>
        <w:t> </w:t>
      </w:r>
      <w:r>
        <w:rPr>
          <w:spacing w:val="-2"/>
        </w:rPr>
        <w:t>四是公司及下属工业企业根据产品特征和销售渠道，选择适当的方式及时获取客户使用产品</w:t>
      </w:r>
    </w:p>
    <w:p>
      <w:pPr>
        <w:pStyle w:val="BodyText"/>
        <w:spacing w:line="240" w:lineRule="auto" w:before="13"/>
        <w:ind w:left="138" w:right="0"/>
        <w:jc w:val="left"/>
      </w:pPr>
      <w:r>
        <w:rPr/>
        <w:t>的信息，并将产品质量相关的信息及时通报生产部门。</w:t>
      </w:r>
    </w:p>
    <w:p>
      <w:pPr>
        <w:pStyle w:val="Heading2"/>
        <w:spacing w:line="240" w:lineRule="auto" w:before="45"/>
        <w:ind w:left="560" w:right="0"/>
        <w:jc w:val="left"/>
        <w:rPr>
          <w:b w:val="0"/>
          <w:bCs w:val="0"/>
        </w:rPr>
      </w:pPr>
      <w:r>
        <w:rPr>
          <w:rFonts w:ascii="Arial" w:hAnsi="Arial" w:cs="Arial" w:eastAsia="Arial" w:hint="default"/>
        </w:rPr>
        <w:t>3.</w:t>
      </w:r>
      <w:r>
        <w:rPr/>
        <w:t>环境保护与资源节约</w:t>
      </w:r>
      <w:r>
        <w:rPr>
          <w:b w:val="0"/>
          <w:bCs w:val="0"/>
        </w:rPr>
      </w:r>
    </w:p>
    <w:p>
      <w:pPr>
        <w:pStyle w:val="BodyText"/>
        <w:spacing w:line="266" w:lineRule="auto" w:before="29"/>
        <w:ind w:left="558" w:right="0"/>
        <w:jc w:val="left"/>
      </w:pPr>
      <w:r>
        <w:rPr/>
        <w:t>（</w:t>
      </w:r>
      <w:r>
        <w:rPr>
          <w:rFonts w:ascii="Arial" w:hAnsi="Arial" w:cs="Arial" w:eastAsia="Arial" w:hint="default"/>
        </w:rPr>
        <w:t>1</w:t>
      </w:r>
      <w:r>
        <w:rPr/>
        <w:t>）加强组织领导</w:t>
      </w:r>
      <w:r>
        <w:rPr>
          <w:w w:val="100"/>
        </w:rPr>
        <w:t> </w:t>
      </w:r>
      <w:r>
        <w:rPr>
          <w:spacing w:val="-2"/>
        </w:rPr>
        <w:t>公司设有环境保护委员会，由公司总经理担任主任，分管副总经理担任副主任，负责环境保</w:t>
      </w:r>
    </w:p>
    <w:p>
      <w:pPr>
        <w:pStyle w:val="BodyText"/>
        <w:spacing w:line="278" w:lineRule="auto" w:before="21"/>
        <w:ind w:left="138" w:right="137"/>
        <w:jc w:val="both"/>
      </w:pPr>
      <w:r>
        <w:rPr>
          <w:spacing w:val="-2"/>
        </w:rPr>
        <w:t>护工作的领导和决策。公司环境保护委员会办公室设在综合经济部，具体负责全公司的环境保护</w:t>
      </w:r>
      <w:r>
        <w:rPr>
          <w:spacing w:val="-25"/>
        </w:rPr>
        <w:t> </w:t>
      </w:r>
      <w:r>
        <w:rPr>
          <w:spacing w:val="-25"/>
        </w:rPr>
      </w:r>
      <w:r>
        <w:rPr/>
        <w:t>工作。</w:t>
      </w:r>
    </w:p>
    <w:p>
      <w:pPr>
        <w:pStyle w:val="BodyText"/>
        <w:spacing w:line="264" w:lineRule="auto" w:before="13"/>
        <w:ind w:left="558" w:right="0"/>
        <w:jc w:val="left"/>
      </w:pPr>
      <w:r>
        <w:rPr/>
        <w:t>（</w:t>
      </w:r>
      <w:r>
        <w:rPr>
          <w:rFonts w:ascii="Arial" w:hAnsi="Arial" w:cs="Arial" w:eastAsia="Arial" w:hint="default"/>
        </w:rPr>
        <w:t>2</w:t>
      </w:r>
      <w:r>
        <w:rPr/>
        <w:t>）农业环境保护及资源节约的具体措施</w:t>
      </w:r>
      <w:r>
        <w:rPr>
          <w:w w:val="100"/>
        </w:rPr>
        <w:t> </w:t>
      </w:r>
      <w:r>
        <w:rPr>
          <w:spacing w:val="-2"/>
        </w:rPr>
        <w:t>一是建立合理的轮作制度。积极合理调整旱田作物种植结构，通过玉米、大豆及经济作物等</w:t>
      </w:r>
    </w:p>
    <w:p>
      <w:pPr>
        <w:pStyle w:val="BodyText"/>
        <w:spacing w:line="280" w:lineRule="auto" w:before="23"/>
        <w:ind w:left="558" w:right="0" w:hanging="420"/>
        <w:jc w:val="left"/>
      </w:pPr>
      <w:r>
        <w:rPr/>
        <w:t>进行合理轮作，减少田间病虫草害，提高土壤肥力。</w:t>
      </w:r>
      <w:r>
        <w:rPr>
          <w:w w:val="100"/>
        </w:rPr>
        <w:t> </w:t>
      </w:r>
      <w:r>
        <w:rPr>
          <w:spacing w:val="-2"/>
        </w:rPr>
        <w:t>二是推广绿色防控技术，通过加强病情、虫情和天气情况的监测预警，根据不同天气情况有</w:t>
      </w:r>
    </w:p>
    <w:p>
      <w:pPr>
        <w:pStyle w:val="BodyText"/>
        <w:spacing w:line="278" w:lineRule="auto" w:before="8"/>
        <w:ind w:left="558" w:right="0" w:hanging="420"/>
        <w:jc w:val="left"/>
      </w:pPr>
      <w:r>
        <w:rPr/>
        <w:t>针对性的进行病虫草害的综合防治，避免盲目施药。</w:t>
      </w:r>
      <w:r>
        <w:rPr>
          <w:w w:val="100"/>
        </w:rPr>
        <w:t> </w:t>
      </w:r>
      <w:r>
        <w:rPr>
          <w:spacing w:val="-2"/>
        </w:rPr>
        <w:t>三是加大实用型新技术推广，逐步构建低碳环保栽培技术模式，推广保护性耕作技术，实行</w:t>
      </w:r>
    </w:p>
    <w:p>
      <w:pPr>
        <w:pStyle w:val="BodyText"/>
        <w:spacing w:line="278" w:lineRule="auto" w:before="13"/>
        <w:ind w:left="138" w:right="130"/>
        <w:jc w:val="both"/>
      </w:pPr>
      <w:r>
        <w:rPr>
          <w:spacing w:val="-7"/>
        </w:rPr>
        <w:t>免耕、少耕的耕作制度，减少机械进地次数，降低能源消耗；扩大水稻侧深施肥、旱田联合整地、</w:t>
      </w:r>
      <w:r>
        <w:rPr>
          <w:spacing w:val="-13"/>
        </w:rPr>
        <w:t> </w:t>
      </w:r>
      <w:r>
        <w:rPr>
          <w:spacing w:val="-13"/>
        </w:rPr>
      </w:r>
      <w:r>
        <w:rPr/>
        <w:t>两年玉米茬种大豆免施基肥、控氮减磷稳钾等技术的推广及应用。</w:t>
      </w:r>
    </w:p>
    <w:p>
      <w:pPr>
        <w:pStyle w:val="BodyText"/>
        <w:spacing w:line="278" w:lineRule="auto" w:before="10"/>
        <w:ind w:left="138" w:right="137" w:firstLine="419"/>
        <w:jc w:val="both"/>
      </w:pPr>
      <w:r>
        <w:rPr>
          <w:spacing w:val="-2"/>
        </w:rPr>
        <w:t>四是加大低碳环保农机的推广和使用。重点以推广精量播种机械、卫星智能导航定位、侧深</w:t>
      </w:r>
      <w:r>
        <w:rPr>
          <w:w w:val="100"/>
        </w:rPr>
        <w:t> </w:t>
      </w:r>
      <w:r>
        <w:rPr>
          <w:spacing w:val="-2"/>
        </w:rPr>
        <w:t>施肥机、棚内及田间轨道机械、割晒拾禾机械等实用型、节本增效机械为主；同时，加大秸秆粉</w:t>
      </w:r>
      <w:r>
        <w:rPr>
          <w:spacing w:val="-25"/>
        </w:rPr>
        <w:t> </w:t>
      </w:r>
      <w:r>
        <w:rPr>
          <w:spacing w:val="-25"/>
        </w:rPr>
      </w:r>
      <w:r>
        <w:rPr>
          <w:spacing w:val="-2"/>
        </w:rPr>
        <w:t>碎及整地机械的应用，有效实现秸秆还田，推动生态农业、循环农业的有效开展，确保农业发展</w:t>
      </w:r>
      <w:r>
        <w:rPr>
          <w:spacing w:val="-25"/>
        </w:rPr>
        <w:t> </w:t>
      </w:r>
      <w:r>
        <w:rPr>
          <w:spacing w:val="-25"/>
        </w:rPr>
      </w:r>
      <w:r>
        <w:rPr/>
        <w:t>可持续。</w:t>
      </w:r>
    </w:p>
    <w:p>
      <w:pPr>
        <w:pStyle w:val="BodyText"/>
        <w:spacing w:line="278" w:lineRule="auto" w:before="13"/>
        <w:ind w:left="138" w:right="137" w:firstLine="419"/>
        <w:jc w:val="both"/>
      </w:pPr>
      <w:r>
        <w:rPr>
          <w:spacing w:val="-2"/>
        </w:rPr>
        <w:t>五是控制和治理农业面源污染。推广科学施肥技术和合理使用农药技术，大力推广高效、低</w:t>
      </w:r>
      <w:r>
        <w:rPr>
          <w:w w:val="100"/>
        </w:rPr>
        <w:t> </w:t>
      </w:r>
      <w:r>
        <w:rPr>
          <w:spacing w:val="-2"/>
        </w:rPr>
        <w:t>毒、低残留农药投入品的使用；强化农业废弃物的处理，对农药残液，农药包装袋、包装瓶等废</w:t>
      </w:r>
      <w:r>
        <w:rPr>
          <w:spacing w:val="-25"/>
        </w:rPr>
        <w:t> </w:t>
      </w:r>
      <w:r>
        <w:rPr>
          <w:spacing w:val="-25"/>
        </w:rPr>
      </w:r>
      <w:r>
        <w:rPr/>
        <w:t>弃物进行了集中回收和处理，有效控制了各项污染。</w:t>
      </w:r>
    </w:p>
    <w:p>
      <w:pPr>
        <w:pStyle w:val="BodyText"/>
        <w:spacing w:line="278" w:lineRule="auto" w:before="13"/>
        <w:ind w:left="138" w:right="137" w:firstLine="419"/>
        <w:jc w:val="both"/>
      </w:pPr>
      <w:r>
        <w:rPr>
          <w:spacing w:val="-2"/>
        </w:rPr>
        <w:t>六是继续加大宣传和培训力度，加强对基层农业技术人员、种植户的培训，重点增强技术人</w:t>
      </w:r>
      <w:r>
        <w:rPr>
          <w:w w:val="100"/>
        </w:rPr>
        <w:t> </w:t>
      </w:r>
      <w:r>
        <w:rPr>
          <w:spacing w:val="-2"/>
        </w:rPr>
        <w:t>员对低碳环保技术的责任意识，提高其服务水平；增强农户环保意识，掌握相关低碳种植技术的</w:t>
      </w:r>
      <w:r>
        <w:rPr>
          <w:spacing w:val="-25"/>
        </w:rPr>
        <w:t> </w:t>
      </w:r>
      <w:r>
        <w:rPr>
          <w:spacing w:val="-25"/>
        </w:rPr>
      </w:r>
      <w:r>
        <w:rPr/>
        <w:t>应用。</w:t>
      </w:r>
    </w:p>
    <w:p>
      <w:pPr>
        <w:pStyle w:val="BodyText"/>
        <w:spacing w:line="264" w:lineRule="auto" w:before="13"/>
        <w:ind w:left="558" w:right="0"/>
        <w:jc w:val="left"/>
      </w:pPr>
      <w:r>
        <w:rPr/>
        <w:t>（</w:t>
      </w:r>
      <w:r>
        <w:rPr>
          <w:rFonts w:ascii="Arial" w:hAnsi="Arial" w:cs="Arial" w:eastAsia="Arial" w:hint="default"/>
        </w:rPr>
        <w:t>3</w:t>
      </w:r>
      <w:r>
        <w:rPr/>
        <w:t>）工业企业环境保护及资源节约的具体措施</w:t>
      </w:r>
      <w:r>
        <w:rPr>
          <w:w w:val="100"/>
        </w:rPr>
        <w:t> </w:t>
      </w:r>
      <w:r>
        <w:rPr>
          <w:spacing w:val="-2"/>
        </w:rPr>
        <w:t>公司下属工业企业严格遵守《中华人民共和国环境保护法》和《黑龙江省环境保护条例》，</w:t>
      </w:r>
    </w:p>
    <w:p>
      <w:pPr>
        <w:pStyle w:val="BodyText"/>
        <w:spacing w:line="280" w:lineRule="auto" w:before="23"/>
        <w:ind w:left="138" w:right="137"/>
        <w:jc w:val="both"/>
      </w:pPr>
      <w:r>
        <w:rPr>
          <w:spacing w:val="-2"/>
        </w:rPr>
        <w:t>依据国家环保标准，保证环保方面的投资，防治污染做到了技术上可行、经济上合理，坚持综合</w:t>
      </w:r>
      <w:r>
        <w:rPr>
          <w:spacing w:val="-25"/>
        </w:rPr>
        <w:t> </w:t>
      </w:r>
      <w:r>
        <w:rPr>
          <w:spacing w:val="-25"/>
        </w:rPr>
      </w:r>
      <w:r>
        <w:rPr>
          <w:spacing w:val="-2"/>
        </w:rPr>
        <w:t>防治、以防为主、防治结合、以管促治、谁污染谁治理的原则。报告期内，公司及下属工业企业</w:t>
      </w:r>
      <w:r>
        <w:rPr>
          <w:spacing w:val="-25"/>
        </w:rPr>
        <w:t> </w:t>
      </w:r>
      <w:r>
        <w:rPr>
          <w:spacing w:val="-25"/>
        </w:rPr>
      </w:r>
      <w:r>
        <w:rPr/>
        <w:t>未发生造成污染事故或者其他突发事件；未有其它新建项目。</w:t>
      </w:r>
    </w:p>
    <w:p>
      <w:pPr>
        <w:pStyle w:val="Heading2"/>
        <w:spacing w:line="240" w:lineRule="auto" w:before="8"/>
        <w:ind w:left="560" w:right="0"/>
        <w:jc w:val="left"/>
        <w:rPr>
          <w:b w:val="0"/>
          <w:bCs w:val="0"/>
        </w:rPr>
      </w:pPr>
      <w:r>
        <w:rPr>
          <w:rFonts w:ascii="Arial" w:hAnsi="Arial" w:cs="Arial" w:eastAsia="Arial" w:hint="default"/>
        </w:rPr>
        <w:t>4.</w:t>
      </w:r>
      <w:r>
        <w:rPr/>
        <w:t>促进就业与员工权益保护</w:t>
      </w:r>
      <w:r>
        <w:rPr>
          <w:b w:val="0"/>
          <w:bCs w:val="0"/>
        </w:rPr>
      </w:r>
    </w:p>
    <w:p>
      <w:pPr>
        <w:pStyle w:val="BodyText"/>
        <w:spacing w:line="240" w:lineRule="auto" w:before="32"/>
        <w:ind w:left="558" w:right="0"/>
        <w:jc w:val="left"/>
      </w:pPr>
      <w:r>
        <w:rPr/>
        <w:t>（</w:t>
      </w:r>
      <w:r>
        <w:rPr>
          <w:rFonts w:ascii="Arial" w:hAnsi="Arial" w:cs="Arial" w:eastAsia="Arial" w:hint="default"/>
        </w:rPr>
        <w:t>1</w:t>
      </w:r>
      <w:r>
        <w:rPr/>
        <w:t>）员工合法权益保护</w:t>
      </w:r>
    </w:p>
    <w:p>
      <w:pPr>
        <w:spacing w:after="0" w:line="240" w:lineRule="auto"/>
        <w:jc w:val="left"/>
        <w:sectPr>
          <w:pgSz w:w="11910" w:h="16840"/>
          <w:pgMar w:header="825" w:footer="1195" w:top="1360" w:bottom="1380" w:left="1660" w:right="1140"/>
        </w:sectPr>
      </w:pPr>
    </w:p>
    <w:p>
      <w:pPr>
        <w:spacing w:line="240" w:lineRule="auto" w:before="12"/>
        <w:rPr>
          <w:rFonts w:ascii="宋体" w:hAnsi="宋体" w:cs="宋体" w:eastAsia="宋体" w:hint="default"/>
          <w:sz w:val="9"/>
          <w:szCs w:val="9"/>
        </w:rPr>
      </w:pPr>
    </w:p>
    <w:p>
      <w:pPr>
        <w:pStyle w:val="BodyText"/>
        <w:spacing w:line="280" w:lineRule="auto" w:before="36"/>
        <w:ind w:left="138" w:right="217" w:firstLine="419"/>
        <w:jc w:val="both"/>
      </w:pPr>
      <w:r>
        <w:rPr>
          <w:spacing w:val="-2"/>
        </w:rPr>
        <w:t>一是公司建立健全科学完善的管理人员聘用、员工薪酬分配、全员业绩考核制度。遵循按劳</w:t>
      </w:r>
      <w:r>
        <w:rPr>
          <w:w w:val="100"/>
        </w:rPr>
        <w:t> </w:t>
      </w:r>
      <w:r>
        <w:rPr>
          <w:spacing w:val="-2"/>
        </w:rPr>
        <w:t>分配原则，实行同工同酬，并及时足额支付员工劳动报酬，为每个员工办理社会保险。严格执行</w:t>
      </w:r>
      <w:r>
        <w:rPr>
          <w:spacing w:val="-25"/>
        </w:rPr>
        <w:t> </w:t>
      </w:r>
      <w:r>
        <w:rPr>
          <w:spacing w:val="-25"/>
        </w:rPr>
      </w:r>
      <w:r>
        <w:rPr/>
        <w:t>工作时间和休息休假制度，实行法定假日带薪休假与带薪年休假制度。</w:t>
      </w:r>
    </w:p>
    <w:p>
      <w:pPr>
        <w:pStyle w:val="BodyText"/>
        <w:spacing w:line="266" w:lineRule="auto" w:before="8"/>
        <w:ind w:left="138" w:right="107" w:firstLine="419"/>
        <w:jc w:val="left"/>
      </w:pPr>
      <w:r>
        <w:rPr/>
        <w:t>二是公司与聘用的 </w:t>
      </w:r>
      <w:r>
        <w:rPr>
          <w:rFonts w:ascii="Arial" w:hAnsi="Arial" w:cs="Arial" w:eastAsia="Arial" w:hint="default"/>
        </w:rPr>
        <w:t>34921</w:t>
      </w:r>
      <w:r>
        <w:rPr>
          <w:rFonts w:ascii="Arial" w:hAnsi="Arial" w:cs="Arial" w:eastAsia="Arial" w:hint="default"/>
          <w:spacing w:val="-15"/>
        </w:rPr>
        <w:t> </w:t>
      </w:r>
      <w:r>
        <w:rPr/>
        <w:t>名员工签订了劳动合同，劳动合同条款符合相关法律法规的要求。</w:t>
      </w:r>
      <w:r>
        <w:rPr>
          <w:w w:val="100"/>
        </w:rPr>
        <w:t> </w:t>
      </w:r>
      <w:r>
        <w:rPr/>
        <w:t>公司严禁使用未成年员工，不得歧视和虐待员工及强制员工从事劳动。</w:t>
      </w:r>
    </w:p>
    <w:p>
      <w:pPr>
        <w:pStyle w:val="BodyText"/>
        <w:spacing w:line="264" w:lineRule="auto" w:before="21"/>
        <w:ind w:left="138" w:right="105" w:firstLine="419"/>
        <w:jc w:val="left"/>
      </w:pPr>
      <w:r>
        <w:rPr/>
        <w:t>三是公司实施员工疗养制度。</w:t>
      </w:r>
      <w:r>
        <w:rPr>
          <w:rFonts w:ascii="Arial" w:hAnsi="Arial" w:cs="Arial" w:eastAsia="Arial" w:hint="default"/>
        </w:rPr>
        <w:t>2019</w:t>
      </w:r>
      <w:r>
        <w:rPr>
          <w:rFonts w:ascii="Arial" w:hAnsi="Arial" w:cs="Arial" w:eastAsia="Arial" w:hint="default"/>
          <w:spacing w:val="-9"/>
        </w:rPr>
        <w:t> </w:t>
      </w:r>
      <w:r>
        <w:rPr/>
        <w:t>年对符合疗养条件的</w:t>
      </w:r>
      <w:r>
        <w:rPr>
          <w:spacing w:val="-56"/>
        </w:rPr>
        <w:t> </w:t>
      </w:r>
      <w:r>
        <w:rPr>
          <w:rFonts w:ascii="Arial" w:hAnsi="Arial" w:cs="Arial" w:eastAsia="Arial" w:hint="default"/>
        </w:rPr>
        <w:t>5</w:t>
      </w:r>
      <w:r>
        <w:rPr>
          <w:rFonts w:ascii="Arial" w:hAnsi="Arial" w:cs="Arial" w:eastAsia="Arial" w:hint="default"/>
          <w:spacing w:val="-7"/>
        </w:rPr>
        <w:t> </w:t>
      </w:r>
      <w:r>
        <w:rPr/>
        <w:t>名员工，安排去太湖疗养院休养。</w:t>
      </w:r>
      <w:r>
        <w:rPr>
          <w:w w:val="100"/>
        </w:rPr>
        <w:t> </w:t>
      </w:r>
      <w:r>
        <w:rPr/>
        <w:t>开展访贫问苦工作，在春节前夕，公司组织走访慰问</w:t>
      </w:r>
      <w:r>
        <w:rPr>
          <w:spacing w:val="-53"/>
        </w:rPr>
        <w:t> </w:t>
      </w:r>
      <w:r>
        <w:rPr>
          <w:rFonts w:ascii="Arial" w:hAnsi="Arial" w:cs="Arial" w:eastAsia="Arial" w:hint="default"/>
        </w:rPr>
        <w:t>62</w:t>
      </w:r>
      <w:r>
        <w:rPr>
          <w:rFonts w:ascii="Arial" w:hAnsi="Arial" w:cs="Arial" w:eastAsia="Arial" w:hint="default"/>
          <w:spacing w:val="-8"/>
        </w:rPr>
        <w:t> </w:t>
      </w:r>
      <w:r>
        <w:rPr/>
        <w:t>名困难员工。</w:t>
      </w:r>
    </w:p>
    <w:p>
      <w:pPr>
        <w:pStyle w:val="BodyText"/>
        <w:spacing w:line="264" w:lineRule="auto" w:before="8"/>
        <w:ind w:left="558" w:right="98"/>
        <w:jc w:val="left"/>
      </w:pPr>
      <w:r>
        <w:rPr/>
        <w:t>（</w:t>
      </w:r>
      <w:r>
        <w:rPr>
          <w:rFonts w:ascii="Arial" w:hAnsi="Arial" w:cs="Arial" w:eastAsia="Arial" w:hint="default"/>
        </w:rPr>
        <w:t>2</w:t>
      </w:r>
      <w:r>
        <w:rPr/>
        <w:t>）员工培训及素质提升</w:t>
      </w:r>
      <w:r>
        <w:rPr>
          <w:w w:val="100"/>
        </w:rPr>
        <w:t> </w:t>
      </w:r>
      <w:r>
        <w:rPr>
          <w:spacing w:val="-2"/>
        </w:rPr>
        <w:t>一是公司年初制定了员工培训计划，采取内训和外训结合的方式进行，培训工作已形成制度</w:t>
      </w:r>
    </w:p>
    <w:p>
      <w:pPr>
        <w:pStyle w:val="BodyText"/>
        <w:spacing w:line="240" w:lineRule="auto" w:before="23"/>
        <w:ind w:left="138" w:right="98"/>
        <w:jc w:val="left"/>
      </w:pPr>
      <w:r>
        <w:rPr/>
        <w:t>化。全年共举办各类培训班</w:t>
      </w:r>
      <w:r>
        <w:rPr>
          <w:spacing w:val="-54"/>
        </w:rPr>
        <w:t> </w:t>
      </w:r>
      <w:r>
        <w:rPr>
          <w:rFonts w:ascii="Arial" w:hAnsi="Arial" w:cs="Arial" w:eastAsia="Arial" w:hint="default"/>
        </w:rPr>
        <w:t>167</w:t>
      </w:r>
      <w:r>
        <w:rPr>
          <w:rFonts w:ascii="Arial" w:hAnsi="Arial" w:cs="Arial" w:eastAsia="Arial" w:hint="default"/>
          <w:spacing w:val="-7"/>
        </w:rPr>
        <w:t> </w:t>
      </w:r>
      <w:r>
        <w:rPr/>
        <w:t>期，累计培训员工</w:t>
      </w:r>
      <w:r>
        <w:rPr>
          <w:spacing w:val="-56"/>
        </w:rPr>
        <w:t> </w:t>
      </w:r>
      <w:r>
        <w:rPr>
          <w:rFonts w:ascii="Arial" w:hAnsi="Arial" w:cs="Arial" w:eastAsia="Arial" w:hint="default"/>
        </w:rPr>
        <w:t>38081</w:t>
      </w:r>
      <w:r>
        <w:rPr>
          <w:rFonts w:ascii="Arial" w:hAnsi="Arial" w:cs="Arial" w:eastAsia="Arial" w:hint="default"/>
          <w:spacing w:val="-7"/>
        </w:rPr>
        <w:t> </w:t>
      </w:r>
      <w:r>
        <w:rPr/>
        <w:t>人次。</w:t>
      </w:r>
    </w:p>
    <w:p>
      <w:pPr>
        <w:pStyle w:val="BodyText"/>
        <w:spacing w:line="240" w:lineRule="auto" w:before="32"/>
        <w:ind w:left="558" w:right="98"/>
        <w:jc w:val="left"/>
      </w:pPr>
      <w:r>
        <w:rPr/>
        <w:t>二是为进一步提升员工素质，公司年初制定了人才需求计划。组织所属</w:t>
      </w:r>
      <w:r>
        <w:rPr>
          <w:spacing w:val="-56"/>
        </w:rPr>
        <w:t> </w:t>
      </w:r>
      <w:r>
        <w:rPr>
          <w:rFonts w:ascii="Arial" w:hAnsi="Arial" w:cs="Arial" w:eastAsia="Arial" w:hint="default"/>
        </w:rPr>
        <w:t>11</w:t>
      </w:r>
      <w:r>
        <w:rPr>
          <w:rFonts w:ascii="Arial" w:hAnsi="Arial" w:cs="Arial" w:eastAsia="Arial" w:hint="default"/>
          <w:spacing w:val="-10"/>
        </w:rPr>
        <w:t> </w:t>
      </w:r>
      <w:r>
        <w:rPr/>
        <w:t>个分公司先后赴</w:t>
      </w:r>
    </w:p>
    <w:p>
      <w:pPr>
        <w:pStyle w:val="BodyText"/>
        <w:spacing w:line="266" w:lineRule="auto" w:before="30"/>
        <w:ind w:left="558" w:right="98" w:hanging="420"/>
        <w:jc w:val="left"/>
      </w:pPr>
      <w:r>
        <w:rPr/>
        <w:t>八一农垦大学、东北农业大学等省内高校招聘应届毕业生，全年共招聘高校毕业生</w:t>
      </w:r>
      <w:r>
        <w:rPr>
          <w:spacing w:val="-53"/>
        </w:rPr>
        <w:t> </w:t>
      </w:r>
      <w:r>
        <w:rPr>
          <w:rFonts w:ascii="Arial" w:hAnsi="Arial" w:cs="Arial" w:eastAsia="Arial" w:hint="default"/>
        </w:rPr>
        <w:t>44</w:t>
      </w:r>
      <w:r>
        <w:rPr>
          <w:rFonts w:ascii="Arial" w:hAnsi="Arial" w:cs="Arial" w:eastAsia="Arial" w:hint="default"/>
          <w:spacing w:val="-9"/>
        </w:rPr>
        <w:t> </w:t>
      </w:r>
      <w:r>
        <w:rPr/>
        <w:t>人。</w:t>
      </w:r>
      <w:r>
        <w:rPr>
          <w:w w:val="100"/>
        </w:rPr>
        <w:t> </w:t>
      </w:r>
      <w:r>
        <w:rPr>
          <w:rFonts w:ascii="Arial" w:hAnsi="Arial" w:cs="Arial" w:eastAsia="Arial" w:hint="default"/>
          <w:b/>
          <w:bCs/>
        </w:rPr>
        <w:t>5.</w:t>
      </w:r>
      <w:r>
        <w:rPr>
          <w:rFonts w:ascii="宋体" w:hAnsi="宋体" w:cs="宋体" w:eastAsia="宋体" w:hint="default"/>
          <w:b/>
          <w:bCs/>
        </w:rPr>
        <w:t>其他社会责任</w:t>
      </w:r>
      <w:r>
        <w:rPr>
          <w:rFonts w:ascii="宋体" w:hAnsi="宋体" w:cs="宋体" w:eastAsia="宋体" w:hint="default"/>
          <w:b/>
          <w:bCs/>
          <w:w w:val="100"/>
        </w:rPr>
        <w:t> </w:t>
      </w:r>
      <w:r>
        <w:rPr>
          <w:spacing w:val="-2"/>
        </w:rPr>
        <w:t>公司始终秉承依法经营、诚信纳税的宗旨，积极履行社会责任，坚持以纳税报国、反哺社会</w:t>
      </w:r>
    </w:p>
    <w:p>
      <w:pPr>
        <w:pStyle w:val="BodyText"/>
        <w:spacing w:line="266" w:lineRule="auto" w:before="21"/>
        <w:ind w:left="138" w:right="207"/>
        <w:jc w:val="both"/>
      </w:pPr>
      <w:r>
        <w:rPr>
          <w:spacing w:val="-3"/>
        </w:rPr>
        <w:t>为己任，严格遵守国家各项税收法律法规，依法履行纳税和代扣代缴税款的义务</w:t>
      </w:r>
      <w:r>
        <w:rPr>
          <w:rFonts w:ascii="Arial" w:hAnsi="Arial" w:cs="Arial" w:eastAsia="Arial" w:hint="default"/>
          <w:spacing w:val="-3"/>
        </w:rPr>
        <w:t>,</w:t>
      </w:r>
      <w:r>
        <w:rPr>
          <w:spacing w:val="-3"/>
        </w:rPr>
        <w:t>及时足额缴纳国</w:t>
      </w:r>
      <w:r>
        <w:rPr>
          <w:spacing w:val="-32"/>
        </w:rPr>
        <w:t> </w:t>
      </w:r>
      <w:r>
        <w:rPr>
          <w:spacing w:val="-32"/>
        </w:rPr>
      </w:r>
      <w:r>
        <w:rPr/>
        <w:t>家各项税款。</w:t>
      </w:r>
      <w:r>
        <w:rPr>
          <w:rFonts w:ascii="Arial" w:hAnsi="Arial" w:cs="Arial" w:eastAsia="Arial" w:hint="default"/>
        </w:rPr>
        <w:t>2019</w:t>
      </w:r>
      <w:r>
        <w:rPr>
          <w:rFonts w:ascii="Arial" w:hAnsi="Arial" w:cs="Arial" w:eastAsia="Arial" w:hint="default"/>
          <w:spacing w:val="8"/>
        </w:rPr>
        <w:t> </w:t>
      </w:r>
      <w:r>
        <w:rPr>
          <w:spacing w:val="-3"/>
        </w:rPr>
        <w:t>年，公司缴纳各项税费</w:t>
      </w:r>
      <w:r>
        <w:rPr>
          <w:spacing w:val="-35"/>
        </w:rPr>
        <w:t> </w:t>
      </w:r>
      <w:r>
        <w:rPr>
          <w:rFonts w:ascii="Arial" w:hAnsi="Arial" w:cs="Arial" w:eastAsia="Arial" w:hint="default"/>
        </w:rPr>
        <w:t>5511</w:t>
      </w:r>
      <w:r>
        <w:rPr>
          <w:rFonts w:ascii="Arial" w:hAnsi="Arial" w:cs="Arial" w:eastAsia="Arial" w:hint="default"/>
          <w:spacing w:val="8"/>
        </w:rPr>
        <w:t> </w:t>
      </w:r>
      <w:r>
        <w:rPr>
          <w:spacing w:val="-3"/>
        </w:rPr>
        <w:t>万元；同时履行代扣代缴义务，缴纳个人所得税</w:t>
      </w:r>
      <w:r>
        <w:rPr>
          <w:spacing w:val="-98"/>
        </w:rPr>
        <w:t> </w:t>
      </w:r>
      <w:r>
        <w:rPr>
          <w:spacing w:val="-98"/>
        </w:rPr>
      </w:r>
      <w:r>
        <w:rPr>
          <w:rFonts w:ascii="Arial" w:hAnsi="Arial" w:cs="Arial" w:eastAsia="Arial" w:hint="default"/>
        </w:rPr>
        <w:t>3074</w:t>
      </w:r>
      <w:r>
        <w:rPr>
          <w:rFonts w:ascii="Arial" w:hAnsi="Arial" w:cs="Arial" w:eastAsia="Arial" w:hint="default"/>
          <w:spacing w:val="-5"/>
        </w:rPr>
        <w:t> </w:t>
      </w:r>
      <w:r>
        <w:rPr/>
        <w:t>万元。</w:t>
      </w:r>
    </w:p>
    <w:p>
      <w:pPr>
        <w:pStyle w:val="Heading2"/>
        <w:tabs>
          <w:tab w:pos="781" w:val="left" w:leader="none"/>
        </w:tabs>
        <w:spacing w:line="240" w:lineRule="auto" w:before="18"/>
        <w:ind w:left="138" w:right="98"/>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2"/>
        <w:tabs>
          <w:tab w:pos="562" w:val="left" w:leader="none"/>
        </w:tabs>
        <w:spacing w:line="240" w:lineRule="auto" w:before="58"/>
        <w:ind w:left="138" w:right="98"/>
        <w:jc w:val="left"/>
        <w:rPr>
          <w:rFonts w:ascii="宋体" w:hAnsi="宋体" w:cs="宋体" w:eastAsia="宋体" w:hint="default"/>
          <w:b w:val="0"/>
          <w:bCs w:val="0"/>
        </w:rPr>
      </w:pPr>
      <w:r>
        <w:rPr>
          <w:rFonts w:ascii="宋体" w:hAnsi="宋体" w:cs="宋体" w:eastAsia="宋体" w:hint="default"/>
          <w:w w:val="95"/>
        </w:rPr>
        <w:t>1.</w:t>
        <w:tab/>
      </w:r>
      <w:r>
        <w:rPr/>
        <w:t>属于环境保护部门公布的重点排污单位的公司及其重要子公司的环保情况说明</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138" w:right="7280"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63"/>
          <w:sz w:val="21"/>
          <w:szCs w:val="21"/>
        </w:rPr>
        <w:t> </w:t>
      </w:r>
      <w:r>
        <w:rPr>
          <w:rFonts w:ascii="宋体" w:hAnsi="宋体" w:cs="宋体" w:eastAsia="宋体" w:hint="default"/>
          <w:b/>
          <w:bCs/>
          <w:sz w:val="21"/>
          <w:szCs w:val="21"/>
        </w:rPr>
        <w:t>排污信息</w:t>
      </w:r>
      <w:r>
        <w:rPr>
          <w:rFonts w:ascii="宋体" w:hAnsi="宋体" w:cs="宋体" w:eastAsia="宋体" w:hint="default"/>
          <w:sz w:val="21"/>
          <w:szCs w:val="21"/>
        </w:rPr>
      </w:r>
    </w:p>
    <w:p>
      <w:pPr>
        <w:pStyle w:val="BodyText"/>
        <w:spacing w:line="276" w:lineRule="auto" w:before="12"/>
        <w:ind w:left="558" w:right="98" w:hanging="420"/>
        <w:jc w:val="left"/>
      </w:pPr>
      <w:r>
        <w:rPr/>
        <w:t>√适用□不适用</w:t>
      </w:r>
      <w:r>
        <w:rPr>
          <w:rFonts w:ascii="宋体" w:hAnsi="宋体" w:cs="宋体" w:eastAsia="宋体" w:hint="default"/>
          <w:w w:val="100"/>
        </w:rPr>
        <w:t> </w:t>
      </w:r>
      <w:r>
        <w:rPr>
          <w:spacing w:val="-2"/>
        </w:rPr>
        <w:t>公司及所属企业只有浩良河化肥分公司和北大荒纸业有限公司两家企业属于环保部门公布的</w:t>
      </w:r>
    </w:p>
    <w:p>
      <w:pPr>
        <w:spacing w:line="290" w:lineRule="auto" w:before="15"/>
        <w:ind w:left="138" w:right="1822" w:firstLine="0"/>
        <w:jc w:val="left"/>
        <w:rPr>
          <w:rFonts w:ascii="宋体" w:hAnsi="宋体" w:cs="宋体" w:eastAsia="宋体" w:hint="default"/>
          <w:sz w:val="21"/>
          <w:szCs w:val="21"/>
        </w:rPr>
      </w:pPr>
      <w:r>
        <w:rPr>
          <w:rFonts w:ascii="宋体" w:hAnsi="宋体" w:cs="宋体" w:eastAsia="宋体" w:hint="default"/>
          <w:spacing w:val="-2"/>
          <w:sz w:val="21"/>
          <w:szCs w:val="21"/>
        </w:rPr>
        <w:t>重点排污单位。报告期内，上述两家企业都处于停产状态，没有污染物排放。</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b/>
          <w:bCs/>
          <w:sz w:val="21"/>
          <w:szCs w:val="21"/>
        </w:rPr>
        <w:t>(2)</w:t>
      </w:r>
      <w:r>
        <w:rPr>
          <w:rFonts w:ascii="宋体" w:hAnsi="宋体" w:cs="宋体" w:eastAsia="宋体" w:hint="default"/>
          <w:b/>
          <w:bCs/>
          <w:spacing w:val="-65"/>
          <w:sz w:val="21"/>
          <w:szCs w:val="21"/>
        </w:rPr>
        <w:t> </w:t>
      </w:r>
      <w:r>
        <w:rPr>
          <w:rFonts w:ascii="宋体" w:hAnsi="宋体" w:cs="宋体" w:eastAsia="宋体" w:hint="default"/>
          <w:b/>
          <w:bCs/>
          <w:sz w:val="21"/>
          <w:szCs w:val="21"/>
        </w:rPr>
        <w:t>防治污染设施的建设和运行情况</w:t>
      </w:r>
      <w:r>
        <w:rPr>
          <w:rFonts w:ascii="宋体" w:hAnsi="宋体" w:cs="宋体" w:eastAsia="宋体" w:hint="default"/>
          <w:sz w:val="21"/>
          <w:szCs w:val="21"/>
        </w:rPr>
      </w:r>
    </w:p>
    <w:p>
      <w:pPr>
        <w:pStyle w:val="BodyText"/>
        <w:spacing w:line="240" w:lineRule="auto" w:before="14"/>
        <w:ind w:left="138" w:right="9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left="138" w:right="98"/>
        <w:jc w:val="left"/>
        <w:rPr>
          <w:b w:val="0"/>
          <w:bCs w:val="0"/>
        </w:rPr>
      </w:pPr>
      <w:r>
        <w:rPr>
          <w:rFonts w:ascii="宋体" w:hAnsi="宋体" w:cs="宋体" w:eastAsia="宋体" w:hint="default"/>
        </w:rPr>
        <w:t>(3)</w:t>
      </w:r>
      <w:r>
        <w:rPr>
          <w:rFonts w:ascii="宋体" w:hAnsi="宋体" w:cs="宋体" w:eastAsia="宋体" w:hint="default"/>
          <w:spacing w:val="-67"/>
        </w:rPr>
        <w:t> </w:t>
      </w:r>
      <w:r>
        <w:rPr/>
        <w:t>建设项目环境影响评价及其他环境保护行政许可情况</w:t>
      </w:r>
      <w:r>
        <w:rPr>
          <w:b w:val="0"/>
          <w:bCs w:val="0"/>
        </w:rPr>
      </w:r>
    </w:p>
    <w:p>
      <w:pPr>
        <w:pStyle w:val="BodyText"/>
        <w:spacing w:line="240" w:lineRule="auto" w:before="58"/>
        <w:ind w:left="138" w:right="98"/>
        <w:jc w:val="left"/>
        <w:rPr>
          <w:rFonts w:ascii="宋体" w:hAnsi="宋体" w:cs="宋体" w:eastAsia="宋体" w:hint="default"/>
        </w:rPr>
      </w:pPr>
      <w:r>
        <w:rPr/>
        <w:t>□适用√不适用</w:t>
      </w:r>
      <w:r>
        <w:rPr>
          <w:rFonts w:ascii="宋体" w:hAnsi="宋体" w:cs="宋体" w:eastAsia="宋体" w:hint="default"/>
        </w:rPr>
        <w:t> </w:t>
      </w:r>
    </w:p>
    <w:p>
      <w:pPr>
        <w:pStyle w:val="Heading2"/>
        <w:spacing w:line="240" w:lineRule="auto"/>
        <w:ind w:left="138" w:right="98"/>
        <w:jc w:val="left"/>
        <w:rPr>
          <w:b w:val="0"/>
          <w:bCs w:val="0"/>
        </w:rPr>
      </w:pPr>
      <w:r>
        <w:rPr>
          <w:rFonts w:ascii="宋体" w:hAnsi="宋体" w:cs="宋体" w:eastAsia="宋体" w:hint="default"/>
        </w:rPr>
        <w:t>(4)</w:t>
      </w:r>
      <w:r>
        <w:rPr>
          <w:rFonts w:ascii="宋体" w:hAnsi="宋体" w:cs="宋体" w:eastAsia="宋体" w:hint="default"/>
          <w:spacing w:val="-63"/>
        </w:rPr>
        <w:t> </w:t>
      </w:r>
      <w:r>
        <w:rPr/>
        <w:t>突发环境事件应急预案</w:t>
      </w:r>
      <w:r>
        <w:rPr>
          <w:b w:val="0"/>
          <w:bCs w:val="0"/>
        </w:rPr>
      </w:r>
    </w:p>
    <w:p>
      <w:pPr>
        <w:pStyle w:val="BodyText"/>
        <w:spacing w:line="272" w:lineRule="exact" w:before="86"/>
        <w:ind w:left="138" w:right="5059"/>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各企业都制定了突发环境事件应急预案。</w:t>
      </w:r>
      <w:r>
        <w:rPr>
          <w:rFonts w:ascii="宋体" w:hAnsi="宋体" w:cs="宋体" w:eastAsia="宋体" w:hint="default"/>
        </w:rPr>
        <w:t> </w:t>
      </w:r>
    </w:p>
    <w:p>
      <w:pPr>
        <w:pStyle w:val="Heading2"/>
        <w:spacing w:line="240" w:lineRule="auto" w:before="31"/>
        <w:ind w:left="138" w:right="98"/>
        <w:jc w:val="left"/>
        <w:rPr>
          <w:b w:val="0"/>
          <w:bCs w:val="0"/>
        </w:rPr>
      </w:pPr>
      <w:r>
        <w:rPr>
          <w:rFonts w:ascii="宋体" w:hAnsi="宋体" w:cs="宋体" w:eastAsia="宋体" w:hint="default"/>
        </w:rPr>
        <w:t>(5)</w:t>
      </w:r>
      <w:r>
        <w:rPr>
          <w:rFonts w:ascii="宋体" w:hAnsi="宋体" w:cs="宋体" w:eastAsia="宋体" w:hint="default"/>
          <w:spacing w:val="-61"/>
        </w:rPr>
        <w:t> </w:t>
      </w:r>
      <w:r>
        <w:rPr/>
        <w:t>环境自行监测方案</w:t>
      </w:r>
      <w:r>
        <w:rPr>
          <w:b w:val="0"/>
          <w:bCs w:val="0"/>
        </w:rPr>
      </w:r>
    </w:p>
    <w:p>
      <w:pPr>
        <w:pStyle w:val="BodyText"/>
        <w:spacing w:line="272" w:lineRule="exact" w:before="86"/>
        <w:ind w:left="138" w:right="263"/>
        <w:jc w:val="left"/>
      </w:pPr>
      <w:r>
        <w:rPr/>
        <w:t>√适用□不适用</w:t>
      </w:r>
      <w:r>
        <w:rPr>
          <w:rFonts w:ascii="宋体" w:hAnsi="宋体" w:cs="宋体" w:eastAsia="宋体" w:hint="default"/>
          <w:w w:val="100"/>
        </w:rPr>
        <w:t> </w:t>
      </w:r>
      <w:r>
        <w:rPr>
          <w:spacing w:val="-2"/>
        </w:rPr>
        <w:t>各企业按照环保部门的规定运行环保设施，制定了自行监测方案，确保达标排放。</w:t>
      </w:r>
    </w:p>
    <w:p>
      <w:pPr>
        <w:pStyle w:val="Heading2"/>
        <w:spacing w:line="240" w:lineRule="auto" w:before="34"/>
        <w:ind w:left="138" w:right="98"/>
        <w:jc w:val="left"/>
        <w:rPr>
          <w:b w:val="0"/>
          <w:bCs w:val="0"/>
        </w:rPr>
      </w:pPr>
      <w:r>
        <w:rPr>
          <w:rFonts w:ascii="宋体" w:hAnsi="宋体" w:cs="宋体" w:eastAsia="宋体" w:hint="default"/>
        </w:rPr>
        <w:t>(6)</w:t>
      </w:r>
      <w:r>
        <w:rPr>
          <w:rFonts w:ascii="宋体" w:hAnsi="宋体" w:cs="宋体" w:eastAsia="宋体" w:hint="default"/>
          <w:spacing w:val="-63"/>
        </w:rPr>
        <w:t> </w:t>
      </w:r>
      <w:r>
        <w:rPr/>
        <w:t>其他应当公开的环境信息</w:t>
      </w:r>
      <w:r>
        <w:rPr>
          <w:b w:val="0"/>
          <w:bCs w:val="0"/>
        </w:rPr>
      </w:r>
    </w:p>
    <w:p>
      <w:pPr>
        <w:pStyle w:val="BodyText"/>
        <w:spacing w:line="240" w:lineRule="auto" w:before="56"/>
        <w:ind w:left="138" w:right="9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562" w:val="left" w:leader="none"/>
        </w:tabs>
        <w:spacing w:line="240" w:lineRule="auto" w:before="58"/>
        <w:ind w:left="138" w:right="98"/>
        <w:jc w:val="left"/>
        <w:rPr>
          <w:rFonts w:ascii="宋体" w:hAnsi="宋体" w:cs="宋体" w:eastAsia="宋体" w:hint="default"/>
          <w:b w:val="0"/>
          <w:bCs w:val="0"/>
        </w:rPr>
      </w:pPr>
      <w:r>
        <w:rPr>
          <w:rFonts w:ascii="宋体" w:hAnsi="宋体" w:cs="宋体" w:eastAsia="宋体" w:hint="default"/>
          <w:w w:val="95"/>
        </w:rPr>
        <w:t>2.</w:t>
        <w:tab/>
      </w:r>
      <w:r>
        <w:rPr/>
        <w:t>重点排污单位之外的公司的环保情况说明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78" w:lineRule="auto" w:before="56"/>
        <w:ind w:left="558" w:right="98"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重点排污单位之外，公司下属工业企业只有北大荒龙垦麦芽有限公司，该单位严格执行国家</w:t>
      </w:r>
    </w:p>
    <w:p>
      <w:pPr>
        <w:pStyle w:val="BodyText"/>
        <w:spacing w:line="240" w:lineRule="auto" w:before="10"/>
        <w:ind w:left="138" w:right="98"/>
        <w:jc w:val="left"/>
        <w:rPr>
          <w:rFonts w:ascii="宋体" w:hAnsi="宋体" w:cs="宋体" w:eastAsia="宋体" w:hint="default"/>
        </w:rPr>
      </w:pPr>
      <w:r>
        <w:rPr/>
        <w:t>有关法律法规，报告期内，未发生违规排放事件。</w:t>
      </w:r>
      <w:r>
        <w:rPr>
          <w:rFonts w:ascii="宋体" w:hAnsi="宋体" w:cs="宋体" w:eastAsia="宋体" w:hint="default"/>
        </w:rPr>
        <w:t> </w:t>
      </w:r>
    </w:p>
    <w:p>
      <w:pPr>
        <w:pStyle w:val="BodyText"/>
        <w:spacing w:line="266" w:lineRule="auto" w:before="44"/>
        <w:ind w:left="138" w:right="208" w:firstLine="419"/>
        <w:jc w:val="both"/>
      </w:pPr>
      <w:r>
        <w:rPr>
          <w:rFonts w:ascii="Arial" w:hAnsi="Arial" w:cs="Arial" w:eastAsia="Arial" w:hint="default"/>
        </w:rPr>
        <w:t>2019</w:t>
      </w:r>
      <w:r>
        <w:rPr>
          <w:rFonts w:ascii="Arial" w:hAnsi="Arial" w:cs="Arial" w:eastAsia="Arial" w:hint="default"/>
          <w:spacing w:val="34"/>
        </w:rPr>
        <w:t> </w:t>
      </w:r>
      <w:r>
        <w:rPr>
          <w:spacing w:val="-4"/>
        </w:rPr>
        <w:t>年，按照黑龙江省提出的“全域、全时段、全面禁烧”的要求，公司积极进行部署和落</w:t>
      </w:r>
      <w:r>
        <w:rPr>
          <w:w w:val="100"/>
        </w:rPr>
        <w:t> </w:t>
      </w:r>
      <w:r>
        <w:rPr>
          <w:spacing w:val="-2"/>
        </w:rPr>
        <w:t>实，进一步调整和优化了秸秆禁烧的网格化管理体系，严格执行“定区域、定人员、定职责、定</w:t>
      </w:r>
    </w:p>
    <w:p>
      <w:pPr>
        <w:spacing w:after="0" w:line="266" w:lineRule="auto"/>
        <w:jc w:val="both"/>
        <w:sectPr>
          <w:pgSz w:w="11910" w:h="16840"/>
          <w:pgMar w:header="825" w:footer="1195" w:top="1360" w:bottom="1380" w:left="1660" w:right="1060"/>
        </w:sectPr>
      </w:pPr>
    </w:p>
    <w:p>
      <w:pPr>
        <w:spacing w:line="240" w:lineRule="auto" w:before="12"/>
        <w:rPr>
          <w:rFonts w:ascii="宋体" w:hAnsi="宋体" w:cs="宋体" w:eastAsia="宋体" w:hint="default"/>
          <w:sz w:val="9"/>
          <w:szCs w:val="9"/>
        </w:rPr>
      </w:pPr>
    </w:p>
    <w:p>
      <w:pPr>
        <w:pStyle w:val="BodyText"/>
        <w:spacing w:line="280" w:lineRule="auto" w:before="36"/>
        <w:ind w:left="138" w:right="128"/>
        <w:jc w:val="both"/>
      </w:pPr>
      <w:r>
        <w:rPr>
          <w:spacing w:val="-2"/>
        </w:rPr>
        <w:t>任务”的管理要求，完善了组织架构，加大了管控力度，运用了无人机及高清摄像头等智能化的</w:t>
      </w:r>
      <w:r>
        <w:rPr>
          <w:spacing w:val="-26"/>
        </w:rPr>
        <w:t> </w:t>
      </w:r>
      <w:r>
        <w:rPr>
          <w:spacing w:val="-26"/>
        </w:rPr>
      </w:r>
      <w:r>
        <w:rPr>
          <w:spacing w:val="-2"/>
        </w:rPr>
        <w:t>监控手段，进行无死角监控；明确了责任分工，逐级签订责任状到管理区（站），发放告知书到</w:t>
      </w:r>
      <w:r>
        <w:rPr>
          <w:spacing w:val="-25"/>
        </w:rPr>
        <w:t> </w:t>
      </w:r>
      <w:r>
        <w:rPr>
          <w:spacing w:val="-25"/>
        </w:rPr>
      </w:r>
      <w:r>
        <w:rPr/>
        <w:t>种植户，全年公司各级累计签订责任状 </w:t>
      </w:r>
      <w:r>
        <w:rPr>
          <w:rFonts w:ascii="Arial" w:hAnsi="Arial" w:cs="Arial" w:eastAsia="Arial" w:hint="default"/>
        </w:rPr>
        <w:t>61032</w:t>
      </w:r>
      <w:r>
        <w:rPr>
          <w:rFonts w:ascii="Arial" w:hAnsi="Arial" w:cs="Arial" w:eastAsia="Arial" w:hint="default"/>
          <w:spacing w:val="-27"/>
        </w:rPr>
        <w:t> </w:t>
      </w:r>
      <w:r>
        <w:rPr>
          <w:spacing w:val="-4"/>
        </w:rPr>
        <w:t>份，确保责任到人到位；完善了巡查队伍建设，加</w:t>
      </w:r>
    </w:p>
    <w:p>
      <w:pPr>
        <w:pStyle w:val="BodyText"/>
        <w:spacing w:line="279" w:lineRule="exact"/>
        <w:ind w:left="138" w:right="0"/>
        <w:jc w:val="both"/>
        <w:rPr>
          <w:rFonts w:ascii="Arial" w:hAnsi="Arial" w:cs="Arial" w:eastAsia="Arial" w:hint="default"/>
        </w:rPr>
      </w:pPr>
      <w:r>
        <w:rPr>
          <w:spacing w:val="-4"/>
        </w:rPr>
        <w:t>大灭火相关设备配备力度，建立巡查小组</w:t>
      </w:r>
      <w:r>
        <w:rPr>
          <w:spacing w:val="-43"/>
        </w:rPr>
        <w:t> </w:t>
      </w:r>
      <w:r>
        <w:rPr>
          <w:rFonts w:ascii="Arial" w:hAnsi="Arial" w:cs="Arial" w:eastAsia="Arial" w:hint="default"/>
        </w:rPr>
        <w:t>509</w:t>
      </w:r>
      <w:r>
        <w:rPr>
          <w:rFonts w:ascii="Arial" w:hAnsi="Arial" w:cs="Arial" w:eastAsia="Arial" w:hint="default"/>
          <w:spacing w:val="4"/>
        </w:rPr>
        <w:t> </w:t>
      </w:r>
      <w:r>
        <w:rPr>
          <w:spacing w:val="-5"/>
        </w:rPr>
        <w:t>个，组建应急灭火小分队</w:t>
      </w:r>
      <w:r>
        <w:rPr>
          <w:spacing w:val="-43"/>
        </w:rPr>
        <w:t> </w:t>
      </w:r>
      <w:r>
        <w:rPr>
          <w:rFonts w:ascii="Arial" w:hAnsi="Arial" w:cs="Arial" w:eastAsia="Arial" w:hint="default"/>
        </w:rPr>
        <w:t>612 </w:t>
      </w:r>
      <w:r>
        <w:rPr>
          <w:rFonts w:ascii="Arial" w:hAnsi="Arial" w:cs="Arial" w:eastAsia="Arial" w:hint="default"/>
          <w:spacing w:val="6"/>
        </w:rPr>
        <w:t> </w:t>
      </w:r>
      <w:r>
        <w:rPr>
          <w:spacing w:val="-6"/>
        </w:rPr>
        <w:t>个，配备消防车</w:t>
      </w:r>
      <w:r>
        <w:rPr>
          <w:spacing w:val="-42"/>
        </w:rPr>
        <w:t> </w:t>
      </w:r>
      <w:r>
        <w:rPr>
          <w:rFonts w:ascii="Arial" w:hAnsi="Arial" w:cs="Arial" w:eastAsia="Arial" w:hint="default"/>
        </w:rPr>
        <w:t>203</w:t>
      </w:r>
    </w:p>
    <w:p>
      <w:pPr>
        <w:pStyle w:val="BodyText"/>
        <w:spacing w:line="271" w:lineRule="auto" w:before="32"/>
        <w:ind w:left="138" w:right="137"/>
        <w:jc w:val="both"/>
        <w:rPr>
          <w:rFonts w:ascii="宋体" w:hAnsi="宋体" w:cs="宋体" w:eastAsia="宋体" w:hint="default"/>
        </w:rPr>
      </w:pPr>
      <w:r>
        <w:rPr/>
        <w:t>台，出动巡查车辆</w:t>
      </w:r>
      <w:r>
        <w:rPr>
          <w:spacing w:val="-55"/>
        </w:rPr>
        <w:t> </w:t>
      </w:r>
      <w:r>
        <w:rPr>
          <w:rFonts w:ascii="Arial" w:hAnsi="Arial" w:cs="Arial" w:eastAsia="Arial" w:hint="default"/>
        </w:rPr>
        <w:t>657</w:t>
      </w:r>
      <w:r>
        <w:rPr>
          <w:rFonts w:ascii="Arial" w:hAnsi="Arial" w:cs="Arial" w:eastAsia="Arial" w:hint="default"/>
          <w:spacing w:val="-8"/>
        </w:rPr>
        <w:t> </w:t>
      </w:r>
      <w:r>
        <w:rPr/>
        <w:t>台，配备灭火设备</w:t>
      </w:r>
      <w:r>
        <w:rPr>
          <w:spacing w:val="-55"/>
        </w:rPr>
        <w:t> </w:t>
      </w:r>
      <w:r>
        <w:rPr>
          <w:rFonts w:ascii="Arial" w:hAnsi="Arial" w:cs="Arial" w:eastAsia="Arial" w:hint="default"/>
        </w:rPr>
        <w:t>4082</w:t>
      </w:r>
      <w:r>
        <w:rPr>
          <w:rFonts w:ascii="Arial" w:hAnsi="Arial" w:cs="Arial" w:eastAsia="Arial" w:hint="default"/>
          <w:spacing w:val="-9"/>
        </w:rPr>
        <w:t> </w:t>
      </w:r>
      <w:r>
        <w:rPr/>
        <w:t>个，强化了人员和物资保障。与此同时，公司加</w:t>
      </w:r>
      <w:r>
        <w:rPr>
          <w:w w:val="100"/>
        </w:rPr>
        <w:t> </w:t>
      </w:r>
      <w:r>
        <w:rPr>
          <w:spacing w:val="-2"/>
        </w:rPr>
        <w:t>大了秸秆还田整地机械的配备及改装力度，为秸秆还田提供了强有力的机械保障，实现了全年秸</w:t>
      </w:r>
      <w:r>
        <w:rPr>
          <w:spacing w:val="-25"/>
        </w:rPr>
        <w:t> </w:t>
      </w:r>
      <w:r>
        <w:rPr>
          <w:spacing w:val="-25"/>
        </w:rPr>
      </w:r>
      <w:r>
        <w:rPr/>
        <w:t>秆焚烧“零火点”的目标。</w:t>
      </w:r>
      <w:r>
        <w:rPr>
          <w:rFonts w:ascii="宋体" w:hAnsi="宋体" w:cs="宋体" w:eastAsia="宋体" w:hint="default"/>
        </w:rPr>
        <w:t> </w:t>
      </w:r>
    </w:p>
    <w:p>
      <w:pPr>
        <w:pStyle w:val="Heading2"/>
        <w:spacing w:line="240" w:lineRule="auto" w:before="34"/>
        <w:ind w:left="138" w:right="0"/>
        <w:jc w:val="both"/>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103"/>
        </w:rPr>
        <w:t> </w:t>
      </w:r>
      <w:r>
        <w:rPr/>
        <w:t>重点排污单位之外的公司未披露环境信息的原因说明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left="138" w:right="0"/>
        <w:jc w:val="both"/>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103"/>
        </w:rPr>
        <w:t> </w:t>
      </w:r>
      <w:r>
        <w:rPr/>
        <w:t>报告期内披露环境信息内容的后续进展或变化情况的说明</w:t>
      </w:r>
      <w:r>
        <w:rPr>
          <w:rFonts w:ascii="宋体" w:hAnsi="宋体" w:cs="宋体" w:eastAsia="宋体" w:hint="default"/>
          <w:w w:val="99"/>
        </w:rPr>
        <w:t> </w:t>
      </w:r>
      <w:r>
        <w:rPr>
          <w:rFonts w:ascii="宋体" w:hAnsi="宋体" w:cs="宋体" w:eastAsia="宋体" w:hint="default"/>
          <w:b w:val="0"/>
          <w:bCs w:val="0"/>
        </w:rPr>
      </w:r>
    </w:p>
    <w:p>
      <w:pPr>
        <w:tabs>
          <w:tab w:pos="781" w:val="left" w:leader="none"/>
        </w:tabs>
        <w:spacing w:line="292" w:lineRule="auto" w:before="56"/>
        <w:ind w:left="138" w:right="71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四</w:t>
      </w:r>
      <w:r>
        <w:rPr>
          <w:rFonts w:ascii="宋体" w:hAnsi="宋体" w:cs="宋体" w:eastAsia="宋体" w:hint="default"/>
          <w:b/>
          <w:bCs/>
          <w:spacing w:val="-1"/>
          <w:sz w:val="21"/>
          <w:szCs w:val="21"/>
        </w:rPr>
        <w:t>)</w:t>
        <w:tab/>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90" w:lineRule="auto" w:before="10"/>
        <w:ind w:left="138" w:right="641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十八、可转换公司债券情况</w:t>
      </w:r>
      <w:r>
        <w:rPr>
          <w:rFonts w:ascii="宋体" w:hAnsi="宋体" w:cs="宋体" w:eastAsia="宋体" w:hint="default"/>
          <w:sz w:val="21"/>
          <w:szCs w:val="21"/>
        </w:rPr>
      </w:r>
    </w:p>
    <w:p>
      <w:pPr>
        <w:pStyle w:val="BodyText"/>
        <w:spacing w:line="274" w:lineRule="exact" w:before="12"/>
        <w:ind w:left="138" w:right="0"/>
        <w:jc w:val="both"/>
        <w:rPr>
          <w:rFonts w:ascii="宋体" w:hAnsi="宋体" w:cs="宋体" w:eastAsia="宋体" w:hint="default"/>
        </w:rPr>
      </w:pPr>
      <w:r>
        <w:rPr/>
        <w:t>□适用√不适用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both"/>
        <w:rPr>
          <w:rFonts w:ascii="宋体" w:hAnsi="宋体" w:cs="宋体" w:eastAsia="宋体" w:hint="default"/>
        </w:rPr>
      </w:pPr>
      <w:r>
        <w:rPr>
          <w:rFonts w:ascii="宋体"/>
          <w:w w:val="100"/>
        </w:rPr>
        <w:t> </w:t>
      </w:r>
    </w:p>
    <w:p>
      <w:pPr>
        <w:pStyle w:val="BodyText"/>
        <w:spacing w:line="273" w:lineRule="exact"/>
        <w:ind w:left="138" w:right="0"/>
        <w:jc w:val="both"/>
        <w:rPr>
          <w:rFonts w:ascii="宋体" w:hAnsi="宋体" w:cs="宋体" w:eastAsia="宋体" w:hint="default"/>
        </w:rPr>
      </w:pPr>
      <w:r>
        <w:rPr>
          <w:rFonts w:ascii="宋体"/>
          <w:w w:val="100"/>
        </w:rPr>
        <w:t> </w:t>
      </w:r>
    </w:p>
    <w:p>
      <w:pPr>
        <w:pStyle w:val="Heading1"/>
        <w:tabs>
          <w:tab w:pos="1260" w:val="left" w:leader="none"/>
        </w:tabs>
        <w:spacing w:line="240" w:lineRule="auto" w:before="44"/>
        <w:ind w:left="0" w:right="0"/>
        <w:jc w:val="center"/>
        <w:rPr>
          <w:b w:val="0"/>
          <w:bCs w:val="0"/>
        </w:rPr>
      </w:pPr>
      <w:bookmarkStart w:name="_bookmark5" w:id="8"/>
      <w:bookmarkEnd w:id="8"/>
      <w:r>
        <w:rPr>
          <w:b w:val="0"/>
          <w:bCs w:val="0"/>
        </w:rPr>
      </w:r>
      <w:r>
        <w:rPr>
          <w:w w:val="95"/>
        </w:rPr>
        <w:t>第六节</w:t>
      </w:r>
      <w:r>
        <w:rPr>
          <w:rFonts w:ascii="宋体" w:hAnsi="宋体" w:cs="宋体" w:eastAsia="宋体" w:hint="default"/>
          <w:w w:val="95"/>
        </w:rPr>
        <w:tab/>
      </w:r>
      <w:r>
        <w:rPr/>
        <w:t>普通股股份变动及股东情况</w:t>
      </w:r>
      <w:r>
        <w:rPr>
          <w:b w:val="0"/>
          <w:bCs w:val="0"/>
        </w:rPr>
      </w:r>
    </w:p>
    <w:p>
      <w:pPr>
        <w:pStyle w:val="Heading2"/>
        <w:tabs>
          <w:tab w:pos="704" w:val="left" w:leader="none"/>
        </w:tabs>
        <w:spacing w:line="278" w:lineRule="auto" w:before="250"/>
        <w:ind w:left="138" w:right="6290"/>
        <w:jc w:val="left"/>
        <w:rPr>
          <w:rFonts w:ascii="宋体" w:hAnsi="宋体" w:cs="宋体" w:eastAsia="宋体" w:hint="default"/>
          <w:b w:val="0"/>
          <w:bCs w:val="0"/>
        </w:rPr>
      </w:pPr>
      <w:r>
        <w:rPr/>
        <w:t>一、</w:t>
      </w:r>
      <w:r>
        <w:rPr>
          <w:spacing w:val="-77"/>
        </w:rPr>
        <w:t> </w:t>
      </w:r>
      <w:r>
        <w:rPr>
          <w:rFonts w:ascii="宋体" w:hAnsi="宋体" w:cs="宋体" w:eastAsia="宋体" w:hint="default"/>
          <w:spacing w:val="-77"/>
        </w:rPr>
      </w:r>
      <w:r>
        <w:rPr/>
        <w:t>普通股股本变动情况</w:t>
      </w:r>
      <w:r>
        <w:rPr>
          <w:spacing w:val="-103"/>
        </w:rPr>
        <w:t> </w:t>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5"/>
        </w:rPr>
        <w:t> </w:t>
      </w:r>
      <w:r>
        <w:rPr/>
        <w:t>普通股股份变动情况表</w:t>
      </w:r>
      <w:r>
        <w:rPr>
          <w:rFonts w:ascii="宋体" w:hAnsi="宋体" w:cs="宋体" w:eastAsia="宋体" w:hint="default"/>
          <w:w w:val="99"/>
        </w:rPr>
        <w:t> </w:t>
      </w:r>
      <w:r>
        <w:rPr>
          <w:rFonts w:ascii="宋体" w:hAnsi="宋体" w:cs="宋体" w:eastAsia="宋体" w:hint="default"/>
          <w:b w:val="0"/>
          <w:bCs w:val="0"/>
        </w:rPr>
      </w:r>
    </w:p>
    <w:p>
      <w:pPr>
        <w:spacing w:line="290" w:lineRule="auto" w:before="25"/>
        <w:ind w:left="138" w:right="3457" w:firstLine="0"/>
        <w:jc w:val="left"/>
        <w:rPr>
          <w:rFonts w:ascii="宋体" w:hAnsi="宋体" w:cs="宋体" w:eastAsia="宋体" w:hint="default"/>
          <w:sz w:val="21"/>
          <w:szCs w:val="21"/>
        </w:rPr>
      </w:pPr>
      <w:r>
        <w:rPr>
          <w:rFonts w:ascii="宋体" w:hAnsi="宋体" w:cs="宋体" w:eastAsia="宋体" w:hint="default"/>
          <w:sz w:val="21"/>
          <w:szCs w:val="21"/>
        </w:rPr>
        <w:t>报告期内，公司普通股股份总数及股本结构未发生变化。</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普通股股份变动情况说明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3</w:t>
      </w:r>
      <w:r>
        <w:rPr/>
        <w:t>、</w:t>
      </w:r>
      <w:r>
        <w:rPr>
          <w:spacing w:val="-8"/>
        </w:rPr>
        <w:t> </w:t>
      </w:r>
      <w:r>
        <w:rPr/>
        <w:t>普通股股份变动对最近一年和最近一期每股收益、每股净资产等财务指标的影响（如有）</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4</w:t>
      </w:r>
      <w:r>
        <w:rPr/>
        <w:t>、</w:t>
      </w:r>
      <w:r>
        <w:rPr>
          <w:spacing w:val="-6"/>
        </w:rPr>
        <w:t> </w:t>
      </w:r>
      <w:r>
        <w:rPr/>
        <w:t>公司认为必要或证券监管机构要求披露的其他内容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704" w:val="left" w:leader="none"/>
        </w:tabs>
        <w:spacing w:line="240" w:lineRule="auto"/>
        <w:ind w:left="138"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3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ind w:left="138" w:right="5996"/>
        <w:jc w:val="left"/>
        <w:rPr>
          <w:b w:val="0"/>
          <w:bCs w:val="0"/>
        </w:rPr>
      </w:pPr>
      <w:r>
        <w:rPr/>
        <w:t>二、</w:t>
      </w:r>
      <w:r>
        <w:rPr>
          <w:spacing w:val="-78"/>
        </w:rPr>
        <w:t> </w:t>
      </w:r>
      <w:r>
        <w:rPr>
          <w:rFonts w:ascii="宋体" w:hAnsi="宋体" w:cs="宋体" w:eastAsia="宋体" w:hint="default"/>
          <w:spacing w:val="-78"/>
        </w:rPr>
      </w:r>
      <w:r>
        <w:rPr/>
        <w:t>证券发行与上市情况</w:t>
      </w:r>
      <w:r>
        <w:rPr>
          <w:spacing w:val="-103"/>
        </w:rPr>
        <w:t> </w:t>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40" w:lineRule="auto" w:before="13"/>
        <w:ind w:left="138" w:right="122"/>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截至报告期内证券发行情况的说明（存续期内利率不同的债券，请分别说明）：</w:t>
      </w:r>
      <w:r>
        <w:rPr>
          <w:rFonts w:ascii="宋体" w:hAnsi="宋体" w:cs="宋体" w:eastAsia="宋体" w:hint="default"/>
        </w:rPr>
        <w:t> </w:t>
      </w:r>
    </w:p>
    <w:p>
      <w:pPr>
        <w:spacing w:line="290" w:lineRule="auto" w:before="0"/>
        <w:ind w:left="138" w:right="743"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公司普通股股份总数及股东结构变动及公司资产和负债结构的变动情况</w:t>
      </w:r>
      <w:r>
        <w:rPr>
          <w:rFonts w:ascii="宋体" w:hAnsi="宋体" w:cs="宋体" w:eastAsia="宋体" w:hint="default"/>
          <w:spacing w:val="-1"/>
          <w:sz w:val="21"/>
          <w:szCs w:val="21"/>
        </w:rPr>
      </w:r>
    </w:p>
    <w:p>
      <w:pPr>
        <w:spacing w:line="290" w:lineRule="auto" w:before="12"/>
        <w:ind w:left="138" w:right="641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pStyle w:val="BodyText"/>
        <w:spacing w:line="240" w:lineRule="auto" w:before="1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33"/>
          <w:pgSz w:w="11910" w:h="16840"/>
          <w:pgMar w:footer="1195" w:header="825" w:top="1360" w:bottom="1380" w:left="1660" w:right="1140"/>
        </w:sectPr>
      </w:pPr>
    </w:p>
    <w:p>
      <w:pPr>
        <w:pStyle w:val="Heading2"/>
        <w:spacing w:line="240" w:lineRule="auto" w:before="119"/>
        <w:ind w:left="258" w:right="0"/>
        <w:jc w:val="left"/>
        <w:rPr>
          <w:b w:val="0"/>
          <w:bCs w:val="0"/>
        </w:rPr>
      </w:pPr>
      <w:r>
        <w:rPr/>
        <w:t>三、</w:t>
      </w:r>
      <w:r>
        <w:rPr>
          <w:spacing w:val="-80"/>
        </w:rPr>
        <w:t> </w:t>
      </w:r>
      <w:r>
        <w:rPr>
          <w:rFonts w:ascii="宋体" w:hAnsi="宋体" w:cs="宋体" w:eastAsia="宋体" w:hint="default"/>
          <w:spacing w:val="-80"/>
        </w:rPr>
      </w:r>
      <w:r>
        <w:rPr/>
        <w:t>股东和实际控制人情况</w:t>
      </w:r>
      <w:r>
        <w:rPr>
          <w:b w:val="0"/>
          <w:bCs w:val="0"/>
        </w:rPr>
      </w:r>
    </w:p>
    <w:p>
      <w:pPr>
        <w:pStyle w:val="Heading2"/>
        <w:spacing w:line="240" w:lineRule="auto" w:before="59"/>
        <w:ind w:left="25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1"/>
        <w:rPr>
          <w:rFonts w:ascii="宋体" w:hAnsi="宋体" w:cs="宋体" w:eastAsia="宋体" w:hint="default"/>
          <w:b/>
          <w:bCs/>
          <w:sz w:val="4"/>
          <w:szCs w:val="4"/>
        </w:rPr>
      </w:pPr>
    </w:p>
    <w:p>
      <w:pPr>
        <w:spacing w:line="20" w:lineRule="exact"/>
        <w:ind w:left="14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520;height:2" coordorigin="10,10" coordsize="4520,2">
              <v:shape style="position:absolute;left:10;top:10;width:4520;height:2" coordorigin="10,10" coordsize="4520,0" path="m10,10l4529,10e" filled="false" stroked="true" strokeweight=".96pt" strokecolor="#41b7ee">
                <v:path arrowok="t"/>
              </v:shape>
            </v:group>
            <v:group style="position:absolute;left:4529;top:10;width:58;height:2" coordorigin="4529,10" coordsize="58,2">
              <v:shape style="position:absolute;left:4529;top:10;width:58;height:2" coordorigin="4529,10" coordsize="58,0" path="m4529,10l4587,10e" filled="false" stroked="true" strokeweight=".96pt" strokecolor="#41b7ee">
                <v:path arrowok="t"/>
              </v:shape>
            </v:group>
            <v:group style="position:absolute;left:4587;top:10;width:4473;height:2" coordorigin="4587,10" coordsize="4473,2">
              <v:shape style="position:absolute;left:4587;top:10;width:4473;height:2" coordorigin="4587,10" coordsize="4473,0" path="m4587,10l9059,10e" filled="false" stroked="true" strokeweight=".96pt" strokecolor="#41b7ee">
                <v:path arrowok="t"/>
              </v:shape>
            </v:group>
          </v:group>
        </w:pict>
      </w:r>
      <w:r>
        <w:rPr>
          <w:rFonts w:ascii="宋体" w:hAnsi="宋体" w:cs="宋体" w:eastAsia="宋体" w:hint="default"/>
          <w:sz w:val="2"/>
          <w:szCs w:val="2"/>
        </w:rPr>
      </w:r>
    </w:p>
    <w:tbl>
      <w:tblPr>
        <w:tblW w:w="0" w:type="auto"/>
        <w:jc w:val="left"/>
        <w:tblInd w:w="121" w:type="dxa"/>
        <w:tblLayout w:type="fixed"/>
        <w:tblCellMar>
          <w:top w:w="0" w:type="dxa"/>
          <w:left w:w="0" w:type="dxa"/>
          <w:bottom w:w="0" w:type="dxa"/>
          <w:right w:w="0" w:type="dxa"/>
        </w:tblCellMar>
        <w:tblLook w:val="01E0"/>
      </w:tblPr>
      <w:tblGrid>
        <w:gridCol w:w="4525"/>
        <w:gridCol w:w="4525"/>
      </w:tblGrid>
      <w:tr>
        <w:trPr>
          <w:trHeight w:val="365" w:hRule="exact"/>
        </w:trPr>
        <w:tc>
          <w:tcPr>
            <w:tcW w:w="4525"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6"/>
              <w:ind w:left="107"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截止报告期末普通股股东总数（户</w:t>
            </w:r>
            <w:r>
              <w:rPr>
                <w:rFonts w:ascii="宋体" w:hAnsi="宋体" w:cs="宋体" w:eastAsia="宋体" w:hint="default"/>
                <w:sz w:val="21"/>
                <w:szCs w:val="21"/>
              </w:rPr>
              <w:t>) </w:t>
            </w:r>
          </w:p>
        </w:tc>
        <w:tc>
          <w:tcPr>
            <w:tcW w:w="4525"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50"/>
              <w:ind w:right="0"/>
              <w:jc w:val="right"/>
              <w:rPr>
                <w:rFonts w:ascii="宋体" w:hAnsi="宋体" w:cs="宋体" w:eastAsia="宋体" w:hint="default"/>
                <w:sz w:val="21"/>
                <w:szCs w:val="21"/>
              </w:rPr>
            </w:pPr>
            <w:r>
              <w:rPr>
                <w:rFonts w:ascii="Arial"/>
                <w:spacing w:val="-1"/>
                <w:sz w:val="21"/>
              </w:rPr>
              <w:t>97,204</w:t>
            </w:r>
            <w:r>
              <w:rPr>
                <w:rFonts w:ascii="宋体"/>
                <w:w w:val="100"/>
                <w:sz w:val="21"/>
              </w:rPr>
              <w:t> </w:t>
            </w:r>
          </w:p>
        </w:tc>
      </w:tr>
      <w:tr>
        <w:trPr>
          <w:trHeight w:val="554" w:hRule="exact"/>
        </w:trPr>
        <w:tc>
          <w:tcPr>
            <w:tcW w:w="4525" w:type="dxa"/>
            <w:tcBorders>
              <w:top w:val="single" w:sz="4" w:space="0" w:color="41B7EE"/>
              <w:left w:val="nil" w:sz="6" w:space="0" w:color="auto"/>
              <w:bottom w:val="single" w:sz="4" w:space="0" w:color="41B7EE"/>
              <w:right w:val="single" w:sz="4" w:space="0" w:color="41B7EE"/>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（户</w:t>
            </w:r>
            <w:r>
              <w:rPr>
                <w:rFonts w:ascii="宋体" w:hAnsi="宋体" w:cs="宋体" w:eastAsia="宋体" w:hint="default"/>
                <w:sz w:val="21"/>
                <w:szCs w:val="21"/>
              </w:rPr>
              <w:t>) </w:t>
            </w:r>
          </w:p>
        </w:tc>
        <w:tc>
          <w:tcPr>
            <w:tcW w:w="452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6"/>
              <w:ind w:right="104"/>
              <w:jc w:val="right"/>
              <w:rPr>
                <w:rFonts w:ascii="Arial" w:hAnsi="Arial" w:cs="Arial" w:eastAsia="Arial" w:hint="default"/>
                <w:sz w:val="21"/>
                <w:szCs w:val="21"/>
              </w:rPr>
            </w:pPr>
            <w:r>
              <w:rPr>
                <w:rFonts w:ascii="Arial"/>
                <w:spacing w:val="-1"/>
                <w:sz w:val="21"/>
              </w:rPr>
              <w:t>96,751</w:t>
            </w:r>
          </w:p>
        </w:tc>
      </w:tr>
      <w:tr>
        <w:trPr>
          <w:trHeight w:val="554" w:hRule="exact"/>
        </w:trPr>
        <w:tc>
          <w:tcPr>
            <w:tcW w:w="4525" w:type="dxa"/>
            <w:tcBorders>
              <w:top w:val="single" w:sz="4" w:space="0" w:color="41B7EE"/>
              <w:left w:val="nil" w:sz="6" w:space="0" w:color="auto"/>
              <w:bottom w:val="single" w:sz="4" w:space="0" w:color="41B7EE"/>
              <w:right w:val="single" w:sz="4" w:space="0" w:color="41B7EE"/>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截止报告期末表决权恢复的优先股股东总数</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（户）</w:t>
            </w:r>
            <w:r>
              <w:rPr>
                <w:rFonts w:ascii="宋体" w:hAnsi="宋体" w:cs="宋体" w:eastAsia="宋体" w:hint="default"/>
                <w:sz w:val="21"/>
                <w:szCs w:val="21"/>
              </w:rPr>
              <w:t> </w:t>
            </w:r>
          </w:p>
        </w:tc>
        <w:tc>
          <w:tcPr>
            <w:tcW w:w="452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r>
      <w:tr>
        <w:trPr>
          <w:trHeight w:val="581" w:hRule="exact"/>
        </w:trPr>
        <w:tc>
          <w:tcPr>
            <w:tcW w:w="4525" w:type="dxa"/>
            <w:tcBorders>
              <w:top w:val="single" w:sz="4" w:space="0" w:color="41B7EE"/>
              <w:left w:val="nil" w:sz="6" w:space="0" w:color="auto"/>
              <w:bottom w:val="single" w:sz="23" w:space="0" w:color="41B7EE"/>
              <w:right w:val="single" w:sz="4" w:space="0" w:color="41B7EE"/>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年度报告披露日前上一月末表决权恢复的优先</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股股东总数（户）</w:t>
            </w:r>
            <w:r>
              <w:rPr>
                <w:rFonts w:ascii="宋体" w:hAnsi="宋体" w:cs="宋体" w:eastAsia="宋体" w:hint="default"/>
                <w:sz w:val="21"/>
                <w:szCs w:val="21"/>
              </w:rPr>
              <w:t> </w:t>
            </w:r>
          </w:p>
        </w:tc>
        <w:tc>
          <w:tcPr>
            <w:tcW w:w="4525"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footerReference w:type="default" r:id="rId34"/>
          <w:pgSz w:w="11910" w:h="16840"/>
          <w:pgMar w:footer="1195" w:header="825" w:top="1360" w:bottom="1380" w:left="1540" w:right="860"/>
          <w:pgNumType w:start="51"/>
        </w:sectPr>
      </w:pPr>
    </w:p>
    <w:p>
      <w:pPr>
        <w:pStyle w:val="BodyText"/>
        <w:spacing w:line="259" w:lineRule="exact"/>
        <w:ind w:left="258" w:right="0"/>
        <w:jc w:val="left"/>
        <w:rPr>
          <w:rFonts w:ascii="宋体" w:hAnsi="宋体" w:cs="宋体" w:eastAsia="宋体" w:hint="default"/>
        </w:rPr>
      </w:pPr>
      <w:r>
        <w:rPr>
          <w:rFonts w:ascii="宋体"/>
          <w:w w:val="100"/>
        </w:rPr>
        <w:t> </w:t>
      </w:r>
    </w:p>
    <w:p>
      <w:pPr>
        <w:pStyle w:val="Heading2"/>
        <w:spacing w:line="240" w:lineRule="auto" w:before="58"/>
        <w:ind w:left="258"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7"/>
        <w:rPr>
          <w:rFonts w:ascii="宋体" w:hAnsi="宋体" w:cs="宋体" w:eastAsia="宋体" w:hint="default"/>
          <w:b/>
          <w:bCs/>
          <w:sz w:val="30"/>
          <w:szCs w:val="30"/>
        </w:rPr>
      </w:pPr>
    </w:p>
    <w:p>
      <w:pPr>
        <w:pStyle w:val="BodyText"/>
        <w:spacing w:line="240" w:lineRule="auto"/>
        <w:ind w:left="3801" w:right="0"/>
        <w:jc w:val="left"/>
        <w:rPr>
          <w:rFonts w:ascii="宋体" w:hAnsi="宋体" w:cs="宋体" w:eastAsia="宋体" w:hint="default"/>
        </w:rPr>
      </w:pPr>
      <w:r>
        <w:rPr/>
        <w:pict>
          <v:group style="position:absolute;margin-left:82.343987pt;margin-top:-3.096321pt;width:464.15pt;height:2.9pt;mso-position-horizontal-relative:page;mso-position-vertical-relative:paragraph;z-index:3112" coordorigin="1647,-62" coordsize="9283,58">
            <v:group style="position:absolute;left:1656;top:-52;width:9263;height:2" coordorigin="1656,-52" coordsize="9263,2">
              <v:shape style="position:absolute;left:1656;top:-52;width:9263;height:2" coordorigin="1656,-52" coordsize="9263,0" path="m1656,-52l10919,-52e" filled="false" stroked="true" strokeweight=".96002pt" strokecolor="#41b7ee">
                <v:path arrowok="t"/>
              </v:shape>
            </v:group>
            <v:group style="position:absolute;left:1656;top:-14;width:9263;height:2" coordorigin="1656,-14" coordsize="9263,2">
              <v:shape style="position:absolute;left:1656;top:-14;width:9263;height:2" coordorigin="1656,-14" coordsize="9263,0" path="m1656,-14l10919,-14e" filled="false" stroked="true" strokeweight=".95999pt" strokecolor="#41b7ee">
                <v:path arrowok="t"/>
              </v:shape>
            </v:group>
            <w10:wrap type="none"/>
          </v:group>
        </w:pict>
      </w:r>
      <w:r>
        <w:rPr/>
        <w:t>前十名股东持股情况</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8"/>
        <w:rPr>
          <w:rFonts w:ascii="宋体" w:hAnsi="宋体" w:cs="宋体" w:eastAsia="宋体" w:hint="default"/>
          <w:sz w:val="29"/>
          <w:szCs w:val="29"/>
        </w:rPr>
      </w:pPr>
    </w:p>
    <w:p>
      <w:pPr>
        <w:pStyle w:val="BodyText"/>
        <w:spacing w:line="240" w:lineRule="auto"/>
        <w:ind w:left="258" w:right="0"/>
        <w:jc w:val="left"/>
        <w:rPr>
          <w:rFonts w:ascii="宋体" w:hAnsi="宋体" w:cs="宋体" w:eastAsia="宋体" w:hint="default"/>
        </w:rPr>
      </w:pPr>
      <w:r>
        <w:rPr/>
        <w:t>单位</w:t>
      </w:r>
      <w:r>
        <w:rPr>
          <w:rFonts w:ascii="宋体" w:hAnsi="宋体" w:cs="宋体" w:eastAsia="宋体" w:hint="default"/>
        </w:rPr>
        <w:t>:</w:t>
      </w:r>
      <w:r>
        <w:rPr/>
        <w:t>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540" w:right="860"/>
          <w:cols w:num="2" w:equalWidth="0">
            <w:col w:w="7853" w:space="247"/>
            <w:col w:w="1410"/>
          </w:cols>
        </w:sectPr>
      </w:pPr>
    </w:p>
    <w:p>
      <w:pPr>
        <w:spacing w:line="240" w:lineRule="auto" w:before="3"/>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835"/>
        <w:gridCol w:w="1135"/>
        <w:gridCol w:w="1419"/>
        <w:gridCol w:w="816"/>
        <w:gridCol w:w="833"/>
        <w:gridCol w:w="838"/>
        <w:gridCol w:w="698"/>
        <w:gridCol w:w="689"/>
      </w:tblGrid>
      <w:tr>
        <w:trPr>
          <w:trHeight w:val="358" w:hRule="exact"/>
        </w:trPr>
        <w:tc>
          <w:tcPr>
            <w:tcW w:w="2835" w:type="dxa"/>
            <w:vMerge w:val="restart"/>
            <w:tcBorders>
              <w:top w:val="single" w:sz="4" w:space="0" w:color="41B7EE"/>
              <w:left w:val="nil" w:sz="6" w:space="0" w:color="auto"/>
              <w:right w:val="single" w:sz="4" w:space="0" w:color="41B7EE"/>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995"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p>
            <w:pPr>
              <w:pStyle w:val="TableParagraph"/>
              <w:spacing w:line="273" w:lineRule="exact"/>
              <w:ind w:left="995" w:right="0"/>
              <w:jc w:val="left"/>
              <w:rPr>
                <w:rFonts w:ascii="宋体" w:hAnsi="宋体" w:cs="宋体" w:eastAsia="宋体" w:hint="default"/>
                <w:sz w:val="21"/>
                <w:szCs w:val="21"/>
              </w:rPr>
            </w:pPr>
            <w:r>
              <w:rPr>
                <w:rFonts w:ascii="宋体" w:hAnsi="宋体" w:cs="宋体" w:eastAsia="宋体" w:hint="default"/>
                <w:sz w:val="21"/>
                <w:szCs w:val="21"/>
              </w:rPr>
              <w:t>（全称）</w:t>
            </w:r>
            <w:r>
              <w:rPr>
                <w:rFonts w:ascii="宋体" w:hAnsi="宋体" w:cs="宋体" w:eastAsia="宋体" w:hint="default"/>
                <w:sz w:val="21"/>
                <w:szCs w:val="21"/>
              </w:rPr>
              <w:t> </w:t>
            </w:r>
          </w:p>
        </w:tc>
        <w:tc>
          <w:tcPr>
            <w:tcW w:w="1135" w:type="dxa"/>
            <w:vMerge w:val="restart"/>
            <w:tcBorders>
              <w:top w:val="single" w:sz="4" w:space="0" w:color="41B7EE"/>
              <w:left w:val="single" w:sz="4" w:space="0" w:color="41B7EE"/>
              <w:right w:val="single" w:sz="4" w:space="0" w:color="41B7EE"/>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456" w:right="33" w:hanging="42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宋体" w:hAnsi="宋体" w:cs="宋体" w:eastAsia="宋体" w:hint="default"/>
                <w:sz w:val="21"/>
                <w:szCs w:val="21"/>
              </w:rPr>
              <w:t> </w:t>
            </w:r>
          </w:p>
        </w:tc>
        <w:tc>
          <w:tcPr>
            <w:tcW w:w="1419" w:type="dxa"/>
            <w:vMerge w:val="restart"/>
            <w:tcBorders>
              <w:top w:val="single" w:sz="4" w:space="0" w:color="41B7EE"/>
              <w:left w:val="single" w:sz="4" w:space="0" w:color="41B7EE"/>
              <w:right w:val="single" w:sz="9" w:space="0" w:color="FFFFFF"/>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74" w:right="-38"/>
              <w:jc w:val="left"/>
              <w:rPr>
                <w:rFonts w:ascii="宋体" w:hAnsi="宋体" w:cs="宋体" w:eastAsia="宋体" w:hint="default"/>
                <w:sz w:val="21"/>
                <w:szCs w:val="21"/>
              </w:rPr>
            </w:pPr>
            <w:r>
              <w:rPr>
                <w:rFonts w:ascii="宋体" w:hAnsi="宋体" w:cs="宋体" w:eastAsia="宋体" w:hint="default"/>
                <w:sz w:val="21"/>
                <w:szCs w:val="21"/>
              </w:rPr>
              <w:t>期末持股数量</w:t>
            </w:r>
            <w:r>
              <w:rPr>
                <w:rFonts w:ascii="宋体" w:hAnsi="宋体" w:cs="宋体" w:eastAsia="宋体" w:hint="default"/>
                <w:sz w:val="21"/>
                <w:szCs w:val="21"/>
              </w:rPr>
              <w:t> </w:t>
            </w:r>
          </w:p>
        </w:tc>
        <w:tc>
          <w:tcPr>
            <w:tcW w:w="816" w:type="dxa"/>
            <w:vMerge w:val="restart"/>
            <w:tcBorders>
              <w:top w:val="single" w:sz="4" w:space="0" w:color="41B7EE"/>
              <w:left w:val="single" w:sz="9" w:space="0" w:color="FFFFFF"/>
              <w:right w:val="single" w:sz="4" w:space="0" w:color="41B7EE"/>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5" w:right="0"/>
              <w:jc w:val="left"/>
              <w:rPr>
                <w:rFonts w:ascii="宋体" w:hAnsi="宋体" w:cs="宋体" w:eastAsia="宋体" w:hint="default"/>
                <w:sz w:val="21"/>
                <w:szCs w:val="21"/>
              </w:rPr>
            </w:pPr>
            <w:r>
              <w:rPr>
                <w:rFonts w:ascii="宋体" w:hAnsi="宋体" w:cs="宋体" w:eastAsia="宋体" w:hint="default"/>
                <w:spacing w:val="-17"/>
                <w:sz w:val="21"/>
                <w:szCs w:val="21"/>
              </w:rPr>
              <w:t>比例（</w:t>
            </w:r>
            <w:r>
              <w:rPr>
                <w:rFonts w:ascii="宋体" w:hAnsi="宋体" w:cs="宋体" w:eastAsia="宋体" w:hint="default"/>
                <w:spacing w:val="-17"/>
                <w:sz w:val="21"/>
                <w:szCs w:val="21"/>
              </w:rPr>
              <w:t>%)</w:t>
            </w:r>
          </w:p>
        </w:tc>
        <w:tc>
          <w:tcPr>
            <w:tcW w:w="833" w:type="dxa"/>
            <w:vMerge w:val="restart"/>
            <w:tcBorders>
              <w:top w:val="single" w:sz="4" w:space="0" w:color="41B7EE"/>
              <w:left w:val="single" w:sz="4" w:space="0" w:color="41B7EE"/>
              <w:right w:val="single" w:sz="4" w:space="0" w:color="41B7EE"/>
            </w:tcBorders>
          </w:tcPr>
          <w:p>
            <w:pPr>
              <w:pStyle w:val="TableParagraph"/>
              <w:spacing w:line="240" w:lineRule="exact"/>
              <w:ind w:left="93" w:right="0"/>
              <w:jc w:val="both"/>
              <w:rPr>
                <w:rFonts w:ascii="宋体" w:hAnsi="宋体" w:cs="宋体" w:eastAsia="宋体" w:hint="default"/>
                <w:sz w:val="21"/>
                <w:szCs w:val="21"/>
              </w:rPr>
            </w:pPr>
            <w:r>
              <w:rPr>
                <w:rFonts w:ascii="宋体" w:hAnsi="宋体" w:cs="宋体" w:eastAsia="宋体" w:hint="default"/>
                <w:sz w:val="21"/>
                <w:szCs w:val="21"/>
              </w:rPr>
              <w:t>持有有</w:t>
            </w:r>
          </w:p>
          <w:p>
            <w:pPr>
              <w:pStyle w:val="TableParagraph"/>
              <w:spacing w:line="237" w:lineRule="auto" w:before="2"/>
              <w:ind w:left="93" w:right="95"/>
              <w:jc w:val="both"/>
              <w:rPr>
                <w:rFonts w:ascii="宋体" w:hAnsi="宋体" w:cs="宋体" w:eastAsia="宋体" w:hint="default"/>
                <w:sz w:val="21"/>
                <w:szCs w:val="21"/>
              </w:rPr>
            </w:pPr>
            <w:r>
              <w:rPr>
                <w:rFonts w:ascii="宋体" w:hAnsi="宋体" w:cs="宋体" w:eastAsia="宋体" w:hint="default"/>
                <w:sz w:val="21"/>
                <w:szCs w:val="21"/>
              </w:rPr>
              <w:t>限售条</w:t>
            </w:r>
            <w:r>
              <w:rPr>
                <w:rFonts w:ascii="宋体" w:hAnsi="宋体" w:cs="宋体" w:eastAsia="宋体" w:hint="default"/>
                <w:spacing w:val="-102"/>
                <w:sz w:val="21"/>
                <w:szCs w:val="21"/>
              </w:rPr>
              <w:t> </w:t>
            </w:r>
            <w:r>
              <w:rPr>
                <w:rFonts w:ascii="宋体" w:hAnsi="宋体" w:cs="宋体" w:eastAsia="宋体" w:hint="default"/>
                <w:sz w:val="21"/>
                <w:szCs w:val="21"/>
              </w:rPr>
              <w:t>件股份</w:t>
            </w:r>
            <w:r>
              <w:rPr>
                <w:rFonts w:ascii="宋体" w:hAnsi="宋体" w:cs="宋体" w:eastAsia="宋体" w:hint="default"/>
                <w:spacing w:val="-102"/>
                <w:sz w:val="21"/>
                <w:szCs w:val="21"/>
              </w:rPr>
              <w:t> </w:t>
            </w:r>
            <w:r>
              <w:rPr>
                <w:rFonts w:ascii="宋体" w:hAnsi="宋体" w:cs="宋体" w:eastAsia="宋体" w:hint="default"/>
                <w:sz w:val="21"/>
                <w:szCs w:val="21"/>
              </w:rPr>
              <w:t>数量</w:t>
            </w:r>
            <w:r>
              <w:rPr>
                <w:rFonts w:ascii="宋体" w:hAnsi="宋体" w:cs="宋体" w:eastAsia="宋体" w:hint="default"/>
                <w:sz w:val="21"/>
                <w:szCs w:val="21"/>
              </w:rPr>
              <w:t> </w:t>
            </w:r>
          </w:p>
        </w:tc>
        <w:tc>
          <w:tcPr>
            <w:tcW w:w="1537" w:type="dxa"/>
            <w:gridSpan w:val="2"/>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689" w:type="dxa"/>
            <w:vMerge w:val="restart"/>
            <w:tcBorders>
              <w:top w:val="single" w:sz="4" w:space="0" w:color="41B7EE"/>
              <w:left w:val="single" w:sz="4" w:space="0" w:color="41B7EE"/>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27" w:right="29"/>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w w:val="100"/>
                <w:sz w:val="21"/>
                <w:szCs w:val="21"/>
              </w:rPr>
              <w:t> </w:t>
            </w:r>
            <w:r>
              <w:rPr>
                <w:rFonts w:ascii="宋体" w:hAnsi="宋体" w:cs="宋体" w:eastAsia="宋体" w:hint="default"/>
                <w:sz w:val="21"/>
                <w:szCs w:val="21"/>
              </w:rPr>
              <w:t>性质</w:t>
            </w:r>
            <w:r>
              <w:rPr>
                <w:rFonts w:ascii="宋体" w:hAnsi="宋体" w:cs="宋体" w:eastAsia="宋体" w:hint="default"/>
                <w:sz w:val="21"/>
                <w:szCs w:val="21"/>
              </w:rPr>
              <w:t> </w:t>
            </w:r>
          </w:p>
        </w:tc>
      </w:tr>
      <w:tr>
        <w:trPr>
          <w:trHeight w:val="742" w:hRule="exact"/>
        </w:trPr>
        <w:tc>
          <w:tcPr>
            <w:tcW w:w="2835" w:type="dxa"/>
            <w:vMerge/>
            <w:tcBorders>
              <w:left w:val="nil" w:sz="6" w:space="0" w:color="auto"/>
              <w:bottom w:val="single" w:sz="4" w:space="0" w:color="41B7EE"/>
              <w:right w:val="single" w:sz="4" w:space="0" w:color="41B7EE"/>
            </w:tcBorders>
          </w:tcPr>
          <w:p>
            <w:pPr/>
          </w:p>
        </w:tc>
        <w:tc>
          <w:tcPr>
            <w:tcW w:w="1135" w:type="dxa"/>
            <w:vMerge/>
            <w:tcBorders>
              <w:left w:val="single" w:sz="4" w:space="0" w:color="41B7EE"/>
              <w:bottom w:val="single" w:sz="4" w:space="0" w:color="41B7EE"/>
              <w:right w:val="single" w:sz="4" w:space="0" w:color="41B7EE"/>
            </w:tcBorders>
          </w:tcPr>
          <w:p>
            <w:pPr/>
          </w:p>
        </w:tc>
        <w:tc>
          <w:tcPr>
            <w:tcW w:w="1419" w:type="dxa"/>
            <w:vMerge/>
            <w:tcBorders>
              <w:left w:val="single" w:sz="4" w:space="0" w:color="41B7EE"/>
              <w:bottom w:val="single" w:sz="4" w:space="0" w:color="41B7EE"/>
              <w:right w:val="single" w:sz="9" w:space="0" w:color="FFFFFF"/>
            </w:tcBorders>
          </w:tcPr>
          <w:p>
            <w:pPr/>
          </w:p>
        </w:tc>
        <w:tc>
          <w:tcPr>
            <w:tcW w:w="816" w:type="dxa"/>
            <w:vMerge/>
            <w:tcBorders>
              <w:left w:val="single" w:sz="9" w:space="0" w:color="FFFFFF"/>
              <w:bottom w:val="single" w:sz="4" w:space="0" w:color="41B7EE"/>
              <w:right w:val="single" w:sz="4" w:space="0" w:color="41B7EE"/>
            </w:tcBorders>
          </w:tcPr>
          <w:p>
            <w:pPr/>
          </w:p>
        </w:tc>
        <w:tc>
          <w:tcPr>
            <w:tcW w:w="833" w:type="dxa"/>
            <w:vMerge/>
            <w:tcBorders>
              <w:left w:val="single" w:sz="4" w:space="0" w:color="41B7EE"/>
              <w:bottom w:val="single" w:sz="4" w:space="0" w:color="41B7EE"/>
              <w:right w:val="single" w:sz="4" w:space="0" w:color="41B7EE"/>
            </w:tcBorders>
          </w:tcPr>
          <w:p>
            <w:pPr/>
          </w:p>
        </w:tc>
        <w:tc>
          <w:tcPr>
            <w:tcW w:w="83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9"/>
              <w:ind w:left="204" w:right="96"/>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w w:val="100"/>
                <w:sz w:val="21"/>
                <w:szCs w:val="21"/>
              </w:rPr>
              <w:t> </w:t>
            </w:r>
            <w:r>
              <w:rPr>
                <w:rFonts w:ascii="宋体" w:hAnsi="宋体" w:cs="宋体" w:eastAsia="宋体" w:hint="default"/>
                <w:sz w:val="21"/>
                <w:szCs w:val="21"/>
              </w:rPr>
              <w:t>状态</w:t>
            </w:r>
            <w:r>
              <w:rPr>
                <w:rFonts w:ascii="宋体" w:hAnsi="宋体" w:cs="宋体" w:eastAsia="宋体" w:hint="default"/>
                <w:sz w:val="21"/>
                <w:szCs w:val="21"/>
              </w:rPr>
              <w:t> </w:t>
            </w:r>
          </w:p>
        </w:tc>
        <w:tc>
          <w:tcPr>
            <w:tcW w:w="69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21"/>
                <w:szCs w:val="21"/>
              </w:rPr>
            </w:pPr>
            <w:r>
              <w:rPr>
                <w:rFonts w:ascii="宋体" w:hAnsi="宋体" w:cs="宋体" w:eastAsia="宋体" w:hint="default"/>
                <w:spacing w:val="-2"/>
                <w:sz w:val="21"/>
                <w:szCs w:val="21"/>
              </w:rPr>
              <w:t>数量</w:t>
            </w:r>
            <w:r>
              <w:rPr>
                <w:rFonts w:ascii="宋体" w:hAnsi="宋体" w:cs="宋体" w:eastAsia="宋体" w:hint="default"/>
                <w:sz w:val="21"/>
                <w:szCs w:val="21"/>
              </w:rPr>
              <w:t> </w:t>
            </w:r>
          </w:p>
        </w:tc>
        <w:tc>
          <w:tcPr>
            <w:tcW w:w="689" w:type="dxa"/>
            <w:vMerge/>
            <w:tcBorders>
              <w:left w:val="single" w:sz="4" w:space="0" w:color="41B7EE"/>
              <w:bottom w:val="single" w:sz="4" w:space="0" w:color="41B7EE"/>
              <w:right w:val="nil" w:sz="6" w:space="0" w:color="auto"/>
            </w:tcBorders>
          </w:tcPr>
          <w:p>
            <w:pPr/>
          </w:p>
        </w:tc>
      </w:tr>
      <w:tr>
        <w:trPr>
          <w:trHeight w:val="358" w:hRule="exact"/>
        </w:trPr>
        <w:tc>
          <w:tcPr>
            <w:tcW w:w="2835" w:type="dxa"/>
            <w:tcBorders>
              <w:top w:val="single" w:sz="4" w:space="0" w:color="41B7EE"/>
              <w:left w:val="nil" w:sz="6" w:space="0" w:color="auto"/>
              <w:bottom w:val="single" w:sz="4" w:space="0" w:color="41B7EE"/>
              <w:right w:val="single" w:sz="12" w:space="0" w:color="FFFFFF"/>
            </w:tcBorders>
          </w:tcPr>
          <w:p>
            <w:pPr>
              <w:pStyle w:val="TableParagraph"/>
              <w:spacing w:line="240" w:lineRule="auto" w:before="4"/>
              <w:ind w:left="26" w:right="-45"/>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r>
              <w:rPr>
                <w:rFonts w:ascii="宋体" w:hAnsi="宋体" w:cs="宋体" w:eastAsia="宋体" w:hint="default"/>
                <w:sz w:val="21"/>
                <w:szCs w:val="21"/>
              </w:rPr>
              <w:t> </w:t>
            </w:r>
          </w:p>
        </w:tc>
        <w:tc>
          <w:tcPr>
            <w:tcW w:w="1135" w:type="dxa"/>
            <w:tcBorders>
              <w:top w:val="single" w:sz="4" w:space="0" w:color="41B7EE"/>
              <w:left w:val="single" w:sz="12" w:space="0" w:color="FFFFFF"/>
              <w:bottom w:val="single" w:sz="4" w:space="0" w:color="41B7EE"/>
              <w:right w:val="single" w:sz="4" w:space="0" w:color="41B7EE"/>
            </w:tcBorders>
          </w:tcPr>
          <w:p>
            <w:pPr>
              <w:pStyle w:val="TableParagraph"/>
              <w:spacing w:line="240" w:lineRule="auto" w:before="50"/>
              <w:ind w:right="22"/>
              <w:jc w:val="right"/>
              <w:rPr>
                <w:rFonts w:ascii="Arial" w:hAnsi="Arial" w:cs="Arial" w:eastAsia="Arial" w:hint="default"/>
                <w:sz w:val="21"/>
                <w:szCs w:val="21"/>
              </w:rPr>
            </w:pPr>
            <w:r>
              <w:rPr>
                <w:rFonts w:ascii="Arial"/>
                <w:w w:val="100"/>
                <w:sz w:val="21"/>
              </w:rPr>
              <w:t>0</w:t>
            </w:r>
          </w:p>
        </w:tc>
        <w:tc>
          <w:tcPr>
            <w:tcW w:w="141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20"/>
              <w:jc w:val="right"/>
              <w:rPr>
                <w:rFonts w:ascii="Arial" w:hAnsi="Arial" w:cs="Arial" w:eastAsia="Arial" w:hint="default"/>
                <w:sz w:val="21"/>
                <w:szCs w:val="21"/>
              </w:rPr>
            </w:pPr>
            <w:r>
              <w:rPr>
                <w:rFonts w:ascii="Arial"/>
                <w:spacing w:val="-1"/>
                <w:sz w:val="21"/>
              </w:rPr>
              <w:t>1,140,262,121</w:t>
            </w:r>
          </w:p>
        </w:tc>
        <w:tc>
          <w:tcPr>
            <w:tcW w:w="81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20"/>
              <w:jc w:val="right"/>
              <w:rPr>
                <w:rFonts w:ascii="Arial" w:hAnsi="Arial" w:cs="Arial" w:eastAsia="Arial" w:hint="default"/>
                <w:sz w:val="21"/>
                <w:szCs w:val="21"/>
              </w:rPr>
            </w:pPr>
            <w:r>
              <w:rPr>
                <w:rFonts w:ascii="Arial"/>
                <w:spacing w:val="-1"/>
                <w:sz w:val="21"/>
              </w:rPr>
              <w:t>64.14</w:t>
            </w:r>
          </w:p>
        </w:tc>
        <w:tc>
          <w:tcPr>
            <w:tcW w:w="8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22"/>
              <w:jc w:val="right"/>
              <w:rPr>
                <w:rFonts w:ascii="Arial" w:hAnsi="Arial" w:cs="Arial" w:eastAsia="Arial" w:hint="default"/>
                <w:sz w:val="21"/>
                <w:szCs w:val="21"/>
              </w:rPr>
            </w:pPr>
            <w:r>
              <w:rPr>
                <w:rFonts w:ascii="Arial"/>
                <w:w w:val="100"/>
                <w:sz w:val="21"/>
              </w:rPr>
              <w:t>0</w:t>
            </w:r>
          </w:p>
        </w:tc>
        <w:tc>
          <w:tcPr>
            <w:tcW w:w="83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right="203"/>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69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22"/>
              <w:jc w:val="right"/>
              <w:rPr>
                <w:rFonts w:ascii="Arial" w:hAnsi="Arial" w:cs="Arial" w:eastAsia="Arial" w:hint="default"/>
                <w:sz w:val="21"/>
                <w:szCs w:val="21"/>
              </w:rPr>
            </w:pPr>
            <w:r>
              <w:rPr>
                <w:rFonts w:ascii="Arial"/>
                <w:w w:val="100"/>
                <w:sz w:val="21"/>
              </w:rPr>
              <w:t>0</w:t>
            </w:r>
          </w:p>
        </w:tc>
        <w:tc>
          <w:tcPr>
            <w:tcW w:w="68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国家</w:t>
            </w:r>
            <w:r>
              <w:rPr>
                <w:rFonts w:ascii="宋体" w:hAnsi="宋体" w:cs="宋体" w:eastAsia="宋体" w:hint="default"/>
                <w:sz w:val="21"/>
                <w:szCs w:val="21"/>
              </w:rPr>
              <w:t> </w:t>
            </w:r>
          </w:p>
        </w:tc>
      </w:tr>
      <w:tr>
        <w:trPr>
          <w:trHeight w:val="358" w:hRule="exact"/>
        </w:trPr>
        <w:tc>
          <w:tcPr>
            <w:tcW w:w="283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r>
              <w:rPr>
                <w:rFonts w:ascii="宋体" w:hAnsi="宋体" w:cs="宋体" w:eastAsia="宋体" w:hint="default"/>
                <w:sz w:val="21"/>
                <w:szCs w:val="21"/>
              </w:rPr>
              <w:t> </w:t>
            </w:r>
          </w:p>
        </w:tc>
        <w:tc>
          <w:tcPr>
            <w:tcW w:w="113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w w:val="100"/>
                <w:sz w:val="21"/>
              </w:rPr>
              <w:t>0</w:t>
            </w:r>
          </w:p>
        </w:tc>
        <w:tc>
          <w:tcPr>
            <w:tcW w:w="141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16,972,216</w:t>
            </w:r>
          </w:p>
        </w:tc>
        <w:tc>
          <w:tcPr>
            <w:tcW w:w="81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0.95</w:t>
            </w:r>
          </w:p>
        </w:tc>
        <w:tc>
          <w:tcPr>
            <w:tcW w:w="8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w w:val="100"/>
                <w:sz w:val="21"/>
              </w:rPr>
              <w:t>0</w:t>
            </w:r>
          </w:p>
        </w:tc>
        <w:tc>
          <w:tcPr>
            <w:tcW w:w="83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right="203"/>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69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w w:val="100"/>
                <w:sz w:val="21"/>
              </w:rPr>
              <w:t>0</w:t>
            </w:r>
          </w:p>
        </w:tc>
        <w:tc>
          <w:tcPr>
            <w:tcW w:w="68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r>
      <w:tr>
        <w:trPr>
          <w:trHeight w:val="358" w:hRule="exact"/>
        </w:trPr>
        <w:tc>
          <w:tcPr>
            <w:tcW w:w="283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香港中央结算有限公司</w:t>
            </w:r>
            <w:r>
              <w:rPr>
                <w:rFonts w:ascii="宋体" w:hAnsi="宋体" w:cs="宋体" w:eastAsia="宋体" w:hint="default"/>
                <w:sz w:val="21"/>
                <w:szCs w:val="21"/>
              </w:rPr>
              <w:t> </w:t>
            </w:r>
          </w:p>
        </w:tc>
        <w:tc>
          <w:tcPr>
            <w:tcW w:w="113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7,442,323</w:t>
            </w:r>
          </w:p>
        </w:tc>
        <w:tc>
          <w:tcPr>
            <w:tcW w:w="141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14,253,710</w:t>
            </w:r>
          </w:p>
        </w:tc>
        <w:tc>
          <w:tcPr>
            <w:tcW w:w="81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0.80</w:t>
            </w:r>
          </w:p>
        </w:tc>
        <w:tc>
          <w:tcPr>
            <w:tcW w:w="8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w w:val="100"/>
                <w:sz w:val="21"/>
              </w:rPr>
              <w:t>0</w:t>
            </w:r>
          </w:p>
        </w:tc>
        <w:tc>
          <w:tcPr>
            <w:tcW w:w="83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right="203"/>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69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w w:val="100"/>
                <w:sz w:val="21"/>
              </w:rPr>
              <w:t>0</w:t>
            </w:r>
          </w:p>
        </w:tc>
        <w:tc>
          <w:tcPr>
            <w:tcW w:w="68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r>
      <w:tr>
        <w:trPr>
          <w:trHeight w:val="355" w:hRule="exact"/>
        </w:trPr>
        <w:tc>
          <w:tcPr>
            <w:tcW w:w="283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全国社保基金四一三组合</w:t>
            </w:r>
            <w:r>
              <w:rPr>
                <w:rFonts w:ascii="宋体" w:hAnsi="宋体" w:cs="宋体" w:eastAsia="宋体" w:hint="default"/>
                <w:sz w:val="21"/>
                <w:szCs w:val="21"/>
              </w:rPr>
              <w:t> </w:t>
            </w:r>
          </w:p>
        </w:tc>
        <w:tc>
          <w:tcPr>
            <w:tcW w:w="113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10,200,000</w:t>
            </w:r>
          </w:p>
        </w:tc>
        <w:tc>
          <w:tcPr>
            <w:tcW w:w="141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10,200,000</w:t>
            </w:r>
          </w:p>
        </w:tc>
        <w:tc>
          <w:tcPr>
            <w:tcW w:w="81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0.57</w:t>
            </w:r>
          </w:p>
        </w:tc>
        <w:tc>
          <w:tcPr>
            <w:tcW w:w="8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w w:val="100"/>
                <w:sz w:val="21"/>
              </w:rPr>
              <w:t>0</w:t>
            </w:r>
          </w:p>
        </w:tc>
        <w:tc>
          <w:tcPr>
            <w:tcW w:w="83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right="203"/>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69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w w:val="100"/>
                <w:sz w:val="21"/>
              </w:rPr>
              <w:t>0</w:t>
            </w:r>
          </w:p>
        </w:tc>
        <w:tc>
          <w:tcPr>
            <w:tcW w:w="68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21" w:right="0"/>
              <w:jc w:val="left"/>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r>
      <w:tr>
        <w:trPr>
          <w:trHeight w:val="358" w:hRule="exact"/>
        </w:trPr>
        <w:tc>
          <w:tcPr>
            <w:tcW w:w="283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张晓夏</w:t>
            </w:r>
            <w:r>
              <w:rPr>
                <w:rFonts w:ascii="宋体" w:hAnsi="宋体" w:cs="宋体" w:eastAsia="宋体" w:hint="default"/>
                <w:sz w:val="21"/>
                <w:szCs w:val="21"/>
              </w:rPr>
              <w:t> </w:t>
            </w:r>
          </w:p>
        </w:tc>
        <w:tc>
          <w:tcPr>
            <w:tcW w:w="113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19"/>
              <w:jc w:val="right"/>
              <w:rPr>
                <w:rFonts w:ascii="Arial" w:hAnsi="Arial" w:cs="Arial" w:eastAsia="Arial" w:hint="default"/>
                <w:sz w:val="21"/>
                <w:szCs w:val="21"/>
              </w:rPr>
            </w:pPr>
            <w:r>
              <w:rPr>
                <w:rFonts w:ascii="Arial"/>
                <w:spacing w:val="-1"/>
                <w:sz w:val="21"/>
              </w:rPr>
              <w:t>-1,000,000</w:t>
            </w:r>
          </w:p>
        </w:tc>
        <w:tc>
          <w:tcPr>
            <w:tcW w:w="141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20"/>
              <w:jc w:val="right"/>
              <w:rPr>
                <w:rFonts w:ascii="Arial" w:hAnsi="Arial" w:cs="Arial" w:eastAsia="Arial" w:hint="default"/>
                <w:sz w:val="21"/>
                <w:szCs w:val="21"/>
              </w:rPr>
            </w:pPr>
            <w:r>
              <w:rPr>
                <w:rFonts w:ascii="Arial"/>
                <w:spacing w:val="-1"/>
                <w:sz w:val="21"/>
              </w:rPr>
              <w:t>7,000,000</w:t>
            </w:r>
          </w:p>
        </w:tc>
        <w:tc>
          <w:tcPr>
            <w:tcW w:w="81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19"/>
              <w:jc w:val="right"/>
              <w:rPr>
                <w:rFonts w:ascii="Arial" w:hAnsi="Arial" w:cs="Arial" w:eastAsia="Arial" w:hint="default"/>
                <w:sz w:val="21"/>
                <w:szCs w:val="21"/>
              </w:rPr>
            </w:pPr>
            <w:r>
              <w:rPr>
                <w:rFonts w:ascii="Arial"/>
                <w:spacing w:val="-1"/>
                <w:sz w:val="21"/>
              </w:rPr>
              <w:t>0.39</w:t>
            </w:r>
          </w:p>
        </w:tc>
        <w:tc>
          <w:tcPr>
            <w:tcW w:w="8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22"/>
              <w:jc w:val="right"/>
              <w:rPr>
                <w:rFonts w:ascii="Arial" w:hAnsi="Arial" w:cs="Arial" w:eastAsia="Arial" w:hint="default"/>
                <w:sz w:val="21"/>
                <w:szCs w:val="21"/>
              </w:rPr>
            </w:pPr>
            <w:r>
              <w:rPr>
                <w:rFonts w:ascii="Arial"/>
                <w:w w:val="100"/>
                <w:sz w:val="21"/>
              </w:rPr>
              <w:t>0</w:t>
            </w:r>
          </w:p>
        </w:tc>
        <w:tc>
          <w:tcPr>
            <w:tcW w:w="83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right="203"/>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69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22"/>
              <w:jc w:val="right"/>
              <w:rPr>
                <w:rFonts w:ascii="Arial" w:hAnsi="Arial" w:cs="Arial" w:eastAsia="Arial" w:hint="default"/>
                <w:sz w:val="21"/>
                <w:szCs w:val="21"/>
              </w:rPr>
            </w:pPr>
            <w:r>
              <w:rPr>
                <w:rFonts w:ascii="Arial"/>
                <w:w w:val="100"/>
                <w:sz w:val="21"/>
              </w:rPr>
              <w:t>0</w:t>
            </w:r>
          </w:p>
        </w:tc>
        <w:tc>
          <w:tcPr>
            <w:tcW w:w="68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r>
      <w:tr>
        <w:trPr>
          <w:trHeight w:val="828" w:hRule="exact"/>
        </w:trPr>
        <w:tc>
          <w:tcPr>
            <w:tcW w:w="2835" w:type="dxa"/>
            <w:tcBorders>
              <w:top w:val="single" w:sz="4" w:space="0" w:color="41B7EE"/>
              <w:left w:val="nil" w:sz="6" w:space="0" w:color="auto"/>
              <w:bottom w:val="single" w:sz="4" w:space="0" w:color="41B7EE"/>
              <w:right w:val="single" w:sz="4" w:space="0" w:color="41B7EE"/>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w:t>
            </w:r>
          </w:p>
          <w:p>
            <w:pPr>
              <w:pStyle w:val="TableParagraph"/>
              <w:spacing w:line="272" w:lineRule="exact" w:before="27"/>
              <w:ind w:left="26" w:right="67"/>
              <w:jc w:val="left"/>
              <w:rPr>
                <w:rFonts w:ascii="宋体" w:hAnsi="宋体" w:cs="宋体" w:eastAsia="宋体" w:hint="default"/>
                <w:sz w:val="21"/>
                <w:szCs w:val="21"/>
              </w:rPr>
            </w:pPr>
            <w:r>
              <w:rPr>
                <w:rFonts w:ascii="宋体" w:hAnsi="宋体" w:cs="宋体" w:eastAsia="宋体" w:hint="default"/>
                <w:sz w:val="21"/>
                <w:szCs w:val="21"/>
              </w:rPr>
              <w:t>中证</w:t>
            </w:r>
            <w:r>
              <w:rPr>
                <w:rFonts w:ascii="宋体" w:hAnsi="宋体" w:cs="宋体" w:eastAsia="宋体" w:hint="default"/>
                <w:spacing w:val="-53"/>
                <w:sz w:val="21"/>
                <w:szCs w:val="21"/>
              </w:rPr>
              <w:t> </w:t>
            </w:r>
            <w:r>
              <w:rPr>
                <w:rFonts w:ascii="宋体" w:hAnsi="宋体" w:cs="宋体" w:eastAsia="宋体" w:hint="default"/>
                <w:sz w:val="21"/>
                <w:szCs w:val="21"/>
              </w:rPr>
              <w:t>500</w:t>
            </w:r>
            <w:r>
              <w:rPr>
                <w:rFonts w:ascii="宋体" w:hAnsi="宋体" w:cs="宋体" w:eastAsia="宋体" w:hint="default"/>
                <w:spacing w:val="-53"/>
                <w:sz w:val="21"/>
                <w:szCs w:val="21"/>
              </w:rPr>
              <w:t> </w:t>
            </w:r>
            <w:r>
              <w:rPr>
                <w:rFonts w:ascii="宋体" w:hAnsi="宋体" w:cs="宋体" w:eastAsia="宋体" w:hint="default"/>
                <w:sz w:val="21"/>
                <w:szCs w:val="21"/>
              </w:rPr>
              <w:t>交易型开放式指数证</w:t>
            </w:r>
            <w:r>
              <w:rPr>
                <w:rFonts w:ascii="宋体" w:hAnsi="宋体" w:cs="宋体" w:eastAsia="宋体" w:hint="default"/>
                <w:w w:val="100"/>
                <w:sz w:val="21"/>
                <w:szCs w:val="21"/>
              </w:rPr>
              <w:t> </w:t>
            </w:r>
            <w:r>
              <w:rPr>
                <w:rFonts w:ascii="宋体" w:hAnsi="宋体" w:cs="宋体" w:eastAsia="宋体" w:hint="default"/>
                <w:sz w:val="21"/>
                <w:szCs w:val="21"/>
              </w:rPr>
              <w:t>券投资基金</w:t>
            </w:r>
            <w:r>
              <w:rPr>
                <w:rFonts w:ascii="宋体" w:hAnsi="宋体" w:cs="宋体" w:eastAsia="宋体" w:hint="default"/>
                <w:sz w:val="21"/>
                <w:szCs w:val="21"/>
              </w:rPr>
              <w:t> </w:t>
            </w:r>
          </w:p>
        </w:tc>
        <w:tc>
          <w:tcPr>
            <w:tcW w:w="113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21"/>
                <w:szCs w:val="21"/>
              </w:rPr>
            </w:pPr>
            <w:r>
              <w:rPr>
                <w:rFonts w:ascii="Arial"/>
                <w:spacing w:val="-1"/>
                <w:sz w:val="21"/>
              </w:rPr>
              <w:t>-516,216</w:t>
            </w:r>
          </w:p>
        </w:tc>
        <w:tc>
          <w:tcPr>
            <w:tcW w:w="141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Arial" w:hAnsi="Arial" w:cs="Arial" w:eastAsia="Arial" w:hint="default"/>
                <w:sz w:val="21"/>
                <w:szCs w:val="21"/>
              </w:rPr>
            </w:pPr>
            <w:r>
              <w:rPr>
                <w:rFonts w:ascii="Arial"/>
                <w:spacing w:val="-1"/>
                <w:sz w:val="21"/>
              </w:rPr>
              <w:t>6,992,384</w:t>
            </w:r>
          </w:p>
        </w:tc>
        <w:tc>
          <w:tcPr>
            <w:tcW w:w="81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21"/>
                <w:szCs w:val="21"/>
              </w:rPr>
            </w:pPr>
            <w:r>
              <w:rPr>
                <w:rFonts w:ascii="Arial"/>
                <w:spacing w:val="-1"/>
                <w:sz w:val="21"/>
              </w:rPr>
              <w:t>0.39</w:t>
            </w:r>
          </w:p>
        </w:tc>
        <w:tc>
          <w:tcPr>
            <w:tcW w:w="8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83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3"/>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69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68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r>
      <w:tr>
        <w:trPr>
          <w:trHeight w:val="358" w:hRule="exact"/>
        </w:trPr>
        <w:tc>
          <w:tcPr>
            <w:tcW w:w="283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郑创华</w:t>
            </w:r>
            <w:r>
              <w:rPr>
                <w:rFonts w:ascii="宋体" w:hAnsi="宋体" w:cs="宋体" w:eastAsia="宋体" w:hint="default"/>
                <w:sz w:val="21"/>
                <w:szCs w:val="21"/>
              </w:rPr>
              <w:t> </w:t>
            </w:r>
          </w:p>
        </w:tc>
        <w:tc>
          <w:tcPr>
            <w:tcW w:w="113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w w:val="100"/>
                <w:sz w:val="21"/>
              </w:rPr>
              <w:t>0</w:t>
            </w:r>
          </w:p>
        </w:tc>
        <w:tc>
          <w:tcPr>
            <w:tcW w:w="141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3,928,100</w:t>
            </w:r>
          </w:p>
        </w:tc>
        <w:tc>
          <w:tcPr>
            <w:tcW w:w="81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0.22</w:t>
            </w:r>
          </w:p>
        </w:tc>
        <w:tc>
          <w:tcPr>
            <w:tcW w:w="8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w w:val="100"/>
                <w:sz w:val="21"/>
              </w:rPr>
              <w:t>0</w:t>
            </w:r>
          </w:p>
        </w:tc>
        <w:tc>
          <w:tcPr>
            <w:tcW w:w="83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right="203"/>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69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w w:val="100"/>
                <w:sz w:val="21"/>
              </w:rPr>
              <w:t>0</w:t>
            </w:r>
          </w:p>
        </w:tc>
        <w:tc>
          <w:tcPr>
            <w:tcW w:w="68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21" w:right="0"/>
              <w:jc w:val="left"/>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r>
      <w:tr>
        <w:trPr>
          <w:trHeight w:val="355" w:hRule="exact"/>
        </w:trPr>
        <w:tc>
          <w:tcPr>
            <w:tcW w:w="283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赵丽英</w:t>
            </w:r>
            <w:r>
              <w:rPr>
                <w:rFonts w:ascii="宋体" w:hAnsi="宋体" w:cs="宋体" w:eastAsia="宋体" w:hint="default"/>
                <w:sz w:val="21"/>
                <w:szCs w:val="21"/>
              </w:rPr>
              <w:t> </w:t>
            </w:r>
          </w:p>
        </w:tc>
        <w:tc>
          <w:tcPr>
            <w:tcW w:w="113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509,500</w:t>
            </w:r>
          </w:p>
        </w:tc>
        <w:tc>
          <w:tcPr>
            <w:tcW w:w="141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3,829,000</w:t>
            </w:r>
          </w:p>
        </w:tc>
        <w:tc>
          <w:tcPr>
            <w:tcW w:w="81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0.22</w:t>
            </w:r>
          </w:p>
        </w:tc>
        <w:tc>
          <w:tcPr>
            <w:tcW w:w="8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w w:val="100"/>
                <w:sz w:val="21"/>
              </w:rPr>
              <w:t>0</w:t>
            </w:r>
          </w:p>
        </w:tc>
        <w:tc>
          <w:tcPr>
            <w:tcW w:w="83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right="203"/>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69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w w:val="100"/>
                <w:sz w:val="21"/>
              </w:rPr>
              <w:t>0</w:t>
            </w:r>
          </w:p>
        </w:tc>
        <w:tc>
          <w:tcPr>
            <w:tcW w:w="68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21" w:right="0"/>
              <w:jc w:val="left"/>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r>
      <w:tr>
        <w:trPr>
          <w:trHeight w:val="358" w:hRule="exact"/>
        </w:trPr>
        <w:tc>
          <w:tcPr>
            <w:tcW w:w="283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李梅冬</w:t>
            </w:r>
            <w:r>
              <w:rPr>
                <w:rFonts w:ascii="宋体" w:hAnsi="宋体" w:cs="宋体" w:eastAsia="宋体" w:hint="default"/>
                <w:sz w:val="21"/>
                <w:szCs w:val="21"/>
              </w:rPr>
              <w:t> </w:t>
            </w:r>
          </w:p>
        </w:tc>
        <w:tc>
          <w:tcPr>
            <w:tcW w:w="113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3,812,000</w:t>
            </w:r>
          </w:p>
        </w:tc>
        <w:tc>
          <w:tcPr>
            <w:tcW w:w="141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3,812,000</w:t>
            </w:r>
          </w:p>
        </w:tc>
        <w:tc>
          <w:tcPr>
            <w:tcW w:w="81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0.21</w:t>
            </w:r>
          </w:p>
        </w:tc>
        <w:tc>
          <w:tcPr>
            <w:tcW w:w="8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w w:val="100"/>
                <w:sz w:val="21"/>
              </w:rPr>
              <w:t>0</w:t>
            </w:r>
          </w:p>
        </w:tc>
        <w:tc>
          <w:tcPr>
            <w:tcW w:w="83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right="203"/>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69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w w:val="100"/>
                <w:sz w:val="21"/>
              </w:rPr>
              <w:t>0</w:t>
            </w:r>
          </w:p>
        </w:tc>
        <w:tc>
          <w:tcPr>
            <w:tcW w:w="68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r>
      <w:tr>
        <w:trPr>
          <w:trHeight w:val="358" w:hRule="exact"/>
        </w:trPr>
        <w:tc>
          <w:tcPr>
            <w:tcW w:w="283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熊耿</w:t>
            </w:r>
            <w:r>
              <w:rPr>
                <w:rFonts w:ascii="宋体" w:hAnsi="宋体" w:cs="宋体" w:eastAsia="宋体" w:hint="default"/>
                <w:sz w:val="21"/>
                <w:szCs w:val="21"/>
              </w:rPr>
              <w:t> </w:t>
            </w:r>
          </w:p>
        </w:tc>
        <w:tc>
          <w:tcPr>
            <w:tcW w:w="113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-700,000</w:t>
            </w:r>
          </w:p>
        </w:tc>
        <w:tc>
          <w:tcPr>
            <w:tcW w:w="141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3,700,000</w:t>
            </w:r>
          </w:p>
        </w:tc>
        <w:tc>
          <w:tcPr>
            <w:tcW w:w="81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0.21</w:t>
            </w:r>
          </w:p>
        </w:tc>
        <w:tc>
          <w:tcPr>
            <w:tcW w:w="8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w w:val="100"/>
                <w:sz w:val="21"/>
              </w:rPr>
              <w:t>0</w:t>
            </w:r>
          </w:p>
        </w:tc>
        <w:tc>
          <w:tcPr>
            <w:tcW w:w="83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right="203"/>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69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w w:val="100"/>
                <w:sz w:val="21"/>
              </w:rPr>
              <w:t>0</w:t>
            </w:r>
          </w:p>
        </w:tc>
        <w:tc>
          <w:tcPr>
            <w:tcW w:w="68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r>
    </w:tbl>
    <w:p>
      <w:pPr>
        <w:pStyle w:val="BodyText"/>
        <w:spacing w:line="240" w:lineRule="auto" w:before="2"/>
        <w:ind w:left="3309" w:right="3217"/>
        <w:jc w:val="center"/>
        <w:rPr>
          <w:rFonts w:ascii="宋体" w:hAnsi="宋体" w:cs="宋体" w:eastAsia="宋体" w:hint="default"/>
        </w:rPr>
      </w:pPr>
      <w:r>
        <w:rPr/>
        <w:t>前十名无限售条件股东持股情况</w:t>
      </w:r>
      <w:r>
        <w:rPr>
          <w:rFonts w:ascii="宋体" w:hAnsi="宋体" w:cs="宋体" w:eastAsia="宋体" w:hint="default"/>
        </w:rPr>
        <w:t> </w:t>
      </w:r>
    </w:p>
    <w:p>
      <w:pPr>
        <w:spacing w:line="240" w:lineRule="auto" w:before="6"/>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3833"/>
        <w:gridCol w:w="1952"/>
        <w:gridCol w:w="1673"/>
        <w:gridCol w:w="1805"/>
      </w:tblGrid>
      <w:tr>
        <w:trPr>
          <w:trHeight w:val="355" w:hRule="exact"/>
        </w:trPr>
        <w:tc>
          <w:tcPr>
            <w:tcW w:w="3833" w:type="dxa"/>
            <w:vMerge w:val="restart"/>
            <w:tcBorders>
              <w:top w:val="single" w:sz="4" w:space="0" w:color="41B7EE"/>
              <w:left w:val="nil" w:sz="6" w:space="0" w:color="auto"/>
              <w:right w:val="single" w:sz="4" w:space="0" w:color="41B7EE"/>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1952" w:type="dxa"/>
            <w:vMerge w:val="restart"/>
            <w:tcBorders>
              <w:top w:val="single" w:sz="4" w:space="0" w:color="41B7EE"/>
              <w:left w:val="single" w:sz="4" w:space="0" w:color="41B7EE"/>
              <w:right w:val="single" w:sz="4" w:space="0" w:color="41B7EE"/>
            </w:tcBorders>
          </w:tcPr>
          <w:p>
            <w:pPr>
              <w:pStyle w:val="TableParagraph"/>
              <w:spacing w:line="272" w:lineRule="exact" w:before="72"/>
              <w:ind w:left="549" w:right="22" w:hanging="526"/>
              <w:jc w:val="left"/>
              <w:rPr>
                <w:rFonts w:ascii="宋体" w:hAnsi="宋体" w:cs="宋体" w:eastAsia="宋体" w:hint="default"/>
                <w:sz w:val="21"/>
                <w:szCs w:val="21"/>
              </w:rPr>
            </w:pPr>
            <w:r>
              <w:rPr>
                <w:rFonts w:ascii="宋体" w:hAnsi="宋体" w:cs="宋体" w:eastAsia="宋体" w:hint="default"/>
                <w:sz w:val="21"/>
                <w:szCs w:val="21"/>
              </w:rPr>
              <w:t>持有无限售条件流通</w:t>
            </w:r>
            <w:r>
              <w:rPr>
                <w:rFonts w:ascii="宋体" w:hAnsi="宋体" w:cs="宋体" w:eastAsia="宋体" w:hint="default"/>
                <w:w w:val="100"/>
                <w:sz w:val="21"/>
                <w:szCs w:val="21"/>
              </w:rPr>
              <w:t> </w:t>
            </w:r>
            <w:r>
              <w:rPr>
                <w:rFonts w:ascii="宋体" w:hAnsi="宋体" w:cs="宋体" w:eastAsia="宋体" w:hint="default"/>
                <w:sz w:val="21"/>
                <w:szCs w:val="21"/>
              </w:rPr>
              <w:t>股的数量</w:t>
            </w:r>
            <w:r>
              <w:rPr>
                <w:rFonts w:ascii="宋体" w:hAnsi="宋体" w:cs="宋体" w:eastAsia="宋体" w:hint="default"/>
                <w:sz w:val="21"/>
                <w:szCs w:val="21"/>
              </w:rPr>
              <w:t> </w:t>
            </w:r>
          </w:p>
        </w:tc>
        <w:tc>
          <w:tcPr>
            <w:tcW w:w="3478" w:type="dxa"/>
            <w:gridSpan w:val="2"/>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995" w:right="0"/>
              <w:jc w:val="left"/>
              <w:rPr>
                <w:rFonts w:ascii="宋体" w:hAnsi="宋体" w:cs="宋体" w:eastAsia="宋体" w:hint="default"/>
                <w:sz w:val="21"/>
                <w:szCs w:val="21"/>
              </w:rPr>
            </w:pPr>
            <w:r>
              <w:rPr>
                <w:rFonts w:ascii="宋体" w:hAnsi="宋体" w:cs="宋体" w:eastAsia="宋体" w:hint="default"/>
                <w:sz w:val="21"/>
                <w:szCs w:val="21"/>
              </w:rPr>
              <w:t>股份种类及数量</w:t>
            </w:r>
            <w:r>
              <w:rPr>
                <w:rFonts w:ascii="宋体" w:hAnsi="宋体" w:cs="宋体" w:eastAsia="宋体" w:hint="default"/>
                <w:sz w:val="21"/>
                <w:szCs w:val="21"/>
              </w:rPr>
              <w:t> </w:t>
            </w:r>
          </w:p>
        </w:tc>
      </w:tr>
      <w:tr>
        <w:trPr>
          <w:trHeight w:val="358" w:hRule="exact"/>
        </w:trPr>
        <w:tc>
          <w:tcPr>
            <w:tcW w:w="3833" w:type="dxa"/>
            <w:vMerge/>
            <w:tcBorders>
              <w:left w:val="nil" w:sz="6" w:space="0" w:color="auto"/>
              <w:bottom w:val="single" w:sz="4" w:space="0" w:color="41B7EE"/>
              <w:right w:val="single" w:sz="4" w:space="0" w:color="41B7EE"/>
            </w:tcBorders>
          </w:tcPr>
          <w:p>
            <w:pPr/>
          </w:p>
        </w:tc>
        <w:tc>
          <w:tcPr>
            <w:tcW w:w="1952" w:type="dxa"/>
            <w:vMerge/>
            <w:tcBorders>
              <w:left w:val="single" w:sz="4" w:space="0" w:color="41B7EE"/>
              <w:bottom w:val="single" w:sz="4" w:space="0" w:color="41B7EE"/>
              <w:right w:val="single" w:sz="4" w:space="0" w:color="41B7EE"/>
            </w:tcBorders>
          </w:tcPr>
          <w:p>
            <w:pPr/>
          </w:p>
        </w:tc>
        <w:tc>
          <w:tcPr>
            <w:tcW w:w="167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100" w:right="0"/>
              <w:jc w:val="center"/>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180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686"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r>
      <w:tr>
        <w:trPr>
          <w:trHeight w:val="358" w:hRule="exact"/>
        </w:trPr>
        <w:tc>
          <w:tcPr>
            <w:tcW w:w="383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r>
              <w:rPr>
                <w:rFonts w:ascii="宋体" w:hAnsi="宋体" w:cs="宋体" w:eastAsia="宋体" w:hint="default"/>
                <w:sz w:val="21"/>
                <w:szCs w:val="21"/>
              </w:rPr>
              <w:t> </w:t>
            </w:r>
          </w:p>
        </w:tc>
        <w:tc>
          <w:tcPr>
            <w:tcW w:w="195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1,140,262,121</w:t>
            </w:r>
          </w:p>
        </w:tc>
        <w:tc>
          <w:tcPr>
            <w:tcW w:w="167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100" w:right="0"/>
              <w:jc w:val="center"/>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80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1,140,262,121</w:t>
            </w:r>
          </w:p>
        </w:tc>
      </w:tr>
      <w:tr>
        <w:trPr>
          <w:trHeight w:val="358" w:hRule="exact"/>
        </w:trPr>
        <w:tc>
          <w:tcPr>
            <w:tcW w:w="383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r>
              <w:rPr>
                <w:rFonts w:ascii="宋体" w:hAnsi="宋体" w:cs="宋体" w:eastAsia="宋体" w:hint="default"/>
                <w:sz w:val="21"/>
                <w:szCs w:val="21"/>
              </w:rPr>
              <w:t> </w:t>
            </w:r>
          </w:p>
        </w:tc>
        <w:tc>
          <w:tcPr>
            <w:tcW w:w="195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16,972,216</w:t>
            </w:r>
          </w:p>
        </w:tc>
        <w:tc>
          <w:tcPr>
            <w:tcW w:w="167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100" w:right="0"/>
              <w:jc w:val="center"/>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80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16,972,216</w:t>
            </w:r>
          </w:p>
        </w:tc>
      </w:tr>
      <w:tr>
        <w:trPr>
          <w:trHeight w:val="355" w:hRule="exact"/>
        </w:trPr>
        <w:tc>
          <w:tcPr>
            <w:tcW w:w="383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香港中央结算有限公司</w:t>
            </w:r>
            <w:r>
              <w:rPr>
                <w:rFonts w:ascii="宋体" w:hAnsi="宋体" w:cs="宋体" w:eastAsia="宋体" w:hint="default"/>
                <w:sz w:val="21"/>
                <w:szCs w:val="21"/>
              </w:rPr>
              <w:t> </w:t>
            </w:r>
          </w:p>
        </w:tc>
        <w:tc>
          <w:tcPr>
            <w:tcW w:w="195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14,253,710</w:t>
            </w:r>
          </w:p>
        </w:tc>
        <w:tc>
          <w:tcPr>
            <w:tcW w:w="167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100" w:right="0"/>
              <w:jc w:val="center"/>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80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14,253,710</w:t>
            </w:r>
          </w:p>
        </w:tc>
      </w:tr>
      <w:tr>
        <w:trPr>
          <w:trHeight w:val="358" w:hRule="exact"/>
        </w:trPr>
        <w:tc>
          <w:tcPr>
            <w:tcW w:w="383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全国社保基金四一三组合</w:t>
            </w:r>
            <w:r>
              <w:rPr>
                <w:rFonts w:ascii="宋体" w:hAnsi="宋体" w:cs="宋体" w:eastAsia="宋体" w:hint="default"/>
                <w:sz w:val="21"/>
                <w:szCs w:val="21"/>
              </w:rPr>
              <w:t> </w:t>
            </w:r>
          </w:p>
        </w:tc>
        <w:tc>
          <w:tcPr>
            <w:tcW w:w="195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10,200,000</w:t>
            </w:r>
          </w:p>
        </w:tc>
        <w:tc>
          <w:tcPr>
            <w:tcW w:w="167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100" w:right="0"/>
              <w:jc w:val="center"/>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80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10,200,000</w:t>
            </w:r>
          </w:p>
        </w:tc>
      </w:tr>
      <w:tr>
        <w:trPr>
          <w:trHeight w:val="358" w:hRule="exact"/>
        </w:trPr>
        <w:tc>
          <w:tcPr>
            <w:tcW w:w="383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张晓夏</w:t>
            </w:r>
            <w:r>
              <w:rPr>
                <w:rFonts w:ascii="宋体" w:hAnsi="宋体" w:cs="宋体" w:eastAsia="宋体" w:hint="default"/>
                <w:sz w:val="21"/>
                <w:szCs w:val="21"/>
              </w:rPr>
              <w:t> </w:t>
            </w:r>
          </w:p>
        </w:tc>
        <w:tc>
          <w:tcPr>
            <w:tcW w:w="195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7,000,000</w:t>
            </w:r>
          </w:p>
        </w:tc>
        <w:tc>
          <w:tcPr>
            <w:tcW w:w="167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100" w:right="0"/>
              <w:jc w:val="center"/>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80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7,000,000</w:t>
            </w:r>
          </w:p>
        </w:tc>
      </w:tr>
      <w:tr>
        <w:trPr>
          <w:trHeight w:val="554" w:hRule="exact"/>
        </w:trPr>
        <w:tc>
          <w:tcPr>
            <w:tcW w:w="3833" w:type="dxa"/>
            <w:tcBorders>
              <w:top w:val="single" w:sz="4" w:space="0" w:color="41B7EE"/>
              <w:left w:val="nil" w:sz="6" w:space="0" w:color="auto"/>
              <w:bottom w:val="single" w:sz="4" w:space="0" w:color="41B7EE"/>
              <w:right w:val="single" w:sz="4" w:space="0" w:color="41B7EE"/>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中国农业银行股份有限公司－中证</w:t>
            </w:r>
            <w:r>
              <w:rPr>
                <w:rFonts w:ascii="宋体" w:hAnsi="宋体" w:cs="宋体" w:eastAsia="宋体" w:hint="default"/>
                <w:spacing w:val="-55"/>
                <w:sz w:val="21"/>
                <w:szCs w:val="21"/>
              </w:rPr>
              <w:t> </w:t>
            </w:r>
            <w:r>
              <w:rPr>
                <w:rFonts w:ascii="宋体" w:hAnsi="宋体" w:cs="宋体" w:eastAsia="宋体" w:hint="default"/>
                <w:sz w:val="21"/>
                <w:szCs w:val="21"/>
              </w:rPr>
              <w:t>500</w:t>
            </w:r>
            <w:r>
              <w:rPr>
                <w:rFonts w:ascii="宋体" w:hAnsi="宋体" w:cs="宋体" w:eastAsia="宋体" w:hint="default"/>
                <w:spacing w:val="-55"/>
                <w:sz w:val="21"/>
                <w:szCs w:val="21"/>
              </w:rPr>
              <w:t> </w:t>
            </w:r>
            <w:r>
              <w:rPr>
                <w:rFonts w:ascii="宋体" w:hAnsi="宋体" w:cs="宋体" w:eastAsia="宋体" w:hint="default"/>
                <w:sz w:val="21"/>
                <w:szCs w:val="21"/>
              </w:rPr>
              <w:t>交</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易型开放式指数证券投资基金</w:t>
            </w:r>
            <w:r>
              <w:rPr>
                <w:rFonts w:ascii="宋体" w:hAnsi="宋体" w:cs="宋体" w:eastAsia="宋体" w:hint="default"/>
                <w:sz w:val="21"/>
                <w:szCs w:val="21"/>
              </w:rPr>
              <w:t> </w:t>
            </w:r>
          </w:p>
        </w:tc>
        <w:tc>
          <w:tcPr>
            <w:tcW w:w="195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19"/>
              <w:jc w:val="right"/>
              <w:rPr>
                <w:rFonts w:ascii="Arial" w:hAnsi="Arial" w:cs="Arial" w:eastAsia="Arial" w:hint="default"/>
                <w:sz w:val="21"/>
                <w:szCs w:val="21"/>
              </w:rPr>
            </w:pPr>
            <w:r>
              <w:rPr>
                <w:rFonts w:ascii="Arial"/>
                <w:spacing w:val="-1"/>
                <w:sz w:val="21"/>
              </w:rPr>
              <w:t>6,992,384</w:t>
            </w:r>
          </w:p>
        </w:tc>
        <w:tc>
          <w:tcPr>
            <w:tcW w:w="167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80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6"/>
              <w:ind w:right="24"/>
              <w:jc w:val="right"/>
              <w:rPr>
                <w:rFonts w:ascii="Arial" w:hAnsi="Arial" w:cs="Arial" w:eastAsia="Arial" w:hint="default"/>
                <w:sz w:val="21"/>
                <w:szCs w:val="21"/>
              </w:rPr>
            </w:pPr>
            <w:r>
              <w:rPr>
                <w:rFonts w:ascii="Arial"/>
                <w:spacing w:val="-1"/>
                <w:sz w:val="21"/>
              </w:rPr>
              <w:t>6,992,384</w:t>
            </w:r>
          </w:p>
        </w:tc>
      </w:tr>
      <w:tr>
        <w:trPr>
          <w:trHeight w:val="358" w:hRule="exact"/>
        </w:trPr>
        <w:tc>
          <w:tcPr>
            <w:tcW w:w="383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郑创华</w:t>
            </w:r>
            <w:r>
              <w:rPr>
                <w:rFonts w:ascii="宋体" w:hAnsi="宋体" w:cs="宋体" w:eastAsia="宋体" w:hint="default"/>
                <w:sz w:val="21"/>
                <w:szCs w:val="21"/>
              </w:rPr>
              <w:t> </w:t>
            </w:r>
          </w:p>
        </w:tc>
        <w:tc>
          <w:tcPr>
            <w:tcW w:w="195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3,928,100</w:t>
            </w:r>
          </w:p>
        </w:tc>
        <w:tc>
          <w:tcPr>
            <w:tcW w:w="167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100" w:right="0"/>
              <w:jc w:val="center"/>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80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3,928,100</w:t>
            </w:r>
          </w:p>
        </w:tc>
      </w:tr>
      <w:tr>
        <w:trPr>
          <w:trHeight w:val="355" w:hRule="exact"/>
        </w:trPr>
        <w:tc>
          <w:tcPr>
            <w:tcW w:w="383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赵丽英</w:t>
            </w:r>
            <w:r>
              <w:rPr>
                <w:rFonts w:ascii="宋体" w:hAnsi="宋体" w:cs="宋体" w:eastAsia="宋体" w:hint="default"/>
                <w:sz w:val="21"/>
                <w:szCs w:val="21"/>
              </w:rPr>
              <w:t> </w:t>
            </w:r>
          </w:p>
        </w:tc>
        <w:tc>
          <w:tcPr>
            <w:tcW w:w="195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3,829,000</w:t>
            </w:r>
          </w:p>
        </w:tc>
        <w:tc>
          <w:tcPr>
            <w:tcW w:w="167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100" w:right="0"/>
              <w:jc w:val="center"/>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80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3,829,000</w:t>
            </w:r>
          </w:p>
        </w:tc>
      </w:tr>
      <w:tr>
        <w:trPr>
          <w:trHeight w:val="365" w:hRule="exact"/>
        </w:trPr>
        <w:tc>
          <w:tcPr>
            <w:tcW w:w="3833"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李梅冬</w:t>
            </w:r>
            <w:r>
              <w:rPr>
                <w:rFonts w:ascii="宋体" w:hAnsi="宋体" w:cs="宋体" w:eastAsia="宋体" w:hint="default"/>
                <w:sz w:val="21"/>
                <w:szCs w:val="21"/>
              </w:rPr>
              <w:t> </w:t>
            </w:r>
          </w:p>
        </w:tc>
        <w:tc>
          <w:tcPr>
            <w:tcW w:w="1952"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0"/>
              <w:ind w:right="19"/>
              <w:jc w:val="right"/>
              <w:rPr>
                <w:rFonts w:ascii="Arial" w:hAnsi="Arial" w:cs="Arial" w:eastAsia="Arial" w:hint="default"/>
                <w:sz w:val="21"/>
                <w:szCs w:val="21"/>
              </w:rPr>
            </w:pPr>
            <w:r>
              <w:rPr>
                <w:rFonts w:ascii="Arial"/>
                <w:spacing w:val="-1"/>
                <w:sz w:val="21"/>
              </w:rPr>
              <w:t>3,812,000</w:t>
            </w:r>
          </w:p>
        </w:tc>
        <w:tc>
          <w:tcPr>
            <w:tcW w:w="1673"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
              <w:ind w:left="100" w:right="0"/>
              <w:jc w:val="center"/>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805"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50"/>
              <w:ind w:right="24"/>
              <w:jc w:val="right"/>
              <w:rPr>
                <w:rFonts w:ascii="Arial" w:hAnsi="Arial" w:cs="Arial" w:eastAsia="Arial" w:hint="default"/>
                <w:sz w:val="21"/>
                <w:szCs w:val="21"/>
              </w:rPr>
            </w:pPr>
            <w:r>
              <w:rPr>
                <w:rFonts w:ascii="Arial"/>
                <w:spacing w:val="-1"/>
                <w:sz w:val="21"/>
              </w:rPr>
              <w:t>3,812,000</w:t>
            </w:r>
          </w:p>
        </w:tc>
      </w:tr>
    </w:tbl>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64.15pt;height:1pt;mso-position-horizontal-relative:char;mso-position-vertical-relative:line" coordorigin="0,0" coordsize="9283,20">
            <v:group style="position:absolute;left:10;top:10;width:3829;height:2" coordorigin="10,10" coordsize="3829,2">
              <v:shape style="position:absolute;left:10;top:10;width:3829;height:2" coordorigin="10,10" coordsize="3829,0" path="m10,10l3838,10e" filled="false" stroked="true" strokeweight=".95996pt" strokecolor="#41b7ee">
                <v:path arrowok="t"/>
              </v:shape>
            </v:group>
            <v:group style="position:absolute;left:3838;top:10;width:58;height:2" coordorigin="3838,10" coordsize="58,2">
              <v:shape style="position:absolute;left:3838;top:10;width:58;height:2" coordorigin="3838,10" coordsize="58,0" path="m3838,10l3896,10e" filled="false" stroked="true" strokeweight=".95996pt" strokecolor="#41b7ee">
                <v:path arrowok="t"/>
              </v:shape>
            </v:group>
            <v:group style="position:absolute;left:3896;top:10;width:1895;height:2" coordorigin="3896,10" coordsize="1895,2">
              <v:shape style="position:absolute;left:3896;top:10;width:1895;height:2" coordorigin="3896,10" coordsize="1895,0" path="m3896,10l5790,10e" filled="false" stroked="true" strokeweight=".95996pt" strokecolor="#41b7ee">
                <v:path arrowok="t"/>
              </v:shape>
            </v:group>
            <v:group style="position:absolute;left:5790;top:10;width:58;height:2" coordorigin="5790,10" coordsize="58,2">
              <v:shape style="position:absolute;left:5790;top:10;width:58;height:2" coordorigin="5790,10" coordsize="58,0" path="m5790,10l5847,10e" filled="false" stroked="true" strokeweight=".95996pt" strokecolor="#41b7ee">
                <v:path arrowok="t"/>
              </v:shape>
            </v:group>
            <v:group style="position:absolute;left:5847;top:10;width:1616;height:2" coordorigin="5847,10" coordsize="1616,2">
              <v:shape style="position:absolute;left:5847;top:10;width:1616;height:2" coordorigin="5847,10" coordsize="1616,0" path="m5847,10l7463,10e" filled="false" stroked="true" strokeweight=".95996pt" strokecolor="#41b7ee">
                <v:path arrowok="t"/>
              </v:shape>
            </v:group>
            <v:group style="position:absolute;left:7463;top:10;width:58;height:2" coordorigin="7463,10" coordsize="58,2">
              <v:shape style="position:absolute;left:7463;top:10;width:58;height:2" coordorigin="7463,10" coordsize="58,0" path="m7463,10l7521,10e" filled="false" stroked="true" strokeweight=".95996pt" strokecolor="#41b7ee">
                <v:path arrowok="t"/>
              </v:shape>
            </v:group>
            <v:group style="position:absolute;left:7521;top:10;width:1752;height:2" coordorigin="7521,10" coordsize="1752,2">
              <v:shape style="position:absolute;left:7521;top:10;width:1752;height:2" coordorigin="7521,10" coordsize="1752,0" path="m7521,10l9273,10e" filled="false" stroked="true" strokeweight=".95996pt" strokecolor="#41b7ee">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360" w:bottom="1380" w:left="1540" w:right="860"/>
        </w:sectPr>
      </w:pPr>
    </w:p>
    <w:p>
      <w:pPr>
        <w:spacing w:line="240" w:lineRule="auto" w:before="10"/>
        <w:rPr>
          <w:rFonts w:ascii="宋体" w:hAnsi="宋体" w:cs="宋体" w:eastAsia="宋体" w:hint="default"/>
          <w:sz w:val="11"/>
          <w:szCs w:val="11"/>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464.15pt;height:1pt;mso-position-horizontal-relative:char;mso-position-vertical-relative:line" coordorigin="0,0" coordsize="9283,20">
            <v:group style="position:absolute;left:10;top:10;width:3829;height:2" coordorigin="10,10" coordsize="3829,2">
              <v:shape style="position:absolute;left:10;top:10;width:3829;height:2" coordorigin="10,10" coordsize="3829,0" path="m10,10l3838,10e" filled="false" stroked="true" strokeweight=".96001pt" strokecolor="#41b7ee">
                <v:path arrowok="t"/>
              </v:shape>
            </v:group>
            <v:group style="position:absolute;left:3838;top:10;width:58;height:2" coordorigin="3838,10" coordsize="58,2">
              <v:shape style="position:absolute;left:3838;top:10;width:58;height:2" coordorigin="3838,10" coordsize="58,0" path="m3838,10l3896,10e" filled="false" stroked="true" strokeweight=".96001pt" strokecolor="#41b7ee">
                <v:path arrowok="t"/>
              </v:shape>
            </v:group>
            <v:group style="position:absolute;left:3896;top:10;width:1895;height:2" coordorigin="3896,10" coordsize="1895,2">
              <v:shape style="position:absolute;left:3896;top:10;width:1895;height:2" coordorigin="3896,10" coordsize="1895,0" path="m3896,10l5790,10e" filled="false" stroked="true" strokeweight=".96001pt" strokecolor="#41b7ee">
                <v:path arrowok="t"/>
              </v:shape>
            </v:group>
            <v:group style="position:absolute;left:5790;top:10;width:58;height:2" coordorigin="5790,10" coordsize="58,2">
              <v:shape style="position:absolute;left:5790;top:10;width:58;height:2" coordorigin="5790,10" coordsize="58,0" path="m5790,10l5847,10e" filled="false" stroked="true" strokeweight=".96001pt" strokecolor="#41b7ee">
                <v:path arrowok="t"/>
              </v:shape>
            </v:group>
            <v:group style="position:absolute;left:5847;top:10;width:1616;height:2" coordorigin="5847,10" coordsize="1616,2">
              <v:shape style="position:absolute;left:5847;top:10;width:1616;height:2" coordorigin="5847,10" coordsize="1616,0" path="m5847,10l7463,10e" filled="false" stroked="true" strokeweight=".96001pt" strokecolor="#41b7ee">
                <v:path arrowok="t"/>
              </v:shape>
            </v:group>
            <v:group style="position:absolute;left:7463;top:10;width:58;height:2" coordorigin="7463,10" coordsize="58,2">
              <v:shape style="position:absolute;left:7463;top:10;width:58;height:2" coordorigin="7463,10" coordsize="58,0" path="m7463,10l7521,10e" filled="false" stroked="true" strokeweight=".96001pt" strokecolor="#41b7ee">
                <v:path arrowok="t"/>
              </v:shape>
            </v:group>
            <v:group style="position:absolute;left:7521;top:10;width:1752;height:2" coordorigin="7521,10" coordsize="1752,2">
              <v:shape style="position:absolute;left:7521;top:10;width:1752;height:2" coordorigin="7521,10" coordsize="1752,0" path="m7521,10l9273,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07" w:type="dxa"/>
        <w:tblLayout w:type="fixed"/>
        <w:tblCellMar>
          <w:top w:w="0" w:type="dxa"/>
          <w:left w:w="0" w:type="dxa"/>
          <w:bottom w:w="0" w:type="dxa"/>
          <w:right w:w="0" w:type="dxa"/>
        </w:tblCellMar>
        <w:tblLook w:val="01E0"/>
      </w:tblPr>
      <w:tblGrid>
        <w:gridCol w:w="3833"/>
        <w:gridCol w:w="1952"/>
        <w:gridCol w:w="1673"/>
        <w:gridCol w:w="1805"/>
      </w:tblGrid>
      <w:tr>
        <w:trPr>
          <w:trHeight w:val="365" w:hRule="exact"/>
        </w:trPr>
        <w:tc>
          <w:tcPr>
            <w:tcW w:w="3833"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7"/>
              <w:ind w:left="26" w:right="0"/>
              <w:jc w:val="left"/>
              <w:rPr>
                <w:rFonts w:ascii="宋体" w:hAnsi="宋体" w:cs="宋体" w:eastAsia="宋体" w:hint="default"/>
                <w:sz w:val="21"/>
                <w:szCs w:val="21"/>
              </w:rPr>
            </w:pPr>
            <w:r>
              <w:rPr>
                <w:rFonts w:ascii="宋体" w:hAnsi="宋体" w:cs="宋体" w:eastAsia="宋体" w:hint="default"/>
                <w:sz w:val="21"/>
                <w:szCs w:val="21"/>
              </w:rPr>
              <w:t>熊耿</w:t>
            </w:r>
            <w:r>
              <w:rPr>
                <w:rFonts w:ascii="宋体" w:hAnsi="宋体" w:cs="宋体" w:eastAsia="宋体" w:hint="default"/>
                <w:sz w:val="21"/>
                <w:szCs w:val="21"/>
              </w:rPr>
              <w:t> </w:t>
            </w:r>
          </w:p>
        </w:tc>
        <w:tc>
          <w:tcPr>
            <w:tcW w:w="1952"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50"/>
              <w:ind w:left="984" w:right="0"/>
              <w:jc w:val="left"/>
              <w:rPr>
                <w:rFonts w:ascii="Arial" w:hAnsi="Arial" w:cs="Arial" w:eastAsia="Arial" w:hint="default"/>
                <w:sz w:val="21"/>
                <w:szCs w:val="21"/>
              </w:rPr>
            </w:pPr>
            <w:r>
              <w:rPr>
                <w:rFonts w:ascii="Arial"/>
                <w:sz w:val="21"/>
              </w:rPr>
              <w:t>3,700,000</w:t>
            </w:r>
          </w:p>
        </w:tc>
        <w:tc>
          <w:tcPr>
            <w:tcW w:w="1673"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7"/>
              <w:ind w:left="199"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805"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50"/>
              <w:ind w:left="837" w:right="0"/>
              <w:jc w:val="left"/>
              <w:rPr>
                <w:rFonts w:ascii="Arial" w:hAnsi="Arial" w:cs="Arial" w:eastAsia="Arial" w:hint="default"/>
                <w:sz w:val="21"/>
                <w:szCs w:val="21"/>
              </w:rPr>
            </w:pPr>
            <w:r>
              <w:rPr>
                <w:rFonts w:ascii="Arial"/>
                <w:sz w:val="21"/>
              </w:rPr>
              <w:t>3,700,000</w:t>
            </w:r>
          </w:p>
        </w:tc>
      </w:tr>
      <w:tr>
        <w:trPr>
          <w:trHeight w:val="1099" w:hRule="exact"/>
        </w:trPr>
        <w:tc>
          <w:tcPr>
            <w:tcW w:w="383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r>
              <w:rPr>
                <w:rFonts w:ascii="宋体" w:hAnsi="宋体" w:cs="宋体" w:eastAsia="宋体" w:hint="default"/>
                <w:sz w:val="21"/>
                <w:szCs w:val="21"/>
              </w:rPr>
              <w:t> </w:t>
            </w:r>
          </w:p>
        </w:tc>
        <w:tc>
          <w:tcPr>
            <w:tcW w:w="5430" w:type="dxa"/>
            <w:gridSpan w:val="3"/>
            <w:tcBorders>
              <w:top w:val="single" w:sz="4" w:space="0" w:color="41B7EE"/>
              <w:left w:val="single" w:sz="4" w:space="0" w:color="41B7EE"/>
              <w:bottom w:val="single" w:sz="4" w:space="0" w:color="41B7EE"/>
              <w:right w:val="nil" w:sz="6" w:space="0" w:color="auto"/>
            </w:tcBorders>
          </w:tcPr>
          <w:p>
            <w:pPr>
              <w:pStyle w:val="TableParagraph"/>
              <w:spacing w:line="240" w:lineRule="exact"/>
              <w:ind w:left="21" w:right="0"/>
              <w:jc w:val="both"/>
              <w:rPr>
                <w:rFonts w:ascii="宋体" w:hAnsi="宋体" w:cs="宋体" w:eastAsia="宋体" w:hint="default"/>
                <w:sz w:val="21"/>
                <w:szCs w:val="21"/>
              </w:rPr>
            </w:pPr>
            <w:r>
              <w:rPr>
                <w:rFonts w:ascii="宋体" w:hAnsi="宋体" w:cs="宋体" w:eastAsia="宋体" w:hint="default"/>
                <w:sz w:val="21"/>
                <w:szCs w:val="21"/>
              </w:rPr>
              <w:t>公司控股股东黑龙江北大荒农垦集团总公司与上述其他股</w:t>
            </w:r>
          </w:p>
          <w:p>
            <w:pPr>
              <w:pStyle w:val="TableParagraph"/>
              <w:spacing w:line="237" w:lineRule="auto" w:before="2"/>
              <w:ind w:left="21" w:right="22"/>
              <w:jc w:val="both"/>
              <w:rPr>
                <w:rFonts w:ascii="宋体" w:hAnsi="宋体" w:cs="宋体" w:eastAsia="宋体" w:hint="default"/>
                <w:sz w:val="21"/>
                <w:szCs w:val="21"/>
              </w:rPr>
            </w:pPr>
            <w:r>
              <w:rPr>
                <w:rFonts w:ascii="宋体" w:hAnsi="宋体" w:cs="宋体" w:eastAsia="宋体" w:hint="default"/>
                <w:spacing w:val="-5"/>
                <w:w w:val="100"/>
                <w:sz w:val="21"/>
                <w:szCs w:val="21"/>
              </w:rPr>
              <w:t>东无关联关系，本公司未知上述其他无限售条件股东之间是</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5"/>
                <w:sz w:val="21"/>
                <w:szCs w:val="21"/>
              </w:rPr>
              <w:t>否存在关联关系或属于《上市公司收购管理办法》规定的一</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致行动人。</w:t>
            </w:r>
            <w:r>
              <w:rPr>
                <w:rFonts w:ascii="宋体" w:hAnsi="宋体" w:cs="宋体" w:eastAsia="宋体" w:hint="default"/>
                <w:sz w:val="21"/>
                <w:szCs w:val="21"/>
              </w:rPr>
              <w:t> </w:t>
            </w:r>
          </w:p>
        </w:tc>
      </w:tr>
      <w:tr>
        <w:trPr>
          <w:trHeight w:val="581" w:hRule="exact"/>
        </w:trPr>
        <w:tc>
          <w:tcPr>
            <w:tcW w:w="3833" w:type="dxa"/>
            <w:tcBorders>
              <w:top w:val="single" w:sz="4" w:space="0" w:color="41B7EE"/>
              <w:left w:val="nil" w:sz="6" w:space="0" w:color="auto"/>
              <w:bottom w:val="single" w:sz="23" w:space="0" w:color="41B7EE"/>
              <w:right w:val="single" w:sz="4" w:space="0" w:color="41B7EE"/>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c>
          <w:tcPr>
            <w:tcW w:w="5430" w:type="dxa"/>
            <w:gridSpan w:val="3"/>
            <w:tcBorders>
              <w:top w:val="single" w:sz="4" w:space="0" w:color="41B7EE"/>
              <w:left w:val="single" w:sz="4" w:space="0" w:color="41B7EE"/>
              <w:bottom w:val="single" w:sz="23" w:space="0" w:color="41B7EE"/>
              <w:right w:val="nil" w:sz="6" w:space="0" w:color="auto"/>
            </w:tcBorders>
          </w:tcPr>
          <w:p>
            <w:pPr>
              <w:pStyle w:val="TableParagraph"/>
              <w:spacing w:line="240" w:lineRule="auto" w:before="102"/>
              <w:ind w:left="21" w:right="0"/>
              <w:jc w:val="left"/>
              <w:rPr>
                <w:rFonts w:ascii="宋体" w:hAnsi="宋体" w:cs="宋体" w:eastAsia="宋体" w:hint="default"/>
                <w:sz w:val="21"/>
                <w:szCs w:val="21"/>
              </w:rPr>
            </w:pPr>
            <w:r>
              <w:rPr>
                <w:rFonts w:ascii="宋体"/>
                <w:w w:val="100"/>
                <w:sz w:val="21"/>
              </w:rPr>
              <w:t> </w:t>
            </w:r>
          </w:p>
        </w:tc>
      </w:tr>
    </w:tbl>
    <w:p>
      <w:pPr>
        <w:pStyle w:val="BodyText"/>
        <w:spacing w:line="274" w:lineRule="exact" w:before="10"/>
        <w:ind w:left="278" w:right="0"/>
        <w:jc w:val="left"/>
        <w:rPr>
          <w:rFonts w:ascii="宋体" w:hAnsi="宋体" w:cs="宋体" w:eastAsia="宋体" w:hint="default"/>
        </w:rPr>
      </w:pPr>
      <w:r>
        <w:rPr>
          <w:rFonts w:ascii="宋体" w:hAnsi="宋体" w:cs="宋体" w:eastAsia="宋体" w:hint="default"/>
          <w:w w:val="100"/>
        </w:rPr>
        <w:t>  </w:t>
      </w:r>
      <w:r>
        <w:rPr>
          <w:w w:val="100"/>
        </w:rPr>
        <w:t>前十</w:t>
      </w:r>
      <w:r>
        <w:rPr>
          <w:spacing w:val="-3"/>
          <w:w w:val="100"/>
        </w:rPr>
        <w:t>名</w:t>
      </w:r>
      <w:r>
        <w:rPr>
          <w:w w:val="100"/>
        </w:rPr>
        <w:t>有</w:t>
      </w:r>
      <w:r>
        <w:rPr>
          <w:spacing w:val="-3"/>
          <w:w w:val="100"/>
        </w:rPr>
        <w:t>限</w:t>
      </w:r>
      <w:r>
        <w:rPr>
          <w:w w:val="100"/>
        </w:rPr>
        <w:t>售</w:t>
      </w:r>
      <w:r>
        <w:rPr>
          <w:spacing w:val="-3"/>
          <w:w w:val="100"/>
        </w:rPr>
        <w:t>条</w:t>
      </w:r>
      <w:r>
        <w:rPr>
          <w:w w:val="100"/>
        </w:rPr>
        <w:t>件</w:t>
      </w:r>
      <w:r>
        <w:rPr>
          <w:spacing w:val="-3"/>
          <w:w w:val="100"/>
        </w:rPr>
        <w:t>股</w:t>
      </w:r>
      <w:r>
        <w:rPr>
          <w:w w:val="100"/>
        </w:rPr>
        <w:t>东</w:t>
      </w:r>
      <w:r>
        <w:rPr>
          <w:spacing w:val="-3"/>
          <w:w w:val="100"/>
        </w:rPr>
        <w:t>持</w:t>
      </w:r>
      <w:r>
        <w:rPr>
          <w:w w:val="100"/>
        </w:rPr>
        <w:t>股数</w:t>
      </w:r>
      <w:r>
        <w:rPr>
          <w:spacing w:val="-3"/>
          <w:w w:val="100"/>
        </w:rPr>
        <w:t>量</w:t>
      </w:r>
      <w:r>
        <w:rPr>
          <w:w w:val="100"/>
        </w:rPr>
        <w:t>及</w:t>
      </w:r>
      <w:r>
        <w:rPr>
          <w:spacing w:val="-3"/>
          <w:w w:val="100"/>
        </w:rPr>
        <w:t>限</w:t>
      </w:r>
      <w:r>
        <w:rPr>
          <w:w w:val="100"/>
        </w:rPr>
        <w:t>售</w:t>
      </w:r>
      <w:r>
        <w:rPr>
          <w:spacing w:val="-3"/>
          <w:w w:val="100"/>
        </w:rPr>
        <w:t>条件</w:t>
      </w:r>
      <w:r>
        <w:rPr>
          <w:rFonts w:ascii="宋体" w:hAnsi="宋体" w:cs="宋体" w:eastAsia="宋体" w:hint="default"/>
          <w:w w:val="100"/>
        </w:rPr>
        <w:t> </w:t>
      </w:r>
    </w:p>
    <w:p>
      <w:pPr>
        <w:pStyle w:val="BodyText"/>
        <w:spacing w:line="246" w:lineRule="exact"/>
        <w:ind w:left="2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844" w:val="left" w:leader="none"/>
        </w:tabs>
        <w:spacing w:line="240" w:lineRule="auto" w:before="58"/>
        <w:ind w:left="278"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29"/>
        <w:ind w:left="2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9"/>
        <w:ind w:left="278" w:right="0"/>
        <w:jc w:val="left"/>
        <w:rPr>
          <w:b w:val="0"/>
          <w:bCs w:val="0"/>
        </w:rPr>
      </w:pPr>
      <w:r>
        <w:rPr/>
        <w:t>四、</w:t>
      </w:r>
      <w:r>
        <w:rPr>
          <w:spacing w:val="-79"/>
        </w:rPr>
        <w:t> </w:t>
      </w:r>
      <w:r>
        <w:rPr>
          <w:rFonts w:ascii="宋体" w:hAnsi="宋体" w:cs="宋体" w:eastAsia="宋体" w:hint="default"/>
          <w:spacing w:val="-79"/>
        </w:rPr>
      </w:r>
      <w:r>
        <w:rPr/>
        <w:t>控股股东及实际控制人情况</w:t>
      </w:r>
      <w:r>
        <w:rPr>
          <w:b w:val="0"/>
          <w:bCs w:val="0"/>
        </w:rPr>
      </w:r>
    </w:p>
    <w:p>
      <w:pPr>
        <w:pStyle w:val="Heading2"/>
        <w:tabs>
          <w:tab w:pos="697" w:val="left" w:leader="none"/>
        </w:tabs>
        <w:spacing w:line="266" w:lineRule="auto"/>
        <w:ind w:left="278" w:right="7599"/>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3"/>
        <w:ind w:left="2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41" w:type="dxa"/>
        <w:tblLayout w:type="fixed"/>
        <w:tblCellMar>
          <w:top w:w="0" w:type="dxa"/>
          <w:left w:w="0" w:type="dxa"/>
          <w:bottom w:w="0" w:type="dxa"/>
          <w:right w:w="0" w:type="dxa"/>
        </w:tblCellMar>
        <w:tblLook w:val="01E0"/>
      </w:tblPr>
      <w:tblGrid>
        <w:gridCol w:w="3370"/>
        <w:gridCol w:w="5679"/>
      </w:tblGrid>
      <w:tr>
        <w:trPr>
          <w:trHeight w:val="384" w:hRule="exact"/>
        </w:trPr>
        <w:tc>
          <w:tcPr>
            <w:tcW w:w="3370"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left="107"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5679"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r>
              <w:rPr>
                <w:rFonts w:ascii="宋体" w:hAnsi="宋体" w:cs="宋体" w:eastAsia="宋体" w:hint="default"/>
                <w:sz w:val="21"/>
                <w:szCs w:val="21"/>
              </w:rPr>
              <w:t> </w:t>
            </w:r>
          </w:p>
        </w:tc>
      </w:tr>
      <w:tr>
        <w:trPr>
          <w:trHeight w:val="358" w:hRule="exact"/>
        </w:trPr>
        <w:tc>
          <w:tcPr>
            <w:tcW w:w="337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r>
              <w:rPr>
                <w:rFonts w:ascii="宋体" w:hAnsi="宋体" w:cs="宋体" w:eastAsia="宋体" w:hint="default"/>
                <w:sz w:val="21"/>
                <w:szCs w:val="21"/>
              </w:rPr>
              <w:t> </w:t>
            </w:r>
          </w:p>
        </w:tc>
        <w:tc>
          <w:tcPr>
            <w:tcW w:w="567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王守聪</w:t>
            </w:r>
            <w:r>
              <w:rPr>
                <w:rFonts w:ascii="宋体" w:hAnsi="宋体" w:cs="宋体" w:eastAsia="宋体" w:hint="default"/>
                <w:sz w:val="21"/>
                <w:szCs w:val="21"/>
              </w:rPr>
              <w:t> </w:t>
            </w:r>
          </w:p>
        </w:tc>
      </w:tr>
      <w:tr>
        <w:trPr>
          <w:trHeight w:val="358" w:hRule="exact"/>
        </w:trPr>
        <w:tc>
          <w:tcPr>
            <w:tcW w:w="337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成立日期</w:t>
            </w:r>
            <w:r>
              <w:rPr>
                <w:rFonts w:ascii="宋体" w:hAnsi="宋体" w:cs="宋体" w:eastAsia="宋体" w:hint="default"/>
                <w:sz w:val="21"/>
                <w:szCs w:val="21"/>
              </w:rPr>
              <w:t> </w:t>
            </w:r>
          </w:p>
        </w:tc>
        <w:tc>
          <w:tcPr>
            <w:tcW w:w="567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1994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581" w:hRule="exact"/>
        </w:trPr>
        <w:tc>
          <w:tcPr>
            <w:tcW w:w="3370"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100"/>
              <w:ind w:left="107" w:right="0"/>
              <w:jc w:val="left"/>
              <w:rPr>
                <w:rFonts w:ascii="宋体" w:hAnsi="宋体" w:cs="宋体" w:eastAsia="宋体" w:hint="default"/>
                <w:sz w:val="21"/>
                <w:szCs w:val="21"/>
              </w:rPr>
            </w:pPr>
            <w:r>
              <w:rPr>
                <w:rFonts w:ascii="宋体" w:hAnsi="宋体" w:cs="宋体" w:eastAsia="宋体" w:hint="default"/>
                <w:sz w:val="21"/>
                <w:szCs w:val="21"/>
              </w:rPr>
              <w:t>主要经营业务</w:t>
            </w:r>
            <w:r>
              <w:rPr>
                <w:rFonts w:ascii="宋体" w:hAnsi="宋体" w:cs="宋体" w:eastAsia="宋体" w:hint="default"/>
                <w:sz w:val="21"/>
                <w:szCs w:val="21"/>
              </w:rPr>
              <w:t> </w:t>
            </w:r>
          </w:p>
        </w:tc>
        <w:tc>
          <w:tcPr>
            <w:tcW w:w="5679" w:type="dxa"/>
            <w:tcBorders>
              <w:top w:val="single" w:sz="4" w:space="0" w:color="41B7EE"/>
              <w:left w:val="single" w:sz="4" w:space="0" w:color="41B7EE"/>
              <w:bottom w:val="single" w:sz="23" w:space="0" w:color="41B7EE"/>
              <w:right w:val="nil" w:sz="6" w:space="0" w:color="auto"/>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农业牧渔业、采掘、生产加工业、交通运输、建筑、房地产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开发等</w:t>
            </w:r>
            <w:r>
              <w:rPr>
                <w:rFonts w:ascii="宋体" w:hAnsi="宋体" w:cs="宋体" w:eastAsia="宋体" w:hint="default"/>
                <w:sz w:val="21"/>
                <w:szCs w:val="21"/>
              </w:rPr>
              <w:t> </w:t>
            </w:r>
          </w:p>
        </w:tc>
      </w:tr>
    </w:tbl>
    <w:p>
      <w:pPr>
        <w:pStyle w:val="BodyText"/>
        <w:spacing w:line="241" w:lineRule="exact"/>
        <w:ind w:left="278" w:right="0"/>
        <w:jc w:val="left"/>
        <w:rPr>
          <w:rFonts w:ascii="宋体" w:hAnsi="宋体" w:cs="宋体" w:eastAsia="宋体" w:hint="default"/>
        </w:rPr>
      </w:pPr>
      <w:r>
        <w:rPr>
          <w:rFonts w:ascii="宋体"/>
          <w:w w:val="100"/>
        </w:rPr>
        <w:t> </w:t>
      </w:r>
    </w:p>
    <w:p>
      <w:pPr>
        <w:pStyle w:val="Heading2"/>
        <w:tabs>
          <w:tab w:pos="697" w:val="left" w:leader="none"/>
        </w:tabs>
        <w:spacing w:line="240" w:lineRule="auto"/>
        <w:ind w:left="278" w:right="0"/>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697" w:val="left" w:leader="none"/>
        </w:tabs>
        <w:spacing w:line="240" w:lineRule="auto"/>
        <w:ind w:left="278" w:right="0"/>
        <w:jc w:val="left"/>
        <w:rPr>
          <w:rFonts w:ascii="宋体" w:hAnsi="宋体" w:cs="宋体" w:eastAsia="宋体" w:hint="default"/>
          <w:b w:val="0"/>
          <w:bCs w:val="0"/>
        </w:rPr>
      </w:pPr>
      <w:r>
        <w:rPr>
          <w:rFonts w:ascii="宋体" w:hAnsi="宋体" w:cs="宋体" w:eastAsia="宋体" w:hint="default"/>
          <w:w w:val="95"/>
        </w:rPr>
        <w:t>3</w:t>
        <w:tab/>
      </w:r>
      <w:r>
        <w:rPr/>
        <w:t>公司不存在控股股东情况的特别说明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697" w:val="left" w:leader="none"/>
        </w:tabs>
        <w:spacing w:line="240" w:lineRule="auto"/>
        <w:ind w:left="278" w:right="0"/>
        <w:jc w:val="left"/>
        <w:rPr>
          <w:rFonts w:ascii="宋体" w:hAnsi="宋体" w:cs="宋体" w:eastAsia="宋体" w:hint="default"/>
          <w:b w:val="0"/>
          <w:bCs w:val="0"/>
        </w:rPr>
      </w:pPr>
      <w:r>
        <w:rPr>
          <w:rFonts w:ascii="宋体" w:hAnsi="宋体" w:cs="宋体" w:eastAsia="宋体" w:hint="default"/>
          <w:w w:val="95"/>
        </w:rPr>
        <w:t>4</w:t>
        <w:tab/>
      </w:r>
      <w:r>
        <w:rPr/>
        <w:t>报告期内控股股东变更情况索引及日期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697" w:val="left" w:leader="none"/>
        </w:tabs>
        <w:spacing w:line="240" w:lineRule="auto"/>
        <w:ind w:left="278" w:right="0"/>
        <w:jc w:val="left"/>
        <w:rPr>
          <w:rFonts w:ascii="宋体" w:hAnsi="宋体" w:cs="宋体" w:eastAsia="宋体" w:hint="default"/>
          <w:b w:val="0"/>
          <w:bCs w:val="0"/>
        </w:rPr>
      </w:pPr>
      <w:r>
        <w:rPr>
          <w:rFonts w:ascii="宋体" w:hAnsi="宋体" w:cs="宋体" w:eastAsia="宋体" w:hint="default"/>
          <w:w w:val="95"/>
        </w:rPr>
        <w:t>5</w:t>
        <w:tab/>
      </w:r>
      <w:r>
        <w:rPr/>
        <w:t>公司与控股股东之间的产权及控制关系的方框图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78" w:right="0"/>
        <w:jc w:val="left"/>
        <w:rPr>
          <w:rFonts w:ascii="宋体" w:hAnsi="宋体" w:cs="宋体" w:eastAsia="宋体" w:hint="default"/>
        </w:rPr>
      </w:pPr>
      <w:r>
        <w:rPr/>
        <w:pict>
          <v:shape style="position:absolute;margin-left:192.970001pt;margin-top:18.093666pt;width:240.7pt;height:139.75pt;mso-position-horizontal-relative:page;mso-position-vertical-relative:paragraph;z-index:-943288"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3"/>
                    <w:ind w:left="0" w:right="0"/>
                    <w:jc w:val="right"/>
                    <w:rPr>
                      <w:rFonts w:ascii="宋体" w:hAnsi="宋体" w:cs="宋体" w:eastAsia="宋体" w:hint="default"/>
                    </w:rPr>
                  </w:pPr>
                  <w:r>
                    <w:rPr>
                      <w:rFonts w:ascii="宋体"/>
                      <w:w w:val="100"/>
                    </w:rPr>
                    <w:t> </w:t>
                  </w:r>
                </w:p>
              </w:txbxContent>
            </v:textbox>
            <w10:wrap type="none"/>
          </v:shape>
        </w:pict>
      </w: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2"/>
          <w:szCs w:val="2"/>
        </w:rPr>
      </w:pPr>
    </w:p>
    <w:p>
      <w:pPr>
        <w:spacing w:line="2785" w:lineRule="exact"/>
        <w:ind w:left="2339" w:right="0" w:firstLine="0"/>
        <w:rPr>
          <w:rFonts w:ascii="宋体" w:hAnsi="宋体" w:cs="宋体" w:eastAsia="宋体" w:hint="default"/>
          <w:sz w:val="20"/>
          <w:szCs w:val="20"/>
        </w:rPr>
      </w:pPr>
      <w:r>
        <w:rPr>
          <w:rFonts w:ascii="宋体" w:hAnsi="宋体" w:cs="宋体" w:eastAsia="宋体" w:hint="default"/>
          <w:position w:val="-55"/>
          <w:sz w:val="20"/>
          <w:szCs w:val="20"/>
        </w:rPr>
        <w:drawing>
          <wp:inline distT="0" distB="0" distL="0" distR="0">
            <wp:extent cx="3063169" cy="1768602"/>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35" cstate="print"/>
                    <a:stretch>
                      <a:fillRect/>
                    </a:stretch>
                  </pic:blipFill>
                  <pic:spPr>
                    <a:xfrm>
                      <a:off x="0" y="0"/>
                      <a:ext cx="3063169" cy="1768602"/>
                    </a:xfrm>
                    <a:prstGeom prst="rect">
                      <a:avLst/>
                    </a:prstGeom>
                  </pic:spPr>
                </pic:pic>
              </a:graphicData>
            </a:graphic>
          </wp:inline>
        </w:drawing>
      </w:r>
      <w:r>
        <w:rPr>
          <w:rFonts w:ascii="宋体" w:hAnsi="宋体" w:cs="宋体" w:eastAsia="宋体" w:hint="default"/>
          <w:position w:val="-55"/>
          <w:sz w:val="20"/>
          <w:szCs w:val="20"/>
        </w:rPr>
      </w:r>
    </w:p>
    <w:p>
      <w:pPr>
        <w:pStyle w:val="Heading2"/>
        <w:tabs>
          <w:tab w:pos="702" w:val="left" w:leader="none"/>
        </w:tabs>
        <w:spacing w:line="266" w:lineRule="auto" w:before="5"/>
        <w:ind w:left="278" w:right="7388"/>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3"/>
        <w:ind w:left="2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70" w:type="dxa"/>
        <w:tblLayout w:type="fixed"/>
        <w:tblCellMar>
          <w:top w:w="0" w:type="dxa"/>
          <w:left w:w="0" w:type="dxa"/>
          <w:bottom w:w="0" w:type="dxa"/>
          <w:right w:w="0" w:type="dxa"/>
        </w:tblCellMar>
        <w:tblLook w:val="01E0"/>
      </w:tblPr>
      <w:tblGrid>
        <w:gridCol w:w="3404"/>
        <w:gridCol w:w="5646"/>
      </w:tblGrid>
      <w:tr>
        <w:trPr>
          <w:trHeight w:val="389" w:hRule="exact"/>
        </w:trPr>
        <w:tc>
          <w:tcPr>
            <w:tcW w:w="3404" w:type="dxa"/>
            <w:tcBorders>
              <w:top w:val="single" w:sz="23" w:space="0" w:color="41B7EE"/>
              <w:left w:val="nil" w:sz="6" w:space="0" w:color="auto"/>
              <w:bottom w:val="single" w:sz="8"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5646" w:type="dxa"/>
            <w:tcBorders>
              <w:top w:val="single" w:sz="23" w:space="0" w:color="41B7EE"/>
              <w:left w:val="single" w:sz="4" w:space="0" w:color="41B7EE"/>
              <w:bottom w:val="single" w:sz="8"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中华人民共和国农业农村部</w:t>
            </w:r>
            <w:r>
              <w:rPr>
                <w:rFonts w:ascii="宋体" w:hAnsi="宋体" w:cs="宋体" w:eastAsia="宋体" w:hint="default"/>
                <w:sz w:val="21"/>
                <w:szCs w:val="21"/>
              </w:rPr>
              <w:t> </w:t>
            </w:r>
          </w:p>
        </w:tc>
      </w:tr>
    </w:tbl>
    <w:p>
      <w:pPr>
        <w:spacing w:line="20" w:lineRule="exact"/>
        <w:ind w:left="16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399;height:2" coordorigin="10,10" coordsize="3399,2">
              <v:shape style="position:absolute;left:10;top:10;width:3399;height:2" coordorigin="10,10" coordsize="3399,0" path="m10,10l3408,10e" filled="false" stroked="true" strokeweight=".96002pt" strokecolor="#41b7ee">
                <v:path arrowok="t"/>
              </v:shape>
            </v:group>
            <v:group style="position:absolute;left:3409;top:10;width:58;height:2" coordorigin="3409,10" coordsize="58,2">
              <v:shape style="position:absolute;left:3409;top:10;width:58;height:2" coordorigin="3409,10" coordsize="58,0" path="m3409,10l3466,10e" filled="false" stroked="true" strokeweight=".96002pt" strokecolor="#41b7ee">
                <v:path arrowok="t"/>
              </v:shape>
            </v:group>
            <v:group style="position:absolute;left:3466;top:10;width:5593;height:2" coordorigin="3466,10" coordsize="5593,2">
              <v:shape style="position:absolute;left:3466;top:10;width:5593;height:2" coordorigin="3466,10" coordsize="5593,0" path="m3466,10l9059,10e" filled="false" stroked="true" strokeweight=".96002pt" strokecolor="#41b7ee">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25" w:footer="1195" w:top="1360" w:bottom="1380" w:left="1520" w:right="820"/>
        </w:sectPr>
      </w:pPr>
    </w:p>
    <w:p>
      <w:pPr>
        <w:pStyle w:val="Heading2"/>
        <w:tabs>
          <w:tab w:pos="562" w:val="left" w:leader="none"/>
        </w:tabs>
        <w:spacing w:line="240" w:lineRule="auto" w:before="119"/>
        <w:ind w:left="138" w:right="0"/>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562"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3</w:t>
        <w:tab/>
      </w:r>
      <w:r>
        <w:rPr/>
        <w:t>公司不存在实际控制人情况的特别说明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562"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4</w:t>
        <w:tab/>
      </w:r>
      <w:r>
        <w:rPr/>
        <w:t>报告期内实际控制人变更情况索引及日期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562"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5</w:t>
        <w:tab/>
      </w:r>
      <w:r>
        <w:rPr/>
        <w:t>公司与实际控制人之间的产权及控制关系的方框图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p>
      <w:pPr>
        <w:spacing w:line="3946" w:lineRule="exact"/>
        <w:ind w:left="2196" w:right="0" w:firstLine="0"/>
        <w:rPr>
          <w:rFonts w:ascii="宋体" w:hAnsi="宋体" w:cs="宋体" w:eastAsia="宋体" w:hint="default"/>
          <w:sz w:val="20"/>
          <w:szCs w:val="20"/>
        </w:rPr>
      </w:pPr>
      <w:r>
        <w:rPr>
          <w:rFonts w:ascii="宋体" w:hAnsi="宋体" w:cs="宋体" w:eastAsia="宋体" w:hint="default"/>
          <w:position w:val="-78"/>
          <w:sz w:val="20"/>
          <w:szCs w:val="20"/>
        </w:rPr>
        <w:pict>
          <v:group style="width:241.1pt;height:197.35pt;mso-position-horizontal-relative:char;mso-position-vertical-relative:line" coordorigin="0,0" coordsize="4822,3947">
            <v:shape style="position:absolute;left:0;top:0;width:4741;height:3919" type="#_x0000_t75" stroked="false">
              <v:imagedata r:id="rId36" o:title=""/>
            </v:shape>
            <v:shape style="position:absolute;left:4716;top:3736;width:106;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w w:val="100"/>
                        <w:sz w:val="21"/>
                      </w:rPr>
                      <w:t> </w:t>
                    </w:r>
                  </w:p>
                </w:txbxContent>
              </v:textbox>
              <w10:wrap type="none"/>
            </v:shape>
          </v:group>
        </w:pict>
      </w:r>
      <w:r>
        <w:rPr>
          <w:rFonts w:ascii="宋体" w:hAnsi="宋体" w:cs="宋体" w:eastAsia="宋体" w:hint="default"/>
          <w:position w:val="-78"/>
          <w:sz w:val="20"/>
          <w:szCs w:val="20"/>
        </w:rPr>
      </w:r>
    </w:p>
    <w:p>
      <w:pPr>
        <w:pStyle w:val="Heading2"/>
        <w:spacing w:line="274" w:lineRule="exact" w:before="0"/>
        <w:ind w:left="138" w:right="0"/>
        <w:jc w:val="both"/>
        <w:rPr>
          <w:rFonts w:ascii="宋体" w:hAnsi="宋体" w:cs="宋体" w:eastAsia="宋体" w:hint="default"/>
          <w:b w:val="0"/>
          <w:bCs w:val="0"/>
        </w:rPr>
      </w:pPr>
      <w:r>
        <w:rPr>
          <w:rFonts w:ascii="宋体" w:hAnsi="宋体" w:cs="宋体" w:eastAsia="宋体" w:hint="default"/>
        </w:rPr>
        <w:t>6 </w:t>
      </w:r>
      <w:r>
        <w:rPr>
          <w:rFonts w:ascii="宋体" w:hAnsi="宋体" w:cs="宋体" w:eastAsia="宋体" w:hint="default"/>
          <w:spacing w:val="103"/>
        </w:rPr>
        <w:t> </w:t>
      </w:r>
      <w:r>
        <w:rPr/>
        <w:t>实际控制人通过信托或其他资产管理方式控制公司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left="138"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spacing w:line="276" w:lineRule="auto" w:before="32"/>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黑龙江北大荒农垦集团总公司为本公司的控股股东，系经原黑龙江省经济体制改革委员会批</w:t>
      </w:r>
    </w:p>
    <w:p>
      <w:pPr>
        <w:pStyle w:val="BodyText"/>
        <w:spacing w:line="271" w:lineRule="auto" w:before="13"/>
        <w:ind w:left="138" w:right="128"/>
        <w:jc w:val="both"/>
        <w:rPr>
          <w:rFonts w:ascii="宋体" w:hAnsi="宋体" w:cs="宋体" w:eastAsia="宋体" w:hint="default"/>
        </w:rPr>
      </w:pPr>
      <w:r>
        <w:rPr/>
        <w:t>准于</w:t>
      </w:r>
      <w:r>
        <w:rPr>
          <w:spacing w:val="-54"/>
        </w:rPr>
        <w:t> </w:t>
      </w:r>
      <w:r>
        <w:rPr>
          <w:rFonts w:ascii="Arial" w:hAnsi="Arial" w:cs="Arial" w:eastAsia="Arial" w:hint="default"/>
        </w:rPr>
        <w:t>1994</w:t>
      </w:r>
      <w:r>
        <w:rPr>
          <w:rFonts w:ascii="Arial" w:hAnsi="Arial" w:cs="Arial" w:eastAsia="Arial" w:hint="default"/>
          <w:spacing w:val="-7"/>
        </w:rPr>
        <w:t> </w:t>
      </w:r>
      <w:r>
        <w:rPr/>
        <w:t>年</w:t>
      </w:r>
      <w:r>
        <w:rPr>
          <w:spacing w:val="-56"/>
        </w:rPr>
        <w:t> </w:t>
      </w:r>
      <w:r>
        <w:rPr>
          <w:rFonts w:ascii="Arial" w:hAnsi="Arial" w:cs="Arial" w:eastAsia="Arial" w:hint="default"/>
        </w:rPr>
        <w:t>4</w:t>
      </w:r>
      <w:r>
        <w:rPr>
          <w:rFonts w:ascii="Arial" w:hAnsi="Arial" w:cs="Arial" w:eastAsia="Arial" w:hint="default"/>
          <w:spacing w:val="-7"/>
        </w:rPr>
        <w:t> </w:t>
      </w:r>
      <w:r>
        <w:rPr/>
        <w:t>月成立的大型国有资产运营公司，是原国家计委、原国家经贸委、原国家体改委</w:t>
      </w:r>
      <w:r>
        <w:rPr>
          <w:w w:val="100"/>
        </w:rPr>
        <w:t> </w:t>
      </w:r>
      <w:r>
        <w:rPr>
          <w:spacing w:val="-5"/>
        </w:rPr>
        <w:t>以计规划〔</w:t>
      </w:r>
      <w:r>
        <w:rPr>
          <w:rFonts w:ascii="Arial" w:hAnsi="Arial" w:cs="Arial" w:eastAsia="Arial" w:hint="default"/>
          <w:spacing w:val="-5"/>
        </w:rPr>
        <w:t>1998</w:t>
      </w:r>
      <w:r>
        <w:rPr>
          <w:spacing w:val="-5"/>
        </w:rPr>
        <w:t>〕</w:t>
      </w:r>
      <w:r>
        <w:rPr>
          <w:rFonts w:ascii="Arial" w:hAnsi="Arial" w:cs="Arial" w:eastAsia="Arial" w:hint="default"/>
          <w:spacing w:val="-5"/>
        </w:rPr>
        <w:t>322</w:t>
      </w:r>
      <w:r>
        <w:rPr>
          <w:rFonts w:ascii="Arial" w:hAnsi="Arial" w:cs="Arial" w:eastAsia="Arial" w:hint="default"/>
          <w:spacing w:val="-6"/>
        </w:rPr>
        <w:t> </w:t>
      </w:r>
      <w:r>
        <w:rPr/>
        <w:t>号文批准的国家</w:t>
      </w:r>
      <w:r>
        <w:rPr>
          <w:spacing w:val="-50"/>
        </w:rPr>
        <w:t> </w:t>
      </w:r>
      <w:r>
        <w:rPr>
          <w:rFonts w:ascii="Arial" w:hAnsi="Arial" w:cs="Arial" w:eastAsia="Arial" w:hint="default"/>
        </w:rPr>
        <w:t>120</w:t>
      </w:r>
      <w:r>
        <w:rPr>
          <w:rFonts w:ascii="Arial" w:hAnsi="Arial" w:cs="Arial" w:eastAsia="Arial" w:hint="default"/>
          <w:spacing w:val="-6"/>
        </w:rPr>
        <w:t> </w:t>
      </w:r>
      <w:r>
        <w:rPr/>
        <w:t>家大型企业试点集团</w:t>
      </w:r>
      <w:r>
        <w:rPr>
          <w:rFonts w:ascii="Arial" w:hAnsi="Arial" w:cs="Arial" w:eastAsia="Arial" w:hint="default"/>
        </w:rPr>
        <w:t>——</w:t>
      </w:r>
      <w:r>
        <w:rPr/>
        <w:t>黑龙江北大荒农垦集团的核</w:t>
      </w:r>
      <w:r>
        <w:rPr>
          <w:w w:val="100"/>
        </w:rPr>
        <w:t> </w:t>
      </w:r>
      <w:r>
        <w:rPr/>
        <w:t>心企业。</w:t>
      </w:r>
      <w:r>
        <w:rPr>
          <w:rFonts w:ascii="Arial" w:hAnsi="Arial" w:cs="Arial" w:eastAsia="Arial" w:hint="default"/>
        </w:rPr>
        <w:t>2018</w:t>
      </w:r>
      <w:r>
        <w:rPr>
          <w:rFonts w:ascii="Arial" w:hAnsi="Arial" w:cs="Arial" w:eastAsia="Arial" w:hint="default"/>
          <w:spacing w:val="-11"/>
        </w:rPr>
        <w:t> </w:t>
      </w:r>
      <w:r>
        <w:rPr/>
        <w:t>年</w:t>
      </w:r>
      <w:r>
        <w:rPr>
          <w:spacing w:val="-56"/>
        </w:rPr>
        <w:t> </w:t>
      </w:r>
      <w:r>
        <w:rPr>
          <w:rFonts w:ascii="Arial" w:hAnsi="Arial" w:cs="Arial" w:eastAsia="Arial" w:hint="default"/>
        </w:rPr>
        <w:t>12</w:t>
      </w:r>
      <w:r>
        <w:rPr>
          <w:rFonts w:ascii="Arial" w:hAnsi="Arial" w:cs="Arial" w:eastAsia="Arial" w:hint="default"/>
          <w:spacing w:val="-11"/>
        </w:rPr>
        <w:t> </w:t>
      </w:r>
      <w:r>
        <w:rPr/>
        <w:t>月，经国务院授权，由财政部代表国务院履行出资人职责，黑龙江北大荒农</w:t>
      </w:r>
      <w:r>
        <w:rPr>
          <w:w w:val="100"/>
        </w:rPr>
        <w:t> </w:t>
      </w:r>
      <w:r>
        <w:rPr>
          <w:spacing w:val="-2"/>
        </w:rPr>
        <w:t>垦集团总公司在黑龙江省垦区工商行政管理局完成了工商变更登记。集团总公司的出资人由中华</w:t>
      </w:r>
      <w:r>
        <w:rPr>
          <w:spacing w:val="-25"/>
        </w:rPr>
        <w:t> </w:t>
      </w:r>
      <w:r>
        <w:rPr>
          <w:spacing w:val="-25"/>
        </w:rPr>
      </w:r>
      <w:r>
        <w:rPr>
          <w:spacing w:val="-2"/>
        </w:rPr>
        <w:t>人民共和国农业农村部变更为中华人民共和国财政部。本公司实际控制人为中华人民共和国农业</w:t>
      </w:r>
      <w:r>
        <w:rPr>
          <w:spacing w:val="-25"/>
        </w:rPr>
        <w:t> </w:t>
      </w:r>
      <w:r>
        <w:rPr>
          <w:spacing w:val="-25"/>
        </w:rPr>
      </w:r>
      <w:r>
        <w:rPr/>
        <w:t>农村部。</w:t>
      </w:r>
      <w:r>
        <w:rPr>
          <w:rFonts w:ascii="宋体" w:hAnsi="宋体" w:cs="宋体" w:eastAsia="宋体" w:hint="default"/>
        </w:rPr>
        <w:t> </w:t>
      </w:r>
    </w:p>
    <w:p>
      <w:pPr>
        <w:pStyle w:val="Heading2"/>
        <w:spacing w:line="240" w:lineRule="auto" w:before="31"/>
        <w:ind w:left="138" w:right="0"/>
        <w:jc w:val="both"/>
        <w:rPr>
          <w:b w:val="0"/>
          <w:bCs w:val="0"/>
        </w:rPr>
      </w:pPr>
      <w:r>
        <w:rPr/>
        <w:t>五、</w:t>
      </w:r>
      <w:r>
        <w:rPr>
          <w:spacing w:val="-78"/>
        </w:rPr>
        <w:t> </w:t>
      </w:r>
      <w:r>
        <w:rPr>
          <w:rFonts w:ascii="宋体" w:hAnsi="宋体" w:cs="宋体" w:eastAsia="宋体" w:hint="default"/>
          <w:spacing w:val="-78"/>
        </w:rPr>
      </w:r>
      <w:r>
        <w:rPr/>
        <w:t>其他持股在百分之十以上的法人股东</w:t>
      </w:r>
      <w:r>
        <w:rPr>
          <w:b w:val="0"/>
          <w:bCs w:val="0"/>
        </w:rPr>
      </w:r>
    </w:p>
    <w:p>
      <w:pPr>
        <w:pStyle w:val="BodyText"/>
        <w:spacing w:line="240" w:lineRule="auto" w:before="58"/>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7"/>
        <w:ind w:left="138" w:right="0"/>
        <w:jc w:val="both"/>
        <w:rPr>
          <w:b w:val="0"/>
          <w:bCs w:val="0"/>
        </w:rPr>
      </w:pPr>
      <w:r>
        <w:rPr/>
        <w:t>六、</w:t>
      </w:r>
      <w:r>
        <w:rPr>
          <w:spacing w:val="-77"/>
        </w:rPr>
        <w:t> </w:t>
      </w:r>
      <w:r>
        <w:rPr>
          <w:rFonts w:ascii="宋体" w:hAnsi="宋体" w:cs="宋体" w:eastAsia="宋体" w:hint="default"/>
          <w:spacing w:val="-77"/>
        </w:rPr>
      </w:r>
      <w:r>
        <w:rPr/>
        <w:t>股份限制减持情况说明</w:t>
      </w:r>
      <w:r>
        <w:rPr>
          <w:b w:val="0"/>
          <w:bCs w:val="0"/>
        </w:rPr>
      </w:r>
    </w:p>
    <w:p>
      <w:pPr>
        <w:pStyle w:val="BodyText"/>
        <w:spacing w:line="273" w:lineRule="exact" w:before="58"/>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both"/>
        <w:rPr>
          <w:rFonts w:ascii="宋体" w:hAnsi="宋体" w:cs="宋体" w:eastAsia="宋体" w:hint="default"/>
        </w:rPr>
      </w:pPr>
      <w:r>
        <w:rPr>
          <w:rFonts w:ascii="宋体"/>
          <w:w w:val="100"/>
        </w:rPr>
        <w:t> </w:t>
      </w:r>
    </w:p>
    <w:p>
      <w:pPr>
        <w:pStyle w:val="BodyText"/>
        <w:spacing w:line="274" w:lineRule="exact"/>
        <w:ind w:left="138" w:right="0"/>
        <w:jc w:val="both"/>
        <w:rPr>
          <w:rFonts w:ascii="宋体" w:hAnsi="宋体" w:cs="宋体" w:eastAsia="宋体" w:hint="default"/>
        </w:rPr>
      </w:pPr>
      <w:r>
        <w:rPr>
          <w:rFonts w:ascii="宋体"/>
          <w:w w:val="100"/>
        </w:rPr>
        <w:t> </w:t>
      </w:r>
    </w:p>
    <w:p>
      <w:pPr>
        <w:pStyle w:val="Heading1"/>
        <w:tabs>
          <w:tab w:pos="4199" w:val="left" w:leader="none"/>
        </w:tabs>
        <w:spacing w:line="240" w:lineRule="auto" w:before="42"/>
        <w:ind w:left="2939" w:right="0"/>
        <w:jc w:val="left"/>
        <w:rPr>
          <w:b w:val="0"/>
          <w:bCs w:val="0"/>
        </w:rPr>
      </w:pPr>
      <w:bookmarkStart w:name="_bookmark6" w:id="9"/>
      <w:bookmarkEnd w:id="9"/>
      <w:r>
        <w:rPr>
          <w:b w:val="0"/>
          <w:bCs w:val="0"/>
        </w:rPr>
      </w:r>
      <w:r>
        <w:rPr>
          <w:w w:val="95"/>
        </w:rPr>
        <w:t>第七节</w:t>
      </w:r>
      <w:r>
        <w:rPr>
          <w:rFonts w:ascii="宋体" w:hAnsi="宋体" w:cs="宋体" w:eastAsia="宋体" w:hint="default"/>
          <w:w w:val="95"/>
        </w:rPr>
        <w:tab/>
      </w:r>
      <w:r>
        <w:rPr/>
        <w:t>优先股相关情况</w:t>
      </w:r>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25" w:footer="1195" w:top="1360" w:bottom="1380" w:left="1660" w:right="1140"/>
        </w:sectPr>
      </w:pPr>
    </w:p>
    <w:p>
      <w:pPr>
        <w:pStyle w:val="Heading1"/>
        <w:tabs>
          <w:tab w:pos="5581" w:val="left" w:leader="none"/>
        </w:tabs>
        <w:spacing w:line="240" w:lineRule="auto" w:before="17"/>
        <w:ind w:left="4321" w:right="0"/>
        <w:jc w:val="left"/>
        <w:rPr>
          <w:b w:val="0"/>
          <w:bCs w:val="0"/>
        </w:rPr>
      </w:pPr>
      <w:r>
        <w:rPr/>
        <w:pict>
          <v:group style="position:absolute;margin-left:74.760002pt;margin-top:2.921548pt;width:695.65pt;height:.1pt;mso-position-horizontal-relative:page;mso-position-vertical-relative:paragraph;z-index:-943168" coordorigin="1495,58" coordsize="13913,2">
            <v:shape style="position:absolute;left:1495;top:58;width:13913;height:2" coordorigin="1495,58" coordsize="13913,0" path="m1495,58l15408,58e" filled="false" stroked="true" strokeweight=".72pt" strokecolor="#000000">
              <v:path arrowok="t"/>
            </v:shape>
            <w10:wrap type="none"/>
          </v:group>
        </w:pict>
      </w:r>
      <w:bookmarkStart w:name="_bookmark7" w:id="10"/>
      <w:bookmarkEnd w:id="10"/>
      <w:r>
        <w:rPr>
          <w:b w:val="0"/>
          <w:bCs w:val="0"/>
        </w:rPr>
      </w:r>
      <w:r>
        <w:rPr>
          <w:w w:val="95"/>
        </w:rPr>
        <w:t>第八节</w:t>
      </w:r>
      <w:r>
        <w:rPr>
          <w:rFonts w:ascii="宋体" w:hAnsi="宋体" w:cs="宋体" w:eastAsia="宋体" w:hint="default"/>
          <w:w w:val="95"/>
        </w:rPr>
        <w:tab/>
      </w:r>
      <w:r>
        <w:rPr/>
        <w:t>董事、监事、高级管理人员和员工情况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7"/>
          <w:footerReference w:type="default" r:id="rId38"/>
          <w:pgSz w:w="16840" w:h="11910" w:orient="landscape"/>
          <w:pgMar w:header="825" w:footer="1195" w:top="1300" w:bottom="1380" w:left="1120" w:right="1200"/>
          <w:pgNumType w:start="54"/>
        </w:sectPr>
      </w:pPr>
    </w:p>
    <w:p>
      <w:pPr>
        <w:pStyle w:val="Heading2"/>
        <w:spacing w:line="240" w:lineRule="auto" w:before="36"/>
        <w:ind w:left="404" w:right="-15"/>
        <w:jc w:val="left"/>
        <w:rPr>
          <w:b w:val="0"/>
          <w:bCs w:val="0"/>
        </w:rPr>
      </w:pPr>
      <w:r>
        <w:rPr/>
        <w:t>一、持股变动情况及报酬情况</w:t>
      </w:r>
      <w:r>
        <w:rPr>
          <w:b w:val="0"/>
          <w:bCs w:val="0"/>
        </w:rPr>
      </w:r>
    </w:p>
    <w:p>
      <w:pPr>
        <w:pStyle w:val="Heading2"/>
        <w:spacing w:line="240" w:lineRule="auto"/>
        <w:ind w:left="40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404" w:right="-1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404"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360" w:bottom="1380" w:left="1120" w:right="1200"/>
          <w:cols w:num="2" w:equalWidth="0">
            <w:col w:w="7151" w:space="5883"/>
            <w:col w:w="1486"/>
          </w:cols>
        </w:sectPr>
      </w:pPr>
    </w:p>
    <w:p>
      <w:pPr>
        <w:spacing w:line="240" w:lineRule="auto" w:before="7"/>
        <w:rPr>
          <w:rFonts w:ascii="宋体" w:hAnsi="宋体" w:cs="宋体" w:eastAsia="宋体" w:hint="default"/>
          <w:sz w:val="2"/>
          <w:szCs w:val="2"/>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714.6pt;height:1pt;mso-position-horizontal-relative:char;mso-position-vertical-relative:line" coordorigin="0,0" coordsize="14292,20">
            <v:group style="position:absolute;left:10;top:10;width:846;height:2" coordorigin="10,10" coordsize="846,2">
              <v:shape style="position:absolute;left:10;top:10;width:846;height:2" coordorigin="10,10" coordsize="846,0" path="m10,10l855,10e" filled="false" stroked="true" strokeweight=".95999pt" strokecolor="#41b7ee">
                <v:path arrowok="t"/>
              </v:shape>
            </v:group>
            <v:group style="position:absolute;left:855;top:10;width:58;height:2" coordorigin="855,10" coordsize="58,2">
              <v:shape style="position:absolute;left:855;top:10;width:58;height:2" coordorigin="855,10" coordsize="58,0" path="m855,10l912,10e" filled="false" stroked="true" strokeweight=".95999pt" strokecolor="#41b7ee">
                <v:path arrowok="t"/>
              </v:shape>
            </v:group>
            <v:group style="position:absolute;left:912;top:10;width:2352;height:2" coordorigin="912,10" coordsize="2352,2">
              <v:shape style="position:absolute;left:912;top:10;width:2352;height:2" coordorigin="912,10" coordsize="2352,0" path="m912,10l3264,10e" filled="false" stroked="true" strokeweight=".95999pt" strokecolor="#41b7ee">
                <v:path arrowok="t"/>
              </v:shape>
            </v:group>
            <v:group style="position:absolute;left:3264;top:10;width:58;height:2" coordorigin="3264,10" coordsize="58,2">
              <v:shape style="position:absolute;left:3264;top:10;width:58;height:2" coordorigin="3264,10" coordsize="58,0" path="m3264,10l3322,10e" filled="false" stroked="true" strokeweight=".95999pt" strokecolor="#41b7ee">
                <v:path arrowok="t"/>
              </v:shape>
            </v:group>
            <v:group style="position:absolute;left:3322;top:10;width:653;height:2" coordorigin="3322,10" coordsize="653,2">
              <v:shape style="position:absolute;left:3322;top:10;width:653;height:2" coordorigin="3322,10" coordsize="653,0" path="m3322,10l3975,10e" filled="false" stroked="true" strokeweight=".95999pt" strokecolor="#41b7ee">
                <v:path arrowok="t"/>
              </v:shape>
            </v:group>
            <v:group style="position:absolute;left:3975;top:10;width:59;height:2" coordorigin="3975,10" coordsize="59,2">
              <v:shape style="position:absolute;left:3975;top:10;width:59;height:2" coordorigin="3975,10" coordsize="59,0" path="m3975,10l4033,10e" filled="false" stroked="true" strokeweight=".95999pt" strokecolor="#41b7ee">
                <v:path arrowok="t"/>
              </v:shape>
            </v:group>
            <v:group style="position:absolute;left:4033;top:10;width:651;height:2" coordorigin="4033,10" coordsize="651,2">
              <v:shape style="position:absolute;left:4033;top:10;width:651;height:2" coordorigin="4033,10" coordsize="651,0" path="m4033,10l4683,10e" filled="false" stroked="true" strokeweight=".95999pt" strokecolor="#41b7ee">
                <v:path arrowok="t"/>
              </v:shape>
            </v:group>
            <v:group style="position:absolute;left:4683;top:10;width:58;height:2" coordorigin="4683,10" coordsize="58,2">
              <v:shape style="position:absolute;left:4683;top:10;width:58;height:2" coordorigin="4683,10" coordsize="58,0" path="m4683,10l4741,10e" filled="false" stroked="true" strokeweight=".95999pt" strokecolor="#41b7ee">
                <v:path arrowok="t"/>
              </v:shape>
            </v:group>
            <v:group style="position:absolute;left:4741;top:10;width:1928;height:2" coordorigin="4741,10" coordsize="1928,2">
              <v:shape style="position:absolute;left:4741;top:10;width:1928;height:2" coordorigin="4741,10" coordsize="1928,0" path="m4741,10l6668,10e" filled="false" stroked="true" strokeweight=".95999pt" strokecolor="#41b7ee">
                <v:path arrowok="t"/>
              </v:shape>
            </v:group>
            <v:group style="position:absolute;left:6668;top:10;width:58;height:2" coordorigin="6668,10" coordsize="58,2">
              <v:shape style="position:absolute;left:6668;top:10;width:58;height:2" coordorigin="6668,10" coordsize="58,0" path="m6668,10l6726,10e" filled="false" stroked="true" strokeweight=".95999pt" strokecolor="#41b7ee">
                <v:path arrowok="t"/>
              </v:shape>
            </v:group>
            <v:group style="position:absolute;left:6726;top:10;width:795;height:2" coordorigin="6726,10" coordsize="795,2">
              <v:shape style="position:absolute;left:6726;top:10;width:795;height:2" coordorigin="6726,10" coordsize="795,0" path="m6726,10l7521,10e" filled="false" stroked="true" strokeweight=".95999pt" strokecolor="#41b7ee">
                <v:path arrowok="t"/>
              </v:shape>
            </v:group>
            <v:group style="position:absolute;left:7521;top:10;width:58;height:2" coordorigin="7521,10" coordsize="58,2">
              <v:shape style="position:absolute;left:7521;top:10;width:58;height:2" coordorigin="7521,10" coordsize="58,0" path="m7521,10l7578,10e" filled="false" stroked="true" strokeweight=".95999pt" strokecolor="#41b7ee">
                <v:path arrowok="t"/>
              </v:shape>
            </v:group>
            <v:group style="position:absolute;left:7578;top:10;width:1076;height:2" coordorigin="7578,10" coordsize="1076,2">
              <v:shape style="position:absolute;left:7578;top:10;width:1076;height:2" coordorigin="7578,10" coordsize="1076,0" path="m7578,10l8653,10e" filled="false" stroked="true" strokeweight=".95999pt" strokecolor="#41b7ee">
                <v:path arrowok="t"/>
              </v:shape>
            </v:group>
            <v:group style="position:absolute;left:8653;top:10;width:58;height:2" coordorigin="8653,10" coordsize="58,2">
              <v:shape style="position:absolute;left:8653;top:10;width:58;height:2" coordorigin="8653,10" coordsize="58,0" path="m8653,10l8711,10e" filled="false" stroked="true" strokeweight=".95999pt" strokecolor="#41b7ee">
                <v:path arrowok="t"/>
              </v:shape>
            </v:group>
            <v:group style="position:absolute;left:8711;top:10;width:1078;height:2" coordorigin="8711,10" coordsize="1078,2">
              <v:shape style="position:absolute;left:8711;top:10;width:1078;height:2" coordorigin="8711,10" coordsize="1078,0" path="m8711,10l9789,10e" filled="false" stroked="true" strokeweight=".95999pt" strokecolor="#41b7ee">
                <v:path arrowok="t"/>
              </v:shape>
            </v:group>
            <v:group style="position:absolute;left:9789;top:10;width:58;height:2" coordorigin="9789,10" coordsize="58,2">
              <v:shape style="position:absolute;left:9789;top:10;width:58;height:2" coordorigin="9789,10" coordsize="58,0" path="m9789,10l9846,10e" filled="false" stroked="true" strokeweight=".95999pt" strokecolor="#41b7ee">
                <v:path arrowok="t"/>
              </v:shape>
            </v:group>
            <v:group style="position:absolute;left:9846;top:10;width:1076;height:2" coordorigin="9846,10" coordsize="1076,2">
              <v:shape style="position:absolute;left:9846;top:10;width:1076;height:2" coordorigin="9846,10" coordsize="1076,0" path="m9846,10l10921,10e" filled="false" stroked="true" strokeweight=".95999pt" strokecolor="#41b7ee">
                <v:path arrowok="t"/>
              </v:shape>
            </v:group>
            <v:group style="position:absolute;left:10921;top:10;width:58;height:2" coordorigin="10921,10" coordsize="58,2">
              <v:shape style="position:absolute;left:10921;top:10;width:58;height:2" coordorigin="10921,10" coordsize="58,0" path="m10921,10l10979,10e" filled="false" stroked="true" strokeweight=".95999pt" strokecolor="#41b7ee">
                <v:path arrowok="t"/>
              </v:shape>
            </v:group>
            <v:group style="position:absolute;left:10979;top:10;width:651;height:2" coordorigin="10979,10" coordsize="651,2">
              <v:shape style="position:absolute;left:10979;top:10;width:651;height:2" coordorigin="10979,10" coordsize="651,0" path="m10979,10l11630,10e" filled="false" stroked="true" strokeweight=".95999pt" strokecolor="#41b7ee">
                <v:path arrowok="t"/>
              </v:shape>
            </v:group>
            <v:group style="position:absolute;left:11630;top:10;width:58;height:2" coordorigin="11630,10" coordsize="58,2">
              <v:shape style="position:absolute;left:11630;top:10;width:58;height:2" coordorigin="11630,10" coordsize="58,0" path="m11630,10l11688,10e" filled="false" stroked="true" strokeweight=".95999pt" strokecolor="#41b7ee">
                <v:path arrowok="t"/>
              </v:shape>
            </v:group>
            <v:group style="position:absolute;left:11688;top:10;width:1361;height:2" coordorigin="11688,10" coordsize="1361,2">
              <v:shape style="position:absolute;left:11688;top:10;width:1361;height:2" coordorigin="11688,10" coordsize="1361,0" path="m11688,10l13048,10e" filled="false" stroked="true" strokeweight=".95999pt" strokecolor="#41b7ee">
                <v:path arrowok="t"/>
              </v:shape>
            </v:group>
            <v:group style="position:absolute;left:13048;top:10;width:58;height:2" coordorigin="13048,10" coordsize="58,2">
              <v:shape style="position:absolute;left:13048;top:10;width:58;height:2" coordorigin="13048,10" coordsize="58,0" path="m13048,10l13106,10e" filled="false" stroked="true" strokeweight=".95999pt" strokecolor="#41b7ee">
                <v:path arrowok="t"/>
              </v:shape>
            </v:group>
            <v:group style="position:absolute;left:13106;top:10;width:1176;height:2" coordorigin="13106,10" coordsize="1176,2">
              <v:shape style="position:absolute;left:13106;top:10;width:1176;height:2" coordorigin="13106,10" coordsize="1176,0" path="m13106,10l14282,10e" filled="false" stroked="true" strokeweight=".95999pt" strokecolor="#41b7ee">
                <v:path arrowok="t"/>
              </v:shape>
            </v:group>
          </v:group>
        </w:pict>
      </w:r>
      <w:r>
        <w:rPr>
          <w:rFonts w:ascii="宋体" w:hAnsi="宋体" w:cs="宋体" w:eastAsia="宋体" w:hint="default"/>
          <w:sz w:val="2"/>
          <w:szCs w:val="2"/>
        </w:rPr>
      </w:r>
    </w:p>
    <w:tbl>
      <w:tblPr>
        <w:tblW w:w="0" w:type="auto"/>
        <w:jc w:val="left"/>
        <w:tblInd w:w="111" w:type="dxa"/>
        <w:tblLayout w:type="fixed"/>
        <w:tblCellMar>
          <w:top w:w="0" w:type="dxa"/>
          <w:left w:w="0" w:type="dxa"/>
          <w:bottom w:w="0" w:type="dxa"/>
          <w:right w:w="0" w:type="dxa"/>
        </w:tblCellMar>
        <w:tblLook w:val="01E0"/>
      </w:tblPr>
      <w:tblGrid>
        <w:gridCol w:w="850"/>
        <w:gridCol w:w="2410"/>
        <w:gridCol w:w="710"/>
        <w:gridCol w:w="709"/>
        <w:gridCol w:w="1985"/>
        <w:gridCol w:w="852"/>
        <w:gridCol w:w="1133"/>
        <w:gridCol w:w="1135"/>
        <w:gridCol w:w="1133"/>
        <w:gridCol w:w="709"/>
        <w:gridCol w:w="1418"/>
        <w:gridCol w:w="1229"/>
      </w:tblGrid>
      <w:tr>
        <w:trPr>
          <w:trHeight w:val="1107" w:hRule="exact"/>
        </w:trPr>
        <w:tc>
          <w:tcPr>
            <w:tcW w:w="850"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12"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2410"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729" w:right="0"/>
              <w:jc w:val="left"/>
              <w:rPr>
                <w:rFonts w:ascii="宋体" w:hAnsi="宋体" w:cs="宋体" w:eastAsia="宋体" w:hint="default"/>
                <w:sz w:val="21"/>
                <w:szCs w:val="21"/>
              </w:rPr>
            </w:pPr>
            <w:r>
              <w:rPr>
                <w:rFonts w:ascii="宋体" w:hAnsi="宋体" w:cs="宋体" w:eastAsia="宋体" w:hint="default"/>
                <w:sz w:val="21"/>
                <w:szCs w:val="21"/>
              </w:rPr>
              <w:t>职务（注</w:t>
            </w:r>
            <w:r>
              <w:rPr>
                <w:rFonts w:ascii="宋体" w:hAnsi="宋体" w:cs="宋体" w:eastAsia="宋体" w:hint="default"/>
                <w:sz w:val="21"/>
                <w:szCs w:val="21"/>
              </w:rPr>
              <w:t>) </w:t>
            </w:r>
          </w:p>
        </w:tc>
        <w:tc>
          <w:tcPr>
            <w:tcW w:w="710"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7" w:right="0"/>
              <w:jc w:val="center"/>
              <w:rPr>
                <w:rFonts w:ascii="宋体" w:hAnsi="宋体" w:cs="宋体" w:eastAsia="宋体" w:hint="default"/>
                <w:sz w:val="21"/>
                <w:szCs w:val="21"/>
              </w:rPr>
            </w:pPr>
            <w:r>
              <w:rPr>
                <w:rFonts w:ascii="宋体" w:hAnsi="宋体" w:cs="宋体" w:eastAsia="宋体" w:hint="default"/>
                <w:sz w:val="21"/>
                <w:szCs w:val="21"/>
              </w:rPr>
              <w:t>性别</w:t>
            </w:r>
            <w:r>
              <w:rPr>
                <w:rFonts w:ascii="宋体" w:hAnsi="宋体" w:cs="宋体" w:eastAsia="宋体" w:hint="default"/>
                <w:sz w:val="21"/>
                <w:szCs w:val="21"/>
              </w:rPr>
              <w:t> </w:t>
            </w:r>
          </w:p>
        </w:tc>
        <w:tc>
          <w:tcPr>
            <w:tcW w:w="709"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年龄</w:t>
            </w:r>
            <w:r>
              <w:rPr>
                <w:rFonts w:ascii="宋体" w:hAnsi="宋体" w:cs="宋体" w:eastAsia="宋体" w:hint="default"/>
                <w:sz w:val="21"/>
                <w:szCs w:val="21"/>
              </w:rPr>
              <w:t> </w:t>
            </w:r>
          </w:p>
        </w:tc>
        <w:tc>
          <w:tcPr>
            <w:tcW w:w="1985"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59" w:right="0"/>
              <w:jc w:val="left"/>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852"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任期终</w:t>
            </w:r>
            <w:r>
              <w:rPr>
                <w:rFonts w:ascii="宋体" w:hAnsi="宋体" w:cs="宋体" w:eastAsia="宋体" w:hint="default"/>
                <w:spacing w:val="-102"/>
                <w:sz w:val="21"/>
                <w:szCs w:val="21"/>
              </w:rPr>
              <w:t> </w:t>
            </w:r>
            <w:r>
              <w:rPr>
                <w:rFonts w:ascii="宋体" w:hAnsi="宋体" w:cs="宋体" w:eastAsia="宋体" w:hint="default"/>
                <w:sz w:val="21"/>
                <w:szCs w:val="21"/>
              </w:rPr>
              <w:t>止日期</w:t>
            </w:r>
            <w:r>
              <w:rPr>
                <w:rFonts w:ascii="宋体" w:hAnsi="宋体" w:cs="宋体" w:eastAsia="宋体" w:hint="default"/>
                <w:sz w:val="21"/>
                <w:szCs w:val="21"/>
              </w:rPr>
              <w:t> </w:t>
            </w:r>
          </w:p>
        </w:tc>
        <w:tc>
          <w:tcPr>
            <w:tcW w:w="1133"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56" w:right="137"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sz w:val="21"/>
                <w:szCs w:val="21"/>
              </w:rPr>
              <w:t> </w:t>
            </w:r>
          </w:p>
        </w:tc>
        <w:tc>
          <w:tcPr>
            <w:tcW w:w="1135"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55" w:right="139"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sz w:val="21"/>
                <w:szCs w:val="21"/>
              </w:rPr>
              <w:t> </w:t>
            </w:r>
          </w:p>
        </w:tc>
        <w:tc>
          <w:tcPr>
            <w:tcW w:w="1133" w:type="dxa"/>
            <w:tcBorders>
              <w:top w:val="single" w:sz="8" w:space="0" w:color="41B7EE"/>
              <w:left w:val="single" w:sz="4" w:space="0" w:color="41B7EE"/>
              <w:bottom w:val="single" w:sz="4" w:space="0" w:color="41B7EE"/>
              <w:right w:val="single" w:sz="4" w:space="0" w:color="41B7EE"/>
            </w:tcBorders>
          </w:tcPr>
          <w:p>
            <w:pPr>
              <w:pStyle w:val="TableParagraph"/>
              <w:spacing w:line="237" w:lineRule="auto" w:before="107"/>
              <w:ind w:left="141" w:right="137"/>
              <w:jc w:val="center"/>
              <w:rPr>
                <w:rFonts w:ascii="宋体" w:hAnsi="宋体" w:cs="宋体" w:eastAsia="宋体" w:hint="default"/>
                <w:sz w:val="21"/>
                <w:szCs w:val="21"/>
              </w:rPr>
            </w:pPr>
            <w:r>
              <w:rPr>
                <w:rFonts w:ascii="宋体" w:hAnsi="宋体" w:cs="宋体" w:eastAsia="宋体" w:hint="default"/>
                <w:sz w:val="21"/>
                <w:szCs w:val="21"/>
              </w:rPr>
              <w:t>年度内股</w:t>
            </w:r>
            <w:r>
              <w:rPr>
                <w:rFonts w:ascii="宋体" w:hAnsi="宋体" w:cs="宋体" w:eastAsia="宋体" w:hint="default"/>
                <w:w w:val="100"/>
                <w:sz w:val="21"/>
                <w:szCs w:val="21"/>
              </w:rPr>
              <w:t> </w:t>
            </w:r>
            <w:r>
              <w:rPr>
                <w:rFonts w:ascii="宋体" w:hAnsi="宋体" w:cs="宋体" w:eastAsia="宋体" w:hint="default"/>
                <w:sz w:val="21"/>
                <w:szCs w:val="21"/>
              </w:rPr>
              <w:t>份增减变</w:t>
            </w:r>
            <w:r>
              <w:rPr>
                <w:rFonts w:ascii="宋体" w:hAnsi="宋体" w:cs="宋体" w:eastAsia="宋体" w:hint="default"/>
                <w:w w:val="100"/>
                <w:sz w:val="21"/>
                <w:szCs w:val="21"/>
              </w:rPr>
              <w:t> </w:t>
            </w:r>
            <w:r>
              <w:rPr>
                <w:rFonts w:ascii="宋体" w:hAnsi="宋体" w:cs="宋体" w:eastAsia="宋体" w:hint="default"/>
                <w:sz w:val="21"/>
                <w:szCs w:val="21"/>
              </w:rPr>
              <w:t>动量</w:t>
            </w:r>
            <w:r>
              <w:rPr>
                <w:rFonts w:ascii="宋体" w:hAnsi="宋体" w:cs="宋体" w:eastAsia="宋体" w:hint="default"/>
                <w:sz w:val="21"/>
                <w:szCs w:val="21"/>
              </w:rPr>
              <w:t> </w:t>
            </w:r>
          </w:p>
        </w:tc>
        <w:tc>
          <w:tcPr>
            <w:tcW w:w="709" w:type="dxa"/>
            <w:tcBorders>
              <w:top w:val="single" w:sz="8" w:space="0" w:color="41B7EE"/>
              <w:left w:val="single" w:sz="4" w:space="0" w:color="41B7EE"/>
              <w:bottom w:val="single" w:sz="4" w:space="0" w:color="41B7EE"/>
              <w:right w:val="single" w:sz="4" w:space="0" w:color="41B7EE"/>
            </w:tcBorders>
          </w:tcPr>
          <w:p>
            <w:pPr>
              <w:pStyle w:val="TableParagraph"/>
              <w:spacing w:line="237" w:lineRule="auto" w:before="107"/>
              <w:ind w:left="139" w:right="31"/>
              <w:jc w:val="both"/>
              <w:rPr>
                <w:rFonts w:ascii="宋体" w:hAnsi="宋体" w:cs="宋体" w:eastAsia="宋体" w:hint="default"/>
                <w:sz w:val="21"/>
                <w:szCs w:val="21"/>
              </w:rPr>
            </w:pPr>
            <w:r>
              <w:rPr>
                <w:rFonts w:ascii="宋体" w:hAnsi="宋体" w:cs="宋体" w:eastAsia="宋体" w:hint="default"/>
                <w:sz w:val="21"/>
                <w:szCs w:val="21"/>
              </w:rPr>
              <w:t>增减</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pacing w:val="-103"/>
                <w:sz w:val="21"/>
                <w:szCs w:val="21"/>
              </w:rPr>
              <w:t> </w:t>
            </w:r>
            <w:r>
              <w:rPr>
                <w:rFonts w:ascii="宋体" w:hAnsi="宋体" w:cs="宋体" w:eastAsia="宋体" w:hint="default"/>
                <w:sz w:val="21"/>
                <w:szCs w:val="21"/>
              </w:rPr>
              <w:t>原因</w:t>
            </w:r>
            <w:r>
              <w:rPr>
                <w:rFonts w:ascii="宋体" w:hAnsi="宋体" w:cs="宋体" w:eastAsia="宋体" w:hint="default"/>
                <w:sz w:val="21"/>
                <w:szCs w:val="21"/>
              </w:rPr>
              <w:t> </w:t>
            </w:r>
          </w:p>
        </w:tc>
        <w:tc>
          <w:tcPr>
            <w:tcW w:w="1418" w:type="dxa"/>
            <w:tcBorders>
              <w:top w:val="single" w:sz="8" w:space="0" w:color="41B7EE"/>
              <w:left w:val="single" w:sz="4" w:space="0" w:color="41B7EE"/>
              <w:bottom w:val="single" w:sz="4" w:space="0" w:color="41B7EE"/>
              <w:right w:val="single" w:sz="4" w:space="0" w:color="41B7EE"/>
            </w:tcBorders>
          </w:tcPr>
          <w:p>
            <w:pPr>
              <w:pStyle w:val="TableParagraph"/>
              <w:spacing w:line="241" w:lineRule="exact"/>
              <w:ind w:left="177"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77" w:right="72"/>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r>
              <w:rPr>
                <w:rFonts w:ascii="宋体" w:hAnsi="宋体" w:cs="宋体" w:eastAsia="宋体" w:hint="default"/>
                <w:sz w:val="21"/>
                <w:szCs w:val="21"/>
              </w:rPr>
              <w:t> </w:t>
            </w:r>
          </w:p>
        </w:tc>
        <w:tc>
          <w:tcPr>
            <w:tcW w:w="1229" w:type="dxa"/>
            <w:tcBorders>
              <w:top w:val="single" w:sz="8" w:space="0" w:color="41B7EE"/>
              <w:left w:val="single" w:sz="4" w:space="0" w:color="41B7EE"/>
              <w:bottom w:val="single" w:sz="4" w:space="0" w:color="41B7EE"/>
              <w:right w:val="nil" w:sz="6" w:space="0" w:color="auto"/>
            </w:tcBorders>
          </w:tcPr>
          <w:p>
            <w:pPr>
              <w:pStyle w:val="TableParagraph"/>
              <w:spacing w:line="237" w:lineRule="auto" w:before="107"/>
              <w:ind w:left="189" w:right="86"/>
              <w:jc w:val="both"/>
              <w:rPr>
                <w:rFonts w:ascii="宋体" w:hAnsi="宋体" w:cs="宋体" w:eastAsia="宋体" w:hint="default"/>
                <w:sz w:val="21"/>
                <w:szCs w:val="21"/>
              </w:rPr>
            </w:pPr>
            <w:r>
              <w:rPr>
                <w:rFonts w:ascii="宋体" w:hAnsi="宋体" w:cs="宋体" w:eastAsia="宋体" w:hint="default"/>
                <w:sz w:val="21"/>
                <w:szCs w:val="21"/>
              </w:rPr>
              <w:t>是否在公</w:t>
            </w:r>
            <w:r>
              <w:rPr>
                <w:rFonts w:ascii="宋体" w:hAnsi="宋体" w:cs="宋体" w:eastAsia="宋体" w:hint="default"/>
                <w:w w:val="100"/>
                <w:sz w:val="21"/>
                <w:szCs w:val="21"/>
              </w:rPr>
              <w:t> </w:t>
            </w:r>
            <w:r>
              <w:rPr>
                <w:rFonts w:ascii="宋体" w:hAnsi="宋体" w:cs="宋体" w:eastAsia="宋体" w:hint="default"/>
                <w:sz w:val="21"/>
                <w:szCs w:val="21"/>
              </w:rPr>
              <w:t>司关联方</w:t>
            </w:r>
            <w:r>
              <w:rPr>
                <w:rFonts w:ascii="宋体" w:hAnsi="宋体" w:cs="宋体" w:eastAsia="宋体" w:hint="default"/>
                <w:w w:val="100"/>
                <w:sz w:val="21"/>
                <w:szCs w:val="21"/>
              </w:rPr>
              <w:t> </w:t>
            </w:r>
            <w:r>
              <w:rPr>
                <w:rFonts w:ascii="宋体" w:hAnsi="宋体" w:cs="宋体" w:eastAsia="宋体" w:hint="default"/>
                <w:sz w:val="21"/>
                <w:szCs w:val="21"/>
              </w:rPr>
              <w:t>获取报酬</w:t>
            </w:r>
            <w:r>
              <w:rPr>
                <w:rFonts w:ascii="宋体" w:hAnsi="宋体" w:cs="宋体" w:eastAsia="宋体" w:hint="default"/>
                <w:sz w:val="21"/>
                <w:szCs w:val="21"/>
              </w:rPr>
              <w:t> </w:t>
            </w:r>
          </w:p>
        </w:tc>
      </w:tr>
      <w:tr>
        <w:trPr>
          <w:trHeight w:val="374" w:hRule="exact"/>
        </w:trPr>
        <w:tc>
          <w:tcPr>
            <w:tcW w:w="85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1"/>
              <w:ind w:left="107" w:right="-1"/>
              <w:jc w:val="center"/>
              <w:rPr>
                <w:rFonts w:ascii="宋体" w:hAnsi="宋体" w:cs="宋体" w:eastAsia="宋体" w:hint="default"/>
                <w:sz w:val="21"/>
                <w:szCs w:val="21"/>
              </w:rPr>
            </w:pPr>
            <w:r>
              <w:rPr>
                <w:rFonts w:ascii="宋体" w:hAnsi="宋体" w:cs="宋体" w:eastAsia="宋体" w:hint="default"/>
                <w:sz w:val="21"/>
                <w:szCs w:val="21"/>
              </w:rPr>
              <w:t>刘长友</w:t>
            </w:r>
            <w:r>
              <w:rPr>
                <w:rFonts w:ascii="宋体" w:hAnsi="宋体" w:cs="宋体" w:eastAsia="宋体" w:hint="default"/>
                <w:sz w:val="21"/>
                <w:szCs w:val="21"/>
              </w:rPr>
              <w:t> </w:t>
            </w:r>
          </w:p>
        </w:tc>
        <w:tc>
          <w:tcPr>
            <w:tcW w:w="24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1"/>
              <w:ind w:left="105"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7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left="3" w:right="0"/>
              <w:jc w:val="center"/>
              <w:rPr>
                <w:rFonts w:ascii="Arial" w:hAnsi="Arial" w:cs="Arial" w:eastAsia="Arial" w:hint="default"/>
                <w:sz w:val="21"/>
                <w:szCs w:val="21"/>
              </w:rPr>
            </w:pPr>
            <w:r>
              <w:rPr>
                <w:rFonts w:ascii="Arial"/>
                <w:sz w:val="21"/>
              </w:rPr>
              <w:t>58</w:t>
            </w:r>
          </w:p>
        </w:tc>
        <w:tc>
          <w:tcPr>
            <w:tcW w:w="198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8"/>
              <w:ind w:left="105"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Arial" w:hAnsi="Arial" w:cs="Arial" w:eastAsia="Arial" w:hint="default"/>
                <w:sz w:val="21"/>
                <w:szCs w:val="21"/>
              </w:rPr>
              <w:t>11</w:t>
            </w:r>
            <w:r>
              <w:rPr>
                <w:rFonts w:ascii="Arial" w:hAnsi="Arial" w:cs="Arial" w:eastAsia="Arial" w:hint="default"/>
                <w:spacing w:val="-18"/>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Arial" w:hAnsi="Arial" w:cs="Arial" w:eastAsia="Arial" w:hint="default"/>
                <w:sz w:val="21"/>
                <w:szCs w:val="21"/>
              </w:rPr>
              <w:t>16</w:t>
            </w:r>
            <w:r>
              <w:rPr>
                <w:rFonts w:ascii="Arial" w:hAnsi="Arial" w:cs="Arial" w:eastAsia="Arial" w:hint="default"/>
                <w:spacing w:val="-18"/>
                <w:sz w:val="21"/>
                <w:szCs w:val="21"/>
              </w:rPr>
              <w:t> </w:t>
            </w:r>
            <w:r>
              <w:rPr>
                <w:rFonts w:ascii="宋体" w:hAnsi="宋体" w:cs="宋体" w:eastAsia="宋体" w:hint="default"/>
                <w:sz w:val="21"/>
                <w:szCs w:val="21"/>
              </w:rPr>
              <w:t>日</w:t>
            </w:r>
          </w:p>
        </w:tc>
        <w:tc>
          <w:tcPr>
            <w:tcW w:w="85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1"/>
              <w:ind w:left="103" w:right="0"/>
              <w:jc w:val="left"/>
              <w:rPr>
                <w:rFonts w:ascii="宋体" w:hAnsi="宋体" w:cs="宋体" w:eastAsia="宋体" w:hint="default"/>
                <w:sz w:val="21"/>
                <w:szCs w:val="21"/>
              </w:rPr>
            </w:pPr>
            <w:r>
              <w:rPr>
                <w:rFonts w:ascii="宋体"/>
                <w:w w:val="100"/>
                <w:sz w:val="21"/>
              </w:rPr>
              <w:t> </w:t>
            </w:r>
          </w:p>
        </w:tc>
        <w:tc>
          <w:tcPr>
            <w:tcW w:w="11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99"/>
              <w:jc w:val="right"/>
              <w:rPr>
                <w:rFonts w:ascii="Arial" w:hAnsi="Arial" w:cs="Arial" w:eastAsia="Arial" w:hint="default"/>
                <w:sz w:val="21"/>
                <w:szCs w:val="21"/>
              </w:rPr>
            </w:pPr>
            <w:r>
              <w:rPr>
                <w:rFonts w:ascii="Arial"/>
                <w:spacing w:val="-1"/>
                <w:sz w:val="21"/>
              </w:rPr>
              <w:t>18,153</w:t>
            </w:r>
          </w:p>
        </w:tc>
        <w:tc>
          <w:tcPr>
            <w:tcW w:w="113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101"/>
              <w:jc w:val="right"/>
              <w:rPr>
                <w:rFonts w:ascii="Arial" w:hAnsi="Arial" w:cs="Arial" w:eastAsia="Arial" w:hint="default"/>
                <w:sz w:val="21"/>
                <w:szCs w:val="21"/>
              </w:rPr>
            </w:pPr>
            <w:r>
              <w:rPr>
                <w:rFonts w:ascii="Arial"/>
                <w:spacing w:val="-1"/>
                <w:sz w:val="21"/>
              </w:rPr>
              <w:t>18,153</w:t>
            </w:r>
          </w:p>
        </w:tc>
        <w:tc>
          <w:tcPr>
            <w:tcW w:w="11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101"/>
              <w:jc w:val="right"/>
              <w:rPr>
                <w:rFonts w:ascii="Arial" w:hAnsi="Arial" w:cs="Arial" w:eastAsia="Arial" w:hint="default"/>
                <w:sz w:val="21"/>
                <w:szCs w:val="21"/>
              </w:rPr>
            </w:pPr>
            <w:r>
              <w:rPr>
                <w:rFonts w:ascii="Arial"/>
                <w:w w:val="100"/>
                <w:sz w:val="21"/>
              </w:rPr>
              <w:t>0</w:t>
            </w:r>
          </w:p>
        </w:tc>
        <w:tc>
          <w:tcPr>
            <w:tcW w:w="7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1"/>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99"/>
              <w:jc w:val="right"/>
              <w:rPr>
                <w:rFonts w:ascii="Arial" w:hAnsi="Arial" w:cs="Arial" w:eastAsia="Arial" w:hint="default"/>
                <w:sz w:val="21"/>
                <w:szCs w:val="21"/>
              </w:rPr>
            </w:pPr>
            <w:r>
              <w:rPr>
                <w:rFonts w:ascii="Arial"/>
                <w:spacing w:val="-1"/>
                <w:sz w:val="21"/>
              </w:rPr>
              <w:t>71.09</w:t>
            </w:r>
          </w:p>
        </w:tc>
        <w:tc>
          <w:tcPr>
            <w:tcW w:w="122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77" w:hRule="exact"/>
        </w:trPr>
        <w:tc>
          <w:tcPr>
            <w:tcW w:w="85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4"/>
              <w:ind w:left="107" w:right="-1"/>
              <w:jc w:val="center"/>
              <w:rPr>
                <w:rFonts w:ascii="宋体" w:hAnsi="宋体" w:cs="宋体" w:eastAsia="宋体" w:hint="default"/>
                <w:sz w:val="21"/>
                <w:szCs w:val="21"/>
              </w:rPr>
            </w:pPr>
            <w:r>
              <w:rPr>
                <w:rFonts w:ascii="宋体" w:hAnsi="宋体" w:cs="宋体" w:eastAsia="宋体" w:hint="default"/>
                <w:sz w:val="21"/>
                <w:szCs w:val="21"/>
              </w:rPr>
              <w:t>贺天元</w:t>
            </w:r>
            <w:r>
              <w:rPr>
                <w:rFonts w:ascii="宋体" w:hAnsi="宋体" w:cs="宋体" w:eastAsia="宋体" w:hint="default"/>
                <w:sz w:val="21"/>
                <w:szCs w:val="21"/>
              </w:rPr>
              <w:t> </w:t>
            </w:r>
          </w:p>
        </w:tc>
        <w:tc>
          <w:tcPr>
            <w:tcW w:w="24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
              <w:ind w:left="105" w:right="0"/>
              <w:jc w:val="left"/>
              <w:rPr>
                <w:rFonts w:ascii="宋体" w:hAnsi="宋体" w:cs="宋体" w:eastAsia="宋体" w:hint="default"/>
                <w:sz w:val="21"/>
                <w:szCs w:val="21"/>
              </w:rPr>
            </w:pPr>
            <w:r>
              <w:rPr>
                <w:rFonts w:ascii="宋体" w:hAnsi="宋体" w:cs="宋体" w:eastAsia="宋体" w:hint="default"/>
                <w:sz w:val="21"/>
                <w:szCs w:val="21"/>
              </w:rPr>
              <w:t>董事、总经理</w:t>
            </w:r>
            <w:r>
              <w:rPr>
                <w:rFonts w:ascii="宋体" w:hAnsi="宋体" w:cs="宋体" w:eastAsia="宋体" w:hint="default"/>
                <w:sz w:val="21"/>
                <w:szCs w:val="21"/>
              </w:rPr>
              <w:t> </w:t>
            </w:r>
          </w:p>
        </w:tc>
        <w:tc>
          <w:tcPr>
            <w:tcW w:w="7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
              <w:ind w:left="105"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left="3" w:right="0"/>
              <w:jc w:val="center"/>
              <w:rPr>
                <w:rFonts w:ascii="Arial" w:hAnsi="Arial" w:cs="Arial" w:eastAsia="Arial" w:hint="default"/>
                <w:sz w:val="21"/>
                <w:szCs w:val="21"/>
              </w:rPr>
            </w:pPr>
            <w:r>
              <w:rPr>
                <w:rFonts w:ascii="Arial"/>
                <w:sz w:val="21"/>
              </w:rPr>
              <w:t>57</w:t>
            </w:r>
          </w:p>
        </w:tc>
        <w:tc>
          <w:tcPr>
            <w:tcW w:w="198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8"/>
              <w:ind w:left="105"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Arial" w:hAnsi="Arial" w:cs="Arial" w:eastAsia="Arial" w:hint="default"/>
                <w:sz w:val="21"/>
                <w:szCs w:val="21"/>
              </w:rPr>
              <w:t>11</w:t>
            </w:r>
            <w:r>
              <w:rPr>
                <w:rFonts w:ascii="Arial" w:hAnsi="Arial" w:cs="Arial" w:eastAsia="Arial" w:hint="default"/>
                <w:spacing w:val="-18"/>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Arial" w:hAnsi="Arial" w:cs="Arial" w:eastAsia="Arial" w:hint="default"/>
                <w:sz w:val="21"/>
                <w:szCs w:val="21"/>
              </w:rPr>
              <w:t>16</w:t>
            </w:r>
            <w:r>
              <w:rPr>
                <w:rFonts w:ascii="Arial" w:hAnsi="Arial" w:cs="Arial" w:eastAsia="Arial" w:hint="default"/>
                <w:spacing w:val="-18"/>
                <w:sz w:val="21"/>
                <w:szCs w:val="21"/>
              </w:rPr>
              <w:t> </w:t>
            </w:r>
            <w:r>
              <w:rPr>
                <w:rFonts w:ascii="宋体" w:hAnsi="宋体" w:cs="宋体" w:eastAsia="宋体" w:hint="default"/>
                <w:sz w:val="21"/>
                <w:szCs w:val="21"/>
              </w:rPr>
              <w:t>日</w:t>
            </w:r>
          </w:p>
        </w:tc>
        <w:tc>
          <w:tcPr>
            <w:tcW w:w="85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
              <w:ind w:left="103" w:right="0"/>
              <w:jc w:val="left"/>
              <w:rPr>
                <w:rFonts w:ascii="宋体" w:hAnsi="宋体" w:cs="宋体" w:eastAsia="宋体" w:hint="default"/>
                <w:sz w:val="21"/>
                <w:szCs w:val="21"/>
              </w:rPr>
            </w:pPr>
            <w:r>
              <w:rPr>
                <w:rFonts w:ascii="宋体"/>
                <w:w w:val="100"/>
                <w:sz w:val="21"/>
              </w:rPr>
              <w:t> </w:t>
            </w:r>
          </w:p>
        </w:tc>
        <w:tc>
          <w:tcPr>
            <w:tcW w:w="11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99"/>
              <w:jc w:val="right"/>
              <w:rPr>
                <w:rFonts w:ascii="Arial" w:hAnsi="Arial" w:cs="Arial" w:eastAsia="Arial" w:hint="default"/>
                <w:sz w:val="21"/>
                <w:szCs w:val="21"/>
              </w:rPr>
            </w:pPr>
            <w:r>
              <w:rPr>
                <w:rFonts w:ascii="Arial"/>
                <w:spacing w:val="-1"/>
                <w:sz w:val="21"/>
              </w:rPr>
              <w:t>18,153</w:t>
            </w:r>
          </w:p>
        </w:tc>
        <w:tc>
          <w:tcPr>
            <w:tcW w:w="113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101"/>
              <w:jc w:val="right"/>
              <w:rPr>
                <w:rFonts w:ascii="Arial" w:hAnsi="Arial" w:cs="Arial" w:eastAsia="Arial" w:hint="default"/>
                <w:sz w:val="21"/>
                <w:szCs w:val="21"/>
              </w:rPr>
            </w:pPr>
            <w:r>
              <w:rPr>
                <w:rFonts w:ascii="Arial"/>
                <w:spacing w:val="-1"/>
                <w:sz w:val="21"/>
              </w:rPr>
              <w:t>18,153</w:t>
            </w:r>
          </w:p>
        </w:tc>
        <w:tc>
          <w:tcPr>
            <w:tcW w:w="11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101"/>
              <w:jc w:val="right"/>
              <w:rPr>
                <w:rFonts w:ascii="Arial" w:hAnsi="Arial" w:cs="Arial" w:eastAsia="Arial" w:hint="default"/>
                <w:sz w:val="21"/>
                <w:szCs w:val="21"/>
              </w:rPr>
            </w:pPr>
            <w:r>
              <w:rPr>
                <w:rFonts w:ascii="Arial"/>
                <w:w w:val="100"/>
                <w:sz w:val="21"/>
              </w:rPr>
              <w:t>0</w:t>
            </w:r>
          </w:p>
        </w:tc>
        <w:tc>
          <w:tcPr>
            <w:tcW w:w="7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99"/>
              <w:jc w:val="right"/>
              <w:rPr>
                <w:rFonts w:ascii="Arial" w:hAnsi="Arial" w:cs="Arial" w:eastAsia="Arial" w:hint="default"/>
                <w:sz w:val="21"/>
                <w:szCs w:val="21"/>
              </w:rPr>
            </w:pPr>
            <w:r>
              <w:rPr>
                <w:rFonts w:ascii="Arial"/>
                <w:spacing w:val="-1"/>
                <w:sz w:val="21"/>
              </w:rPr>
              <w:t>71.09</w:t>
            </w:r>
          </w:p>
        </w:tc>
        <w:tc>
          <w:tcPr>
            <w:tcW w:w="122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77" w:hRule="exact"/>
        </w:trPr>
        <w:tc>
          <w:tcPr>
            <w:tcW w:w="85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4"/>
              <w:ind w:left="107" w:right="-1"/>
              <w:jc w:val="center"/>
              <w:rPr>
                <w:rFonts w:ascii="宋体" w:hAnsi="宋体" w:cs="宋体" w:eastAsia="宋体" w:hint="default"/>
                <w:sz w:val="21"/>
                <w:szCs w:val="21"/>
              </w:rPr>
            </w:pPr>
            <w:r>
              <w:rPr>
                <w:rFonts w:ascii="宋体" w:hAnsi="宋体" w:cs="宋体" w:eastAsia="宋体" w:hint="default"/>
                <w:sz w:val="21"/>
                <w:szCs w:val="21"/>
              </w:rPr>
              <w:t>宋颀年</w:t>
            </w:r>
            <w:r>
              <w:rPr>
                <w:rFonts w:ascii="宋体" w:hAnsi="宋体" w:cs="宋体" w:eastAsia="宋体" w:hint="default"/>
                <w:sz w:val="21"/>
                <w:szCs w:val="21"/>
              </w:rPr>
              <w:t> </w:t>
            </w:r>
          </w:p>
        </w:tc>
        <w:tc>
          <w:tcPr>
            <w:tcW w:w="24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7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
              <w:ind w:left="105"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left="3" w:right="0"/>
              <w:jc w:val="center"/>
              <w:rPr>
                <w:rFonts w:ascii="Arial" w:hAnsi="Arial" w:cs="Arial" w:eastAsia="Arial" w:hint="default"/>
                <w:sz w:val="21"/>
                <w:szCs w:val="21"/>
              </w:rPr>
            </w:pPr>
            <w:r>
              <w:rPr>
                <w:rFonts w:ascii="Arial"/>
                <w:sz w:val="21"/>
              </w:rPr>
              <w:t>57</w:t>
            </w:r>
          </w:p>
        </w:tc>
        <w:tc>
          <w:tcPr>
            <w:tcW w:w="198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8"/>
              <w:ind w:left="105"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Arial" w:hAnsi="Arial" w:cs="Arial" w:eastAsia="Arial" w:hint="default"/>
                <w:sz w:val="21"/>
                <w:szCs w:val="21"/>
              </w:rPr>
              <w:t>11</w:t>
            </w:r>
            <w:r>
              <w:rPr>
                <w:rFonts w:ascii="Arial" w:hAnsi="Arial" w:cs="Arial" w:eastAsia="Arial" w:hint="default"/>
                <w:spacing w:val="-18"/>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Arial" w:hAnsi="Arial" w:cs="Arial" w:eastAsia="Arial" w:hint="default"/>
                <w:sz w:val="21"/>
                <w:szCs w:val="21"/>
              </w:rPr>
              <w:t>16</w:t>
            </w:r>
            <w:r>
              <w:rPr>
                <w:rFonts w:ascii="Arial" w:hAnsi="Arial" w:cs="Arial" w:eastAsia="Arial" w:hint="default"/>
                <w:spacing w:val="-18"/>
                <w:sz w:val="21"/>
                <w:szCs w:val="21"/>
              </w:rPr>
              <w:t> </w:t>
            </w:r>
            <w:r>
              <w:rPr>
                <w:rFonts w:ascii="宋体" w:hAnsi="宋体" w:cs="宋体" w:eastAsia="宋体" w:hint="default"/>
                <w:sz w:val="21"/>
                <w:szCs w:val="21"/>
              </w:rPr>
              <w:t>日</w:t>
            </w:r>
          </w:p>
        </w:tc>
        <w:tc>
          <w:tcPr>
            <w:tcW w:w="85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
              <w:ind w:left="103" w:right="0"/>
              <w:jc w:val="left"/>
              <w:rPr>
                <w:rFonts w:ascii="宋体" w:hAnsi="宋体" w:cs="宋体" w:eastAsia="宋体" w:hint="default"/>
                <w:sz w:val="21"/>
                <w:szCs w:val="21"/>
              </w:rPr>
            </w:pPr>
            <w:r>
              <w:rPr>
                <w:rFonts w:ascii="宋体"/>
                <w:w w:val="100"/>
                <w:sz w:val="21"/>
              </w:rPr>
              <w:t> </w:t>
            </w:r>
          </w:p>
        </w:tc>
        <w:tc>
          <w:tcPr>
            <w:tcW w:w="11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101"/>
              <w:jc w:val="right"/>
              <w:rPr>
                <w:rFonts w:ascii="Arial" w:hAnsi="Arial" w:cs="Arial" w:eastAsia="Arial" w:hint="default"/>
                <w:sz w:val="21"/>
                <w:szCs w:val="21"/>
              </w:rPr>
            </w:pPr>
            <w:r>
              <w:rPr>
                <w:rFonts w:ascii="Arial"/>
                <w:w w:val="100"/>
                <w:sz w:val="21"/>
              </w:rPr>
              <w:t>0</w:t>
            </w:r>
          </w:p>
        </w:tc>
        <w:tc>
          <w:tcPr>
            <w:tcW w:w="113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103"/>
              <w:jc w:val="right"/>
              <w:rPr>
                <w:rFonts w:ascii="Arial" w:hAnsi="Arial" w:cs="Arial" w:eastAsia="Arial" w:hint="default"/>
                <w:sz w:val="21"/>
                <w:szCs w:val="21"/>
              </w:rPr>
            </w:pPr>
            <w:r>
              <w:rPr>
                <w:rFonts w:ascii="Arial"/>
                <w:w w:val="100"/>
                <w:sz w:val="21"/>
              </w:rPr>
              <w:t>0</w:t>
            </w:r>
          </w:p>
        </w:tc>
        <w:tc>
          <w:tcPr>
            <w:tcW w:w="11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101"/>
              <w:jc w:val="right"/>
              <w:rPr>
                <w:rFonts w:ascii="Arial" w:hAnsi="Arial" w:cs="Arial" w:eastAsia="Arial" w:hint="default"/>
                <w:sz w:val="21"/>
                <w:szCs w:val="21"/>
              </w:rPr>
            </w:pPr>
            <w:r>
              <w:rPr>
                <w:rFonts w:ascii="Arial"/>
                <w:w w:val="100"/>
                <w:sz w:val="21"/>
              </w:rPr>
              <w:t>0</w:t>
            </w:r>
          </w:p>
        </w:tc>
        <w:tc>
          <w:tcPr>
            <w:tcW w:w="7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101"/>
              <w:jc w:val="right"/>
              <w:rPr>
                <w:rFonts w:ascii="Arial" w:hAnsi="Arial" w:cs="Arial" w:eastAsia="Arial" w:hint="default"/>
                <w:sz w:val="21"/>
                <w:szCs w:val="21"/>
              </w:rPr>
            </w:pPr>
            <w:r>
              <w:rPr>
                <w:rFonts w:ascii="Arial"/>
                <w:w w:val="100"/>
                <w:sz w:val="21"/>
              </w:rPr>
              <w:t>0</w:t>
            </w:r>
          </w:p>
        </w:tc>
        <w:tc>
          <w:tcPr>
            <w:tcW w:w="122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74" w:hRule="exact"/>
        </w:trPr>
        <w:tc>
          <w:tcPr>
            <w:tcW w:w="85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1"/>
              <w:ind w:left="107" w:right="-1"/>
              <w:jc w:val="center"/>
              <w:rPr>
                <w:rFonts w:ascii="宋体" w:hAnsi="宋体" w:cs="宋体" w:eastAsia="宋体" w:hint="default"/>
                <w:sz w:val="21"/>
                <w:szCs w:val="21"/>
              </w:rPr>
            </w:pPr>
            <w:r>
              <w:rPr>
                <w:rFonts w:ascii="宋体" w:hAnsi="宋体" w:cs="宋体" w:eastAsia="宋体" w:hint="default"/>
                <w:sz w:val="21"/>
                <w:szCs w:val="21"/>
              </w:rPr>
              <w:t>叶凤仪</w:t>
            </w:r>
            <w:r>
              <w:rPr>
                <w:rFonts w:ascii="宋体" w:hAnsi="宋体" w:cs="宋体" w:eastAsia="宋体" w:hint="default"/>
                <w:sz w:val="21"/>
                <w:szCs w:val="21"/>
              </w:rPr>
              <w:t> </w:t>
            </w:r>
          </w:p>
        </w:tc>
        <w:tc>
          <w:tcPr>
            <w:tcW w:w="24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1"/>
              <w:ind w:left="105" w:right="0"/>
              <w:jc w:val="left"/>
              <w:rPr>
                <w:rFonts w:ascii="宋体" w:hAnsi="宋体" w:cs="宋体" w:eastAsia="宋体" w:hint="default"/>
                <w:sz w:val="21"/>
                <w:szCs w:val="21"/>
              </w:rPr>
            </w:pPr>
            <w:r>
              <w:rPr>
                <w:rFonts w:ascii="宋体" w:hAnsi="宋体" w:cs="宋体" w:eastAsia="宋体" w:hint="default"/>
                <w:sz w:val="21"/>
                <w:szCs w:val="21"/>
              </w:rPr>
              <w:t>董事、工会主席</w:t>
            </w:r>
            <w:r>
              <w:rPr>
                <w:rFonts w:ascii="宋体" w:hAnsi="宋体" w:cs="宋体" w:eastAsia="宋体" w:hint="default"/>
                <w:sz w:val="21"/>
                <w:szCs w:val="21"/>
              </w:rPr>
              <w:t> </w:t>
            </w:r>
          </w:p>
        </w:tc>
        <w:tc>
          <w:tcPr>
            <w:tcW w:w="7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left="3" w:right="0"/>
              <w:jc w:val="center"/>
              <w:rPr>
                <w:rFonts w:ascii="Arial" w:hAnsi="Arial" w:cs="Arial" w:eastAsia="Arial" w:hint="default"/>
                <w:sz w:val="21"/>
                <w:szCs w:val="21"/>
              </w:rPr>
            </w:pPr>
            <w:r>
              <w:rPr>
                <w:rFonts w:ascii="Arial"/>
                <w:sz w:val="21"/>
              </w:rPr>
              <w:t>57</w:t>
            </w:r>
          </w:p>
        </w:tc>
        <w:tc>
          <w:tcPr>
            <w:tcW w:w="198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8"/>
              <w:ind w:left="105"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Arial" w:hAnsi="Arial" w:cs="Arial" w:eastAsia="Arial" w:hint="default"/>
                <w:sz w:val="21"/>
                <w:szCs w:val="21"/>
              </w:rPr>
              <w:t>11</w:t>
            </w:r>
            <w:r>
              <w:rPr>
                <w:rFonts w:ascii="Arial" w:hAnsi="Arial" w:cs="Arial" w:eastAsia="Arial" w:hint="default"/>
                <w:spacing w:val="-18"/>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Arial" w:hAnsi="Arial" w:cs="Arial" w:eastAsia="Arial" w:hint="default"/>
                <w:sz w:val="21"/>
                <w:szCs w:val="21"/>
              </w:rPr>
              <w:t>16</w:t>
            </w:r>
            <w:r>
              <w:rPr>
                <w:rFonts w:ascii="Arial" w:hAnsi="Arial" w:cs="Arial" w:eastAsia="Arial" w:hint="default"/>
                <w:spacing w:val="-18"/>
                <w:sz w:val="21"/>
                <w:szCs w:val="21"/>
              </w:rPr>
              <w:t> </w:t>
            </w:r>
            <w:r>
              <w:rPr>
                <w:rFonts w:ascii="宋体" w:hAnsi="宋体" w:cs="宋体" w:eastAsia="宋体" w:hint="default"/>
                <w:sz w:val="21"/>
                <w:szCs w:val="21"/>
              </w:rPr>
              <w:t>日</w:t>
            </w:r>
          </w:p>
        </w:tc>
        <w:tc>
          <w:tcPr>
            <w:tcW w:w="85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1"/>
              <w:ind w:left="103" w:right="0"/>
              <w:jc w:val="left"/>
              <w:rPr>
                <w:rFonts w:ascii="宋体" w:hAnsi="宋体" w:cs="宋体" w:eastAsia="宋体" w:hint="default"/>
                <w:sz w:val="21"/>
                <w:szCs w:val="21"/>
              </w:rPr>
            </w:pPr>
            <w:r>
              <w:rPr>
                <w:rFonts w:ascii="宋体"/>
                <w:w w:val="100"/>
                <w:sz w:val="21"/>
              </w:rPr>
              <w:t> </w:t>
            </w:r>
          </w:p>
        </w:tc>
        <w:tc>
          <w:tcPr>
            <w:tcW w:w="11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99"/>
              <w:jc w:val="right"/>
              <w:rPr>
                <w:rFonts w:ascii="Arial" w:hAnsi="Arial" w:cs="Arial" w:eastAsia="Arial" w:hint="default"/>
                <w:sz w:val="21"/>
                <w:szCs w:val="21"/>
              </w:rPr>
            </w:pPr>
            <w:r>
              <w:rPr>
                <w:rFonts w:ascii="Arial"/>
                <w:spacing w:val="-1"/>
                <w:sz w:val="21"/>
              </w:rPr>
              <w:t>13,615</w:t>
            </w:r>
          </w:p>
        </w:tc>
        <w:tc>
          <w:tcPr>
            <w:tcW w:w="113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101"/>
              <w:jc w:val="right"/>
              <w:rPr>
                <w:rFonts w:ascii="Arial" w:hAnsi="Arial" w:cs="Arial" w:eastAsia="Arial" w:hint="default"/>
                <w:sz w:val="21"/>
                <w:szCs w:val="21"/>
              </w:rPr>
            </w:pPr>
            <w:r>
              <w:rPr>
                <w:rFonts w:ascii="Arial"/>
                <w:spacing w:val="-1"/>
                <w:sz w:val="21"/>
              </w:rPr>
              <w:t>13,615</w:t>
            </w:r>
          </w:p>
        </w:tc>
        <w:tc>
          <w:tcPr>
            <w:tcW w:w="11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101"/>
              <w:jc w:val="right"/>
              <w:rPr>
                <w:rFonts w:ascii="Arial" w:hAnsi="Arial" w:cs="Arial" w:eastAsia="Arial" w:hint="default"/>
                <w:sz w:val="21"/>
                <w:szCs w:val="21"/>
              </w:rPr>
            </w:pPr>
            <w:r>
              <w:rPr>
                <w:rFonts w:ascii="Arial"/>
                <w:w w:val="100"/>
                <w:sz w:val="21"/>
              </w:rPr>
              <w:t>0</w:t>
            </w:r>
          </w:p>
        </w:tc>
        <w:tc>
          <w:tcPr>
            <w:tcW w:w="7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1"/>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99"/>
              <w:jc w:val="right"/>
              <w:rPr>
                <w:rFonts w:ascii="Arial" w:hAnsi="Arial" w:cs="Arial" w:eastAsia="Arial" w:hint="default"/>
                <w:sz w:val="21"/>
                <w:szCs w:val="21"/>
              </w:rPr>
            </w:pPr>
            <w:r>
              <w:rPr>
                <w:rFonts w:ascii="Arial"/>
                <w:spacing w:val="-1"/>
                <w:sz w:val="21"/>
              </w:rPr>
              <w:t>54.08</w:t>
            </w:r>
          </w:p>
        </w:tc>
        <w:tc>
          <w:tcPr>
            <w:tcW w:w="122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77" w:hRule="exact"/>
        </w:trPr>
        <w:tc>
          <w:tcPr>
            <w:tcW w:w="85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4"/>
              <w:ind w:left="107" w:right="-1"/>
              <w:jc w:val="center"/>
              <w:rPr>
                <w:rFonts w:ascii="宋体" w:hAnsi="宋体" w:cs="宋体" w:eastAsia="宋体" w:hint="default"/>
                <w:sz w:val="21"/>
                <w:szCs w:val="21"/>
              </w:rPr>
            </w:pPr>
            <w:r>
              <w:rPr>
                <w:rFonts w:ascii="宋体" w:hAnsi="宋体" w:cs="宋体" w:eastAsia="宋体" w:hint="default"/>
                <w:sz w:val="21"/>
                <w:szCs w:val="21"/>
              </w:rPr>
              <w:t>杨占海</w:t>
            </w:r>
            <w:r>
              <w:rPr>
                <w:rFonts w:ascii="宋体" w:hAnsi="宋体" w:cs="宋体" w:eastAsia="宋体" w:hint="default"/>
                <w:sz w:val="21"/>
                <w:szCs w:val="21"/>
              </w:rPr>
              <w:t> </w:t>
            </w:r>
          </w:p>
        </w:tc>
        <w:tc>
          <w:tcPr>
            <w:tcW w:w="24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
              <w:ind w:left="105" w:right="0"/>
              <w:jc w:val="left"/>
              <w:rPr>
                <w:rFonts w:ascii="宋体" w:hAnsi="宋体" w:cs="宋体" w:eastAsia="宋体" w:hint="default"/>
                <w:sz w:val="21"/>
                <w:szCs w:val="21"/>
              </w:rPr>
            </w:pPr>
            <w:r>
              <w:rPr>
                <w:rFonts w:ascii="宋体" w:hAnsi="宋体" w:cs="宋体" w:eastAsia="宋体" w:hint="default"/>
                <w:sz w:val="21"/>
                <w:szCs w:val="21"/>
              </w:rPr>
              <w:t>董事、副总经理</w:t>
            </w:r>
            <w:r>
              <w:rPr>
                <w:rFonts w:ascii="宋体" w:hAnsi="宋体" w:cs="宋体" w:eastAsia="宋体" w:hint="default"/>
                <w:sz w:val="21"/>
                <w:szCs w:val="21"/>
              </w:rPr>
              <w:t> </w:t>
            </w:r>
          </w:p>
        </w:tc>
        <w:tc>
          <w:tcPr>
            <w:tcW w:w="7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
              <w:ind w:left="105"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left="3" w:right="0"/>
              <w:jc w:val="center"/>
              <w:rPr>
                <w:rFonts w:ascii="Arial" w:hAnsi="Arial" w:cs="Arial" w:eastAsia="Arial" w:hint="default"/>
                <w:sz w:val="21"/>
                <w:szCs w:val="21"/>
              </w:rPr>
            </w:pPr>
            <w:r>
              <w:rPr>
                <w:rFonts w:ascii="Arial"/>
                <w:sz w:val="21"/>
              </w:rPr>
              <w:t>55</w:t>
            </w:r>
          </w:p>
        </w:tc>
        <w:tc>
          <w:tcPr>
            <w:tcW w:w="198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8"/>
              <w:ind w:left="105"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Arial" w:hAnsi="Arial" w:cs="Arial" w:eastAsia="Arial" w:hint="default"/>
                <w:sz w:val="21"/>
                <w:szCs w:val="21"/>
              </w:rPr>
              <w:t>11</w:t>
            </w:r>
            <w:r>
              <w:rPr>
                <w:rFonts w:ascii="Arial" w:hAnsi="Arial" w:cs="Arial" w:eastAsia="Arial" w:hint="default"/>
                <w:spacing w:val="-18"/>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Arial" w:hAnsi="Arial" w:cs="Arial" w:eastAsia="Arial" w:hint="default"/>
                <w:sz w:val="21"/>
                <w:szCs w:val="21"/>
              </w:rPr>
              <w:t>16</w:t>
            </w:r>
            <w:r>
              <w:rPr>
                <w:rFonts w:ascii="Arial" w:hAnsi="Arial" w:cs="Arial" w:eastAsia="Arial" w:hint="default"/>
                <w:spacing w:val="-18"/>
                <w:sz w:val="21"/>
                <w:szCs w:val="21"/>
              </w:rPr>
              <w:t> </w:t>
            </w:r>
            <w:r>
              <w:rPr>
                <w:rFonts w:ascii="宋体" w:hAnsi="宋体" w:cs="宋体" w:eastAsia="宋体" w:hint="default"/>
                <w:sz w:val="21"/>
                <w:szCs w:val="21"/>
              </w:rPr>
              <w:t>日</w:t>
            </w:r>
          </w:p>
        </w:tc>
        <w:tc>
          <w:tcPr>
            <w:tcW w:w="85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1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99"/>
              <w:jc w:val="right"/>
              <w:rPr>
                <w:rFonts w:ascii="Arial" w:hAnsi="Arial" w:cs="Arial" w:eastAsia="Arial" w:hint="default"/>
                <w:sz w:val="21"/>
                <w:szCs w:val="21"/>
              </w:rPr>
            </w:pPr>
            <w:r>
              <w:rPr>
                <w:rFonts w:ascii="Arial"/>
                <w:spacing w:val="-1"/>
                <w:sz w:val="21"/>
              </w:rPr>
              <w:t>13,615</w:t>
            </w:r>
          </w:p>
        </w:tc>
        <w:tc>
          <w:tcPr>
            <w:tcW w:w="113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101"/>
              <w:jc w:val="right"/>
              <w:rPr>
                <w:rFonts w:ascii="Arial" w:hAnsi="Arial" w:cs="Arial" w:eastAsia="Arial" w:hint="default"/>
                <w:sz w:val="21"/>
                <w:szCs w:val="21"/>
              </w:rPr>
            </w:pPr>
            <w:r>
              <w:rPr>
                <w:rFonts w:ascii="Arial"/>
                <w:spacing w:val="-1"/>
                <w:sz w:val="21"/>
              </w:rPr>
              <w:t>13,615</w:t>
            </w:r>
          </w:p>
        </w:tc>
        <w:tc>
          <w:tcPr>
            <w:tcW w:w="11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101"/>
              <w:jc w:val="right"/>
              <w:rPr>
                <w:rFonts w:ascii="Arial" w:hAnsi="Arial" w:cs="Arial" w:eastAsia="Arial" w:hint="default"/>
                <w:sz w:val="21"/>
                <w:szCs w:val="21"/>
              </w:rPr>
            </w:pPr>
            <w:r>
              <w:rPr>
                <w:rFonts w:ascii="Arial"/>
                <w:w w:val="100"/>
                <w:sz w:val="21"/>
              </w:rPr>
              <w:t>0</w:t>
            </w:r>
          </w:p>
        </w:tc>
        <w:tc>
          <w:tcPr>
            <w:tcW w:w="7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99"/>
              <w:jc w:val="right"/>
              <w:rPr>
                <w:rFonts w:ascii="Arial" w:hAnsi="Arial" w:cs="Arial" w:eastAsia="Arial" w:hint="default"/>
                <w:sz w:val="21"/>
                <w:szCs w:val="21"/>
              </w:rPr>
            </w:pPr>
            <w:r>
              <w:rPr>
                <w:rFonts w:ascii="Arial"/>
                <w:spacing w:val="-1"/>
                <w:sz w:val="21"/>
              </w:rPr>
              <w:t>53.97</w:t>
            </w:r>
          </w:p>
        </w:tc>
        <w:tc>
          <w:tcPr>
            <w:tcW w:w="122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75" w:hRule="exact"/>
        </w:trPr>
        <w:tc>
          <w:tcPr>
            <w:tcW w:w="85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2"/>
              <w:ind w:left="107" w:right="-1"/>
              <w:jc w:val="center"/>
              <w:rPr>
                <w:rFonts w:ascii="宋体" w:hAnsi="宋体" w:cs="宋体" w:eastAsia="宋体" w:hint="default"/>
                <w:sz w:val="21"/>
                <w:szCs w:val="21"/>
              </w:rPr>
            </w:pPr>
            <w:r>
              <w:rPr>
                <w:rFonts w:ascii="宋体" w:hAnsi="宋体" w:cs="宋体" w:eastAsia="宋体" w:hint="default"/>
                <w:sz w:val="21"/>
                <w:szCs w:val="21"/>
              </w:rPr>
              <w:t>康学军</w:t>
            </w:r>
            <w:r>
              <w:rPr>
                <w:rFonts w:ascii="宋体" w:hAnsi="宋体" w:cs="宋体" w:eastAsia="宋体" w:hint="default"/>
                <w:sz w:val="21"/>
                <w:szCs w:val="21"/>
              </w:rPr>
              <w:t> </w:t>
            </w:r>
          </w:p>
        </w:tc>
        <w:tc>
          <w:tcPr>
            <w:tcW w:w="24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2"/>
              <w:ind w:left="105"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7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2"/>
              <w:ind w:left="105"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8"/>
              <w:ind w:left="3" w:right="0"/>
              <w:jc w:val="center"/>
              <w:rPr>
                <w:rFonts w:ascii="Arial" w:hAnsi="Arial" w:cs="Arial" w:eastAsia="Arial" w:hint="default"/>
                <w:sz w:val="21"/>
                <w:szCs w:val="21"/>
              </w:rPr>
            </w:pPr>
            <w:r>
              <w:rPr>
                <w:rFonts w:ascii="Arial"/>
                <w:sz w:val="21"/>
              </w:rPr>
              <w:t>69</w:t>
            </w:r>
          </w:p>
        </w:tc>
        <w:tc>
          <w:tcPr>
            <w:tcW w:w="198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9"/>
              <w:ind w:left="105"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Arial" w:hAnsi="Arial" w:cs="Arial" w:eastAsia="Arial" w:hint="default"/>
                <w:sz w:val="21"/>
                <w:szCs w:val="21"/>
              </w:rPr>
              <w:t>11</w:t>
            </w:r>
            <w:r>
              <w:rPr>
                <w:rFonts w:ascii="Arial" w:hAnsi="Arial" w:cs="Arial" w:eastAsia="Arial" w:hint="default"/>
                <w:spacing w:val="-18"/>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Arial" w:hAnsi="Arial" w:cs="Arial" w:eastAsia="Arial" w:hint="default"/>
                <w:sz w:val="21"/>
                <w:szCs w:val="21"/>
              </w:rPr>
              <w:t>16</w:t>
            </w:r>
            <w:r>
              <w:rPr>
                <w:rFonts w:ascii="Arial" w:hAnsi="Arial" w:cs="Arial" w:eastAsia="Arial" w:hint="default"/>
                <w:spacing w:val="-18"/>
                <w:sz w:val="21"/>
                <w:szCs w:val="21"/>
              </w:rPr>
              <w:t> </w:t>
            </w:r>
            <w:r>
              <w:rPr>
                <w:rFonts w:ascii="宋体" w:hAnsi="宋体" w:cs="宋体" w:eastAsia="宋体" w:hint="default"/>
                <w:sz w:val="21"/>
                <w:szCs w:val="21"/>
              </w:rPr>
              <w:t>日</w:t>
            </w:r>
          </w:p>
        </w:tc>
        <w:tc>
          <w:tcPr>
            <w:tcW w:w="85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1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8"/>
              <w:ind w:right="101"/>
              <w:jc w:val="right"/>
              <w:rPr>
                <w:rFonts w:ascii="Arial" w:hAnsi="Arial" w:cs="Arial" w:eastAsia="Arial" w:hint="default"/>
                <w:sz w:val="21"/>
                <w:szCs w:val="21"/>
              </w:rPr>
            </w:pPr>
            <w:r>
              <w:rPr>
                <w:rFonts w:ascii="Arial"/>
                <w:w w:val="100"/>
                <w:sz w:val="21"/>
              </w:rPr>
              <w:t>0</w:t>
            </w:r>
          </w:p>
        </w:tc>
        <w:tc>
          <w:tcPr>
            <w:tcW w:w="113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8"/>
              <w:ind w:right="103"/>
              <w:jc w:val="right"/>
              <w:rPr>
                <w:rFonts w:ascii="Arial" w:hAnsi="Arial" w:cs="Arial" w:eastAsia="Arial" w:hint="default"/>
                <w:sz w:val="21"/>
                <w:szCs w:val="21"/>
              </w:rPr>
            </w:pPr>
            <w:r>
              <w:rPr>
                <w:rFonts w:ascii="Arial"/>
                <w:w w:val="100"/>
                <w:sz w:val="21"/>
              </w:rPr>
              <w:t>0</w:t>
            </w:r>
          </w:p>
        </w:tc>
        <w:tc>
          <w:tcPr>
            <w:tcW w:w="11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8"/>
              <w:ind w:right="101"/>
              <w:jc w:val="right"/>
              <w:rPr>
                <w:rFonts w:ascii="Arial" w:hAnsi="Arial" w:cs="Arial" w:eastAsia="Arial" w:hint="default"/>
                <w:sz w:val="21"/>
                <w:szCs w:val="21"/>
              </w:rPr>
            </w:pPr>
            <w:r>
              <w:rPr>
                <w:rFonts w:ascii="Arial"/>
                <w:w w:val="100"/>
                <w:sz w:val="21"/>
              </w:rPr>
              <w:t>0</w:t>
            </w:r>
          </w:p>
        </w:tc>
        <w:tc>
          <w:tcPr>
            <w:tcW w:w="7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2"/>
              <w:ind w:left="103" w:right="0"/>
              <w:jc w:val="left"/>
              <w:rPr>
                <w:rFonts w:ascii="宋体" w:hAnsi="宋体" w:cs="宋体" w:eastAsia="宋体" w:hint="default"/>
                <w:sz w:val="21"/>
                <w:szCs w:val="21"/>
              </w:rPr>
            </w:pPr>
            <w:r>
              <w:rPr>
                <w:rFonts w:ascii="宋体"/>
                <w:w w:val="100"/>
                <w:sz w:val="21"/>
              </w:rPr>
              <w:t> </w:t>
            </w:r>
          </w:p>
        </w:tc>
        <w:tc>
          <w:tcPr>
            <w:tcW w:w="14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8"/>
              <w:ind w:right="101"/>
              <w:jc w:val="right"/>
              <w:rPr>
                <w:rFonts w:ascii="Arial" w:hAnsi="Arial" w:cs="Arial" w:eastAsia="Arial" w:hint="default"/>
                <w:sz w:val="21"/>
                <w:szCs w:val="21"/>
              </w:rPr>
            </w:pPr>
            <w:r>
              <w:rPr>
                <w:rFonts w:ascii="Arial"/>
                <w:w w:val="100"/>
                <w:sz w:val="21"/>
              </w:rPr>
              <w:t>0</w:t>
            </w:r>
          </w:p>
        </w:tc>
        <w:tc>
          <w:tcPr>
            <w:tcW w:w="122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77" w:hRule="exact"/>
        </w:trPr>
        <w:tc>
          <w:tcPr>
            <w:tcW w:w="85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4"/>
              <w:ind w:left="107" w:right="-1"/>
              <w:jc w:val="center"/>
              <w:rPr>
                <w:rFonts w:ascii="宋体" w:hAnsi="宋体" w:cs="宋体" w:eastAsia="宋体" w:hint="default"/>
                <w:sz w:val="21"/>
                <w:szCs w:val="21"/>
              </w:rPr>
            </w:pPr>
            <w:r>
              <w:rPr>
                <w:rFonts w:ascii="宋体" w:hAnsi="宋体" w:cs="宋体" w:eastAsia="宋体" w:hint="default"/>
                <w:sz w:val="21"/>
                <w:szCs w:val="21"/>
              </w:rPr>
              <w:t>王永德</w:t>
            </w:r>
            <w:r>
              <w:rPr>
                <w:rFonts w:ascii="宋体" w:hAnsi="宋体" w:cs="宋体" w:eastAsia="宋体" w:hint="default"/>
                <w:sz w:val="21"/>
                <w:szCs w:val="21"/>
              </w:rPr>
              <w:t> </w:t>
            </w:r>
          </w:p>
        </w:tc>
        <w:tc>
          <w:tcPr>
            <w:tcW w:w="24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
              <w:ind w:left="105"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7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
              <w:ind w:left="105"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left="3" w:right="0"/>
              <w:jc w:val="center"/>
              <w:rPr>
                <w:rFonts w:ascii="Arial" w:hAnsi="Arial" w:cs="Arial" w:eastAsia="Arial" w:hint="default"/>
                <w:sz w:val="21"/>
                <w:szCs w:val="21"/>
              </w:rPr>
            </w:pPr>
            <w:r>
              <w:rPr>
                <w:rFonts w:ascii="Arial"/>
                <w:sz w:val="21"/>
              </w:rPr>
              <w:t>56</w:t>
            </w:r>
          </w:p>
        </w:tc>
        <w:tc>
          <w:tcPr>
            <w:tcW w:w="198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1"/>
              <w:ind w:left="105"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85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
              <w:ind w:left="103" w:right="0"/>
              <w:jc w:val="left"/>
              <w:rPr>
                <w:rFonts w:ascii="宋体" w:hAnsi="宋体" w:cs="宋体" w:eastAsia="宋体" w:hint="default"/>
                <w:sz w:val="21"/>
                <w:szCs w:val="21"/>
              </w:rPr>
            </w:pPr>
            <w:r>
              <w:rPr>
                <w:rFonts w:ascii="宋体"/>
                <w:w w:val="100"/>
                <w:sz w:val="21"/>
              </w:rPr>
              <w:t> </w:t>
            </w:r>
          </w:p>
        </w:tc>
        <w:tc>
          <w:tcPr>
            <w:tcW w:w="11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101"/>
              <w:jc w:val="right"/>
              <w:rPr>
                <w:rFonts w:ascii="Arial" w:hAnsi="Arial" w:cs="Arial" w:eastAsia="Arial" w:hint="default"/>
                <w:sz w:val="21"/>
                <w:szCs w:val="21"/>
              </w:rPr>
            </w:pPr>
            <w:r>
              <w:rPr>
                <w:rFonts w:ascii="Arial"/>
                <w:w w:val="100"/>
                <w:sz w:val="21"/>
              </w:rPr>
              <w:t>0</w:t>
            </w:r>
          </w:p>
        </w:tc>
        <w:tc>
          <w:tcPr>
            <w:tcW w:w="113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103"/>
              <w:jc w:val="right"/>
              <w:rPr>
                <w:rFonts w:ascii="Arial" w:hAnsi="Arial" w:cs="Arial" w:eastAsia="Arial" w:hint="default"/>
                <w:sz w:val="21"/>
                <w:szCs w:val="21"/>
              </w:rPr>
            </w:pPr>
            <w:r>
              <w:rPr>
                <w:rFonts w:ascii="Arial"/>
                <w:w w:val="100"/>
                <w:sz w:val="21"/>
              </w:rPr>
              <w:t>0</w:t>
            </w:r>
          </w:p>
        </w:tc>
        <w:tc>
          <w:tcPr>
            <w:tcW w:w="11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101"/>
              <w:jc w:val="right"/>
              <w:rPr>
                <w:rFonts w:ascii="Arial" w:hAnsi="Arial" w:cs="Arial" w:eastAsia="Arial" w:hint="default"/>
                <w:sz w:val="21"/>
                <w:szCs w:val="21"/>
              </w:rPr>
            </w:pPr>
            <w:r>
              <w:rPr>
                <w:rFonts w:ascii="Arial"/>
                <w:w w:val="100"/>
                <w:sz w:val="21"/>
              </w:rPr>
              <w:t>0</w:t>
            </w:r>
          </w:p>
        </w:tc>
        <w:tc>
          <w:tcPr>
            <w:tcW w:w="7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98"/>
              <w:jc w:val="right"/>
              <w:rPr>
                <w:rFonts w:ascii="Arial" w:hAnsi="Arial" w:cs="Arial" w:eastAsia="Arial" w:hint="default"/>
                <w:sz w:val="21"/>
                <w:szCs w:val="21"/>
              </w:rPr>
            </w:pPr>
            <w:r>
              <w:rPr>
                <w:rFonts w:ascii="Arial"/>
                <w:sz w:val="21"/>
              </w:rPr>
              <w:t>10</w:t>
            </w:r>
          </w:p>
        </w:tc>
        <w:tc>
          <w:tcPr>
            <w:tcW w:w="122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77" w:hRule="exact"/>
        </w:trPr>
        <w:tc>
          <w:tcPr>
            <w:tcW w:w="85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4"/>
              <w:ind w:left="107" w:right="-1"/>
              <w:jc w:val="center"/>
              <w:rPr>
                <w:rFonts w:ascii="宋体" w:hAnsi="宋体" w:cs="宋体" w:eastAsia="宋体" w:hint="default"/>
                <w:sz w:val="21"/>
                <w:szCs w:val="21"/>
              </w:rPr>
            </w:pPr>
            <w:r>
              <w:rPr>
                <w:rFonts w:ascii="宋体" w:hAnsi="宋体" w:cs="宋体" w:eastAsia="宋体" w:hint="default"/>
                <w:sz w:val="21"/>
                <w:szCs w:val="21"/>
              </w:rPr>
              <w:t>董惠江</w:t>
            </w:r>
            <w:r>
              <w:rPr>
                <w:rFonts w:ascii="宋体" w:hAnsi="宋体" w:cs="宋体" w:eastAsia="宋体" w:hint="default"/>
                <w:sz w:val="21"/>
                <w:szCs w:val="21"/>
              </w:rPr>
              <w:t> </w:t>
            </w:r>
          </w:p>
        </w:tc>
        <w:tc>
          <w:tcPr>
            <w:tcW w:w="24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
              <w:ind w:left="105"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7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
              <w:ind w:left="105"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left="3" w:right="0"/>
              <w:jc w:val="center"/>
              <w:rPr>
                <w:rFonts w:ascii="Arial" w:hAnsi="Arial" w:cs="Arial" w:eastAsia="Arial" w:hint="default"/>
                <w:sz w:val="21"/>
                <w:szCs w:val="21"/>
              </w:rPr>
            </w:pPr>
            <w:r>
              <w:rPr>
                <w:rFonts w:ascii="Arial"/>
                <w:sz w:val="21"/>
              </w:rPr>
              <w:t>56</w:t>
            </w:r>
          </w:p>
        </w:tc>
        <w:tc>
          <w:tcPr>
            <w:tcW w:w="198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8"/>
              <w:ind w:left="105"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85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
              <w:ind w:left="103" w:right="0"/>
              <w:jc w:val="left"/>
              <w:rPr>
                <w:rFonts w:ascii="宋体" w:hAnsi="宋体" w:cs="宋体" w:eastAsia="宋体" w:hint="default"/>
                <w:sz w:val="21"/>
                <w:szCs w:val="21"/>
              </w:rPr>
            </w:pPr>
            <w:r>
              <w:rPr>
                <w:rFonts w:ascii="宋体"/>
                <w:w w:val="100"/>
                <w:sz w:val="21"/>
              </w:rPr>
              <w:t> </w:t>
            </w:r>
          </w:p>
        </w:tc>
        <w:tc>
          <w:tcPr>
            <w:tcW w:w="11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101"/>
              <w:jc w:val="right"/>
              <w:rPr>
                <w:rFonts w:ascii="Arial" w:hAnsi="Arial" w:cs="Arial" w:eastAsia="Arial" w:hint="default"/>
                <w:sz w:val="21"/>
                <w:szCs w:val="21"/>
              </w:rPr>
            </w:pPr>
            <w:r>
              <w:rPr>
                <w:rFonts w:ascii="Arial"/>
                <w:w w:val="100"/>
                <w:sz w:val="21"/>
              </w:rPr>
              <w:t>0</w:t>
            </w:r>
          </w:p>
        </w:tc>
        <w:tc>
          <w:tcPr>
            <w:tcW w:w="113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103"/>
              <w:jc w:val="right"/>
              <w:rPr>
                <w:rFonts w:ascii="Arial" w:hAnsi="Arial" w:cs="Arial" w:eastAsia="Arial" w:hint="default"/>
                <w:sz w:val="21"/>
                <w:szCs w:val="21"/>
              </w:rPr>
            </w:pPr>
            <w:r>
              <w:rPr>
                <w:rFonts w:ascii="Arial"/>
                <w:w w:val="100"/>
                <w:sz w:val="21"/>
              </w:rPr>
              <w:t>0</w:t>
            </w:r>
          </w:p>
        </w:tc>
        <w:tc>
          <w:tcPr>
            <w:tcW w:w="11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101"/>
              <w:jc w:val="right"/>
              <w:rPr>
                <w:rFonts w:ascii="Arial" w:hAnsi="Arial" w:cs="Arial" w:eastAsia="Arial" w:hint="default"/>
                <w:sz w:val="21"/>
                <w:szCs w:val="21"/>
              </w:rPr>
            </w:pPr>
            <w:r>
              <w:rPr>
                <w:rFonts w:ascii="Arial"/>
                <w:w w:val="100"/>
                <w:sz w:val="21"/>
              </w:rPr>
              <w:t>0</w:t>
            </w:r>
          </w:p>
        </w:tc>
        <w:tc>
          <w:tcPr>
            <w:tcW w:w="7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98"/>
              <w:jc w:val="right"/>
              <w:rPr>
                <w:rFonts w:ascii="Arial" w:hAnsi="Arial" w:cs="Arial" w:eastAsia="Arial" w:hint="default"/>
                <w:sz w:val="21"/>
                <w:szCs w:val="21"/>
              </w:rPr>
            </w:pPr>
            <w:r>
              <w:rPr>
                <w:rFonts w:ascii="Arial"/>
                <w:sz w:val="21"/>
              </w:rPr>
              <w:t>10</w:t>
            </w:r>
          </w:p>
        </w:tc>
        <w:tc>
          <w:tcPr>
            <w:tcW w:w="122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74" w:hRule="exact"/>
        </w:trPr>
        <w:tc>
          <w:tcPr>
            <w:tcW w:w="85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1"/>
              <w:ind w:left="107" w:right="-1"/>
              <w:jc w:val="center"/>
              <w:rPr>
                <w:rFonts w:ascii="宋体" w:hAnsi="宋体" w:cs="宋体" w:eastAsia="宋体" w:hint="default"/>
                <w:sz w:val="21"/>
                <w:szCs w:val="21"/>
              </w:rPr>
            </w:pPr>
            <w:r>
              <w:rPr>
                <w:rFonts w:ascii="宋体" w:hAnsi="宋体" w:cs="宋体" w:eastAsia="宋体" w:hint="default"/>
                <w:sz w:val="21"/>
                <w:szCs w:val="21"/>
              </w:rPr>
              <w:t>史晓丹</w:t>
            </w:r>
            <w:r>
              <w:rPr>
                <w:rFonts w:ascii="宋体" w:hAnsi="宋体" w:cs="宋体" w:eastAsia="宋体" w:hint="default"/>
                <w:sz w:val="21"/>
                <w:szCs w:val="21"/>
              </w:rPr>
              <w:t> </w:t>
            </w:r>
          </w:p>
        </w:tc>
        <w:tc>
          <w:tcPr>
            <w:tcW w:w="24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1"/>
              <w:ind w:left="105" w:right="0"/>
              <w:jc w:val="left"/>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7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left="3" w:right="0"/>
              <w:jc w:val="center"/>
              <w:rPr>
                <w:rFonts w:ascii="Arial" w:hAnsi="Arial" w:cs="Arial" w:eastAsia="Arial" w:hint="default"/>
                <w:sz w:val="21"/>
                <w:szCs w:val="21"/>
              </w:rPr>
            </w:pPr>
            <w:r>
              <w:rPr>
                <w:rFonts w:ascii="Arial"/>
                <w:sz w:val="21"/>
              </w:rPr>
              <w:t>60</w:t>
            </w:r>
          </w:p>
        </w:tc>
        <w:tc>
          <w:tcPr>
            <w:tcW w:w="198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8"/>
              <w:ind w:left="105"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Arial" w:hAnsi="Arial" w:cs="Arial" w:eastAsia="Arial" w:hint="default"/>
                <w:sz w:val="21"/>
                <w:szCs w:val="21"/>
              </w:rPr>
              <w:t>11</w:t>
            </w:r>
            <w:r>
              <w:rPr>
                <w:rFonts w:ascii="Arial" w:hAnsi="Arial" w:cs="Arial" w:eastAsia="Arial" w:hint="default"/>
                <w:spacing w:val="-18"/>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Arial" w:hAnsi="Arial" w:cs="Arial" w:eastAsia="Arial" w:hint="default"/>
                <w:sz w:val="21"/>
                <w:szCs w:val="21"/>
              </w:rPr>
              <w:t>16</w:t>
            </w:r>
            <w:r>
              <w:rPr>
                <w:rFonts w:ascii="Arial" w:hAnsi="Arial" w:cs="Arial" w:eastAsia="Arial" w:hint="default"/>
                <w:spacing w:val="-18"/>
                <w:sz w:val="21"/>
                <w:szCs w:val="21"/>
              </w:rPr>
              <w:t> </w:t>
            </w:r>
            <w:r>
              <w:rPr>
                <w:rFonts w:ascii="宋体" w:hAnsi="宋体" w:cs="宋体" w:eastAsia="宋体" w:hint="default"/>
                <w:sz w:val="21"/>
                <w:szCs w:val="21"/>
              </w:rPr>
              <w:t>日</w:t>
            </w:r>
          </w:p>
        </w:tc>
        <w:tc>
          <w:tcPr>
            <w:tcW w:w="85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1"/>
              <w:ind w:left="103" w:right="0"/>
              <w:jc w:val="left"/>
              <w:rPr>
                <w:rFonts w:ascii="宋体" w:hAnsi="宋体" w:cs="宋体" w:eastAsia="宋体" w:hint="default"/>
                <w:sz w:val="21"/>
                <w:szCs w:val="21"/>
              </w:rPr>
            </w:pPr>
            <w:r>
              <w:rPr>
                <w:rFonts w:ascii="宋体"/>
                <w:w w:val="100"/>
                <w:sz w:val="21"/>
              </w:rPr>
              <w:t> </w:t>
            </w:r>
          </w:p>
        </w:tc>
        <w:tc>
          <w:tcPr>
            <w:tcW w:w="11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99"/>
              <w:jc w:val="right"/>
              <w:rPr>
                <w:rFonts w:ascii="Arial" w:hAnsi="Arial" w:cs="Arial" w:eastAsia="Arial" w:hint="default"/>
                <w:sz w:val="21"/>
                <w:szCs w:val="21"/>
              </w:rPr>
            </w:pPr>
            <w:r>
              <w:rPr>
                <w:rFonts w:ascii="Arial"/>
                <w:spacing w:val="-1"/>
                <w:sz w:val="21"/>
              </w:rPr>
              <w:t>16,338</w:t>
            </w:r>
          </w:p>
        </w:tc>
        <w:tc>
          <w:tcPr>
            <w:tcW w:w="113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101"/>
              <w:jc w:val="right"/>
              <w:rPr>
                <w:rFonts w:ascii="Arial" w:hAnsi="Arial" w:cs="Arial" w:eastAsia="Arial" w:hint="default"/>
                <w:sz w:val="21"/>
                <w:szCs w:val="21"/>
              </w:rPr>
            </w:pPr>
            <w:r>
              <w:rPr>
                <w:rFonts w:ascii="Arial"/>
                <w:spacing w:val="-1"/>
                <w:sz w:val="21"/>
              </w:rPr>
              <w:t>16,338</w:t>
            </w:r>
          </w:p>
        </w:tc>
        <w:tc>
          <w:tcPr>
            <w:tcW w:w="11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101"/>
              <w:jc w:val="right"/>
              <w:rPr>
                <w:rFonts w:ascii="Arial" w:hAnsi="Arial" w:cs="Arial" w:eastAsia="Arial" w:hint="default"/>
                <w:sz w:val="21"/>
                <w:szCs w:val="21"/>
              </w:rPr>
            </w:pPr>
            <w:r>
              <w:rPr>
                <w:rFonts w:ascii="Arial"/>
                <w:w w:val="100"/>
                <w:sz w:val="21"/>
              </w:rPr>
              <w:t>0</w:t>
            </w:r>
          </w:p>
        </w:tc>
        <w:tc>
          <w:tcPr>
            <w:tcW w:w="7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1"/>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99"/>
              <w:jc w:val="right"/>
              <w:rPr>
                <w:rFonts w:ascii="Arial" w:hAnsi="Arial" w:cs="Arial" w:eastAsia="Arial" w:hint="default"/>
                <w:sz w:val="21"/>
                <w:szCs w:val="21"/>
              </w:rPr>
            </w:pPr>
            <w:r>
              <w:rPr>
                <w:rFonts w:ascii="Arial"/>
                <w:spacing w:val="-1"/>
                <w:sz w:val="21"/>
              </w:rPr>
              <w:t>60.58</w:t>
            </w:r>
          </w:p>
        </w:tc>
        <w:tc>
          <w:tcPr>
            <w:tcW w:w="122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77" w:hRule="exact"/>
        </w:trPr>
        <w:tc>
          <w:tcPr>
            <w:tcW w:w="85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4"/>
              <w:ind w:left="107" w:right="-1"/>
              <w:jc w:val="center"/>
              <w:rPr>
                <w:rFonts w:ascii="宋体" w:hAnsi="宋体" w:cs="宋体" w:eastAsia="宋体" w:hint="default"/>
                <w:sz w:val="21"/>
                <w:szCs w:val="21"/>
              </w:rPr>
            </w:pPr>
            <w:r>
              <w:rPr>
                <w:rFonts w:ascii="宋体" w:hAnsi="宋体" w:cs="宋体" w:eastAsia="宋体" w:hint="default"/>
                <w:sz w:val="21"/>
                <w:szCs w:val="21"/>
              </w:rPr>
              <w:t>潘正平</w:t>
            </w:r>
            <w:r>
              <w:rPr>
                <w:rFonts w:ascii="宋体" w:hAnsi="宋体" w:cs="宋体" w:eastAsia="宋体" w:hint="default"/>
                <w:sz w:val="21"/>
                <w:szCs w:val="21"/>
              </w:rPr>
              <w:t> </w:t>
            </w:r>
          </w:p>
        </w:tc>
        <w:tc>
          <w:tcPr>
            <w:tcW w:w="24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7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
              <w:ind w:left="105"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left="3" w:right="0"/>
              <w:jc w:val="center"/>
              <w:rPr>
                <w:rFonts w:ascii="Arial" w:hAnsi="Arial" w:cs="Arial" w:eastAsia="Arial" w:hint="default"/>
                <w:sz w:val="21"/>
                <w:szCs w:val="21"/>
              </w:rPr>
            </w:pPr>
            <w:r>
              <w:rPr>
                <w:rFonts w:ascii="Arial"/>
                <w:sz w:val="21"/>
              </w:rPr>
              <w:t>56</w:t>
            </w:r>
          </w:p>
        </w:tc>
        <w:tc>
          <w:tcPr>
            <w:tcW w:w="198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8"/>
              <w:ind w:left="105"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Arial" w:hAnsi="Arial" w:cs="Arial" w:eastAsia="Arial" w:hint="default"/>
                <w:sz w:val="21"/>
                <w:szCs w:val="21"/>
              </w:rPr>
              <w:t>11</w:t>
            </w:r>
            <w:r>
              <w:rPr>
                <w:rFonts w:ascii="Arial" w:hAnsi="Arial" w:cs="Arial" w:eastAsia="Arial" w:hint="default"/>
                <w:spacing w:val="-18"/>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Arial" w:hAnsi="Arial" w:cs="Arial" w:eastAsia="Arial" w:hint="default"/>
                <w:sz w:val="21"/>
                <w:szCs w:val="21"/>
              </w:rPr>
              <w:t>16</w:t>
            </w:r>
            <w:r>
              <w:rPr>
                <w:rFonts w:ascii="Arial" w:hAnsi="Arial" w:cs="Arial" w:eastAsia="Arial" w:hint="default"/>
                <w:spacing w:val="-18"/>
                <w:sz w:val="21"/>
                <w:szCs w:val="21"/>
              </w:rPr>
              <w:t> </w:t>
            </w:r>
            <w:r>
              <w:rPr>
                <w:rFonts w:ascii="宋体" w:hAnsi="宋体" w:cs="宋体" w:eastAsia="宋体" w:hint="default"/>
                <w:sz w:val="21"/>
                <w:szCs w:val="21"/>
              </w:rPr>
              <w:t>日</w:t>
            </w:r>
          </w:p>
        </w:tc>
        <w:tc>
          <w:tcPr>
            <w:tcW w:w="85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
              <w:ind w:left="103" w:right="0"/>
              <w:jc w:val="left"/>
              <w:rPr>
                <w:rFonts w:ascii="宋体" w:hAnsi="宋体" w:cs="宋体" w:eastAsia="宋体" w:hint="default"/>
                <w:sz w:val="21"/>
                <w:szCs w:val="21"/>
              </w:rPr>
            </w:pPr>
            <w:r>
              <w:rPr>
                <w:rFonts w:ascii="宋体"/>
                <w:w w:val="100"/>
                <w:sz w:val="21"/>
              </w:rPr>
              <w:t> </w:t>
            </w:r>
          </w:p>
        </w:tc>
        <w:tc>
          <w:tcPr>
            <w:tcW w:w="11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101"/>
              <w:jc w:val="right"/>
              <w:rPr>
                <w:rFonts w:ascii="Arial" w:hAnsi="Arial" w:cs="Arial" w:eastAsia="Arial" w:hint="default"/>
                <w:sz w:val="21"/>
                <w:szCs w:val="21"/>
              </w:rPr>
            </w:pPr>
            <w:r>
              <w:rPr>
                <w:rFonts w:ascii="Arial"/>
                <w:w w:val="100"/>
                <w:sz w:val="21"/>
              </w:rPr>
              <w:t>0</w:t>
            </w:r>
          </w:p>
        </w:tc>
        <w:tc>
          <w:tcPr>
            <w:tcW w:w="113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103"/>
              <w:jc w:val="right"/>
              <w:rPr>
                <w:rFonts w:ascii="Arial" w:hAnsi="Arial" w:cs="Arial" w:eastAsia="Arial" w:hint="default"/>
                <w:sz w:val="21"/>
                <w:szCs w:val="21"/>
              </w:rPr>
            </w:pPr>
            <w:r>
              <w:rPr>
                <w:rFonts w:ascii="Arial"/>
                <w:w w:val="100"/>
                <w:sz w:val="21"/>
              </w:rPr>
              <w:t>0</w:t>
            </w:r>
          </w:p>
        </w:tc>
        <w:tc>
          <w:tcPr>
            <w:tcW w:w="11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101"/>
              <w:jc w:val="right"/>
              <w:rPr>
                <w:rFonts w:ascii="Arial" w:hAnsi="Arial" w:cs="Arial" w:eastAsia="Arial" w:hint="default"/>
                <w:sz w:val="21"/>
                <w:szCs w:val="21"/>
              </w:rPr>
            </w:pPr>
            <w:r>
              <w:rPr>
                <w:rFonts w:ascii="Arial"/>
                <w:w w:val="100"/>
                <w:sz w:val="21"/>
              </w:rPr>
              <w:t>0</w:t>
            </w:r>
          </w:p>
        </w:tc>
        <w:tc>
          <w:tcPr>
            <w:tcW w:w="7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101"/>
              <w:jc w:val="right"/>
              <w:rPr>
                <w:rFonts w:ascii="Arial" w:hAnsi="Arial" w:cs="Arial" w:eastAsia="Arial" w:hint="default"/>
                <w:sz w:val="21"/>
                <w:szCs w:val="21"/>
              </w:rPr>
            </w:pPr>
            <w:r>
              <w:rPr>
                <w:rFonts w:ascii="Arial"/>
                <w:w w:val="100"/>
                <w:sz w:val="21"/>
              </w:rPr>
              <w:t>0</w:t>
            </w:r>
          </w:p>
        </w:tc>
        <w:tc>
          <w:tcPr>
            <w:tcW w:w="122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74" w:hRule="exact"/>
        </w:trPr>
        <w:tc>
          <w:tcPr>
            <w:tcW w:w="85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1"/>
              <w:ind w:left="107" w:right="-1"/>
              <w:jc w:val="center"/>
              <w:rPr>
                <w:rFonts w:ascii="宋体" w:hAnsi="宋体" w:cs="宋体" w:eastAsia="宋体" w:hint="default"/>
                <w:sz w:val="21"/>
                <w:szCs w:val="21"/>
              </w:rPr>
            </w:pPr>
            <w:r>
              <w:rPr>
                <w:rFonts w:ascii="宋体" w:hAnsi="宋体" w:cs="宋体" w:eastAsia="宋体" w:hint="default"/>
                <w:sz w:val="21"/>
                <w:szCs w:val="21"/>
              </w:rPr>
              <w:t>姜秀奇</w:t>
            </w:r>
            <w:r>
              <w:rPr>
                <w:rFonts w:ascii="宋体" w:hAnsi="宋体" w:cs="宋体" w:eastAsia="宋体" w:hint="default"/>
                <w:sz w:val="21"/>
                <w:szCs w:val="21"/>
              </w:rPr>
              <w:t> </w:t>
            </w:r>
          </w:p>
        </w:tc>
        <w:tc>
          <w:tcPr>
            <w:tcW w:w="24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1"/>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7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7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left="3" w:right="0"/>
              <w:jc w:val="center"/>
              <w:rPr>
                <w:rFonts w:ascii="Arial" w:hAnsi="Arial" w:cs="Arial" w:eastAsia="Arial" w:hint="default"/>
                <w:sz w:val="21"/>
                <w:szCs w:val="21"/>
              </w:rPr>
            </w:pPr>
            <w:r>
              <w:rPr>
                <w:rFonts w:ascii="Arial"/>
                <w:sz w:val="21"/>
              </w:rPr>
              <w:t>53</w:t>
            </w:r>
          </w:p>
        </w:tc>
        <w:tc>
          <w:tcPr>
            <w:tcW w:w="198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8"/>
              <w:ind w:left="105"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Arial" w:hAnsi="Arial" w:cs="Arial" w:eastAsia="Arial" w:hint="default"/>
                <w:sz w:val="21"/>
                <w:szCs w:val="21"/>
              </w:rPr>
              <w:t>11</w:t>
            </w:r>
            <w:r>
              <w:rPr>
                <w:rFonts w:ascii="Arial" w:hAnsi="Arial" w:cs="Arial" w:eastAsia="Arial" w:hint="default"/>
                <w:spacing w:val="-18"/>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Arial" w:hAnsi="Arial" w:cs="Arial" w:eastAsia="Arial" w:hint="default"/>
                <w:sz w:val="21"/>
                <w:szCs w:val="21"/>
              </w:rPr>
              <w:t>16</w:t>
            </w:r>
            <w:r>
              <w:rPr>
                <w:rFonts w:ascii="Arial" w:hAnsi="Arial" w:cs="Arial" w:eastAsia="Arial" w:hint="default"/>
                <w:spacing w:val="-18"/>
                <w:sz w:val="21"/>
                <w:szCs w:val="21"/>
              </w:rPr>
              <w:t> </w:t>
            </w:r>
            <w:r>
              <w:rPr>
                <w:rFonts w:ascii="宋体" w:hAnsi="宋体" w:cs="宋体" w:eastAsia="宋体" w:hint="default"/>
                <w:sz w:val="21"/>
                <w:szCs w:val="21"/>
              </w:rPr>
              <w:t>日</w:t>
            </w:r>
          </w:p>
        </w:tc>
        <w:tc>
          <w:tcPr>
            <w:tcW w:w="85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1"/>
              <w:ind w:left="103" w:right="0"/>
              <w:jc w:val="left"/>
              <w:rPr>
                <w:rFonts w:ascii="宋体" w:hAnsi="宋体" w:cs="宋体" w:eastAsia="宋体" w:hint="default"/>
                <w:sz w:val="21"/>
                <w:szCs w:val="21"/>
              </w:rPr>
            </w:pPr>
            <w:r>
              <w:rPr>
                <w:rFonts w:ascii="宋体"/>
                <w:w w:val="100"/>
                <w:sz w:val="21"/>
              </w:rPr>
              <w:t> </w:t>
            </w:r>
          </w:p>
        </w:tc>
        <w:tc>
          <w:tcPr>
            <w:tcW w:w="11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99"/>
              <w:jc w:val="right"/>
              <w:rPr>
                <w:rFonts w:ascii="Arial" w:hAnsi="Arial" w:cs="Arial" w:eastAsia="Arial" w:hint="default"/>
                <w:sz w:val="21"/>
                <w:szCs w:val="21"/>
              </w:rPr>
            </w:pPr>
            <w:r>
              <w:rPr>
                <w:rFonts w:ascii="Arial"/>
                <w:spacing w:val="-1"/>
                <w:sz w:val="21"/>
              </w:rPr>
              <w:t>3,812</w:t>
            </w:r>
          </w:p>
        </w:tc>
        <w:tc>
          <w:tcPr>
            <w:tcW w:w="113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101"/>
              <w:jc w:val="right"/>
              <w:rPr>
                <w:rFonts w:ascii="Arial" w:hAnsi="Arial" w:cs="Arial" w:eastAsia="Arial" w:hint="default"/>
                <w:sz w:val="21"/>
                <w:szCs w:val="21"/>
              </w:rPr>
            </w:pPr>
            <w:r>
              <w:rPr>
                <w:rFonts w:ascii="Arial"/>
                <w:spacing w:val="-1"/>
                <w:sz w:val="21"/>
              </w:rPr>
              <w:t>3,812</w:t>
            </w:r>
          </w:p>
        </w:tc>
        <w:tc>
          <w:tcPr>
            <w:tcW w:w="11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101"/>
              <w:jc w:val="right"/>
              <w:rPr>
                <w:rFonts w:ascii="Arial" w:hAnsi="Arial" w:cs="Arial" w:eastAsia="Arial" w:hint="default"/>
                <w:sz w:val="21"/>
                <w:szCs w:val="21"/>
              </w:rPr>
            </w:pPr>
            <w:r>
              <w:rPr>
                <w:rFonts w:ascii="Arial"/>
                <w:w w:val="100"/>
                <w:sz w:val="21"/>
              </w:rPr>
              <w:t>0</w:t>
            </w:r>
          </w:p>
        </w:tc>
        <w:tc>
          <w:tcPr>
            <w:tcW w:w="7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1"/>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98"/>
              <w:jc w:val="right"/>
              <w:rPr>
                <w:rFonts w:ascii="Arial" w:hAnsi="Arial" w:cs="Arial" w:eastAsia="Arial" w:hint="default"/>
                <w:sz w:val="21"/>
                <w:szCs w:val="21"/>
              </w:rPr>
            </w:pPr>
            <w:r>
              <w:rPr>
                <w:rFonts w:ascii="Arial"/>
                <w:spacing w:val="-1"/>
                <w:sz w:val="21"/>
              </w:rPr>
              <w:t>38.33</w:t>
            </w:r>
          </w:p>
        </w:tc>
        <w:tc>
          <w:tcPr>
            <w:tcW w:w="122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77" w:hRule="exact"/>
        </w:trPr>
        <w:tc>
          <w:tcPr>
            <w:tcW w:w="85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4"/>
              <w:ind w:left="107" w:right="-1"/>
              <w:jc w:val="center"/>
              <w:rPr>
                <w:rFonts w:ascii="宋体" w:hAnsi="宋体" w:cs="宋体" w:eastAsia="宋体" w:hint="default"/>
                <w:sz w:val="21"/>
                <w:szCs w:val="21"/>
              </w:rPr>
            </w:pPr>
            <w:r>
              <w:rPr>
                <w:rFonts w:ascii="宋体" w:hAnsi="宋体" w:cs="宋体" w:eastAsia="宋体" w:hint="default"/>
                <w:sz w:val="21"/>
                <w:szCs w:val="21"/>
              </w:rPr>
              <w:t>高建国</w:t>
            </w:r>
            <w:r>
              <w:rPr>
                <w:rFonts w:ascii="宋体" w:hAnsi="宋体" w:cs="宋体" w:eastAsia="宋体" w:hint="default"/>
                <w:sz w:val="21"/>
                <w:szCs w:val="21"/>
              </w:rPr>
              <w:t> </w:t>
            </w:r>
          </w:p>
        </w:tc>
        <w:tc>
          <w:tcPr>
            <w:tcW w:w="24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
              <w:ind w:left="105" w:right="0"/>
              <w:jc w:val="left"/>
              <w:rPr>
                <w:rFonts w:ascii="宋体" w:hAnsi="宋体" w:cs="宋体" w:eastAsia="宋体" w:hint="default"/>
                <w:sz w:val="21"/>
                <w:szCs w:val="21"/>
              </w:rPr>
            </w:pPr>
            <w:r>
              <w:rPr>
                <w:rFonts w:ascii="宋体" w:hAnsi="宋体" w:cs="宋体" w:eastAsia="宋体" w:hint="default"/>
                <w:sz w:val="21"/>
                <w:szCs w:val="21"/>
              </w:rPr>
              <w:t>副总经理、董事会秘书</w:t>
            </w:r>
            <w:r>
              <w:rPr>
                <w:rFonts w:ascii="宋体" w:hAnsi="宋体" w:cs="宋体" w:eastAsia="宋体" w:hint="default"/>
                <w:sz w:val="21"/>
                <w:szCs w:val="21"/>
              </w:rPr>
              <w:t> </w:t>
            </w:r>
          </w:p>
        </w:tc>
        <w:tc>
          <w:tcPr>
            <w:tcW w:w="7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
              <w:ind w:left="105"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left="3" w:right="0"/>
              <w:jc w:val="center"/>
              <w:rPr>
                <w:rFonts w:ascii="Arial" w:hAnsi="Arial" w:cs="Arial" w:eastAsia="Arial" w:hint="default"/>
                <w:sz w:val="21"/>
                <w:szCs w:val="21"/>
              </w:rPr>
            </w:pPr>
            <w:r>
              <w:rPr>
                <w:rFonts w:ascii="Arial"/>
                <w:sz w:val="21"/>
              </w:rPr>
              <w:t>47</w:t>
            </w:r>
          </w:p>
        </w:tc>
        <w:tc>
          <w:tcPr>
            <w:tcW w:w="198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1"/>
              <w:ind w:left="105"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85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
              <w:ind w:left="103" w:right="0"/>
              <w:jc w:val="left"/>
              <w:rPr>
                <w:rFonts w:ascii="宋体" w:hAnsi="宋体" w:cs="宋体" w:eastAsia="宋体" w:hint="default"/>
                <w:sz w:val="21"/>
                <w:szCs w:val="21"/>
              </w:rPr>
            </w:pPr>
            <w:r>
              <w:rPr>
                <w:rFonts w:ascii="宋体"/>
                <w:w w:val="100"/>
                <w:sz w:val="21"/>
              </w:rPr>
              <w:t> </w:t>
            </w:r>
          </w:p>
        </w:tc>
        <w:tc>
          <w:tcPr>
            <w:tcW w:w="11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101"/>
              <w:jc w:val="right"/>
              <w:rPr>
                <w:rFonts w:ascii="Arial" w:hAnsi="Arial" w:cs="Arial" w:eastAsia="Arial" w:hint="default"/>
                <w:sz w:val="21"/>
                <w:szCs w:val="21"/>
              </w:rPr>
            </w:pPr>
            <w:r>
              <w:rPr>
                <w:rFonts w:ascii="Arial"/>
                <w:w w:val="100"/>
                <w:sz w:val="21"/>
              </w:rPr>
              <w:t>0</w:t>
            </w:r>
          </w:p>
        </w:tc>
        <w:tc>
          <w:tcPr>
            <w:tcW w:w="113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103"/>
              <w:jc w:val="right"/>
              <w:rPr>
                <w:rFonts w:ascii="Arial" w:hAnsi="Arial" w:cs="Arial" w:eastAsia="Arial" w:hint="default"/>
                <w:sz w:val="21"/>
                <w:szCs w:val="21"/>
              </w:rPr>
            </w:pPr>
            <w:r>
              <w:rPr>
                <w:rFonts w:ascii="Arial"/>
                <w:w w:val="100"/>
                <w:sz w:val="21"/>
              </w:rPr>
              <w:t>0</w:t>
            </w:r>
          </w:p>
        </w:tc>
        <w:tc>
          <w:tcPr>
            <w:tcW w:w="11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101"/>
              <w:jc w:val="right"/>
              <w:rPr>
                <w:rFonts w:ascii="Arial" w:hAnsi="Arial" w:cs="Arial" w:eastAsia="Arial" w:hint="default"/>
                <w:sz w:val="21"/>
                <w:szCs w:val="21"/>
              </w:rPr>
            </w:pPr>
            <w:r>
              <w:rPr>
                <w:rFonts w:ascii="Arial"/>
                <w:w w:val="100"/>
                <w:sz w:val="21"/>
              </w:rPr>
              <w:t>0</w:t>
            </w:r>
          </w:p>
        </w:tc>
        <w:tc>
          <w:tcPr>
            <w:tcW w:w="7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99"/>
              <w:jc w:val="right"/>
              <w:rPr>
                <w:rFonts w:ascii="Arial" w:hAnsi="Arial" w:cs="Arial" w:eastAsia="Arial" w:hint="default"/>
                <w:sz w:val="21"/>
                <w:szCs w:val="21"/>
              </w:rPr>
            </w:pPr>
            <w:r>
              <w:rPr>
                <w:rFonts w:ascii="Arial"/>
                <w:spacing w:val="-1"/>
                <w:sz w:val="21"/>
              </w:rPr>
              <w:t>50.99</w:t>
            </w:r>
          </w:p>
        </w:tc>
        <w:tc>
          <w:tcPr>
            <w:tcW w:w="122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77" w:hRule="exact"/>
        </w:trPr>
        <w:tc>
          <w:tcPr>
            <w:tcW w:w="85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4"/>
              <w:ind w:left="107" w:right="-1"/>
              <w:jc w:val="center"/>
              <w:rPr>
                <w:rFonts w:ascii="宋体" w:hAnsi="宋体" w:cs="宋体" w:eastAsia="宋体" w:hint="default"/>
                <w:sz w:val="21"/>
                <w:szCs w:val="21"/>
              </w:rPr>
            </w:pPr>
            <w:r>
              <w:rPr>
                <w:rFonts w:ascii="宋体" w:hAnsi="宋体" w:cs="宋体" w:eastAsia="宋体" w:hint="default"/>
                <w:sz w:val="21"/>
                <w:szCs w:val="21"/>
              </w:rPr>
              <w:t>葛树峰</w:t>
            </w:r>
            <w:r>
              <w:rPr>
                <w:rFonts w:ascii="宋体" w:hAnsi="宋体" w:cs="宋体" w:eastAsia="宋体" w:hint="default"/>
                <w:sz w:val="21"/>
                <w:szCs w:val="21"/>
              </w:rPr>
              <w:t> </w:t>
            </w:r>
          </w:p>
        </w:tc>
        <w:tc>
          <w:tcPr>
            <w:tcW w:w="24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
              <w:ind w:left="105" w:right="0"/>
              <w:jc w:val="left"/>
              <w:rPr>
                <w:rFonts w:ascii="宋体" w:hAnsi="宋体" w:cs="宋体" w:eastAsia="宋体" w:hint="default"/>
                <w:sz w:val="21"/>
                <w:szCs w:val="21"/>
              </w:rPr>
            </w:pPr>
            <w:r>
              <w:rPr>
                <w:rFonts w:ascii="宋体" w:hAnsi="宋体" w:cs="宋体" w:eastAsia="宋体" w:hint="default"/>
                <w:sz w:val="21"/>
                <w:szCs w:val="21"/>
              </w:rPr>
              <w:t>总会计师</w:t>
            </w:r>
            <w:r>
              <w:rPr>
                <w:rFonts w:ascii="宋体" w:hAnsi="宋体" w:cs="宋体" w:eastAsia="宋体" w:hint="default"/>
                <w:sz w:val="21"/>
                <w:szCs w:val="21"/>
              </w:rPr>
              <w:t> </w:t>
            </w:r>
          </w:p>
        </w:tc>
        <w:tc>
          <w:tcPr>
            <w:tcW w:w="7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
              <w:ind w:left="105"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8"/>
              <w:ind w:left="106" w:right="0"/>
              <w:jc w:val="center"/>
              <w:rPr>
                <w:rFonts w:ascii="宋体" w:hAnsi="宋体" w:cs="宋体" w:eastAsia="宋体" w:hint="default"/>
                <w:sz w:val="21"/>
                <w:szCs w:val="21"/>
              </w:rPr>
            </w:pPr>
            <w:r>
              <w:rPr>
                <w:rFonts w:ascii="Arial"/>
                <w:sz w:val="21"/>
              </w:rPr>
              <w:t>37</w:t>
            </w:r>
            <w:r>
              <w:rPr>
                <w:rFonts w:ascii="宋体"/>
                <w:w w:val="100"/>
                <w:sz w:val="21"/>
              </w:rPr>
              <w:t> </w:t>
            </w:r>
          </w:p>
        </w:tc>
        <w:tc>
          <w:tcPr>
            <w:tcW w:w="198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9"/>
              <w:ind w:left="105"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29</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85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
              <w:ind w:left="103" w:right="0"/>
              <w:jc w:val="left"/>
              <w:rPr>
                <w:rFonts w:ascii="宋体" w:hAnsi="宋体" w:cs="宋体" w:eastAsia="宋体" w:hint="default"/>
                <w:sz w:val="21"/>
                <w:szCs w:val="21"/>
              </w:rPr>
            </w:pPr>
            <w:r>
              <w:rPr>
                <w:rFonts w:ascii="宋体"/>
                <w:w w:val="100"/>
                <w:sz w:val="21"/>
              </w:rPr>
              <w:t> </w:t>
            </w:r>
          </w:p>
        </w:tc>
        <w:tc>
          <w:tcPr>
            <w:tcW w:w="11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8"/>
              <w:ind w:right="99"/>
              <w:jc w:val="right"/>
              <w:rPr>
                <w:rFonts w:ascii="Arial" w:hAnsi="Arial" w:cs="Arial" w:eastAsia="Arial" w:hint="default"/>
                <w:sz w:val="21"/>
                <w:szCs w:val="21"/>
              </w:rPr>
            </w:pPr>
            <w:r>
              <w:rPr>
                <w:rFonts w:ascii="Arial"/>
                <w:spacing w:val="-1"/>
                <w:sz w:val="21"/>
              </w:rPr>
              <w:t>1,734</w:t>
            </w:r>
          </w:p>
        </w:tc>
        <w:tc>
          <w:tcPr>
            <w:tcW w:w="113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8"/>
              <w:ind w:right="101"/>
              <w:jc w:val="right"/>
              <w:rPr>
                <w:rFonts w:ascii="Arial" w:hAnsi="Arial" w:cs="Arial" w:eastAsia="Arial" w:hint="default"/>
                <w:sz w:val="21"/>
                <w:szCs w:val="21"/>
              </w:rPr>
            </w:pPr>
            <w:r>
              <w:rPr>
                <w:rFonts w:ascii="Arial"/>
                <w:spacing w:val="-1"/>
                <w:sz w:val="21"/>
              </w:rPr>
              <w:t>1,734</w:t>
            </w:r>
          </w:p>
        </w:tc>
        <w:tc>
          <w:tcPr>
            <w:tcW w:w="11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8"/>
              <w:ind w:right="101"/>
              <w:jc w:val="right"/>
              <w:rPr>
                <w:rFonts w:ascii="Arial" w:hAnsi="Arial" w:cs="Arial" w:eastAsia="Arial" w:hint="default"/>
                <w:sz w:val="21"/>
                <w:szCs w:val="21"/>
              </w:rPr>
            </w:pPr>
            <w:r>
              <w:rPr>
                <w:rFonts w:ascii="Arial"/>
                <w:w w:val="100"/>
                <w:sz w:val="21"/>
              </w:rPr>
              <w:t>0</w:t>
            </w:r>
          </w:p>
        </w:tc>
        <w:tc>
          <w:tcPr>
            <w:tcW w:w="7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8"/>
              <w:ind w:right="99"/>
              <w:jc w:val="right"/>
              <w:rPr>
                <w:rFonts w:ascii="Arial" w:hAnsi="Arial" w:cs="Arial" w:eastAsia="Arial" w:hint="default"/>
                <w:sz w:val="21"/>
                <w:szCs w:val="21"/>
              </w:rPr>
            </w:pPr>
            <w:r>
              <w:rPr>
                <w:rFonts w:ascii="Arial"/>
                <w:spacing w:val="-1"/>
                <w:sz w:val="21"/>
              </w:rPr>
              <w:t>29.62</w:t>
            </w:r>
          </w:p>
        </w:tc>
        <w:tc>
          <w:tcPr>
            <w:tcW w:w="122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74" w:hRule="exact"/>
        </w:trPr>
        <w:tc>
          <w:tcPr>
            <w:tcW w:w="85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1"/>
              <w:ind w:left="107" w:right="-1"/>
              <w:jc w:val="center"/>
              <w:rPr>
                <w:rFonts w:ascii="宋体" w:hAnsi="宋体" w:cs="宋体" w:eastAsia="宋体" w:hint="default"/>
                <w:sz w:val="21"/>
                <w:szCs w:val="21"/>
              </w:rPr>
            </w:pPr>
            <w:r>
              <w:rPr>
                <w:rFonts w:ascii="宋体" w:hAnsi="宋体" w:cs="宋体" w:eastAsia="宋体" w:hint="default"/>
                <w:sz w:val="21"/>
                <w:szCs w:val="21"/>
              </w:rPr>
              <w:t>杨宪君</w:t>
            </w:r>
            <w:r>
              <w:rPr>
                <w:rFonts w:ascii="宋体" w:hAnsi="宋体" w:cs="宋体" w:eastAsia="宋体" w:hint="default"/>
                <w:sz w:val="21"/>
                <w:szCs w:val="21"/>
              </w:rPr>
              <w:t> </w:t>
            </w:r>
          </w:p>
        </w:tc>
        <w:tc>
          <w:tcPr>
            <w:tcW w:w="24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1"/>
              <w:ind w:left="105"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7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left="106" w:right="0"/>
              <w:jc w:val="center"/>
              <w:rPr>
                <w:rFonts w:ascii="宋体" w:hAnsi="宋体" w:cs="宋体" w:eastAsia="宋体" w:hint="default"/>
                <w:sz w:val="21"/>
                <w:szCs w:val="21"/>
              </w:rPr>
            </w:pPr>
            <w:r>
              <w:rPr>
                <w:rFonts w:ascii="Arial"/>
                <w:sz w:val="21"/>
              </w:rPr>
              <w:t>55</w:t>
            </w:r>
            <w:r>
              <w:rPr>
                <w:rFonts w:ascii="宋体"/>
                <w:w w:val="100"/>
                <w:sz w:val="21"/>
              </w:rPr>
              <w:t> </w:t>
            </w:r>
          </w:p>
        </w:tc>
        <w:tc>
          <w:tcPr>
            <w:tcW w:w="198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8"/>
              <w:ind w:left="105"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8</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24</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85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1"/>
              <w:ind w:left="103" w:right="0"/>
              <w:jc w:val="left"/>
              <w:rPr>
                <w:rFonts w:ascii="宋体" w:hAnsi="宋体" w:cs="宋体" w:eastAsia="宋体" w:hint="default"/>
                <w:sz w:val="21"/>
                <w:szCs w:val="21"/>
              </w:rPr>
            </w:pPr>
            <w:r>
              <w:rPr>
                <w:rFonts w:ascii="宋体"/>
                <w:w w:val="100"/>
                <w:sz w:val="21"/>
              </w:rPr>
              <w:t> </w:t>
            </w:r>
          </w:p>
        </w:tc>
        <w:tc>
          <w:tcPr>
            <w:tcW w:w="11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101"/>
              <w:jc w:val="right"/>
              <w:rPr>
                <w:rFonts w:ascii="Arial" w:hAnsi="Arial" w:cs="Arial" w:eastAsia="Arial" w:hint="default"/>
                <w:sz w:val="21"/>
                <w:szCs w:val="21"/>
              </w:rPr>
            </w:pPr>
            <w:r>
              <w:rPr>
                <w:rFonts w:ascii="Arial"/>
                <w:w w:val="100"/>
                <w:sz w:val="21"/>
              </w:rPr>
              <w:t>0</w:t>
            </w:r>
          </w:p>
        </w:tc>
        <w:tc>
          <w:tcPr>
            <w:tcW w:w="113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103"/>
              <w:jc w:val="right"/>
              <w:rPr>
                <w:rFonts w:ascii="Arial" w:hAnsi="Arial" w:cs="Arial" w:eastAsia="Arial" w:hint="default"/>
                <w:sz w:val="21"/>
                <w:szCs w:val="21"/>
              </w:rPr>
            </w:pPr>
            <w:r>
              <w:rPr>
                <w:rFonts w:ascii="Arial"/>
                <w:w w:val="100"/>
                <w:sz w:val="21"/>
              </w:rPr>
              <w:t>0</w:t>
            </w:r>
          </w:p>
        </w:tc>
        <w:tc>
          <w:tcPr>
            <w:tcW w:w="11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101"/>
              <w:jc w:val="right"/>
              <w:rPr>
                <w:rFonts w:ascii="Arial" w:hAnsi="Arial" w:cs="Arial" w:eastAsia="Arial" w:hint="default"/>
                <w:sz w:val="21"/>
                <w:szCs w:val="21"/>
              </w:rPr>
            </w:pPr>
            <w:r>
              <w:rPr>
                <w:rFonts w:ascii="Arial"/>
                <w:w w:val="100"/>
                <w:sz w:val="21"/>
              </w:rPr>
              <w:t>0</w:t>
            </w:r>
          </w:p>
        </w:tc>
        <w:tc>
          <w:tcPr>
            <w:tcW w:w="7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1"/>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99"/>
              <w:jc w:val="right"/>
              <w:rPr>
                <w:rFonts w:ascii="Arial" w:hAnsi="Arial" w:cs="Arial" w:eastAsia="Arial" w:hint="default"/>
                <w:sz w:val="21"/>
                <w:szCs w:val="21"/>
              </w:rPr>
            </w:pPr>
            <w:r>
              <w:rPr>
                <w:rFonts w:ascii="Arial"/>
                <w:spacing w:val="-1"/>
                <w:sz w:val="21"/>
              </w:rPr>
              <w:t>17.68</w:t>
            </w:r>
          </w:p>
        </w:tc>
        <w:tc>
          <w:tcPr>
            <w:tcW w:w="122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65" w:hRule="exact"/>
        </w:trPr>
        <w:tc>
          <w:tcPr>
            <w:tcW w:w="850"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4"/>
              <w:ind w:left="11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10"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
              <w:ind w:left="110" w:right="0"/>
              <w:jc w:val="center"/>
              <w:rPr>
                <w:rFonts w:ascii="宋体" w:hAnsi="宋体" w:cs="宋体" w:eastAsia="宋体" w:hint="default"/>
                <w:sz w:val="21"/>
                <w:szCs w:val="21"/>
              </w:rPr>
            </w:pPr>
            <w:r>
              <w:rPr>
                <w:rFonts w:ascii="宋体"/>
                <w:sz w:val="21"/>
              </w:rPr>
              <w:t>/ </w:t>
            </w:r>
          </w:p>
        </w:tc>
        <w:tc>
          <w:tcPr>
            <w:tcW w:w="710"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
              <w:ind w:left="105" w:right="0"/>
              <w:jc w:val="center"/>
              <w:rPr>
                <w:rFonts w:ascii="宋体" w:hAnsi="宋体" w:cs="宋体" w:eastAsia="宋体" w:hint="default"/>
                <w:sz w:val="21"/>
                <w:szCs w:val="21"/>
              </w:rPr>
            </w:pPr>
            <w:r>
              <w:rPr>
                <w:rFonts w:ascii="宋体"/>
                <w:sz w:val="21"/>
              </w:rPr>
              <w:t>/ </w:t>
            </w:r>
          </w:p>
        </w:tc>
        <w:tc>
          <w:tcPr>
            <w:tcW w:w="709"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
              <w:ind w:left="103" w:right="0"/>
              <w:jc w:val="center"/>
              <w:rPr>
                <w:rFonts w:ascii="宋体" w:hAnsi="宋体" w:cs="宋体" w:eastAsia="宋体" w:hint="default"/>
                <w:sz w:val="21"/>
                <w:szCs w:val="21"/>
              </w:rPr>
            </w:pPr>
            <w:r>
              <w:rPr>
                <w:rFonts w:ascii="宋体"/>
                <w:sz w:val="21"/>
              </w:rPr>
              <w:t>/ </w:t>
            </w:r>
          </w:p>
        </w:tc>
        <w:tc>
          <w:tcPr>
            <w:tcW w:w="1985"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
              <w:ind w:left="107" w:right="0"/>
              <w:jc w:val="center"/>
              <w:rPr>
                <w:rFonts w:ascii="宋体" w:hAnsi="宋体" w:cs="宋体" w:eastAsia="宋体" w:hint="default"/>
                <w:sz w:val="21"/>
                <w:szCs w:val="21"/>
              </w:rPr>
            </w:pPr>
            <w:r>
              <w:rPr>
                <w:rFonts w:ascii="宋体"/>
                <w:sz w:val="21"/>
              </w:rPr>
              <w:t>/ </w:t>
            </w:r>
          </w:p>
        </w:tc>
        <w:tc>
          <w:tcPr>
            <w:tcW w:w="852"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
              <w:ind w:left="367" w:right="0"/>
              <w:jc w:val="left"/>
              <w:rPr>
                <w:rFonts w:ascii="宋体" w:hAnsi="宋体" w:cs="宋体" w:eastAsia="宋体" w:hint="default"/>
                <w:sz w:val="21"/>
                <w:szCs w:val="21"/>
              </w:rPr>
            </w:pPr>
            <w:r>
              <w:rPr>
                <w:rFonts w:ascii="宋体"/>
                <w:sz w:val="21"/>
              </w:rPr>
              <w:t>/ </w:t>
            </w:r>
          </w:p>
        </w:tc>
        <w:tc>
          <w:tcPr>
            <w:tcW w:w="1133"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85,420</w:t>
            </w:r>
          </w:p>
        </w:tc>
        <w:tc>
          <w:tcPr>
            <w:tcW w:w="1135"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85,420</w:t>
            </w:r>
          </w:p>
        </w:tc>
        <w:tc>
          <w:tcPr>
            <w:tcW w:w="1133"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w w:val="100"/>
                <w:sz w:val="21"/>
              </w:rPr>
              <w:t>0</w:t>
            </w:r>
          </w:p>
        </w:tc>
        <w:tc>
          <w:tcPr>
            <w:tcW w:w="709"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
              <w:ind w:left="295" w:right="0"/>
              <w:jc w:val="left"/>
              <w:rPr>
                <w:rFonts w:ascii="宋体" w:hAnsi="宋体" w:cs="宋体" w:eastAsia="宋体" w:hint="default"/>
                <w:sz w:val="21"/>
                <w:szCs w:val="21"/>
              </w:rPr>
            </w:pPr>
            <w:r>
              <w:rPr>
                <w:rFonts w:ascii="宋体"/>
                <w:sz w:val="21"/>
              </w:rPr>
              <w:t>/ </w:t>
            </w:r>
          </w:p>
        </w:tc>
        <w:tc>
          <w:tcPr>
            <w:tcW w:w="1418"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467.43</w:t>
            </w:r>
          </w:p>
        </w:tc>
        <w:tc>
          <w:tcPr>
            <w:tcW w:w="1229"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
              <w:ind w:left="100" w:right="0"/>
              <w:jc w:val="center"/>
              <w:rPr>
                <w:rFonts w:ascii="宋体" w:hAnsi="宋体" w:cs="宋体" w:eastAsia="宋体" w:hint="default"/>
                <w:sz w:val="21"/>
                <w:szCs w:val="21"/>
              </w:rPr>
            </w:pPr>
            <w:r>
              <w:rPr>
                <w:rFonts w:ascii="宋体"/>
                <w:sz w:val="21"/>
              </w:rPr>
              <w:t>/ </w:t>
            </w:r>
          </w:p>
        </w:tc>
      </w:tr>
    </w:tbl>
    <w:p>
      <w:pPr>
        <w:spacing w:line="240" w:lineRule="auto" w:before="11"/>
        <w:rPr>
          <w:rFonts w:ascii="宋体" w:hAnsi="宋体" w:cs="宋体" w:eastAsia="宋体" w:hint="default"/>
          <w:sz w:val="2"/>
          <w:szCs w:val="2"/>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714.6pt;height:1pt;mso-position-horizontal-relative:char;mso-position-vertical-relative:line" coordorigin="0,0" coordsize="14292,20">
            <v:group style="position:absolute;left:10;top:10;width:846;height:2" coordorigin="10,10" coordsize="846,2">
              <v:shape style="position:absolute;left:10;top:10;width:846;height:2" coordorigin="10,10" coordsize="846,0" path="m10,10l855,10e" filled="false" stroked="true" strokeweight=".95999pt" strokecolor="#41b7ee">
                <v:path arrowok="t"/>
              </v:shape>
            </v:group>
            <v:group style="position:absolute;left:855;top:10;width:58;height:2" coordorigin="855,10" coordsize="58,2">
              <v:shape style="position:absolute;left:855;top:10;width:58;height:2" coordorigin="855,10" coordsize="58,0" path="m855,10l912,10e" filled="false" stroked="true" strokeweight=".95999pt" strokecolor="#41b7ee">
                <v:path arrowok="t"/>
              </v:shape>
            </v:group>
            <v:group style="position:absolute;left:912;top:10;width:2352;height:2" coordorigin="912,10" coordsize="2352,2">
              <v:shape style="position:absolute;left:912;top:10;width:2352;height:2" coordorigin="912,10" coordsize="2352,0" path="m912,10l3264,10e" filled="false" stroked="true" strokeweight=".95999pt" strokecolor="#41b7ee">
                <v:path arrowok="t"/>
              </v:shape>
            </v:group>
            <v:group style="position:absolute;left:3264;top:10;width:58;height:2" coordorigin="3264,10" coordsize="58,2">
              <v:shape style="position:absolute;left:3264;top:10;width:58;height:2" coordorigin="3264,10" coordsize="58,0" path="m3264,10l3322,10e" filled="false" stroked="true" strokeweight=".95999pt" strokecolor="#41b7ee">
                <v:path arrowok="t"/>
              </v:shape>
            </v:group>
            <v:group style="position:absolute;left:3322;top:10;width:653;height:2" coordorigin="3322,10" coordsize="653,2">
              <v:shape style="position:absolute;left:3322;top:10;width:653;height:2" coordorigin="3322,10" coordsize="653,0" path="m3322,10l3975,10e" filled="false" stroked="true" strokeweight=".95999pt" strokecolor="#41b7ee">
                <v:path arrowok="t"/>
              </v:shape>
            </v:group>
            <v:group style="position:absolute;left:3975;top:10;width:59;height:2" coordorigin="3975,10" coordsize="59,2">
              <v:shape style="position:absolute;left:3975;top:10;width:59;height:2" coordorigin="3975,10" coordsize="59,0" path="m3975,10l4033,10e" filled="false" stroked="true" strokeweight=".95999pt" strokecolor="#41b7ee">
                <v:path arrowok="t"/>
              </v:shape>
            </v:group>
            <v:group style="position:absolute;left:4033;top:10;width:651;height:2" coordorigin="4033,10" coordsize="651,2">
              <v:shape style="position:absolute;left:4033;top:10;width:651;height:2" coordorigin="4033,10" coordsize="651,0" path="m4033,10l4683,10e" filled="false" stroked="true" strokeweight=".95999pt" strokecolor="#41b7ee">
                <v:path arrowok="t"/>
              </v:shape>
            </v:group>
            <v:group style="position:absolute;left:4683;top:10;width:58;height:2" coordorigin="4683,10" coordsize="58,2">
              <v:shape style="position:absolute;left:4683;top:10;width:58;height:2" coordorigin="4683,10" coordsize="58,0" path="m4683,10l4741,10e" filled="false" stroked="true" strokeweight=".95999pt" strokecolor="#41b7ee">
                <v:path arrowok="t"/>
              </v:shape>
            </v:group>
            <v:group style="position:absolute;left:4741;top:10;width:1928;height:2" coordorigin="4741,10" coordsize="1928,2">
              <v:shape style="position:absolute;left:4741;top:10;width:1928;height:2" coordorigin="4741,10" coordsize="1928,0" path="m4741,10l6668,10e" filled="false" stroked="true" strokeweight=".95999pt" strokecolor="#41b7ee">
                <v:path arrowok="t"/>
              </v:shape>
            </v:group>
            <v:group style="position:absolute;left:6668;top:10;width:58;height:2" coordorigin="6668,10" coordsize="58,2">
              <v:shape style="position:absolute;left:6668;top:10;width:58;height:2" coordorigin="6668,10" coordsize="58,0" path="m6668,10l6726,10e" filled="false" stroked="true" strokeweight=".95999pt" strokecolor="#41b7ee">
                <v:path arrowok="t"/>
              </v:shape>
            </v:group>
            <v:group style="position:absolute;left:6726;top:10;width:795;height:2" coordorigin="6726,10" coordsize="795,2">
              <v:shape style="position:absolute;left:6726;top:10;width:795;height:2" coordorigin="6726,10" coordsize="795,0" path="m6726,10l7521,10e" filled="false" stroked="true" strokeweight=".95999pt" strokecolor="#41b7ee">
                <v:path arrowok="t"/>
              </v:shape>
            </v:group>
            <v:group style="position:absolute;left:7521;top:10;width:58;height:2" coordorigin="7521,10" coordsize="58,2">
              <v:shape style="position:absolute;left:7521;top:10;width:58;height:2" coordorigin="7521,10" coordsize="58,0" path="m7521,10l7578,10e" filled="false" stroked="true" strokeweight=".95999pt" strokecolor="#41b7ee">
                <v:path arrowok="t"/>
              </v:shape>
            </v:group>
            <v:group style="position:absolute;left:7578;top:10;width:1076;height:2" coordorigin="7578,10" coordsize="1076,2">
              <v:shape style="position:absolute;left:7578;top:10;width:1076;height:2" coordorigin="7578,10" coordsize="1076,0" path="m7578,10l8653,10e" filled="false" stroked="true" strokeweight=".95999pt" strokecolor="#41b7ee">
                <v:path arrowok="t"/>
              </v:shape>
            </v:group>
            <v:group style="position:absolute;left:8653;top:10;width:58;height:2" coordorigin="8653,10" coordsize="58,2">
              <v:shape style="position:absolute;left:8653;top:10;width:58;height:2" coordorigin="8653,10" coordsize="58,0" path="m8653,10l8711,10e" filled="false" stroked="true" strokeweight=".95999pt" strokecolor="#41b7ee">
                <v:path arrowok="t"/>
              </v:shape>
            </v:group>
            <v:group style="position:absolute;left:8711;top:10;width:1078;height:2" coordorigin="8711,10" coordsize="1078,2">
              <v:shape style="position:absolute;left:8711;top:10;width:1078;height:2" coordorigin="8711,10" coordsize="1078,0" path="m8711,10l9789,10e" filled="false" stroked="true" strokeweight=".95999pt" strokecolor="#41b7ee">
                <v:path arrowok="t"/>
              </v:shape>
            </v:group>
            <v:group style="position:absolute;left:9789;top:10;width:58;height:2" coordorigin="9789,10" coordsize="58,2">
              <v:shape style="position:absolute;left:9789;top:10;width:58;height:2" coordorigin="9789,10" coordsize="58,0" path="m9789,10l9846,10e" filled="false" stroked="true" strokeweight=".95999pt" strokecolor="#41b7ee">
                <v:path arrowok="t"/>
              </v:shape>
            </v:group>
            <v:group style="position:absolute;left:9846;top:10;width:1076;height:2" coordorigin="9846,10" coordsize="1076,2">
              <v:shape style="position:absolute;left:9846;top:10;width:1076;height:2" coordorigin="9846,10" coordsize="1076,0" path="m9846,10l10921,10e" filled="false" stroked="true" strokeweight=".95999pt" strokecolor="#41b7ee">
                <v:path arrowok="t"/>
              </v:shape>
            </v:group>
            <v:group style="position:absolute;left:10921;top:10;width:58;height:2" coordorigin="10921,10" coordsize="58,2">
              <v:shape style="position:absolute;left:10921;top:10;width:58;height:2" coordorigin="10921,10" coordsize="58,0" path="m10921,10l10979,10e" filled="false" stroked="true" strokeweight=".95999pt" strokecolor="#41b7ee">
                <v:path arrowok="t"/>
              </v:shape>
            </v:group>
            <v:group style="position:absolute;left:10979;top:10;width:651;height:2" coordorigin="10979,10" coordsize="651,2">
              <v:shape style="position:absolute;left:10979;top:10;width:651;height:2" coordorigin="10979,10" coordsize="651,0" path="m10979,10l11630,10e" filled="false" stroked="true" strokeweight=".95999pt" strokecolor="#41b7ee">
                <v:path arrowok="t"/>
              </v:shape>
            </v:group>
            <v:group style="position:absolute;left:11630;top:10;width:58;height:2" coordorigin="11630,10" coordsize="58,2">
              <v:shape style="position:absolute;left:11630;top:10;width:58;height:2" coordorigin="11630,10" coordsize="58,0" path="m11630,10l11688,10e" filled="false" stroked="true" strokeweight=".95999pt" strokecolor="#41b7ee">
                <v:path arrowok="t"/>
              </v:shape>
            </v:group>
            <v:group style="position:absolute;left:11688;top:10;width:1361;height:2" coordorigin="11688,10" coordsize="1361,2">
              <v:shape style="position:absolute;left:11688;top:10;width:1361;height:2" coordorigin="11688,10" coordsize="1361,0" path="m11688,10l13048,10e" filled="false" stroked="true" strokeweight=".95999pt" strokecolor="#41b7ee">
                <v:path arrowok="t"/>
              </v:shape>
            </v:group>
            <v:group style="position:absolute;left:13048;top:10;width:58;height:2" coordorigin="13048,10" coordsize="58,2">
              <v:shape style="position:absolute;left:13048;top:10;width:58;height:2" coordorigin="13048,10" coordsize="58,0" path="m13048,10l13106,10e" filled="false" stroked="true" strokeweight=".95999pt" strokecolor="#41b7ee">
                <v:path arrowok="t"/>
              </v:shape>
            </v:group>
            <v:group style="position:absolute;left:13106;top:10;width:1176;height:2" coordorigin="13106,10" coordsize="1176,2">
              <v:shape style="position:absolute;left:13106;top:10;width:1176;height:2" coordorigin="13106,10" coordsize="1176,0" path="m13106,10l14282,10e" filled="false" stroked="true" strokeweight=".95999pt" strokecolor="#41b7ee">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6840" w:h="11910" w:orient="landscape"/>
          <w:pgMar w:top="1360" w:bottom="1380" w:left="1120" w:right="1200"/>
        </w:sectPr>
      </w:pPr>
    </w:p>
    <w:p>
      <w:pPr>
        <w:spacing w:line="240" w:lineRule="auto" w:before="12"/>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100"/>
        <w:gridCol w:w="13067"/>
      </w:tblGrid>
      <w:tr>
        <w:trPr>
          <w:trHeight w:val="391" w:hRule="exact"/>
        </w:trPr>
        <w:tc>
          <w:tcPr>
            <w:tcW w:w="1100" w:type="dxa"/>
            <w:tcBorders>
              <w:top w:val="single" w:sz="29" w:space="0" w:color="41B7EE"/>
              <w:left w:val="nil" w:sz="6" w:space="0" w:color="auto"/>
              <w:bottom w:val="single" w:sz="4" w:space="0" w:color="41B7EE"/>
              <w:right w:val="single" w:sz="4" w:space="0" w:color="41B7EE"/>
            </w:tcBorders>
          </w:tcPr>
          <w:p>
            <w:pPr>
              <w:pStyle w:val="TableParagraph"/>
              <w:spacing w:line="240" w:lineRule="auto" w:before="6"/>
              <w:ind w:right="227"/>
              <w:jc w:val="right"/>
              <w:rPr>
                <w:rFonts w:ascii="宋体" w:hAnsi="宋体" w:cs="宋体" w:eastAsia="宋体" w:hint="default"/>
                <w:sz w:val="21"/>
                <w:szCs w:val="21"/>
              </w:rPr>
            </w:pPr>
            <w:r>
              <w:rPr>
                <w:rFonts w:ascii="宋体" w:hAnsi="宋体" w:cs="宋体" w:eastAsia="宋体" w:hint="default"/>
                <w:spacing w:val="-1"/>
                <w:sz w:val="21"/>
                <w:szCs w:val="21"/>
              </w:rPr>
              <w:t>姓名</w:t>
            </w:r>
            <w:r>
              <w:rPr>
                <w:rFonts w:ascii="宋体" w:hAnsi="宋体" w:cs="宋体" w:eastAsia="宋体" w:hint="default"/>
                <w:sz w:val="21"/>
                <w:szCs w:val="21"/>
              </w:rPr>
              <w:t> </w:t>
            </w:r>
          </w:p>
        </w:tc>
        <w:tc>
          <w:tcPr>
            <w:tcW w:w="13067" w:type="dxa"/>
            <w:tcBorders>
              <w:top w:val="single" w:sz="29" w:space="0" w:color="41B7EE"/>
              <w:left w:val="single" w:sz="4" w:space="0" w:color="41B7EE"/>
              <w:bottom w:val="single" w:sz="4" w:space="0" w:color="41B7EE"/>
              <w:right w:val="nil" w:sz="6" w:space="0" w:color="auto"/>
            </w:tcBorders>
          </w:tcPr>
          <w:p>
            <w:pPr>
              <w:pStyle w:val="TableParagraph"/>
              <w:spacing w:line="240" w:lineRule="auto" w:before="6"/>
              <w:ind w:left="26" w:right="0"/>
              <w:jc w:val="center"/>
              <w:rPr>
                <w:rFonts w:ascii="宋体" w:hAnsi="宋体" w:cs="宋体" w:eastAsia="宋体" w:hint="default"/>
                <w:sz w:val="21"/>
                <w:szCs w:val="21"/>
              </w:rPr>
            </w:pPr>
            <w:r>
              <w:rPr>
                <w:rFonts w:ascii="宋体" w:hAnsi="宋体" w:cs="宋体" w:eastAsia="宋体" w:hint="default"/>
                <w:sz w:val="21"/>
                <w:szCs w:val="21"/>
              </w:rPr>
              <w:t>主要工作经历</w:t>
            </w:r>
            <w:r>
              <w:rPr>
                <w:rFonts w:ascii="宋体" w:hAnsi="宋体" w:cs="宋体" w:eastAsia="宋体" w:hint="default"/>
                <w:sz w:val="21"/>
                <w:szCs w:val="21"/>
              </w:rPr>
              <w:t> </w:t>
            </w:r>
          </w:p>
        </w:tc>
      </w:tr>
      <w:tr>
        <w:trPr>
          <w:trHeight w:val="355" w:hRule="exact"/>
        </w:trPr>
        <w:tc>
          <w:tcPr>
            <w:tcW w:w="110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right="247"/>
              <w:jc w:val="right"/>
              <w:rPr>
                <w:rFonts w:ascii="宋体" w:hAnsi="宋体" w:cs="宋体" w:eastAsia="宋体" w:hint="default"/>
                <w:sz w:val="21"/>
                <w:szCs w:val="21"/>
              </w:rPr>
            </w:pPr>
            <w:r>
              <w:rPr>
                <w:rFonts w:ascii="宋体" w:hAnsi="宋体" w:cs="宋体" w:eastAsia="宋体" w:hint="default"/>
                <w:spacing w:val="-1"/>
                <w:sz w:val="21"/>
                <w:szCs w:val="21"/>
              </w:rPr>
              <w:t>刘长友</w:t>
            </w:r>
            <w:r>
              <w:rPr>
                <w:rFonts w:ascii="宋体" w:hAnsi="宋体" w:cs="宋体" w:eastAsia="宋体" w:hint="default"/>
                <w:sz w:val="21"/>
                <w:szCs w:val="21"/>
              </w:rPr>
              <w:t> </w:t>
            </w:r>
          </w:p>
        </w:tc>
        <w:tc>
          <w:tcPr>
            <w:tcW w:w="1306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5" w:right="0"/>
              <w:jc w:val="left"/>
              <w:rPr>
                <w:rFonts w:ascii="宋体" w:hAnsi="宋体" w:cs="宋体" w:eastAsia="宋体" w:hint="default"/>
                <w:sz w:val="21"/>
                <w:szCs w:val="21"/>
              </w:rPr>
            </w:pPr>
            <w:r>
              <w:rPr>
                <w:rFonts w:ascii="宋体" w:hAnsi="宋体" w:cs="宋体" w:eastAsia="宋体" w:hint="default"/>
                <w:sz w:val="21"/>
                <w:szCs w:val="21"/>
              </w:rPr>
              <w:t>集团总公司宝泉岭分公司副总经理、党委委员、总经理、党委副书记，现任本公司董事长、党委书记。</w:t>
            </w:r>
            <w:r>
              <w:rPr>
                <w:rFonts w:ascii="宋体" w:hAnsi="宋体" w:cs="宋体" w:eastAsia="宋体" w:hint="default"/>
                <w:sz w:val="21"/>
                <w:szCs w:val="21"/>
              </w:rPr>
              <w:t> </w:t>
            </w:r>
          </w:p>
        </w:tc>
      </w:tr>
      <w:tr>
        <w:trPr>
          <w:trHeight w:val="358" w:hRule="exact"/>
        </w:trPr>
        <w:tc>
          <w:tcPr>
            <w:tcW w:w="110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right="247"/>
              <w:jc w:val="right"/>
              <w:rPr>
                <w:rFonts w:ascii="宋体" w:hAnsi="宋体" w:cs="宋体" w:eastAsia="宋体" w:hint="default"/>
                <w:sz w:val="21"/>
                <w:szCs w:val="21"/>
              </w:rPr>
            </w:pPr>
            <w:r>
              <w:rPr>
                <w:rFonts w:ascii="宋体" w:hAnsi="宋体" w:cs="宋体" w:eastAsia="宋体" w:hint="default"/>
                <w:spacing w:val="-1"/>
                <w:sz w:val="21"/>
                <w:szCs w:val="21"/>
              </w:rPr>
              <w:t>贺天元</w:t>
            </w:r>
            <w:r>
              <w:rPr>
                <w:rFonts w:ascii="宋体" w:hAnsi="宋体" w:cs="宋体" w:eastAsia="宋体" w:hint="default"/>
                <w:sz w:val="21"/>
                <w:szCs w:val="21"/>
              </w:rPr>
              <w:t> </w:t>
            </w:r>
          </w:p>
        </w:tc>
        <w:tc>
          <w:tcPr>
            <w:tcW w:w="1306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集团总公司哈尔滨分公司总经理、党委副书记，现任本公司董事、总经理。</w:t>
            </w:r>
            <w:r>
              <w:rPr>
                <w:rFonts w:ascii="宋体" w:hAnsi="宋体" w:cs="宋体" w:eastAsia="宋体" w:hint="default"/>
                <w:sz w:val="21"/>
                <w:szCs w:val="21"/>
              </w:rPr>
              <w:t> </w:t>
            </w:r>
          </w:p>
        </w:tc>
      </w:tr>
      <w:tr>
        <w:trPr>
          <w:trHeight w:val="358" w:hRule="exact"/>
        </w:trPr>
        <w:tc>
          <w:tcPr>
            <w:tcW w:w="110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right="247"/>
              <w:jc w:val="right"/>
              <w:rPr>
                <w:rFonts w:ascii="宋体" w:hAnsi="宋体" w:cs="宋体" w:eastAsia="宋体" w:hint="default"/>
                <w:sz w:val="21"/>
                <w:szCs w:val="21"/>
              </w:rPr>
            </w:pPr>
            <w:r>
              <w:rPr>
                <w:rFonts w:ascii="宋体" w:hAnsi="宋体" w:cs="宋体" w:eastAsia="宋体" w:hint="default"/>
                <w:spacing w:val="-1"/>
                <w:sz w:val="21"/>
                <w:szCs w:val="21"/>
              </w:rPr>
              <w:t>宋颀年</w:t>
            </w:r>
            <w:r>
              <w:rPr>
                <w:rFonts w:ascii="宋体" w:hAnsi="宋体" w:cs="宋体" w:eastAsia="宋体" w:hint="default"/>
                <w:sz w:val="21"/>
                <w:szCs w:val="21"/>
              </w:rPr>
              <w:t> </w:t>
            </w:r>
          </w:p>
        </w:tc>
        <w:tc>
          <w:tcPr>
            <w:tcW w:w="1306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现任集团总公司资产经营部部长。</w:t>
            </w:r>
            <w:r>
              <w:rPr>
                <w:rFonts w:ascii="宋体" w:hAnsi="宋体" w:cs="宋体" w:eastAsia="宋体" w:hint="default"/>
                <w:sz w:val="21"/>
                <w:szCs w:val="21"/>
              </w:rPr>
              <w:t> </w:t>
            </w:r>
          </w:p>
        </w:tc>
      </w:tr>
      <w:tr>
        <w:trPr>
          <w:trHeight w:val="358" w:hRule="exact"/>
        </w:trPr>
        <w:tc>
          <w:tcPr>
            <w:tcW w:w="110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right="247"/>
              <w:jc w:val="right"/>
              <w:rPr>
                <w:rFonts w:ascii="宋体" w:hAnsi="宋体" w:cs="宋体" w:eastAsia="宋体" w:hint="default"/>
                <w:sz w:val="21"/>
                <w:szCs w:val="21"/>
              </w:rPr>
            </w:pPr>
            <w:r>
              <w:rPr>
                <w:rFonts w:ascii="宋体" w:hAnsi="宋体" w:cs="宋体" w:eastAsia="宋体" w:hint="default"/>
                <w:spacing w:val="-1"/>
                <w:sz w:val="21"/>
                <w:szCs w:val="21"/>
              </w:rPr>
              <w:t>叶凤仪</w:t>
            </w:r>
            <w:r>
              <w:rPr>
                <w:rFonts w:ascii="宋体" w:hAnsi="宋体" w:cs="宋体" w:eastAsia="宋体" w:hint="default"/>
                <w:sz w:val="21"/>
                <w:szCs w:val="21"/>
              </w:rPr>
              <w:t> </w:t>
            </w:r>
          </w:p>
        </w:tc>
        <w:tc>
          <w:tcPr>
            <w:tcW w:w="1306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宝泉岭农业分公司总经理，现任公司董事、党委副书记、纪委书记、工会主席。</w:t>
            </w:r>
            <w:r>
              <w:rPr>
                <w:rFonts w:ascii="宋体" w:hAnsi="宋体" w:cs="宋体" w:eastAsia="宋体" w:hint="default"/>
                <w:sz w:val="21"/>
                <w:szCs w:val="21"/>
              </w:rPr>
              <w:t> </w:t>
            </w:r>
          </w:p>
        </w:tc>
      </w:tr>
      <w:tr>
        <w:trPr>
          <w:trHeight w:val="355" w:hRule="exact"/>
        </w:trPr>
        <w:tc>
          <w:tcPr>
            <w:tcW w:w="110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right="247"/>
              <w:jc w:val="right"/>
              <w:rPr>
                <w:rFonts w:ascii="宋体" w:hAnsi="宋体" w:cs="宋体" w:eastAsia="宋体" w:hint="default"/>
                <w:sz w:val="21"/>
                <w:szCs w:val="21"/>
              </w:rPr>
            </w:pPr>
            <w:r>
              <w:rPr>
                <w:rFonts w:ascii="宋体" w:hAnsi="宋体" w:cs="宋体" w:eastAsia="宋体" w:hint="default"/>
                <w:spacing w:val="-1"/>
                <w:sz w:val="21"/>
                <w:szCs w:val="21"/>
              </w:rPr>
              <w:t>杨占海</w:t>
            </w:r>
            <w:r>
              <w:rPr>
                <w:rFonts w:ascii="宋体" w:hAnsi="宋体" w:cs="宋体" w:eastAsia="宋体" w:hint="default"/>
                <w:sz w:val="21"/>
                <w:szCs w:val="21"/>
              </w:rPr>
              <w:t> </w:t>
            </w:r>
          </w:p>
        </w:tc>
        <w:tc>
          <w:tcPr>
            <w:tcW w:w="1306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5" w:right="0"/>
              <w:jc w:val="left"/>
              <w:rPr>
                <w:rFonts w:ascii="宋体" w:hAnsi="宋体" w:cs="宋体" w:eastAsia="宋体" w:hint="default"/>
                <w:sz w:val="21"/>
                <w:szCs w:val="21"/>
              </w:rPr>
            </w:pPr>
            <w:r>
              <w:rPr>
                <w:rFonts w:ascii="宋体" w:hAnsi="宋体" w:cs="宋体" w:eastAsia="宋体" w:hint="default"/>
                <w:sz w:val="21"/>
                <w:szCs w:val="21"/>
              </w:rPr>
              <w:t>宝泉岭农业分公司总经理，现任公司董事、党委委员、副总经理。</w:t>
            </w:r>
            <w:r>
              <w:rPr>
                <w:rFonts w:ascii="宋体" w:hAnsi="宋体" w:cs="宋体" w:eastAsia="宋体" w:hint="default"/>
                <w:sz w:val="21"/>
                <w:szCs w:val="21"/>
              </w:rPr>
              <w:t> </w:t>
            </w:r>
          </w:p>
        </w:tc>
      </w:tr>
      <w:tr>
        <w:trPr>
          <w:trHeight w:val="358" w:hRule="exact"/>
        </w:trPr>
        <w:tc>
          <w:tcPr>
            <w:tcW w:w="110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right="247"/>
              <w:jc w:val="right"/>
              <w:rPr>
                <w:rFonts w:ascii="宋体" w:hAnsi="宋体" w:cs="宋体" w:eastAsia="宋体" w:hint="default"/>
                <w:sz w:val="21"/>
                <w:szCs w:val="21"/>
              </w:rPr>
            </w:pPr>
            <w:r>
              <w:rPr>
                <w:rFonts w:ascii="宋体" w:hAnsi="宋体" w:cs="宋体" w:eastAsia="宋体" w:hint="default"/>
                <w:spacing w:val="-1"/>
                <w:sz w:val="21"/>
                <w:szCs w:val="21"/>
              </w:rPr>
              <w:t>康学军</w:t>
            </w:r>
            <w:r>
              <w:rPr>
                <w:rFonts w:ascii="宋体" w:hAnsi="宋体" w:cs="宋体" w:eastAsia="宋体" w:hint="default"/>
                <w:sz w:val="21"/>
                <w:szCs w:val="21"/>
              </w:rPr>
              <w:t> </w:t>
            </w:r>
          </w:p>
        </w:tc>
        <w:tc>
          <w:tcPr>
            <w:tcW w:w="1306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w w:val="100"/>
                <w:sz w:val="21"/>
                <w:szCs w:val="21"/>
              </w:rPr>
              <w:t>历任</w:t>
            </w:r>
            <w:r>
              <w:rPr>
                <w:rFonts w:ascii="宋体" w:hAnsi="宋体" w:cs="宋体" w:eastAsia="宋体" w:hint="default"/>
                <w:spacing w:val="-3"/>
                <w:w w:val="100"/>
                <w:sz w:val="21"/>
                <w:szCs w:val="21"/>
              </w:rPr>
              <w:t>财</w:t>
            </w:r>
            <w:r>
              <w:rPr>
                <w:rFonts w:ascii="宋体" w:hAnsi="宋体" w:cs="宋体" w:eastAsia="宋体" w:hint="default"/>
                <w:w w:val="100"/>
                <w:sz w:val="21"/>
                <w:szCs w:val="21"/>
              </w:rPr>
              <w:t>政</w:t>
            </w:r>
            <w:r>
              <w:rPr>
                <w:rFonts w:ascii="宋体" w:hAnsi="宋体" w:cs="宋体" w:eastAsia="宋体" w:hint="default"/>
                <w:spacing w:val="-3"/>
                <w:w w:val="100"/>
                <w:sz w:val="21"/>
                <w:szCs w:val="21"/>
              </w:rPr>
              <w:t>部</w:t>
            </w:r>
            <w:r>
              <w:rPr>
                <w:rFonts w:ascii="宋体" w:hAnsi="宋体" w:cs="宋体" w:eastAsia="宋体" w:hint="default"/>
                <w:w w:val="100"/>
                <w:sz w:val="21"/>
                <w:szCs w:val="21"/>
              </w:rPr>
              <w:t>综</w:t>
            </w:r>
            <w:r>
              <w:rPr>
                <w:rFonts w:ascii="宋体" w:hAnsi="宋体" w:cs="宋体" w:eastAsia="宋体" w:hint="default"/>
                <w:spacing w:val="-3"/>
                <w:w w:val="100"/>
                <w:sz w:val="21"/>
                <w:szCs w:val="21"/>
              </w:rPr>
              <w:t>合</w:t>
            </w:r>
            <w:r>
              <w:rPr>
                <w:rFonts w:ascii="宋体" w:hAnsi="宋体" w:cs="宋体" w:eastAsia="宋体" w:hint="default"/>
                <w:w w:val="100"/>
                <w:sz w:val="21"/>
                <w:szCs w:val="21"/>
              </w:rPr>
              <w:t>司</w:t>
            </w:r>
            <w:r>
              <w:rPr>
                <w:rFonts w:ascii="宋体" w:hAnsi="宋体" w:cs="宋体" w:eastAsia="宋体" w:hint="default"/>
                <w:spacing w:val="-3"/>
                <w:w w:val="100"/>
                <w:sz w:val="21"/>
                <w:szCs w:val="21"/>
              </w:rPr>
              <w:t>统</w:t>
            </w:r>
            <w:r>
              <w:rPr>
                <w:rFonts w:ascii="宋体" w:hAnsi="宋体" w:cs="宋体" w:eastAsia="宋体" w:hint="default"/>
                <w:w w:val="100"/>
                <w:sz w:val="21"/>
                <w:szCs w:val="21"/>
              </w:rPr>
              <w:t>计</w:t>
            </w:r>
            <w:r>
              <w:rPr>
                <w:rFonts w:ascii="宋体" w:hAnsi="宋体" w:cs="宋体" w:eastAsia="宋体" w:hint="default"/>
                <w:spacing w:val="-3"/>
                <w:w w:val="100"/>
                <w:sz w:val="21"/>
                <w:szCs w:val="21"/>
              </w:rPr>
              <w:t>研</w:t>
            </w:r>
            <w:r>
              <w:rPr>
                <w:rFonts w:ascii="宋体" w:hAnsi="宋体" w:cs="宋体" w:eastAsia="宋体" w:hint="default"/>
                <w:w w:val="100"/>
                <w:sz w:val="21"/>
                <w:szCs w:val="21"/>
              </w:rPr>
              <w:t>究处</w:t>
            </w:r>
            <w:r>
              <w:rPr>
                <w:rFonts w:ascii="宋体" w:hAnsi="宋体" w:cs="宋体" w:eastAsia="宋体" w:hint="default"/>
                <w:spacing w:val="-3"/>
                <w:w w:val="100"/>
                <w:sz w:val="21"/>
                <w:szCs w:val="21"/>
              </w:rPr>
              <w:t>副</w:t>
            </w:r>
            <w:r>
              <w:rPr>
                <w:rFonts w:ascii="宋体" w:hAnsi="宋体" w:cs="宋体" w:eastAsia="宋体" w:hint="default"/>
                <w:w w:val="100"/>
                <w:sz w:val="21"/>
                <w:szCs w:val="21"/>
              </w:rPr>
              <w:t>处</w:t>
            </w:r>
            <w:r>
              <w:rPr>
                <w:rFonts w:ascii="宋体" w:hAnsi="宋体" w:cs="宋体" w:eastAsia="宋体" w:hint="default"/>
                <w:spacing w:val="-3"/>
                <w:w w:val="100"/>
                <w:sz w:val="21"/>
                <w:szCs w:val="21"/>
              </w:rPr>
              <w:t>长</w:t>
            </w:r>
            <w:r>
              <w:rPr>
                <w:rFonts w:ascii="宋体" w:hAnsi="宋体" w:cs="宋体" w:eastAsia="宋体" w:hint="default"/>
                <w:spacing w:val="-36"/>
                <w:w w:val="100"/>
                <w:sz w:val="21"/>
                <w:szCs w:val="21"/>
              </w:rPr>
              <w:t>，</w:t>
            </w:r>
            <w:r>
              <w:rPr>
                <w:rFonts w:ascii="宋体" w:hAnsi="宋体" w:cs="宋体" w:eastAsia="宋体" w:hint="default"/>
                <w:spacing w:val="-3"/>
                <w:w w:val="100"/>
                <w:sz w:val="21"/>
                <w:szCs w:val="21"/>
              </w:rPr>
              <w:t>统</w:t>
            </w:r>
            <w:r>
              <w:rPr>
                <w:rFonts w:ascii="宋体" w:hAnsi="宋体" w:cs="宋体" w:eastAsia="宋体" w:hint="default"/>
                <w:w w:val="100"/>
                <w:sz w:val="21"/>
                <w:szCs w:val="21"/>
              </w:rPr>
              <w:t>计</w:t>
            </w:r>
            <w:r>
              <w:rPr>
                <w:rFonts w:ascii="宋体" w:hAnsi="宋体" w:cs="宋体" w:eastAsia="宋体" w:hint="default"/>
                <w:spacing w:val="-3"/>
                <w:w w:val="100"/>
                <w:sz w:val="21"/>
                <w:szCs w:val="21"/>
              </w:rPr>
              <w:t>与</w:t>
            </w:r>
            <w:r>
              <w:rPr>
                <w:rFonts w:ascii="宋体" w:hAnsi="宋体" w:cs="宋体" w:eastAsia="宋体" w:hint="default"/>
                <w:w w:val="100"/>
                <w:sz w:val="21"/>
                <w:szCs w:val="21"/>
              </w:rPr>
              <w:t>分</w:t>
            </w:r>
            <w:r>
              <w:rPr>
                <w:rFonts w:ascii="宋体" w:hAnsi="宋体" w:cs="宋体" w:eastAsia="宋体" w:hint="default"/>
                <w:spacing w:val="-3"/>
                <w:w w:val="100"/>
                <w:sz w:val="21"/>
                <w:szCs w:val="21"/>
              </w:rPr>
              <w:t>析</w:t>
            </w:r>
            <w:r>
              <w:rPr>
                <w:rFonts w:ascii="宋体" w:hAnsi="宋体" w:cs="宋体" w:eastAsia="宋体" w:hint="default"/>
                <w:w w:val="100"/>
                <w:sz w:val="21"/>
                <w:szCs w:val="21"/>
              </w:rPr>
              <w:t>处处</w:t>
            </w:r>
            <w:r>
              <w:rPr>
                <w:rFonts w:ascii="宋体" w:hAnsi="宋体" w:cs="宋体" w:eastAsia="宋体" w:hint="default"/>
                <w:spacing w:val="-3"/>
                <w:w w:val="100"/>
                <w:sz w:val="21"/>
                <w:szCs w:val="21"/>
              </w:rPr>
              <w:t>长</w:t>
            </w:r>
            <w:r>
              <w:rPr>
                <w:rFonts w:ascii="宋体" w:hAnsi="宋体" w:cs="宋体" w:eastAsia="宋体" w:hint="default"/>
                <w:spacing w:val="-36"/>
                <w:w w:val="100"/>
                <w:sz w:val="21"/>
                <w:szCs w:val="21"/>
              </w:rPr>
              <w:t>，</w:t>
            </w:r>
            <w:r>
              <w:rPr>
                <w:rFonts w:ascii="宋体" w:hAnsi="宋体" w:cs="宋体" w:eastAsia="宋体" w:hint="default"/>
                <w:spacing w:val="-3"/>
                <w:w w:val="100"/>
                <w:sz w:val="21"/>
                <w:szCs w:val="21"/>
              </w:rPr>
              <w:t>综</w:t>
            </w:r>
            <w:r>
              <w:rPr>
                <w:rFonts w:ascii="宋体" w:hAnsi="宋体" w:cs="宋体" w:eastAsia="宋体" w:hint="default"/>
                <w:w w:val="100"/>
                <w:sz w:val="21"/>
                <w:szCs w:val="21"/>
              </w:rPr>
              <w:t>合</w:t>
            </w:r>
            <w:r>
              <w:rPr>
                <w:rFonts w:ascii="宋体" w:hAnsi="宋体" w:cs="宋体" w:eastAsia="宋体" w:hint="default"/>
                <w:spacing w:val="-3"/>
                <w:w w:val="100"/>
                <w:sz w:val="21"/>
                <w:szCs w:val="21"/>
              </w:rPr>
              <w:t>与</w:t>
            </w:r>
            <w:r>
              <w:rPr>
                <w:rFonts w:ascii="宋体" w:hAnsi="宋体" w:cs="宋体" w:eastAsia="宋体" w:hint="default"/>
                <w:w w:val="100"/>
                <w:sz w:val="21"/>
                <w:szCs w:val="21"/>
              </w:rPr>
              <w:t>改</w:t>
            </w:r>
            <w:r>
              <w:rPr>
                <w:rFonts w:ascii="宋体" w:hAnsi="宋体" w:cs="宋体" w:eastAsia="宋体" w:hint="default"/>
                <w:spacing w:val="-3"/>
                <w:w w:val="100"/>
                <w:sz w:val="21"/>
                <w:szCs w:val="21"/>
              </w:rPr>
              <w:t>革</w:t>
            </w:r>
            <w:r>
              <w:rPr>
                <w:rFonts w:ascii="宋体" w:hAnsi="宋体" w:cs="宋体" w:eastAsia="宋体" w:hint="default"/>
                <w:w w:val="100"/>
                <w:sz w:val="21"/>
                <w:szCs w:val="21"/>
              </w:rPr>
              <w:t>司</w:t>
            </w:r>
            <w:r>
              <w:rPr>
                <w:rFonts w:ascii="宋体" w:hAnsi="宋体" w:cs="宋体" w:eastAsia="宋体" w:hint="default"/>
                <w:spacing w:val="-3"/>
                <w:w w:val="100"/>
                <w:sz w:val="21"/>
                <w:szCs w:val="21"/>
              </w:rPr>
              <w:t>副</w:t>
            </w:r>
            <w:r>
              <w:rPr>
                <w:rFonts w:ascii="宋体" w:hAnsi="宋体" w:cs="宋体" w:eastAsia="宋体" w:hint="default"/>
                <w:w w:val="100"/>
                <w:sz w:val="21"/>
                <w:szCs w:val="21"/>
              </w:rPr>
              <w:t>司长</w:t>
            </w:r>
            <w:r>
              <w:rPr>
                <w:rFonts w:ascii="宋体" w:hAnsi="宋体" w:cs="宋体" w:eastAsia="宋体" w:hint="default"/>
                <w:spacing w:val="-39"/>
                <w:w w:val="100"/>
                <w:sz w:val="21"/>
                <w:szCs w:val="21"/>
              </w:rPr>
              <w:t>，</w:t>
            </w:r>
            <w:r>
              <w:rPr>
                <w:rFonts w:ascii="宋体" w:hAnsi="宋体" w:cs="宋体" w:eastAsia="宋体" w:hint="default"/>
                <w:w w:val="100"/>
                <w:sz w:val="21"/>
                <w:szCs w:val="21"/>
              </w:rPr>
              <w:t>财</w:t>
            </w:r>
            <w:r>
              <w:rPr>
                <w:rFonts w:ascii="宋体" w:hAnsi="宋体" w:cs="宋体" w:eastAsia="宋体" w:hint="default"/>
                <w:spacing w:val="-3"/>
                <w:w w:val="100"/>
                <w:sz w:val="21"/>
                <w:szCs w:val="21"/>
              </w:rPr>
              <w:t>政</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评</w:t>
            </w:r>
            <w:r>
              <w:rPr>
                <w:rFonts w:ascii="宋体" w:hAnsi="宋体" w:cs="宋体" w:eastAsia="宋体" w:hint="default"/>
                <w:spacing w:val="-3"/>
                <w:w w:val="100"/>
                <w:sz w:val="21"/>
                <w:szCs w:val="21"/>
              </w:rPr>
              <w:t>审</w:t>
            </w:r>
            <w:r>
              <w:rPr>
                <w:rFonts w:ascii="宋体" w:hAnsi="宋体" w:cs="宋体" w:eastAsia="宋体" w:hint="default"/>
                <w:w w:val="100"/>
                <w:sz w:val="21"/>
                <w:szCs w:val="21"/>
              </w:rPr>
              <w:t>中</w:t>
            </w:r>
            <w:r>
              <w:rPr>
                <w:rFonts w:ascii="宋体" w:hAnsi="宋体" w:cs="宋体" w:eastAsia="宋体" w:hint="default"/>
                <w:spacing w:val="-3"/>
                <w:w w:val="100"/>
                <w:sz w:val="21"/>
                <w:szCs w:val="21"/>
              </w:rPr>
              <w:t>心</w:t>
            </w:r>
            <w:r>
              <w:rPr>
                <w:rFonts w:ascii="宋体" w:hAnsi="宋体" w:cs="宋体" w:eastAsia="宋体" w:hint="default"/>
                <w:w w:val="100"/>
                <w:sz w:val="21"/>
                <w:szCs w:val="21"/>
              </w:rPr>
              <w:t>主任</w:t>
            </w:r>
            <w:r>
              <w:rPr>
                <w:rFonts w:ascii="宋体" w:hAnsi="宋体" w:cs="宋体" w:eastAsia="宋体" w:hint="default"/>
                <w:spacing w:val="-39"/>
                <w:w w:val="100"/>
                <w:sz w:val="21"/>
                <w:szCs w:val="21"/>
              </w:rPr>
              <w:t>，</w:t>
            </w: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工</w:t>
            </w:r>
            <w:r>
              <w:rPr>
                <w:rFonts w:ascii="宋体" w:hAnsi="宋体" w:cs="宋体" w:eastAsia="宋体" w:hint="default"/>
                <w:spacing w:val="-3"/>
                <w:w w:val="100"/>
                <w:sz w:val="21"/>
                <w:szCs w:val="21"/>
              </w:rPr>
              <w:t>商</w:t>
            </w:r>
            <w:r>
              <w:rPr>
                <w:rFonts w:ascii="宋体" w:hAnsi="宋体" w:cs="宋体" w:eastAsia="宋体" w:hint="default"/>
                <w:w w:val="100"/>
                <w:sz w:val="21"/>
                <w:szCs w:val="21"/>
              </w:rPr>
              <w:t>银</w:t>
            </w:r>
            <w:r>
              <w:rPr>
                <w:rFonts w:ascii="宋体" w:hAnsi="宋体" w:cs="宋体" w:eastAsia="宋体" w:hint="default"/>
                <w:spacing w:val="-3"/>
                <w:w w:val="100"/>
                <w:sz w:val="21"/>
                <w:szCs w:val="21"/>
              </w:rPr>
              <w:t>行</w:t>
            </w:r>
            <w:r>
              <w:rPr>
                <w:rFonts w:ascii="宋体" w:hAnsi="宋体" w:cs="宋体" w:eastAsia="宋体" w:hint="default"/>
                <w:w w:val="100"/>
                <w:sz w:val="21"/>
                <w:szCs w:val="21"/>
              </w:rPr>
              <w:t>股</w:t>
            </w:r>
            <w:r>
              <w:rPr>
                <w:rFonts w:ascii="宋体" w:hAnsi="宋体" w:cs="宋体" w:eastAsia="宋体" w:hint="default"/>
                <w:spacing w:val="-3"/>
                <w:w w:val="100"/>
                <w:sz w:val="21"/>
                <w:szCs w:val="21"/>
              </w:rPr>
              <w:t>份</w:t>
            </w:r>
            <w:r>
              <w:rPr>
                <w:rFonts w:ascii="宋体" w:hAnsi="宋体" w:cs="宋体" w:eastAsia="宋体" w:hint="default"/>
                <w:w w:val="100"/>
                <w:sz w:val="21"/>
                <w:szCs w:val="21"/>
              </w:rPr>
              <w:t>有限</w:t>
            </w:r>
            <w:r>
              <w:rPr>
                <w:rFonts w:ascii="宋体" w:hAnsi="宋体" w:cs="宋体" w:eastAsia="宋体" w:hint="default"/>
                <w:spacing w:val="-3"/>
                <w:w w:val="100"/>
                <w:sz w:val="21"/>
                <w:szCs w:val="21"/>
              </w:rPr>
              <w:t>公司董事</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r>
      <w:tr>
        <w:trPr>
          <w:trHeight w:val="358" w:hRule="exact"/>
        </w:trPr>
        <w:tc>
          <w:tcPr>
            <w:tcW w:w="110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right="247"/>
              <w:jc w:val="right"/>
              <w:rPr>
                <w:rFonts w:ascii="宋体" w:hAnsi="宋体" w:cs="宋体" w:eastAsia="宋体" w:hint="default"/>
                <w:sz w:val="21"/>
                <w:szCs w:val="21"/>
              </w:rPr>
            </w:pPr>
            <w:r>
              <w:rPr>
                <w:rFonts w:ascii="宋体" w:hAnsi="宋体" w:cs="宋体" w:eastAsia="宋体" w:hint="default"/>
                <w:spacing w:val="-1"/>
                <w:sz w:val="21"/>
                <w:szCs w:val="21"/>
              </w:rPr>
              <w:t>王永德</w:t>
            </w:r>
            <w:r>
              <w:rPr>
                <w:rFonts w:ascii="宋体" w:hAnsi="宋体" w:cs="宋体" w:eastAsia="宋体" w:hint="default"/>
                <w:sz w:val="21"/>
                <w:szCs w:val="21"/>
              </w:rPr>
              <w:t> </w:t>
            </w:r>
          </w:p>
        </w:tc>
        <w:tc>
          <w:tcPr>
            <w:tcW w:w="1306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黑龙江八一农垦大学会计学院院长，会计学硕士研究生导师，中国会计教育专业委员会委员，《中国农业会计》编委。</w:t>
            </w:r>
            <w:r>
              <w:rPr>
                <w:rFonts w:ascii="宋体" w:hAnsi="宋体" w:cs="宋体" w:eastAsia="宋体" w:hint="default"/>
                <w:sz w:val="21"/>
                <w:szCs w:val="21"/>
              </w:rPr>
              <w:t> </w:t>
            </w:r>
          </w:p>
        </w:tc>
      </w:tr>
      <w:tr>
        <w:trPr>
          <w:trHeight w:val="358" w:hRule="exact"/>
        </w:trPr>
        <w:tc>
          <w:tcPr>
            <w:tcW w:w="110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right="247"/>
              <w:jc w:val="right"/>
              <w:rPr>
                <w:rFonts w:ascii="宋体" w:hAnsi="宋体" w:cs="宋体" w:eastAsia="宋体" w:hint="default"/>
                <w:sz w:val="21"/>
                <w:szCs w:val="21"/>
              </w:rPr>
            </w:pPr>
            <w:r>
              <w:rPr>
                <w:rFonts w:ascii="宋体" w:hAnsi="宋体" w:cs="宋体" w:eastAsia="宋体" w:hint="default"/>
                <w:spacing w:val="-1"/>
                <w:sz w:val="21"/>
                <w:szCs w:val="21"/>
              </w:rPr>
              <w:t>董惠江</w:t>
            </w:r>
            <w:r>
              <w:rPr>
                <w:rFonts w:ascii="宋体" w:hAnsi="宋体" w:cs="宋体" w:eastAsia="宋体" w:hint="default"/>
                <w:sz w:val="21"/>
                <w:szCs w:val="21"/>
              </w:rPr>
              <w:t> </w:t>
            </w:r>
          </w:p>
        </w:tc>
        <w:tc>
          <w:tcPr>
            <w:tcW w:w="1306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黑龙江大学民商法博士点博士生导师。</w:t>
            </w:r>
            <w:r>
              <w:rPr>
                <w:rFonts w:ascii="宋体" w:hAnsi="宋体" w:cs="宋体" w:eastAsia="宋体" w:hint="default"/>
                <w:sz w:val="21"/>
                <w:szCs w:val="21"/>
              </w:rPr>
              <w:t> </w:t>
            </w:r>
          </w:p>
        </w:tc>
      </w:tr>
      <w:tr>
        <w:trPr>
          <w:trHeight w:val="355" w:hRule="exact"/>
        </w:trPr>
        <w:tc>
          <w:tcPr>
            <w:tcW w:w="110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right="247"/>
              <w:jc w:val="right"/>
              <w:rPr>
                <w:rFonts w:ascii="宋体" w:hAnsi="宋体" w:cs="宋体" w:eastAsia="宋体" w:hint="default"/>
                <w:sz w:val="21"/>
                <w:szCs w:val="21"/>
              </w:rPr>
            </w:pPr>
            <w:r>
              <w:rPr>
                <w:rFonts w:ascii="宋体" w:hAnsi="宋体" w:cs="宋体" w:eastAsia="宋体" w:hint="default"/>
                <w:spacing w:val="-1"/>
                <w:sz w:val="21"/>
                <w:szCs w:val="21"/>
              </w:rPr>
              <w:t>史晓丹</w:t>
            </w:r>
            <w:r>
              <w:rPr>
                <w:rFonts w:ascii="宋体" w:hAnsi="宋体" w:cs="宋体" w:eastAsia="宋体" w:hint="default"/>
                <w:sz w:val="21"/>
                <w:szCs w:val="21"/>
              </w:rPr>
              <w:t> </w:t>
            </w:r>
          </w:p>
        </w:tc>
        <w:tc>
          <w:tcPr>
            <w:tcW w:w="1306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5" w:right="0"/>
              <w:jc w:val="left"/>
              <w:rPr>
                <w:rFonts w:ascii="宋体" w:hAnsi="宋体" w:cs="宋体" w:eastAsia="宋体" w:hint="default"/>
                <w:sz w:val="21"/>
                <w:szCs w:val="21"/>
              </w:rPr>
            </w:pPr>
            <w:r>
              <w:rPr>
                <w:rFonts w:ascii="宋体" w:hAnsi="宋体" w:cs="宋体" w:eastAsia="宋体" w:hint="default"/>
                <w:sz w:val="21"/>
                <w:szCs w:val="21"/>
              </w:rPr>
              <w:t>公司董事会秘书、副总经理，现任公司党委委员、监事会主席。</w:t>
            </w:r>
            <w:r>
              <w:rPr>
                <w:rFonts w:ascii="宋体" w:hAnsi="宋体" w:cs="宋体" w:eastAsia="宋体" w:hint="default"/>
                <w:sz w:val="21"/>
                <w:szCs w:val="21"/>
              </w:rPr>
              <w:t> </w:t>
            </w:r>
          </w:p>
        </w:tc>
      </w:tr>
      <w:tr>
        <w:trPr>
          <w:trHeight w:val="358" w:hRule="exact"/>
        </w:trPr>
        <w:tc>
          <w:tcPr>
            <w:tcW w:w="110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right="247"/>
              <w:jc w:val="right"/>
              <w:rPr>
                <w:rFonts w:ascii="宋体" w:hAnsi="宋体" w:cs="宋体" w:eastAsia="宋体" w:hint="default"/>
                <w:sz w:val="21"/>
                <w:szCs w:val="21"/>
              </w:rPr>
            </w:pPr>
            <w:r>
              <w:rPr>
                <w:rFonts w:ascii="宋体" w:hAnsi="宋体" w:cs="宋体" w:eastAsia="宋体" w:hint="default"/>
                <w:spacing w:val="-1"/>
                <w:sz w:val="21"/>
                <w:szCs w:val="21"/>
              </w:rPr>
              <w:t>潘正平</w:t>
            </w:r>
            <w:r>
              <w:rPr>
                <w:rFonts w:ascii="宋体" w:hAnsi="宋体" w:cs="宋体" w:eastAsia="宋体" w:hint="default"/>
                <w:sz w:val="21"/>
                <w:szCs w:val="21"/>
              </w:rPr>
              <w:t> </w:t>
            </w:r>
          </w:p>
        </w:tc>
        <w:tc>
          <w:tcPr>
            <w:tcW w:w="1306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农垦总局审计处主任科员，现任集团总公司审计部部长，本公司监事。</w:t>
            </w:r>
            <w:r>
              <w:rPr>
                <w:rFonts w:ascii="宋体" w:hAnsi="宋体" w:cs="宋体" w:eastAsia="宋体" w:hint="default"/>
                <w:sz w:val="21"/>
                <w:szCs w:val="21"/>
              </w:rPr>
              <w:t> </w:t>
            </w:r>
          </w:p>
        </w:tc>
      </w:tr>
      <w:tr>
        <w:trPr>
          <w:trHeight w:val="358" w:hRule="exact"/>
        </w:trPr>
        <w:tc>
          <w:tcPr>
            <w:tcW w:w="110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right="247"/>
              <w:jc w:val="right"/>
              <w:rPr>
                <w:rFonts w:ascii="宋体" w:hAnsi="宋体" w:cs="宋体" w:eastAsia="宋体" w:hint="default"/>
                <w:sz w:val="21"/>
                <w:szCs w:val="21"/>
              </w:rPr>
            </w:pPr>
            <w:r>
              <w:rPr>
                <w:rFonts w:ascii="宋体" w:hAnsi="宋体" w:cs="宋体" w:eastAsia="宋体" w:hint="default"/>
                <w:spacing w:val="-1"/>
                <w:sz w:val="21"/>
                <w:szCs w:val="21"/>
              </w:rPr>
              <w:t>姜秀奇</w:t>
            </w:r>
            <w:r>
              <w:rPr>
                <w:rFonts w:ascii="宋体" w:hAnsi="宋体" w:cs="宋体" w:eastAsia="宋体" w:hint="default"/>
                <w:sz w:val="21"/>
                <w:szCs w:val="21"/>
              </w:rPr>
              <w:t> </w:t>
            </w:r>
          </w:p>
        </w:tc>
        <w:tc>
          <w:tcPr>
            <w:tcW w:w="1306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公司董事会工作部部长，现任公司监事、资产运营部部长、工会委员。</w:t>
            </w:r>
            <w:r>
              <w:rPr>
                <w:rFonts w:ascii="宋体" w:hAnsi="宋体" w:cs="宋体" w:eastAsia="宋体" w:hint="default"/>
                <w:sz w:val="21"/>
                <w:szCs w:val="21"/>
              </w:rPr>
              <w:t> </w:t>
            </w:r>
          </w:p>
        </w:tc>
      </w:tr>
      <w:tr>
        <w:trPr>
          <w:trHeight w:val="358" w:hRule="exact"/>
        </w:trPr>
        <w:tc>
          <w:tcPr>
            <w:tcW w:w="110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right="247"/>
              <w:jc w:val="right"/>
              <w:rPr>
                <w:rFonts w:ascii="宋体" w:hAnsi="宋体" w:cs="宋体" w:eastAsia="宋体" w:hint="default"/>
                <w:sz w:val="21"/>
                <w:szCs w:val="21"/>
              </w:rPr>
            </w:pPr>
            <w:r>
              <w:rPr>
                <w:rFonts w:ascii="宋体" w:hAnsi="宋体" w:cs="宋体" w:eastAsia="宋体" w:hint="default"/>
                <w:spacing w:val="-1"/>
                <w:sz w:val="21"/>
                <w:szCs w:val="21"/>
              </w:rPr>
              <w:t>高建国</w:t>
            </w:r>
            <w:r>
              <w:rPr>
                <w:rFonts w:ascii="宋体" w:hAnsi="宋体" w:cs="宋体" w:eastAsia="宋体" w:hint="default"/>
                <w:sz w:val="21"/>
                <w:szCs w:val="21"/>
              </w:rPr>
              <w:t> </w:t>
            </w:r>
          </w:p>
        </w:tc>
        <w:tc>
          <w:tcPr>
            <w:tcW w:w="1306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北大荒农垦集团总公司金融投资部部长兼北大荒投资控股有限公司总经理，现任公司党委委员、副总经理、董事会秘书。</w:t>
            </w:r>
            <w:r>
              <w:rPr>
                <w:rFonts w:ascii="宋体" w:hAnsi="宋体" w:cs="宋体" w:eastAsia="宋体" w:hint="default"/>
                <w:sz w:val="21"/>
                <w:szCs w:val="21"/>
              </w:rPr>
              <w:t> </w:t>
            </w:r>
          </w:p>
        </w:tc>
      </w:tr>
      <w:tr>
        <w:trPr>
          <w:trHeight w:val="355" w:hRule="exact"/>
        </w:trPr>
        <w:tc>
          <w:tcPr>
            <w:tcW w:w="110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right="247"/>
              <w:jc w:val="right"/>
              <w:rPr>
                <w:rFonts w:ascii="宋体" w:hAnsi="宋体" w:cs="宋体" w:eastAsia="宋体" w:hint="default"/>
                <w:sz w:val="21"/>
                <w:szCs w:val="21"/>
              </w:rPr>
            </w:pPr>
            <w:r>
              <w:rPr>
                <w:rFonts w:ascii="宋体" w:hAnsi="宋体" w:cs="宋体" w:eastAsia="宋体" w:hint="default"/>
                <w:spacing w:val="-1"/>
                <w:sz w:val="21"/>
                <w:szCs w:val="21"/>
              </w:rPr>
              <w:t>葛树峰</w:t>
            </w:r>
            <w:r>
              <w:rPr>
                <w:rFonts w:ascii="宋体" w:hAnsi="宋体" w:cs="宋体" w:eastAsia="宋体" w:hint="default"/>
                <w:sz w:val="21"/>
                <w:szCs w:val="21"/>
              </w:rPr>
              <w:t> </w:t>
            </w:r>
          </w:p>
        </w:tc>
        <w:tc>
          <w:tcPr>
            <w:tcW w:w="1306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5" w:right="0"/>
              <w:jc w:val="left"/>
              <w:rPr>
                <w:rFonts w:ascii="宋体" w:hAnsi="宋体" w:cs="宋体" w:eastAsia="宋体" w:hint="default"/>
                <w:sz w:val="21"/>
                <w:szCs w:val="21"/>
              </w:rPr>
            </w:pPr>
            <w:r>
              <w:rPr>
                <w:rFonts w:ascii="宋体" w:hAnsi="宋体" w:cs="宋体" w:eastAsia="宋体" w:hint="default"/>
                <w:sz w:val="21"/>
                <w:szCs w:val="21"/>
              </w:rPr>
              <w:t>黑龙江省北大荒米业集团有限公司财务部长，公司财务部副部长、部长，现任公司总会计师兼财务部部长。</w:t>
            </w:r>
            <w:r>
              <w:rPr>
                <w:rFonts w:ascii="宋体" w:hAnsi="宋体" w:cs="宋体" w:eastAsia="宋体" w:hint="default"/>
                <w:sz w:val="21"/>
                <w:szCs w:val="21"/>
              </w:rPr>
              <w:t> </w:t>
            </w:r>
          </w:p>
        </w:tc>
      </w:tr>
      <w:tr>
        <w:trPr>
          <w:trHeight w:val="365" w:hRule="exact"/>
        </w:trPr>
        <w:tc>
          <w:tcPr>
            <w:tcW w:w="1100"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4"/>
              <w:ind w:right="247"/>
              <w:jc w:val="right"/>
              <w:rPr>
                <w:rFonts w:ascii="宋体" w:hAnsi="宋体" w:cs="宋体" w:eastAsia="宋体" w:hint="default"/>
                <w:sz w:val="21"/>
                <w:szCs w:val="21"/>
              </w:rPr>
            </w:pPr>
            <w:r>
              <w:rPr>
                <w:rFonts w:ascii="宋体" w:hAnsi="宋体" w:cs="宋体" w:eastAsia="宋体" w:hint="default"/>
                <w:spacing w:val="-1"/>
                <w:sz w:val="21"/>
                <w:szCs w:val="21"/>
              </w:rPr>
              <w:t>杨宪君</w:t>
            </w:r>
            <w:r>
              <w:rPr>
                <w:rFonts w:ascii="宋体" w:hAnsi="宋体" w:cs="宋体" w:eastAsia="宋体" w:hint="default"/>
                <w:sz w:val="21"/>
                <w:szCs w:val="21"/>
              </w:rPr>
              <w:t> </w:t>
            </w:r>
          </w:p>
        </w:tc>
        <w:tc>
          <w:tcPr>
            <w:tcW w:w="13067"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黑龙江省农垦宝泉岭管理局党委委员、组织部部长，现任公司党委委员、副总经理。</w:t>
            </w:r>
            <w:r>
              <w:rPr>
                <w:rFonts w:ascii="宋体" w:hAnsi="宋体" w:cs="宋体" w:eastAsia="宋体" w:hint="default"/>
                <w:sz w:val="21"/>
                <w:szCs w:val="21"/>
              </w:rPr>
              <w:t> </w:t>
            </w:r>
          </w:p>
        </w:tc>
      </w:tr>
    </w:tbl>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705.45pt;height:1pt;mso-position-horizontal-relative:char;mso-position-vertical-relative:line" coordorigin="0,0" coordsize="14109,20">
            <v:group style="position:absolute;left:10;top:10;width:1095;height:2" coordorigin="10,10" coordsize="1095,2">
              <v:shape style="position:absolute;left:10;top:10;width:1095;height:2" coordorigin="10,10" coordsize="1095,0" path="m10,10l1104,10e" filled="false" stroked="true" strokeweight=".95999pt" strokecolor="#41b7ee">
                <v:path arrowok="t"/>
              </v:shape>
            </v:group>
            <v:group style="position:absolute;left:1104;top:10;width:58;height:2" coordorigin="1104,10" coordsize="58,2">
              <v:shape style="position:absolute;left:1104;top:10;width:58;height:2" coordorigin="1104,10" coordsize="58,0" path="m1104,10l1162,10e" filled="false" stroked="true" strokeweight=".95999pt" strokecolor="#41b7ee">
                <v:path arrowok="t"/>
              </v:shape>
            </v:group>
            <v:group style="position:absolute;left:1162;top:10;width:12938;height:2" coordorigin="1162,10" coordsize="12938,2">
              <v:shape style="position:absolute;left:1162;top:10;width:12938;height:2" coordorigin="1162,10" coordsize="12938,0" path="m1162,10l14099,10e" filled="false" stroked="true" strokeweight=".95999pt" strokecolor="#41b7ee">
                <v:path arrowok="t"/>
              </v:shape>
            </v:group>
          </v:group>
        </w:pict>
      </w:r>
      <w:r>
        <w:rPr>
          <w:rFonts w:ascii="宋体" w:hAnsi="宋体" w:cs="宋体" w:eastAsia="宋体" w:hint="default"/>
          <w:sz w:val="2"/>
          <w:szCs w:val="2"/>
        </w:rPr>
      </w:r>
    </w:p>
    <w:p>
      <w:pPr>
        <w:pStyle w:val="BodyText"/>
        <w:spacing w:line="274" w:lineRule="exact" w:before="10"/>
        <w:ind w:left="424" w:right="0"/>
        <w:jc w:val="left"/>
        <w:rPr>
          <w:rFonts w:ascii="宋体" w:hAnsi="宋体" w:cs="宋体" w:eastAsia="宋体" w:hint="default"/>
        </w:rPr>
      </w:pPr>
      <w:r>
        <w:rPr>
          <w:rFonts w:ascii="宋体" w:hAnsi="宋体" w:cs="宋体" w:eastAsia="宋体" w:hint="default"/>
          <w:w w:val="100"/>
        </w:rPr>
        <w:t>  </w:t>
      </w:r>
      <w:r>
        <w:rPr>
          <w:w w:val="100"/>
        </w:rPr>
        <w:t>其它</w:t>
      </w:r>
      <w:r>
        <w:rPr>
          <w:spacing w:val="-3"/>
          <w:w w:val="100"/>
        </w:rPr>
        <w:t>情</w:t>
      </w:r>
      <w:r>
        <w:rPr>
          <w:w w:val="100"/>
        </w:rPr>
        <w:t>况</w:t>
      </w:r>
      <w:r>
        <w:rPr>
          <w:spacing w:val="-3"/>
          <w:w w:val="100"/>
        </w:rPr>
        <w:t>说明</w:t>
      </w:r>
      <w:r>
        <w:rPr>
          <w:rFonts w:ascii="宋体" w:hAnsi="宋体" w:cs="宋体" w:eastAsia="宋体" w:hint="default"/>
          <w:w w:val="100"/>
        </w:rPr>
        <w:t> </w:t>
      </w:r>
    </w:p>
    <w:p>
      <w:pPr>
        <w:pStyle w:val="BodyText"/>
        <w:spacing w:line="246" w:lineRule="exact"/>
        <w:ind w:left="4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42"/>
        <w:ind w:left="424" w:right="0"/>
        <w:jc w:val="left"/>
        <w:rPr>
          <w:rFonts w:ascii="Arial" w:hAnsi="Arial" w:cs="Arial" w:eastAsia="Arial" w:hint="default"/>
        </w:rPr>
      </w:pPr>
      <w:r>
        <w:rPr>
          <w:rFonts w:ascii="宋体" w:hAnsi="宋体" w:cs="宋体" w:eastAsia="宋体" w:hint="default"/>
          <w:w w:val="100"/>
        </w:rPr>
        <w:t>    </w:t>
      </w:r>
      <w:r>
        <w:rPr>
          <w:rFonts w:ascii="宋体" w:hAnsi="宋体" w:cs="宋体" w:eastAsia="宋体" w:hint="default"/>
          <w:spacing w:val="-4"/>
        </w:rPr>
        <w:t>1</w:t>
      </w:r>
      <w:r>
        <w:rPr>
          <w:spacing w:val="-4"/>
        </w:rPr>
        <w:t>、公司董事刘长友先生、贺天元先生、叶凤仪先生、杨占海先生，监事史晓丹先生、姜秀奇女士，高管葛树峰先生所持公司股票，均为 </w:t>
      </w:r>
      <w:r>
        <w:rPr>
          <w:rFonts w:ascii="Arial" w:hAnsi="Arial" w:cs="Arial" w:eastAsia="Arial" w:hint="default"/>
        </w:rPr>
        <w:t>2015  </w:t>
      </w:r>
      <w:r>
        <w:rPr/>
        <w:t>年</w:t>
      </w:r>
      <w:r>
        <w:rPr>
          <w:spacing w:val="-54"/>
        </w:rPr>
        <w:t> </w:t>
      </w:r>
      <w:r>
        <w:rPr>
          <w:rFonts w:ascii="Arial" w:hAnsi="Arial" w:cs="Arial" w:eastAsia="Arial" w:hint="default"/>
          <w:spacing w:val="-3"/>
        </w:rPr>
        <w:t>11</w:t>
      </w:r>
      <w:r>
        <w:rPr>
          <w:rFonts w:ascii="Arial" w:hAnsi="Arial" w:cs="Arial" w:eastAsia="Arial" w:hint="default"/>
        </w:rPr>
      </w:r>
    </w:p>
    <w:p>
      <w:pPr>
        <w:pStyle w:val="BodyText"/>
        <w:spacing w:line="240" w:lineRule="auto" w:before="32"/>
        <w:ind w:left="424" w:right="0"/>
        <w:jc w:val="left"/>
      </w:pPr>
      <w:r>
        <w:rPr>
          <w:w w:val="100"/>
        </w:rPr>
        <w:t>月</w:t>
      </w:r>
      <w:r>
        <w:rPr>
          <w:spacing w:val="-52"/>
        </w:rPr>
        <w:t> </w:t>
      </w:r>
      <w:r>
        <w:rPr>
          <w:rFonts w:ascii="Arial" w:hAnsi="Arial" w:cs="Arial" w:eastAsia="Arial" w:hint="default"/>
          <w:w w:val="100"/>
        </w:rPr>
        <w:t>30</w:t>
      </w:r>
      <w:r>
        <w:rPr>
          <w:rFonts w:ascii="Arial" w:hAnsi="Arial" w:cs="Arial" w:eastAsia="Arial" w:hint="default"/>
          <w:spacing w:val="-8"/>
        </w:rPr>
        <w:t> </w:t>
      </w:r>
      <w:r>
        <w:rPr>
          <w:w w:val="100"/>
        </w:rPr>
        <w:t>日</w:t>
      </w:r>
      <w:r>
        <w:rPr>
          <w:spacing w:val="-108"/>
          <w:w w:val="100"/>
        </w:rPr>
        <w:t>，</w:t>
      </w:r>
      <w:r>
        <w:rPr>
          <w:w w:val="100"/>
        </w:rPr>
        <w:t>公</w:t>
      </w:r>
      <w:r>
        <w:rPr>
          <w:spacing w:val="-3"/>
          <w:w w:val="100"/>
        </w:rPr>
        <w:t>司</w:t>
      </w:r>
      <w:r>
        <w:rPr>
          <w:w w:val="100"/>
        </w:rPr>
        <w:t>实</w:t>
      </w:r>
      <w:r>
        <w:rPr>
          <w:spacing w:val="-3"/>
          <w:w w:val="100"/>
        </w:rPr>
        <w:t>施</w:t>
      </w:r>
      <w:r>
        <w:rPr>
          <w:w w:val="100"/>
        </w:rPr>
        <w:t>员</w:t>
      </w:r>
      <w:r>
        <w:rPr>
          <w:spacing w:val="-3"/>
          <w:w w:val="100"/>
        </w:rPr>
        <w:t>工持</w:t>
      </w:r>
      <w:r>
        <w:rPr>
          <w:w w:val="100"/>
        </w:rPr>
        <w:t>股计</w:t>
      </w:r>
      <w:r>
        <w:rPr>
          <w:spacing w:val="-3"/>
          <w:w w:val="100"/>
        </w:rPr>
        <w:t>划</w:t>
      </w:r>
      <w:r>
        <w:rPr>
          <w:w w:val="100"/>
        </w:rPr>
        <w:t>时</w:t>
      </w:r>
      <w:r>
        <w:rPr>
          <w:spacing w:val="-3"/>
          <w:w w:val="100"/>
        </w:rPr>
        <w:t>通</w:t>
      </w:r>
      <w:r>
        <w:rPr>
          <w:w w:val="100"/>
        </w:rPr>
        <w:t>过</w:t>
      </w:r>
      <w:r>
        <w:rPr>
          <w:spacing w:val="-3"/>
          <w:w w:val="100"/>
        </w:rPr>
        <w:t>二</w:t>
      </w:r>
      <w:r>
        <w:rPr>
          <w:w w:val="100"/>
        </w:rPr>
        <w:t>级</w:t>
      </w:r>
      <w:r>
        <w:rPr>
          <w:spacing w:val="-3"/>
          <w:w w:val="100"/>
        </w:rPr>
        <w:t>市</w:t>
      </w:r>
      <w:r>
        <w:rPr>
          <w:w w:val="100"/>
        </w:rPr>
        <w:t>场</w:t>
      </w:r>
      <w:r>
        <w:rPr>
          <w:spacing w:val="-3"/>
          <w:w w:val="100"/>
        </w:rPr>
        <w:t>购</w:t>
      </w:r>
      <w:r>
        <w:rPr>
          <w:w w:val="100"/>
        </w:rPr>
        <w:t>买</w:t>
      </w:r>
      <w:r>
        <w:rPr>
          <w:spacing w:val="-106"/>
          <w:w w:val="100"/>
        </w:rPr>
        <w:t>，</w:t>
      </w:r>
      <w:r>
        <w:rPr>
          <w:spacing w:val="-3"/>
          <w:w w:val="100"/>
        </w:rPr>
        <w:t>所</w:t>
      </w:r>
      <w:r>
        <w:rPr>
          <w:w w:val="100"/>
        </w:rPr>
        <w:t>持</w:t>
      </w:r>
      <w:r>
        <w:rPr>
          <w:spacing w:val="-3"/>
          <w:w w:val="100"/>
        </w:rPr>
        <w:t>股</w:t>
      </w:r>
      <w:r>
        <w:rPr>
          <w:w w:val="100"/>
        </w:rPr>
        <w:t>票</w:t>
      </w:r>
      <w:r>
        <w:rPr>
          <w:spacing w:val="-3"/>
          <w:w w:val="100"/>
        </w:rPr>
        <w:t>均</w:t>
      </w:r>
      <w:r>
        <w:rPr>
          <w:w w:val="100"/>
        </w:rPr>
        <w:t>在</w:t>
      </w:r>
      <w:r>
        <w:rPr>
          <w:spacing w:val="-3"/>
          <w:w w:val="100"/>
        </w:rPr>
        <w:t>员</w:t>
      </w:r>
      <w:r>
        <w:rPr>
          <w:w w:val="100"/>
        </w:rPr>
        <w:t>工</w:t>
      </w:r>
      <w:r>
        <w:rPr>
          <w:spacing w:val="-3"/>
          <w:w w:val="100"/>
        </w:rPr>
        <w:t>持股</w:t>
      </w:r>
      <w:r>
        <w:rPr>
          <w:w w:val="100"/>
        </w:rPr>
        <w:t>计划</w:t>
      </w:r>
      <w:r>
        <w:rPr>
          <w:spacing w:val="-3"/>
          <w:w w:val="100"/>
        </w:rPr>
        <w:t>专</w:t>
      </w:r>
      <w:r>
        <w:rPr>
          <w:w w:val="100"/>
        </w:rPr>
        <w:t>用</w:t>
      </w:r>
      <w:r>
        <w:rPr>
          <w:spacing w:val="-3"/>
          <w:w w:val="100"/>
        </w:rPr>
        <w:t>账</w:t>
      </w:r>
      <w:r>
        <w:rPr>
          <w:w w:val="100"/>
        </w:rPr>
        <w:t>户</w:t>
      </w:r>
      <w:r>
        <w:rPr>
          <w:spacing w:val="-109"/>
          <w:w w:val="100"/>
        </w:rPr>
        <w:t>。</w:t>
      </w:r>
      <w:r>
        <w:rPr>
          <w:w w:val="100"/>
        </w:rPr>
        <w:t>经</w:t>
      </w:r>
      <w:r>
        <w:rPr>
          <w:spacing w:val="-53"/>
        </w:rPr>
        <w:t> </w:t>
      </w:r>
      <w:r>
        <w:rPr>
          <w:rFonts w:ascii="Arial" w:hAnsi="Arial" w:cs="Arial" w:eastAsia="Arial" w:hint="default"/>
          <w:w w:val="100"/>
        </w:rPr>
        <w:t>2</w:t>
      </w:r>
      <w:r>
        <w:rPr>
          <w:rFonts w:ascii="Arial" w:hAnsi="Arial" w:cs="Arial" w:eastAsia="Arial" w:hint="default"/>
          <w:spacing w:val="-3"/>
          <w:w w:val="100"/>
        </w:rPr>
        <w:t>0</w:t>
      </w:r>
      <w:r>
        <w:rPr>
          <w:rFonts w:ascii="Arial" w:hAnsi="Arial" w:cs="Arial" w:eastAsia="Arial" w:hint="default"/>
          <w:w w:val="100"/>
        </w:rPr>
        <w:t>18</w:t>
      </w:r>
      <w:r>
        <w:rPr>
          <w:rFonts w:ascii="Arial" w:hAnsi="Arial" w:cs="Arial" w:eastAsia="Arial" w:hint="default"/>
          <w:spacing w:val="-8"/>
        </w:rPr>
        <w:t> </w:t>
      </w:r>
      <w:r>
        <w:rPr>
          <w:w w:val="100"/>
        </w:rPr>
        <w:t>年</w:t>
      </w:r>
      <w:r>
        <w:rPr>
          <w:spacing w:val="-55"/>
        </w:rPr>
        <w:t> </w:t>
      </w:r>
      <w:r>
        <w:rPr>
          <w:rFonts w:ascii="Arial" w:hAnsi="Arial" w:cs="Arial" w:eastAsia="Arial" w:hint="default"/>
          <w:w w:val="100"/>
        </w:rPr>
        <w:t>11</w:t>
      </w:r>
      <w:r>
        <w:rPr>
          <w:rFonts w:ascii="Arial" w:hAnsi="Arial" w:cs="Arial" w:eastAsia="Arial" w:hint="default"/>
          <w:spacing w:val="-6"/>
        </w:rPr>
        <w:t> </w:t>
      </w:r>
      <w:r>
        <w:rPr>
          <w:w w:val="100"/>
        </w:rPr>
        <w:t>月</w:t>
      </w:r>
      <w:r>
        <w:rPr>
          <w:spacing w:val="-55"/>
        </w:rPr>
        <w:t> </w:t>
      </w:r>
      <w:r>
        <w:rPr>
          <w:rFonts w:ascii="Arial" w:hAnsi="Arial" w:cs="Arial" w:eastAsia="Arial" w:hint="default"/>
          <w:w w:val="100"/>
        </w:rPr>
        <w:t>18</w:t>
      </w:r>
      <w:r>
        <w:rPr>
          <w:rFonts w:ascii="Arial" w:hAnsi="Arial" w:cs="Arial" w:eastAsia="Arial" w:hint="default"/>
          <w:spacing w:val="-8"/>
        </w:rPr>
        <w:t> </w:t>
      </w:r>
      <w:r>
        <w:rPr>
          <w:w w:val="100"/>
        </w:rPr>
        <w:t>日</w:t>
      </w:r>
      <w:r>
        <w:rPr>
          <w:spacing w:val="-3"/>
          <w:w w:val="100"/>
        </w:rPr>
        <w:t>召</w:t>
      </w:r>
      <w:r>
        <w:rPr>
          <w:w w:val="100"/>
        </w:rPr>
        <w:t>开</w:t>
      </w:r>
      <w:r>
        <w:rPr>
          <w:spacing w:val="-3"/>
          <w:w w:val="100"/>
        </w:rPr>
        <w:t>的</w:t>
      </w:r>
      <w:r>
        <w:rPr>
          <w:w w:val="100"/>
        </w:rPr>
        <w:t>持</w:t>
      </w:r>
      <w:r>
        <w:rPr>
          <w:spacing w:val="-3"/>
          <w:w w:val="100"/>
        </w:rPr>
        <w:t>有人</w:t>
      </w:r>
      <w:r>
        <w:rPr>
          <w:w w:val="100"/>
        </w:rPr>
        <w:t>管理</w:t>
      </w:r>
      <w:r>
        <w:rPr>
          <w:spacing w:val="-3"/>
          <w:w w:val="100"/>
        </w:rPr>
        <w:t>委</w:t>
      </w:r>
      <w:r>
        <w:rPr>
          <w:w w:val="100"/>
        </w:rPr>
        <w:t>员</w:t>
      </w:r>
      <w:r>
        <w:rPr>
          <w:spacing w:val="-3"/>
          <w:w w:val="100"/>
        </w:rPr>
        <w:t>会</w:t>
      </w:r>
      <w:r>
        <w:rPr>
          <w:w w:val="100"/>
        </w:rPr>
        <w:t>会</w:t>
      </w:r>
      <w:r>
        <w:rPr>
          <w:spacing w:val="-3"/>
          <w:w w:val="100"/>
        </w:rPr>
        <w:t>议</w:t>
      </w:r>
      <w:r>
        <w:rPr>
          <w:w w:val="100"/>
        </w:rPr>
        <w:t>决</w:t>
      </w:r>
      <w:r>
        <w:rPr>
          <w:spacing w:val="-3"/>
          <w:w w:val="100"/>
        </w:rPr>
        <w:t>议</w:t>
      </w:r>
      <w:r>
        <w:rPr>
          <w:w w:val="100"/>
        </w:rPr>
        <w:t>，</w:t>
      </w:r>
    </w:p>
    <w:p>
      <w:pPr>
        <w:pStyle w:val="BodyText"/>
        <w:spacing w:line="264" w:lineRule="auto" w:before="29"/>
        <w:ind w:left="424" w:right="0"/>
        <w:jc w:val="left"/>
        <w:rPr>
          <w:rFonts w:ascii="宋体" w:hAnsi="宋体" w:cs="宋体" w:eastAsia="宋体" w:hint="default"/>
        </w:rPr>
      </w:pPr>
      <w:r>
        <w:rPr>
          <w:spacing w:val="-2"/>
        </w:rPr>
        <w:t>决定将本员工持股计划证券账户所持未出售的标的股票</w:t>
      </w:r>
      <w:r>
        <w:rPr/>
        <w:t> </w:t>
      </w:r>
      <w:r>
        <w:rPr>
          <w:rFonts w:ascii="Arial" w:hAnsi="Arial" w:cs="Arial" w:eastAsia="Arial" w:hint="default"/>
          <w:spacing w:val="-1"/>
        </w:rPr>
        <w:t>274,000</w:t>
      </w:r>
      <w:r>
        <w:rPr>
          <w:rFonts w:ascii="Arial" w:hAnsi="Arial" w:cs="Arial" w:eastAsia="Arial" w:hint="default"/>
        </w:rPr>
        <w:t> </w:t>
      </w:r>
      <w:r>
        <w:rPr>
          <w:spacing w:val="-2"/>
        </w:rPr>
        <w:t>股过户至员工个人普通股票账户中，其中，参加本员工持股计划的上述董事、监事和高</w:t>
      </w:r>
      <w:r>
        <w:rPr>
          <w:spacing w:val="-61"/>
        </w:rPr>
        <w:t> </w:t>
      </w:r>
      <w:r>
        <w:rPr>
          <w:spacing w:val="-61"/>
        </w:rPr>
      </w:r>
      <w:r>
        <w:rPr/>
        <w:t>级管理人员合计持有股票</w:t>
      </w:r>
      <w:r>
        <w:rPr>
          <w:spacing w:val="-58"/>
        </w:rPr>
        <w:t> </w:t>
      </w:r>
      <w:r>
        <w:rPr>
          <w:rFonts w:ascii="Arial" w:hAnsi="Arial" w:cs="Arial" w:eastAsia="Arial" w:hint="default"/>
        </w:rPr>
        <w:t>85,420</w:t>
      </w:r>
      <w:r>
        <w:rPr>
          <w:rFonts w:ascii="Arial" w:hAnsi="Arial" w:cs="Arial" w:eastAsia="Arial" w:hint="default"/>
          <w:spacing w:val="-11"/>
        </w:rPr>
        <w:t> </w:t>
      </w:r>
      <w:r>
        <w:rPr/>
        <w:t>股，占公司总股本的比例为</w:t>
      </w:r>
      <w:r>
        <w:rPr>
          <w:spacing w:val="-55"/>
        </w:rPr>
        <w:t> </w:t>
      </w:r>
      <w:r>
        <w:rPr>
          <w:rFonts w:ascii="Arial" w:hAnsi="Arial" w:cs="Arial" w:eastAsia="Arial" w:hint="default"/>
        </w:rPr>
        <w:t>0.0048%</w:t>
      </w:r>
      <w:r>
        <w:rPr/>
        <w:t>，本员工持股计划届满终止。</w:t>
      </w:r>
      <w:r>
        <w:rPr>
          <w:rFonts w:ascii="宋体" w:hAnsi="宋体" w:cs="宋体" w:eastAsia="宋体" w:hint="default"/>
        </w:rPr>
        <w:t> </w:t>
      </w:r>
    </w:p>
    <w:p>
      <w:pPr>
        <w:pStyle w:val="BodyText"/>
        <w:spacing w:line="264" w:lineRule="auto" w:before="9"/>
        <w:ind w:left="424" w:right="0" w:firstLine="420"/>
        <w:jc w:val="left"/>
      </w:pPr>
      <w:r>
        <w:rPr>
          <w:rFonts w:ascii="宋体" w:hAnsi="宋体" w:cs="宋体" w:eastAsia="宋体" w:hint="default"/>
        </w:rPr>
        <w:t>2</w:t>
      </w:r>
      <w:r>
        <w:rPr/>
        <w:t>、</w:t>
      </w:r>
      <w:r>
        <w:rPr>
          <w:rFonts w:ascii="Arial" w:hAnsi="Arial" w:cs="Arial" w:eastAsia="Arial" w:hint="default"/>
        </w:rPr>
        <w:t>2019</w:t>
      </w:r>
      <w:r>
        <w:rPr>
          <w:rFonts w:ascii="Arial" w:hAnsi="Arial" w:cs="Arial" w:eastAsia="Arial" w:hint="default"/>
          <w:spacing w:val="-9"/>
        </w:rPr>
        <w:t> </w:t>
      </w:r>
      <w:r>
        <w:rPr/>
        <w:t>年</w:t>
      </w:r>
      <w:r>
        <w:rPr>
          <w:spacing w:val="-54"/>
        </w:rPr>
        <w:t> </w:t>
      </w:r>
      <w:r>
        <w:rPr>
          <w:rFonts w:ascii="Arial" w:hAnsi="Arial" w:cs="Arial" w:eastAsia="Arial" w:hint="default"/>
        </w:rPr>
        <w:t>5</w:t>
      </w:r>
      <w:r>
        <w:rPr>
          <w:rFonts w:ascii="Arial" w:hAnsi="Arial" w:cs="Arial" w:eastAsia="Arial" w:hint="default"/>
          <w:spacing w:val="-9"/>
        </w:rPr>
        <w:t> </w:t>
      </w:r>
      <w:r>
        <w:rPr/>
        <w:t>月</w:t>
      </w:r>
      <w:r>
        <w:rPr>
          <w:spacing w:val="-54"/>
        </w:rPr>
        <w:t> </w:t>
      </w:r>
      <w:r>
        <w:rPr>
          <w:rFonts w:ascii="Arial" w:hAnsi="Arial" w:cs="Arial" w:eastAsia="Arial" w:hint="default"/>
        </w:rPr>
        <w:t>29</w:t>
      </w:r>
      <w:r>
        <w:rPr>
          <w:rFonts w:ascii="Arial" w:hAnsi="Arial" w:cs="Arial" w:eastAsia="Arial" w:hint="default"/>
          <w:spacing w:val="-7"/>
        </w:rPr>
        <w:t> </w:t>
      </w:r>
      <w:r>
        <w:rPr/>
        <w:t>日，公司第六届董事会第六十七次会议（临时），审议并通过了《关于聘任董事会秘书的议案》及《关于解聘和聘任总会计师</w:t>
      </w:r>
      <w:r>
        <w:rPr>
          <w:w w:val="100"/>
        </w:rPr>
        <w:t> </w:t>
      </w:r>
      <w:r>
        <w:rPr>
          <w:spacing w:val="-3"/>
        </w:rPr>
        <w:t>的议案》</w:t>
      </w:r>
      <w:r>
        <w:rPr>
          <w:rFonts w:ascii="宋体" w:hAnsi="宋体" w:cs="宋体" w:eastAsia="宋体" w:hint="default"/>
          <w:spacing w:val="-3"/>
        </w:rPr>
        <w:t>,</w:t>
      </w:r>
      <w:r>
        <w:rPr>
          <w:spacing w:val="-3"/>
        </w:rPr>
        <w:t>聘任高建国先生为公司董事会秘书。解聘杨占海先生兼任的公司总会计师职务，继续担任公司董事、副总经理。聘任葛树峰先生为公司总会计</w:t>
      </w:r>
    </w:p>
    <w:p>
      <w:pPr>
        <w:spacing w:after="0" w:line="264" w:lineRule="auto"/>
        <w:jc w:val="left"/>
        <w:sectPr>
          <w:pgSz w:w="16840" w:h="11910" w:orient="landscape"/>
          <w:pgMar w:header="825" w:footer="1195" w:top="1300" w:bottom="1380" w:left="1100" w:right="1240"/>
        </w:sectPr>
      </w:pPr>
    </w:p>
    <w:p>
      <w:pPr>
        <w:spacing w:line="240" w:lineRule="auto" w:before="12"/>
        <w:rPr>
          <w:rFonts w:ascii="宋体" w:hAnsi="宋体" w:cs="宋体" w:eastAsia="宋体" w:hint="default"/>
          <w:sz w:val="3"/>
          <w:szCs w:val="3"/>
        </w:rPr>
      </w:pPr>
    </w:p>
    <w:p>
      <w:pPr>
        <w:spacing w:line="20" w:lineRule="exact"/>
        <w:ind w:left="20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pStyle w:val="BodyText"/>
        <w:spacing w:line="264" w:lineRule="auto" w:before="6"/>
        <w:ind w:left="244" w:right="0"/>
        <w:jc w:val="left"/>
        <w:rPr>
          <w:rFonts w:ascii="宋体" w:hAnsi="宋体" w:cs="宋体" w:eastAsia="宋体" w:hint="default"/>
        </w:rPr>
      </w:pPr>
      <w:r>
        <w:rPr/>
        <w:t>师。</w:t>
      </w:r>
      <w:r>
        <w:rPr>
          <w:rFonts w:ascii="Arial" w:hAnsi="Arial" w:cs="Arial" w:eastAsia="Arial" w:hint="default"/>
        </w:rPr>
        <w:t>2019</w:t>
      </w:r>
      <w:r>
        <w:rPr>
          <w:rFonts w:ascii="Arial" w:hAnsi="Arial" w:cs="Arial" w:eastAsia="Arial" w:hint="default"/>
          <w:spacing w:val="-11"/>
        </w:rPr>
        <w:t> </w:t>
      </w:r>
      <w:r>
        <w:rPr/>
        <w:t>年</w:t>
      </w:r>
      <w:r>
        <w:rPr>
          <w:spacing w:val="-60"/>
        </w:rPr>
        <w:t> </w:t>
      </w:r>
      <w:r>
        <w:rPr>
          <w:rFonts w:ascii="Arial" w:hAnsi="Arial" w:cs="Arial" w:eastAsia="Arial" w:hint="default"/>
        </w:rPr>
        <w:t>8</w:t>
      </w:r>
      <w:r>
        <w:rPr>
          <w:rFonts w:ascii="Arial" w:hAnsi="Arial" w:cs="Arial" w:eastAsia="Arial" w:hint="default"/>
          <w:spacing w:val="-13"/>
        </w:rPr>
        <w:t> </w:t>
      </w:r>
      <w:r>
        <w:rPr/>
        <w:t>月</w:t>
      </w:r>
      <w:r>
        <w:rPr>
          <w:spacing w:val="-58"/>
        </w:rPr>
        <w:t> </w:t>
      </w:r>
      <w:r>
        <w:rPr>
          <w:rFonts w:ascii="Arial" w:hAnsi="Arial" w:cs="Arial" w:eastAsia="Arial" w:hint="default"/>
        </w:rPr>
        <w:t>24</w:t>
      </w:r>
      <w:r>
        <w:rPr>
          <w:rFonts w:ascii="Arial" w:hAnsi="Arial" w:cs="Arial" w:eastAsia="Arial" w:hint="default"/>
          <w:spacing w:val="-13"/>
        </w:rPr>
        <w:t> </w:t>
      </w:r>
      <w:r>
        <w:rPr/>
        <w:t>日召开第六届董事会第六十八次会议，审议并通过了《关于聘任杨宪君先生为公司副总经理的议案》，聘任杨宪君先生为公司副总</w:t>
      </w:r>
      <w:r>
        <w:rPr>
          <w:w w:val="100"/>
        </w:rPr>
        <w:t> </w:t>
      </w:r>
      <w:r>
        <w:rPr/>
        <w:t>经理。</w:t>
      </w:r>
      <w:r>
        <w:rPr>
          <w:rFonts w:ascii="宋体" w:hAnsi="宋体" w:cs="宋体" w:eastAsia="宋体" w:hint="default"/>
        </w:rPr>
        <w:t> </w:t>
      </w:r>
    </w:p>
    <w:p>
      <w:pPr>
        <w:pStyle w:val="BodyText"/>
        <w:spacing w:line="240" w:lineRule="auto" w:before="25"/>
        <w:ind w:left="664" w:right="0"/>
        <w:jc w:val="left"/>
        <w:rPr>
          <w:rFonts w:ascii="宋体" w:hAnsi="宋体" w:cs="宋体" w:eastAsia="宋体" w:hint="default"/>
        </w:rPr>
      </w:pPr>
      <w:r>
        <w:rPr>
          <w:rFonts w:ascii="宋体"/>
          <w:w w:val="100"/>
        </w:rPr>
        <w:t> </w:t>
      </w:r>
    </w:p>
    <w:p>
      <w:pPr>
        <w:pStyle w:val="Heading2"/>
        <w:spacing w:line="240" w:lineRule="auto" w:before="58"/>
        <w:ind w:left="24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2"/>
        <w:spacing w:line="290" w:lineRule="auto" w:before="29"/>
        <w:ind w:left="244" w:right="7957"/>
        <w:jc w:val="left"/>
        <w:rPr>
          <w:b w:val="0"/>
          <w:bCs w:val="0"/>
        </w:rPr>
      </w:pPr>
      <w:r>
        <w:rPr>
          <w:rFonts w:ascii="宋体" w:hAnsi="宋体" w:cs="宋体" w:eastAsia="宋体" w:hint="default"/>
          <w:b w:val="0"/>
          <w:bCs w:val="0"/>
        </w:rPr>
        <w:t>□适用 </w:t>
      </w:r>
      <w:r>
        <w:rPr>
          <w:rFonts w:ascii="宋体" w:hAnsi="宋体" w:cs="宋体" w:eastAsia="宋体" w:hint="default"/>
          <w:b w:val="0"/>
          <w:bCs w:val="0"/>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4" w:lineRule="exact"/>
        <w:ind w:left="2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705.5pt;height:1pt;mso-position-horizontal-relative:char;mso-position-vertical-relative:line" coordorigin="0,0" coordsize="14110,20">
            <v:group style="position:absolute;left:10;top:10;width:2799;height:2" coordorigin="10,10" coordsize="2799,2">
              <v:shape style="position:absolute;left:10;top:10;width:2799;height:2" coordorigin="10,10" coordsize="2799,0" path="m10,10l2808,10e" filled="false" stroked="true" strokeweight=".96001pt" strokecolor="#41b7ee">
                <v:path arrowok="t"/>
              </v:shape>
            </v:group>
            <v:group style="position:absolute;left:2808;top:10;width:58;height:2" coordorigin="2808,10" coordsize="58,2">
              <v:shape style="position:absolute;left:2808;top:10;width:58;height:2" coordorigin="2808,10" coordsize="58,0" path="m2808,10l2866,10e" filled="false" stroked="true" strokeweight=".96001pt" strokecolor="#41b7ee">
                <v:path arrowok="t"/>
              </v:shape>
            </v:group>
            <v:group style="position:absolute;left:2866;top:10;width:3627;height:2" coordorigin="2866,10" coordsize="3627,2">
              <v:shape style="position:absolute;left:2866;top:10;width:3627;height:2" coordorigin="2866,10" coordsize="3627,0" path="m2866,10l6493,10e" filled="false" stroked="true" strokeweight=".96001pt" strokecolor="#41b7ee">
                <v:path arrowok="t"/>
              </v:shape>
            </v:group>
            <v:group style="position:absolute;left:6493;top:10;width:58;height:2" coordorigin="6493,10" coordsize="58,2">
              <v:shape style="position:absolute;left:6493;top:10;width:58;height:2" coordorigin="6493,10" coordsize="58,0" path="m6493,10l6551,10e" filled="false" stroked="true" strokeweight=".96001pt" strokecolor="#41b7ee">
                <v:path arrowok="t"/>
              </v:shape>
            </v:group>
            <v:group style="position:absolute;left:6551;top:10;width:2778;height:2" coordorigin="6551,10" coordsize="2778,2">
              <v:shape style="position:absolute;left:6551;top:10;width:2778;height:2" coordorigin="6551,10" coordsize="2778,0" path="m6551,10l9328,10e" filled="false" stroked="true" strokeweight=".96001pt" strokecolor="#41b7ee">
                <v:path arrowok="t"/>
              </v:shape>
            </v:group>
            <v:group style="position:absolute;left:9328;top:10;width:58;height:2" coordorigin="9328,10" coordsize="58,2">
              <v:shape style="position:absolute;left:9328;top:10;width:58;height:2" coordorigin="9328,10" coordsize="58,0" path="m9328,10l9385,10e" filled="false" stroked="true" strokeweight=".96001pt" strokecolor="#41b7ee">
                <v:path arrowok="t"/>
              </v:shape>
            </v:group>
            <v:group style="position:absolute;left:9385;top:10;width:2334;height:2" coordorigin="9385,10" coordsize="2334,2">
              <v:shape style="position:absolute;left:9385;top:10;width:2334;height:2" coordorigin="9385,10" coordsize="2334,0" path="m9385,10l11719,10e" filled="false" stroked="true" strokeweight=".96001pt" strokecolor="#41b7ee">
                <v:path arrowok="t"/>
              </v:shape>
            </v:group>
            <v:group style="position:absolute;left:11719;top:10;width:58;height:2" coordorigin="11719,10" coordsize="58,2">
              <v:shape style="position:absolute;left:11719;top:10;width:58;height:2" coordorigin="11719,10" coordsize="58,0" path="m11719,10l11776,10e" filled="false" stroked="true" strokeweight=".96001pt" strokecolor="#41b7ee">
                <v:path arrowok="t"/>
              </v:shape>
            </v:group>
            <v:group style="position:absolute;left:11776;top:10;width:2324;height:2" coordorigin="11776,10" coordsize="2324,2">
              <v:shape style="position:absolute;left:11776;top:10;width:2324;height:2" coordorigin="11776,10" coordsize="2324,0" path="m11776,10l14100,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07"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365" w:hRule="exact"/>
        </w:trPr>
        <w:tc>
          <w:tcPr>
            <w:tcW w:w="2804"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6"/>
              <w:ind w:left="770" w:right="0"/>
              <w:jc w:val="left"/>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3685"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6"/>
              <w:ind w:left="1207" w:right="0"/>
              <w:jc w:val="left"/>
              <w:rPr>
                <w:rFonts w:ascii="宋体" w:hAnsi="宋体" w:cs="宋体" w:eastAsia="宋体" w:hint="default"/>
                <w:sz w:val="21"/>
                <w:szCs w:val="21"/>
              </w:rPr>
            </w:pPr>
            <w:r>
              <w:rPr>
                <w:rFonts w:ascii="宋体" w:hAnsi="宋体" w:cs="宋体" w:eastAsia="宋体" w:hint="default"/>
                <w:sz w:val="21"/>
                <w:szCs w:val="21"/>
              </w:rPr>
              <w:t>股东单位名称</w:t>
            </w:r>
            <w:r>
              <w:rPr>
                <w:rFonts w:ascii="宋体" w:hAnsi="宋体" w:cs="宋体" w:eastAsia="宋体" w:hint="default"/>
                <w:sz w:val="21"/>
                <w:szCs w:val="21"/>
              </w:rPr>
              <w:t> </w:t>
            </w:r>
          </w:p>
        </w:tc>
        <w:tc>
          <w:tcPr>
            <w:tcW w:w="2835"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6"/>
              <w:ind w:left="362"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r>
              <w:rPr>
                <w:rFonts w:ascii="宋体" w:hAnsi="宋体" w:cs="宋体" w:eastAsia="宋体" w:hint="default"/>
                <w:sz w:val="21"/>
                <w:szCs w:val="21"/>
              </w:rPr>
              <w:t> </w:t>
            </w:r>
          </w:p>
        </w:tc>
        <w:tc>
          <w:tcPr>
            <w:tcW w:w="2391"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6"/>
              <w:ind w:left="561" w:right="0"/>
              <w:jc w:val="left"/>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2376"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6"/>
              <w:ind w:left="551" w:right="0"/>
              <w:jc w:val="left"/>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r>
      <w:tr>
        <w:trPr>
          <w:trHeight w:val="370" w:hRule="exact"/>
        </w:trPr>
        <w:tc>
          <w:tcPr>
            <w:tcW w:w="280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9"/>
              <w:ind w:left="108" w:right="0"/>
              <w:jc w:val="left"/>
              <w:rPr>
                <w:rFonts w:ascii="宋体" w:hAnsi="宋体" w:cs="宋体" w:eastAsia="宋体" w:hint="default"/>
                <w:sz w:val="21"/>
                <w:szCs w:val="21"/>
              </w:rPr>
            </w:pPr>
            <w:r>
              <w:rPr>
                <w:rFonts w:ascii="宋体" w:hAnsi="宋体" w:cs="宋体" w:eastAsia="宋体" w:hint="default"/>
                <w:sz w:val="21"/>
                <w:szCs w:val="21"/>
              </w:rPr>
              <w:t>宋颀年</w:t>
            </w:r>
            <w:r>
              <w:rPr>
                <w:rFonts w:ascii="宋体" w:hAnsi="宋体" w:cs="宋体" w:eastAsia="宋体" w:hint="default"/>
                <w:sz w:val="21"/>
                <w:szCs w:val="21"/>
              </w:rPr>
              <w:t> </w:t>
            </w:r>
          </w:p>
        </w:tc>
        <w:tc>
          <w:tcPr>
            <w:tcW w:w="368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集团总公司资产经营部</w:t>
            </w:r>
            <w:r>
              <w:rPr>
                <w:rFonts w:ascii="宋体" w:hAnsi="宋体" w:cs="宋体" w:eastAsia="宋体" w:hint="default"/>
                <w:sz w:val="21"/>
                <w:szCs w:val="21"/>
              </w:rPr>
              <w:t> </w:t>
            </w:r>
          </w:p>
        </w:tc>
        <w:tc>
          <w:tcPr>
            <w:tcW w:w="283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部长</w:t>
            </w:r>
            <w:r>
              <w:rPr>
                <w:rFonts w:ascii="宋体" w:hAnsi="宋体" w:cs="宋体" w:eastAsia="宋体" w:hint="default"/>
                <w:sz w:val="21"/>
                <w:szCs w:val="21"/>
              </w:rPr>
              <w:t> </w:t>
            </w:r>
          </w:p>
        </w:tc>
        <w:tc>
          <w:tcPr>
            <w:tcW w:w="2391" w:type="dxa"/>
            <w:tcBorders>
              <w:top w:val="single" w:sz="4" w:space="0" w:color="41B7EE"/>
              <w:left w:val="single" w:sz="4" w:space="0" w:color="41B7EE"/>
              <w:bottom w:val="single" w:sz="4" w:space="0" w:color="41B7EE"/>
              <w:right w:val="single" w:sz="4" w:space="0" w:color="41B7EE"/>
            </w:tcBorders>
          </w:tcPr>
          <w:p>
            <w:pPr>
              <w:pStyle w:val="TableParagraph"/>
              <w:spacing w:line="319" w:lineRule="exact"/>
              <w:ind w:left="105" w:right="0"/>
              <w:jc w:val="left"/>
              <w:rPr>
                <w:rFonts w:ascii="微软雅黑" w:hAnsi="微软雅黑" w:cs="微软雅黑" w:eastAsia="微软雅黑" w:hint="default"/>
                <w:sz w:val="21"/>
                <w:szCs w:val="21"/>
              </w:rPr>
            </w:pPr>
            <w:r>
              <w:rPr>
                <w:rFonts w:ascii="Arial" w:hAnsi="Arial" w:cs="Arial" w:eastAsia="Arial" w:hint="default"/>
                <w:sz w:val="21"/>
                <w:szCs w:val="21"/>
              </w:rPr>
              <w:t>2011 </w:t>
            </w:r>
            <w:r>
              <w:rPr>
                <w:rFonts w:ascii="微软雅黑" w:hAnsi="微软雅黑" w:cs="微软雅黑" w:eastAsia="微软雅黑" w:hint="default"/>
                <w:sz w:val="21"/>
                <w:szCs w:val="21"/>
              </w:rPr>
              <w:t>年 </w:t>
            </w:r>
            <w:r>
              <w:rPr>
                <w:rFonts w:ascii="Arial" w:hAnsi="Arial" w:cs="Arial" w:eastAsia="Arial" w:hint="default"/>
                <w:sz w:val="21"/>
                <w:szCs w:val="21"/>
              </w:rPr>
              <w:t>05</w:t>
            </w:r>
            <w:r>
              <w:rPr>
                <w:rFonts w:ascii="Arial" w:hAnsi="Arial" w:cs="Arial" w:eastAsia="Arial" w:hint="default"/>
                <w:spacing w:val="-21"/>
                <w:sz w:val="21"/>
                <w:szCs w:val="21"/>
              </w:rPr>
              <w:t> </w:t>
            </w:r>
            <w:r>
              <w:rPr>
                <w:rFonts w:ascii="微软雅黑" w:hAnsi="微软雅黑" w:cs="微软雅黑" w:eastAsia="微软雅黑" w:hint="default"/>
                <w:sz w:val="21"/>
                <w:szCs w:val="21"/>
              </w:rPr>
              <w:t>月</w:t>
            </w:r>
          </w:p>
        </w:tc>
        <w:tc>
          <w:tcPr>
            <w:tcW w:w="237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9"/>
              <w:ind w:left="103" w:right="0"/>
              <w:jc w:val="left"/>
              <w:rPr>
                <w:rFonts w:ascii="宋体" w:hAnsi="宋体" w:cs="宋体" w:eastAsia="宋体" w:hint="default"/>
                <w:sz w:val="21"/>
                <w:szCs w:val="21"/>
              </w:rPr>
            </w:pPr>
            <w:r>
              <w:rPr>
                <w:rFonts w:ascii="宋体"/>
                <w:w w:val="100"/>
                <w:sz w:val="21"/>
              </w:rPr>
              <w:t> </w:t>
            </w:r>
          </w:p>
        </w:tc>
      </w:tr>
      <w:tr>
        <w:trPr>
          <w:trHeight w:val="370" w:hRule="exact"/>
        </w:trPr>
        <w:tc>
          <w:tcPr>
            <w:tcW w:w="280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潘正平</w:t>
            </w:r>
            <w:r>
              <w:rPr>
                <w:rFonts w:ascii="宋体" w:hAnsi="宋体" w:cs="宋体" w:eastAsia="宋体" w:hint="default"/>
                <w:sz w:val="21"/>
                <w:szCs w:val="21"/>
              </w:rPr>
              <w:t> </w:t>
            </w:r>
          </w:p>
        </w:tc>
        <w:tc>
          <w:tcPr>
            <w:tcW w:w="368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集团总公司审计部</w:t>
            </w:r>
            <w:r>
              <w:rPr>
                <w:rFonts w:ascii="宋体" w:hAnsi="宋体" w:cs="宋体" w:eastAsia="宋体" w:hint="default"/>
                <w:sz w:val="21"/>
                <w:szCs w:val="21"/>
              </w:rPr>
              <w:t> </w:t>
            </w:r>
          </w:p>
        </w:tc>
        <w:tc>
          <w:tcPr>
            <w:tcW w:w="283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部长</w:t>
            </w:r>
            <w:r>
              <w:rPr>
                <w:rFonts w:ascii="宋体" w:hAnsi="宋体" w:cs="宋体" w:eastAsia="宋体" w:hint="default"/>
                <w:sz w:val="21"/>
                <w:szCs w:val="21"/>
              </w:rPr>
              <w:t> </w:t>
            </w:r>
          </w:p>
        </w:tc>
        <w:tc>
          <w:tcPr>
            <w:tcW w:w="2391" w:type="dxa"/>
            <w:tcBorders>
              <w:top w:val="single" w:sz="4" w:space="0" w:color="41B7EE"/>
              <w:left w:val="single" w:sz="4" w:space="0" w:color="41B7EE"/>
              <w:bottom w:val="single" w:sz="4" w:space="0" w:color="41B7EE"/>
              <w:right w:val="single" w:sz="4" w:space="0" w:color="41B7EE"/>
            </w:tcBorders>
          </w:tcPr>
          <w:p>
            <w:pPr>
              <w:pStyle w:val="TableParagraph"/>
              <w:spacing w:line="319" w:lineRule="exact"/>
              <w:ind w:left="105" w:right="0"/>
              <w:jc w:val="left"/>
              <w:rPr>
                <w:rFonts w:ascii="微软雅黑" w:hAnsi="微软雅黑" w:cs="微软雅黑" w:eastAsia="微软雅黑" w:hint="default"/>
                <w:sz w:val="21"/>
                <w:szCs w:val="21"/>
              </w:rPr>
            </w:pPr>
            <w:r>
              <w:rPr>
                <w:rFonts w:ascii="Arial" w:hAnsi="Arial" w:cs="Arial" w:eastAsia="Arial" w:hint="default"/>
                <w:sz w:val="21"/>
                <w:szCs w:val="21"/>
              </w:rPr>
              <w:t>2013</w:t>
            </w:r>
            <w:r>
              <w:rPr>
                <w:rFonts w:ascii="Arial" w:hAnsi="Arial" w:cs="Arial" w:eastAsia="Arial" w:hint="default"/>
                <w:spacing w:val="-5"/>
                <w:sz w:val="21"/>
                <w:szCs w:val="21"/>
              </w:rPr>
              <w:t> </w:t>
            </w:r>
            <w:r>
              <w:rPr>
                <w:rFonts w:ascii="微软雅黑" w:hAnsi="微软雅黑" w:cs="微软雅黑" w:eastAsia="微软雅黑" w:hint="default"/>
                <w:sz w:val="21"/>
                <w:szCs w:val="21"/>
              </w:rPr>
              <w:t>年</w:t>
            </w:r>
          </w:p>
        </w:tc>
        <w:tc>
          <w:tcPr>
            <w:tcW w:w="237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1"/>
              <w:ind w:left="103" w:right="0"/>
              <w:jc w:val="left"/>
              <w:rPr>
                <w:rFonts w:ascii="宋体" w:hAnsi="宋体" w:cs="宋体" w:eastAsia="宋体" w:hint="default"/>
                <w:sz w:val="21"/>
                <w:szCs w:val="21"/>
              </w:rPr>
            </w:pPr>
            <w:r>
              <w:rPr>
                <w:rFonts w:ascii="宋体"/>
                <w:w w:val="100"/>
                <w:sz w:val="21"/>
              </w:rPr>
              <w:t> </w:t>
            </w:r>
          </w:p>
        </w:tc>
      </w:tr>
      <w:tr>
        <w:trPr>
          <w:trHeight w:val="384" w:hRule="exact"/>
        </w:trPr>
        <w:tc>
          <w:tcPr>
            <w:tcW w:w="2804"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r>
              <w:rPr>
                <w:rFonts w:ascii="宋体" w:hAnsi="宋体" w:cs="宋体" w:eastAsia="宋体" w:hint="default"/>
                <w:sz w:val="21"/>
                <w:szCs w:val="21"/>
              </w:rPr>
              <w:t> </w:t>
            </w:r>
          </w:p>
        </w:tc>
        <w:tc>
          <w:tcPr>
            <w:tcW w:w="11286" w:type="dxa"/>
            <w:gridSpan w:val="4"/>
            <w:tcBorders>
              <w:top w:val="single" w:sz="4" w:space="0" w:color="41B7EE"/>
              <w:left w:val="single" w:sz="4" w:space="0" w:color="41B7EE"/>
              <w:bottom w:val="single" w:sz="23"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Heading2"/>
        <w:spacing w:line="240" w:lineRule="auto" w:before="44"/>
        <w:ind w:left="24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2"/>
        <w:ind w:left="2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04"/>
        <w:gridCol w:w="4109"/>
        <w:gridCol w:w="2410"/>
        <w:gridCol w:w="2377"/>
        <w:gridCol w:w="2390"/>
      </w:tblGrid>
      <w:tr>
        <w:trPr>
          <w:trHeight w:val="384" w:hRule="exact"/>
        </w:trPr>
        <w:tc>
          <w:tcPr>
            <w:tcW w:w="2804"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7"/>
              <w:ind w:left="770" w:right="0"/>
              <w:jc w:val="left"/>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4109"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7"/>
              <w:ind w:left="1418" w:right="0"/>
              <w:jc w:val="left"/>
              <w:rPr>
                <w:rFonts w:ascii="宋体" w:hAnsi="宋体" w:cs="宋体" w:eastAsia="宋体" w:hint="default"/>
                <w:sz w:val="21"/>
                <w:szCs w:val="21"/>
              </w:rPr>
            </w:pPr>
            <w:r>
              <w:rPr>
                <w:rFonts w:ascii="宋体" w:hAnsi="宋体" w:cs="宋体" w:eastAsia="宋体" w:hint="default"/>
                <w:sz w:val="21"/>
                <w:szCs w:val="21"/>
              </w:rPr>
              <w:t>其他单位名称</w:t>
            </w:r>
            <w:r>
              <w:rPr>
                <w:rFonts w:ascii="宋体" w:hAnsi="宋体" w:cs="宋体" w:eastAsia="宋体" w:hint="default"/>
                <w:sz w:val="21"/>
                <w:szCs w:val="21"/>
              </w:rPr>
              <w:t> </w:t>
            </w:r>
          </w:p>
        </w:tc>
        <w:tc>
          <w:tcPr>
            <w:tcW w:w="2410"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7"/>
              <w:ind w:left="148"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r>
              <w:rPr>
                <w:rFonts w:ascii="宋体" w:hAnsi="宋体" w:cs="宋体" w:eastAsia="宋体" w:hint="default"/>
                <w:sz w:val="21"/>
                <w:szCs w:val="21"/>
              </w:rPr>
              <w:t> </w:t>
            </w:r>
          </w:p>
        </w:tc>
        <w:tc>
          <w:tcPr>
            <w:tcW w:w="2377"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7"/>
              <w:ind w:left="554" w:right="0"/>
              <w:jc w:val="left"/>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2390"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7"/>
              <w:ind w:left="561" w:right="0"/>
              <w:jc w:val="left"/>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r>
      <w:tr>
        <w:trPr>
          <w:trHeight w:val="370" w:hRule="exact"/>
        </w:trPr>
        <w:tc>
          <w:tcPr>
            <w:tcW w:w="280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9"/>
              <w:ind w:left="108" w:right="0"/>
              <w:jc w:val="left"/>
              <w:rPr>
                <w:rFonts w:ascii="宋体" w:hAnsi="宋体" w:cs="宋体" w:eastAsia="宋体" w:hint="default"/>
                <w:sz w:val="21"/>
                <w:szCs w:val="21"/>
              </w:rPr>
            </w:pPr>
            <w:r>
              <w:rPr>
                <w:rFonts w:ascii="宋体" w:hAnsi="宋体" w:cs="宋体" w:eastAsia="宋体" w:hint="default"/>
                <w:sz w:val="21"/>
                <w:szCs w:val="21"/>
              </w:rPr>
              <w:t>刘长友</w:t>
            </w:r>
            <w:r>
              <w:rPr>
                <w:rFonts w:ascii="宋体" w:hAnsi="宋体" w:cs="宋体" w:eastAsia="宋体" w:hint="default"/>
                <w:sz w:val="21"/>
                <w:szCs w:val="21"/>
              </w:rPr>
              <w:t> </w:t>
            </w:r>
          </w:p>
        </w:tc>
        <w:tc>
          <w:tcPr>
            <w:tcW w:w="41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黑龙江三聚北大荒生物质新材料有限公司</w:t>
            </w:r>
            <w:r>
              <w:rPr>
                <w:rFonts w:ascii="宋体" w:hAnsi="宋体" w:cs="宋体" w:eastAsia="宋体" w:hint="default"/>
                <w:sz w:val="21"/>
                <w:szCs w:val="21"/>
              </w:rPr>
              <w:t> </w:t>
            </w:r>
          </w:p>
        </w:tc>
        <w:tc>
          <w:tcPr>
            <w:tcW w:w="24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41B7EE"/>
              <w:left w:val="single" w:sz="4" w:space="0" w:color="41B7EE"/>
              <w:bottom w:val="single" w:sz="4" w:space="0" w:color="41B7EE"/>
              <w:right w:val="single" w:sz="4" w:space="0" w:color="41B7EE"/>
            </w:tcBorders>
          </w:tcPr>
          <w:p>
            <w:pPr>
              <w:pStyle w:val="TableParagraph"/>
              <w:spacing w:line="319" w:lineRule="exact"/>
              <w:ind w:left="105" w:right="0"/>
              <w:jc w:val="left"/>
              <w:rPr>
                <w:rFonts w:ascii="微软雅黑" w:hAnsi="微软雅黑" w:cs="微软雅黑" w:eastAsia="微软雅黑" w:hint="default"/>
                <w:sz w:val="21"/>
                <w:szCs w:val="21"/>
              </w:rPr>
            </w:pPr>
            <w:r>
              <w:rPr>
                <w:rFonts w:ascii="Arial" w:hAnsi="Arial" w:cs="Arial" w:eastAsia="Arial" w:hint="default"/>
                <w:sz w:val="21"/>
                <w:szCs w:val="21"/>
              </w:rPr>
              <w:t>2016</w:t>
            </w:r>
            <w:r>
              <w:rPr>
                <w:rFonts w:ascii="Arial" w:hAnsi="Arial" w:cs="Arial" w:eastAsia="Arial" w:hint="default"/>
                <w:spacing w:val="-5"/>
                <w:sz w:val="21"/>
                <w:szCs w:val="21"/>
              </w:rPr>
              <w:t> </w:t>
            </w:r>
            <w:r>
              <w:rPr>
                <w:rFonts w:ascii="微软雅黑" w:hAnsi="微软雅黑" w:cs="微软雅黑" w:eastAsia="微软雅黑" w:hint="default"/>
                <w:sz w:val="21"/>
                <w:szCs w:val="21"/>
              </w:rPr>
              <w:t>年</w:t>
            </w:r>
          </w:p>
        </w:tc>
        <w:tc>
          <w:tcPr>
            <w:tcW w:w="239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w w:val="100"/>
                <w:sz w:val="21"/>
              </w:rPr>
              <w:t> </w:t>
            </w:r>
          </w:p>
        </w:tc>
      </w:tr>
      <w:tr>
        <w:trPr>
          <w:trHeight w:val="370" w:hRule="exact"/>
        </w:trPr>
        <w:tc>
          <w:tcPr>
            <w:tcW w:w="280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9"/>
              <w:ind w:left="108" w:right="0"/>
              <w:jc w:val="left"/>
              <w:rPr>
                <w:rFonts w:ascii="宋体" w:hAnsi="宋体" w:cs="宋体" w:eastAsia="宋体" w:hint="default"/>
                <w:sz w:val="21"/>
                <w:szCs w:val="21"/>
              </w:rPr>
            </w:pPr>
            <w:r>
              <w:rPr>
                <w:rFonts w:ascii="宋体" w:hAnsi="宋体" w:cs="宋体" w:eastAsia="宋体" w:hint="default"/>
                <w:sz w:val="21"/>
                <w:szCs w:val="21"/>
              </w:rPr>
              <w:t>贺天元</w:t>
            </w:r>
            <w:r>
              <w:rPr>
                <w:rFonts w:ascii="宋体" w:hAnsi="宋体" w:cs="宋体" w:eastAsia="宋体" w:hint="default"/>
                <w:sz w:val="21"/>
                <w:szCs w:val="21"/>
              </w:rPr>
              <w:t> </w:t>
            </w:r>
          </w:p>
        </w:tc>
        <w:tc>
          <w:tcPr>
            <w:tcW w:w="41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黑龙江三聚北大荒生物质新材料有限公司</w:t>
            </w:r>
            <w:r>
              <w:rPr>
                <w:rFonts w:ascii="宋体" w:hAnsi="宋体" w:cs="宋体" w:eastAsia="宋体" w:hint="default"/>
                <w:sz w:val="21"/>
                <w:szCs w:val="21"/>
              </w:rPr>
              <w:t> </w:t>
            </w:r>
          </w:p>
        </w:tc>
        <w:tc>
          <w:tcPr>
            <w:tcW w:w="24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41B7EE"/>
              <w:left w:val="single" w:sz="4" w:space="0" w:color="41B7EE"/>
              <w:bottom w:val="single" w:sz="4" w:space="0" w:color="41B7EE"/>
              <w:right w:val="single" w:sz="4" w:space="0" w:color="41B7EE"/>
            </w:tcBorders>
          </w:tcPr>
          <w:p>
            <w:pPr>
              <w:pStyle w:val="TableParagraph"/>
              <w:spacing w:line="319" w:lineRule="exact"/>
              <w:ind w:left="105" w:right="0"/>
              <w:jc w:val="left"/>
              <w:rPr>
                <w:rFonts w:ascii="微软雅黑" w:hAnsi="微软雅黑" w:cs="微软雅黑" w:eastAsia="微软雅黑" w:hint="default"/>
                <w:sz w:val="21"/>
                <w:szCs w:val="21"/>
              </w:rPr>
            </w:pPr>
            <w:r>
              <w:rPr>
                <w:rFonts w:ascii="Arial" w:hAnsi="Arial" w:cs="Arial" w:eastAsia="Arial" w:hint="default"/>
                <w:sz w:val="21"/>
                <w:szCs w:val="21"/>
              </w:rPr>
              <w:t>2016</w:t>
            </w:r>
            <w:r>
              <w:rPr>
                <w:rFonts w:ascii="Arial" w:hAnsi="Arial" w:cs="Arial" w:eastAsia="Arial" w:hint="default"/>
                <w:spacing w:val="-5"/>
                <w:sz w:val="21"/>
                <w:szCs w:val="21"/>
              </w:rPr>
              <w:t> </w:t>
            </w:r>
            <w:r>
              <w:rPr>
                <w:rFonts w:ascii="微软雅黑" w:hAnsi="微软雅黑" w:cs="微软雅黑" w:eastAsia="微软雅黑" w:hint="default"/>
                <w:sz w:val="21"/>
                <w:szCs w:val="21"/>
              </w:rPr>
              <w:t>年</w:t>
            </w:r>
          </w:p>
        </w:tc>
        <w:tc>
          <w:tcPr>
            <w:tcW w:w="239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w w:val="100"/>
                <w:sz w:val="21"/>
              </w:rPr>
              <w:t> </w:t>
            </w:r>
          </w:p>
        </w:tc>
      </w:tr>
      <w:tr>
        <w:trPr>
          <w:trHeight w:val="372" w:hRule="exact"/>
        </w:trPr>
        <w:tc>
          <w:tcPr>
            <w:tcW w:w="280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杨占海</w:t>
            </w:r>
            <w:r>
              <w:rPr>
                <w:rFonts w:ascii="宋体" w:hAnsi="宋体" w:cs="宋体" w:eastAsia="宋体" w:hint="default"/>
                <w:sz w:val="21"/>
                <w:szCs w:val="21"/>
              </w:rPr>
              <w:t> </w:t>
            </w:r>
          </w:p>
        </w:tc>
        <w:tc>
          <w:tcPr>
            <w:tcW w:w="41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大兴安岭农村商业银行股份有限公司</w:t>
            </w:r>
            <w:r>
              <w:rPr>
                <w:rFonts w:ascii="宋体" w:hAnsi="宋体" w:cs="宋体" w:eastAsia="宋体" w:hint="default"/>
                <w:sz w:val="21"/>
                <w:szCs w:val="21"/>
              </w:rPr>
              <w:t> </w:t>
            </w:r>
          </w:p>
        </w:tc>
        <w:tc>
          <w:tcPr>
            <w:tcW w:w="24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41B7EE"/>
              <w:left w:val="single" w:sz="4" w:space="0" w:color="41B7EE"/>
              <w:bottom w:val="single" w:sz="4" w:space="0" w:color="41B7EE"/>
              <w:right w:val="single" w:sz="4" w:space="0" w:color="41B7EE"/>
            </w:tcBorders>
          </w:tcPr>
          <w:p>
            <w:pPr>
              <w:pStyle w:val="TableParagraph"/>
              <w:spacing w:line="319" w:lineRule="exact"/>
              <w:ind w:left="105" w:right="0"/>
              <w:jc w:val="left"/>
              <w:rPr>
                <w:rFonts w:ascii="微软雅黑" w:hAnsi="微软雅黑" w:cs="微软雅黑" w:eastAsia="微软雅黑"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微软雅黑" w:hAnsi="微软雅黑" w:cs="微软雅黑" w:eastAsia="微软雅黑" w:hint="default"/>
                <w:sz w:val="21"/>
                <w:szCs w:val="21"/>
              </w:rPr>
              <w:t>年</w:t>
            </w:r>
          </w:p>
        </w:tc>
        <w:tc>
          <w:tcPr>
            <w:tcW w:w="239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1"/>
              <w:ind w:left="105" w:right="0"/>
              <w:jc w:val="left"/>
              <w:rPr>
                <w:rFonts w:ascii="宋体" w:hAnsi="宋体" w:cs="宋体" w:eastAsia="宋体" w:hint="default"/>
                <w:sz w:val="21"/>
                <w:szCs w:val="21"/>
              </w:rPr>
            </w:pPr>
            <w:r>
              <w:rPr>
                <w:rFonts w:ascii="宋体"/>
                <w:w w:val="100"/>
                <w:sz w:val="21"/>
              </w:rPr>
              <w:t> </w:t>
            </w:r>
          </w:p>
        </w:tc>
      </w:tr>
      <w:tr>
        <w:trPr>
          <w:trHeight w:val="370" w:hRule="exact"/>
        </w:trPr>
        <w:tc>
          <w:tcPr>
            <w:tcW w:w="280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9"/>
              <w:ind w:left="108" w:right="0"/>
              <w:jc w:val="left"/>
              <w:rPr>
                <w:rFonts w:ascii="宋体" w:hAnsi="宋体" w:cs="宋体" w:eastAsia="宋体" w:hint="default"/>
                <w:sz w:val="21"/>
                <w:szCs w:val="21"/>
              </w:rPr>
            </w:pPr>
            <w:r>
              <w:rPr>
                <w:rFonts w:ascii="宋体" w:hAnsi="宋体" w:cs="宋体" w:eastAsia="宋体" w:hint="default"/>
                <w:sz w:val="21"/>
                <w:szCs w:val="21"/>
              </w:rPr>
              <w:t>王永德</w:t>
            </w:r>
            <w:r>
              <w:rPr>
                <w:rFonts w:ascii="宋体" w:hAnsi="宋体" w:cs="宋体" w:eastAsia="宋体" w:hint="default"/>
                <w:sz w:val="21"/>
                <w:szCs w:val="21"/>
              </w:rPr>
              <w:t> </w:t>
            </w:r>
          </w:p>
        </w:tc>
        <w:tc>
          <w:tcPr>
            <w:tcW w:w="41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黑龙江八一农垦大学会计学院</w:t>
            </w:r>
            <w:r>
              <w:rPr>
                <w:rFonts w:ascii="宋体" w:hAnsi="宋体" w:cs="宋体" w:eastAsia="宋体" w:hint="default"/>
                <w:sz w:val="21"/>
                <w:szCs w:val="21"/>
              </w:rPr>
              <w:t> </w:t>
            </w:r>
          </w:p>
        </w:tc>
        <w:tc>
          <w:tcPr>
            <w:tcW w:w="24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教授</w:t>
            </w:r>
            <w:r>
              <w:rPr>
                <w:rFonts w:ascii="宋体" w:hAnsi="宋体" w:cs="宋体" w:eastAsia="宋体" w:hint="default"/>
                <w:sz w:val="21"/>
                <w:szCs w:val="21"/>
              </w:rPr>
              <w:t> </w:t>
            </w:r>
          </w:p>
        </w:tc>
        <w:tc>
          <w:tcPr>
            <w:tcW w:w="2377" w:type="dxa"/>
            <w:tcBorders>
              <w:top w:val="single" w:sz="4" w:space="0" w:color="41B7EE"/>
              <w:left w:val="single" w:sz="4" w:space="0" w:color="41B7EE"/>
              <w:bottom w:val="single" w:sz="4" w:space="0" w:color="41B7EE"/>
              <w:right w:val="single" w:sz="4" w:space="0" w:color="41B7EE"/>
            </w:tcBorders>
          </w:tcPr>
          <w:p>
            <w:pPr>
              <w:pStyle w:val="TableParagraph"/>
              <w:spacing w:line="319" w:lineRule="exact"/>
              <w:ind w:left="105" w:right="0"/>
              <w:jc w:val="left"/>
              <w:rPr>
                <w:rFonts w:ascii="微软雅黑" w:hAnsi="微软雅黑" w:cs="微软雅黑" w:eastAsia="微软雅黑" w:hint="default"/>
                <w:sz w:val="21"/>
                <w:szCs w:val="21"/>
              </w:rPr>
            </w:pPr>
            <w:r>
              <w:rPr>
                <w:rFonts w:ascii="Arial" w:hAnsi="Arial" w:cs="Arial" w:eastAsia="Arial" w:hint="default"/>
                <w:sz w:val="21"/>
                <w:szCs w:val="21"/>
              </w:rPr>
              <w:t>2012 </w:t>
            </w:r>
            <w:r>
              <w:rPr>
                <w:rFonts w:ascii="微软雅黑" w:hAnsi="微软雅黑" w:cs="微软雅黑" w:eastAsia="微软雅黑" w:hint="default"/>
                <w:sz w:val="21"/>
                <w:szCs w:val="21"/>
              </w:rPr>
              <w:t>年 </w:t>
            </w:r>
            <w:r>
              <w:rPr>
                <w:rFonts w:ascii="Arial" w:hAnsi="Arial" w:cs="Arial" w:eastAsia="Arial" w:hint="default"/>
                <w:sz w:val="21"/>
                <w:szCs w:val="21"/>
              </w:rPr>
              <w:t>1</w:t>
            </w:r>
            <w:r>
              <w:rPr>
                <w:rFonts w:ascii="Arial" w:hAnsi="Arial" w:cs="Arial" w:eastAsia="Arial" w:hint="default"/>
                <w:spacing w:val="-21"/>
                <w:sz w:val="21"/>
                <w:szCs w:val="21"/>
              </w:rPr>
              <w:t> </w:t>
            </w:r>
            <w:r>
              <w:rPr>
                <w:rFonts w:ascii="微软雅黑" w:hAnsi="微软雅黑" w:cs="微软雅黑" w:eastAsia="微软雅黑" w:hint="default"/>
                <w:sz w:val="21"/>
                <w:szCs w:val="21"/>
              </w:rPr>
              <w:t>月</w:t>
            </w:r>
          </w:p>
        </w:tc>
        <w:tc>
          <w:tcPr>
            <w:tcW w:w="239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w w:val="100"/>
                <w:sz w:val="21"/>
              </w:rPr>
              <w:t> </w:t>
            </w:r>
          </w:p>
        </w:tc>
      </w:tr>
      <w:tr>
        <w:trPr>
          <w:trHeight w:val="370" w:hRule="exact"/>
        </w:trPr>
        <w:tc>
          <w:tcPr>
            <w:tcW w:w="280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9"/>
              <w:ind w:left="108" w:right="0"/>
              <w:jc w:val="left"/>
              <w:rPr>
                <w:rFonts w:ascii="宋体" w:hAnsi="宋体" w:cs="宋体" w:eastAsia="宋体" w:hint="default"/>
                <w:sz w:val="21"/>
                <w:szCs w:val="21"/>
              </w:rPr>
            </w:pPr>
            <w:r>
              <w:rPr>
                <w:rFonts w:ascii="宋体" w:hAnsi="宋体" w:cs="宋体" w:eastAsia="宋体" w:hint="default"/>
                <w:sz w:val="21"/>
                <w:szCs w:val="21"/>
              </w:rPr>
              <w:t>董惠江</w:t>
            </w:r>
            <w:r>
              <w:rPr>
                <w:rFonts w:ascii="宋体" w:hAnsi="宋体" w:cs="宋体" w:eastAsia="宋体" w:hint="default"/>
                <w:sz w:val="21"/>
                <w:szCs w:val="21"/>
              </w:rPr>
              <w:t> </w:t>
            </w:r>
          </w:p>
        </w:tc>
        <w:tc>
          <w:tcPr>
            <w:tcW w:w="41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黑龙江大学民商法博士点</w:t>
            </w:r>
            <w:r>
              <w:rPr>
                <w:rFonts w:ascii="宋体" w:hAnsi="宋体" w:cs="宋体" w:eastAsia="宋体" w:hint="default"/>
                <w:sz w:val="21"/>
                <w:szCs w:val="21"/>
              </w:rPr>
              <w:t> </w:t>
            </w:r>
          </w:p>
        </w:tc>
        <w:tc>
          <w:tcPr>
            <w:tcW w:w="24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博士生导师</w:t>
            </w:r>
            <w:r>
              <w:rPr>
                <w:rFonts w:ascii="宋体" w:hAnsi="宋体" w:cs="宋体" w:eastAsia="宋体" w:hint="default"/>
                <w:sz w:val="21"/>
                <w:szCs w:val="21"/>
              </w:rPr>
              <w:t> </w:t>
            </w:r>
          </w:p>
        </w:tc>
        <w:tc>
          <w:tcPr>
            <w:tcW w:w="2377" w:type="dxa"/>
            <w:tcBorders>
              <w:top w:val="single" w:sz="4" w:space="0" w:color="41B7EE"/>
              <w:left w:val="single" w:sz="4" w:space="0" w:color="41B7EE"/>
              <w:bottom w:val="single" w:sz="4" w:space="0" w:color="41B7EE"/>
              <w:right w:val="single" w:sz="4" w:space="0" w:color="41B7EE"/>
            </w:tcBorders>
          </w:tcPr>
          <w:p>
            <w:pPr>
              <w:pStyle w:val="TableParagraph"/>
              <w:spacing w:line="319" w:lineRule="exact"/>
              <w:ind w:left="105" w:right="0"/>
              <w:jc w:val="left"/>
              <w:rPr>
                <w:rFonts w:ascii="微软雅黑" w:hAnsi="微软雅黑" w:cs="微软雅黑" w:eastAsia="微软雅黑" w:hint="default"/>
                <w:sz w:val="21"/>
                <w:szCs w:val="21"/>
              </w:rPr>
            </w:pPr>
            <w:r>
              <w:rPr>
                <w:rFonts w:ascii="Arial" w:hAnsi="Arial" w:cs="Arial" w:eastAsia="Arial" w:hint="default"/>
                <w:sz w:val="21"/>
                <w:szCs w:val="21"/>
              </w:rPr>
              <w:t>2012 </w:t>
            </w:r>
            <w:r>
              <w:rPr>
                <w:rFonts w:ascii="微软雅黑" w:hAnsi="微软雅黑" w:cs="微软雅黑" w:eastAsia="微软雅黑" w:hint="default"/>
                <w:sz w:val="21"/>
                <w:szCs w:val="21"/>
              </w:rPr>
              <w:t>年 </w:t>
            </w:r>
            <w:r>
              <w:rPr>
                <w:rFonts w:ascii="Arial" w:hAnsi="Arial" w:cs="Arial" w:eastAsia="Arial" w:hint="default"/>
                <w:sz w:val="21"/>
                <w:szCs w:val="21"/>
              </w:rPr>
              <w:t>12</w:t>
            </w:r>
            <w:r>
              <w:rPr>
                <w:rFonts w:ascii="Arial" w:hAnsi="Arial" w:cs="Arial" w:eastAsia="Arial" w:hint="default"/>
                <w:spacing w:val="-21"/>
                <w:sz w:val="21"/>
                <w:szCs w:val="21"/>
              </w:rPr>
              <w:t> </w:t>
            </w:r>
            <w:r>
              <w:rPr>
                <w:rFonts w:ascii="微软雅黑" w:hAnsi="微软雅黑" w:cs="微软雅黑" w:eastAsia="微软雅黑" w:hint="default"/>
                <w:sz w:val="21"/>
                <w:szCs w:val="21"/>
              </w:rPr>
              <w:t>月</w:t>
            </w:r>
          </w:p>
        </w:tc>
        <w:tc>
          <w:tcPr>
            <w:tcW w:w="239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w w:val="100"/>
                <w:sz w:val="21"/>
              </w:rPr>
              <w:t> </w:t>
            </w:r>
          </w:p>
        </w:tc>
      </w:tr>
      <w:tr>
        <w:trPr>
          <w:trHeight w:val="370" w:hRule="exact"/>
        </w:trPr>
        <w:tc>
          <w:tcPr>
            <w:tcW w:w="280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9"/>
              <w:ind w:left="108" w:right="0"/>
              <w:jc w:val="left"/>
              <w:rPr>
                <w:rFonts w:ascii="宋体" w:hAnsi="宋体" w:cs="宋体" w:eastAsia="宋体" w:hint="default"/>
                <w:sz w:val="21"/>
                <w:szCs w:val="21"/>
              </w:rPr>
            </w:pPr>
            <w:r>
              <w:rPr>
                <w:rFonts w:ascii="宋体" w:hAnsi="宋体" w:cs="宋体" w:eastAsia="宋体" w:hint="default"/>
                <w:sz w:val="21"/>
                <w:szCs w:val="21"/>
              </w:rPr>
              <w:t>董惠江</w:t>
            </w:r>
            <w:r>
              <w:rPr>
                <w:rFonts w:ascii="宋体" w:hAnsi="宋体" w:cs="宋体" w:eastAsia="宋体" w:hint="default"/>
                <w:sz w:val="21"/>
                <w:szCs w:val="21"/>
              </w:rPr>
              <w:t> </w:t>
            </w:r>
          </w:p>
        </w:tc>
        <w:tc>
          <w:tcPr>
            <w:tcW w:w="41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江海证券有限公司</w:t>
            </w:r>
            <w:r>
              <w:rPr>
                <w:rFonts w:ascii="宋体" w:hAnsi="宋体" w:cs="宋体" w:eastAsia="宋体" w:hint="default"/>
                <w:sz w:val="21"/>
                <w:szCs w:val="21"/>
              </w:rPr>
              <w:t> </w:t>
            </w:r>
          </w:p>
        </w:tc>
        <w:tc>
          <w:tcPr>
            <w:tcW w:w="24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77" w:type="dxa"/>
            <w:tcBorders>
              <w:top w:val="single" w:sz="4" w:space="0" w:color="41B7EE"/>
              <w:left w:val="single" w:sz="4" w:space="0" w:color="41B7EE"/>
              <w:bottom w:val="single" w:sz="4" w:space="0" w:color="41B7EE"/>
              <w:right w:val="single" w:sz="4" w:space="0" w:color="41B7EE"/>
            </w:tcBorders>
          </w:tcPr>
          <w:p>
            <w:pPr>
              <w:pStyle w:val="TableParagraph"/>
              <w:spacing w:line="319" w:lineRule="exact"/>
              <w:ind w:left="105" w:right="0"/>
              <w:jc w:val="left"/>
              <w:rPr>
                <w:rFonts w:ascii="微软雅黑" w:hAnsi="微软雅黑" w:cs="微软雅黑" w:eastAsia="微软雅黑" w:hint="default"/>
                <w:sz w:val="21"/>
                <w:szCs w:val="21"/>
              </w:rPr>
            </w:pPr>
            <w:r>
              <w:rPr>
                <w:rFonts w:ascii="Arial" w:hAnsi="Arial" w:cs="Arial" w:eastAsia="Arial" w:hint="default"/>
                <w:sz w:val="21"/>
                <w:szCs w:val="21"/>
              </w:rPr>
              <w:t>2014 </w:t>
            </w:r>
            <w:r>
              <w:rPr>
                <w:rFonts w:ascii="微软雅黑" w:hAnsi="微软雅黑" w:cs="微软雅黑" w:eastAsia="微软雅黑" w:hint="default"/>
                <w:sz w:val="21"/>
                <w:szCs w:val="21"/>
              </w:rPr>
              <w:t>年 </w:t>
            </w:r>
            <w:r>
              <w:rPr>
                <w:rFonts w:ascii="Arial" w:hAnsi="Arial" w:cs="Arial" w:eastAsia="Arial" w:hint="default"/>
                <w:sz w:val="21"/>
                <w:szCs w:val="21"/>
              </w:rPr>
              <w:t>1</w:t>
            </w:r>
            <w:r>
              <w:rPr>
                <w:rFonts w:ascii="Arial" w:hAnsi="Arial" w:cs="Arial" w:eastAsia="Arial" w:hint="default"/>
                <w:spacing w:val="-21"/>
                <w:sz w:val="21"/>
                <w:szCs w:val="21"/>
              </w:rPr>
              <w:t> </w:t>
            </w:r>
            <w:r>
              <w:rPr>
                <w:rFonts w:ascii="微软雅黑" w:hAnsi="微软雅黑" w:cs="微软雅黑" w:eastAsia="微软雅黑" w:hint="default"/>
                <w:sz w:val="21"/>
                <w:szCs w:val="21"/>
              </w:rPr>
              <w:t>月</w:t>
            </w:r>
          </w:p>
        </w:tc>
        <w:tc>
          <w:tcPr>
            <w:tcW w:w="239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w w:val="100"/>
                <w:sz w:val="21"/>
              </w:rPr>
              <w:t> </w:t>
            </w:r>
          </w:p>
        </w:tc>
      </w:tr>
      <w:tr>
        <w:trPr>
          <w:trHeight w:val="373" w:hRule="exact"/>
        </w:trPr>
        <w:tc>
          <w:tcPr>
            <w:tcW w:w="280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2"/>
              <w:ind w:left="108" w:right="0"/>
              <w:jc w:val="left"/>
              <w:rPr>
                <w:rFonts w:ascii="宋体" w:hAnsi="宋体" w:cs="宋体" w:eastAsia="宋体" w:hint="default"/>
                <w:sz w:val="21"/>
                <w:szCs w:val="21"/>
              </w:rPr>
            </w:pPr>
            <w:r>
              <w:rPr>
                <w:rFonts w:ascii="宋体" w:hAnsi="宋体" w:cs="宋体" w:eastAsia="宋体" w:hint="default"/>
                <w:sz w:val="21"/>
                <w:szCs w:val="21"/>
              </w:rPr>
              <w:t>董惠江</w:t>
            </w:r>
            <w:r>
              <w:rPr>
                <w:rFonts w:ascii="宋体" w:hAnsi="宋体" w:cs="宋体" w:eastAsia="宋体" w:hint="default"/>
                <w:sz w:val="21"/>
                <w:szCs w:val="21"/>
              </w:rPr>
              <w:t> </w:t>
            </w:r>
          </w:p>
        </w:tc>
        <w:tc>
          <w:tcPr>
            <w:tcW w:w="41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黑龙江惠善信息咨询服务有限责任公司</w:t>
            </w:r>
            <w:r>
              <w:rPr>
                <w:rFonts w:ascii="宋体" w:hAnsi="宋体" w:cs="宋体" w:eastAsia="宋体" w:hint="default"/>
                <w:sz w:val="21"/>
                <w:szCs w:val="21"/>
              </w:rPr>
              <w:t> </w:t>
            </w:r>
          </w:p>
        </w:tc>
        <w:tc>
          <w:tcPr>
            <w:tcW w:w="24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377" w:type="dxa"/>
            <w:tcBorders>
              <w:top w:val="single" w:sz="4" w:space="0" w:color="41B7EE"/>
              <w:left w:val="single" w:sz="4" w:space="0" w:color="41B7EE"/>
              <w:bottom w:val="single" w:sz="4" w:space="0" w:color="41B7EE"/>
              <w:right w:val="single" w:sz="4" w:space="0" w:color="41B7EE"/>
            </w:tcBorders>
          </w:tcPr>
          <w:p>
            <w:pPr>
              <w:pStyle w:val="TableParagraph"/>
              <w:spacing w:line="320" w:lineRule="exact"/>
              <w:ind w:left="105" w:right="0"/>
              <w:jc w:val="left"/>
              <w:rPr>
                <w:rFonts w:ascii="微软雅黑" w:hAnsi="微软雅黑" w:cs="微软雅黑" w:eastAsia="微软雅黑" w:hint="default"/>
                <w:sz w:val="21"/>
                <w:szCs w:val="21"/>
              </w:rPr>
            </w:pPr>
            <w:r>
              <w:rPr>
                <w:rFonts w:ascii="Arial" w:hAnsi="Arial" w:cs="Arial" w:eastAsia="Arial" w:hint="default"/>
                <w:sz w:val="21"/>
                <w:szCs w:val="21"/>
              </w:rPr>
              <w:t>2016</w:t>
            </w:r>
            <w:r>
              <w:rPr>
                <w:rFonts w:ascii="Arial" w:hAnsi="Arial" w:cs="Arial" w:eastAsia="Arial" w:hint="default"/>
                <w:spacing w:val="-5"/>
                <w:sz w:val="21"/>
                <w:szCs w:val="21"/>
              </w:rPr>
              <w:t> </w:t>
            </w:r>
            <w:r>
              <w:rPr>
                <w:rFonts w:ascii="微软雅黑" w:hAnsi="微软雅黑" w:cs="微软雅黑" w:eastAsia="微软雅黑" w:hint="default"/>
                <w:sz w:val="21"/>
                <w:szCs w:val="21"/>
              </w:rPr>
              <w:t>年</w:t>
            </w:r>
          </w:p>
        </w:tc>
        <w:tc>
          <w:tcPr>
            <w:tcW w:w="239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2"/>
              <w:ind w:left="105" w:right="0"/>
              <w:jc w:val="left"/>
              <w:rPr>
                <w:rFonts w:ascii="宋体" w:hAnsi="宋体" w:cs="宋体" w:eastAsia="宋体" w:hint="default"/>
                <w:sz w:val="21"/>
                <w:szCs w:val="21"/>
              </w:rPr>
            </w:pPr>
            <w:r>
              <w:rPr>
                <w:rFonts w:ascii="宋体"/>
                <w:w w:val="100"/>
                <w:sz w:val="21"/>
              </w:rPr>
              <w:t> </w:t>
            </w:r>
          </w:p>
        </w:tc>
      </w:tr>
      <w:tr>
        <w:trPr>
          <w:trHeight w:val="370" w:hRule="exact"/>
        </w:trPr>
        <w:tc>
          <w:tcPr>
            <w:tcW w:w="280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9"/>
              <w:ind w:left="108" w:right="0"/>
              <w:jc w:val="left"/>
              <w:rPr>
                <w:rFonts w:ascii="宋体" w:hAnsi="宋体" w:cs="宋体" w:eastAsia="宋体" w:hint="default"/>
                <w:sz w:val="21"/>
                <w:szCs w:val="21"/>
              </w:rPr>
            </w:pPr>
            <w:r>
              <w:rPr>
                <w:rFonts w:ascii="宋体" w:hAnsi="宋体" w:cs="宋体" w:eastAsia="宋体" w:hint="default"/>
                <w:sz w:val="21"/>
                <w:szCs w:val="21"/>
              </w:rPr>
              <w:t>宋颀年</w:t>
            </w:r>
            <w:r>
              <w:rPr>
                <w:rFonts w:ascii="宋体" w:hAnsi="宋体" w:cs="宋体" w:eastAsia="宋体" w:hint="default"/>
                <w:sz w:val="21"/>
                <w:szCs w:val="21"/>
              </w:rPr>
              <w:t> </w:t>
            </w:r>
          </w:p>
        </w:tc>
        <w:tc>
          <w:tcPr>
            <w:tcW w:w="41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北大荒肉业有限公司</w:t>
            </w:r>
            <w:r>
              <w:rPr>
                <w:rFonts w:ascii="宋体" w:hAnsi="宋体" w:cs="宋体" w:eastAsia="宋体" w:hint="default"/>
                <w:sz w:val="21"/>
                <w:szCs w:val="21"/>
              </w:rPr>
              <w:t> </w:t>
            </w:r>
          </w:p>
        </w:tc>
        <w:tc>
          <w:tcPr>
            <w:tcW w:w="24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41B7EE"/>
              <w:left w:val="single" w:sz="4" w:space="0" w:color="41B7EE"/>
              <w:bottom w:val="single" w:sz="4" w:space="0" w:color="41B7EE"/>
              <w:right w:val="single" w:sz="4" w:space="0" w:color="41B7EE"/>
            </w:tcBorders>
          </w:tcPr>
          <w:p>
            <w:pPr>
              <w:pStyle w:val="TableParagraph"/>
              <w:spacing w:line="319" w:lineRule="exact"/>
              <w:ind w:left="105" w:right="0"/>
              <w:jc w:val="left"/>
              <w:rPr>
                <w:rFonts w:ascii="微软雅黑" w:hAnsi="微软雅黑" w:cs="微软雅黑" w:eastAsia="微软雅黑" w:hint="default"/>
                <w:sz w:val="21"/>
                <w:szCs w:val="21"/>
              </w:rPr>
            </w:pPr>
            <w:r>
              <w:rPr>
                <w:rFonts w:ascii="Arial" w:hAnsi="Arial" w:cs="Arial" w:eastAsia="Arial" w:hint="default"/>
                <w:sz w:val="21"/>
                <w:szCs w:val="21"/>
              </w:rPr>
              <w:t>2011</w:t>
            </w:r>
            <w:r>
              <w:rPr>
                <w:rFonts w:ascii="Arial" w:hAnsi="Arial" w:cs="Arial" w:eastAsia="Arial" w:hint="default"/>
                <w:spacing w:val="-5"/>
                <w:sz w:val="21"/>
                <w:szCs w:val="21"/>
              </w:rPr>
              <w:t> </w:t>
            </w:r>
            <w:r>
              <w:rPr>
                <w:rFonts w:ascii="微软雅黑" w:hAnsi="微软雅黑" w:cs="微软雅黑" w:eastAsia="微软雅黑" w:hint="default"/>
                <w:sz w:val="21"/>
                <w:szCs w:val="21"/>
              </w:rPr>
              <w:t>年</w:t>
            </w:r>
          </w:p>
        </w:tc>
        <w:tc>
          <w:tcPr>
            <w:tcW w:w="239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w w:val="100"/>
                <w:sz w:val="21"/>
              </w:rPr>
              <w:t> </w:t>
            </w:r>
          </w:p>
        </w:tc>
      </w:tr>
      <w:tr>
        <w:trPr>
          <w:trHeight w:val="377" w:hRule="exact"/>
        </w:trPr>
        <w:tc>
          <w:tcPr>
            <w:tcW w:w="2804"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9"/>
              <w:ind w:left="108" w:right="0"/>
              <w:jc w:val="left"/>
              <w:rPr>
                <w:rFonts w:ascii="宋体" w:hAnsi="宋体" w:cs="宋体" w:eastAsia="宋体" w:hint="default"/>
                <w:sz w:val="21"/>
                <w:szCs w:val="21"/>
              </w:rPr>
            </w:pPr>
            <w:r>
              <w:rPr>
                <w:rFonts w:ascii="宋体" w:hAnsi="宋体" w:cs="宋体" w:eastAsia="宋体" w:hint="default"/>
                <w:sz w:val="21"/>
                <w:szCs w:val="21"/>
              </w:rPr>
              <w:t>宋颀年</w:t>
            </w:r>
            <w:r>
              <w:rPr>
                <w:rFonts w:ascii="宋体" w:hAnsi="宋体" w:cs="宋体" w:eastAsia="宋体" w:hint="default"/>
                <w:sz w:val="21"/>
                <w:szCs w:val="21"/>
              </w:rPr>
              <w:t> </w:t>
            </w:r>
          </w:p>
        </w:tc>
        <w:tc>
          <w:tcPr>
            <w:tcW w:w="4109"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北大荒五大连池矿泉水股份有限公司</w:t>
            </w:r>
            <w:r>
              <w:rPr>
                <w:rFonts w:ascii="宋体" w:hAnsi="宋体" w:cs="宋体" w:eastAsia="宋体" w:hint="default"/>
                <w:sz w:val="21"/>
                <w:szCs w:val="21"/>
              </w:rPr>
              <w:t> </w:t>
            </w:r>
          </w:p>
        </w:tc>
        <w:tc>
          <w:tcPr>
            <w:tcW w:w="2410"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41B7EE"/>
              <w:left w:val="single" w:sz="4" w:space="0" w:color="41B7EE"/>
              <w:bottom w:val="single" w:sz="8" w:space="0" w:color="41B7EE"/>
              <w:right w:val="single" w:sz="4" w:space="0" w:color="41B7EE"/>
            </w:tcBorders>
          </w:tcPr>
          <w:p>
            <w:pPr>
              <w:pStyle w:val="TableParagraph"/>
              <w:spacing w:line="319" w:lineRule="exact"/>
              <w:ind w:left="105" w:right="0"/>
              <w:jc w:val="left"/>
              <w:rPr>
                <w:rFonts w:ascii="微软雅黑" w:hAnsi="微软雅黑" w:cs="微软雅黑" w:eastAsia="微软雅黑" w:hint="default"/>
                <w:sz w:val="21"/>
                <w:szCs w:val="21"/>
              </w:rPr>
            </w:pPr>
            <w:r>
              <w:rPr>
                <w:rFonts w:ascii="Arial" w:hAnsi="Arial" w:cs="Arial" w:eastAsia="Arial" w:hint="default"/>
                <w:sz w:val="21"/>
                <w:szCs w:val="21"/>
              </w:rPr>
              <w:t>2011</w:t>
            </w:r>
            <w:r>
              <w:rPr>
                <w:rFonts w:ascii="Arial" w:hAnsi="Arial" w:cs="Arial" w:eastAsia="Arial" w:hint="default"/>
                <w:spacing w:val="-5"/>
                <w:sz w:val="21"/>
                <w:szCs w:val="21"/>
              </w:rPr>
              <w:t> </w:t>
            </w:r>
            <w:r>
              <w:rPr>
                <w:rFonts w:ascii="微软雅黑" w:hAnsi="微软雅黑" w:cs="微软雅黑" w:eastAsia="微软雅黑" w:hint="default"/>
                <w:sz w:val="21"/>
                <w:szCs w:val="21"/>
              </w:rPr>
              <w:t>年</w:t>
            </w:r>
          </w:p>
        </w:tc>
        <w:tc>
          <w:tcPr>
            <w:tcW w:w="2390"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w w:val="100"/>
                <w:sz w:val="21"/>
              </w:rPr>
              <w:t> </w:t>
            </w:r>
          </w:p>
        </w:tc>
      </w:tr>
    </w:tbl>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705.5pt;height:1pt;mso-position-horizontal-relative:char;mso-position-vertical-relative:line" coordorigin="0,0" coordsize="14110,20">
            <v:group style="position:absolute;left:10;top:10;width:2799;height:2" coordorigin="10,10" coordsize="2799,2">
              <v:shape style="position:absolute;left:10;top:10;width:2799;height:2" coordorigin="10,10" coordsize="2799,0" path="m10,10l2808,10e" filled="false" stroked="true" strokeweight=".95999pt" strokecolor="#41b7ee">
                <v:path arrowok="t"/>
              </v:shape>
            </v:group>
            <v:group style="position:absolute;left:2808;top:10;width:58;height:2" coordorigin="2808,10" coordsize="58,2">
              <v:shape style="position:absolute;left:2808;top:10;width:58;height:2" coordorigin="2808,10" coordsize="58,0" path="m2808,10l2866,10e" filled="false" stroked="true" strokeweight=".95999pt" strokecolor="#41b7ee">
                <v:path arrowok="t"/>
              </v:shape>
            </v:group>
            <v:group style="position:absolute;left:2866;top:10;width:4052;height:2" coordorigin="2866,10" coordsize="4052,2">
              <v:shape style="position:absolute;left:2866;top:10;width:4052;height:2" coordorigin="2866,10" coordsize="4052,0" path="m2866,10l6918,10e" filled="false" stroked="true" strokeweight=".95999pt" strokecolor="#41b7ee">
                <v:path arrowok="t"/>
              </v:shape>
            </v:group>
            <v:group style="position:absolute;left:6918;top:10;width:58;height:2" coordorigin="6918,10" coordsize="58,2">
              <v:shape style="position:absolute;left:6918;top:10;width:58;height:2" coordorigin="6918,10" coordsize="58,0" path="m6918,10l6975,10e" filled="false" stroked="true" strokeweight=".95999pt" strokecolor="#41b7ee">
                <v:path arrowok="t"/>
              </v:shape>
            </v:group>
            <v:group style="position:absolute;left:6975;top:10;width:2353;height:2" coordorigin="6975,10" coordsize="2353,2">
              <v:shape style="position:absolute;left:6975;top:10;width:2353;height:2" coordorigin="6975,10" coordsize="2353,0" path="m6975,10l9328,10e" filled="false" stroked="true" strokeweight=".95999pt" strokecolor="#41b7ee">
                <v:path arrowok="t"/>
              </v:shape>
            </v:group>
            <v:group style="position:absolute;left:9328;top:10;width:58;height:2" coordorigin="9328,10" coordsize="58,2">
              <v:shape style="position:absolute;left:9328;top:10;width:58;height:2" coordorigin="9328,10" coordsize="58,0" path="m9328,10l9385,10e" filled="false" stroked="true" strokeweight=".95999pt" strokecolor="#41b7ee">
                <v:path arrowok="t"/>
              </v:shape>
            </v:group>
            <v:group style="position:absolute;left:9385;top:10;width:2319;height:2" coordorigin="9385,10" coordsize="2319,2">
              <v:shape style="position:absolute;left:9385;top:10;width:2319;height:2" coordorigin="9385,10" coordsize="2319,0" path="m9385,10l11704,10e" filled="false" stroked="true" strokeweight=".95999pt" strokecolor="#41b7ee">
                <v:path arrowok="t"/>
              </v:shape>
            </v:group>
            <v:group style="position:absolute;left:11704;top:10;width:58;height:2" coordorigin="11704,10" coordsize="58,2">
              <v:shape style="position:absolute;left:11704;top:10;width:58;height:2" coordorigin="11704,10" coordsize="58,0" path="m11704,10l11762,10e" filled="false" stroked="true" strokeweight=".95999pt" strokecolor="#41b7ee">
                <v:path arrowok="t"/>
              </v:shape>
            </v:group>
            <v:group style="position:absolute;left:11762;top:10;width:2338;height:2" coordorigin="11762,10" coordsize="2338,2">
              <v:shape style="position:absolute;left:11762;top:10;width:2338;height:2" coordorigin="11762,10" coordsize="2338,0" path="m11762,10l14100,10e" filled="false" stroked="true" strokeweight=".95999pt" strokecolor="#41b7ee">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6840" w:h="11910" w:orient="landscape"/>
          <w:pgMar w:header="825" w:footer="1195" w:top="1300" w:bottom="1380" w:left="1280" w:right="1160"/>
        </w:sectPr>
      </w:pPr>
    </w:p>
    <w:p>
      <w:pPr>
        <w:spacing w:line="240" w:lineRule="auto" w:before="12"/>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2804"/>
        <w:gridCol w:w="4109"/>
        <w:gridCol w:w="2410"/>
        <w:gridCol w:w="2377"/>
        <w:gridCol w:w="2390"/>
      </w:tblGrid>
      <w:tr>
        <w:trPr>
          <w:trHeight w:val="403" w:hRule="exact"/>
        </w:trPr>
        <w:tc>
          <w:tcPr>
            <w:tcW w:w="2804" w:type="dxa"/>
            <w:tcBorders>
              <w:top w:val="single" w:sz="29" w:space="0" w:color="41B7EE"/>
              <w:left w:val="nil" w:sz="6" w:space="0" w:color="auto"/>
              <w:bottom w:val="single" w:sz="4" w:space="0" w:color="41B7EE"/>
              <w:right w:val="single" w:sz="4" w:space="0" w:color="41B7EE"/>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宋颀年</w:t>
            </w:r>
            <w:r>
              <w:rPr>
                <w:rFonts w:ascii="宋体" w:hAnsi="宋体" w:cs="宋体" w:eastAsia="宋体" w:hint="default"/>
                <w:sz w:val="21"/>
                <w:szCs w:val="21"/>
              </w:rPr>
              <w:t> </w:t>
            </w:r>
          </w:p>
        </w:tc>
        <w:tc>
          <w:tcPr>
            <w:tcW w:w="4109" w:type="dxa"/>
            <w:tcBorders>
              <w:top w:val="single" w:sz="29" w:space="0" w:color="41B7EE"/>
              <w:left w:val="single" w:sz="4" w:space="0" w:color="41B7EE"/>
              <w:bottom w:val="single" w:sz="4" w:space="0" w:color="41B7EE"/>
              <w:right w:val="single" w:sz="4" w:space="0" w:color="41B7EE"/>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北大荒酒业股份有限公司</w:t>
            </w:r>
            <w:r>
              <w:rPr>
                <w:rFonts w:ascii="宋体" w:hAnsi="宋体" w:cs="宋体" w:eastAsia="宋体" w:hint="default"/>
                <w:sz w:val="21"/>
                <w:szCs w:val="21"/>
              </w:rPr>
              <w:t> </w:t>
            </w:r>
          </w:p>
        </w:tc>
        <w:tc>
          <w:tcPr>
            <w:tcW w:w="2410" w:type="dxa"/>
            <w:tcBorders>
              <w:top w:val="single" w:sz="29" w:space="0" w:color="41B7EE"/>
              <w:left w:val="single" w:sz="4" w:space="0" w:color="41B7EE"/>
              <w:bottom w:val="single" w:sz="4" w:space="0" w:color="41B7EE"/>
              <w:right w:val="single" w:sz="4" w:space="0" w:color="41B7EE"/>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29" w:space="0" w:color="41B7EE"/>
              <w:left w:val="single" w:sz="4" w:space="0" w:color="41B7EE"/>
              <w:bottom w:val="single" w:sz="4" w:space="0" w:color="41B7EE"/>
              <w:right w:val="single" w:sz="4" w:space="0" w:color="41B7EE"/>
            </w:tcBorders>
          </w:tcPr>
          <w:p>
            <w:pPr>
              <w:pStyle w:val="TableParagraph"/>
              <w:spacing w:line="321" w:lineRule="exact"/>
              <w:ind w:left="105" w:right="0"/>
              <w:jc w:val="left"/>
              <w:rPr>
                <w:rFonts w:ascii="微软雅黑" w:hAnsi="微软雅黑" w:cs="微软雅黑" w:eastAsia="微软雅黑" w:hint="default"/>
                <w:sz w:val="21"/>
                <w:szCs w:val="21"/>
              </w:rPr>
            </w:pPr>
            <w:r>
              <w:rPr>
                <w:rFonts w:ascii="Arial" w:hAnsi="Arial" w:cs="Arial" w:eastAsia="Arial" w:hint="default"/>
                <w:sz w:val="21"/>
                <w:szCs w:val="21"/>
              </w:rPr>
              <w:t>2011</w:t>
            </w:r>
            <w:r>
              <w:rPr>
                <w:rFonts w:ascii="Arial" w:hAnsi="Arial" w:cs="Arial" w:eastAsia="Arial" w:hint="default"/>
                <w:spacing w:val="-5"/>
                <w:sz w:val="21"/>
                <w:szCs w:val="21"/>
              </w:rPr>
              <w:t> </w:t>
            </w:r>
            <w:r>
              <w:rPr>
                <w:rFonts w:ascii="微软雅黑" w:hAnsi="微软雅黑" w:cs="微软雅黑" w:eastAsia="微软雅黑" w:hint="default"/>
                <w:sz w:val="21"/>
                <w:szCs w:val="21"/>
              </w:rPr>
              <w:t>年</w:t>
            </w:r>
          </w:p>
        </w:tc>
        <w:tc>
          <w:tcPr>
            <w:tcW w:w="2390" w:type="dxa"/>
            <w:tcBorders>
              <w:top w:val="single" w:sz="29" w:space="0" w:color="41B7EE"/>
              <w:left w:val="single" w:sz="4" w:space="0" w:color="41B7EE"/>
              <w:bottom w:val="single" w:sz="4" w:space="0" w:color="41B7EE"/>
              <w:right w:val="nil" w:sz="6" w:space="0" w:color="auto"/>
            </w:tcBorders>
          </w:tcPr>
          <w:p>
            <w:pPr>
              <w:pStyle w:val="TableParagraph"/>
              <w:spacing w:line="240" w:lineRule="auto" w:before="11"/>
              <w:ind w:left="105" w:right="0"/>
              <w:jc w:val="left"/>
              <w:rPr>
                <w:rFonts w:ascii="宋体" w:hAnsi="宋体" w:cs="宋体" w:eastAsia="宋体" w:hint="default"/>
                <w:sz w:val="21"/>
                <w:szCs w:val="21"/>
              </w:rPr>
            </w:pPr>
            <w:r>
              <w:rPr>
                <w:rFonts w:ascii="宋体"/>
                <w:w w:val="100"/>
                <w:sz w:val="21"/>
              </w:rPr>
              <w:t> </w:t>
            </w:r>
          </w:p>
        </w:tc>
      </w:tr>
      <w:tr>
        <w:trPr>
          <w:trHeight w:val="370" w:hRule="exact"/>
        </w:trPr>
        <w:tc>
          <w:tcPr>
            <w:tcW w:w="280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宋颀年</w:t>
            </w:r>
            <w:r>
              <w:rPr>
                <w:rFonts w:ascii="宋体" w:hAnsi="宋体" w:cs="宋体" w:eastAsia="宋体" w:hint="default"/>
                <w:sz w:val="21"/>
                <w:szCs w:val="21"/>
              </w:rPr>
              <w:t> </w:t>
            </w:r>
          </w:p>
        </w:tc>
        <w:tc>
          <w:tcPr>
            <w:tcW w:w="41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北大荒旅游有限公司</w:t>
            </w:r>
            <w:r>
              <w:rPr>
                <w:rFonts w:ascii="宋体" w:hAnsi="宋体" w:cs="宋体" w:eastAsia="宋体" w:hint="default"/>
                <w:sz w:val="21"/>
                <w:szCs w:val="21"/>
              </w:rPr>
              <w:t> </w:t>
            </w:r>
          </w:p>
        </w:tc>
        <w:tc>
          <w:tcPr>
            <w:tcW w:w="24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41B7EE"/>
              <w:left w:val="single" w:sz="4" w:space="0" w:color="41B7EE"/>
              <w:bottom w:val="single" w:sz="4" w:space="0" w:color="41B7EE"/>
              <w:right w:val="single" w:sz="4" w:space="0" w:color="41B7EE"/>
            </w:tcBorders>
          </w:tcPr>
          <w:p>
            <w:pPr>
              <w:pStyle w:val="TableParagraph"/>
              <w:spacing w:line="319" w:lineRule="exact"/>
              <w:ind w:left="105" w:right="0"/>
              <w:jc w:val="left"/>
              <w:rPr>
                <w:rFonts w:ascii="微软雅黑" w:hAnsi="微软雅黑" w:cs="微软雅黑" w:eastAsia="微软雅黑" w:hint="default"/>
                <w:sz w:val="21"/>
                <w:szCs w:val="21"/>
              </w:rPr>
            </w:pPr>
            <w:r>
              <w:rPr>
                <w:rFonts w:ascii="Arial" w:hAnsi="Arial" w:cs="Arial" w:eastAsia="Arial" w:hint="default"/>
                <w:sz w:val="21"/>
                <w:szCs w:val="21"/>
              </w:rPr>
              <w:t>2011</w:t>
            </w:r>
            <w:r>
              <w:rPr>
                <w:rFonts w:ascii="Arial" w:hAnsi="Arial" w:cs="Arial" w:eastAsia="Arial" w:hint="default"/>
                <w:spacing w:val="-5"/>
                <w:sz w:val="21"/>
                <w:szCs w:val="21"/>
              </w:rPr>
              <w:t> </w:t>
            </w:r>
            <w:r>
              <w:rPr>
                <w:rFonts w:ascii="微软雅黑" w:hAnsi="微软雅黑" w:cs="微软雅黑" w:eastAsia="微软雅黑" w:hint="default"/>
                <w:sz w:val="21"/>
                <w:szCs w:val="21"/>
              </w:rPr>
              <w:t>年</w:t>
            </w:r>
          </w:p>
        </w:tc>
        <w:tc>
          <w:tcPr>
            <w:tcW w:w="239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1"/>
              <w:ind w:left="105" w:right="0"/>
              <w:jc w:val="left"/>
              <w:rPr>
                <w:rFonts w:ascii="宋体" w:hAnsi="宋体" w:cs="宋体" w:eastAsia="宋体" w:hint="default"/>
                <w:sz w:val="21"/>
                <w:szCs w:val="21"/>
              </w:rPr>
            </w:pPr>
            <w:r>
              <w:rPr>
                <w:rFonts w:ascii="宋体"/>
                <w:w w:val="100"/>
                <w:sz w:val="21"/>
              </w:rPr>
              <w:t> </w:t>
            </w:r>
          </w:p>
        </w:tc>
      </w:tr>
      <w:tr>
        <w:trPr>
          <w:trHeight w:val="372" w:hRule="exact"/>
        </w:trPr>
        <w:tc>
          <w:tcPr>
            <w:tcW w:w="280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潘正平</w:t>
            </w:r>
            <w:r>
              <w:rPr>
                <w:rFonts w:ascii="宋体" w:hAnsi="宋体" w:cs="宋体" w:eastAsia="宋体" w:hint="default"/>
                <w:sz w:val="21"/>
                <w:szCs w:val="21"/>
              </w:rPr>
              <w:t> </w:t>
            </w:r>
          </w:p>
        </w:tc>
        <w:tc>
          <w:tcPr>
            <w:tcW w:w="41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黑龙江农垦审计学会</w:t>
            </w:r>
            <w:r>
              <w:rPr>
                <w:rFonts w:ascii="宋体" w:hAnsi="宋体" w:cs="宋体" w:eastAsia="宋体" w:hint="default"/>
                <w:sz w:val="21"/>
                <w:szCs w:val="21"/>
              </w:rPr>
              <w:t> </w:t>
            </w:r>
          </w:p>
        </w:tc>
        <w:tc>
          <w:tcPr>
            <w:tcW w:w="24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理事长</w:t>
            </w:r>
            <w:r>
              <w:rPr>
                <w:rFonts w:ascii="宋体" w:hAnsi="宋体" w:cs="宋体" w:eastAsia="宋体" w:hint="default"/>
                <w:sz w:val="21"/>
                <w:szCs w:val="21"/>
              </w:rPr>
              <w:t> </w:t>
            </w:r>
          </w:p>
        </w:tc>
        <w:tc>
          <w:tcPr>
            <w:tcW w:w="2377" w:type="dxa"/>
            <w:tcBorders>
              <w:top w:val="single" w:sz="4" w:space="0" w:color="41B7EE"/>
              <w:left w:val="single" w:sz="4" w:space="0" w:color="41B7EE"/>
              <w:bottom w:val="single" w:sz="4" w:space="0" w:color="41B7EE"/>
              <w:right w:val="single" w:sz="4" w:space="0" w:color="41B7EE"/>
            </w:tcBorders>
          </w:tcPr>
          <w:p>
            <w:pPr>
              <w:pStyle w:val="TableParagraph"/>
              <w:spacing w:line="319" w:lineRule="exact"/>
              <w:ind w:left="105" w:right="0"/>
              <w:jc w:val="left"/>
              <w:rPr>
                <w:rFonts w:ascii="微软雅黑" w:hAnsi="微软雅黑" w:cs="微软雅黑" w:eastAsia="微软雅黑" w:hint="default"/>
                <w:sz w:val="21"/>
                <w:szCs w:val="21"/>
              </w:rPr>
            </w:pPr>
            <w:r>
              <w:rPr>
                <w:rFonts w:ascii="Arial" w:hAnsi="Arial" w:cs="Arial" w:eastAsia="Arial" w:hint="default"/>
                <w:sz w:val="21"/>
                <w:szCs w:val="21"/>
              </w:rPr>
              <w:t>2011</w:t>
            </w:r>
            <w:r>
              <w:rPr>
                <w:rFonts w:ascii="Arial" w:hAnsi="Arial" w:cs="Arial" w:eastAsia="Arial" w:hint="default"/>
                <w:spacing w:val="-5"/>
                <w:sz w:val="21"/>
                <w:szCs w:val="21"/>
              </w:rPr>
              <w:t> </w:t>
            </w:r>
            <w:r>
              <w:rPr>
                <w:rFonts w:ascii="微软雅黑" w:hAnsi="微软雅黑" w:cs="微软雅黑" w:eastAsia="微软雅黑" w:hint="default"/>
                <w:sz w:val="21"/>
                <w:szCs w:val="21"/>
              </w:rPr>
              <w:t>年</w:t>
            </w:r>
          </w:p>
        </w:tc>
        <w:tc>
          <w:tcPr>
            <w:tcW w:w="239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1"/>
              <w:ind w:left="105" w:right="0"/>
              <w:jc w:val="left"/>
              <w:rPr>
                <w:rFonts w:ascii="宋体" w:hAnsi="宋体" w:cs="宋体" w:eastAsia="宋体" w:hint="default"/>
                <w:sz w:val="21"/>
                <w:szCs w:val="21"/>
              </w:rPr>
            </w:pPr>
            <w:r>
              <w:rPr>
                <w:rFonts w:ascii="宋体"/>
                <w:w w:val="100"/>
                <w:sz w:val="21"/>
              </w:rPr>
              <w:t> </w:t>
            </w:r>
          </w:p>
        </w:tc>
      </w:tr>
      <w:tr>
        <w:trPr>
          <w:trHeight w:val="370" w:hRule="exact"/>
        </w:trPr>
        <w:tc>
          <w:tcPr>
            <w:tcW w:w="280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9"/>
              <w:ind w:left="108" w:right="0"/>
              <w:jc w:val="left"/>
              <w:rPr>
                <w:rFonts w:ascii="宋体" w:hAnsi="宋体" w:cs="宋体" w:eastAsia="宋体" w:hint="default"/>
                <w:sz w:val="21"/>
                <w:szCs w:val="21"/>
              </w:rPr>
            </w:pPr>
            <w:r>
              <w:rPr>
                <w:rFonts w:ascii="宋体" w:hAnsi="宋体" w:cs="宋体" w:eastAsia="宋体" w:hint="default"/>
                <w:sz w:val="21"/>
                <w:szCs w:val="21"/>
              </w:rPr>
              <w:t>潘正平</w:t>
            </w:r>
            <w:r>
              <w:rPr>
                <w:rFonts w:ascii="宋体" w:hAnsi="宋体" w:cs="宋体" w:eastAsia="宋体" w:hint="default"/>
                <w:sz w:val="21"/>
                <w:szCs w:val="21"/>
              </w:rPr>
              <w:t> </w:t>
            </w:r>
          </w:p>
        </w:tc>
        <w:tc>
          <w:tcPr>
            <w:tcW w:w="41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北大荒投资担保股份有限公司</w:t>
            </w:r>
            <w:r>
              <w:rPr>
                <w:rFonts w:ascii="宋体" w:hAnsi="宋体" w:cs="宋体" w:eastAsia="宋体" w:hint="default"/>
                <w:sz w:val="21"/>
                <w:szCs w:val="21"/>
              </w:rPr>
              <w:t> </w:t>
            </w:r>
          </w:p>
        </w:tc>
        <w:tc>
          <w:tcPr>
            <w:tcW w:w="24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77" w:type="dxa"/>
            <w:tcBorders>
              <w:top w:val="single" w:sz="4" w:space="0" w:color="41B7EE"/>
              <w:left w:val="single" w:sz="4" w:space="0" w:color="41B7EE"/>
              <w:bottom w:val="single" w:sz="4" w:space="0" w:color="41B7EE"/>
              <w:right w:val="single" w:sz="4" w:space="0" w:color="41B7EE"/>
            </w:tcBorders>
          </w:tcPr>
          <w:p>
            <w:pPr>
              <w:pStyle w:val="TableParagraph"/>
              <w:spacing w:line="319" w:lineRule="exact"/>
              <w:ind w:left="105" w:right="0"/>
              <w:jc w:val="left"/>
              <w:rPr>
                <w:rFonts w:ascii="微软雅黑" w:hAnsi="微软雅黑" w:cs="微软雅黑" w:eastAsia="微软雅黑" w:hint="default"/>
                <w:sz w:val="21"/>
                <w:szCs w:val="21"/>
              </w:rPr>
            </w:pPr>
            <w:r>
              <w:rPr>
                <w:rFonts w:ascii="Arial" w:hAnsi="Arial" w:cs="Arial" w:eastAsia="Arial" w:hint="default"/>
                <w:sz w:val="21"/>
                <w:szCs w:val="21"/>
              </w:rPr>
              <w:t>2015</w:t>
            </w:r>
            <w:r>
              <w:rPr>
                <w:rFonts w:ascii="Arial" w:hAnsi="Arial" w:cs="Arial" w:eastAsia="Arial" w:hint="default"/>
                <w:spacing w:val="-5"/>
                <w:sz w:val="21"/>
                <w:szCs w:val="21"/>
              </w:rPr>
              <w:t> </w:t>
            </w:r>
            <w:r>
              <w:rPr>
                <w:rFonts w:ascii="微软雅黑" w:hAnsi="微软雅黑" w:cs="微软雅黑" w:eastAsia="微软雅黑" w:hint="default"/>
                <w:sz w:val="21"/>
                <w:szCs w:val="21"/>
              </w:rPr>
              <w:t>年</w:t>
            </w:r>
          </w:p>
        </w:tc>
        <w:tc>
          <w:tcPr>
            <w:tcW w:w="239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w w:val="100"/>
                <w:sz w:val="21"/>
              </w:rPr>
              <w:t> </w:t>
            </w:r>
          </w:p>
        </w:tc>
      </w:tr>
      <w:tr>
        <w:trPr>
          <w:trHeight w:val="370" w:hRule="exact"/>
        </w:trPr>
        <w:tc>
          <w:tcPr>
            <w:tcW w:w="280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9"/>
              <w:ind w:left="108" w:right="0"/>
              <w:jc w:val="left"/>
              <w:rPr>
                <w:rFonts w:ascii="宋体" w:hAnsi="宋体" w:cs="宋体" w:eastAsia="宋体" w:hint="default"/>
                <w:sz w:val="21"/>
                <w:szCs w:val="21"/>
              </w:rPr>
            </w:pPr>
            <w:r>
              <w:rPr>
                <w:rFonts w:ascii="宋体" w:hAnsi="宋体" w:cs="宋体" w:eastAsia="宋体" w:hint="default"/>
                <w:sz w:val="21"/>
                <w:szCs w:val="21"/>
              </w:rPr>
              <w:t>高建国</w:t>
            </w:r>
            <w:r>
              <w:rPr>
                <w:rFonts w:ascii="宋体" w:hAnsi="宋体" w:cs="宋体" w:eastAsia="宋体" w:hint="default"/>
                <w:sz w:val="21"/>
                <w:szCs w:val="21"/>
              </w:rPr>
              <w:t> </w:t>
            </w:r>
          </w:p>
        </w:tc>
        <w:tc>
          <w:tcPr>
            <w:tcW w:w="41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哈尔滨哈投投资股份有限公司</w:t>
            </w:r>
            <w:r>
              <w:rPr>
                <w:rFonts w:ascii="宋体" w:hAnsi="宋体" w:cs="宋体" w:eastAsia="宋体" w:hint="default"/>
                <w:sz w:val="21"/>
                <w:szCs w:val="21"/>
              </w:rPr>
              <w:t> </w:t>
            </w:r>
          </w:p>
        </w:tc>
        <w:tc>
          <w:tcPr>
            <w:tcW w:w="24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77" w:type="dxa"/>
            <w:tcBorders>
              <w:top w:val="single" w:sz="4" w:space="0" w:color="41B7EE"/>
              <w:left w:val="single" w:sz="4" w:space="0" w:color="41B7EE"/>
              <w:bottom w:val="single" w:sz="4" w:space="0" w:color="41B7EE"/>
              <w:right w:val="single" w:sz="4" w:space="0" w:color="41B7EE"/>
            </w:tcBorders>
          </w:tcPr>
          <w:p>
            <w:pPr>
              <w:pStyle w:val="TableParagraph"/>
              <w:spacing w:line="319" w:lineRule="exact"/>
              <w:ind w:left="105" w:right="0"/>
              <w:jc w:val="left"/>
              <w:rPr>
                <w:rFonts w:ascii="微软雅黑" w:hAnsi="微软雅黑" w:cs="微软雅黑" w:eastAsia="微软雅黑" w:hint="default"/>
                <w:sz w:val="21"/>
                <w:szCs w:val="21"/>
              </w:rPr>
            </w:pPr>
            <w:r>
              <w:rPr>
                <w:rFonts w:ascii="Arial" w:hAnsi="Arial" w:cs="Arial" w:eastAsia="Arial" w:hint="default"/>
                <w:sz w:val="21"/>
                <w:szCs w:val="21"/>
              </w:rPr>
              <w:t>2016</w:t>
            </w:r>
            <w:r>
              <w:rPr>
                <w:rFonts w:ascii="Arial" w:hAnsi="Arial" w:cs="Arial" w:eastAsia="Arial" w:hint="default"/>
                <w:spacing w:val="-5"/>
                <w:sz w:val="21"/>
                <w:szCs w:val="21"/>
              </w:rPr>
              <w:t> </w:t>
            </w:r>
            <w:r>
              <w:rPr>
                <w:rFonts w:ascii="微软雅黑" w:hAnsi="微软雅黑" w:cs="微软雅黑" w:eastAsia="微软雅黑" w:hint="default"/>
                <w:sz w:val="21"/>
                <w:szCs w:val="21"/>
              </w:rPr>
              <w:t>年</w:t>
            </w:r>
          </w:p>
        </w:tc>
        <w:tc>
          <w:tcPr>
            <w:tcW w:w="239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9"/>
              <w:ind w:left="105" w:right="0"/>
              <w:jc w:val="left"/>
              <w:rPr>
                <w:rFonts w:ascii="宋体" w:hAnsi="宋体" w:cs="宋体" w:eastAsia="宋体" w:hint="default"/>
                <w:sz w:val="21"/>
                <w:szCs w:val="21"/>
              </w:rPr>
            </w:pPr>
            <w:r>
              <w:rPr>
                <w:rFonts w:ascii="宋体"/>
                <w:w w:val="100"/>
                <w:sz w:val="21"/>
              </w:rPr>
              <w:t> </w:t>
            </w:r>
          </w:p>
        </w:tc>
      </w:tr>
      <w:tr>
        <w:trPr>
          <w:trHeight w:val="384" w:hRule="exact"/>
        </w:trPr>
        <w:tc>
          <w:tcPr>
            <w:tcW w:w="2804"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r>
              <w:rPr>
                <w:rFonts w:ascii="宋体" w:hAnsi="宋体" w:cs="宋体" w:eastAsia="宋体" w:hint="default"/>
                <w:sz w:val="21"/>
                <w:szCs w:val="21"/>
              </w:rPr>
              <w:t> </w:t>
            </w:r>
          </w:p>
        </w:tc>
        <w:tc>
          <w:tcPr>
            <w:tcW w:w="11286" w:type="dxa"/>
            <w:gridSpan w:val="4"/>
            <w:tcBorders>
              <w:top w:val="single" w:sz="4" w:space="0" w:color="41B7EE"/>
              <w:left w:val="single" w:sz="4" w:space="0" w:color="41B7EE"/>
              <w:bottom w:val="single" w:sz="23"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w w:val="100"/>
                <w:sz w:val="21"/>
              </w:rPr>
              <w:t> </w:t>
            </w:r>
          </w:p>
        </w:tc>
      </w:tr>
    </w:tbl>
    <w:p>
      <w:pPr>
        <w:pStyle w:val="BodyText"/>
        <w:spacing w:line="241" w:lineRule="exact"/>
        <w:ind w:left="264" w:right="0"/>
        <w:jc w:val="left"/>
        <w:rPr>
          <w:rFonts w:ascii="宋体" w:hAnsi="宋体" w:cs="宋体" w:eastAsia="宋体" w:hint="default"/>
        </w:rPr>
      </w:pPr>
      <w:r>
        <w:rPr>
          <w:rFonts w:ascii="宋体"/>
          <w:w w:val="100"/>
        </w:rPr>
        <w:t> </w:t>
      </w:r>
    </w:p>
    <w:p>
      <w:pPr>
        <w:pStyle w:val="Heading2"/>
        <w:spacing w:line="240" w:lineRule="auto"/>
        <w:ind w:left="264" w:right="0"/>
        <w:jc w:val="left"/>
        <w:rPr>
          <w:b w:val="0"/>
          <w:bCs w:val="0"/>
        </w:rPr>
      </w:pPr>
      <w:r>
        <w:rPr/>
        <w:t>三、董事、监事、高级管理人员报酬情况</w:t>
      </w:r>
      <w:r>
        <w:rPr>
          <w:b w:val="0"/>
          <w:bCs w:val="0"/>
        </w:rPr>
      </w:r>
    </w:p>
    <w:p>
      <w:pPr>
        <w:pStyle w:val="BodyText"/>
        <w:spacing w:line="240" w:lineRule="auto" w:before="58"/>
        <w:ind w:left="26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27" w:type="dxa"/>
        <w:tblLayout w:type="fixed"/>
        <w:tblCellMar>
          <w:top w:w="0" w:type="dxa"/>
          <w:left w:w="0" w:type="dxa"/>
          <w:bottom w:w="0" w:type="dxa"/>
          <w:right w:w="0" w:type="dxa"/>
        </w:tblCellMar>
        <w:tblLook w:val="01E0"/>
      </w:tblPr>
      <w:tblGrid>
        <w:gridCol w:w="4362"/>
        <w:gridCol w:w="9728"/>
      </w:tblGrid>
      <w:tr>
        <w:trPr>
          <w:trHeight w:val="854" w:hRule="exact"/>
        </w:trPr>
        <w:tc>
          <w:tcPr>
            <w:tcW w:w="4362"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r>
              <w:rPr>
                <w:rFonts w:ascii="宋体" w:hAnsi="宋体" w:cs="宋体" w:eastAsia="宋体" w:hint="default"/>
                <w:sz w:val="21"/>
                <w:szCs w:val="21"/>
              </w:rPr>
              <w:t> </w:t>
            </w:r>
          </w:p>
        </w:tc>
        <w:tc>
          <w:tcPr>
            <w:tcW w:w="9728" w:type="dxa"/>
            <w:tcBorders>
              <w:top w:val="single" w:sz="23" w:space="0" w:color="41B7EE"/>
              <w:left w:val="single" w:sz="4" w:space="0" w:color="41B7EE"/>
              <w:bottom w:val="single" w:sz="4" w:space="0" w:color="41B7EE"/>
              <w:right w:val="nil" w:sz="6" w:space="0" w:color="auto"/>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公司董事与监事的业绩考核与薪酬管理，由公司董事会薪酬与考核委员会参照公司负责人经营业绩考核</w:t>
            </w:r>
          </w:p>
          <w:p>
            <w:pPr>
              <w:pStyle w:val="TableParagraph"/>
              <w:spacing w:line="272" w:lineRule="exact" w:before="27"/>
              <w:ind w:left="103" w:right="160"/>
              <w:jc w:val="left"/>
              <w:rPr>
                <w:rFonts w:ascii="宋体" w:hAnsi="宋体" w:cs="宋体" w:eastAsia="宋体" w:hint="default"/>
                <w:sz w:val="21"/>
                <w:szCs w:val="21"/>
              </w:rPr>
            </w:pPr>
            <w:r>
              <w:rPr>
                <w:rFonts w:ascii="宋体" w:hAnsi="宋体" w:cs="宋体" w:eastAsia="宋体" w:hint="default"/>
                <w:spacing w:val="-2"/>
                <w:sz w:val="21"/>
                <w:szCs w:val="21"/>
              </w:rPr>
              <w:t>与薪酬管理办法提出建议，经董事会审议后，提交股东大会决定。公司其他高级管理人员的经营业绩考</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核与薪酬管理，由公司董事会薪酬与考核委员会具体组织，经董事会决议后实施。</w:t>
            </w:r>
            <w:r>
              <w:rPr>
                <w:rFonts w:ascii="宋体" w:hAnsi="宋体" w:cs="宋体" w:eastAsia="宋体" w:hint="default"/>
                <w:spacing w:val="-5"/>
                <w:sz w:val="21"/>
                <w:szCs w:val="21"/>
              </w:rPr>
              <w:t> </w:t>
            </w:r>
            <w:r>
              <w:rPr>
                <w:rFonts w:ascii="宋体" w:hAnsi="宋体" w:cs="宋体" w:eastAsia="宋体" w:hint="default"/>
                <w:w w:val="100"/>
                <w:sz w:val="21"/>
                <w:szCs w:val="21"/>
              </w:rPr>
              <w:t> </w:t>
            </w:r>
          </w:p>
        </w:tc>
      </w:tr>
      <w:tr>
        <w:trPr>
          <w:trHeight w:val="355" w:hRule="exact"/>
        </w:trPr>
        <w:tc>
          <w:tcPr>
            <w:tcW w:w="436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r>
              <w:rPr>
                <w:rFonts w:ascii="宋体" w:hAnsi="宋体" w:cs="宋体" w:eastAsia="宋体" w:hint="default"/>
                <w:sz w:val="21"/>
                <w:szCs w:val="21"/>
              </w:rPr>
              <w:t> </w:t>
            </w:r>
          </w:p>
        </w:tc>
        <w:tc>
          <w:tcPr>
            <w:tcW w:w="972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依据《黑龙江北大荒农业股份有限公司负责人经营业绩考核与薪酬管理办法》</w:t>
            </w:r>
            <w:r>
              <w:rPr>
                <w:rFonts w:ascii="宋体" w:hAnsi="宋体" w:cs="宋体" w:eastAsia="宋体" w:hint="default"/>
                <w:sz w:val="21"/>
                <w:szCs w:val="21"/>
              </w:rPr>
              <w:t> </w:t>
            </w:r>
          </w:p>
        </w:tc>
      </w:tr>
      <w:tr>
        <w:trPr>
          <w:trHeight w:val="557" w:hRule="exact"/>
        </w:trPr>
        <w:tc>
          <w:tcPr>
            <w:tcW w:w="4362" w:type="dxa"/>
            <w:tcBorders>
              <w:top w:val="single" w:sz="4" w:space="0" w:color="41B7EE"/>
              <w:left w:val="nil" w:sz="6" w:space="0" w:color="auto"/>
              <w:bottom w:val="single" w:sz="4" w:space="0" w:color="41B7EE"/>
              <w:right w:val="single" w:sz="4" w:space="0" w:color="41B7EE"/>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况</w:t>
            </w:r>
            <w:r>
              <w:rPr>
                <w:rFonts w:ascii="宋体" w:hAnsi="宋体" w:cs="宋体" w:eastAsia="宋体" w:hint="default"/>
                <w:sz w:val="21"/>
                <w:szCs w:val="21"/>
              </w:rPr>
              <w:t> </w:t>
            </w:r>
          </w:p>
        </w:tc>
        <w:tc>
          <w:tcPr>
            <w:tcW w:w="972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公司董事、监事和高级管理人员报酬已按规定程序支付。</w:t>
            </w:r>
            <w:r>
              <w:rPr>
                <w:rFonts w:ascii="宋体" w:hAnsi="宋体" w:cs="宋体" w:eastAsia="宋体" w:hint="default"/>
                <w:sz w:val="21"/>
                <w:szCs w:val="21"/>
              </w:rPr>
              <w:t> </w:t>
            </w:r>
          </w:p>
        </w:tc>
      </w:tr>
      <w:tr>
        <w:trPr>
          <w:trHeight w:val="581" w:hRule="exact"/>
        </w:trPr>
        <w:tc>
          <w:tcPr>
            <w:tcW w:w="4362" w:type="dxa"/>
            <w:tcBorders>
              <w:top w:val="single" w:sz="4" w:space="0" w:color="41B7EE"/>
              <w:left w:val="nil" w:sz="6" w:space="0" w:color="auto"/>
              <w:bottom w:val="single" w:sz="23" w:space="0" w:color="41B7EE"/>
              <w:right w:val="single" w:sz="4" w:space="0" w:color="41B7EE"/>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获得的报酬合计</w:t>
            </w:r>
            <w:r>
              <w:rPr>
                <w:rFonts w:ascii="宋体" w:hAnsi="宋体" w:cs="宋体" w:eastAsia="宋体" w:hint="default"/>
                <w:sz w:val="21"/>
                <w:szCs w:val="21"/>
              </w:rPr>
              <w:t> </w:t>
            </w:r>
          </w:p>
        </w:tc>
        <w:tc>
          <w:tcPr>
            <w:tcW w:w="9728"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100"/>
              <w:ind w:left="103" w:right="0"/>
              <w:jc w:val="left"/>
              <w:rPr>
                <w:rFonts w:ascii="宋体" w:hAnsi="宋体" w:cs="宋体" w:eastAsia="宋体" w:hint="default"/>
                <w:sz w:val="21"/>
                <w:szCs w:val="21"/>
              </w:rPr>
            </w:pPr>
            <w:r>
              <w:rPr>
                <w:rFonts w:ascii="Arial" w:hAnsi="Arial" w:cs="Arial" w:eastAsia="Arial" w:hint="default"/>
                <w:sz w:val="21"/>
                <w:szCs w:val="21"/>
              </w:rPr>
              <w:t>467.43</w:t>
            </w:r>
            <w:r>
              <w:rPr>
                <w:rFonts w:ascii="Arial" w:hAnsi="Arial" w:cs="Arial" w:eastAsia="Arial" w:hint="default"/>
                <w:spacing w:val="-4"/>
                <w:sz w:val="21"/>
                <w:szCs w:val="21"/>
              </w:rPr>
              <w:t> </w:t>
            </w:r>
            <w:r>
              <w:rPr>
                <w:rFonts w:ascii="宋体" w:hAnsi="宋体" w:cs="宋体" w:eastAsia="宋体" w:hint="default"/>
                <w:sz w:val="21"/>
                <w:szCs w:val="21"/>
              </w:rPr>
              <w:t>万元</w:t>
            </w:r>
          </w:p>
        </w:tc>
      </w:tr>
    </w:tbl>
    <w:p>
      <w:pPr>
        <w:pStyle w:val="Heading2"/>
        <w:spacing w:line="240" w:lineRule="auto" w:before="26"/>
        <w:ind w:left="264" w:right="0"/>
        <w:jc w:val="left"/>
        <w:rPr>
          <w:b w:val="0"/>
          <w:bCs w:val="0"/>
        </w:rPr>
      </w:pPr>
      <w:r>
        <w:rPr/>
        <w:t>四、公司董事、监事、高级管理人员变动情况</w:t>
      </w:r>
      <w:r>
        <w:rPr>
          <w:b w:val="0"/>
          <w:bCs w:val="0"/>
        </w:rPr>
      </w:r>
    </w:p>
    <w:p>
      <w:pPr>
        <w:pStyle w:val="BodyText"/>
        <w:spacing w:line="240" w:lineRule="auto" w:before="56"/>
        <w:ind w:left="26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7" w:type="dxa"/>
        <w:tblLayout w:type="fixed"/>
        <w:tblCellMar>
          <w:top w:w="0" w:type="dxa"/>
          <w:left w:w="0" w:type="dxa"/>
          <w:bottom w:w="0" w:type="dxa"/>
          <w:right w:w="0" w:type="dxa"/>
        </w:tblCellMar>
        <w:tblLook w:val="01E0"/>
      </w:tblPr>
      <w:tblGrid>
        <w:gridCol w:w="3524"/>
        <w:gridCol w:w="3521"/>
        <w:gridCol w:w="3524"/>
        <w:gridCol w:w="3521"/>
      </w:tblGrid>
      <w:tr>
        <w:trPr>
          <w:trHeight w:val="382" w:hRule="exact"/>
        </w:trPr>
        <w:tc>
          <w:tcPr>
            <w:tcW w:w="3524"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4"/>
              <w:ind w:left="108"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521"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4"/>
              <w:ind w:left="1231" w:right="0"/>
              <w:jc w:val="left"/>
              <w:rPr>
                <w:rFonts w:ascii="宋体" w:hAnsi="宋体" w:cs="宋体" w:eastAsia="宋体" w:hint="default"/>
                <w:sz w:val="21"/>
                <w:szCs w:val="21"/>
              </w:rPr>
            </w:pPr>
            <w:r>
              <w:rPr>
                <w:rFonts w:ascii="宋体" w:hAnsi="宋体" w:cs="宋体" w:eastAsia="宋体" w:hint="default"/>
                <w:sz w:val="21"/>
                <w:szCs w:val="21"/>
              </w:rPr>
              <w:t>担任的职务</w:t>
            </w:r>
            <w:r>
              <w:rPr>
                <w:rFonts w:ascii="宋体" w:hAnsi="宋体" w:cs="宋体" w:eastAsia="宋体" w:hint="default"/>
                <w:sz w:val="21"/>
                <w:szCs w:val="21"/>
              </w:rPr>
              <w:t> </w:t>
            </w:r>
          </w:p>
        </w:tc>
        <w:tc>
          <w:tcPr>
            <w:tcW w:w="3524"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4"/>
              <w:ind w:left="106" w:right="0"/>
              <w:jc w:val="center"/>
              <w:rPr>
                <w:rFonts w:ascii="宋体" w:hAnsi="宋体" w:cs="宋体" w:eastAsia="宋体" w:hint="default"/>
                <w:sz w:val="21"/>
                <w:szCs w:val="21"/>
              </w:rPr>
            </w:pPr>
            <w:r>
              <w:rPr>
                <w:rFonts w:ascii="宋体" w:hAnsi="宋体" w:cs="宋体" w:eastAsia="宋体" w:hint="default"/>
                <w:sz w:val="21"/>
                <w:szCs w:val="21"/>
              </w:rPr>
              <w:t>变动情形</w:t>
            </w:r>
            <w:r>
              <w:rPr>
                <w:rFonts w:ascii="宋体" w:hAnsi="宋体" w:cs="宋体" w:eastAsia="宋体" w:hint="default"/>
                <w:sz w:val="21"/>
                <w:szCs w:val="21"/>
              </w:rPr>
              <w:t> </w:t>
            </w:r>
          </w:p>
        </w:tc>
        <w:tc>
          <w:tcPr>
            <w:tcW w:w="3521"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4"/>
              <w:ind w:left="104" w:right="0"/>
              <w:jc w:val="center"/>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358" w:hRule="exact"/>
        </w:trPr>
        <w:tc>
          <w:tcPr>
            <w:tcW w:w="352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高建国</w:t>
            </w:r>
            <w:r>
              <w:rPr>
                <w:rFonts w:ascii="宋体" w:hAnsi="宋体" w:cs="宋体" w:eastAsia="宋体" w:hint="default"/>
                <w:sz w:val="21"/>
                <w:szCs w:val="21"/>
              </w:rPr>
              <w:t> </w:t>
            </w:r>
          </w:p>
        </w:tc>
        <w:tc>
          <w:tcPr>
            <w:tcW w:w="352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sz w:val="21"/>
                <w:szCs w:val="21"/>
              </w:rPr>
              <w:t> </w:t>
            </w:r>
          </w:p>
        </w:tc>
        <w:tc>
          <w:tcPr>
            <w:tcW w:w="35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聘任</w:t>
            </w:r>
            <w:r>
              <w:rPr>
                <w:rFonts w:ascii="宋体" w:hAnsi="宋体" w:cs="宋体" w:eastAsia="宋体" w:hint="default"/>
                <w:sz w:val="21"/>
                <w:szCs w:val="21"/>
              </w:rPr>
              <w:t> </w:t>
            </w:r>
          </w:p>
        </w:tc>
        <w:tc>
          <w:tcPr>
            <w:tcW w:w="352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w w:val="100"/>
                <w:sz w:val="21"/>
              </w:rPr>
              <w:t> </w:t>
            </w:r>
          </w:p>
        </w:tc>
      </w:tr>
      <w:tr>
        <w:trPr>
          <w:trHeight w:val="358" w:hRule="exact"/>
        </w:trPr>
        <w:tc>
          <w:tcPr>
            <w:tcW w:w="352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杨占海</w:t>
            </w:r>
            <w:r>
              <w:rPr>
                <w:rFonts w:ascii="宋体" w:hAnsi="宋体" w:cs="宋体" w:eastAsia="宋体" w:hint="default"/>
                <w:sz w:val="21"/>
                <w:szCs w:val="21"/>
              </w:rPr>
              <w:t> </w:t>
            </w:r>
          </w:p>
        </w:tc>
        <w:tc>
          <w:tcPr>
            <w:tcW w:w="352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总会计师</w:t>
            </w:r>
            <w:r>
              <w:rPr>
                <w:rFonts w:ascii="宋体" w:hAnsi="宋体" w:cs="宋体" w:eastAsia="宋体" w:hint="default"/>
                <w:sz w:val="21"/>
                <w:szCs w:val="21"/>
              </w:rPr>
              <w:t> </w:t>
            </w:r>
          </w:p>
        </w:tc>
        <w:tc>
          <w:tcPr>
            <w:tcW w:w="35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解聘</w:t>
            </w:r>
            <w:r>
              <w:rPr>
                <w:rFonts w:ascii="宋体" w:hAnsi="宋体" w:cs="宋体" w:eastAsia="宋体" w:hint="default"/>
                <w:sz w:val="21"/>
                <w:szCs w:val="21"/>
              </w:rPr>
              <w:t> </w:t>
            </w:r>
          </w:p>
        </w:tc>
        <w:tc>
          <w:tcPr>
            <w:tcW w:w="352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w w:val="100"/>
                <w:sz w:val="21"/>
              </w:rPr>
              <w:t> </w:t>
            </w:r>
          </w:p>
        </w:tc>
      </w:tr>
      <w:tr>
        <w:trPr>
          <w:trHeight w:val="356" w:hRule="exact"/>
        </w:trPr>
        <w:tc>
          <w:tcPr>
            <w:tcW w:w="352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葛树峰</w:t>
            </w:r>
            <w:r>
              <w:rPr>
                <w:rFonts w:ascii="宋体" w:hAnsi="宋体" w:cs="宋体" w:eastAsia="宋体" w:hint="default"/>
                <w:sz w:val="21"/>
                <w:szCs w:val="21"/>
              </w:rPr>
              <w:t> </w:t>
            </w:r>
          </w:p>
        </w:tc>
        <w:tc>
          <w:tcPr>
            <w:tcW w:w="352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总会计师</w:t>
            </w:r>
            <w:r>
              <w:rPr>
                <w:rFonts w:ascii="宋体" w:hAnsi="宋体" w:cs="宋体" w:eastAsia="宋体" w:hint="default"/>
                <w:sz w:val="21"/>
                <w:szCs w:val="21"/>
              </w:rPr>
              <w:t> </w:t>
            </w:r>
          </w:p>
        </w:tc>
        <w:tc>
          <w:tcPr>
            <w:tcW w:w="35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聘任</w:t>
            </w:r>
            <w:r>
              <w:rPr>
                <w:rFonts w:ascii="宋体" w:hAnsi="宋体" w:cs="宋体" w:eastAsia="宋体" w:hint="default"/>
                <w:sz w:val="21"/>
                <w:szCs w:val="21"/>
              </w:rPr>
              <w:t> </w:t>
            </w:r>
          </w:p>
        </w:tc>
        <w:tc>
          <w:tcPr>
            <w:tcW w:w="352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w w:val="100"/>
                <w:sz w:val="21"/>
              </w:rPr>
              <w:t> </w:t>
            </w:r>
          </w:p>
        </w:tc>
      </w:tr>
      <w:tr>
        <w:trPr>
          <w:trHeight w:val="365" w:hRule="exact"/>
        </w:trPr>
        <w:tc>
          <w:tcPr>
            <w:tcW w:w="3524"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杨宪君</w:t>
            </w:r>
            <w:r>
              <w:rPr>
                <w:rFonts w:ascii="宋体" w:hAnsi="宋体" w:cs="宋体" w:eastAsia="宋体" w:hint="default"/>
                <w:sz w:val="21"/>
                <w:szCs w:val="21"/>
              </w:rPr>
              <w:t> </w:t>
            </w:r>
          </w:p>
        </w:tc>
        <w:tc>
          <w:tcPr>
            <w:tcW w:w="3521"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3524"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聘任</w:t>
            </w:r>
            <w:r>
              <w:rPr>
                <w:rFonts w:ascii="宋体" w:hAnsi="宋体" w:cs="宋体" w:eastAsia="宋体" w:hint="default"/>
                <w:sz w:val="21"/>
                <w:szCs w:val="21"/>
              </w:rPr>
              <w:t> </w:t>
            </w:r>
          </w:p>
        </w:tc>
        <w:tc>
          <w:tcPr>
            <w:tcW w:w="3521"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w w:val="100"/>
                <w:sz w:val="21"/>
              </w:rPr>
              <w:t> </w:t>
            </w:r>
          </w:p>
        </w:tc>
      </w:tr>
    </w:tbl>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705.45pt;height:1pt;mso-position-horizontal-relative:char;mso-position-vertical-relative:line" coordorigin="0,0" coordsize="14109,20">
            <v:group style="position:absolute;left:10;top:10;width:3519;height:2" coordorigin="10,10" coordsize="3519,2">
              <v:shape style="position:absolute;left:10;top:10;width:3519;height:2" coordorigin="10,10" coordsize="3519,0" path="m10,10l3528,10e" filled="false" stroked="true" strokeweight=".95999pt" strokecolor="#41b7ee">
                <v:path arrowok="t"/>
              </v:shape>
            </v:group>
            <v:group style="position:absolute;left:3528;top:10;width:58;height:2" coordorigin="3528,10" coordsize="58,2">
              <v:shape style="position:absolute;left:3528;top:10;width:58;height:2" coordorigin="3528,10" coordsize="58,0" path="m3528,10l3586,10e" filled="false" stroked="true" strokeweight=".95999pt" strokecolor="#41b7ee">
                <v:path arrowok="t"/>
              </v:shape>
            </v:group>
            <v:group style="position:absolute;left:3586;top:10;width:3464;height:2" coordorigin="3586,10" coordsize="3464,2">
              <v:shape style="position:absolute;left:3586;top:10;width:3464;height:2" coordorigin="3586,10" coordsize="3464,0" path="m3586,10l7050,10e" filled="false" stroked="true" strokeweight=".95999pt" strokecolor="#41b7ee">
                <v:path arrowok="t"/>
              </v:shape>
            </v:group>
            <v:group style="position:absolute;left:7050;top:10;width:58;height:2" coordorigin="7050,10" coordsize="58,2">
              <v:shape style="position:absolute;left:7050;top:10;width:58;height:2" coordorigin="7050,10" coordsize="58,0" path="m7050,10l7107,10e" filled="false" stroked="true" strokeweight=".95999pt" strokecolor="#41b7ee">
                <v:path arrowok="t"/>
              </v:shape>
            </v:group>
            <v:group style="position:absolute;left:7107;top:10;width:3466;height:2" coordorigin="7107,10" coordsize="3466,2">
              <v:shape style="position:absolute;left:7107;top:10;width:3466;height:2" coordorigin="7107,10" coordsize="3466,0" path="m7107,10l10573,10e" filled="false" stroked="true" strokeweight=".95999pt" strokecolor="#41b7ee">
                <v:path arrowok="t"/>
              </v:shape>
            </v:group>
            <v:group style="position:absolute;left:10573;top:10;width:58;height:2" coordorigin="10573,10" coordsize="58,2">
              <v:shape style="position:absolute;left:10573;top:10;width:58;height:2" coordorigin="10573,10" coordsize="58,0" path="m10573,10l10631,10e" filled="false" stroked="true" strokeweight=".95999pt" strokecolor="#41b7ee">
                <v:path arrowok="t"/>
              </v:shape>
            </v:group>
            <v:group style="position:absolute;left:10631;top:10;width:3469;height:2" coordorigin="10631,10" coordsize="3469,2">
              <v:shape style="position:absolute;left:10631;top:10;width:3469;height:2" coordorigin="10631,10" coordsize="3469,0" path="m10631,10l14099,10e" filled="false" stroked="true" strokeweight=".95999pt" strokecolor="#41b7ee">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6840" w:h="11910" w:orient="landscape"/>
          <w:pgMar w:header="825" w:footer="1195" w:top="1300" w:bottom="1380" w:left="1260" w:right="1160"/>
        </w:sectPr>
      </w:pPr>
    </w:p>
    <w:p>
      <w:pPr>
        <w:pStyle w:val="Heading2"/>
        <w:spacing w:line="240" w:lineRule="auto" w:before="31"/>
        <w:ind w:left="144" w:right="0"/>
        <w:jc w:val="left"/>
        <w:rPr>
          <w:b w:val="0"/>
          <w:bCs w:val="0"/>
        </w:rPr>
      </w:pPr>
      <w:r>
        <w:rPr/>
        <w:pict>
          <v:group style="position:absolute;margin-left:74.760002pt;margin-top:2.893643pt;width:695.65pt;height:.1pt;mso-position-horizontal-relative:page;mso-position-vertical-relative:paragraph;z-index:-943024" coordorigin="1495,58" coordsize="13913,2">
            <v:shape style="position:absolute;left:1495;top:58;width:13913;height:2" coordorigin="1495,58" coordsize="13913,0" path="m1495,58l15408,58e" filled="false" stroked="true" strokeweight=".72pt" strokecolor="#000000">
              <v:path arrowok="t"/>
            </v:shape>
            <w10:wrap type="none"/>
          </v:group>
        </w:pict>
      </w:r>
      <w:r>
        <w:rPr/>
        <w:t>五、近三年受证券监管机构处罚的情况说明</w:t>
      </w:r>
      <w:r>
        <w:rPr>
          <w:b w:val="0"/>
          <w:bCs w:val="0"/>
        </w:rPr>
      </w:r>
    </w:p>
    <w:p>
      <w:pPr>
        <w:pStyle w:val="BodyText"/>
        <w:spacing w:line="240" w:lineRule="auto" w:before="56"/>
        <w:ind w:left="1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64" w:lineRule="auto" w:before="44"/>
        <w:ind w:left="144" w:right="0"/>
        <w:jc w:val="left"/>
      </w:pPr>
      <w:r>
        <w:rPr>
          <w:rFonts w:ascii="宋体" w:hAnsi="宋体" w:cs="宋体" w:eastAsia="宋体" w:hint="default"/>
          <w:w w:val="100"/>
        </w:rPr>
        <w:t>    </w:t>
      </w:r>
      <w:r>
        <w:rPr>
          <w:rFonts w:ascii="Arial" w:hAnsi="Arial" w:cs="Arial" w:eastAsia="Arial" w:hint="default"/>
        </w:rPr>
        <w:t>2016 </w:t>
      </w:r>
      <w:r>
        <w:rPr/>
        <w:t>年 </w:t>
      </w:r>
      <w:r>
        <w:rPr>
          <w:rFonts w:ascii="Arial" w:hAnsi="Arial" w:cs="Arial" w:eastAsia="Arial" w:hint="default"/>
        </w:rPr>
        <w:t>8 </w:t>
      </w:r>
      <w:r>
        <w:rPr/>
        <w:t>月 </w:t>
      </w:r>
      <w:r>
        <w:rPr>
          <w:rFonts w:ascii="Arial" w:hAnsi="Arial" w:cs="Arial" w:eastAsia="Arial" w:hint="default"/>
        </w:rPr>
        <w:t>18 </w:t>
      </w:r>
      <w:r>
        <w:rPr>
          <w:spacing w:val="-3"/>
        </w:rPr>
        <w:t>日，中国证券监督管理委员会下发了行政处罚决定书</w:t>
      </w:r>
      <w:r>
        <w:rPr>
          <w:rFonts w:ascii="宋体" w:hAnsi="宋体" w:cs="宋体" w:eastAsia="宋体" w:hint="default"/>
          <w:spacing w:val="-3"/>
        </w:rPr>
        <w:t>〔</w:t>
      </w:r>
      <w:r>
        <w:rPr>
          <w:rFonts w:ascii="Arial" w:hAnsi="Arial" w:cs="Arial" w:eastAsia="Arial" w:hint="default"/>
          <w:spacing w:val="-3"/>
        </w:rPr>
        <w:t>2016</w:t>
      </w:r>
      <w:r>
        <w:rPr>
          <w:rFonts w:ascii="宋体" w:hAnsi="宋体" w:cs="宋体" w:eastAsia="宋体" w:hint="default"/>
          <w:spacing w:val="-3"/>
        </w:rPr>
        <w:t>〕</w:t>
      </w:r>
      <w:r>
        <w:rPr>
          <w:rFonts w:ascii="Arial" w:hAnsi="Arial" w:cs="Arial" w:eastAsia="Arial" w:hint="default"/>
          <w:spacing w:val="-3"/>
        </w:rPr>
        <w:t>102</w:t>
      </w:r>
      <w:r>
        <w:rPr>
          <w:rFonts w:ascii="Arial" w:hAnsi="Arial" w:cs="Arial" w:eastAsia="Arial" w:hint="default"/>
          <w:spacing w:val="-28"/>
        </w:rPr>
        <w:t> </w:t>
      </w:r>
      <w:r>
        <w:rPr>
          <w:spacing w:val="-3"/>
        </w:rPr>
        <w:t>号，对公司及公司时任董事等相关人员进行了行政处罚。（详见</w:t>
      </w:r>
      <w:r>
        <w:rPr>
          <w:w w:val="100"/>
        </w:rPr>
        <w:t> </w:t>
      </w:r>
      <w:r>
        <w:rPr/>
        <w:t>公司公告</w:t>
      </w:r>
      <w:r>
        <w:rPr>
          <w:spacing w:val="-51"/>
        </w:rPr>
        <w:t> </w:t>
      </w:r>
      <w:r>
        <w:rPr>
          <w:rFonts w:ascii="Arial" w:hAnsi="Arial" w:cs="Arial" w:eastAsia="Arial" w:hint="default"/>
        </w:rPr>
        <w:t>2016-032</w:t>
      </w:r>
      <w:r>
        <w:rPr>
          <w:rFonts w:ascii="Arial" w:hAnsi="Arial" w:cs="Arial" w:eastAsia="Arial" w:hint="default"/>
          <w:spacing w:val="-7"/>
        </w:rPr>
        <w:t> </w:t>
      </w:r>
      <w:r>
        <w:rPr/>
        <w:t>号）</w:t>
      </w:r>
    </w:p>
    <w:p>
      <w:pPr>
        <w:spacing w:after="0" w:line="264" w:lineRule="auto"/>
        <w:jc w:val="left"/>
        <w:sectPr>
          <w:pgSz w:w="16840" w:h="11910" w:orient="landscape"/>
          <w:pgMar w:header="825" w:footer="1195" w:top="1300" w:bottom="1380" w:left="1380" w:right="1320"/>
        </w:sectPr>
      </w:pPr>
    </w:p>
    <w:p>
      <w:pPr>
        <w:spacing w:line="240" w:lineRule="auto" w:before="5"/>
        <w:rPr>
          <w:rFonts w:ascii="宋体" w:hAnsi="宋体" w:cs="宋体" w:eastAsia="宋体" w:hint="default"/>
          <w:sz w:val="11"/>
          <w:szCs w:val="11"/>
        </w:rPr>
      </w:pPr>
    </w:p>
    <w:p>
      <w:pPr>
        <w:pStyle w:val="Heading2"/>
        <w:spacing w:line="240" w:lineRule="auto" w:before="36"/>
        <w:ind w:right="2410"/>
        <w:jc w:val="left"/>
        <w:rPr>
          <w:b w:val="0"/>
          <w:bCs w:val="0"/>
        </w:rPr>
      </w:pPr>
      <w:r>
        <w:rPr/>
        <w:t>六、母公司和主要子公司的员工情况</w:t>
      </w:r>
      <w:r>
        <w:rPr>
          <w:b w:val="0"/>
          <w:bCs w:val="0"/>
        </w:rPr>
      </w:r>
    </w:p>
    <w:p>
      <w:pPr>
        <w:pStyle w:val="Heading2"/>
        <w:spacing w:line="240" w:lineRule="auto" w:before="58"/>
        <w:ind w:right="241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1"/>
        <w:rPr>
          <w:rFonts w:ascii="宋体" w:hAnsi="宋体" w:cs="宋体" w:eastAsia="宋体" w:hint="default"/>
          <w:b/>
          <w:bCs/>
          <w:sz w:val="4"/>
          <w:szCs w:val="4"/>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520;height:2" coordorigin="10,10" coordsize="4520,2">
              <v:shape style="position:absolute;left:10;top:10;width:4520;height:2" coordorigin="10,10" coordsize="4520,0" path="m10,10l4529,10e" filled="false" stroked="true" strokeweight=".96pt" strokecolor="#41b7ee">
                <v:path arrowok="t"/>
              </v:shape>
            </v:group>
            <v:group style="position:absolute;left:4529;top:10;width:58;height:2" coordorigin="4529,10" coordsize="58,2">
              <v:shape style="position:absolute;left:4529;top:10;width:58;height:2" coordorigin="4529,10" coordsize="58,0" path="m4529,10l4587,10e" filled="false" stroked="true" strokeweight=".96pt" strokecolor="#41b7ee">
                <v:path arrowok="t"/>
              </v:shape>
            </v:group>
            <v:group style="position:absolute;left:4587;top:10;width:4473;height:2" coordorigin="4587,10" coordsize="4473,2">
              <v:shape style="position:absolute;left:4587;top:10;width:4473;height:2" coordorigin="4587,10" coordsize="4473,0" path="m4587,10l9059,10e" filled="false" stroked="true" strokeweight=".96pt" strokecolor="#41b7ee">
                <v:path arrowok="t"/>
              </v:shape>
            </v:group>
          </v:group>
        </w:pict>
      </w:r>
      <w:r>
        <w:rPr>
          <w:rFonts w:ascii="宋体" w:hAnsi="宋体" w:cs="宋体" w:eastAsia="宋体" w:hint="default"/>
          <w:sz w:val="2"/>
          <w:szCs w:val="2"/>
        </w:rPr>
      </w:r>
    </w:p>
    <w:tbl>
      <w:tblPr>
        <w:tblW w:w="0" w:type="auto"/>
        <w:jc w:val="left"/>
        <w:tblInd w:w="110" w:type="dxa"/>
        <w:tblLayout w:type="fixed"/>
        <w:tblCellMar>
          <w:top w:w="0" w:type="dxa"/>
          <w:left w:w="0" w:type="dxa"/>
          <w:bottom w:w="0" w:type="dxa"/>
          <w:right w:w="0" w:type="dxa"/>
        </w:tblCellMar>
        <w:tblLook w:val="01E0"/>
      </w:tblPr>
      <w:tblGrid>
        <w:gridCol w:w="4525"/>
        <w:gridCol w:w="4525"/>
      </w:tblGrid>
      <w:tr>
        <w:trPr>
          <w:trHeight w:val="365" w:hRule="exact"/>
        </w:trPr>
        <w:tc>
          <w:tcPr>
            <w:tcW w:w="4525"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6"/>
              <w:ind w:left="107"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r>
              <w:rPr>
                <w:rFonts w:ascii="宋体" w:hAnsi="宋体" w:cs="宋体" w:eastAsia="宋体" w:hint="default"/>
                <w:sz w:val="21"/>
                <w:szCs w:val="21"/>
              </w:rPr>
              <w:t> </w:t>
            </w:r>
          </w:p>
        </w:tc>
        <w:tc>
          <w:tcPr>
            <w:tcW w:w="4525"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50"/>
              <w:ind w:right="104"/>
              <w:jc w:val="right"/>
              <w:rPr>
                <w:rFonts w:ascii="Arial" w:hAnsi="Arial" w:cs="Arial" w:eastAsia="Arial" w:hint="default"/>
                <w:sz w:val="21"/>
                <w:szCs w:val="21"/>
              </w:rPr>
            </w:pPr>
            <w:r>
              <w:rPr>
                <w:rFonts w:ascii="Arial"/>
                <w:spacing w:val="-1"/>
                <w:sz w:val="21"/>
              </w:rPr>
              <w:t>34,873</w:t>
            </w:r>
          </w:p>
        </w:tc>
      </w:tr>
      <w:tr>
        <w:trPr>
          <w:trHeight w:val="358" w:hRule="exact"/>
        </w:trPr>
        <w:tc>
          <w:tcPr>
            <w:tcW w:w="452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r>
              <w:rPr>
                <w:rFonts w:ascii="宋体" w:hAnsi="宋体" w:cs="宋体" w:eastAsia="宋体" w:hint="default"/>
                <w:sz w:val="21"/>
                <w:szCs w:val="21"/>
              </w:rPr>
              <w:t> </w:t>
            </w:r>
          </w:p>
        </w:tc>
        <w:tc>
          <w:tcPr>
            <w:tcW w:w="452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z w:val="21"/>
              </w:rPr>
              <w:t>48</w:t>
            </w:r>
          </w:p>
        </w:tc>
      </w:tr>
      <w:tr>
        <w:trPr>
          <w:trHeight w:val="355" w:hRule="exact"/>
        </w:trPr>
        <w:tc>
          <w:tcPr>
            <w:tcW w:w="452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r>
              <w:rPr>
                <w:rFonts w:ascii="宋体" w:hAnsi="宋体" w:cs="宋体" w:eastAsia="宋体" w:hint="default"/>
                <w:sz w:val="21"/>
                <w:szCs w:val="21"/>
              </w:rPr>
              <w:t> </w:t>
            </w:r>
          </w:p>
        </w:tc>
        <w:tc>
          <w:tcPr>
            <w:tcW w:w="452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34,921</w:t>
            </w:r>
          </w:p>
        </w:tc>
      </w:tr>
      <w:tr>
        <w:trPr>
          <w:trHeight w:val="557" w:hRule="exact"/>
        </w:trPr>
        <w:tc>
          <w:tcPr>
            <w:tcW w:w="4525" w:type="dxa"/>
            <w:tcBorders>
              <w:top w:val="single" w:sz="4" w:space="0" w:color="41B7EE"/>
              <w:left w:val="nil" w:sz="6" w:space="0" w:color="auto"/>
              <w:bottom w:val="single" w:sz="4" w:space="0" w:color="41B7EE"/>
              <w:right w:val="single" w:sz="4" w:space="0" w:color="41B7EE"/>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人数</w:t>
            </w:r>
            <w:r>
              <w:rPr>
                <w:rFonts w:ascii="宋体" w:hAnsi="宋体" w:cs="宋体" w:eastAsia="宋体" w:hint="default"/>
                <w:sz w:val="21"/>
                <w:szCs w:val="21"/>
              </w:rPr>
              <w:t> </w:t>
            </w:r>
          </w:p>
        </w:tc>
        <w:tc>
          <w:tcPr>
            <w:tcW w:w="452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8"/>
              <w:ind w:right="104"/>
              <w:jc w:val="right"/>
              <w:rPr>
                <w:rFonts w:ascii="Arial" w:hAnsi="Arial" w:cs="Arial" w:eastAsia="Arial" w:hint="default"/>
                <w:sz w:val="21"/>
                <w:szCs w:val="21"/>
              </w:rPr>
            </w:pPr>
            <w:r>
              <w:rPr>
                <w:rFonts w:ascii="Arial"/>
                <w:spacing w:val="-1"/>
                <w:sz w:val="21"/>
              </w:rPr>
              <w:t>4,156</w:t>
            </w:r>
          </w:p>
        </w:tc>
      </w:tr>
    </w:tbl>
    <w:p>
      <w:pPr>
        <w:pStyle w:val="BodyText"/>
        <w:spacing w:line="240" w:lineRule="auto" w:before="20"/>
        <w:ind w:left="105" w:right="17"/>
        <w:jc w:val="center"/>
        <w:rPr>
          <w:rFonts w:ascii="宋体" w:hAnsi="宋体" w:cs="宋体" w:eastAsia="宋体" w:hint="default"/>
        </w:rPr>
      </w:pPr>
      <w:r>
        <w:rPr/>
        <w:t>专业构成</w:t>
      </w:r>
      <w:r>
        <w:rPr>
          <w:rFonts w:ascii="宋体" w:hAnsi="宋体" w:cs="宋体" w:eastAsia="宋体" w:hint="default"/>
        </w:rPr>
        <w:t> </w:t>
      </w:r>
    </w:p>
    <w:p>
      <w:pPr>
        <w:spacing w:line="240" w:lineRule="auto" w:before="3"/>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4525"/>
        <w:gridCol w:w="4525"/>
      </w:tblGrid>
      <w:tr>
        <w:trPr>
          <w:trHeight w:val="358" w:hRule="exact"/>
        </w:trPr>
        <w:tc>
          <w:tcPr>
            <w:tcW w:w="452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10" w:right="0"/>
              <w:jc w:val="center"/>
              <w:rPr>
                <w:rFonts w:ascii="宋体" w:hAnsi="宋体" w:cs="宋体" w:eastAsia="宋体" w:hint="default"/>
                <w:sz w:val="21"/>
                <w:szCs w:val="21"/>
              </w:rPr>
            </w:pPr>
            <w:r>
              <w:rPr>
                <w:rFonts w:ascii="宋体" w:hAnsi="宋体" w:cs="宋体" w:eastAsia="宋体" w:hint="default"/>
                <w:sz w:val="21"/>
                <w:szCs w:val="21"/>
              </w:rPr>
              <w:t>专业构成类别</w:t>
            </w:r>
            <w:r>
              <w:rPr>
                <w:rFonts w:ascii="宋体" w:hAnsi="宋体" w:cs="宋体" w:eastAsia="宋体" w:hint="default"/>
                <w:sz w:val="21"/>
                <w:szCs w:val="21"/>
              </w:rPr>
              <w:t> </w:t>
            </w:r>
          </w:p>
        </w:tc>
        <w:tc>
          <w:tcPr>
            <w:tcW w:w="452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1" w:right="0"/>
              <w:jc w:val="center"/>
              <w:rPr>
                <w:rFonts w:ascii="宋体" w:hAnsi="宋体" w:cs="宋体" w:eastAsia="宋体" w:hint="default"/>
                <w:sz w:val="21"/>
                <w:szCs w:val="21"/>
              </w:rPr>
            </w:pPr>
            <w:r>
              <w:rPr>
                <w:rFonts w:ascii="宋体" w:hAnsi="宋体" w:cs="宋体" w:eastAsia="宋体" w:hint="default"/>
                <w:sz w:val="21"/>
                <w:szCs w:val="21"/>
              </w:rPr>
              <w:t>专业构成人数</w:t>
            </w:r>
            <w:r>
              <w:rPr>
                <w:rFonts w:ascii="宋体" w:hAnsi="宋体" w:cs="宋体" w:eastAsia="宋体" w:hint="default"/>
                <w:sz w:val="21"/>
                <w:szCs w:val="21"/>
              </w:rPr>
              <w:t> </w:t>
            </w:r>
          </w:p>
        </w:tc>
      </w:tr>
      <w:tr>
        <w:trPr>
          <w:trHeight w:val="358" w:hRule="exact"/>
        </w:trPr>
        <w:tc>
          <w:tcPr>
            <w:tcW w:w="452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center"/>
              <w:rPr>
                <w:rFonts w:ascii="宋体" w:hAnsi="宋体" w:cs="宋体" w:eastAsia="宋体" w:hint="default"/>
                <w:sz w:val="21"/>
                <w:szCs w:val="21"/>
              </w:rPr>
            </w:pPr>
            <w:r>
              <w:rPr>
                <w:rFonts w:ascii="宋体" w:hAnsi="宋体" w:cs="宋体" w:eastAsia="宋体" w:hint="default"/>
                <w:sz w:val="21"/>
                <w:szCs w:val="21"/>
              </w:rPr>
              <w:t>生产人员</w:t>
            </w:r>
            <w:r>
              <w:rPr>
                <w:rFonts w:ascii="宋体" w:hAnsi="宋体" w:cs="宋体" w:eastAsia="宋体" w:hint="default"/>
                <w:sz w:val="21"/>
                <w:szCs w:val="21"/>
              </w:rPr>
              <w:t> </w:t>
            </w:r>
          </w:p>
        </w:tc>
        <w:tc>
          <w:tcPr>
            <w:tcW w:w="452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30,168</w:t>
            </w:r>
          </w:p>
        </w:tc>
      </w:tr>
      <w:tr>
        <w:trPr>
          <w:trHeight w:val="358" w:hRule="exact"/>
        </w:trPr>
        <w:tc>
          <w:tcPr>
            <w:tcW w:w="452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5"/>
              <w:ind w:left="107" w:right="0"/>
              <w:jc w:val="center"/>
              <w:rPr>
                <w:rFonts w:ascii="宋体" w:hAnsi="宋体" w:cs="宋体" w:eastAsia="宋体" w:hint="default"/>
                <w:sz w:val="21"/>
                <w:szCs w:val="21"/>
              </w:rPr>
            </w:pPr>
            <w:r>
              <w:rPr>
                <w:rFonts w:ascii="宋体" w:hAnsi="宋体" w:cs="宋体" w:eastAsia="宋体" w:hint="default"/>
                <w:sz w:val="21"/>
                <w:szCs w:val="21"/>
              </w:rPr>
              <w:t>销售人员</w:t>
            </w:r>
            <w:r>
              <w:rPr>
                <w:rFonts w:ascii="宋体" w:hAnsi="宋体" w:cs="宋体" w:eastAsia="宋体" w:hint="default"/>
                <w:sz w:val="21"/>
                <w:szCs w:val="21"/>
              </w:rPr>
              <w:t> </w:t>
            </w:r>
          </w:p>
        </w:tc>
        <w:tc>
          <w:tcPr>
            <w:tcW w:w="452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z w:val="21"/>
              </w:rPr>
              <w:t>91</w:t>
            </w:r>
          </w:p>
        </w:tc>
      </w:tr>
      <w:tr>
        <w:trPr>
          <w:trHeight w:val="355" w:hRule="exact"/>
        </w:trPr>
        <w:tc>
          <w:tcPr>
            <w:tcW w:w="452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center"/>
              <w:rPr>
                <w:rFonts w:ascii="宋体" w:hAnsi="宋体" w:cs="宋体" w:eastAsia="宋体" w:hint="default"/>
                <w:sz w:val="21"/>
                <w:szCs w:val="21"/>
              </w:rPr>
            </w:pPr>
            <w:r>
              <w:rPr>
                <w:rFonts w:ascii="宋体" w:hAnsi="宋体" w:cs="宋体" w:eastAsia="宋体" w:hint="default"/>
                <w:sz w:val="21"/>
                <w:szCs w:val="21"/>
              </w:rPr>
              <w:t>技术人员</w:t>
            </w:r>
            <w:r>
              <w:rPr>
                <w:rFonts w:ascii="宋体" w:hAnsi="宋体" w:cs="宋体" w:eastAsia="宋体" w:hint="default"/>
                <w:sz w:val="21"/>
                <w:szCs w:val="21"/>
              </w:rPr>
              <w:t> </w:t>
            </w:r>
          </w:p>
        </w:tc>
        <w:tc>
          <w:tcPr>
            <w:tcW w:w="452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2,103</w:t>
            </w:r>
          </w:p>
        </w:tc>
      </w:tr>
      <w:tr>
        <w:trPr>
          <w:trHeight w:val="358" w:hRule="exact"/>
        </w:trPr>
        <w:tc>
          <w:tcPr>
            <w:tcW w:w="452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center"/>
              <w:rPr>
                <w:rFonts w:ascii="宋体" w:hAnsi="宋体" w:cs="宋体" w:eastAsia="宋体" w:hint="default"/>
                <w:sz w:val="21"/>
                <w:szCs w:val="21"/>
              </w:rPr>
            </w:pPr>
            <w:r>
              <w:rPr>
                <w:rFonts w:ascii="宋体" w:hAnsi="宋体" w:cs="宋体" w:eastAsia="宋体" w:hint="default"/>
                <w:sz w:val="21"/>
                <w:szCs w:val="21"/>
              </w:rPr>
              <w:t>财务人员</w:t>
            </w:r>
            <w:r>
              <w:rPr>
                <w:rFonts w:ascii="宋体" w:hAnsi="宋体" w:cs="宋体" w:eastAsia="宋体" w:hint="default"/>
                <w:sz w:val="21"/>
                <w:szCs w:val="21"/>
              </w:rPr>
              <w:t> </w:t>
            </w:r>
          </w:p>
        </w:tc>
        <w:tc>
          <w:tcPr>
            <w:tcW w:w="452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z w:val="21"/>
              </w:rPr>
              <w:t>864</w:t>
            </w:r>
          </w:p>
        </w:tc>
      </w:tr>
      <w:tr>
        <w:trPr>
          <w:trHeight w:val="358" w:hRule="exact"/>
        </w:trPr>
        <w:tc>
          <w:tcPr>
            <w:tcW w:w="452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center"/>
              <w:rPr>
                <w:rFonts w:ascii="宋体" w:hAnsi="宋体" w:cs="宋体" w:eastAsia="宋体" w:hint="default"/>
                <w:sz w:val="21"/>
                <w:szCs w:val="21"/>
              </w:rPr>
            </w:pPr>
            <w:r>
              <w:rPr>
                <w:rFonts w:ascii="宋体" w:hAnsi="宋体" w:cs="宋体" w:eastAsia="宋体" w:hint="default"/>
                <w:sz w:val="21"/>
                <w:szCs w:val="21"/>
              </w:rPr>
              <w:t>行政人员</w:t>
            </w:r>
            <w:r>
              <w:rPr>
                <w:rFonts w:ascii="宋体" w:hAnsi="宋体" w:cs="宋体" w:eastAsia="宋体" w:hint="default"/>
                <w:sz w:val="21"/>
                <w:szCs w:val="21"/>
              </w:rPr>
              <w:t> </w:t>
            </w:r>
          </w:p>
        </w:tc>
        <w:tc>
          <w:tcPr>
            <w:tcW w:w="452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1,695</w:t>
            </w:r>
          </w:p>
        </w:tc>
      </w:tr>
      <w:tr>
        <w:trPr>
          <w:trHeight w:val="358" w:hRule="exact"/>
        </w:trPr>
        <w:tc>
          <w:tcPr>
            <w:tcW w:w="452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1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34,921</w:t>
            </w:r>
          </w:p>
        </w:tc>
      </w:tr>
    </w:tbl>
    <w:p>
      <w:pPr>
        <w:pStyle w:val="BodyText"/>
        <w:spacing w:line="240" w:lineRule="auto" w:before="2"/>
        <w:ind w:left="105" w:right="17"/>
        <w:jc w:val="center"/>
        <w:rPr>
          <w:rFonts w:ascii="宋体" w:hAnsi="宋体" w:cs="宋体" w:eastAsia="宋体" w:hint="default"/>
        </w:rPr>
      </w:pPr>
      <w:r>
        <w:rPr/>
        <w:t>教育程度</w:t>
      </w:r>
      <w:r>
        <w:rPr>
          <w:rFonts w:ascii="宋体" w:hAnsi="宋体" w:cs="宋体" w:eastAsia="宋体" w:hint="default"/>
        </w:rPr>
        <w:t> </w:t>
      </w:r>
    </w:p>
    <w:p>
      <w:pPr>
        <w:spacing w:line="240" w:lineRule="auto" w:before="3"/>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4525"/>
        <w:gridCol w:w="4525"/>
      </w:tblGrid>
      <w:tr>
        <w:trPr>
          <w:trHeight w:val="358" w:hRule="exact"/>
        </w:trPr>
        <w:tc>
          <w:tcPr>
            <w:tcW w:w="452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10" w:right="0"/>
              <w:jc w:val="center"/>
              <w:rPr>
                <w:rFonts w:ascii="宋体" w:hAnsi="宋体" w:cs="宋体" w:eastAsia="宋体" w:hint="default"/>
                <w:sz w:val="21"/>
                <w:szCs w:val="21"/>
              </w:rPr>
            </w:pPr>
            <w:r>
              <w:rPr>
                <w:rFonts w:ascii="宋体" w:hAnsi="宋体" w:cs="宋体" w:eastAsia="宋体" w:hint="default"/>
                <w:sz w:val="21"/>
                <w:szCs w:val="21"/>
              </w:rPr>
              <w:t>教育程度类别</w:t>
            </w:r>
            <w:r>
              <w:rPr>
                <w:rFonts w:ascii="宋体" w:hAnsi="宋体" w:cs="宋体" w:eastAsia="宋体" w:hint="default"/>
                <w:sz w:val="21"/>
                <w:szCs w:val="21"/>
              </w:rPr>
              <w:t> </w:t>
            </w:r>
          </w:p>
        </w:tc>
        <w:tc>
          <w:tcPr>
            <w:tcW w:w="452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98" w:right="0"/>
              <w:jc w:val="center"/>
              <w:rPr>
                <w:rFonts w:ascii="宋体" w:hAnsi="宋体" w:cs="宋体" w:eastAsia="宋体" w:hint="default"/>
                <w:sz w:val="21"/>
                <w:szCs w:val="21"/>
              </w:rPr>
            </w:pPr>
            <w:r>
              <w:rPr>
                <w:rFonts w:ascii="宋体" w:hAnsi="宋体" w:cs="宋体" w:eastAsia="宋体" w:hint="default"/>
                <w:sz w:val="21"/>
                <w:szCs w:val="21"/>
              </w:rPr>
              <w:t>数量（人）</w:t>
            </w:r>
            <w:r>
              <w:rPr>
                <w:rFonts w:ascii="宋体" w:hAnsi="宋体" w:cs="宋体" w:eastAsia="宋体" w:hint="default"/>
                <w:sz w:val="21"/>
                <w:szCs w:val="21"/>
              </w:rPr>
              <w:t> </w:t>
            </w:r>
          </w:p>
        </w:tc>
      </w:tr>
      <w:tr>
        <w:trPr>
          <w:trHeight w:val="358" w:hRule="exact"/>
        </w:trPr>
        <w:tc>
          <w:tcPr>
            <w:tcW w:w="452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10" w:right="0"/>
              <w:jc w:val="center"/>
              <w:rPr>
                <w:rFonts w:ascii="宋体" w:hAnsi="宋体" w:cs="宋体" w:eastAsia="宋体" w:hint="default"/>
                <w:sz w:val="21"/>
                <w:szCs w:val="21"/>
              </w:rPr>
            </w:pPr>
            <w:r>
              <w:rPr>
                <w:rFonts w:ascii="宋体" w:hAnsi="宋体" w:cs="宋体" w:eastAsia="宋体" w:hint="default"/>
                <w:sz w:val="21"/>
                <w:szCs w:val="21"/>
              </w:rPr>
              <w:t>研究生及以上</w:t>
            </w:r>
            <w:r>
              <w:rPr>
                <w:rFonts w:ascii="宋体" w:hAnsi="宋体" w:cs="宋体" w:eastAsia="宋体" w:hint="default"/>
                <w:sz w:val="21"/>
                <w:szCs w:val="21"/>
              </w:rPr>
              <w:t> </w:t>
            </w:r>
          </w:p>
        </w:tc>
        <w:tc>
          <w:tcPr>
            <w:tcW w:w="452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z w:val="21"/>
              </w:rPr>
              <w:t>185</w:t>
            </w:r>
          </w:p>
        </w:tc>
      </w:tr>
      <w:tr>
        <w:trPr>
          <w:trHeight w:val="358" w:hRule="exact"/>
        </w:trPr>
        <w:tc>
          <w:tcPr>
            <w:tcW w:w="452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10" w:right="0"/>
              <w:jc w:val="center"/>
              <w:rPr>
                <w:rFonts w:ascii="宋体" w:hAnsi="宋体" w:cs="宋体" w:eastAsia="宋体" w:hint="default"/>
                <w:sz w:val="21"/>
                <w:szCs w:val="21"/>
              </w:rPr>
            </w:pPr>
            <w:r>
              <w:rPr>
                <w:rFonts w:ascii="宋体" w:hAnsi="宋体" w:cs="宋体" w:eastAsia="宋体" w:hint="default"/>
                <w:sz w:val="21"/>
                <w:szCs w:val="21"/>
              </w:rPr>
              <w:t>本科</w:t>
            </w:r>
            <w:r>
              <w:rPr>
                <w:rFonts w:ascii="宋体" w:hAnsi="宋体" w:cs="宋体" w:eastAsia="宋体" w:hint="default"/>
                <w:sz w:val="21"/>
                <w:szCs w:val="21"/>
              </w:rPr>
              <w:t> </w:t>
            </w:r>
          </w:p>
        </w:tc>
        <w:tc>
          <w:tcPr>
            <w:tcW w:w="452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2,861</w:t>
            </w:r>
          </w:p>
        </w:tc>
      </w:tr>
      <w:tr>
        <w:trPr>
          <w:trHeight w:val="355" w:hRule="exact"/>
        </w:trPr>
        <w:tc>
          <w:tcPr>
            <w:tcW w:w="452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10" w:right="0"/>
              <w:jc w:val="center"/>
              <w:rPr>
                <w:rFonts w:ascii="宋体" w:hAnsi="宋体" w:cs="宋体" w:eastAsia="宋体" w:hint="default"/>
                <w:sz w:val="21"/>
                <w:szCs w:val="21"/>
              </w:rPr>
            </w:pPr>
            <w:r>
              <w:rPr>
                <w:rFonts w:ascii="宋体" w:hAnsi="宋体" w:cs="宋体" w:eastAsia="宋体" w:hint="default"/>
                <w:sz w:val="21"/>
                <w:szCs w:val="21"/>
              </w:rPr>
              <w:t>专科</w:t>
            </w:r>
            <w:r>
              <w:rPr>
                <w:rFonts w:ascii="宋体" w:hAnsi="宋体" w:cs="宋体" w:eastAsia="宋体" w:hint="default"/>
                <w:sz w:val="21"/>
                <w:szCs w:val="21"/>
              </w:rPr>
              <w:t> </w:t>
            </w:r>
          </w:p>
        </w:tc>
        <w:tc>
          <w:tcPr>
            <w:tcW w:w="452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2,632</w:t>
            </w:r>
          </w:p>
        </w:tc>
      </w:tr>
      <w:tr>
        <w:trPr>
          <w:trHeight w:val="358" w:hRule="exact"/>
        </w:trPr>
        <w:tc>
          <w:tcPr>
            <w:tcW w:w="452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10" w:right="0"/>
              <w:jc w:val="center"/>
              <w:rPr>
                <w:rFonts w:ascii="宋体" w:hAnsi="宋体" w:cs="宋体" w:eastAsia="宋体" w:hint="default"/>
                <w:sz w:val="21"/>
                <w:szCs w:val="21"/>
              </w:rPr>
            </w:pPr>
            <w:r>
              <w:rPr>
                <w:rFonts w:ascii="宋体" w:hAnsi="宋体" w:cs="宋体" w:eastAsia="宋体" w:hint="default"/>
                <w:sz w:val="21"/>
                <w:szCs w:val="21"/>
              </w:rPr>
              <w:t>中专</w:t>
            </w:r>
            <w:r>
              <w:rPr>
                <w:rFonts w:ascii="宋体" w:hAnsi="宋体" w:cs="宋体" w:eastAsia="宋体" w:hint="default"/>
                <w:sz w:val="21"/>
                <w:szCs w:val="21"/>
              </w:rPr>
              <w:t> </w:t>
            </w:r>
          </w:p>
        </w:tc>
        <w:tc>
          <w:tcPr>
            <w:tcW w:w="452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1,886</w:t>
            </w:r>
          </w:p>
        </w:tc>
      </w:tr>
      <w:tr>
        <w:trPr>
          <w:trHeight w:val="358" w:hRule="exact"/>
        </w:trPr>
        <w:tc>
          <w:tcPr>
            <w:tcW w:w="452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center"/>
              <w:rPr>
                <w:rFonts w:ascii="宋体" w:hAnsi="宋体" w:cs="宋体" w:eastAsia="宋体" w:hint="default"/>
                <w:sz w:val="21"/>
                <w:szCs w:val="21"/>
              </w:rPr>
            </w:pPr>
            <w:r>
              <w:rPr>
                <w:rFonts w:ascii="宋体" w:hAnsi="宋体" w:cs="宋体" w:eastAsia="宋体" w:hint="default"/>
                <w:sz w:val="21"/>
                <w:szCs w:val="21"/>
              </w:rPr>
              <w:t>高中及以下</w:t>
            </w:r>
            <w:r>
              <w:rPr>
                <w:rFonts w:ascii="宋体" w:hAnsi="宋体" w:cs="宋体" w:eastAsia="宋体" w:hint="default"/>
                <w:sz w:val="21"/>
                <w:szCs w:val="21"/>
              </w:rPr>
              <w:t> </w:t>
            </w:r>
          </w:p>
        </w:tc>
        <w:tc>
          <w:tcPr>
            <w:tcW w:w="452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27,357</w:t>
            </w:r>
          </w:p>
        </w:tc>
      </w:tr>
      <w:tr>
        <w:trPr>
          <w:trHeight w:val="365" w:hRule="exact"/>
        </w:trPr>
        <w:tc>
          <w:tcPr>
            <w:tcW w:w="4525"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4"/>
              <w:ind w:left="11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34,921</w:t>
            </w:r>
          </w:p>
        </w:tc>
      </w:tr>
    </w:tbl>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520;height:2" coordorigin="10,10" coordsize="4520,2">
              <v:shape style="position:absolute;left:10;top:10;width:4520;height:2" coordorigin="10,10" coordsize="4520,0" path="m10,10l4529,10e" filled="false" stroked="true" strokeweight=".95999pt" strokecolor="#41b7ee">
                <v:path arrowok="t"/>
              </v:shape>
            </v:group>
            <v:group style="position:absolute;left:4529;top:10;width:58;height:2" coordorigin="4529,10" coordsize="58,2">
              <v:shape style="position:absolute;left:4529;top:10;width:58;height:2" coordorigin="4529,10" coordsize="58,0" path="m4529,10l4587,10e" filled="false" stroked="true" strokeweight=".95999pt" strokecolor="#41b7ee">
                <v:path arrowok="t"/>
              </v:shape>
            </v:group>
            <v:group style="position:absolute;left:4587;top:10;width:4473;height:2" coordorigin="4587,10" coordsize="4473,2">
              <v:shape style="position:absolute;left:4587;top:10;width:4473;height:2" coordorigin="4587,10" coordsize="4473,0" path="m4587,10l9059,10e" filled="false" stroked="true" strokeweight=".95999pt" strokecolor="#41b7ee">
                <v:path arrowok="t"/>
              </v:shape>
            </v:group>
          </v:group>
        </w:pict>
      </w:r>
      <w:r>
        <w:rPr>
          <w:rFonts w:ascii="宋体" w:hAnsi="宋体" w:cs="宋体" w:eastAsia="宋体" w:hint="default"/>
          <w:sz w:val="2"/>
          <w:szCs w:val="2"/>
        </w:rPr>
      </w:r>
    </w:p>
    <w:p>
      <w:pPr>
        <w:pStyle w:val="BodyText"/>
        <w:spacing w:line="259" w:lineRule="exact"/>
        <w:ind w:left="218" w:right="0"/>
        <w:jc w:val="left"/>
        <w:rPr>
          <w:rFonts w:ascii="宋体" w:hAnsi="宋体" w:cs="宋体" w:eastAsia="宋体" w:hint="default"/>
        </w:rPr>
      </w:pPr>
      <w:r>
        <w:rPr>
          <w:rFonts w:ascii="宋体"/>
          <w:w w:val="100"/>
        </w:rPr>
        <w:t> </w:t>
      </w:r>
    </w:p>
    <w:p>
      <w:pPr>
        <w:pStyle w:val="Heading2"/>
        <w:spacing w:line="240" w:lineRule="auto"/>
        <w:ind w:right="241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280" w:lineRule="auto" w:before="32"/>
        <w:ind w:left="218" w:right="974"/>
        <w:jc w:val="left"/>
        <w:rPr>
          <w:rFonts w:ascii="宋体" w:hAnsi="宋体" w:cs="宋体" w:eastAsia="宋体" w:hint="default"/>
        </w:rPr>
      </w:pPr>
      <w:r>
        <w:rPr/>
        <w:t>√适用</w:t>
      </w:r>
      <w:r>
        <w:rPr>
          <w:spacing w:val="13"/>
        </w:rPr>
        <w:t> </w:t>
      </w:r>
      <w:r>
        <w:rPr>
          <w:rFonts w:ascii="宋体" w:hAnsi="宋体" w:cs="宋体" w:eastAsia="宋体" w:hint="default"/>
          <w:spacing w:val="13"/>
        </w:rPr>
      </w:r>
      <w:r>
        <w:rPr/>
        <w:t>□不适用</w:t>
      </w:r>
      <w:r>
        <w:rPr>
          <w:rFonts w:ascii="宋体" w:hAnsi="宋体" w:cs="宋体" w:eastAsia="宋体" w:hint="default"/>
          <w:spacing w:val="-3"/>
          <w:w w:val="100"/>
        </w:rPr>
        <w:t> </w:t>
      </w:r>
      <w:r>
        <w:rPr>
          <w:rFonts w:ascii="宋体" w:hAnsi="宋体" w:cs="宋体" w:eastAsia="宋体" w:hint="default"/>
          <w:w w:val="100"/>
        </w:rPr>
        <w:t> </w:t>
      </w:r>
      <w:r>
        <w:rPr/>
        <w:t>黑龙江北大荒农业股份有限公司负责人经营业绩考核与薪酬管理办法。</w:t>
      </w:r>
      <w:r>
        <w:rPr>
          <w:rFonts w:ascii="宋体" w:hAnsi="宋体" w:cs="宋体" w:eastAsia="宋体" w:hint="default"/>
          <w:w w:val="100"/>
        </w:rPr>
        <w:t> </w:t>
      </w:r>
      <w:r>
        <w:rPr/>
        <w:t>黑龙江北大荒农业股份有限公司总部人员业绩考核与薪酬管理细则（修订）。</w:t>
      </w:r>
      <w:r>
        <w:rPr>
          <w:rFonts w:ascii="宋体" w:hAnsi="宋体" w:cs="宋体" w:eastAsia="宋体" w:hint="default"/>
          <w:w w:val="100"/>
        </w:rPr>
        <w:t> </w:t>
      </w:r>
      <w:r>
        <w:rPr/>
        <w:t>黑龙江北大荒农业股份有限公司农业分公司负责人经营业绩考核与绩效薪金管理办法。</w:t>
      </w:r>
      <w:r>
        <w:rPr>
          <w:rFonts w:ascii="宋体" w:hAnsi="宋体" w:cs="宋体" w:eastAsia="宋体" w:hint="default"/>
          <w:w w:val="100"/>
        </w:rPr>
        <w:t> </w:t>
      </w:r>
      <w:r>
        <w:rPr>
          <w:rFonts w:ascii="Calibri" w:hAnsi="Calibri" w:cs="Calibri" w:eastAsia="Calibri" w:hint="default"/>
          <w:b/>
          <w:bCs/>
        </w:rPr>
        <w:t>(</w:t>
      </w:r>
      <w:r>
        <w:rPr>
          <w:rFonts w:ascii="宋体" w:hAnsi="宋体" w:cs="宋体" w:eastAsia="宋体" w:hint="default"/>
          <w:b/>
          <w:bCs/>
        </w:rPr>
        <w:t>三</w:t>
      </w:r>
      <w:r>
        <w:rPr>
          <w:rFonts w:ascii="Calibri" w:hAnsi="Calibri" w:cs="Calibri" w:eastAsia="Calibri" w:hint="default"/>
          <w:b/>
          <w:bCs/>
        </w:rPr>
        <w:t>)</w:t>
      </w:r>
      <w:r>
        <w:rPr>
          <w:rFonts w:ascii="Calibri" w:hAnsi="Calibri" w:cs="Calibri" w:eastAsia="Calibri" w:hint="default"/>
          <w:b/>
          <w:bCs/>
          <w:spacing w:val="36"/>
        </w:rPr>
        <w:t> </w:t>
      </w:r>
      <w:r>
        <w:rPr>
          <w:rFonts w:ascii="宋体" w:hAnsi="宋体" w:cs="宋体" w:eastAsia="宋体" w:hint="default"/>
          <w:b/>
          <w:bCs/>
        </w:rPr>
        <w:t>培训计划</w:t>
      </w:r>
      <w:r>
        <w:rPr>
          <w:rFonts w:ascii="宋体" w:hAnsi="宋体" w:cs="宋体" w:eastAsia="宋体" w:hint="default"/>
        </w:rPr>
      </w:r>
    </w:p>
    <w:p>
      <w:pPr>
        <w:pStyle w:val="BodyText"/>
        <w:spacing w:line="261" w:lineRule="exact"/>
        <w:ind w:left="218" w:right="241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8" w:lineRule="auto" w:before="45"/>
        <w:ind w:left="218" w:right="237" w:firstLine="419"/>
        <w:jc w:val="both"/>
      </w:pPr>
      <w:r>
        <w:rPr>
          <w:spacing w:val="-2"/>
        </w:rPr>
        <w:t>公司每年年初制定培训计划。根据内控要求，公司实施年度培训计划审批制度。公司人力资</w:t>
      </w:r>
      <w:r>
        <w:rPr>
          <w:w w:val="100"/>
        </w:rPr>
        <w:t> </w:t>
      </w:r>
      <w:r>
        <w:rPr>
          <w:spacing w:val="-2"/>
        </w:rPr>
        <w:t>源部于年初对公司总部各部门提交的培训计划进行筛选，特别是对培训班次、主旨及培训费用预</w:t>
      </w:r>
      <w:r>
        <w:rPr>
          <w:spacing w:val="-25"/>
        </w:rPr>
        <w:t> </w:t>
      </w:r>
      <w:r>
        <w:rPr>
          <w:spacing w:val="-25"/>
        </w:rPr>
      </w:r>
      <w:r>
        <w:rPr>
          <w:spacing w:val="-2"/>
        </w:rPr>
        <w:t>算进行审核，并报公司总经理审批。同时，对分、子公司开展的内部培训工作实施年度培训计划</w:t>
      </w:r>
      <w:r>
        <w:rPr>
          <w:spacing w:val="-25"/>
        </w:rPr>
        <w:t> </w:t>
      </w:r>
      <w:r>
        <w:rPr>
          <w:spacing w:val="-25"/>
        </w:rPr>
      </w:r>
      <w:r>
        <w:rPr/>
        <w:t>备案制度。</w:t>
      </w:r>
      <w:r>
        <w:rPr>
          <w:rFonts w:ascii="Arial" w:hAnsi="Arial" w:cs="Arial" w:eastAsia="Arial" w:hint="default"/>
        </w:rPr>
        <w:t>2019</w:t>
      </w:r>
      <w:r>
        <w:rPr>
          <w:rFonts w:ascii="Arial" w:hAnsi="Arial" w:cs="Arial" w:eastAsia="Arial" w:hint="default"/>
          <w:spacing w:val="-9"/>
        </w:rPr>
        <w:t> </w:t>
      </w:r>
      <w:r>
        <w:rPr/>
        <w:t>年，公司年初制定了涉及公司总部</w:t>
      </w:r>
      <w:r>
        <w:rPr>
          <w:spacing w:val="-58"/>
        </w:rPr>
        <w:t> </w:t>
      </w:r>
      <w:r>
        <w:rPr>
          <w:rFonts w:ascii="Arial" w:hAnsi="Arial" w:cs="Arial" w:eastAsia="Arial" w:hint="default"/>
        </w:rPr>
        <w:t>12</w:t>
      </w:r>
      <w:r>
        <w:rPr>
          <w:rFonts w:ascii="Arial" w:hAnsi="Arial" w:cs="Arial" w:eastAsia="Arial" w:hint="default"/>
          <w:spacing w:val="-9"/>
        </w:rPr>
        <w:t> </w:t>
      </w:r>
      <w:r>
        <w:rPr/>
        <w:t>个部门的</w:t>
      </w:r>
      <w:r>
        <w:rPr>
          <w:spacing w:val="-56"/>
        </w:rPr>
        <w:t> </w:t>
      </w:r>
      <w:r>
        <w:rPr>
          <w:rFonts w:ascii="Arial" w:hAnsi="Arial" w:cs="Arial" w:eastAsia="Arial" w:hint="default"/>
        </w:rPr>
        <w:t>28</w:t>
      </w:r>
      <w:r>
        <w:rPr>
          <w:rFonts w:ascii="Arial" w:hAnsi="Arial" w:cs="Arial" w:eastAsia="Arial" w:hint="default"/>
          <w:spacing w:val="-9"/>
        </w:rPr>
        <w:t> </w:t>
      </w:r>
      <w:r>
        <w:rPr/>
        <w:t>个培训班次的计划，拟培训</w:t>
      </w:r>
    </w:p>
    <w:p>
      <w:pPr>
        <w:pStyle w:val="BodyText"/>
        <w:spacing w:line="282" w:lineRule="exact"/>
        <w:ind w:left="218" w:right="0"/>
        <w:jc w:val="left"/>
      </w:pPr>
      <w:r>
        <w:rPr/>
        <w:t>管理人员人数为</w:t>
      </w:r>
      <w:r>
        <w:rPr>
          <w:spacing w:val="-53"/>
        </w:rPr>
        <w:t> </w:t>
      </w:r>
      <w:r>
        <w:rPr>
          <w:rFonts w:ascii="Arial" w:hAnsi="Arial" w:cs="Arial" w:eastAsia="Arial" w:hint="default"/>
        </w:rPr>
        <w:t>2935</w:t>
      </w:r>
      <w:r>
        <w:rPr>
          <w:rFonts w:ascii="Arial" w:hAnsi="Arial" w:cs="Arial" w:eastAsia="Arial" w:hint="default"/>
          <w:spacing w:val="-8"/>
        </w:rPr>
        <w:t> </w:t>
      </w:r>
      <w:r>
        <w:rPr/>
        <w:t>人，培训费用预算为</w:t>
      </w:r>
      <w:r>
        <w:rPr>
          <w:spacing w:val="-52"/>
        </w:rPr>
        <w:t> </w:t>
      </w:r>
      <w:r>
        <w:rPr>
          <w:rFonts w:ascii="Arial" w:hAnsi="Arial" w:cs="Arial" w:eastAsia="Arial" w:hint="default"/>
        </w:rPr>
        <w:t>125.6</w:t>
      </w:r>
      <w:r>
        <w:rPr>
          <w:rFonts w:ascii="Arial" w:hAnsi="Arial" w:cs="Arial" w:eastAsia="Arial" w:hint="default"/>
          <w:spacing w:val="-8"/>
        </w:rPr>
        <w:t> </w:t>
      </w:r>
      <w:r>
        <w:rPr/>
        <w:t>万元。截止</w:t>
      </w:r>
      <w:r>
        <w:rPr>
          <w:spacing w:val="-52"/>
        </w:rPr>
        <w:t> </w:t>
      </w:r>
      <w:r>
        <w:rPr>
          <w:rFonts w:ascii="Arial" w:hAnsi="Arial" w:cs="Arial" w:eastAsia="Arial" w:hint="default"/>
        </w:rPr>
        <w:t>2019</w:t>
      </w:r>
      <w:r>
        <w:rPr>
          <w:rFonts w:ascii="Arial" w:hAnsi="Arial" w:cs="Arial" w:eastAsia="Arial" w:hint="default"/>
          <w:spacing w:val="-8"/>
        </w:rPr>
        <w:t> </w:t>
      </w:r>
      <w:r>
        <w:rPr/>
        <w:t>年</w:t>
      </w:r>
      <w:r>
        <w:rPr>
          <w:spacing w:val="-53"/>
        </w:rPr>
        <w:t> </w:t>
      </w:r>
      <w:r>
        <w:rPr>
          <w:rFonts w:ascii="Arial" w:hAnsi="Arial" w:cs="Arial" w:eastAsia="Arial" w:hint="default"/>
        </w:rPr>
        <w:t>12</w:t>
      </w:r>
      <w:r>
        <w:rPr>
          <w:rFonts w:ascii="Arial" w:hAnsi="Arial" w:cs="Arial" w:eastAsia="Arial" w:hint="default"/>
          <w:spacing w:val="-8"/>
        </w:rPr>
        <w:t> </w:t>
      </w:r>
      <w:r>
        <w:rPr/>
        <w:t>月</w:t>
      </w:r>
      <w:r>
        <w:rPr>
          <w:spacing w:val="-55"/>
        </w:rPr>
        <w:t> </w:t>
      </w:r>
      <w:r>
        <w:rPr>
          <w:rFonts w:ascii="Arial" w:hAnsi="Arial" w:cs="Arial" w:eastAsia="Arial" w:hint="default"/>
        </w:rPr>
        <w:t>31</w:t>
      </w:r>
      <w:r>
        <w:rPr>
          <w:rFonts w:ascii="Arial" w:hAnsi="Arial" w:cs="Arial" w:eastAsia="Arial" w:hint="default"/>
          <w:spacing w:val="-5"/>
        </w:rPr>
        <w:t> </w:t>
      </w:r>
      <w:r>
        <w:rPr/>
        <w:t>日，公司及所属</w:t>
      </w:r>
    </w:p>
    <w:p>
      <w:pPr>
        <w:pStyle w:val="BodyText"/>
        <w:spacing w:line="240" w:lineRule="auto" w:before="32"/>
        <w:ind w:left="218" w:right="0"/>
        <w:jc w:val="left"/>
        <w:rPr>
          <w:rFonts w:ascii="宋体" w:hAnsi="宋体" w:cs="宋体" w:eastAsia="宋体" w:hint="default"/>
        </w:rPr>
      </w:pPr>
      <w:r>
        <w:rPr/>
        <w:t>农业分公司全年实际举办各类培训班</w:t>
      </w:r>
      <w:r>
        <w:rPr>
          <w:spacing w:val="-56"/>
        </w:rPr>
        <w:t> </w:t>
      </w:r>
      <w:r>
        <w:rPr>
          <w:rFonts w:ascii="Arial" w:hAnsi="Arial" w:cs="Arial" w:eastAsia="Arial" w:hint="default"/>
        </w:rPr>
        <w:t>167</w:t>
      </w:r>
      <w:r>
        <w:rPr>
          <w:rFonts w:ascii="Arial" w:hAnsi="Arial" w:cs="Arial" w:eastAsia="Arial" w:hint="default"/>
          <w:spacing w:val="-9"/>
        </w:rPr>
        <w:t> </w:t>
      </w:r>
      <w:r>
        <w:rPr/>
        <w:t>期，累计培训员工</w:t>
      </w:r>
      <w:r>
        <w:rPr>
          <w:spacing w:val="-56"/>
        </w:rPr>
        <w:t> </w:t>
      </w:r>
      <w:r>
        <w:rPr>
          <w:rFonts w:ascii="Arial" w:hAnsi="Arial" w:cs="Arial" w:eastAsia="Arial" w:hint="default"/>
        </w:rPr>
        <w:t>38081</w:t>
      </w:r>
      <w:r>
        <w:rPr>
          <w:rFonts w:ascii="Arial" w:hAnsi="Arial" w:cs="Arial" w:eastAsia="Arial" w:hint="default"/>
          <w:spacing w:val="-9"/>
        </w:rPr>
        <w:t> </w:t>
      </w:r>
      <w:r>
        <w:rPr/>
        <w:t>人次。</w:t>
      </w:r>
      <w:r>
        <w:rPr>
          <w:rFonts w:ascii="宋体" w:hAnsi="宋体" w:cs="宋体" w:eastAsia="宋体" w:hint="default"/>
        </w:rPr>
        <w:t> </w:t>
      </w:r>
    </w:p>
    <w:p>
      <w:pPr>
        <w:pStyle w:val="Heading2"/>
        <w:spacing w:line="240" w:lineRule="auto" w:before="44"/>
        <w:ind w:right="241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40" w:lineRule="auto" w:before="29"/>
        <w:ind w:left="218" w:right="241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39"/>
          <w:footerReference w:type="default" r:id="rId40"/>
          <w:pgSz w:w="11910" w:h="16840"/>
          <w:pgMar w:header="821" w:footer="1195" w:top="1360" w:bottom="1380" w:left="1580" w:right="1040"/>
          <w:pgNumType w:start="5"/>
        </w:sectPr>
      </w:pPr>
    </w:p>
    <w:p>
      <w:pPr>
        <w:pStyle w:val="Heading2"/>
        <w:spacing w:line="240" w:lineRule="auto" w:before="124"/>
        <w:ind w:left="238" w:right="0"/>
        <w:jc w:val="left"/>
        <w:rPr>
          <w:b w:val="0"/>
          <w:bCs w:val="0"/>
        </w:rPr>
      </w:pPr>
      <w:r>
        <w:rPr/>
        <w:t>七、其他</w:t>
      </w:r>
      <w:r>
        <w:rPr>
          <w:b w:val="0"/>
          <w:bCs w:val="0"/>
        </w:rPr>
      </w:r>
    </w:p>
    <w:p>
      <w:pPr>
        <w:pStyle w:val="BodyText"/>
        <w:spacing w:line="273" w:lineRule="exact" w:before="59"/>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8" w:right="0"/>
        <w:jc w:val="left"/>
        <w:rPr>
          <w:rFonts w:ascii="宋体" w:hAnsi="宋体" w:cs="宋体" w:eastAsia="宋体" w:hint="default"/>
        </w:rPr>
      </w:pPr>
      <w:r>
        <w:rPr>
          <w:rFonts w:ascii="宋体"/>
          <w:w w:val="100"/>
        </w:rPr>
        <w:t> </w:t>
      </w:r>
    </w:p>
    <w:p>
      <w:pPr>
        <w:pStyle w:val="BodyText"/>
        <w:spacing w:line="274" w:lineRule="exact"/>
        <w:ind w:left="238"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0"/>
        <w:rPr>
          <w:rFonts w:ascii="宋体" w:hAnsi="宋体" w:cs="宋体" w:eastAsia="宋体" w:hint="default"/>
          <w:sz w:val="28"/>
          <w:szCs w:val="28"/>
        </w:rPr>
      </w:pPr>
    </w:p>
    <w:p>
      <w:pPr>
        <w:spacing w:line="240" w:lineRule="auto" w:before="4"/>
        <w:rPr>
          <w:rFonts w:ascii="宋体" w:hAnsi="宋体" w:cs="宋体" w:eastAsia="宋体" w:hint="default"/>
          <w:sz w:val="40"/>
          <w:szCs w:val="40"/>
        </w:rPr>
      </w:pPr>
    </w:p>
    <w:p>
      <w:pPr>
        <w:pStyle w:val="Heading1"/>
        <w:tabs>
          <w:tab w:pos="1497" w:val="left" w:leader="none"/>
        </w:tabs>
        <w:spacing w:line="240" w:lineRule="auto"/>
        <w:ind w:left="238" w:right="0"/>
        <w:jc w:val="left"/>
        <w:rPr>
          <w:b w:val="0"/>
          <w:bCs w:val="0"/>
        </w:rPr>
      </w:pPr>
      <w:bookmarkStart w:name="_bookmark8" w:id="11"/>
      <w:bookmarkEnd w:id="11"/>
      <w:r>
        <w:rPr>
          <w:b w:val="0"/>
          <w:bCs w:val="0"/>
        </w:rPr>
      </w:r>
      <w:r>
        <w:rPr>
          <w:w w:val="95"/>
        </w:rPr>
        <w:t>第九节</w:t>
      </w:r>
      <w:r>
        <w:rPr>
          <w:rFonts w:ascii="宋体" w:hAnsi="宋体" w:cs="宋体" w:eastAsia="宋体" w:hint="default"/>
          <w:w w:val="95"/>
        </w:rPr>
        <w:tab/>
      </w:r>
      <w:r>
        <w:rPr/>
        <w:t>公司治理</w:t>
      </w:r>
      <w:r>
        <w:rPr>
          <w:b w:val="0"/>
          <w:bCs w:val="0"/>
        </w:rPr>
      </w:r>
    </w:p>
    <w:p>
      <w:pPr>
        <w:spacing w:after="0" w:line="240" w:lineRule="auto"/>
        <w:jc w:val="left"/>
        <w:sectPr>
          <w:pgSz w:w="11910" w:h="16840"/>
          <w:pgMar w:header="821" w:footer="1195" w:top="1360" w:bottom="1380" w:left="1560" w:right="1000"/>
          <w:cols w:num="2" w:equalWidth="0">
            <w:col w:w="2024" w:space="1200"/>
            <w:col w:w="6126"/>
          </w:cols>
        </w:sectPr>
      </w:pPr>
    </w:p>
    <w:p>
      <w:pPr>
        <w:spacing w:line="240" w:lineRule="auto" w:before="7"/>
        <w:rPr>
          <w:rFonts w:ascii="黑体" w:hAnsi="黑体" w:cs="黑体" w:eastAsia="黑体" w:hint="default"/>
          <w:b/>
          <w:bCs/>
          <w:sz w:val="16"/>
          <w:szCs w:val="16"/>
        </w:rPr>
      </w:pPr>
    </w:p>
    <w:p>
      <w:pPr>
        <w:pStyle w:val="Heading2"/>
        <w:spacing w:line="240" w:lineRule="auto" w:before="36"/>
        <w:ind w:left="238" w:right="0"/>
        <w:jc w:val="left"/>
        <w:rPr>
          <w:b w:val="0"/>
          <w:bCs w:val="0"/>
        </w:rPr>
      </w:pPr>
      <w:r>
        <w:rPr>
          <w:spacing w:val="-1"/>
        </w:rPr>
        <w:t>一、</w:t>
      </w:r>
      <w:r>
        <w:rPr>
          <w:spacing w:val="-92"/>
        </w:rPr>
        <w:t> </w:t>
      </w:r>
      <w:r>
        <w:rPr>
          <w:rFonts w:ascii="宋体" w:hAnsi="宋体" w:cs="宋体" w:eastAsia="宋体" w:hint="default"/>
          <w:spacing w:val="-92"/>
        </w:rPr>
      </w:r>
      <w:r>
        <w:rPr>
          <w:spacing w:val="-1"/>
        </w:rPr>
        <w:t>公司治理相关情况说明</w:t>
      </w:r>
      <w:r>
        <w:rPr>
          <w:b w:val="0"/>
          <w:bCs w:val="0"/>
          <w:spacing w:val="-1"/>
        </w:rPr>
      </w:r>
    </w:p>
    <w:p>
      <w:pPr>
        <w:pStyle w:val="BodyText"/>
        <w:spacing w:line="276" w:lineRule="auto" w:before="58"/>
        <w:ind w:left="6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公司已建立规范的公司治理结构和议事规则，明确了决策、执行、监督等方面的职责权限，</w:t>
      </w:r>
    </w:p>
    <w:p>
      <w:pPr>
        <w:pStyle w:val="BodyText"/>
        <w:spacing w:line="240" w:lineRule="auto" w:before="15"/>
        <w:ind w:left="238" w:right="0"/>
        <w:jc w:val="left"/>
      </w:pPr>
      <w:r>
        <w:rPr/>
        <w:t>形成有效的职责分工和制衡机制。</w:t>
      </w:r>
    </w:p>
    <w:p>
      <w:pPr>
        <w:pStyle w:val="BodyText"/>
        <w:spacing w:line="264" w:lineRule="auto" w:before="44"/>
        <w:ind w:left="238" w:right="0" w:firstLine="419"/>
        <w:jc w:val="left"/>
      </w:pPr>
      <w:r>
        <w:rPr>
          <w:rFonts w:ascii="Arial" w:hAnsi="Arial" w:cs="Arial" w:eastAsia="Arial" w:hint="default"/>
        </w:rPr>
        <w:t>2019</w:t>
      </w:r>
      <w:r>
        <w:rPr>
          <w:rFonts w:ascii="Arial" w:hAnsi="Arial" w:cs="Arial" w:eastAsia="Arial" w:hint="default"/>
          <w:spacing w:val="34"/>
        </w:rPr>
        <w:t> </w:t>
      </w:r>
      <w:r>
        <w:rPr>
          <w:spacing w:val="-4"/>
        </w:rPr>
        <w:t>年公司治理机制有效运作，公司股东大会、董事会、监事会和经理层严格按照公司治理</w:t>
      </w:r>
      <w:r>
        <w:rPr>
          <w:w w:val="100"/>
        </w:rPr>
        <w:t> </w:t>
      </w:r>
      <w:r>
        <w:rPr/>
        <w:t>制度的相关规定开展工作。</w:t>
      </w:r>
    </w:p>
    <w:p>
      <w:pPr>
        <w:pStyle w:val="BodyText"/>
        <w:spacing w:line="272" w:lineRule="exact" w:before="8"/>
        <w:ind w:left="238" w:right="0"/>
        <w:jc w:val="left"/>
        <w:rPr>
          <w:rFonts w:ascii="宋体" w:hAnsi="宋体" w:cs="宋体" w:eastAsia="宋体" w:hint="default"/>
        </w:rPr>
      </w:pPr>
      <w:r>
        <w:rPr>
          <w:rFonts w:ascii="宋体" w:hAnsi="宋体" w:cs="宋体" w:eastAsia="宋体" w:hint="default"/>
          <w:w w:val="100"/>
        </w:rPr>
        <w:t>  </w:t>
      </w:r>
      <w:r>
        <w:rPr>
          <w:w w:val="100"/>
        </w:rPr>
        <w:t>公司</w:t>
      </w:r>
      <w:r>
        <w:rPr>
          <w:spacing w:val="-3"/>
          <w:w w:val="100"/>
        </w:rPr>
        <w:t>治</w:t>
      </w:r>
      <w:r>
        <w:rPr>
          <w:w w:val="100"/>
        </w:rPr>
        <w:t>理</w:t>
      </w:r>
      <w:r>
        <w:rPr>
          <w:spacing w:val="-3"/>
          <w:w w:val="100"/>
        </w:rPr>
        <w:t>与</w:t>
      </w:r>
      <w:r>
        <w:rPr>
          <w:w w:val="100"/>
        </w:rPr>
        <w:t>中</w:t>
      </w:r>
      <w:r>
        <w:rPr>
          <w:spacing w:val="-3"/>
          <w:w w:val="100"/>
        </w:rPr>
        <w:t>国</w:t>
      </w:r>
      <w:r>
        <w:rPr>
          <w:w w:val="100"/>
        </w:rPr>
        <w:t>证</w:t>
      </w:r>
      <w:r>
        <w:rPr>
          <w:spacing w:val="-3"/>
          <w:w w:val="100"/>
        </w:rPr>
        <w:t>监</w:t>
      </w:r>
      <w:r>
        <w:rPr>
          <w:w w:val="100"/>
        </w:rPr>
        <w:t>会</w:t>
      </w:r>
      <w:r>
        <w:rPr>
          <w:spacing w:val="-3"/>
          <w:w w:val="100"/>
        </w:rPr>
        <w:t>相</w:t>
      </w:r>
      <w:r>
        <w:rPr>
          <w:w w:val="100"/>
        </w:rPr>
        <w:t>关规</w:t>
      </w:r>
      <w:r>
        <w:rPr>
          <w:spacing w:val="-3"/>
          <w:w w:val="100"/>
        </w:rPr>
        <w:t>定</w:t>
      </w:r>
      <w:r>
        <w:rPr>
          <w:w w:val="100"/>
        </w:rPr>
        <w:t>的</w:t>
      </w:r>
      <w:r>
        <w:rPr>
          <w:spacing w:val="-3"/>
          <w:w w:val="100"/>
        </w:rPr>
        <w:t>要</w:t>
      </w:r>
      <w:r>
        <w:rPr>
          <w:w w:val="100"/>
        </w:rPr>
        <w:t>求</w:t>
      </w:r>
      <w:r>
        <w:rPr>
          <w:spacing w:val="-3"/>
          <w:w w:val="100"/>
        </w:rPr>
        <w:t>是</w:t>
      </w:r>
      <w:r>
        <w:rPr>
          <w:w w:val="100"/>
        </w:rPr>
        <w:t>否</w:t>
      </w:r>
      <w:r>
        <w:rPr>
          <w:spacing w:val="-3"/>
          <w:w w:val="100"/>
        </w:rPr>
        <w:t>存</w:t>
      </w:r>
      <w:r>
        <w:rPr>
          <w:spacing w:val="-1"/>
          <w:w w:val="100"/>
        </w:rPr>
        <w:t>在</w:t>
      </w:r>
      <w:r>
        <w:rPr>
          <w:spacing w:val="-3"/>
          <w:w w:val="100"/>
        </w:rPr>
        <w:t>重</w:t>
      </w:r>
      <w:r>
        <w:rPr>
          <w:w w:val="100"/>
        </w:rPr>
        <w:t>大差</w:t>
      </w:r>
      <w:r>
        <w:rPr>
          <w:spacing w:val="-3"/>
          <w:w w:val="100"/>
        </w:rPr>
        <w:t>异</w:t>
      </w:r>
      <w:r>
        <w:rPr>
          <w:w w:val="100"/>
        </w:rPr>
        <w:t>；</w:t>
      </w:r>
      <w:r>
        <w:rPr>
          <w:spacing w:val="-3"/>
          <w:w w:val="100"/>
        </w:rPr>
        <w:t>如</w:t>
      </w:r>
      <w:r>
        <w:rPr>
          <w:spacing w:val="-1"/>
          <w:w w:val="100"/>
        </w:rPr>
        <w:t>有</w:t>
      </w:r>
      <w:r>
        <w:rPr>
          <w:spacing w:val="-3"/>
          <w:w w:val="100"/>
        </w:rPr>
        <w:t>重</w:t>
      </w:r>
      <w:r>
        <w:rPr>
          <w:w w:val="100"/>
        </w:rPr>
        <w:t>大</w:t>
      </w:r>
      <w:r>
        <w:rPr>
          <w:spacing w:val="-3"/>
          <w:w w:val="100"/>
        </w:rPr>
        <w:t>差</w:t>
      </w:r>
      <w:r>
        <w:rPr>
          <w:w w:val="100"/>
        </w:rPr>
        <w:t>异</w:t>
      </w:r>
      <w:r>
        <w:rPr>
          <w:spacing w:val="-3"/>
          <w:w w:val="100"/>
        </w:rPr>
        <w:t>，</w:t>
      </w:r>
      <w:r>
        <w:rPr>
          <w:w w:val="100"/>
        </w:rPr>
        <w:t>应当</w:t>
      </w:r>
      <w:r>
        <w:rPr>
          <w:spacing w:val="-3"/>
          <w:w w:val="100"/>
        </w:rPr>
        <w:t>说</w:t>
      </w:r>
      <w:r>
        <w:rPr>
          <w:w w:val="100"/>
        </w:rPr>
        <w:t>明</w:t>
      </w:r>
      <w:r>
        <w:rPr>
          <w:spacing w:val="-3"/>
          <w:w w:val="100"/>
        </w:rPr>
        <w:t>原因</w:t>
      </w:r>
      <w:r>
        <w:rPr>
          <w:rFonts w:ascii="宋体" w:hAnsi="宋体" w:cs="宋体" w:eastAsia="宋体" w:hint="default"/>
          <w:w w:val="100"/>
        </w:rPr>
        <w:t> </w:t>
      </w:r>
    </w:p>
    <w:p>
      <w:pPr>
        <w:pStyle w:val="BodyText"/>
        <w:spacing w:line="247"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8" w:right="0"/>
        <w:jc w:val="left"/>
        <w:rPr>
          <w:rFonts w:ascii="宋体" w:hAnsi="宋体" w:cs="宋体" w:eastAsia="宋体" w:hint="default"/>
        </w:rPr>
      </w:pPr>
      <w:r>
        <w:rPr>
          <w:rFonts w:ascii="宋体"/>
          <w:w w:val="100"/>
        </w:rPr>
        <w:t> </w:t>
      </w:r>
    </w:p>
    <w:p>
      <w:pPr>
        <w:pStyle w:val="Heading2"/>
        <w:spacing w:line="240" w:lineRule="auto"/>
        <w:ind w:left="238" w:right="0"/>
        <w:jc w:val="left"/>
        <w:rPr>
          <w:b w:val="0"/>
          <w:bCs w:val="0"/>
        </w:rPr>
      </w:pPr>
      <w:r>
        <w:rPr/>
        <w:t>二、</w:t>
      </w:r>
      <w:r>
        <w:rPr>
          <w:spacing w:val="-102"/>
        </w:rPr>
        <w:t> </w:t>
      </w:r>
      <w:r>
        <w:rPr>
          <w:rFonts w:ascii="宋体" w:hAnsi="宋体" w:cs="宋体" w:eastAsia="宋体" w:hint="default"/>
          <w:spacing w:val="-102"/>
        </w:rPr>
      </w:r>
      <w:r>
        <w:rPr/>
        <w:t>股东大会情况简介</w:t>
      </w:r>
      <w:r>
        <w:rPr>
          <w:b w:val="0"/>
          <w:bCs w:val="0"/>
        </w:rPr>
      </w:r>
    </w:p>
    <w:p>
      <w:pPr>
        <w:spacing w:line="240" w:lineRule="auto" w:before="1"/>
        <w:rPr>
          <w:rFonts w:ascii="宋体" w:hAnsi="宋体" w:cs="宋体" w:eastAsia="宋体" w:hint="default"/>
          <w:b/>
          <w:bCs/>
          <w:sz w:val="7"/>
          <w:szCs w:val="7"/>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2938;height:2" coordorigin="10,10" coordsize="2938,2">
              <v:shape style="position:absolute;left:10;top:10;width:2938;height:2" coordorigin="10,10" coordsize="2938,0" path="m10,10l2948,10e" filled="false" stroked="true" strokeweight=".95999pt" strokecolor="#41b7ee">
                <v:path arrowok="t"/>
              </v:shape>
            </v:group>
            <v:group style="position:absolute;left:2948;top:10;width:58;height:2" coordorigin="2948,10" coordsize="58,2">
              <v:shape style="position:absolute;left:2948;top:10;width:58;height:2" coordorigin="2948,10" coordsize="58,0" path="m2948,10l3005,10e" filled="false" stroked="true" strokeweight=".95999pt" strokecolor="#41b7ee">
                <v:path arrowok="t"/>
              </v:shape>
            </v:group>
            <v:group style="position:absolute;left:3005;top:10;width:1928;height:2" coordorigin="3005,10" coordsize="1928,2">
              <v:shape style="position:absolute;left:3005;top:10;width:1928;height:2" coordorigin="3005,10" coordsize="1928,0" path="m3005,10l4933,10e" filled="false" stroked="true" strokeweight=".95999pt" strokecolor="#41b7ee">
                <v:path arrowok="t"/>
              </v:shape>
            </v:group>
            <v:group style="position:absolute;left:4933;top:10;width:58;height:2" coordorigin="4933,10" coordsize="58,2">
              <v:shape style="position:absolute;left:4933;top:10;width:58;height:2" coordorigin="4933,10" coordsize="58,0" path="m4933,10l4991,10e" filled="false" stroked="true" strokeweight=".95999pt" strokecolor="#41b7ee">
                <v:path arrowok="t"/>
              </v:shape>
            </v:group>
            <v:group style="position:absolute;left:4991;top:10;width:1899;height:2" coordorigin="4991,10" coordsize="1899,2">
              <v:shape style="position:absolute;left:4991;top:10;width:1899;height:2" coordorigin="4991,10" coordsize="1899,0" path="m4991,10l6889,10e" filled="false" stroked="true" strokeweight=".95999pt" strokecolor="#41b7ee">
                <v:path arrowok="t"/>
              </v:shape>
            </v:group>
            <v:group style="position:absolute;left:6889;top:10;width:58;height:2" coordorigin="6889,10" coordsize="58,2">
              <v:shape style="position:absolute;left:6889;top:10;width:58;height:2" coordorigin="6889,10" coordsize="58,0" path="m6889,10l6947,10e" filled="false" stroked="true" strokeweight=".95999pt" strokecolor="#41b7ee">
                <v:path arrowok="t"/>
              </v:shape>
            </v:group>
            <v:group style="position:absolute;left:6947;top:10;width:2113;height:2" coordorigin="6947,10" coordsize="2113,2">
              <v:shape style="position:absolute;left:6947;top:10;width:2113;height:2" coordorigin="6947,10" coordsize="2113,0" path="m6947,10l9059,10e" filled="false" stroked="true" strokeweight=".95999pt" strokecolor="#41b7ee">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2943"/>
        <w:gridCol w:w="1985"/>
        <w:gridCol w:w="1956"/>
        <w:gridCol w:w="2165"/>
      </w:tblGrid>
      <w:tr>
        <w:trPr>
          <w:trHeight w:val="562" w:hRule="exact"/>
        </w:trPr>
        <w:tc>
          <w:tcPr>
            <w:tcW w:w="2943"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105"/>
              <w:ind w:left="1051" w:right="0"/>
              <w:jc w:val="left"/>
              <w:rPr>
                <w:rFonts w:ascii="宋体" w:hAnsi="宋体" w:cs="宋体" w:eastAsia="宋体" w:hint="default"/>
                <w:sz w:val="21"/>
                <w:szCs w:val="21"/>
              </w:rPr>
            </w:pPr>
            <w:r>
              <w:rPr>
                <w:rFonts w:ascii="宋体" w:hAnsi="宋体" w:cs="宋体" w:eastAsia="宋体" w:hint="default"/>
                <w:sz w:val="21"/>
                <w:szCs w:val="21"/>
              </w:rPr>
              <w:t>会议届次</w:t>
            </w:r>
            <w:r>
              <w:rPr>
                <w:rFonts w:ascii="宋体" w:hAnsi="宋体" w:cs="宋体" w:eastAsia="宋体" w:hint="default"/>
                <w:sz w:val="21"/>
                <w:szCs w:val="21"/>
              </w:rPr>
              <w:t> </w:t>
            </w:r>
          </w:p>
        </w:tc>
        <w:tc>
          <w:tcPr>
            <w:tcW w:w="1985"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105"/>
              <w:ind w:left="566" w:right="0"/>
              <w:jc w:val="left"/>
              <w:rPr>
                <w:rFonts w:ascii="宋体" w:hAnsi="宋体" w:cs="宋体" w:eastAsia="宋体" w:hint="default"/>
                <w:sz w:val="21"/>
                <w:szCs w:val="21"/>
              </w:rPr>
            </w:pPr>
            <w:r>
              <w:rPr>
                <w:rFonts w:ascii="宋体" w:hAnsi="宋体" w:cs="宋体" w:eastAsia="宋体" w:hint="default"/>
                <w:sz w:val="21"/>
                <w:szCs w:val="21"/>
              </w:rPr>
              <w:t>召开日期</w:t>
            </w:r>
            <w:r>
              <w:rPr>
                <w:rFonts w:ascii="宋体" w:hAnsi="宋体" w:cs="宋体" w:eastAsia="宋体" w:hint="default"/>
                <w:sz w:val="21"/>
                <w:szCs w:val="21"/>
              </w:rPr>
              <w:t> </w:t>
            </w:r>
          </w:p>
        </w:tc>
        <w:tc>
          <w:tcPr>
            <w:tcW w:w="1956" w:type="dxa"/>
            <w:tcBorders>
              <w:top w:val="single" w:sz="8" w:space="0" w:color="41B7EE"/>
              <w:left w:val="single" w:sz="4" w:space="0" w:color="41B7EE"/>
              <w:bottom w:val="single" w:sz="4" w:space="0" w:color="41B7EE"/>
              <w:right w:val="single" w:sz="4" w:space="0" w:color="41B7EE"/>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决议刊登的指定网</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站的查询索引</w:t>
            </w:r>
            <w:r>
              <w:rPr>
                <w:rFonts w:ascii="宋体" w:hAnsi="宋体" w:cs="宋体" w:eastAsia="宋体" w:hint="default"/>
                <w:sz w:val="21"/>
                <w:szCs w:val="21"/>
              </w:rPr>
              <w:t> </w:t>
            </w:r>
          </w:p>
        </w:tc>
        <w:tc>
          <w:tcPr>
            <w:tcW w:w="2165"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105"/>
              <w:ind w:left="13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r>
              <w:rPr>
                <w:rFonts w:ascii="宋体" w:hAnsi="宋体" w:cs="宋体" w:eastAsia="宋体" w:hint="default"/>
                <w:sz w:val="21"/>
                <w:szCs w:val="21"/>
              </w:rPr>
              <w:t> </w:t>
            </w:r>
          </w:p>
        </w:tc>
      </w:tr>
      <w:tr>
        <w:trPr>
          <w:trHeight w:val="370" w:hRule="exact"/>
        </w:trPr>
        <w:tc>
          <w:tcPr>
            <w:tcW w:w="294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9"/>
              <w:ind w:left="107"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6"/>
                <w:sz w:val="21"/>
                <w:szCs w:val="21"/>
              </w:rPr>
              <w:t> </w:t>
            </w:r>
            <w:r>
              <w:rPr>
                <w:rFonts w:ascii="宋体" w:hAnsi="宋体" w:cs="宋体" w:eastAsia="宋体" w:hint="default"/>
                <w:sz w:val="21"/>
                <w:szCs w:val="21"/>
              </w:rPr>
              <w:t>年年度股东大会</w:t>
            </w:r>
          </w:p>
        </w:tc>
        <w:tc>
          <w:tcPr>
            <w:tcW w:w="1985" w:type="dxa"/>
            <w:tcBorders>
              <w:top w:val="single" w:sz="4" w:space="0" w:color="41B7EE"/>
              <w:left w:val="single" w:sz="4" w:space="0" w:color="41B7EE"/>
              <w:bottom w:val="single" w:sz="4" w:space="0" w:color="41B7EE"/>
              <w:right w:val="single" w:sz="4" w:space="0" w:color="41B7EE"/>
            </w:tcBorders>
          </w:tcPr>
          <w:p>
            <w:pPr>
              <w:pStyle w:val="TableParagraph"/>
              <w:spacing w:line="319" w:lineRule="exact"/>
              <w:ind w:left="103" w:right="0"/>
              <w:jc w:val="left"/>
              <w:rPr>
                <w:rFonts w:ascii="微软雅黑" w:hAnsi="微软雅黑" w:cs="微软雅黑" w:eastAsia="微软雅黑" w:hint="default"/>
                <w:sz w:val="21"/>
                <w:szCs w:val="21"/>
              </w:rPr>
            </w:pPr>
            <w:r>
              <w:rPr>
                <w:rFonts w:ascii="Arial" w:hAnsi="Arial" w:cs="Arial" w:eastAsia="Arial" w:hint="default"/>
                <w:sz w:val="21"/>
                <w:szCs w:val="21"/>
              </w:rPr>
              <w:t>2019 </w:t>
            </w:r>
            <w:r>
              <w:rPr>
                <w:rFonts w:ascii="微软雅黑" w:hAnsi="微软雅黑" w:cs="微软雅黑" w:eastAsia="微软雅黑" w:hint="default"/>
                <w:sz w:val="21"/>
                <w:szCs w:val="21"/>
              </w:rPr>
              <w:t>年 </w:t>
            </w:r>
            <w:r>
              <w:rPr>
                <w:rFonts w:ascii="Arial" w:hAnsi="Arial" w:cs="Arial" w:eastAsia="Arial" w:hint="default"/>
                <w:sz w:val="21"/>
                <w:szCs w:val="21"/>
              </w:rPr>
              <w:t>4 </w:t>
            </w:r>
            <w:r>
              <w:rPr>
                <w:rFonts w:ascii="微软雅黑" w:hAnsi="微软雅黑" w:cs="微软雅黑" w:eastAsia="微软雅黑" w:hint="default"/>
                <w:sz w:val="21"/>
                <w:szCs w:val="21"/>
              </w:rPr>
              <w:t>月 </w:t>
            </w:r>
            <w:r>
              <w:rPr>
                <w:rFonts w:ascii="Arial" w:hAnsi="Arial" w:cs="Arial" w:eastAsia="Arial" w:hint="default"/>
                <w:sz w:val="21"/>
                <w:szCs w:val="21"/>
              </w:rPr>
              <w:t>26</w:t>
            </w:r>
            <w:r>
              <w:rPr>
                <w:rFonts w:ascii="Arial" w:hAnsi="Arial" w:cs="Arial" w:eastAsia="Arial" w:hint="default"/>
                <w:spacing w:val="-37"/>
                <w:sz w:val="21"/>
                <w:szCs w:val="21"/>
              </w:rPr>
              <w:t> </w:t>
            </w:r>
            <w:r>
              <w:rPr>
                <w:rFonts w:ascii="微软雅黑" w:hAnsi="微软雅黑" w:cs="微软雅黑" w:eastAsia="微软雅黑" w:hint="default"/>
                <w:sz w:val="21"/>
                <w:szCs w:val="21"/>
              </w:rPr>
              <w:t>日</w:t>
            </w:r>
          </w:p>
        </w:tc>
        <w:tc>
          <w:tcPr>
            <w:tcW w:w="195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left="103" w:right="0"/>
              <w:jc w:val="left"/>
              <w:rPr>
                <w:rFonts w:ascii="Arial" w:hAnsi="Arial" w:cs="Arial" w:eastAsia="Arial" w:hint="default"/>
                <w:sz w:val="21"/>
                <w:szCs w:val="21"/>
              </w:rPr>
            </w:pPr>
            <w:hyperlink r:id="rId9">
              <w:r>
                <w:rPr>
                  <w:rFonts w:ascii="Arial"/>
                  <w:sz w:val="21"/>
                </w:rPr>
                <w:t>www.sse.com.cn</w:t>
              </w:r>
            </w:hyperlink>
          </w:p>
        </w:tc>
        <w:tc>
          <w:tcPr>
            <w:tcW w:w="2165" w:type="dxa"/>
            <w:tcBorders>
              <w:top w:val="single" w:sz="4" w:space="0" w:color="41B7EE"/>
              <w:left w:val="single" w:sz="4" w:space="0" w:color="41B7EE"/>
              <w:bottom w:val="single" w:sz="4" w:space="0" w:color="41B7EE"/>
              <w:right w:val="nil" w:sz="6" w:space="0" w:color="auto"/>
            </w:tcBorders>
          </w:tcPr>
          <w:p>
            <w:pPr>
              <w:pStyle w:val="TableParagraph"/>
              <w:spacing w:line="319" w:lineRule="exact"/>
              <w:ind w:left="103" w:right="0"/>
              <w:jc w:val="left"/>
              <w:rPr>
                <w:rFonts w:ascii="微软雅黑" w:hAnsi="微软雅黑" w:cs="微软雅黑" w:eastAsia="微软雅黑" w:hint="default"/>
                <w:sz w:val="21"/>
                <w:szCs w:val="21"/>
              </w:rPr>
            </w:pPr>
            <w:r>
              <w:rPr>
                <w:rFonts w:ascii="Arial" w:hAnsi="Arial" w:cs="Arial" w:eastAsia="Arial" w:hint="default"/>
                <w:sz w:val="21"/>
                <w:szCs w:val="21"/>
              </w:rPr>
              <w:t>2019 </w:t>
            </w:r>
            <w:r>
              <w:rPr>
                <w:rFonts w:ascii="微软雅黑" w:hAnsi="微软雅黑" w:cs="微软雅黑" w:eastAsia="微软雅黑" w:hint="default"/>
                <w:sz w:val="21"/>
                <w:szCs w:val="21"/>
              </w:rPr>
              <w:t>年 </w:t>
            </w:r>
            <w:r>
              <w:rPr>
                <w:rFonts w:ascii="Arial" w:hAnsi="Arial" w:cs="Arial" w:eastAsia="Arial" w:hint="default"/>
                <w:sz w:val="21"/>
                <w:szCs w:val="21"/>
              </w:rPr>
              <w:t>4 </w:t>
            </w:r>
            <w:r>
              <w:rPr>
                <w:rFonts w:ascii="微软雅黑" w:hAnsi="微软雅黑" w:cs="微软雅黑" w:eastAsia="微软雅黑" w:hint="default"/>
                <w:sz w:val="21"/>
                <w:szCs w:val="21"/>
              </w:rPr>
              <w:t>月 </w:t>
            </w:r>
            <w:r>
              <w:rPr>
                <w:rFonts w:ascii="Arial" w:hAnsi="Arial" w:cs="Arial" w:eastAsia="Arial" w:hint="default"/>
                <w:sz w:val="21"/>
                <w:szCs w:val="21"/>
              </w:rPr>
              <w:t>27</w:t>
            </w:r>
            <w:r>
              <w:rPr>
                <w:rFonts w:ascii="Arial" w:hAnsi="Arial" w:cs="Arial" w:eastAsia="Arial" w:hint="default"/>
                <w:spacing w:val="-37"/>
                <w:sz w:val="21"/>
                <w:szCs w:val="21"/>
              </w:rPr>
              <w:t> </w:t>
            </w:r>
            <w:r>
              <w:rPr>
                <w:rFonts w:ascii="微软雅黑" w:hAnsi="微软雅黑" w:cs="微软雅黑" w:eastAsia="微软雅黑" w:hint="default"/>
                <w:sz w:val="21"/>
                <w:szCs w:val="21"/>
              </w:rPr>
              <w:t>日</w:t>
            </w:r>
          </w:p>
        </w:tc>
      </w:tr>
      <w:tr>
        <w:trPr>
          <w:trHeight w:val="396" w:hRule="exact"/>
        </w:trPr>
        <w:tc>
          <w:tcPr>
            <w:tcW w:w="2943"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11"/>
              <w:ind w:left="107"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9"/>
                <w:sz w:val="21"/>
                <w:szCs w:val="21"/>
              </w:rPr>
              <w:t> </w:t>
            </w:r>
            <w:r>
              <w:rPr>
                <w:rFonts w:ascii="宋体" w:hAnsi="宋体" w:cs="宋体" w:eastAsia="宋体" w:hint="default"/>
                <w:sz w:val="21"/>
                <w:szCs w:val="21"/>
              </w:rPr>
              <w:t>年第一次临时股东大会</w:t>
            </w:r>
          </w:p>
        </w:tc>
        <w:tc>
          <w:tcPr>
            <w:tcW w:w="1985" w:type="dxa"/>
            <w:tcBorders>
              <w:top w:val="single" w:sz="4" w:space="0" w:color="41B7EE"/>
              <w:left w:val="single" w:sz="4" w:space="0" w:color="41B7EE"/>
              <w:bottom w:val="single" w:sz="23" w:space="0" w:color="41B7EE"/>
              <w:right w:val="single" w:sz="4" w:space="0" w:color="41B7EE"/>
            </w:tcBorders>
          </w:tcPr>
          <w:p>
            <w:pPr>
              <w:pStyle w:val="TableParagraph"/>
              <w:spacing w:line="319" w:lineRule="exact"/>
              <w:ind w:left="103" w:right="0"/>
              <w:jc w:val="left"/>
              <w:rPr>
                <w:rFonts w:ascii="微软雅黑" w:hAnsi="微软雅黑" w:cs="微软雅黑" w:eastAsia="微软雅黑" w:hint="default"/>
                <w:sz w:val="21"/>
                <w:szCs w:val="21"/>
              </w:rPr>
            </w:pPr>
            <w:r>
              <w:rPr>
                <w:rFonts w:ascii="Arial" w:hAnsi="Arial" w:cs="Arial" w:eastAsia="Arial" w:hint="default"/>
                <w:sz w:val="21"/>
                <w:szCs w:val="21"/>
              </w:rPr>
              <w:t>2019 </w:t>
            </w:r>
            <w:r>
              <w:rPr>
                <w:rFonts w:ascii="微软雅黑" w:hAnsi="微软雅黑" w:cs="微软雅黑" w:eastAsia="微软雅黑" w:hint="default"/>
                <w:sz w:val="21"/>
                <w:szCs w:val="21"/>
              </w:rPr>
              <w:t>年 </w:t>
            </w:r>
            <w:r>
              <w:rPr>
                <w:rFonts w:ascii="Arial" w:hAnsi="Arial" w:cs="Arial" w:eastAsia="Arial" w:hint="default"/>
                <w:sz w:val="21"/>
                <w:szCs w:val="21"/>
              </w:rPr>
              <w:t>5 </w:t>
            </w:r>
            <w:r>
              <w:rPr>
                <w:rFonts w:ascii="微软雅黑" w:hAnsi="微软雅黑" w:cs="微软雅黑" w:eastAsia="微软雅黑" w:hint="default"/>
                <w:sz w:val="21"/>
                <w:szCs w:val="21"/>
              </w:rPr>
              <w:t>月 </w:t>
            </w:r>
            <w:r>
              <w:rPr>
                <w:rFonts w:ascii="Arial" w:hAnsi="Arial" w:cs="Arial" w:eastAsia="Arial" w:hint="default"/>
                <w:sz w:val="21"/>
                <w:szCs w:val="21"/>
              </w:rPr>
              <w:t>14</w:t>
            </w:r>
            <w:r>
              <w:rPr>
                <w:rFonts w:ascii="Arial" w:hAnsi="Arial" w:cs="Arial" w:eastAsia="Arial" w:hint="default"/>
                <w:spacing w:val="-37"/>
                <w:sz w:val="21"/>
                <w:szCs w:val="21"/>
              </w:rPr>
              <w:t> </w:t>
            </w:r>
            <w:r>
              <w:rPr>
                <w:rFonts w:ascii="微软雅黑" w:hAnsi="微软雅黑" w:cs="微软雅黑" w:eastAsia="微软雅黑" w:hint="default"/>
                <w:sz w:val="21"/>
                <w:szCs w:val="21"/>
              </w:rPr>
              <w:t>日</w:t>
            </w:r>
          </w:p>
        </w:tc>
        <w:tc>
          <w:tcPr>
            <w:tcW w:w="1956"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55"/>
              <w:ind w:left="103" w:right="0"/>
              <w:jc w:val="left"/>
              <w:rPr>
                <w:rFonts w:ascii="Arial" w:hAnsi="Arial" w:cs="Arial" w:eastAsia="Arial" w:hint="default"/>
                <w:sz w:val="21"/>
                <w:szCs w:val="21"/>
              </w:rPr>
            </w:pPr>
            <w:hyperlink r:id="rId9">
              <w:r>
                <w:rPr>
                  <w:rFonts w:ascii="Arial"/>
                  <w:sz w:val="21"/>
                </w:rPr>
                <w:t>www.sse.com.cn</w:t>
              </w:r>
            </w:hyperlink>
          </w:p>
        </w:tc>
        <w:tc>
          <w:tcPr>
            <w:tcW w:w="2165" w:type="dxa"/>
            <w:tcBorders>
              <w:top w:val="single" w:sz="4" w:space="0" w:color="41B7EE"/>
              <w:left w:val="single" w:sz="4" w:space="0" w:color="41B7EE"/>
              <w:bottom w:val="single" w:sz="23" w:space="0" w:color="41B7EE"/>
              <w:right w:val="nil" w:sz="6" w:space="0" w:color="auto"/>
            </w:tcBorders>
          </w:tcPr>
          <w:p>
            <w:pPr>
              <w:pStyle w:val="TableParagraph"/>
              <w:spacing w:line="319" w:lineRule="exact"/>
              <w:ind w:left="103" w:right="0"/>
              <w:jc w:val="left"/>
              <w:rPr>
                <w:rFonts w:ascii="微软雅黑" w:hAnsi="微软雅黑" w:cs="微软雅黑" w:eastAsia="微软雅黑" w:hint="default"/>
                <w:sz w:val="21"/>
                <w:szCs w:val="21"/>
              </w:rPr>
            </w:pPr>
            <w:r>
              <w:rPr>
                <w:rFonts w:ascii="Arial" w:hAnsi="Arial" w:cs="Arial" w:eastAsia="Arial" w:hint="default"/>
                <w:sz w:val="21"/>
                <w:szCs w:val="21"/>
              </w:rPr>
              <w:t>2019 </w:t>
            </w:r>
            <w:r>
              <w:rPr>
                <w:rFonts w:ascii="微软雅黑" w:hAnsi="微软雅黑" w:cs="微软雅黑" w:eastAsia="微软雅黑" w:hint="default"/>
                <w:sz w:val="21"/>
                <w:szCs w:val="21"/>
              </w:rPr>
              <w:t>年 </w:t>
            </w:r>
            <w:r>
              <w:rPr>
                <w:rFonts w:ascii="Arial" w:hAnsi="Arial" w:cs="Arial" w:eastAsia="Arial" w:hint="default"/>
                <w:sz w:val="21"/>
                <w:szCs w:val="21"/>
              </w:rPr>
              <w:t>5 </w:t>
            </w:r>
            <w:r>
              <w:rPr>
                <w:rFonts w:ascii="微软雅黑" w:hAnsi="微软雅黑" w:cs="微软雅黑" w:eastAsia="微软雅黑" w:hint="default"/>
                <w:sz w:val="21"/>
                <w:szCs w:val="21"/>
              </w:rPr>
              <w:t>月 </w:t>
            </w:r>
            <w:r>
              <w:rPr>
                <w:rFonts w:ascii="Arial" w:hAnsi="Arial" w:cs="Arial" w:eastAsia="Arial" w:hint="default"/>
                <w:sz w:val="21"/>
                <w:szCs w:val="21"/>
              </w:rPr>
              <w:t>15</w:t>
            </w:r>
            <w:r>
              <w:rPr>
                <w:rFonts w:ascii="Arial" w:hAnsi="Arial" w:cs="Arial" w:eastAsia="Arial" w:hint="default"/>
                <w:spacing w:val="-37"/>
                <w:sz w:val="21"/>
                <w:szCs w:val="21"/>
              </w:rPr>
              <w:t> </w:t>
            </w:r>
            <w:r>
              <w:rPr>
                <w:rFonts w:ascii="微软雅黑" w:hAnsi="微软雅黑" w:cs="微软雅黑" w:eastAsia="微软雅黑" w:hint="default"/>
                <w:sz w:val="21"/>
                <w:szCs w:val="21"/>
              </w:rPr>
              <w:t>日</w:t>
            </w:r>
          </w:p>
        </w:tc>
      </w:tr>
    </w:tbl>
    <w:p>
      <w:pPr>
        <w:pStyle w:val="BodyText"/>
        <w:spacing w:line="259" w:lineRule="exact"/>
        <w:ind w:left="238" w:right="0"/>
        <w:jc w:val="left"/>
        <w:rPr>
          <w:rFonts w:ascii="宋体" w:hAnsi="宋体" w:cs="宋体" w:eastAsia="宋体" w:hint="default"/>
        </w:rPr>
      </w:pPr>
      <w:r>
        <w:rPr/>
        <w:t>股东大会情况说明</w:t>
      </w:r>
      <w:r>
        <w:rPr>
          <w:rFonts w:ascii="宋体" w:hAnsi="宋体" w:cs="宋体" w:eastAsia="宋体" w:hint="default"/>
        </w:rPr>
        <w:t> </w:t>
      </w:r>
    </w:p>
    <w:p>
      <w:pPr>
        <w:pStyle w:val="BodyText"/>
        <w:spacing w:line="273"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8" w:right="0"/>
        <w:jc w:val="left"/>
        <w:rPr>
          <w:rFonts w:ascii="宋体" w:hAnsi="宋体" w:cs="宋体" w:eastAsia="宋体" w:hint="default"/>
        </w:rPr>
      </w:pPr>
      <w:r>
        <w:rPr>
          <w:rFonts w:ascii="宋体"/>
          <w:w w:val="100"/>
        </w:rPr>
        <w:t> </w:t>
      </w:r>
    </w:p>
    <w:p>
      <w:pPr>
        <w:pStyle w:val="Heading2"/>
        <w:spacing w:line="240" w:lineRule="auto" w:before="58"/>
        <w:ind w:left="238" w:right="0"/>
        <w:jc w:val="left"/>
        <w:rPr>
          <w:b w:val="0"/>
          <w:bCs w:val="0"/>
        </w:rPr>
      </w:pPr>
      <w:r>
        <w:rPr/>
        <w:t>三、</w:t>
      </w:r>
      <w:r>
        <w:rPr>
          <w:spacing w:val="-102"/>
        </w:rPr>
        <w:t> </w:t>
      </w:r>
      <w:r>
        <w:rPr>
          <w:rFonts w:ascii="宋体" w:hAnsi="宋体" w:cs="宋体" w:eastAsia="宋体" w:hint="default"/>
          <w:spacing w:val="-102"/>
        </w:rPr>
      </w:r>
      <w:r>
        <w:rPr/>
        <w:t>董事履行职责情况</w:t>
      </w:r>
      <w:r>
        <w:rPr>
          <w:b w:val="0"/>
          <w:bCs w:val="0"/>
        </w:rPr>
      </w:r>
    </w:p>
    <w:p>
      <w:pPr>
        <w:pStyle w:val="Heading2"/>
        <w:spacing w:line="240" w:lineRule="auto"/>
        <w:ind w:left="2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1"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81" w:hRule="exact"/>
        </w:trPr>
        <w:tc>
          <w:tcPr>
            <w:tcW w:w="979" w:type="dxa"/>
            <w:vMerge w:val="restart"/>
            <w:tcBorders>
              <w:top w:val="single" w:sz="23" w:space="0" w:color="41B7EE"/>
              <w:left w:val="nil" w:sz="6" w:space="0" w:color="auto"/>
              <w:right w:val="single" w:sz="4" w:space="0" w:color="41B7EE"/>
            </w:tcBorders>
          </w:tcPr>
          <w:p>
            <w:pPr>
              <w:pStyle w:val="TableParagraph"/>
              <w:spacing w:line="240" w:lineRule="auto" w:before="2"/>
              <w:ind w:right="0"/>
              <w:jc w:val="left"/>
              <w:rPr>
                <w:rFonts w:ascii="宋体" w:hAnsi="宋体" w:cs="宋体" w:eastAsia="宋体" w:hint="default"/>
                <w:b/>
                <w:bCs/>
                <w:sz w:val="29"/>
                <w:szCs w:val="29"/>
              </w:rPr>
            </w:pPr>
          </w:p>
          <w:p>
            <w:pPr>
              <w:pStyle w:val="TableParagraph"/>
              <w:spacing w:line="240" w:lineRule="auto"/>
              <w:ind w:left="278" w:right="168"/>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姓名</w:t>
            </w:r>
            <w:r>
              <w:rPr>
                <w:rFonts w:ascii="宋体" w:hAnsi="宋体" w:cs="宋体" w:eastAsia="宋体" w:hint="default"/>
                <w:sz w:val="21"/>
                <w:szCs w:val="21"/>
              </w:rPr>
              <w:t> </w:t>
            </w:r>
          </w:p>
        </w:tc>
        <w:tc>
          <w:tcPr>
            <w:tcW w:w="847" w:type="dxa"/>
            <w:vMerge w:val="restart"/>
            <w:tcBorders>
              <w:top w:val="single" w:sz="23" w:space="0" w:color="41B7EE"/>
              <w:left w:val="single" w:sz="4" w:space="0" w:color="41B7EE"/>
              <w:right w:val="single" w:sz="4" w:space="0" w:color="41B7EE"/>
            </w:tcBorders>
          </w:tcPr>
          <w:p>
            <w:pPr>
              <w:pStyle w:val="TableParagraph"/>
              <w:spacing w:line="240" w:lineRule="auto" w:before="2"/>
              <w:ind w:right="0"/>
              <w:jc w:val="left"/>
              <w:rPr>
                <w:rFonts w:ascii="宋体" w:hAnsi="宋体" w:cs="宋体" w:eastAsia="宋体" w:hint="default"/>
                <w:b/>
                <w:bCs/>
                <w:sz w:val="29"/>
                <w:szCs w:val="29"/>
              </w:rPr>
            </w:pP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r>
              <w:rPr>
                <w:rFonts w:ascii="宋体" w:hAnsi="宋体" w:cs="宋体" w:eastAsia="宋体" w:hint="default"/>
                <w:sz w:val="21"/>
                <w:szCs w:val="21"/>
              </w:rPr>
              <w:t> </w:t>
            </w:r>
          </w:p>
        </w:tc>
        <w:tc>
          <w:tcPr>
            <w:tcW w:w="5963" w:type="dxa"/>
            <w:gridSpan w:val="6"/>
            <w:tcBorders>
              <w:top w:val="single" w:sz="23" w:space="0" w:color="41B7EE"/>
              <w:left w:val="single" w:sz="4" w:space="0" w:color="41B7EE"/>
              <w:bottom w:val="single" w:sz="4" w:space="0" w:color="41B7EE"/>
              <w:right w:val="single" w:sz="4" w:space="0" w:color="41B7EE"/>
            </w:tcBorders>
          </w:tcPr>
          <w:p>
            <w:pPr>
              <w:pStyle w:val="TableParagraph"/>
              <w:spacing w:line="240" w:lineRule="auto" w:before="105"/>
              <w:ind w:left="103" w:right="0"/>
              <w:jc w:val="center"/>
              <w:rPr>
                <w:rFonts w:ascii="宋体" w:hAnsi="宋体" w:cs="宋体" w:eastAsia="宋体" w:hint="default"/>
                <w:sz w:val="21"/>
                <w:szCs w:val="21"/>
              </w:rPr>
            </w:pPr>
            <w:r>
              <w:rPr>
                <w:rFonts w:ascii="宋体" w:hAnsi="宋体" w:cs="宋体" w:eastAsia="宋体" w:hint="default"/>
                <w:sz w:val="21"/>
                <w:szCs w:val="21"/>
              </w:rPr>
              <w:t>参加董事会情况</w:t>
            </w:r>
            <w:r>
              <w:rPr>
                <w:rFonts w:ascii="宋体" w:hAnsi="宋体" w:cs="宋体" w:eastAsia="宋体" w:hint="default"/>
                <w:sz w:val="21"/>
                <w:szCs w:val="21"/>
              </w:rPr>
              <w:t> </w:t>
            </w:r>
          </w:p>
        </w:tc>
        <w:tc>
          <w:tcPr>
            <w:tcW w:w="1260" w:type="dxa"/>
            <w:tcBorders>
              <w:top w:val="single" w:sz="23" w:space="0" w:color="41B7EE"/>
              <w:left w:val="single" w:sz="4" w:space="0" w:color="41B7EE"/>
              <w:bottom w:val="single" w:sz="4" w:space="0" w:color="41B7EE"/>
              <w:right w:val="nil" w:sz="6" w:space="0" w:color="auto"/>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3" w:lineRule="exact"/>
              <w:ind w:left="203" w:right="0"/>
              <w:jc w:val="left"/>
              <w:rPr>
                <w:rFonts w:ascii="宋体" w:hAnsi="宋体" w:cs="宋体" w:eastAsia="宋体" w:hint="default"/>
                <w:sz w:val="21"/>
                <w:szCs w:val="21"/>
              </w:rPr>
            </w:pPr>
            <w:r>
              <w:rPr>
                <w:rFonts w:ascii="宋体" w:hAnsi="宋体" w:cs="宋体" w:eastAsia="宋体" w:hint="default"/>
                <w:sz w:val="21"/>
                <w:szCs w:val="21"/>
              </w:rPr>
              <w:t>大会情况</w:t>
            </w:r>
            <w:r>
              <w:rPr>
                <w:rFonts w:ascii="宋体" w:hAnsi="宋体" w:cs="宋体" w:eastAsia="宋体" w:hint="default"/>
                <w:sz w:val="21"/>
                <w:szCs w:val="21"/>
              </w:rPr>
              <w:t> </w:t>
            </w:r>
          </w:p>
        </w:tc>
      </w:tr>
      <w:tr>
        <w:trPr>
          <w:trHeight w:val="826" w:hRule="exact"/>
        </w:trPr>
        <w:tc>
          <w:tcPr>
            <w:tcW w:w="979" w:type="dxa"/>
            <w:vMerge/>
            <w:tcBorders>
              <w:left w:val="nil" w:sz="6" w:space="0" w:color="auto"/>
              <w:bottom w:val="single" w:sz="4" w:space="0" w:color="41B7EE"/>
              <w:right w:val="single" w:sz="4" w:space="0" w:color="41B7EE"/>
            </w:tcBorders>
          </w:tcPr>
          <w:p>
            <w:pPr/>
          </w:p>
        </w:tc>
        <w:tc>
          <w:tcPr>
            <w:tcW w:w="847" w:type="dxa"/>
            <w:vMerge/>
            <w:tcBorders>
              <w:left w:val="single" w:sz="4" w:space="0" w:color="41B7EE"/>
              <w:bottom w:val="single" w:sz="4" w:space="0" w:color="41B7EE"/>
              <w:right w:val="single" w:sz="4" w:space="0" w:color="41B7EE"/>
            </w:tcBorders>
          </w:tcPr>
          <w:p>
            <w:pPr/>
          </w:p>
        </w:tc>
        <w:tc>
          <w:tcPr>
            <w:tcW w:w="1100" w:type="dxa"/>
            <w:tcBorders>
              <w:top w:val="single" w:sz="4" w:space="0" w:color="41B7EE"/>
              <w:left w:val="single" w:sz="4" w:space="0" w:color="41B7EE"/>
              <w:bottom w:val="single" w:sz="4" w:space="0" w:color="41B7EE"/>
              <w:right w:val="single" w:sz="4" w:space="0" w:color="41B7EE"/>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3" w:right="120" w:hanging="209"/>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852" w:type="dxa"/>
            <w:tcBorders>
              <w:top w:val="single" w:sz="4" w:space="0" w:color="41B7EE"/>
              <w:left w:val="single" w:sz="4" w:space="0" w:color="41B7EE"/>
              <w:bottom w:val="single" w:sz="4" w:space="0" w:color="41B7EE"/>
              <w:right w:val="single" w:sz="4" w:space="0" w:color="41B7EE"/>
            </w:tcBorders>
          </w:tcPr>
          <w:p>
            <w:pPr>
              <w:pStyle w:val="TableParagraph"/>
              <w:spacing w:line="272" w:lineRule="exact" w:before="130"/>
              <w:ind w:left="105" w:right="-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970" w:type="dxa"/>
            <w:tcBorders>
              <w:top w:val="single" w:sz="4" w:space="0" w:color="41B7EE"/>
              <w:left w:val="single" w:sz="4" w:space="0" w:color="41B7EE"/>
              <w:bottom w:val="single" w:sz="4" w:space="0" w:color="41B7EE"/>
              <w:right w:val="single" w:sz="4" w:space="0" w:color="41B7EE"/>
            </w:tcBorders>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59"/>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r>
              <w:rPr>
                <w:rFonts w:ascii="宋体" w:hAnsi="宋体" w:cs="宋体" w:eastAsia="宋体" w:hint="default"/>
                <w:sz w:val="21"/>
                <w:szCs w:val="21"/>
              </w:rPr>
              <w:t> </w:t>
            </w:r>
          </w:p>
        </w:tc>
        <w:tc>
          <w:tcPr>
            <w:tcW w:w="905" w:type="dxa"/>
            <w:tcBorders>
              <w:top w:val="single" w:sz="4" w:space="0" w:color="41B7EE"/>
              <w:left w:val="single" w:sz="4" w:space="0" w:color="41B7EE"/>
              <w:bottom w:val="single" w:sz="4" w:space="0" w:color="41B7EE"/>
              <w:right w:val="single" w:sz="4" w:space="0" w:color="41B7EE"/>
            </w:tcBorders>
          </w:tcPr>
          <w:p>
            <w:pPr>
              <w:pStyle w:val="TableParagraph"/>
              <w:spacing w:line="272" w:lineRule="exact" w:before="130"/>
              <w:ind w:left="130" w:right="26"/>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845" w:type="dxa"/>
            <w:tcBorders>
              <w:top w:val="single" w:sz="4" w:space="0" w:color="41B7EE"/>
              <w:left w:val="single" w:sz="4" w:space="0" w:color="41B7EE"/>
              <w:bottom w:val="single" w:sz="4" w:space="0" w:color="41B7EE"/>
              <w:right w:val="single" w:sz="4" w:space="0" w:color="41B7EE"/>
            </w:tcBorders>
          </w:tcPr>
          <w:p>
            <w:pPr>
              <w:pStyle w:val="TableParagraph"/>
              <w:spacing w:line="272" w:lineRule="exact" w:before="130"/>
              <w:ind w:left="204" w:right="103"/>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1292" w:type="dxa"/>
            <w:tcBorders>
              <w:top w:val="single" w:sz="4" w:space="0" w:color="41B7EE"/>
              <w:left w:val="single" w:sz="4" w:space="0" w:color="41B7EE"/>
              <w:bottom w:val="single" w:sz="4" w:space="0" w:color="41B7EE"/>
              <w:right w:val="single" w:sz="4" w:space="0" w:color="41B7EE"/>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r>
              <w:rPr>
                <w:rFonts w:ascii="宋体" w:hAnsi="宋体" w:cs="宋体" w:eastAsia="宋体" w:hint="default"/>
                <w:sz w:val="21"/>
                <w:szCs w:val="21"/>
              </w:rPr>
              <w:t> </w:t>
            </w:r>
          </w:p>
        </w:tc>
        <w:tc>
          <w:tcPr>
            <w:tcW w:w="1260" w:type="dxa"/>
            <w:tcBorders>
              <w:top w:val="single" w:sz="4" w:space="0" w:color="41B7EE"/>
              <w:left w:val="single" w:sz="4" w:space="0" w:color="41B7EE"/>
              <w:bottom w:val="single" w:sz="4" w:space="0" w:color="41B7EE"/>
              <w:right w:val="nil" w:sz="6" w:space="0" w:color="auto"/>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8" w:right="206"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8" w:hRule="exact"/>
        </w:trPr>
        <w:tc>
          <w:tcPr>
            <w:tcW w:w="97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right="19"/>
              <w:jc w:val="center"/>
              <w:rPr>
                <w:rFonts w:ascii="宋体" w:hAnsi="宋体" w:cs="宋体" w:eastAsia="宋体" w:hint="default"/>
                <w:sz w:val="21"/>
                <w:szCs w:val="21"/>
              </w:rPr>
            </w:pPr>
            <w:r>
              <w:rPr>
                <w:rFonts w:ascii="宋体" w:hAnsi="宋体" w:cs="宋体" w:eastAsia="宋体" w:hint="default"/>
                <w:sz w:val="21"/>
                <w:szCs w:val="21"/>
              </w:rPr>
              <w:t>刘长友</w:t>
            </w:r>
            <w:r>
              <w:rPr>
                <w:rFonts w:ascii="宋体" w:hAnsi="宋体" w:cs="宋体" w:eastAsia="宋体" w:hint="default"/>
                <w:sz w:val="21"/>
                <w:szCs w:val="21"/>
              </w:rPr>
              <w:t> </w:t>
            </w:r>
          </w:p>
        </w:tc>
        <w:tc>
          <w:tcPr>
            <w:tcW w:w="84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w w:val="100"/>
                <w:sz w:val="21"/>
              </w:rPr>
              <w:t>8</w:t>
            </w:r>
          </w:p>
        </w:tc>
        <w:tc>
          <w:tcPr>
            <w:tcW w:w="85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w w:val="100"/>
                <w:sz w:val="21"/>
              </w:rPr>
              <w:t>3</w:t>
            </w:r>
          </w:p>
        </w:tc>
        <w:tc>
          <w:tcPr>
            <w:tcW w:w="9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3"/>
              <w:jc w:val="right"/>
              <w:rPr>
                <w:rFonts w:ascii="Arial" w:hAnsi="Arial" w:cs="Arial" w:eastAsia="Arial" w:hint="default"/>
                <w:sz w:val="21"/>
                <w:szCs w:val="21"/>
              </w:rPr>
            </w:pPr>
            <w:r>
              <w:rPr>
                <w:rFonts w:ascii="Arial"/>
                <w:w w:val="100"/>
                <w:sz w:val="21"/>
              </w:rPr>
              <w:t>5</w:t>
            </w:r>
          </w:p>
        </w:tc>
        <w:tc>
          <w:tcPr>
            <w:tcW w:w="90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3"/>
              <w:jc w:val="right"/>
              <w:rPr>
                <w:rFonts w:ascii="Arial" w:hAnsi="Arial" w:cs="Arial" w:eastAsia="Arial" w:hint="default"/>
                <w:sz w:val="21"/>
                <w:szCs w:val="21"/>
              </w:rPr>
            </w:pPr>
            <w:r>
              <w:rPr>
                <w:rFonts w:ascii="Arial"/>
                <w:w w:val="100"/>
                <w:sz w:val="21"/>
              </w:rPr>
              <w:t>0</w:t>
            </w:r>
          </w:p>
        </w:tc>
        <w:tc>
          <w:tcPr>
            <w:tcW w:w="84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3"/>
              <w:jc w:val="right"/>
              <w:rPr>
                <w:rFonts w:ascii="Arial" w:hAnsi="Arial" w:cs="Arial" w:eastAsia="Arial" w:hint="default"/>
                <w:sz w:val="21"/>
                <w:szCs w:val="21"/>
              </w:rPr>
            </w:pPr>
            <w:r>
              <w:rPr>
                <w:rFonts w:ascii="Arial"/>
                <w:w w:val="100"/>
                <w:sz w:val="21"/>
              </w:rPr>
              <w:t>0</w:t>
            </w:r>
          </w:p>
        </w:tc>
        <w:tc>
          <w:tcPr>
            <w:tcW w:w="129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6"/>
              <w:jc w:val="right"/>
              <w:rPr>
                <w:rFonts w:ascii="Arial" w:hAnsi="Arial" w:cs="Arial" w:eastAsia="Arial" w:hint="default"/>
                <w:sz w:val="21"/>
                <w:szCs w:val="21"/>
              </w:rPr>
            </w:pPr>
            <w:r>
              <w:rPr>
                <w:rFonts w:ascii="Arial"/>
                <w:w w:val="100"/>
                <w:sz w:val="21"/>
              </w:rPr>
              <w:t>2</w:t>
            </w:r>
          </w:p>
        </w:tc>
      </w:tr>
      <w:tr>
        <w:trPr>
          <w:trHeight w:val="358" w:hRule="exact"/>
        </w:trPr>
        <w:tc>
          <w:tcPr>
            <w:tcW w:w="97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right="19"/>
              <w:jc w:val="center"/>
              <w:rPr>
                <w:rFonts w:ascii="宋体" w:hAnsi="宋体" w:cs="宋体" w:eastAsia="宋体" w:hint="default"/>
                <w:sz w:val="21"/>
                <w:szCs w:val="21"/>
              </w:rPr>
            </w:pPr>
            <w:r>
              <w:rPr>
                <w:rFonts w:ascii="宋体" w:hAnsi="宋体" w:cs="宋体" w:eastAsia="宋体" w:hint="default"/>
                <w:sz w:val="21"/>
                <w:szCs w:val="21"/>
              </w:rPr>
              <w:t>贺天元</w:t>
            </w:r>
            <w:r>
              <w:rPr>
                <w:rFonts w:ascii="宋体" w:hAnsi="宋体" w:cs="宋体" w:eastAsia="宋体" w:hint="default"/>
                <w:sz w:val="21"/>
                <w:szCs w:val="21"/>
              </w:rPr>
              <w:t> </w:t>
            </w:r>
          </w:p>
        </w:tc>
        <w:tc>
          <w:tcPr>
            <w:tcW w:w="84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w w:val="100"/>
                <w:sz w:val="21"/>
              </w:rPr>
              <w:t>8</w:t>
            </w:r>
          </w:p>
        </w:tc>
        <w:tc>
          <w:tcPr>
            <w:tcW w:w="85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w w:val="100"/>
                <w:sz w:val="21"/>
              </w:rPr>
              <w:t>3</w:t>
            </w:r>
          </w:p>
        </w:tc>
        <w:tc>
          <w:tcPr>
            <w:tcW w:w="9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3"/>
              <w:jc w:val="right"/>
              <w:rPr>
                <w:rFonts w:ascii="Arial" w:hAnsi="Arial" w:cs="Arial" w:eastAsia="Arial" w:hint="default"/>
                <w:sz w:val="21"/>
                <w:szCs w:val="21"/>
              </w:rPr>
            </w:pPr>
            <w:r>
              <w:rPr>
                <w:rFonts w:ascii="Arial"/>
                <w:w w:val="100"/>
                <w:sz w:val="21"/>
              </w:rPr>
              <w:t>5</w:t>
            </w:r>
          </w:p>
        </w:tc>
        <w:tc>
          <w:tcPr>
            <w:tcW w:w="90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3"/>
              <w:jc w:val="right"/>
              <w:rPr>
                <w:rFonts w:ascii="Arial" w:hAnsi="Arial" w:cs="Arial" w:eastAsia="Arial" w:hint="default"/>
                <w:sz w:val="21"/>
                <w:szCs w:val="21"/>
              </w:rPr>
            </w:pPr>
            <w:r>
              <w:rPr>
                <w:rFonts w:ascii="Arial"/>
                <w:w w:val="100"/>
                <w:sz w:val="21"/>
              </w:rPr>
              <w:t>0</w:t>
            </w:r>
          </w:p>
        </w:tc>
        <w:tc>
          <w:tcPr>
            <w:tcW w:w="84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3"/>
              <w:jc w:val="right"/>
              <w:rPr>
                <w:rFonts w:ascii="Arial" w:hAnsi="Arial" w:cs="Arial" w:eastAsia="Arial" w:hint="default"/>
                <w:sz w:val="21"/>
                <w:szCs w:val="21"/>
              </w:rPr>
            </w:pPr>
            <w:r>
              <w:rPr>
                <w:rFonts w:ascii="Arial"/>
                <w:w w:val="100"/>
                <w:sz w:val="21"/>
              </w:rPr>
              <w:t>0</w:t>
            </w:r>
          </w:p>
        </w:tc>
        <w:tc>
          <w:tcPr>
            <w:tcW w:w="129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6"/>
              <w:jc w:val="right"/>
              <w:rPr>
                <w:rFonts w:ascii="Arial" w:hAnsi="Arial" w:cs="Arial" w:eastAsia="Arial" w:hint="default"/>
                <w:sz w:val="21"/>
                <w:szCs w:val="21"/>
              </w:rPr>
            </w:pPr>
            <w:r>
              <w:rPr>
                <w:rFonts w:ascii="Arial"/>
                <w:w w:val="100"/>
                <w:sz w:val="21"/>
              </w:rPr>
              <w:t>2</w:t>
            </w:r>
          </w:p>
        </w:tc>
      </w:tr>
      <w:tr>
        <w:trPr>
          <w:trHeight w:val="358" w:hRule="exact"/>
        </w:trPr>
        <w:tc>
          <w:tcPr>
            <w:tcW w:w="97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right="19"/>
              <w:jc w:val="center"/>
              <w:rPr>
                <w:rFonts w:ascii="宋体" w:hAnsi="宋体" w:cs="宋体" w:eastAsia="宋体" w:hint="default"/>
                <w:sz w:val="21"/>
                <w:szCs w:val="21"/>
              </w:rPr>
            </w:pPr>
            <w:r>
              <w:rPr>
                <w:rFonts w:ascii="宋体" w:hAnsi="宋体" w:cs="宋体" w:eastAsia="宋体" w:hint="default"/>
                <w:sz w:val="21"/>
                <w:szCs w:val="21"/>
              </w:rPr>
              <w:t>宋颀年</w:t>
            </w:r>
            <w:r>
              <w:rPr>
                <w:rFonts w:ascii="宋体" w:hAnsi="宋体" w:cs="宋体" w:eastAsia="宋体" w:hint="default"/>
                <w:sz w:val="21"/>
                <w:szCs w:val="21"/>
              </w:rPr>
              <w:t> </w:t>
            </w:r>
          </w:p>
        </w:tc>
        <w:tc>
          <w:tcPr>
            <w:tcW w:w="84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w w:val="100"/>
                <w:sz w:val="21"/>
              </w:rPr>
              <w:t>8</w:t>
            </w:r>
          </w:p>
        </w:tc>
        <w:tc>
          <w:tcPr>
            <w:tcW w:w="85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w w:val="100"/>
                <w:sz w:val="21"/>
              </w:rPr>
              <w:t>3</w:t>
            </w:r>
          </w:p>
        </w:tc>
        <w:tc>
          <w:tcPr>
            <w:tcW w:w="9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3"/>
              <w:jc w:val="right"/>
              <w:rPr>
                <w:rFonts w:ascii="Arial" w:hAnsi="Arial" w:cs="Arial" w:eastAsia="Arial" w:hint="default"/>
                <w:sz w:val="21"/>
                <w:szCs w:val="21"/>
              </w:rPr>
            </w:pPr>
            <w:r>
              <w:rPr>
                <w:rFonts w:ascii="Arial"/>
                <w:w w:val="100"/>
                <w:sz w:val="21"/>
              </w:rPr>
              <w:t>5</w:t>
            </w:r>
          </w:p>
        </w:tc>
        <w:tc>
          <w:tcPr>
            <w:tcW w:w="90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3"/>
              <w:jc w:val="right"/>
              <w:rPr>
                <w:rFonts w:ascii="Arial" w:hAnsi="Arial" w:cs="Arial" w:eastAsia="Arial" w:hint="default"/>
                <w:sz w:val="21"/>
                <w:szCs w:val="21"/>
              </w:rPr>
            </w:pPr>
            <w:r>
              <w:rPr>
                <w:rFonts w:ascii="Arial"/>
                <w:w w:val="100"/>
                <w:sz w:val="21"/>
              </w:rPr>
              <w:t>0</w:t>
            </w:r>
          </w:p>
        </w:tc>
        <w:tc>
          <w:tcPr>
            <w:tcW w:w="84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3"/>
              <w:jc w:val="right"/>
              <w:rPr>
                <w:rFonts w:ascii="Arial" w:hAnsi="Arial" w:cs="Arial" w:eastAsia="Arial" w:hint="default"/>
                <w:sz w:val="21"/>
                <w:szCs w:val="21"/>
              </w:rPr>
            </w:pPr>
            <w:r>
              <w:rPr>
                <w:rFonts w:ascii="Arial"/>
                <w:w w:val="100"/>
                <w:sz w:val="21"/>
              </w:rPr>
              <w:t>0</w:t>
            </w:r>
          </w:p>
        </w:tc>
        <w:tc>
          <w:tcPr>
            <w:tcW w:w="129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6"/>
              <w:jc w:val="right"/>
              <w:rPr>
                <w:rFonts w:ascii="Arial" w:hAnsi="Arial" w:cs="Arial" w:eastAsia="Arial" w:hint="default"/>
                <w:sz w:val="21"/>
                <w:szCs w:val="21"/>
              </w:rPr>
            </w:pPr>
            <w:r>
              <w:rPr>
                <w:rFonts w:ascii="Arial"/>
                <w:w w:val="100"/>
                <w:sz w:val="21"/>
              </w:rPr>
              <w:t>0</w:t>
            </w:r>
          </w:p>
        </w:tc>
      </w:tr>
      <w:tr>
        <w:trPr>
          <w:trHeight w:val="356" w:hRule="exact"/>
        </w:trPr>
        <w:tc>
          <w:tcPr>
            <w:tcW w:w="97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right="19"/>
              <w:jc w:val="center"/>
              <w:rPr>
                <w:rFonts w:ascii="宋体" w:hAnsi="宋体" w:cs="宋体" w:eastAsia="宋体" w:hint="default"/>
                <w:sz w:val="21"/>
                <w:szCs w:val="21"/>
              </w:rPr>
            </w:pPr>
            <w:r>
              <w:rPr>
                <w:rFonts w:ascii="宋体" w:hAnsi="宋体" w:cs="宋体" w:eastAsia="宋体" w:hint="default"/>
                <w:sz w:val="21"/>
                <w:szCs w:val="21"/>
              </w:rPr>
              <w:t>叶凤仪</w:t>
            </w:r>
            <w:r>
              <w:rPr>
                <w:rFonts w:ascii="宋体" w:hAnsi="宋体" w:cs="宋体" w:eastAsia="宋体" w:hint="default"/>
                <w:sz w:val="21"/>
                <w:szCs w:val="21"/>
              </w:rPr>
              <w:t> </w:t>
            </w:r>
          </w:p>
        </w:tc>
        <w:tc>
          <w:tcPr>
            <w:tcW w:w="84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w w:val="100"/>
                <w:sz w:val="21"/>
              </w:rPr>
              <w:t>8</w:t>
            </w:r>
          </w:p>
        </w:tc>
        <w:tc>
          <w:tcPr>
            <w:tcW w:w="85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w w:val="100"/>
                <w:sz w:val="21"/>
              </w:rPr>
              <w:t>3</w:t>
            </w:r>
          </w:p>
        </w:tc>
        <w:tc>
          <w:tcPr>
            <w:tcW w:w="9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3"/>
              <w:jc w:val="right"/>
              <w:rPr>
                <w:rFonts w:ascii="Arial" w:hAnsi="Arial" w:cs="Arial" w:eastAsia="Arial" w:hint="default"/>
                <w:sz w:val="21"/>
                <w:szCs w:val="21"/>
              </w:rPr>
            </w:pPr>
            <w:r>
              <w:rPr>
                <w:rFonts w:ascii="Arial"/>
                <w:w w:val="100"/>
                <w:sz w:val="21"/>
              </w:rPr>
              <w:t>5</w:t>
            </w:r>
          </w:p>
        </w:tc>
        <w:tc>
          <w:tcPr>
            <w:tcW w:w="90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3"/>
              <w:jc w:val="right"/>
              <w:rPr>
                <w:rFonts w:ascii="Arial" w:hAnsi="Arial" w:cs="Arial" w:eastAsia="Arial" w:hint="default"/>
                <w:sz w:val="21"/>
                <w:szCs w:val="21"/>
              </w:rPr>
            </w:pPr>
            <w:r>
              <w:rPr>
                <w:rFonts w:ascii="Arial"/>
                <w:w w:val="100"/>
                <w:sz w:val="21"/>
              </w:rPr>
              <w:t>0</w:t>
            </w:r>
          </w:p>
        </w:tc>
        <w:tc>
          <w:tcPr>
            <w:tcW w:w="84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3"/>
              <w:jc w:val="right"/>
              <w:rPr>
                <w:rFonts w:ascii="Arial" w:hAnsi="Arial" w:cs="Arial" w:eastAsia="Arial" w:hint="default"/>
                <w:sz w:val="21"/>
                <w:szCs w:val="21"/>
              </w:rPr>
            </w:pPr>
            <w:r>
              <w:rPr>
                <w:rFonts w:ascii="Arial"/>
                <w:w w:val="100"/>
                <w:sz w:val="21"/>
              </w:rPr>
              <w:t>0</w:t>
            </w:r>
          </w:p>
        </w:tc>
        <w:tc>
          <w:tcPr>
            <w:tcW w:w="129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6"/>
              <w:jc w:val="right"/>
              <w:rPr>
                <w:rFonts w:ascii="Arial" w:hAnsi="Arial" w:cs="Arial" w:eastAsia="Arial" w:hint="default"/>
                <w:sz w:val="21"/>
                <w:szCs w:val="21"/>
              </w:rPr>
            </w:pPr>
            <w:r>
              <w:rPr>
                <w:rFonts w:ascii="Arial"/>
                <w:w w:val="100"/>
                <w:sz w:val="21"/>
              </w:rPr>
              <w:t>1</w:t>
            </w:r>
          </w:p>
        </w:tc>
      </w:tr>
      <w:tr>
        <w:trPr>
          <w:trHeight w:val="358" w:hRule="exact"/>
        </w:trPr>
        <w:tc>
          <w:tcPr>
            <w:tcW w:w="97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right="19"/>
              <w:jc w:val="center"/>
              <w:rPr>
                <w:rFonts w:ascii="宋体" w:hAnsi="宋体" w:cs="宋体" w:eastAsia="宋体" w:hint="default"/>
                <w:sz w:val="21"/>
                <w:szCs w:val="21"/>
              </w:rPr>
            </w:pPr>
            <w:r>
              <w:rPr>
                <w:rFonts w:ascii="宋体" w:hAnsi="宋体" w:cs="宋体" w:eastAsia="宋体" w:hint="default"/>
                <w:sz w:val="21"/>
                <w:szCs w:val="21"/>
              </w:rPr>
              <w:t>康学军</w:t>
            </w:r>
            <w:r>
              <w:rPr>
                <w:rFonts w:ascii="宋体" w:hAnsi="宋体" w:cs="宋体" w:eastAsia="宋体" w:hint="default"/>
                <w:sz w:val="21"/>
                <w:szCs w:val="21"/>
              </w:rPr>
              <w:t> </w:t>
            </w:r>
          </w:p>
        </w:tc>
        <w:tc>
          <w:tcPr>
            <w:tcW w:w="84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w w:val="100"/>
                <w:sz w:val="21"/>
              </w:rPr>
              <w:t>8</w:t>
            </w:r>
          </w:p>
        </w:tc>
        <w:tc>
          <w:tcPr>
            <w:tcW w:w="85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w w:val="100"/>
                <w:sz w:val="21"/>
              </w:rPr>
              <w:t>3</w:t>
            </w:r>
          </w:p>
        </w:tc>
        <w:tc>
          <w:tcPr>
            <w:tcW w:w="9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3"/>
              <w:jc w:val="right"/>
              <w:rPr>
                <w:rFonts w:ascii="Arial" w:hAnsi="Arial" w:cs="Arial" w:eastAsia="Arial" w:hint="default"/>
                <w:sz w:val="21"/>
                <w:szCs w:val="21"/>
              </w:rPr>
            </w:pPr>
            <w:r>
              <w:rPr>
                <w:rFonts w:ascii="Arial"/>
                <w:w w:val="100"/>
                <w:sz w:val="21"/>
              </w:rPr>
              <w:t>5</w:t>
            </w:r>
          </w:p>
        </w:tc>
        <w:tc>
          <w:tcPr>
            <w:tcW w:w="90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3"/>
              <w:jc w:val="right"/>
              <w:rPr>
                <w:rFonts w:ascii="Arial" w:hAnsi="Arial" w:cs="Arial" w:eastAsia="Arial" w:hint="default"/>
                <w:sz w:val="21"/>
                <w:szCs w:val="21"/>
              </w:rPr>
            </w:pPr>
            <w:r>
              <w:rPr>
                <w:rFonts w:ascii="Arial"/>
                <w:w w:val="100"/>
                <w:sz w:val="21"/>
              </w:rPr>
              <w:t>0</w:t>
            </w:r>
          </w:p>
        </w:tc>
        <w:tc>
          <w:tcPr>
            <w:tcW w:w="84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3"/>
              <w:jc w:val="right"/>
              <w:rPr>
                <w:rFonts w:ascii="Arial" w:hAnsi="Arial" w:cs="Arial" w:eastAsia="Arial" w:hint="default"/>
                <w:sz w:val="21"/>
                <w:szCs w:val="21"/>
              </w:rPr>
            </w:pPr>
            <w:r>
              <w:rPr>
                <w:rFonts w:ascii="Arial"/>
                <w:w w:val="100"/>
                <w:sz w:val="21"/>
              </w:rPr>
              <w:t>0</w:t>
            </w:r>
          </w:p>
        </w:tc>
        <w:tc>
          <w:tcPr>
            <w:tcW w:w="129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6"/>
              <w:jc w:val="right"/>
              <w:rPr>
                <w:rFonts w:ascii="Arial" w:hAnsi="Arial" w:cs="Arial" w:eastAsia="Arial" w:hint="default"/>
                <w:sz w:val="21"/>
                <w:szCs w:val="21"/>
              </w:rPr>
            </w:pPr>
            <w:r>
              <w:rPr>
                <w:rFonts w:ascii="Arial"/>
                <w:w w:val="100"/>
                <w:sz w:val="21"/>
              </w:rPr>
              <w:t>1</w:t>
            </w:r>
          </w:p>
        </w:tc>
      </w:tr>
      <w:tr>
        <w:trPr>
          <w:trHeight w:val="358" w:hRule="exact"/>
        </w:trPr>
        <w:tc>
          <w:tcPr>
            <w:tcW w:w="97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right="19"/>
              <w:jc w:val="center"/>
              <w:rPr>
                <w:rFonts w:ascii="宋体" w:hAnsi="宋体" w:cs="宋体" w:eastAsia="宋体" w:hint="default"/>
                <w:sz w:val="21"/>
                <w:szCs w:val="21"/>
              </w:rPr>
            </w:pPr>
            <w:r>
              <w:rPr>
                <w:rFonts w:ascii="宋体" w:hAnsi="宋体" w:cs="宋体" w:eastAsia="宋体" w:hint="default"/>
                <w:sz w:val="21"/>
                <w:szCs w:val="21"/>
              </w:rPr>
              <w:t>王永德</w:t>
            </w:r>
            <w:r>
              <w:rPr>
                <w:rFonts w:ascii="宋体" w:hAnsi="宋体" w:cs="宋体" w:eastAsia="宋体" w:hint="default"/>
                <w:sz w:val="21"/>
                <w:szCs w:val="21"/>
              </w:rPr>
              <w:t> </w:t>
            </w:r>
          </w:p>
        </w:tc>
        <w:tc>
          <w:tcPr>
            <w:tcW w:w="84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w w:val="100"/>
                <w:sz w:val="21"/>
              </w:rPr>
              <w:t>8</w:t>
            </w:r>
          </w:p>
        </w:tc>
        <w:tc>
          <w:tcPr>
            <w:tcW w:w="85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w w:val="100"/>
                <w:sz w:val="21"/>
              </w:rPr>
              <w:t>3</w:t>
            </w:r>
          </w:p>
        </w:tc>
        <w:tc>
          <w:tcPr>
            <w:tcW w:w="9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3"/>
              <w:jc w:val="right"/>
              <w:rPr>
                <w:rFonts w:ascii="Arial" w:hAnsi="Arial" w:cs="Arial" w:eastAsia="Arial" w:hint="default"/>
                <w:sz w:val="21"/>
                <w:szCs w:val="21"/>
              </w:rPr>
            </w:pPr>
            <w:r>
              <w:rPr>
                <w:rFonts w:ascii="Arial"/>
                <w:w w:val="100"/>
                <w:sz w:val="21"/>
              </w:rPr>
              <w:t>5</w:t>
            </w:r>
          </w:p>
        </w:tc>
        <w:tc>
          <w:tcPr>
            <w:tcW w:w="90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3"/>
              <w:jc w:val="right"/>
              <w:rPr>
                <w:rFonts w:ascii="Arial" w:hAnsi="Arial" w:cs="Arial" w:eastAsia="Arial" w:hint="default"/>
                <w:sz w:val="21"/>
                <w:szCs w:val="21"/>
              </w:rPr>
            </w:pPr>
            <w:r>
              <w:rPr>
                <w:rFonts w:ascii="Arial"/>
                <w:w w:val="100"/>
                <w:sz w:val="21"/>
              </w:rPr>
              <w:t>0</w:t>
            </w:r>
          </w:p>
        </w:tc>
        <w:tc>
          <w:tcPr>
            <w:tcW w:w="84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3"/>
              <w:jc w:val="right"/>
              <w:rPr>
                <w:rFonts w:ascii="Arial" w:hAnsi="Arial" w:cs="Arial" w:eastAsia="Arial" w:hint="default"/>
                <w:sz w:val="21"/>
                <w:szCs w:val="21"/>
              </w:rPr>
            </w:pPr>
            <w:r>
              <w:rPr>
                <w:rFonts w:ascii="Arial"/>
                <w:w w:val="100"/>
                <w:sz w:val="21"/>
              </w:rPr>
              <w:t>0</w:t>
            </w:r>
          </w:p>
        </w:tc>
        <w:tc>
          <w:tcPr>
            <w:tcW w:w="129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6"/>
              <w:jc w:val="right"/>
              <w:rPr>
                <w:rFonts w:ascii="Arial" w:hAnsi="Arial" w:cs="Arial" w:eastAsia="Arial" w:hint="default"/>
                <w:sz w:val="21"/>
                <w:szCs w:val="21"/>
              </w:rPr>
            </w:pPr>
            <w:r>
              <w:rPr>
                <w:rFonts w:ascii="Arial"/>
                <w:w w:val="100"/>
                <w:sz w:val="21"/>
              </w:rPr>
              <w:t>1</w:t>
            </w:r>
          </w:p>
        </w:tc>
      </w:tr>
      <w:tr>
        <w:trPr>
          <w:trHeight w:val="358" w:hRule="exact"/>
        </w:trPr>
        <w:tc>
          <w:tcPr>
            <w:tcW w:w="97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right="19"/>
              <w:jc w:val="center"/>
              <w:rPr>
                <w:rFonts w:ascii="宋体" w:hAnsi="宋体" w:cs="宋体" w:eastAsia="宋体" w:hint="default"/>
                <w:sz w:val="21"/>
                <w:szCs w:val="21"/>
              </w:rPr>
            </w:pPr>
            <w:r>
              <w:rPr>
                <w:rFonts w:ascii="宋体" w:hAnsi="宋体" w:cs="宋体" w:eastAsia="宋体" w:hint="default"/>
                <w:sz w:val="21"/>
                <w:szCs w:val="21"/>
              </w:rPr>
              <w:t>董惠江</w:t>
            </w:r>
            <w:r>
              <w:rPr>
                <w:rFonts w:ascii="宋体" w:hAnsi="宋体" w:cs="宋体" w:eastAsia="宋体" w:hint="default"/>
                <w:sz w:val="21"/>
                <w:szCs w:val="21"/>
              </w:rPr>
              <w:t> </w:t>
            </w:r>
          </w:p>
        </w:tc>
        <w:tc>
          <w:tcPr>
            <w:tcW w:w="84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w w:val="100"/>
                <w:sz w:val="21"/>
              </w:rPr>
              <w:t>8</w:t>
            </w:r>
          </w:p>
        </w:tc>
        <w:tc>
          <w:tcPr>
            <w:tcW w:w="85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w w:val="100"/>
                <w:sz w:val="21"/>
              </w:rPr>
              <w:t>2</w:t>
            </w:r>
          </w:p>
        </w:tc>
        <w:tc>
          <w:tcPr>
            <w:tcW w:w="9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3"/>
              <w:jc w:val="right"/>
              <w:rPr>
                <w:rFonts w:ascii="Arial" w:hAnsi="Arial" w:cs="Arial" w:eastAsia="Arial" w:hint="default"/>
                <w:sz w:val="21"/>
                <w:szCs w:val="21"/>
              </w:rPr>
            </w:pPr>
            <w:r>
              <w:rPr>
                <w:rFonts w:ascii="Arial"/>
                <w:w w:val="100"/>
                <w:sz w:val="21"/>
              </w:rPr>
              <w:t>5</w:t>
            </w:r>
          </w:p>
        </w:tc>
        <w:tc>
          <w:tcPr>
            <w:tcW w:w="90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3"/>
              <w:jc w:val="right"/>
              <w:rPr>
                <w:rFonts w:ascii="Arial" w:hAnsi="Arial" w:cs="Arial" w:eastAsia="Arial" w:hint="default"/>
                <w:sz w:val="21"/>
                <w:szCs w:val="21"/>
              </w:rPr>
            </w:pPr>
            <w:r>
              <w:rPr>
                <w:rFonts w:ascii="Arial"/>
                <w:w w:val="100"/>
                <w:sz w:val="21"/>
              </w:rPr>
              <w:t>1</w:t>
            </w:r>
          </w:p>
        </w:tc>
        <w:tc>
          <w:tcPr>
            <w:tcW w:w="84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3"/>
              <w:jc w:val="right"/>
              <w:rPr>
                <w:rFonts w:ascii="Arial" w:hAnsi="Arial" w:cs="Arial" w:eastAsia="Arial" w:hint="default"/>
                <w:sz w:val="21"/>
                <w:szCs w:val="21"/>
              </w:rPr>
            </w:pPr>
            <w:r>
              <w:rPr>
                <w:rFonts w:ascii="Arial"/>
                <w:w w:val="100"/>
                <w:sz w:val="21"/>
              </w:rPr>
              <w:t>0</w:t>
            </w:r>
          </w:p>
        </w:tc>
        <w:tc>
          <w:tcPr>
            <w:tcW w:w="129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6"/>
              <w:jc w:val="right"/>
              <w:rPr>
                <w:rFonts w:ascii="Arial" w:hAnsi="Arial" w:cs="Arial" w:eastAsia="Arial" w:hint="default"/>
                <w:sz w:val="21"/>
                <w:szCs w:val="21"/>
              </w:rPr>
            </w:pPr>
            <w:r>
              <w:rPr>
                <w:rFonts w:ascii="Arial"/>
                <w:w w:val="100"/>
                <w:sz w:val="21"/>
              </w:rPr>
              <w:t>0</w:t>
            </w:r>
          </w:p>
        </w:tc>
      </w:tr>
      <w:tr>
        <w:trPr>
          <w:trHeight w:val="362" w:hRule="exact"/>
        </w:trPr>
        <w:tc>
          <w:tcPr>
            <w:tcW w:w="979"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2"/>
              <w:ind w:right="19"/>
              <w:jc w:val="center"/>
              <w:rPr>
                <w:rFonts w:ascii="宋体" w:hAnsi="宋体" w:cs="宋体" w:eastAsia="宋体" w:hint="default"/>
                <w:sz w:val="21"/>
                <w:szCs w:val="21"/>
              </w:rPr>
            </w:pPr>
            <w:r>
              <w:rPr>
                <w:rFonts w:ascii="宋体" w:hAnsi="宋体" w:cs="宋体" w:eastAsia="宋体" w:hint="default"/>
                <w:sz w:val="21"/>
                <w:szCs w:val="21"/>
              </w:rPr>
              <w:t>杨占海</w:t>
            </w:r>
            <w:r>
              <w:rPr>
                <w:rFonts w:ascii="宋体" w:hAnsi="宋体" w:cs="宋体" w:eastAsia="宋体" w:hint="default"/>
                <w:sz w:val="21"/>
                <w:szCs w:val="21"/>
              </w:rPr>
              <w:t> </w:t>
            </w:r>
          </w:p>
        </w:tc>
        <w:tc>
          <w:tcPr>
            <w:tcW w:w="847"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w w:val="100"/>
                <w:sz w:val="21"/>
              </w:rPr>
              <w:t>8</w:t>
            </w:r>
          </w:p>
        </w:tc>
        <w:tc>
          <w:tcPr>
            <w:tcW w:w="852"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w w:val="100"/>
                <w:sz w:val="21"/>
              </w:rPr>
              <w:t>3</w:t>
            </w:r>
          </w:p>
        </w:tc>
        <w:tc>
          <w:tcPr>
            <w:tcW w:w="970"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103"/>
              <w:jc w:val="right"/>
              <w:rPr>
                <w:rFonts w:ascii="Arial" w:hAnsi="Arial" w:cs="Arial" w:eastAsia="Arial" w:hint="default"/>
                <w:sz w:val="21"/>
                <w:szCs w:val="21"/>
              </w:rPr>
            </w:pPr>
            <w:r>
              <w:rPr>
                <w:rFonts w:ascii="Arial"/>
                <w:w w:val="100"/>
                <w:sz w:val="21"/>
              </w:rPr>
              <w:t>5</w:t>
            </w:r>
          </w:p>
        </w:tc>
        <w:tc>
          <w:tcPr>
            <w:tcW w:w="905"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103"/>
              <w:jc w:val="right"/>
              <w:rPr>
                <w:rFonts w:ascii="Arial" w:hAnsi="Arial" w:cs="Arial" w:eastAsia="Arial" w:hint="default"/>
                <w:sz w:val="21"/>
                <w:szCs w:val="21"/>
              </w:rPr>
            </w:pPr>
            <w:r>
              <w:rPr>
                <w:rFonts w:ascii="Arial"/>
                <w:w w:val="100"/>
                <w:sz w:val="21"/>
              </w:rPr>
              <w:t>0</w:t>
            </w:r>
          </w:p>
        </w:tc>
        <w:tc>
          <w:tcPr>
            <w:tcW w:w="845"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103"/>
              <w:jc w:val="right"/>
              <w:rPr>
                <w:rFonts w:ascii="Arial" w:hAnsi="Arial" w:cs="Arial" w:eastAsia="Arial" w:hint="default"/>
                <w:sz w:val="21"/>
                <w:szCs w:val="21"/>
              </w:rPr>
            </w:pPr>
            <w:r>
              <w:rPr>
                <w:rFonts w:ascii="Arial"/>
                <w:w w:val="100"/>
                <w:sz w:val="21"/>
              </w:rPr>
              <w:t>0</w:t>
            </w:r>
          </w:p>
        </w:tc>
        <w:tc>
          <w:tcPr>
            <w:tcW w:w="1292"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8"/>
              <w:ind w:right="106"/>
              <w:jc w:val="right"/>
              <w:rPr>
                <w:rFonts w:ascii="Arial" w:hAnsi="Arial" w:cs="Arial" w:eastAsia="Arial" w:hint="default"/>
                <w:sz w:val="21"/>
                <w:szCs w:val="21"/>
              </w:rPr>
            </w:pPr>
            <w:r>
              <w:rPr>
                <w:rFonts w:ascii="Arial"/>
                <w:w w:val="100"/>
                <w:sz w:val="21"/>
              </w:rPr>
              <w:t>2</w:t>
            </w:r>
          </w:p>
        </w:tc>
      </w:tr>
    </w:tbl>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975;height:2" coordorigin="10,10" coordsize="975,2">
              <v:shape style="position:absolute;left:10;top:10;width:975;height:2" coordorigin="10,10" coordsize="975,0" path="m10,10l984,10e" filled="false" stroked="true" strokeweight=".96002pt" strokecolor="#41b7ee">
                <v:path arrowok="t"/>
              </v:shape>
            </v:group>
            <v:group style="position:absolute;left:984;top:10;width:58;height:2" coordorigin="984,10" coordsize="58,2">
              <v:shape style="position:absolute;left:984;top:10;width:58;height:2" coordorigin="984,10" coordsize="58,0" path="m984,10l1042,10e" filled="false" stroked="true" strokeweight=".96002pt" strokecolor="#41b7ee">
                <v:path arrowok="t"/>
              </v:shape>
            </v:group>
            <v:group style="position:absolute;left:1042;top:10;width:790;height:2" coordorigin="1042,10" coordsize="790,2">
              <v:shape style="position:absolute;left:1042;top:10;width:790;height:2" coordorigin="1042,10" coordsize="790,0" path="m1042,10l1831,10e" filled="false" stroked="true" strokeweight=".96002pt" strokecolor="#41b7ee">
                <v:path arrowok="t"/>
              </v:shape>
            </v:group>
            <v:group style="position:absolute;left:1831;top:10;width:58;height:2" coordorigin="1831,10" coordsize="58,2">
              <v:shape style="position:absolute;left:1831;top:10;width:58;height:2" coordorigin="1831,10" coordsize="58,0" path="m1831,10l1889,10e" filled="false" stroked="true" strokeweight=".96002pt" strokecolor="#41b7ee">
                <v:path arrowok="t"/>
              </v:shape>
            </v:group>
            <v:group style="position:absolute;left:1889;top:10;width:1043;height:2" coordorigin="1889,10" coordsize="1043,2">
              <v:shape style="position:absolute;left:1889;top:10;width:1043;height:2" coordorigin="1889,10" coordsize="1043,0" path="m1889,10l2931,10e" filled="false" stroked="true" strokeweight=".96002pt" strokecolor="#41b7ee">
                <v:path arrowok="t"/>
              </v:shape>
            </v:group>
            <v:group style="position:absolute;left:2931;top:10;width:58;height:2" coordorigin="2931,10" coordsize="58,2">
              <v:shape style="position:absolute;left:2931;top:10;width:58;height:2" coordorigin="2931,10" coordsize="58,0" path="m2931,10l2989,10e" filled="false" stroked="true" strokeweight=".96002pt" strokecolor="#41b7ee">
                <v:path arrowok="t"/>
              </v:shape>
            </v:group>
            <v:group style="position:absolute;left:2989;top:10;width:795;height:2" coordorigin="2989,10" coordsize="795,2">
              <v:shape style="position:absolute;left:2989;top:10;width:795;height:2" coordorigin="2989,10" coordsize="795,0" path="m2989,10l3783,10e" filled="false" stroked="true" strokeweight=".96002pt" strokecolor="#41b7ee">
                <v:path arrowok="t"/>
              </v:shape>
            </v:group>
            <v:group style="position:absolute;left:3783;top:10;width:58;height:2" coordorigin="3783,10" coordsize="58,2">
              <v:shape style="position:absolute;left:3783;top:10;width:58;height:2" coordorigin="3783,10" coordsize="58,0" path="m3783,10l3841,10e" filled="false" stroked="true" strokeweight=".96002pt" strokecolor="#41b7ee">
                <v:path arrowok="t"/>
              </v:shape>
            </v:group>
            <v:group style="position:absolute;left:3841;top:10;width:912;height:2" coordorigin="3841,10" coordsize="912,2">
              <v:shape style="position:absolute;left:3841;top:10;width:912;height:2" coordorigin="3841,10" coordsize="912,0" path="m3841,10l4753,10e" filled="false" stroked="true" strokeweight=".96002pt" strokecolor="#41b7ee">
                <v:path arrowok="t"/>
              </v:shape>
            </v:group>
            <v:group style="position:absolute;left:4753;top:10;width:59;height:2" coordorigin="4753,10" coordsize="59,2">
              <v:shape style="position:absolute;left:4753;top:10;width:59;height:2" coordorigin="4753,10" coordsize="59,0" path="m4753,10l4811,10e" filled="false" stroked="true" strokeweight=".96002pt" strokecolor="#41b7ee">
                <v:path arrowok="t"/>
              </v:shape>
            </v:group>
            <v:group style="position:absolute;left:4811;top:10;width:848;height:2" coordorigin="4811,10" coordsize="848,2">
              <v:shape style="position:absolute;left:4811;top:10;width:848;height:2" coordorigin="4811,10" coordsize="848,0" path="m4811,10l5658,10e" filled="false" stroked="true" strokeweight=".96002pt" strokecolor="#41b7ee">
                <v:path arrowok="t"/>
              </v:shape>
            </v:group>
            <v:group style="position:absolute;left:5658;top:10;width:58;height:2" coordorigin="5658,10" coordsize="58,2">
              <v:shape style="position:absolute;left:5658;top:10;width:58;height:2" coordorigin="5658,10" coordsize="58,0" path="m5658,10l5715,10e" filled="false" stroked="true" strokeweight=".96002pt" strokecolor="#41b7ee">
                <v:path arrowok="t"/>
              </v:shape>
            </v:group>
            <v:group style="position:absolute;left:5715;top:10;width:788;height:2" coordorigin="5715,10" coordsize="788,2">
              <v:shape style="position:absolute;left:5715;top:10;width:788;height:2" coordorigin="5715,10" coordsize="788,0" path="m5715,10l6503,10e" filled="false" stroked="true" strokeweight=".96002pt" strokecolor="#41b7ee">
                <v:path arrowok="t"/>
              </v:shape>
            </v:group>
            <v:group style="position:absolute;left:6503;top:10;width:58;height:2" coordorigin="6503,10" coordsize="58,2">
              <v:shape style="position:absolute;left:6503;top:10;width:58;height:2" coordorigin="6503,10" coordsize="58,0" path="m6503,10l6560,10e" filled="false" stroked="true" strokeweight=".96002pt" strokecolor="#41b7ee">
                <v:path arrowok="t"/>
              </v:shape>
            </v:group>
            <v:group style="position:absolute;left:6560;top:10;width:1235;height:2" coordorigin="6560,10" coordsize="1235,2">
              <v:shape style="position:absolute;left:6560;top:10;width:1235;height:2" coordorigin="6560,10" coordsize="1235,0" path="m6560,10l7794,10e" filled="false" stroked="true" strokeweight=".96002pt" strokecolor="#41b7ee">
                <v:path arrowok="t"/>
              </v:shape>
            </v:group>
            <v:group style="position:absolute;left:7794;top:10;width:58;height:2" coordorigin="7794,10" coordsize="58,2">
              <v:shape style="position:absolute;left:7794;top:10;width:58;height:2" coordorigin="7794,10" coordsize="58,0" path="m7794,10l7852,10e" filled="false" stroked="true" strokeweight=".96002pt" strokecolor="#41b7ee">
                <v:path arrowok="t"/>
              </v:shape>
            </v:group>
            <v:group style="position:absolute;left:7852;top:10;width:1208;height:2" coordorigin="7852,10" coordsize="1208,2">
              <v:shape style="position:absolute;left:7852;top:10;width:1208;height:2" coordorigin="7852,10" coordsize="1208,0" path="m7852,10l9059,10e" filled="false" stroked="true" strokeweight=".96002pt" strokecolor="#41b7ee">
                <v:path arrowok="t"/>
              </v:shape>
            </v:group>
          </v:group>
        </w:pict>
      </w:r>
      <w:r>
        <w:rPr>
          <w:rFonts w:ascii="宋体" w:hAnsi="宋体" w:cs="宋体" w:eastAsia="宋体" w:hint="default"/>
          <w:sz w:val="2"/>
          <w:szCs w:val="2"/>
        </w:rPr>
      </w:r>
    </w:p>
    <w:p>
      <w:pPr>
        <w:pStyle w:val="BodyText"/>
        <w:spacing w:line="259" w:lineRule="exact"/>
        <w:ind w:left="238" w:right="0"/>
        <w:jc w:val="left"/>
        <w:rPr>
          <w:rFonts w:ascii="宋体" w:hAnsi="宋体" w:cs="宋体" w:eastAsia="宋体" w:hint="default"/>
        </w:rPr>
      </w:pPr>
      <w:r>
        <w:rPr/>
        <w:t>连续两次未亲自出席董事会会议的说明</w:t>
      </w:r>
      <w:r>
        <w:rPr>
          <w:rFonts w:ascii="宋体" w:hAnsi="宋体" w:cs="宋体" w:eastAsia="宋体" w:hint="default"/>
        </w:rPr>
        <w:t> </w:t>
      </w:r>
    </w:p>
    <w:p>
      <w:pPr>
        <w:pStyle w:val="BodyText"/>
        <w:spacing w:line="272"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8" w:right="0"/>
        <w:jc w:val="left"/>
        <w:rPr>
          <w:rFonts w:ascii="宋体" w:hAnsi="宋体" w:cs="宋体" w:eastAsia="宋体" w:hint="default"/>
        </w:rPr>
      </w:pPr>
      <w:r>
        <w:rPr>
          <w:rFonts w:ascii="宋体"/>
          <w:w w:val="100"/>
        </w:rPr>
        <w:t> </w:t>
      </w:r>
    </w:p>
    <w:p>
      <w:pPr>
        <w:pStyle w:val="BodyText"/>
        <w:spacing w:line="274" w:lineRule="exact"/>
        <w:ind w:left="2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360" w:bottom="1380" w:left="1560" w:right="1000"/>
        </w:sectPr>
      </w:pPr>
    </w:p>
    <w:p>
      <w:pPr>
        <w:spacing w:line="240" w:lineRule="auto" w:before="1"/>
        <w:rPr>
          <w:rFonts w:ascii="宋体" w:hAnsi="宋体" w:cs="宋体" w:eastAsia="宋体" w:hint="default"/>
          <w:sz w:val="12"/>
          <w:szCs w:val="1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520;height:2" coordorigin="10,10" coordsize="4520,2">
              <v:shape style="position:absolute;left:10;top:10;width:4520;height:2" coordorigin="10,10" coordsize="4520,0" path="m10,10l4529,10e" filled="false" stroked="true" strokeweight=".96001pt" strokecolor="#41b7ee">
                <v:path arrowok="t"/>
              </v:shape>
            </v:group>
            <v:group style="position:absolute;left:4529;top:10;width:58;height:2" coordorigin="4529,10" coordsize="58,2">
              <v:shape style="position:absolute;left:4529;top:10;width:58;height:2" coordorigin="4529,10" coordsize="58,0" path="m4529,10l4587,10e" filled="false" stroked="true" strokeweight=".96001pt" strokecolor="#41b7ee">
                <v:path arrowok="t"/>
              </v:shape>
            </v:group>
            <v:group style="position:absolute;left:4587;top:10;width:4473;height:2" coordorigin="4587,10" coordsize="4473,2">
              <v:shape style="position:absolute;left:4587;top:10;width:4473;height:2" coordorigin="4587,10" coordsize="4473,0" path="m4587,10l9059,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4525"/>
        <w:gridCol w:w="4525"/>
      </w:tblGrid>
      <w:tr>
        <w:trPr>
          <w:trHeight w:val="365" w:hRule="exact"/>
        </w:trPr>
        <w:tc>
          <w:tcPr>
            <w:tcW w:w="4525"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7"/>
              <w:ind w:left="107"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r>
              <w:rPr>
                <w:rFonts w:ascii="宋体" w:hAnsi="宋体" w:cs="宋体" w:eastAsia="宋体" w:hint="default"/>
                <w:sz w:val="21"/>
                <w:szCs w:val="21"/>
              </w:rPr>
              <w:t> </w:t>
            </w:r>
          </w:p>
        </w:tc>
        <w:tc>
          <w:tcPr>
            <w:tcW w:w="4525"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50"/>
              <w:ind w:left="103" w:right="0"/>
              <w:jc w:val="left"/>
              <w:rPr>
                <w:rFonts w:ascii="Arial" w:hAnsi="Arial" w:cs="Arial" w:eastAsia="Arial" w:hint="default"/>
                <w:sz w:val="21"/>
                <w:szCs w:val="21"/>
              </w:rPr>
            </w:pPr>
            <w:r>
              <w:rPr>
                <w:rFonts w:ascii="Arial"/>
                <w:w w:val="100"/>
                <w:sz w:val="21"/>
              </w:rPr>
              <w:t>8</w:t>
            </w:r>
          </w:p>
        </w:tc>
      </w:tr>
      <w:tr>
        <w:trPr>
          <w:trHeight w:val="358" w:hRule="exact"/>
        </w:trPr>
        <w:tc>
          <w:tcPr>
            <w:tcW w:w="452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其中：现场会议次数</w:t>
            </w:r>
            <w:r>
              <w:rPr>
                <w:rFonts w:ascii="宋体" w:hAnsi="宋体" w:cs="宋体" w:eastAsia="宋体" w:hint="default"/>
                <w:sz w:val="21"/>
                <w:szCs w:val="21"/>
              </w:rPr>
              <w:t> </w:t>
            </w:r>
          </w:p>
        </w:tc>
        <w:tc>
          <w:tcPr>
            <w:tcW w:w="452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left="103" w:right="0"/>
              <w:jc w:val="left"/>
              <w:rPr>
                <w:rFonts w:ascii="Arial" w:hAnsi="Arial" w:cs="Arial" w:eastAsia="Arial" w:hint="default"/>
                <w:sz w:val="21"/>
                <w:szCs w:val="21"/>
              </w:rPr>
            </w:pPr>
            <w:r>
              <w:rPr>
                <w:rFonts w:ascii="Arial"/>
                <w:w w:val="100"/>
                <w:sz w:val="21"/>
              </w:rPr>
              <w:t>3</w:t>
            </w:r>
          </w:p>
        </w:tc>
      </w:tr>
      <w:tr>
        <w:trPr>
          <w:trHeight w:val="358" w:hRule="exact"/>
        </w:trPr>
        <w:tc>
          <w:tcPr>
            <w:tcW w:w="452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r>
              <w:rPr>
                <w:rFonts w:ascii="宋体" w:hAnsi="宋体" w:cs="宋体" w:eastAsia="宋体" w:hint="default"/>
                <w:sz w:val="21"/>
                <w:szCs w:val="21"/>
              </w:rPr>
              <w:t> </w:t>
            </w:r>
          </w:p>
        </w:tc>
        <w:tc>
          <w:tcPr>
            <w:tcW w:w="452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left="103" w:right="0"/>
              <w:jc w:val="left"/>
              <w:rPr>
                <w:rFonts w:ascii="Arial" w:hAnsi="Arial" w:cs="Arial" w:eastAsia="Arial" w:hint="default"/>
                <w:sz w:val="21"/>
                <w:szCs w:val="21"/>
              </w:rPr>
            </w:pPr>
            <w:r>
              <w:rPr>
                <w:rFonts w:ascii="Arial"/>
                <w:w w:val="100"/>
                <w:sz w:val="21"/>
              </w:rPr>
              <w:t>5</w:t>
            </w:r>
          </w:p>
        </w:tc>
      </w:tr>
      <w:tr>
        <w:trPr>
          <w:trHeight w:val="362" w:hRule="exact"/>
        </w:trPr>
        <w:tc>
          <w:tcPr>
            <w:tcW w:w="4525"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r>
              <w:rPr>
                <w:rFonts w:ascii="宋体" w:hAnsi="宋体" w:cs="宋体" w:eastAsia="宋体" w:hint="default"/>
                <w:sz w:val="21"/>
                <w:szCs w:val="21"/>
              </w:rPr>
              <w:t> </w:t>
            </w:r>
          </w:p>
        </w:tc>
        <w:tc>
          <w:tcPr>
            <w:tcW w:w="4525"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8"/>
              <w:ind w:left="103" w:right="0"/>
              <w:jc w:val="left"/>
              <w:rPr>
                <w:rFonts w:ascii="Arial" w:hAnsi="Arial" w:cs="Arial" w:eastAsia="Arial" w:hint="default"/>
                <w:sz w:val="21"/>
                <w:szCs w:val="21"/>
              </w:rPr>
            </w:pPr>
            <w:r>
              <w:rPr>
                <w:rFonts w:ascii="Arial"/>
                <w:w w:val="100"/>
                <w:sz w:val="21"/>
              </w:rPr>
              <w:t>0</w:t>
            </w:r>
          </w:p>
        </w:tc>
      </w:tr>
    </w:tbl>
    <w:p>
      <w:pPr>
        <w:spacing w:line="240" w:lineRule="auto" w:before="11"/>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520;height:2" coordorigin="10,10" coordsize="4520,2">
              <v:shape style="position:absolute;left:10;top:10;width:4520;height:2" coordorigin="10,10" coordsize="4520,0" path="m10,10l4529,10e" filled="false" stroked="true" strokeweight=".95999pt" strokecolor="#41b7ee">
                <v:path arrowok="t"/>
              </v:shape>
            </v:group>
            <v:group style="position:absolute;left:4529;top:10;width:58;height:2" coordorigin="4529,10" coordsize="58,2">
              <v:shape style="position:absolute;left:4529;top:10;width:58;height:2" coordorigin="4529,10" coordsize="58,0" path="m4529,10l4587,10e" filled="false" stroked="true" strokeweight=".95999pt" strokecolor="#41b7ee">
                <v:path arrowok="t"/>
              </v:shape>
            </v:group>
            <v:group style="position:absolute;left:4587;top:10;width:4473;height:2" coordorigin="4587,10" coordsize="4473,2">
              <v:shape style="position:absolute;left:4587;top:10;width:4473;height:2" coordorigin="4587,10" coordsize="4473,0" path="m4587,10l9059,10e" filled="false" stroked="true" strokeweight=".95999pt" strokecolor="#41b7ee">
                <v:path arrowok="t"/>
              </v:shape>
            </v:group>
          </v:group>
        </w:pict>
      </w:r>
      <w:r>
        <w:rPr>
          <w:rFonts w:ascii="宋体" w:hAnsi="宋体" w:cs="宋体" w:eastAsia="宋体" w:hint="default"/>
          <w:sz w:val="2"/>
          <w:szCs w:val="2"/>
        </w:rPr>
      </w:r>
    </w:p>
    <w:p>
      <w:pPr>
        <w:pStyle w:val="BodyText"/>
        <w:spacing w:line="240" w:lineRule="exact"/>
        <w:ind w:left="218" w:right="0"/>
        <w:jc w:val="left"/>
        <w:rPr>
          <w:rFonts w:ascii="宋体" w:hAnsi="宋体" w:cs="宋体" w:eastAsia="宋体" w:hint="default"/>
        </w:rPr>
      </w:pPr>
      <w:r>
        <w:rPr>
          <w:rFonts w:ascii="宋体"/>
          <w:w w:val="100"/>
        </w:rPr>
        <w:t> </w:t>
      </w:r>
    </w:p>
    <w:p>
      <w:pPr>
        <w:pStyle w:val="Heading2"/>
        <w:spacing w:line="240" w:lineRule="auto" w:before="58"/>
        <w:ind w:right="241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29"/>
        <w:ind w:left="218" w:right="241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right="241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spacing w:line="240" w:lineRule="auto" w:before="29"/>
        <w:ind w:left="218" w:right="241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72" w:lineRule="exact" w:before="86"/>
        <w:ind w:left="642" w:right="0" w:hanging="425"/>
        <w:jc w:val="left"/>
        <w:rPr>
          <w:b w:val="0"/>
          <w:bCs w:val="0"/>
        </w:rPr>
      </w:pPr>
      <w:r>
        <w:rPr/>
        <w:t>四、</w:t>
      </w:r>
      <w:r>
        <w:rPr>
          <w:spacing w:val="-96"/>
        </w:rPr>
        <w:t> </w:t>
      </w:r>
      <w:r>
        <w:rPr>
          <w:rFonts w:ascii="宋体" w:hAnsi="宋体" w:cs="宋体" w:eastAsia="宋体" w:hint="default"/>
          <w:spacing w:val="-96"/>
        </w:rPr>
      </w:r>
      <w:r>
        <w:rPr/>
        <w:t>董事会下设专门委员会在报告期内履行职责时所提出的重要意见和建议，存在异议事项的，</w:t>
      </w:r>
      <w:r>
        <w:rPr>
          <w:spacing w:val="-42"/>
        </w:rPr>
        <w:t> </w:t>
      </w:r>
      <w:r>
        <w:rPr>
          <w:spacing w:val="-42"/>
        </w:rPr>
      </w:r>
      <w:r>
        <w:rPr/>
        <w:t>应当披露具体情况</w:t>
      </w:r>
      <w:r>
        <w:rPr>
          <w:b w:val="0"/>
          <w:bCs w:val="0"/>
        </w:rPr>
      </w:r>
    </w:p>
    <w:p>
      <w:pPr>
        <w:pStyle w:val="BodyText"/>
        <w:spacing w:line="240" w:lineRule="auto" w:before="34"/>
        <w:ind w:left="218" w:right="241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auto" w:before="42"/>
        <w:ind w:left="218" w:right="228" w:firstLine="419"/>
        <w:jc w:val="both"/>
        <w:rPr>
          <w:rFonts w:ascii="宋体" w:hAnsi="宋体" w:cs="宋体" w:eastAsia="宋体" w:hint="default"/>
        </w:rPr>
      </w:pPr>
      <w:r>
        <w:rPr/>
        <w:t>公司董事会下设的薪酬与考核委员会，由</w:t>
      </w:r>
      <w:r>
        <w:rPr>
          <w:spacing w:val="-55"/>
        </w:rPr>
        <w:t> </w:t>
      </w:r>
      <w:r>
        <w:rPr>
          <w:rFonts w:ascii="Arial" w:hAnsi="Arial" w:cs="Arial" w:eastAsia="Arial" w:hint="default"/>
        </w:rPr>
        <w:t>3</w:t>
      </w:r>
      <w:r>
        <w:rPr>
          <w:rFonts w:ascii="Arial" w:hAnsi="Arial" w:cs="Arial" w:eastAsia="Arial" w:hint="default"/>
          <w:spacing w:val="-10"/>
        </w:rPr>
        <w:t> </w:t>
      </w:r>
      <w:r>
        <w:rPr/>
        <w:t>名董事组成，独立董事占多数，委员会主任由独</w:t>
      </w:r>
      <w:r>
        <w:rPr>
          <w:w w:val="100"/>
        </w:rPr>
        <w:t> </w:t>
      </w:r>
      <w:r>
        <w:rPr>
          <w:spacing w:val="-4"/>
        </w:rPr>
        <w:t>立董事担任。报告期内，公司董事会薪酬与考核委员会审查了《</w:t>
      </w:r>
      <w:r>
        <w:rPr>
          <w:rFonts w:ascii="Arial" w:hAnsi="Arial" w:cs="Arial" w:eastAsia="Arial" w:hint="default"/>
          <w:spacing w:val="-4"/>
        </w:rPr>
        <w:t>2018 </w:t>
      </w:r>
      <w:r>
        <w:rPr>
          <w:spacing w:val="-4"/>
        </w:rPr>
        <w:t>年年度报告》中披露的关于</w:t>
      </w:r>
      <w:r>
        <w:rPr>
          <w:spacing w:val="-82"/>
        </w:rPr>
        <w:t> </w:t>
      </w:r>
      <w:r>
        <w:rPr>
          <w:spacing w:val="-82"/>
        </w:rPr>
      </w:r>
      <w:r>
        <w:rPr>
          <w:spacing w:val="-2"/>
        </w:rPr>
        <w:t>公司董事、监事和高级管理人员薪酬制度执行情况，确认报告中所披露的薪酬情况与实际发放情</w:t>
      </w:r>
      <w:r>
        <w:rPr>
          <w:spacing w:val="-25"/>
        </w:rPr>
        <w:t> </w:t>
      </w:r>
      <w:r>
        <w:rPr>
          <w:spacing w:val="-25"/>
        </w:rPr>
      </w:r>
      <w:r>
        <w:rPr>
          <w:spacing w:val="-2"/>
        </w:rPr>
        <w:t>况相符。公司董事会薪酬与考核委员会审议了《黑龙江北大荒农业股份有限公司负责人经营业绩</w:t>
      </w:r>
      <w:r>
        <w:rPr>
          <w:spacing w:val="-25"/>
        </w:rPr>
        <w:t> </w:t>
      </w:r>
      <w:r>
        <w:rPr>
          <w:spacing w:val="-25"/>
        </w:rPr>
      </w:r>
      <w:r>
        <w:rPr/>
        <w:t>考核与薪酬管理办法》。</w:t>
      </w:r>
      <w:r>
        <w:rPr>
          <w:rFonts w:ascii="宋体" w:hAnsi="宋体" w:cs="宋体" w:eastAsia="宋体" w:hint="default"/>
        </w:rPr>
        <w:t> </w:t>
      </w:r>
    </w:p>
    <w:p>
      <w:pPr>
        <w:pStyle w:val="Heading2"/>
        <w:spacing w:line="240" w:lineRule="auto" w:before="34"/>
        <w:ind w:right="2410"/>
        <w:jc w:val="left"/>
        <w:rPr>
          <w:b w:val="0"/>
          <w:bCs w:val="0"/>
        </w:rPr>
      </w:pPr>
      <w:r>
        <w:rPr>
          <w:spacing w:val="-1"/>
        </w:rPr>
        <w:t>五、</w:t>
      </w:r>
      <w:r>
        <w:rPr>
          <w:spacing w:val="-90"/>
        </w:rPr>
        <w:t> </w:t>
      </w:r>
      <w:r>
        <w:rPr>
          <w:rFonts w:ascii="宋体" w:hAnsi="宋体" w:cs="宋体" w:eastAsia="宋体" w:hint="default"/>
          <w:spacing w:val="-90"/>
        </w:rPr>
      </w:r>
      <w:r>
        <w:rPr>
          <w:spacing w:val="-1"/>
        </w:rPr>
        <w:t>监事会发现公司存在风险的说明</w:t>
      </w:r>
      <w:r>
        <w:rPr>
          <w:b w:val="0"/>
          <w:bCs w:val="0"/>
          <w:spacing w:val="-1"/>
        </w:rPr>
      </w:r>
    </w:p>
    <w:p>
      <w:pPr>
        <w:pStyle w:val="BodyText"/>
        <w:spacing w:line="240" w:lineRule="auto" w:before="56"/>
        <w:ind w:left="218" w:right="241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72" w:lineRule="exact" w:before="86"/>
        <w:ind w:left="642" w:right="0" w:hanging="425"/>
        <w:jc w:val="left"/>
        <w:rPr>
          <w:b w:val="0"/>
          <w:bCs w:val="0"/>
        </w:rPr>
      </w:pPr>
      <w:r>
        <w:rPr>
          <w:spacing w:val="-1"/>
        </w:rPr>
        <w:t>六、</w:t>
      </w:r>
      <w:r>
        <w:rPr>
          <w:spacing w:val="-99"/>
        </w:rPr>
        <w:t> </w:t>
      </w:r>
      <w:r>
        <w:rPr>
          <w:rFonts w:ascii="宋体" w:hAnsi="宋体" w:cs="宋体" w:eastAsia="宋体" w:hint="default"/>
          <w:spacing w:val="-99"/>
        </w:rPr>
      </w:r>
      <w:r>
        <w:rPr>
          <w:spacing w:val="-2"/>
        </w:rPr>
        <w:t>公司就其与控股股东在业务、人员、资产、机构、财务等方面存在的不能保证独立性、不能</w:t>
      </w:r>
      <w:r>
        <w:rPr>
          <w:spacing w:val="-58"/>
        </w:rPr>
        <w:t> </w:t>
      </w:r>
      <w:r>
        <w:rPr>
          <w:spacing w:val="-58"/>
        </w:rPr>
      </w:r>
      <w:r>
        <w:rPr/>
        <w:t>保持自主经营能力的情况说明</w:t>
      </w:r>
      <w:r>
        <w:rPr>
          <w:b w:val="0"/>
          <w:bCs w:val="0"/>
        </w:rPr>
      </w:r>
    </w:p>
    <w:p>
      <w:pPr>
        <w:pStyle w:val="BodyText"/>
        <w:spacing w:line="272" w:lineRule="exact" w:before="61"/>
        <w:ind w:left="218" w:right="241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存在同业竞争的，公司相应的解决措施、工作进度及后续工作计划</w:t>
      </w:r>
      <w:r>
        <w:rPr>
          <w:rFonts w:ascii="宋体" w:hAnsi="宋体" w:cs="宋体" w:eastAsia="宋体" w:hint="default"/>
        </w:rPr>
        <w:t> </w:t>
      </w:r>
    </w:p>
    <w:p>
      <w:pPr>
        <w:pStyle w:val="BodyText"/>
        <w:spacing w:line="249" w:lineRule="exact"/>
        <w:ind w:left="218" w:right="241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right="0"/>
        <w:jc w:val="left"/>
        <w:rPr>
          <w:b w:val="0"/>
          <w:bCs w:val="0"/>
        </w:rPr>
      </w:pPr>
      <w:r>
        <w:rPr>
          <w:spacing w:val="-1"/>
        </w:rPr>
        <w:t>七、</w:t>
      </w:r>
      <w:r>
        <w:rPr>
          <w:spacing w:val="-72"/>
        </w:rPr>
        <w:t> </w:t>
      </w:r>
      <w:r>
        <w:rPr>
          <w:rFonts w:ascii="宋体" w:hAnsi="宋体" w:cs="宋体" w:eastAsia="宋体" w:hint="default"/>
          <w:spacing w:val="-72"/>
        </w:rPr>
      </w:r>
      <w:r>
        <w:rPr>
          <w:spacing w:val="-1"/>
        </w:rPr>
        <w:t>报告期内对高级管理人员的考评机制，以及激励机制的建立、实施情况</w:t>
      </w:r>
      <w:r>
        <w:rPr>
          <w:b w:val="0"/>
          <w:bCs w:val="0"/>
          <w:spacing w:val="-1"/>
        </w:rPr>
      </w:r>
    </w:p>
    <w:p>
      <w:pPr>
        <w:pStyle w:val="BodyText"/>
        <w:spacing w:line="276" w:lineRule="auto" w:before="58"/>
        <w:ind w:left="6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公司已经建立高级管理人员的考评机制。报告期内，公司董事会薪酬与考核委员会审查了</w:t>
      </w:r>
    </w:p>
    <w:p>
      <w:pPr>
        <w:pStyle w:val="BodyText"/>
        <w:spacing w:line="278" w:lineRule="auto" w:before="13"/>
        <w:ind w:left="218" w:right="0"/>
        <w:jc w:val="left"/>
        <w:rPr>
          <w:rFonts w:ascii="宋体" w:hAnsi="宋体" w:cs="宋体" w:eastAsia="宋体" w:hint="default"/>
        </w:rPr>
      </w:pPr>
      <w:r>
        <w:rPr>
          <w:rFonts w:ascii="Arial" w:hAnsi="Arial" w:cs="Arial" w:eastAsia="Arial" w:hint="default"/>
        </w:rPr>
        <w:t>2019 </w:t>
      </w:r>
      <w:r>
        <w:rPr>
          <w:spacing w:val="-4"/>
        </w:rPr>
        <w:t>年年度报告中披露的关于公司董事、监事和高级管理人员薪酬制度执行情况，并认为：公司</w:t>
      </w:r>
      <w:r>
        <w:rPr>
          <w:spacing w:val="-47"/>
        </w:rPr>
        <w:t> </w:t>
      </w:r>
      <w:r>
        <w:rPr>
          <w:spacing w:val="-47"/>
        </w:rPr>
      </w:r>
      <w:r>
        <w:rPr/>
        <w:t>董事、监事和高级管理人员在公司领取的薪酬，是严格按照《黑龙江北大荒农业股份有限公司负</w:t>
      </w:r>
      <w:r>
        <w:rPr>
          <w:w w:val="100"/>
        </w:rPr>
        <w:t> </w:t>
      </w:r>
      <w:r>
        <w:rPr/>
        <w:t>责人经营业绩考核与薪酬管理办法》规定予以兑现，所披露的薪酬情况与实际发放情况相一致。</w:t>
      </w:r>
      <w:r>
        <w:rPr>
          <w:rFonts w:ascii="宋体" w:hAnsi="宋体" w:cs="宋体" w:eastAsia="宋体" w:hint="default"/>
          <w:w w:val="100"/>
        </w:rPr>
        <w:t> </w:t>
      </w:r>
      <w:r>
        <w:rPr>
          <w:rFonts w:ascii="宋体" w:hAnsi="宋体" w:cs="宋体" w:eastAsia="宋体" w:hint="default"/>
          <w:b/>
          <w:bCs/>
          <w:spacing w:val="-1"/>
        </w:rPr>
        <w:t>八、</w:t>
      </w:r>
      <w:r>
        <w:rPr>
          <w:rFonts w:ascii="宋体" w:hAnsi="宋体" w:cs="宋体" w:eastAsia="宋体" w:hint="default"/>
          <w:b/>
          <w:bCs/>
          <w:spacing w:val="-90"/>
        </w:rPr>
        <w:t> </w:t>
      </w:r>
      <w:r>
        <w:rPr>
          <w:rFonts w:ascii="宋体" w:hAnsi="宋体" w:cs="宋体" w:eastAsia="宋体" w:hint="default"/>
          <w:b/>
          <w:bCs/>
          <w:spacing w:val="-90"/>
        </w:rPr>
      </w:r>
      <w:r>
        <w:rPr>
          <w:rFonts w:ascii="宋体" w:hAnsi="宋体" w:cs="宋体" w:eastAsia="宋体" w:hint="default"/>
          <w:b/>
          <w:bCs/>
          <w:spacing w:val="-1"/>
        </w:rPr>
        <w:t>是否披露内部控制自我评价报告</w:t>
      </w:r>
      <w:r>
        <w:rPr>
          <w:rFonts w:ascii="宋体" w:hAnsi="宋体" w:cs="宋体" w:eastAsia="宋体" w:hint="default"/>
          <w:spacing w:val="-1"/>
        </w:rPr>
      </w:r>
    </w:p>
    <w:p>
      <w:pPr>
        <w:pStyle w:val="BodyText"/>
        <w:spacing w:line="240" w:lineRule="auto" w:before="25"/>
        <w:ind w:left="218" w:right="241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6" w:lineRule="exact" w:before="66"/>
        <w:ind w:left="218" w:right="0" w:firstLine="419"/>
        <w:jc w:val="left"/>
        <w:rPr>
          <w:rFonts w:ascii="宋体" w:hAnsi="宋体" w:cs="宋体" w:eastAsia="宋体" w:hint="default"/>
        </w:rPr>
      </w:pPr>
      <w:r>
        <w:rPr/>
        <w:t>公司</w:t>
      </w:r>
      <w:r>
        <w:rPr>
          <w:spacing w:val="-56"/>
        </w:rPr>
        <w:t> </w:t>
      </w:r>
      <w:r>
        <w:rPr>
          <w:rFonts w:ascii="Arial" w:hAnsi="Arial" w:cs="Arial" w:eastAsia="Arial" w:hint="default"/>
        </w:rPr>
        <w:t>2019</w:t>
      </w:r>
      <w:r>
        <w:rPr>
          <w:rFonts w:ascii="Arial" w:hAnsi="Arial" w:cs="Arial" w:eastAsia="Arial" w:hint="default"/>
          <w:spacing w:val="-9"/>
        </w:rPr>
        <w:t> </w:t>
      </w:r>
      <w:r>
        <w:rPr/>
        <w:t>年内部控制自我评价报告见上海证券交易所网站（</w:t>
      </w:r>
      <w:hyperlink r:id="rId9">
        <w:r>
          <w:rPr>
            <w:rFonts w:ascii="Arial" w:hAnsi="Arial" w:cs="Arial" w:eastAsia="Arial" w:hint="default"/>
          </w:rPr>
          <w:t>www.sse.com.cn</w:t>
        </w:r>
      </w:hyperlink>
      <w:r>
        <w:rPr/>
        <w:t>）</w:t>
      </w:r>
      <w:r>
        <w:rPr>
          <w:rFonts w:ascii="宋体" w:hAnsi="宋体" w:cs="宋体" w:eastAsia="宋体" w:hint="default"/>
          <w:w w:val="100"/>
        </w:rPr>
        <w:t> </w:t>
      </w:r>
      <w:r>
        <w:rPr/>
        <w:t>报告期内部控制存在重大缺陷情况的说明</w:t>
      </w:r>
      <w:r>
        <w:rPr>
          <w:rFonts w:ascii="宋体" w:hAnsi="宋体" w:cs="宋体" w:eastAsia="宋体" w:hint="default"/>
        </w:rPr>
        <w:t> </w:t>
      </w:r>
    </w:p>
    <w:p>
      <w:pPr>
        <w:pStyle w:val="BodyText"/>
        <w:spacing w:line="246" w:lineRule="exact"/>
        <w:ind w:left="218" w:right="241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right="2410"/>
        <w:jc w:val="left"/>
        <w:rPr>
          <w:b w:val="0"/>
          <w:bCs w:val="0"/>
        </w:rPr>
      </w:pPr>
      <w:r>
        <w:rPr>
          <w:spacing w:val="-1"/>
        </w:rPr>
        <w:t>九、</w:t>
      </w:r>
      <w:r>
        <w:rPr>
          <w:spacing w:val="-88"/>
        </w:rPr>
        <w:t> </w:t>
      </w:r>
      <w:r>
        <w:rPr>
          <w:rFonts w:ascii="宋体" w:hAnsi="宋体" w:cs="宋体" w:eastAsia="宋体" w:hint="default"/>
          <w:spacing w:val="-88"/>
        </w:rPr>
      </w:r>
      <w:r>
        <w:rPr>
          <w:spacing w:val="-1"/>
        </w:rPr>
        <w:t>内部控制审计报告的相关情况说明</w:t>
      </w:r>
      <w:r>
        <w:rPr>
          <w:b w:val="0"/>
          <w:bCs w:val="0"/>
          <w:spacing w:val="-1"/>
        </w:rPr>
      </w:r>
    </w:p>
    <w:p>
      <w:pPr>
        <w:pStyle w:val="BodyText"/>
        <w:spacing w:line="240" w:lineRule="auto" w:before="56"/>
        <w:ind w:left="218" w:right="241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auto" w:before="44"/>
        <w:ind w:left="218" w:right="0" w:firstLine="419"/>
        <w:jc w:val="left"/>
        <w:rPr>
          <w:rFonts w:ascii="宋体" w:hAnsi="宋体" w:cs="宋体" w:eastAsia="宋体" w:hint="default"/>
        </w:rPr>
      </w:pPr>
      <w:r>
        <w:rPr/>
        <w:t>公司聘请瑞华会计师事务所对基准日</w:t>
      </w:r>
      <w:r>
        <w:rPr>
          <w:spacing w:val="-54"/>
        </w:rPr>
        <w:t> </w:t>
      </w:r>
      <w:r>
        <w:rPr>
          <w:rFonts w:ascii="Arial" w:hAnsi="Arial" w:cs="Arial" w:eastAsia="Arial" w:hint="default"/>
        </w:rPr>
        <w:t>2019</w:t>
      </w:r>
      <w:r>
        <w:rPr>
          <w:rFonts w:ascii="Arial" w:hAnsi="Arial" w:cs="Arial" w:eastAsia="Arial" w:hint="default"/>
          <w:spacing w:val="-9"/>
        </w:rPr>
        <w:t> </w:t>
      </w:r>
      <w:r>
        <w:rPr/>
        <w:t>年</w:t>
      </w:r>
      <w:r>
        <w:rPr>
          <w:spacing w:val="-54"/>
        </w:rPr>
        <w:t> </w:t>
      </w:r>
      <w:r>
        <w:rPr>
          <w:rFonts w:ascii="Arial" w:hAnsi="Arial" w:cs="Arial" w:eastAsia="Arial" w:hint="default"/>
        </w:rPr>
        <w:t>12</w:t>
      </w:r>
      <w:r>
        <w:rPr>
          <w:rFonts w:ascii="Arial" w:hAnsi="Arial" w:cs="Arial" w:eastAsia="Arial" w:hint="default"/>
          <w:spacing w:val="-9"/>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日内部控制的有效性进行了审计，瑞</w:t>
      </w:r>
      <w:r>
        <w:rPr>
          <w:w w:val="100"/>
        </w:rPr>
        <w:t> </w:t>
      </w:r>
      <w:r>
        <w:rPr/>
        <w:t>华会计师事务所根据审计结果出具标准无保留意见内部控制审计报告。</w:t>
      </w:r>
      <w:r>
        <w:rPr>
          <w:rFonts w:ascii="宋体" w:hAnsi="宋体" w:cs="宋体" w:eastAsia="宋体" w:hint="default"/>
          <w:w w:val="100"/>
        </w:rPr>
        <w:t> </w:t>
      </w:r>
      <w:r>
        <w:rPr/>
        <w:t>是否披露内部控制审计报告：是</w:t>
      </w:r>
      <w:r>
        <w:rPr>
          <w:rFonts w:ascii="宋体" w:hAnsi="宋体" w:cs="宋体" w:eastAsia="宋体" w:hint="default"/>
        </w:rPr>
        <w:t> </w:t>
      </w:r>
    </w:p>
    <w:p>
      <w:pPr>
        <w:pStyle w:val="BodyText"/>
        <w:spacing w:line="247" w:lineRule="exact"/>
        <w:ind w:left="218" w:right="0"/>
        <w:jc w:val="left"/>
        <w:rPr>
          <w:rFonts w:ascii="宋体" w:hAnsi="宋体" w:cs="宋体" w:eastAsia="宋体" w:hint="default"/>
        </w:rPr>
      </w:pPr>
      <w:r>
        <w:rPr>
          <w:rFonts w:ascii="宋体"/>
          <w:w w:val="100"/>
        </w:rPr>
        <w:t> </w:t>
      </w:r>
    </w:p>
    <w:p>
      <w:pPr>
        <w:pStyle w:val="BodyText"/>
        <w:spacing w:line="273" w:lineRule="exact"/>
        <w:ind w:left="21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footerReference w:type="default" r:id="rId41"/>
          <w:pgSz w:w="11910" w:h="16840"/>
          <w:pgMar w:footer="1195" w:header="821" w:top="1360" w:bottom="1380" w:left="1580" w:right="1040"/>
          <w:pgNumType w:start="61"/>
        </w:sectPr>
      </w:pPr>
    </w:p>
    <w:p>
      <w:pPr>
        <w:pStyle w:val="Heading2"/>
        <w:spacing w:line="240" w:lineRule="auto" w:before="124"/>
        <w:ind w:left="138" w:right="0"/>
        <w:jc w:val="left"/>
        <w:rPr>
          <w:b w:val="0"/>
          <w:bCs w:val="0"/>
        </w:rPr>
      </w:pPr>
      <w:r>
        <w:rPr/>
        <w:t>十、</w:t>
      </w:r>
      <w:r>
        <w:rPr>
          <w:spacing w:val="-104"/>
        </w:rPr>
        <w:t> </w:t>
      </w:r>
      <w:r>
        <w:rPr>
          <w:rFonts w:ascii="宋体" w:hAnsi="宋体" w:cs="宋体" w:eastAsia="宋体" w:hint="default"/>
          <w:spacing w:val="-104"/>
        </w:rPr>
      </w:r>
      <w:r>
        <w:rPr/>
        <w:t>其他</w:t>
      </w:r>
      <w:r>
        <w:rPr>
          <w:b w:val="0"/>
          <w:bCs w:val="0"/>
        </w:rPr>
      </w:r>
    </w:p>
    <w:p>
      <w:pPr>
        <w:pStyle w:val="BodyText"/>
        <w:spacing w:line="273" w:lineRule="exact" w:before="59"/>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4" w:lineRule="exact"/>
        <w:ind w:left="138"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pStyle w:val="Heading1"/>
        <w:tabs>
          <w:tab w:pos="1398" w:val="left" w:leader="none"/>
        </w:tabs>
        <w:spacing w:line="240" w:lineRule="auto" w:before="220"/>
        <w:ind w:left="138" w:right="0"/>
        <w:jc w:val="left"/>
        <w:rPr>
          <w:b w:val="0"/>
          <w:bCs w:val="0"/>
        </w:rPr>
      </w:pPr>
      <w:bookmarkStart w:name="_bookmark9" w:id="12"/>
      <w:bookmarkEnd w:id="12"/>
      <w:r>
        <w:rPr>
          <w:b w:val="0"/>
          <w:bCs w:val="0"/>
        </w:rPr>
      </w:r>
      <w:r>
        <w:rPr>
          <w:w w:val="95"/>
        </w:rPr>
        <w:t>第十节</w:t>
      </w:r>
      <w:r>
        <w:rPr>
          <w:rFonts w:ascii="宋体" w:hAnsi="宋体" w:cs="宋体" w:eastAsia="宋体" w:hint="default"/>
          <w:w w:val="95"/>
        </w:rPr>
        <w:tab/>
      </w:r>
      <w:r>
        <w:rPr/>
        <w:t>公司债券相关情况</w:t>
      </w:r>
      <w:r>
        <w:rPr>
          <w:b w:val="0"/>
          <w:bCs w:val="0"/>
        </w:rPr>
      </w:r>
    </w:p>
    <w:p>
      <w:pPr>
        <w:spacing w:after="0" w:line="240" w:lineRule="auto"/>
        <w:jc w:val="left"/>
        <w:sectPr>
          <w:pgSz w:w="11910" w:h="16840"/>
          <w:pgMar w:header="821" w:footer="1195" w:top="1360" w:bottom="1380" w:left="1660" w:right="1140"/>
          <w:cols w:num="2" w:equalWidth="0">
            <w:col w:w="1924" w:space="738"/>
            <w:col w:w="6448"/>
          </w:cols>
        </w:sectPr>
      </w:pPr>
    </w:p>
    <w:p>
      <w:pPr>
        <w:spacing w:line="240" w:lineRule="auto" w:before="7"/>
        <w:rPr>
          <w:rFonts w:ascii="黑体" w:hAnsi="黑体" w:cs="黑体" w:eastAsia="黑体" w:hint="default"/>
          <w:b/>
          <w:bCs/>
          <w:sz w:val="16"/>
          <w:szCs w:val="16"/>
        </w:rPr>
      </w:pPr>
    </w:p>
    <w:p>
      <w:pPr>
        <w:pStyle w:val="BodyText"/>
        <w:spacing w:line="274" w:lineRule="exact" w:before="3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360" w:bottom="1380" w:left="1660" w:right="1140"/>
        </w:sectPr>
      </w:pPr>
    </w:p>
    <w:p>
      <w:pPr>
        <w:spacing w:line="240" w:lineRule="auto" w:before="12"/>
        <w:rPr>
          <w:rFonts w:ascii="宋体" w:hAnsi="宋体" w:cs="宋体" w:eastAsia="宋体" w:hint="default"/>
          <w:sz w:val="11"/>
          <w:szCs w:val="11"/>
        </w:rPr>
      </w:pPr>
    </w:p>
    <w:p>
      <w:pPr>
        <w:pStyle w:val="Heading1"/>
        <w:spacing w:line="240" w:lineRule="auto" w:before="14"/>
        <w:ind w:left="143" w:right="0"/>
        <w:jc w:val="center"/>
        <w:rPr>
          <w:rFonts w:ascii="宋体" w:hAnsi="宋体" w:cs="宋体" w:eastAsia="宋体" w:hint="default"/>
          <w:b w:val="0"/>
          <w:bCs w:val="0"/>
        </w:rPr>
      </w:pPr>
      <w:bookmarkStart w:name="_bookmark10" w:id="13"/>
      <w:bookmarkEnd w:id="13"/>
      <w:r>
        <w:rPr>
          <w:b w:val="0"/>
          <w:bCs w:val="0"/>
        </w:rPr>
      </w:r>
      <w:r>
        <w:rPr>
          <w:rFonts w:ascii="宋体" w:hAnsi="宋体" w:cs="宋体" w:eastAsia="宋体" w:hint="default"/>
        </w:rPr>
        <w:t>第十一节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财务报告</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21" w:footer="1195" w:top="1360" w:bottom="1380" w:left="1660" w:right="1140"/>
        </w:sectPr>
      </w:pPr>
    </w:p>
    <w:p>
      <w:pPr>
        <w:pStyle w:val="Heading2"/>
        <w:spacing w:line="240" w:lineRule="auto" w:before="36"/>
        <w:ind w:left="138" w:right="0"/>
        <w:jc w:val="left"/>
        <w:rPr>
          <w:rFonts w:ascii="宋体" w:hAnsi="宋体" w:cs="宋体" w:eastAsia="宋体" w:hint="default"/>
          <w:b w:val="0"/>
          <w:bCs w:val="0"/>
        </w:rPr>
      </w:pPr>
      <w:r>
        <w:rPr>
          <w:spacing w:val="-1"/>
        </w:rPr>
        <w:t>一、</w:t>
      </w:r>
      <w:r>
        <w:rPr>
          <w:spacing w:val="-100"/>
        </w:rPr>
        <w:t> </w:t>
      </w:r>
      <w:r>
        <w:rPr>
          <w:rFonts w:ascii="宋体" w:hAnsi="宋体" w:cs="宋体" w:eastAsia="宋体" w:hint="default"/>
          <w:spacing w:val="-100"/>
        </w:rPr>
      </w:r>
      <w:r>
        <w:rPr>
          <w:spacing w:val="-1"/>
        </w:rPr>
        <w:t>审计报告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before="136"/>
        <w:ind w:left="138" w:right="0" w:firstLine="0"/>
        <w:jc w:val="left"/>
        <w:rPr>
          <w:rFonts w:ascii="宋体" w:hAnsi="宋体" w:cs="宋体" w:eastAsia="宋体" w:hint="default"/>
          <w:sz w:val="24"/>
          <w:szCs w:val="24"/>
        </w:rPr>
      </w:pPr>
      <w:r>
        <w:rPr>
          <w:rFonts w:ascii="宋体"/>
          <w:sz w:val="24"/>
        </w:rPr>
        <w:t> </w:t>
      </w:r>
    </w:p>
    <w:p>
      <w:pPr>
        <w:spacing w:line="240" w:lineRule="auto" w:before="6"/>
        <w:rPr>
          <w:rFonts w:ascii="宋体" w:hAnsi="宋体" w:cs="宋体" w:eastAsia="宋体" w:hint="default"/>
          <w:sz w:val="41"/>
          <w:szCs w:val="41"/>
        </w:rPr>
      </w:pPr>
      <w:r>
        <w:rPr/>
        <w:br w:type="column"/>
      </w:r>
      <w:r>
        <w:rPr>
          <w:rFonts w:ascii="宋体"/>
          <w:sz w:val="41"/>
        </w:rPr>
      </w:r>
    </w:p>
    <w:p>
      <w:pPr>
        <w:spacing w:before="0"/>
        <w:ind w:left="138" w:right="0" w:firstLine="0"/>
        <w:jc w:val="left"/>
        <w:rPr>
          <w:rFonts w:ascii="宋体" w:hAnsi="宋体" w:cs="宋体" w:eastAsia="宋体" w:hint="default"/>
          <w:sz w:val="36"/>
          <w:szCs w:val="36"/>
        </w:rPr>
      </w:pPr>
      <w:r>
        <w:rPr>
          <w:rFonts w:ascii="宋体" w:hAnsi="宋体" w:cs="宋体" w:eastAsia="宋体" w:hint="default"/>
          <w:b/>
          <w:bCs/>
          <w:sz w:val="36"/>
          <w:szCs w:val="36"/>
        </w:rPr>
        <w:t>审 </w:t>
      </w:r>
      <w:r>
        <w:rPr>
          <w:rFonts w:ascii="宋体" w:hAnsi="宋体" w:cs="宋体" w:eastAsia="宋体" w:hint="default"/>
          <w:b/>
          <w:bCs/>
          <w:sz w:val="36"/>
          <w:szCs w:val="36"/>
        </w:rPr>
      </w:r>
      <w:r>
        <w:rPr>
          <w:rFonts w:ascii="宋体" w:hAnsi="宋体" w:cs="宋体" w:eastAsia="宋体" w:hint="default"/>
          <w:b/>
          <w:bCs/>
          <w:sz w:val="36"/>
          <w:szCs w:val="36"/>
        </w:rPr>
        <w:t>计 </w:t>
      </w:r>
      <w:r>
        <w:rPr>
          <w:rFonts w:ascii="宋体" w:hAnsi="宋体" w:cs="宋体" w:eastAsia="宋体" w:hint="default"/>
          <w:b/>
          <w:bCs/>
          <w:sz w:val="36"/>
          <w:szCs w:val="36"/>
        </w:rPr>
      </w:r>
      <w:r>
        <w:rPr>
          <w:rFonts w:ascii="宋体" w:hAnsi="宋体" w:cs="宋体" w:eastAsia="宋体" w:hint="default"/>
          <w:b/>
          <w:bCs/>
          <w:sz w:val="36"/>
          <w:szCs w:val="36"/>
        </w:rPr>
        <w:t>报</w:t>
      </w:r>
      <w:r>
        <w:rPr>
          <w:rFonts w:ascii="宋体" w:hAnsi="宋体" w:cs="宋体" w:eastAsia="宋体" w:hint="default"/>
          <w:b/>
          <w:bCs/>
          <w:spacing w:val="-4"/>
          <w:sz w:val="36"/>
          <w:szCs w:val="36"/>
        </w:rPr>
        <w:t> </w:t>
      </w:r>
      <w:r>
        <w:rPr>
          <w:rFonts w:ascii="宋体" w:hAnsi="宋体" w:cs="宋体" w:eastAsia="宋体" w:hint="default"/>
          <w:b/>
          <w:bCs/>
          <w:spacing w:val="-4"/>
          <w:sz w:val="36"/>
          <w:szCs w:val="36"/>
        </w:rPr>
      </w:r>
      <w:r>
        <w:rPr>
          <w:rFonts w:ascii="宋体" w:hAnsi="宋体" w:cs="宋体" w:eastAsia="宋体" w:hint="default"/>
          <w:b/>
          <w:bCs/>
          <w:sz w:val="36"/>
          <w:szCs w:val="36"/>
        </w:rPr>
        <w:t>告</w:t>
      </w:r>
      <w:r>
        <w:rPr>
          <w:rFonts w:ascii="宋体" w:hAnsi="宋体" w:cs="宋体" w:eastAsia="宋体" w:hint="default"/>
          <w:b/>
          <w:bCs/>
          <w:w w:val="99"/>
          <w:sz w:val="36"/>
          <w:szCs w:val="36"/>
        </w:rPr>
        <w:t> </w:t>
      </w:r>
      <w:r>
        <w:rPr>
          <w:rFonts w:ascii="宋体" w:hAnsi="宋体" w:cs="宋体" w:eastAsia="宋体" w:hint="default"/>
          <w:sz w:val="36"/>
          <w:szCs w:val="36"/>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9"/>
          <w:szCs w:val="19"/>
        </w:rPr>
      </w:pPr>
    </w:p>
    <w:p>
      <w:pPr>
        <w:pStyle w:val="BodyText"/>
        <w:spacing w:line="240" w:lineRule="auto"/>
        <w:ind w:left="138" w:right="0"/>
        <w:jc w:val="left"/>
      </w:pPr>
      <w:r>
        <w:rPr/>
        <w:t>瑞华审字〔</w:t>
      </w:r>
      <w:r>
        <w:rPr>
          <w:rFonts w:ascii="Arial" w:hAnsi="Arial" w:cs="Arial" w:eastAsia="Arial" w:hint="default"/>
        </w:rPr>
        <w:t>2020</w:t>
      </w:r>
      <w:r>
        <w:rPr/>
        <w:t>〕</w:t>
      </w:r>
      <w:r>
        <w:rPr>
          <w:rFonts w:ascii="Arial" w:hAnsi="Arial" w:cs="Arial" w:eastAsia="Arial" w:hint="default"/>
        </w:rPr>
        <w:t>23030010</w:t>
      </w:r>
      <w:r>
        <w:rPr>
          <w:rFonts w:ascii="Arial" w:hAnsi="Arial" w:cs="Arial" w:eastAsia="Arial" w:hint="default"/>
          <w:spacing w:val="-8"/>
        </w:rPr>
        <w:t> </w:t>
      </w:r>
      <w:r>
        <w:rPr/>
        <w:t>号</w:t>
      </w:r>
    </w:p>
    <w:p>
      <w:pPr>
        <w:spacing w:after="0" w:line="240" w:lineRule="auto"/>
        <w:jc w:val="left"/>
        <w:sectPr>
          <w:type w:val="continuous"/>
          <w:pgSz w:w="11910" w:h="16840"/>
          <w:pgMar w:top="1360" w:bottom="1380" w:left="1660" w:right="1140"/>
          <w:cols w:num="3" w:equalWidth="0">
            <w:col w:w="1924" w:space="1499"/>
            <w:col w:w="2306" w:space="154"/>
            <w:col w:w="3227"/>
          </w:cols>
        </w:sectPr>
      </w:pPr>
    </w:p>
    <w:p>
      <w:pPr>
        <w:pStyle w:val="Heading2"/>
        <w:spacing w:line="240" w:lineRule="auto" w:before="32"/>
        <w:ind w:left="138" w:right="0"/>
        <w:jc w:val="both"/>
        <w:rPr>
          <w:rFonts w:ascii="宋体" w:hAnsi="宋体" w:cs="宋体" w:eastAsia="宋体" w:hint="default"/>
          <w:b w:val="0"/>
          <w:bCs w:val="0"/>
        </w:rPr>
      </w:pPr>
      <w:r>
        <w:rPr/>
        <w:t>黑龙江北大荒农业股份有限公司全体股东：</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27"/>
          <w:szCs w:val="27"/>
        </w:rPr>
      </w:pPr>
    </w:p>
    <w:p>
      <w:pPr>
        <w:pStyle w:val="BodyText"/>
        <w:spacing w:line="280" w:lineRule="auto"/>
        <w:ind w:left="558" w:right="0"/>
        <w:jc w:val="left"/>
      </w:pPr>
      <w:r>
        <w:rPr>
          <w:rFonts w:ascii="宋体" w:hAnsi="宋体" w:cs="宋体" w:eastAsia="宋体" w:hint="default"/>
          <w:b/>
          <w:bCs/>
        </w:rPr>
        <w:t>一、审计意见</w:t>
      </w:r>
      <w:r>
        <w:rPr>
          <w:rFonts w:ascii="宋体" w:hAnsi="宋体" w:cs="宋体" w:eastAsia="宋体" w:hint="default"/>
          <w:b/>
          <w:bCs/>
          <w:w w:val="99"/>
        </w:rPr>
        <w:t> </w:t>
      </w:r>
      <w:r>
        <w:rPr>
          <w:spacing w:val="-2"/>
        </w:rPr>
        <w:t>我们审计了黑龙江北大荒农业股份有限公司（以下简称“北大荒股份公司”）财务报表，包</w:t>
      </w:r>
    </w:p>
    <w:p>
      <w:pPr>
        <w:pStyle w:val="BodyText"/>
        <w:spacing w:line="264" w:lineRule="auto" w:before="9"/>
        <w:ind w:left="138" w:right="130"/>
        <w:jc w:val="both"/>
      </w:pPr>
      <w:r>
        <w:rPr/>
        <w:t>括</w:t>
      </w:r>
      <w:r>
        <w:rPr>
          <w:spacing w:val="-45"/>
        </w:rPr>
        <w:t> </w:t>
      </w:r>
      <w:r>
        <w:rPr>
          <w:rFonts w:ascii="Arial" w:hAnsi="Arial" w:cs="Arial" w:eastAsia="Arial" w:hint="default"/>
        </w:rPr>
        <w:t>2019</w:t>
      </w:r>
      <w:r>
        <w:rPr>
          <w:rFonts w:ascii="Arial" w:hAnsi="Arial" w:cs="Arial" w:eastAsia="Arial" w:hint="default"/>
          <w:spacing w:val="-1"/>
        </w:rPr>
        <w:t> </w:t>
      </w:r>
      <w:r>
        <w:rPr/>
        <w:t>年</w:t>
      </w:r>
      <w:r>
        <w:rPr>
          <w:spacing w:val="-45"/>
        </w:rPr>
        <w:t> </w:t>
      </w:r>
      <w:r>
        <w:rPr>
          <w:rFonts w:ascii="Arial" w:hAnsi="Arial" w:cs="Arial" w:eastAsia="Arial" w:hint="default"/>
        </w:rPr>
        <w:t>12</w:t>
      </w:r>
      <w:r>
        <w:rPr>
          <w:rFonts w:ascii="Arial" w:hAnsi="Arial" w:cs="Arial" w:eastAsia="Arial" w:hint="default"/>
          <w:spacing w:val="-1"/>
        </w:rPr>
        <w:t> </w:t>
      </w:r>
      <w:r>
        <w:rPr/>
        <w:t>月</w:t>
      </w:r>
      <w:r>
        <w:rPr>
          <w:spacing w:val="-45"/>
        </w:rPr>
        <w:t> </w:t>
      </w:r>
      <w:r>
        <w:rPr>
          <w:rFonts w:ascii="Arial" w:hAnsi="Arial" w:cs="Arial" w:eastAsia="Arial" w:hint="default"/>
        </w:rPr>
        <w:t>31</w:t>
      </w:r>
      <w:r>
        <w:rPr>
          <w:rFonts w:ascii="Arial" w:hAnsi="Arial" w:cs="Arial" w:eastAsia="Arial" w:hint="default"/>
          <w:spacing w:val="2"/>
        </w:rPr>
        <w:t> </w:t>
      </w:r>
      <w:bookmarkStart w:name="OLE_LINK1" w:id="14"/>
      <w:bookmarkEnd w:id="14"/>
      <w:r>
        <w:rPr>
          <w:rFonts w:ascii="Arial" w:hAnsi="Arial" w:cs="Arial" w:eastAsia="Arial" w:hint="default"/>
          <w:spacing w:val="2"/>
        </w:rPr>
      </w:r>
      <w:r>
        <w:rPr>
          <w:spacing w:val="-4"/>
        </w:rPr>
        <w:t>日的合并及公司资产负债表，</w:t>
      </w:r>
      <w:r>
        <w:rPr>
          <w:rFonts w:ascii="Arial" w:hAnsi="Arial" w:cs="Arial" w:eastAsia="Arial" w:hint="default"/>
          <w:spacing w:val="-4"/>
        </w:rPr>
        <w:t>2019</w:t>
      </w:r>
      <w:r>
        <w:rPr>
          <w:rFonts w:ascii="Arial" w:hAnsi="Arial" w:cs="Arial" w:eastAsia="Arial" w:hint="default"/>
        </w:rPr>
        <w:t> </w:t>
      </w:r>
      <w:r>
        <w:rPr>
          <w:spacing w:val="-4"/>
        </w:rPr>
        <w:t>年度的合并及公司利润表、合并及公司现</w:t>
      </w:r>
      <w:r>
        <w:rPr>
          <w:spacing w:val="-102"/>
        </w:rPr>
        <w:t> </w:t>
      </w:r>
      <w:r>
        <w:rPr>
          <w:spacing w:val="-102"/>
        </w:rPr>
      </w:r>
      <w:r>
        <w:rPr/>
        <w:t>金流量表、合并及公司股东权益变动表以及相关财务报表附注。</w:t>
      </w:r>
    </w:p>
    <w:p>
      <w:pPr>
        <w:pStyle w:val="BodyText"/>
        <w:spacing w:line="271" w:lineRule="auto" w:before="25"/>
        <w:ind w:left="138" w:right="0" w:firstLine="419"/>
        <w:jc w:val="left"/>
      </w:pPr>
      <w:r>
        <w:rPr>
          <w:spacing w:val="-2"/>
        </w:rPr>
        <w:t>我们认为，后附的财务报表在所有重大方面按照企业会计准则的规定编制，公允反映了北大</w:t>
      </w:r>
      <w:r>
        <w:rPr>
          <w:w w:val="100"/>
        </w:rPr>
        <w:t> </w:t>
      </w:r>
      <w:r>
        <w:rPr/>
        <w:t>荒股份公司</w:t>
      </w:r>
      <w:r>
        <w:rPr>
          <w:spacing w:val="-54"/>
        </w:rPr>
        <w:t> </w:t>
      </w:r>
      <w:r>
        <w:rPr>
          <w:rFonts w:ascii="Arial" w:hAnsi="Arial" w:cs="Arial" w:eastAsia="Arial" w:hint="default"/>
        </w:rPr>
        <w:t>2019</w:t>
      </w:r>
      <w:r>
        <w:rPr>
          <w:rFonts w:ascii="Arial" w:hAnsi="Arial" w:cs="Arial" w:eastAsia="Arial" w:hint="default"/>
          <w:spacing w:val="-9"/>
        </w:rPr>
        <w:t> </w:t>
      </w:r>
      <w:r>
        <w:rPr/>
        <w:t>年</w:t>
      </w:r>
      <w:r>
        <w:rPr>
          <w:spacing w:val="-54"/>
        </w:rPr>
        <w:t> </w:t>
      </w:r>
      <w:r>
        <w:rPr>
          <w:rFonts w:ascii="Arial" w:hAnsi="Arial" w:cs="Arial" w:eastAsia="Arial" w:hint="default"/>
        </w:rPr>
        <w:t>12</w:t>
      </w:r>
      <w:r>
        <w:rPr>
          <w:rFonts w:ascii="Arial" w:hAnsi="Arial" w:cs="Arial" w:eastAsia="Arial" w:hint="default"/>
          <w:spacing w:val="-9"/>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日合并及公司的财务状况以及</w:t>
      </w:r>
      <w:r>
        <w:rPr>
          <w:spacing w:val="-54"/>
        </w:rPr>
        <w:t> </w:t>
      </w:r>
      <w:r>
        <w:rPr>
          <w:rFonts w:ascii="Arial" w:hAnsi="Arial" w:cs="Arial" w:eastAsia="Arial" w:hint="default"/>
        </w:rPr>
        <w:t>2019</w:t>
      </w:r>
      <w:r>
        <w:rPr>
          <w:rFonts w:ascii="Arial" w:hAnsi="Arial" w:cs="Arial" w:eastAsia="Arial" w:hint="default"/>
          <w:spacing w:val="-9"/>
        </w:rPr>
        <w:t> </w:t>
      </w:r>
      <w:r>
        <w:rPr/>
        <w:t>年度合并及公司的经营成果和</w:t>
      </w:r>
      <w:r>
        <w:rPr>
          <w:w w:val="100"/>
        </w:rPr>
        <w:t> </w:t>
      </w:r>
      <w:r>
        <w:rPr/>
        <w:t>现金流量。</w:t>
      </w:r>
    </w:p>
    <w:p>
      <w:pPr>
        <w:spacing w:line="278" w:lineRule="auto" w:before="19"/>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99"/>
          <w:sz w:val="21"/>
          <w:szCs w:val="21"/>
        </w:rPr>
        <w:t> </w:t>
      </w:r>
      <w:r>
        <w:rPr>
          <w:rFonts w:ascii="宋体" w:hAnsi="宋体" w:cs="宋体" w:eastAsia="宋体" w:hint="default"/>
          <w:spacing w:val="-2"/>
          <w:sz w:val="21"/>
          <w:szCs w:val="21"/>
        </w:rPr>
        <w:t>我们按照中国注册会计师审计准则的规定执行了审计工作。审计报告的“注册会计师对财务</w:t>
      </w:r>
    </w:p>
    <w:p>
      <w:pPr>
        <w:pStyle w:val="BodyText"/>
        <w:spacing w:line="280" w:lineRule="auto" w:before="10"/>
        <w:ind w:left="138" w:right="137"/>
        <w:jc w:val="both"/>
      </w:pPr>
      <w:r>
        <w:rPr>
          <w:spacing w:val="-2"/>
        </w:rPr>
        <w:t>报表审计的责任”部分进一步阐述了我们在这些准则下的责任。按照中国注册会计师职业道德守</w:t>
      </w:r>
      <w:r>
        <w:rPr>
          <w:spacing w:val="-25"/>
        </w:rPr>
        <w:t> </w:t>
      </w:r>
      <w:r>
        <w:rPr>
          <w:spacing w:val="-25"/>
        </w:rPr>
      </w:r>
      <w:r>
        <w:rPr>
          <w:spacing w:val="-2"/>
        </w:rPr>
        <w:t>则，我们独立于北大荒股份公司，并履行了职业道德方面的其他责任。我们相信，我们获取的审</w:t>
      </w:r>
      <w:r>
        <w:rPr>
          <w:spacing w:val="-25"/>
        </w:rPr>
        <w:t> </w:t>
      </w:r>
      <w:r>
        <w:rPr>
          <w:spacing w:val="-25"/>
        </w:rPr>
      </w:r>
      <w:r>
        <w:rPr/>
        <w:t>计证据是充分、适当的，为发表审计意见提供了基础。</w:t>
      </w:r>
    </w:p>
    <w:p>
      <w:pPr>
        <w:pStyle w:val="BodyText"/>
        <w:spacing w:line="280" w:lineRule="auto" w:before="8"/>
        <w:ind w:left="558" w:right="0" w:firstLine="2"/>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w:t>
      </w:r>
    </w:p>
    <w:p>
      <w:pPr>
        <w:pStyle w:val="BodyText"/>
        <w:spacing w:line="278" w:lineRule="auto" w:before="8"/>
        <w:ind w:left="138" w:right="137"/>
        <w:jc w:val="both"/>
      </w:pPr>
      <w:r>
        <w:rPr>
          <w:spacing w:val="-2"/>
        </w:rPr>
        <w:t>应对以对财务报表整体进行审计并形成审计意见为背景，我们不对这些事项单独发表意见。我们</w:t>
      </w:r>
      <w:r>
        <w:rPr>
          <w:spacing w:val="-25"/>
        </w:rPr>
        <w:t> </w:t>
      </w:r>
      <w:r>
        <w:rPr>
          <w:spacing w:val="-25"/>
        </w:rPr>
      </w:r>
      <w:r>
        <w:rPr/>
        <w:t>确定下列事项是需要在审计报告中沟通的关键审计事项。</w:t>
      </w:r>
    </w:p>
    <w:p>
      <w:pPr>
        <w:pStyle w:val="Heading2"/>
        <w:spacing w:line="278" w:lineRule="auto" w:before="13"/>
        <w:ind w:left="560" w:right="5591"/>
        <w:jc w:val="left"/>
        <w:rPr>
          <w:rFonts w:ascii="宋体" w:hAnsi="宋体" w:cs="宋体" w:eastAsia="宋体" w:hint="default"/>
          <w:b w:val="0"/>
          <w:bCs w:val="0"/>
        </w:rPr>
      </w:pPr>
      <w:r>
        <w:rPr/>
        <w:t>（一）土地承包费收入的确认</w:t>
      </w:r>
      <w:r>
        <w:rPr>
          <w:rFonts w:ascii="宋体" w:hAnsi="宋体" w:cs="宋体" w:eastAsia="宋体" w:hint="default"/>
          <w:w w:val="99"/>
        </w:rPr>
        <w:t> </w:t>
      </w:r>
      <w:r>
        <w:rPr>
          <w:rFonts w:ascii="宋体" w:hAnsi="宋体" w:cs="宋体" w:eastAsia="宋体" w:hint="default"/>
        </w:rPr>
        <w:t>1.</w:t>
      </w:r>
      <w:r>
        <w:rPr/>
        <w:t>事项描述</w:t>
      </w:r>
      <w:r>
        <w:rPr>
          <w:rFonts w:ascii="宋体" w:hAnsi="宋体" w:cs="宋体" w:eastAsia="宋体" w:hint="default"/>
          <w:w w:val="99"/>
        </w:rPr>
        <w:t> </w:t>
      </w:r>
      <w:r>
        <w:rPr>
          <w:rFonts w:ascii="宋体" w:hAnsi="宋体" w:cs="宋体" w:eastAsia="宋体" w:hint="default"/>
          <w:b w:val="0"/>
          <w:bCs w:val="0"/>
        </w:rPr>
      </w:r>
    </w:p>
    <w:p>
      <w:pPr>
        <w:pStyle w:val="BodyText"/>
        <w:spacing w:line="266" w:lineRule="auto" w:before="10"/>
        <w:ind w:left="138" w:right="128" w:firstLine="419"/>
        <w:jc w:val="both"/>
      </w:pPr>
      <w:r>
        <w:rPr>
          <w:spacing w:val="-13"/>
        </w:rPr>
        <w:t>如“附注七、</w:t>
      </w:r>
      <w:r>
        <w:rPr>
          <w:rFonts w:ascii="Arial" w:hAnsi="Arial" w:cs="Arial" w:eastAsia="Arial" w:hint="default"/>
          <w:spacing w:val="-13"/>
        </w:rPr>
        <w:t>59</w:t>
      </w:r>
      <w:r>
        <w:rPr>
          <w:spacing w:val="-13"/>
        </w:rPr>
        <w:t>”所示，北大荒股份公司</w:t>
      </w:r>
      <w:r>
        <w:rPr>
          <w:spacing w:val="-47"/>
        </w:rPr>
        <w:t> </w:t>
      </w:r>
      <w:r>
        <w:rPr>
          <w:rFonts w:ascii="Arial" w:hAnsi="Arial" w:cs="Arial" w:eastAsia="Arial" w:hint="default"/>
        </w:rPr>
        <w:t>2019 </w:t>
      </w:r>
      <w:r>
        <w:rPr/>
        <w:t>年度营业收入人民币</w:t>
      </w:r>
      <w:r>
        <w:rPr>
          <w:spacing w:val="-47"/>
        </w:rPr>
        <w:t> </w:t>
      </w:r>
      <w:r>
        <w:rPr>
          <w:rFonts w:ascii="Arial" w:hAnsi="Arial" w:cs="Arial" w:eastAsia="Arial" w:hint="default"/>
        </w:rPr>
        <w:t>311,130.61</w:t>
      </w:r>
      <w:r>
        <w:rPr>
          <w:rFonts w:ascii="Arial" w:hAnsi="Arial" w:cs="Arial" w:eastAsia="Arial" w:hint="default"/>
          <w:spacing w:val="1"/>
        </w:rPr>
        <w:t> </w:t>
      </w:r>
      <w:r>
        <w:rPr>
          <w:spacing w:val="-11"/>
        </w:rPr>
        <w:t>万元，其中：</w:t>
      </w:r>
      <w:r>
        <w:rPr>
          <w:w w:val="100"/>
        </w:rPr>
        <w:t> </w:t>
      </w:r>
      <w:r>
        <w:rPr>
          <w:spacing w:val="-2"/>
        </w:rPr>
        <w:t>土地承包费收入金额重大且为关键业绩指标，根据“附注五、</w:t>
      </w:r>
      <w:r>
        <w:rPr>
          <w:rFonts w:ascii="Arial" w:hAnsi="Arial" w:cs="Arial" w:eastAsia="Arial" w:hint="default"/>
          <w:spacing w:val="-2"/>
        </w:rPr>
        <w:t>36</w:t>
      </w:r>
      <w:r>
        <w:rPr>
          <w:spacing w:val="-2"/>
        </w:rPr>
        <w:t>”所述的会计政策，可能存在收</w:t>
      </w:r>
      <w:r>
        <w:rPr>
          <w:spacing w:val="-36"/>
        </w:rPr>
        <w:t> </w:t>
      </w:r>
      <w:r>
        <w:rPr>
          <w:spacing w:val="-36"/>
        </w:rPr>
      </w:r>
      <w:r>
        <w:rPr/>
        <w:t>入确认的相关风险。因此，我们将土地承包费收入的确认作为关键审计事项。</w:t>
      </w:r>
    </w:p>
    <w:p>
      <w:pPr>
        <w:spacing w:line="280" w:lineRule="auto" w:before="21"/>
        <w:ind w:left="558" w:right="2314"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审计应对</w:t>
      </w:r>
      <w:r>
        <w:rPr>
          <w:rFonts w:ascii="宋体" w:hAnsi="宋体" w:cs="宋体" w:eastAsia="宋体" w:hint="default"/>
          <w:b/>
          <w:bCs/>
          <w:w w:val="99"/>
          <w:sz w:val="21"/>
          <w:szCs w:val="21"/>
        </w:rPr>
        <w:t> </w:t>
      </w:r>
      <w:r>
        <w:rPr>
          <w:rFonts w:ascii="宋体" w:hAnsi="宋体" w:cs="宋体" w:eastAsia="宋体" w:hint="default"/>
          <w:spacing w:val="-2"/>
          <w:sz w:val="21"/>
          <w:szCs w:val="21"/>
        </w:rPr>
        <w:t>针对土地承包费收入的确认，我们实施的审计程序主要包括：</w:t>
      </w:r>
    </w:p>
    <w:p>
      <w:pPr>
        <w:pStyle w:val="BodyText"/>
        <w:spacing w:line="264" w:lineRule="auto" w:before="8"/>
        <w:ind w:left="138" w:right="128" w:firstLine="419"/>
        <w:jc w:val="both"/>
      </w:pPr>
      <w:r>
        <w:rPr>
          <w:spacing w:val="-4"/>
        </w:rPr>
        <w:t>（</w:t>
      </w:r>
      <w:r>
        <w:rPr>
          <w:rFonts w:ascii="Arial" w:hAnsi="Arial" w:cs="Arial" w:eastAsia="Arial" w:hint="default"/>
          <w:spacing w:val="-4"/>
        </w:rPr>
        <w:t>1</w:t>
      </w:r>
      <w:r>
        <w:rPr>
          <w:spacing w:val="-4"/>
        </w:rPr>
        <w:t>）了解、测试与土地发包流程、承包流程、土地承包费收取等相关的内部控制制度的设计</w:t>
      </w:r>
      <w:r>
        <w:rPr>
          <w:w w:val="100"/>
        </w:rPr>
        <w:t> </w:t>
      </w:r>
      <w:r>
        <w:rPr/>
        <w:t>和执行；</w:t>
      </w:r>
    </w:p>
    <w:p>
      <w:pPr>
        <w:pStyle w:val="BodyText"/>
        <w:spacing w:line="264" w:lineRule="auto" w:before="25"/>
        <w:ind w:left="138" w:right="128" w:firstLine="419"/>
        <w:jc w:val="both"/>
      </w:pPr>
      <w:r>
        <w:rPr>
          <w:spacing w:val="-4"/>
        </w:rPr>
        <w:t>（</w:t>
      </w:r>
      <w:r>
        <w:rPr>
          <w:rFonts w:ascii="Arial" w:hAnsi="Arial" w:cs="Arial" w:eastAsia="Arial" w:hint="default"/>
          <w:spacing w:val="-4"/>
        </w:rPr>
        <w:t>2</w:t>
      </w:r>
      <w:r>
        <w:rPr>
          <w:spacing w:val="-4"/>
        </w:rPr>
        <w:t>）选取样本检查《农业生产承包协议》，识别与土地承包经营权上的风险和报酬转移相关</w:t>
      </w:r>
      <w:r>
        <w:rPr>
          <w:w w:val="100"/>
        </w:rPr>
        <w:t> </w:t>
      </w:r>
      <w:r>
        <w:rPr/>
        <w:t>的条款，评价收入确认时点是否符合企业会计准则的要求；</w:t>
      </w:r>
    </w:p>
    <w:p>
      <w:pPr>
        <w:pStyle w:val="BodyText"/>
        <w:spacing w:line="240" w:lineRule="auto" w:before="23"/>
        <w:ind w:left="558" w:right="0"/>
        <w:jc w:val="left"/>
      </w:pPr>
      <w:r>
        <w:rPr/>
        <w:t>（</w:t>
      </w:r>
      <w:r>
        <w:rPr>
          <w:rFonts w:ascii="Arial" w:hAnsi="Arial" w:cs="Arial" w:eastAsia="Arial" w:hint="default"/>
        </w:rPr>
        <w:t>3</w:t>
      </w:r>
      <w:r>
        <w:rPr/>
        <w:t>）走访部分家庭农场承包户，了解其土地承包情况；</w:t>
      </w:r>
    </w:p>
    <w:p>
      <w:pPr>
        <w:pStyle w:val="BodyText"/>
        <w:spacing w:line="240" w:lineRule="auto" w:before="32"/>
        <w:ind w:left="558" w:right="0"/>
        <w:jc w:val="left"/>
      </w:pPr>
      <w:r>
        <w:rPr/>
        <w:t>（</w:t>
      </w:r>
      <w:r>
        <w:rPr>
          <w:rFonts w:ascii="Arial" w:hAnsi="Arial" w:cs="Arial" w:eastAsia="Arial" w:hint="default"/>
        </w:rPr>
        <w:t>4</w:t>
      </w:r>
      <w:r>
        <w:rPr/>
        <w:t>）选取部分家庭农场承包户进行函证；</w:t>
      </w:r>
    </w:p>
    <w:p>
      <w:pPr>
        <w:pStyle w:val="BodyText"/>
        <w:spacing w:line="264" w:lineRule="auto" w:before="29"/>
        <w:ind w:left="138" w:right="131" w:firstLine="419"/>
        <w:jc w:val="both"/>
      </w:pPr>
      <w:r>
        <w:rPr>
          <w:spacing w:val="-5"/>
        </w:rPr>
        <w:t>（</w:t>
      </w:r>
      <w:r>
        <w:rPr>
          <w:rFonts w:ascii="Arial" w:hAnsi="Arial" w:cs="Arial" w:eastAsia="Arial" w:hint="default"/>
          <w:spacing w:val="-5"/>
        </w:rPr>
        <w:t>5</w:t>
      </w:r>
      <w:r>
        <w:rPr>
          <w:spacing w:val="-5"/>
        </w:rPr>
        <w:t>）抽取记账凭证，审查承包费入账日期、土地面积、地租单价、金额等是否与《农业生产</w:t>
      </w:r>
      <w:r>
        <w:rPr>
          <w:w w:val="100"/>
        </w:rPr>
        <w:t> </w:t>
      </w:r>
      <w:r>
        <w:rPr/>
        <w:t>承包协议》、收据等一致；</w:t>
      </w:r>
    </w:p>
    <w:p>
      <w:pPr>
        <w:pStyle w:val="BodyText"/>
        <w:spacing w:line="271" w:lineRule="auto" w:before="25"/>
        <w:ind w:left="138" w:right="128" w:firstLine="419"/>
        <w:jc w:val="both"/>
      </w:pPr>
      <w:r>
        <w:rPr>
          <w:spacing w:val="-4"/>
        </w:rPr>
        <w:t>（</w:t>
      </w:r>
      <w:r>
        <w:rPr>
          <w:rFonts w:ascii="Arial" w:hAnsi="Arial" w:cs="Arial" w:eastAsia="Arial" w:hint="default"/>
          <w:spacing w:val="-4"/>
        </w:rPr>
        <w:t>6</w:t>
      </w:r>
      <w:r>
        <w:rPr>
          <w:spacing w:val="-4"/>
        </w:rPr>
        <w:t>）针对已识别需要运用分析程序的有关项目，并基于对被审计单位及其环境的了解，将本</w:t>
      </w:r>
      <w:r>
        <w:rPr>
          <w:w w:val="100"/>
        </w:rPr>
        <w:t> </w:t>
      </w:r>
      <w:r>
        <w:rPr>
          <w:spacing w:val="-2"/>
        </w:rPr>
        <w:t>期的主营业务收入与上期的主营业务收入进行比较，分析土地承包收入变动是否异常，并分析异</w:t>
      </w:r>
      <w:r>
        <w:rPr>
          <w:spacing w:val="-25"/>
        </w:rPr>
        <w:t> </w:t>
      </w:r>
      <w:r>
        <w:rPr>
          <w:spacing w:val="-25"/>
        </w:rPr>
      </w:r>
      <w:r>
        <w:rPr/>
        <w:t>常变动的原因；</w:t>
      </w:r>
    </w:p>
    <w:p>
      <w:pPr>
        <w:spacing w:after="0" w:line="271" w:lineRule="auto"/>
        <w:jc w:val="both"/>
        <w:sectPr>
          <w:type w:val="continuous"/>
          <w:pgSz w:w="11910" w:h="16840"/>
          <w:pgMar w:top="1360" w:bottom="1380" w:left="1660" w:right="1140"/>
        </w:sectPr>
      </w:pPr>
    </w:p>
    <w:p>
      <w:pPr>
        <w:spacing w:line="240" w:lineRule="auto" w:before="3"/>
        <w:rPr>
          <w:rFonts w:ascii="宋体" w:hAnsi="宋体" w:cs="宋体" w:eastAsia="宋体" w:hint="default"/>
          <w:sz w:val="10"/>
          <w:szCs w:val="10"/>
        </w:rPr>
      </w:pPr>
    </w:p>
    <w:p>
      <w:pPr>
        <w:pStyle w:val="BodyText"/>
        <w:spacing w:line="240" w:lineRule="auto" w:before="36"/>
        <w:ind w:left="558" w:right="0"/>
        <w:jc w:val="left"/>
      </w:pPr>
      <w:r>
        <w:rPr/>
        <w:t>（</w:t>
      </w:r>
      <w:r>
        <w:rPr>
          <w:rFonts w:ascii="Arial" w:hAnsi="Arial" w:cs="Arial" w:eastAsia="Arial" w:hint="default"/>
        </w:rPr>
        <w:t>7</w:t>
      </w:r>
      <w:r>
        <w:rPr/>
        <w:t>）综合分析交易的实质，确定其是否符合收入确认的条件，并检查其会计处理是否正确。</w:t>
      </w:r>
    </w:p>
    <w:p>
      <w:pPr>
        <w:pStyle w:val="Heading2"/>
        <w:spacing w:line="278" w:lineRule="auto" w:before="32"/>
        <w:ind w:left="560" w:right="6618"/>
        <w:jc w:val="left"/>
        <w:rPr>
          <w:rFonts w:ascii="宋体" w:hAnsi="宋体" w:cs="宋体" w:eastAsia="宋体" w:hint="default"/>
          <w:b w:val="0"/>
          <w:bCs w:val="0"/>
        </w:rPr>
      </w:pPr>
      <w:r>
        <w:rPr/>
        <w:t>（二）理财产品投资</w:t>
      </w:r>
      <w:r>
        <w:rPr>
          <w:rFonts w:ascii="宋体" w:hAnsi="宋体" w:cs="宋体" w:eastAsia="宋体" w:hint="default"/>
          <w:w w:val="99"/>
        </w:rPr>
        <w:t> </w:t>
      </w:r>
      <w:r>
        <w:rPr>
          <w:rFonts w:ascii="宋体" w:hAnsi="宋体" w:cs="宋体" w:eastAsia="宋体" w:hint="default"/>
        </w:rPr>
        <w:t>1.</w:t>
      </w:r>
      <w:r>
        <w:rPr/>
        <w:t>事项描述</w:t>
      </w:r>
      <w:r>
        <w:rPr>
          <w:rFonts w:ascii="宋体" w:hAnsi="宋体" w:cs="宋体" w:eastAsia="宋体" w:hint="default"/>
          <w:w w:val="99"/>
        </w:rPr>
        <w:t> </w:t>
      </w:r>
      <w:r>
        <w:rPr>
          <w:rFonts w:ascii="宋体" w:hAnsi="宋体" w:cs="宋体" w:eastAsia="宋体" w:hint="default"/>
          <w:b w:val="0"/>
          <w:bCs w:val="0"/>
        </w:rPr>
      </w:r>
    </w:p>
    <w:p>
      <w:pPr>
        <w:pStyle w:val="BodyText"/>
        <w:spacing w:line="266" w:lineRule="auto" w:before="10"/>
        <w:ind w:left="138" w:right="98" w:firstLine="419"/>
        <w:jc w:val="left"/>
      </w:pPr>
      <w:r>
        <w:rPr>
          <w:spacing w:val="-2"/>
        </w:rPr>
        <w:t>北大荒股份公司利用闲置资金购买理财产品，对于公司具有重要性，如“附注七、</w:t>
      </w:r>
      <w:r>
        <w:rPr>
          <w:rFonts w:ascii="Arial" w:hAnsi="Arial" w:cs="Arial" w:eastAsia="Arial" w:hint="default"/>
          <w:spacing w:val="-2"/>
        </w:rPr>
        <w:t>2</w:t>
      </w:r>
      <w:r>
        <w:rPr>
          <w:spacing w:val="-2"/>
        </w:rPr>
        <w:t>”所示，</w:t>
      </w:r>
      <w:r>
        <w:rPr>
          <w:w w:val="100"/>
        </w:rPr>
        <w:t> </w:t>
      </w:r>
      <w:r>
        <w:rPr/>
        <w:t>理财产品年末余额</w:t>
      </w:r>
      <w:r>
        <w:rPr>
          <w:spacing w:val="-46"/>
        </w:rPr>
        <w:t> </w:t>
      </w:r>
      <w:r>
        <w:rPr>
          <w:rFonts w:ascii="Arial" w:hAnsi="Arial" w:cs="Arial" w:eastAsia="Arial" w:hint="default"/>
        </w:rPr>
        <w:t>140,376.71</w:t>
      </w:r>
      <w:r>
        <w:rPr>
          <w:rFonts w:ascii="Arial" w:hAnsi="Arial" w:cs="Arial" w:eastAsia="Arial" w:hint="default"/>
          <w:spacing w:val="1"/>
        </w:rPr>
        <w:t> </w:t>
      </w:r>
      <w:r>
        <w:rPr>
          <w:spacing w:val="-5"/>
        </w:rPr>
        <w:t>万元（国债逆回购年末余额</w:t>
      </w:r>
      <w:r>
        <w:rPr>
          <w:spacing w:val="-46"/>
        </w:rPr>
        <w:t> </w:t>
      </w:r>
      <w:r>
        <w:rPr>
          <w:rFonts w:ascii="Arial" w:hAnsi="Arial" w:cs="Arial" w:eastAsia="Arial" w:hint="default"/>
        </w:rPr>
        <w:t>15,063.82</w:t>
      </w:r>
      <w:r>
        <w:rPr>
          <w:rFonts w:ascii="Arial" w:hAnsi="Arial" w:cs="Arial" w:eastAsia="Arial" w:hint="default"/>
          <w:spacing w:val="-1"/>
        </w:rPr>
        <w:t> </w:t>
      </w:r>
      <w:r>
        <w:rPr>
          <w:spacing w:val="-5"/>
        </w:rPr>
        <w:t>万元，结构性存款年末余额</w:t>
      </w:r>
    </w:p>
    <w:p>
      <w:pPr>
        <w:pStyle w:val="BodyText"/>
        <w:spacing w:line="240" w:lineRule="auto" w:before="3"/>
        <w:ind w:left="138" w:right="98"/>
        <w:jc w:val="left"/>
      </w:pPr>
      <w:r>
        <w:rPr>
          <w:rFonts w:ascii="Arial" w:hAnsi="Arial" w:cs="Arial" w:eastAsia="Arial" w:hint="default"/>
        </w:rPr>
        <w:t>125,312.89</w:t>
      </w:r>
      <w:r>
        <w:rPr>
          <w:rFonts w:ascii="Arial" w:hAnsi="Arial" w:cs="Arial" w:eastAsia="Arial" w:hint="default"/>
          <w:spacing w:val="-9"/>
        </w:rPr>
        <w:t> </w:t>
      </w:r>
      <w:r>
        <w:rPr/>
        <w:t>万元）。如“附注七、</w:t>
      </w:r>
      <w:r>
        <w:rPr>
          <w:rFonts w:ascii="Arial" w:hAnsi="Arial" w:cs="Arial" w:eastAsia="Arial" w:hint="default"/>
        </w:rPr>
        <w:t>66</w:t>
      </w:r>
      <w:r>
        <w:rPr/>
        <w:t>”所示，购买理财产品取得的投资收益</w:t>
      </w:r>
      <w:r>
        <w:rPr>
          <w:spacing w:val="-56"/>
        </w:rPr>
        <w:t> </w:t>
      </w:r>
      <w:r>
        <w:rPr>
          <w:rFonts w:ascii="Arial" w:hAnsi="Arial" w:cs="Arial" w:eastAsia="Arial" w:hint="default"/>
        </w:rPr>
        <w:t>8,914.31</w:t>
      </w:r>
      <w:r>
        <w:rPr>
          <w:rFonts w:ascii="Arial" w:hAnsi="Arial" w:cs="Arial" w:eastAsia="Arial" w:hint="default"/>
          <w:spacing w:val="-9"/>
        </w:rPr>
        <w:t> </w:t>
      </w:r>
      <w:r>
        <w:rPr/>
        <w:t>万元（国</w:t>
      </w:r>
    </w:p>
    <w:p>
      <w:pPr>
        <w:pStyle w:val="BodyText"/>
        <w:spacing w:line="266" w:lineRule="auto" w:before="29"/>
        <w:ind w:left="138" w:right="263"/>
        <w:jc w:val="left"/>
      </w:pPr>
      <w:r>
        <w:rPr/>
        <w:t>债逆回购取得投资收益</w:t>
      </w:r>
      <w:r>
        <w:rPr>
          <w:spacing w:val="-54"/>
        </w:rPr>
        <w:t> </w:t>
      </w:r>
      <w:r>
        <w:rPr>
          <w:rFonts w:ascii="Arial" w:hAnsi="Arial" w:cs="Arial" w:eastAsia="Arial" w:hint="default"/>
        </w:rPr>
        <w:t>2,268.73</w:t>
      </w:r>
      <w:r>
        <w:rPr>
          <w:rFonts w:ascii="Arial" w:hAnsi="Arial" w:cs="Arial" w:eastAsia="Arial" w:hint="default"/>
          <w:spacing w:val="-10"/>
        </w:rPr>
        <w:t> </w:t>
      </w:r>
      <w:r>
        <w:rPr/>
        <w:t>万元，结构性存款取得投资收益</w:t>
      </w:r>
      <w:r>
        <w:rPr>
          <w:spacing w:val="-55"/>
        </w:rPr>
        <w:t> </w:t>
      </w:r>
      <w:r>
        <w:rPr>
          <w:rFonts w:ascii="Arial" w:hAnsi="Arial" w:cs="Arial" w:eastAsia="Arial" w:hint="default"/>
        </w:rPr>
        <w:t>6,645.58</w:t>
      </w:r>
      <w:r>
        <w:rPr>
          <w:rFonts w:ascii="Arial" w:hAnsi="Arial" w:cs="Arial" w:eastAsia="Arial" w:hint="default"/>
          <w:spacing w:val="-8"/>
        </w:rPr>
        <w:t> </w:t>
      </w:r>
      <w:r>
        <w:rPr/>
        <w:t>万元），占利润总额</w:t>
      </w:r>
      <w:r>
        <w:rPr>
          <w:w w:val="100"/>
        </w:rPr>
        <w:t> </w:t>
      </w:r>
      <w:r>
        <w:rPr/>
        <w:t>的</w:t>
      </w:r>
      <w:r>
        <w:rPr>
          <w:spacing w:val="-52"/>
        </w:rPr>
        <w:t> </w:t>
      </w:r>
      <w:r>
        <w:rPr>
          <w:rFonts w:ascii="Arial" w:hAnsi="Arial" w:cs="Arial" w:eastAsia="Arial" w:hint="default"/>
        </w:rPr>
        <w:t>10.84%</w:t>
      </w:r>
      <w:r>
        <w:rPr/>
        <w:t>。</w:t>
      </w:r>
    </w:p>
    <w:p>
      <w:pPr>
        <w:pStyle w:val="BodyText"/>
        <w:spacing w:line="278" w:lineRule="auto" w:before="3"/>
        <w:ind w:left="138" w:right="98" w:firstLine="419"/>
        <w:jc w:val="left"/>
      </w:pPr>
      <w:r>
        <w:rPr>
          <w:spacing w:val="-2"/>
        </w:rPr>
        <w:t>由于理财产品对北大荒股份公司财务报表影响重大，为此我们将理财产品投资确定为关键审</w:t>
      </w:r>
      <w:r>
        <w:rPr>
          <w:w w:val="100"/>
        </w:rPr>
        <w:t> </w:t>
      </w:r>
      <w:r>
        <w:rPr/>
        <w:t>计事项。</w:t>
      </w:r>
    </w:p>
    <w:p>
      <w:pPr>
        <w:spacing w:line="278" w:lineRule="auto" w:before="13"/>
        <w:ind w:left="558" w:right="3064"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审计应对</w:t>
      </w:r>
      <w:r>
        <w:rPr>
          <w:rFonts w:ascii="宋体" w:hAnsi="宋体" w:cs="宋体" w:eastAsia="宋体" w:hint="default"/>
          <w:b/>
          <w:bCs/>
          <w:w w:val="99"/>
          <w:sz w:val="21"/>
          <w:szCs w:val="21"/>
        </w:rPr>
        <w:t> </w:t>
      </w:r>
      <w:r>
        <w:rPr>
          <w:rFonts w:ascii="宋体" w:hAnsi="宋体" w:cs="宋体" w:eastAsia="宋体" w:hint="default"/>
          <w:spacing w:val="-2"/>
          <w:sz w:val="21"/>
          <w:szCs w:val="21"/>
        </w:rPr>
        <w:t>针对理财产品投资的确认，我们实施的审计程序主要包括：</w:t>
      </w:r>
    </w:p>
    <w:p>
      <w:pPr>
        <w:pStyle w:val="BodyText"/>
        <w:spacing w:line="240" w:lineRule="auto" w:before="10"/>
        <w:ind w:left="558" w:right="98"/>
        <w:jc w:val="left"/>
      </w:pPr>
      <w:r>
        <w:rPr/>
        <w:t>（</w:t>
      </w:r>
      <w:r>
        <w:rPr>
          <w:rFonts w:ascii="Arial" w:hAnsi="Arial" w:cs="Arial" w:eastAsia="Arial" w:hint="default"/>
        </w:rPr>
        <w:t>1</w:t>
      </w:r>
      <w:r>
        <w:rPr/>
        <w:t>）评价、测试与投资相关的内部控制的设计和运行的有效性；</w:t>
      </w:r>
    </w:p>
    <w:p>
      <w:pPr>
        <w:pStyle w:val="BodyText"/>
        <w:spacing w:line="240" w:lineRule="auto" w:before="32"/>
        <w:ind w:left="558" w:right="98"/>
        <w:jc w:val="left"/>
      </w:pPr>
      <w:r>
        <w:rPr/>
        <w:t>（</w:t>
      </w:r>
      <w:r>
        <w:rPr>
          <w:rFonts w:ascii="Arial" w:hAnsi="Arial" w:cs="Arial" w:eastAsia="Arial" w:hint="default"/>
        </w:rPr>
        <w:t>2</w:t>
      </w:r>
      <w:r>
        <w:rPr/>
        <w:t>）复核其投资金额是否未超过董事会批准的投资限额；</w:t>
      </w:r>
    </w:p>
    <w:p>
      <w:pPr>
        <w:pStyle w:val="BodyText"/>
        <w:spacing w:line="240" w:lineRule="auto" w:before="29"/>
        <w:ind w:left="558" w:right="98"/>
        <w:jc w:val="left"/>
      </w:pPr>
      <w:r>
        <w:rPr/>
        <w:t>（</w:t>
      </w:r>
      <w:r>
        <w:rPr>
          <w:rFonts w:ascii="Arial" w:hAnsi="Arial" w:cs="Arial" w:eastAsia="Arial" w:hint="default"/>
        </w:rPr>
        <w:t>3</w:t>
      </w:r>
      <w:r>
        <w:rPr/>
        <w:t>）获取相关理财产品合同，检查投资期限、收益率约定及风险水平等关键合同条款；</w:t>
      </w:r>
    </w:p>
    <w:p>
      <w:pPr>
        <w:pStyle w:val="BodyText"/>
        <w:spacing w:line="240" w:lineRule="auto" w:before="29"/>
        <w:ind w:left="558" w:right="98"/>
        <w:jc w:val="left"/>
      </w:pPr>
      <w:r>
        <w:rPr/>
        <w:t>（</w:t>
      </w:r>
      <w:r>
        <w:rPr>
          <w:rFonts w:ascii="Arial" w:hAnsi="Arial" w:cs="Arial" w:eastAsia="Arial" w:hint="default"/>
        </w:rPr>
        <w:t>4</w:t>
      </w:r>
      <w:r>
        <w:rPr/>
        <w:t>）核对理财产品投资和收回的资金流水，检查银行回单；</w:t>
      </w:r>
    </w:p>
    <w:p>
      <w:pPr>
        <w:pStyle w:val="BodyText"/>
        <w:spacing w:line="240" w:lineRule="auto" w:before="32"/>
        <w:ind w:left="558" w:right="98"/>
        <w:jc w:val="left"/>
      </w:pPr>
      <w:r>
        <w:rPr/>
        <w:t>（</w:t>
      </w:r>
      <w:r>
        <w:rPr>
          <w:rFonts w:ascii="Arial" w:hAnsi="Arial" w:cs="Arial" w:eastAsia="Arial" w:hint="default"/>
        </w:rPr>
        <w:t>5</w:t>
      </w:r>
      <w:r>
        <w:rPr/>
        <w:t>）对理财产品进行函证并检查期后投资收回情况；</w:t>
      </w:r>
    </w:p>
    <w:p>
      <w:pPr>
        <w:pStyle w:val="BodyText"/>
        <w:spacing w:line="240" w:lineRule="auto" w:before="29"/>
        <w:ind w:left="558" w:right="98"/>
        <w:jc w:val="left"/>
      </w:pPr>
      <w:r>
        <w:rPr/>
        <w:t>（</w:t>
      </w:r>
      <w:r>
        <w:rPr>
          <w:rFonts w:ascii="Arial" w:hAnsi="Arial" w:cs="Arial" w:eastAsia="Arial" w:hint="default"/>
        </w:rPr>
        <w:t>6</w:t>
      </w:r>
      <w:r>
        <w:rPr/>
        <w:t>）测算 </w:t>
      </w:r>
      <w:r>
        <w:rPr>
          <w:rFonts w:ascii="Arial" w:hAnsi="Arial" w:cs="Arial" w:eastAsia="Arial" w:hint="default"/>
        </w:rPr>
        <w:t>2019  </w:t>
      </w:r>
      <w:r>
        <w:rPr/>
        <w:t>年度理财产品的投资收益，并检查 </w:t>
      </w:r>
      <w:r>
        <w:rPr>
          <w:rFonts w:ascii="Arial" w:hAnsi="Arial" w:cs="Arial" w:eastAsia="Arial" w:hint="default"/>
        </w:rPr>
        <w:t>2019</w:t>
      </w:r>
      <w:r>
        <w:rPr>
          <w:rFonts w:ascii="Arial" w:hAnsi="Arial" w:cs="Arial" w:eastAsia="Arial" w:hint="default"/>
          <w:spacing w:val="27"/>
        </w:rPr>
        <w:t> </w:t>
      </w:r>
      <w:r>
        <w:rPr/>
        <w:t>年度是否收回；</w:t>
      </w:r>
    </w:p>
    <w:p>
      <w:pPr>
        <w:pStyle w:val="BodyText"/>
        <w:spacing w:line="266" w:lineRule="auto" w:before="29"/>
        <w:ind w:left="560" w:right="1822" w:hanging="3"/>
        <w:jc w:val="left"/>
        <w:rPr>
          <w:rFonts w:ascii="宋体" w:hAnsi="宋体" w:cs="宋体" w:eastAsia="宋体" w:hint="default"/>
        </w:rPr>
      </w:pPr>
      <w:r>
        <w:rPr>
          <w:spacing w:val="-2"/>
        </w:rPr>
        <w:t>（</w:t>
      </w:r>
      <w:r>
        <w:rPr>
          <w:rFonts w:ascii="Arial" w:hAnsi="Arial" w:cs="Arial" w:eastAsia="Arial" w:hint="default"/>
          <w:spacing w:val="-2"/>
        </w:rPr>
        <w:t>7</w:t>
      </w:r>
      <w:r>
        <w:rPr>
          <w:spacing w:val="-2"/>
        </w:rPr>
        <w:t>）检查了理财产品相关信息在财务报表中的列报和披露情况。</w:t>
      </w:r>
      <w:r>
        <w:rPr>
          <w:spacing w:val="-52"/>
        </w:rPr>
        <w:t> </w:t>
      </w:r>
      <w:r>
        <w:rPr>
          <w:spacing w:val="-52"/>
        </w:rPr>
      </w:r>
      <w:r>
        <w:rPr>
          <w:rFonts w:ascii="宋体" w:hAnsi="宋体" w:cs="宋体" w:eastAsia="宋体" w:hint="default"/>
          <w:b/>
          <w:bCs/>
        </w:rPr>
        <w:t>四、其他信息</w:t>
      </w:r>
      <w:r>
        <w:rPr>
          <w:rFonts w:ascii="宋体" w:hAnsi="宋体" w:cs="宋体" w:eastAsia="宋体" w:hint="default"/>
          <w:b/>
          <w:bCs/>
          <w:w w:val="99"/>
        </w:rPr>
        <w:t> </w:t>
      </w:r>
      <w:r>
        <w:rPr>
          <w:rFonts w:ascii="宋体" w:hAnsi="宋体" w:cs="宋体" w:eastAsia="宋体" w:hint="default"/>
        </w:rPr>
      </w:r>
    </w:p>
    <w:p>
      <w:pPr>
        <w:pStyle w:val="BodyText"/>
        <w:spacing w:line="264" w:lineRule="auto" w:before="21"/>
        <w:ind w:left="138" w:right="98" w:firstLine="419"/>
        <w:jc w:val="left"/>
      </w:pPr>
      <w:r>
        <w:rPr>
          <w:spacing w:val="-3"/>
        </w:rPr>
        <w:t>北大荒股份公司管理层对其他信息负责。其他信息包括北大荒股份公司 </w:t>
      </w:r>
      <w:r>
        <w:rPr>
          <w:rFonts w:ascii="Arial" w:hAnsi="Arial" w:cs="Arial" w:eastAsia="Arial" w:hint="default"/>
        </w:rPr>
        <w:t>2019</w:t>
      </w:r>
      <w:r>
        <w:rPr>
          <w:rFonts w:ascii="Arial" w:hAnsi="Arial" w:cs="Arial" w:eastAsia="Arial" w:hint="default"/>
          <w:spacing w:val="34"/>
        </w:rPr>
        <w:t> </w:t>
      </w:r>
      <w:r>
        <w:rPr/>
        <w:t>年年度报告中</w:t>
      </w:r>
      <w:r>
        <w:rPr>
          <w:w w:val="100"/>
        </w:rPr>
        <w:t> </w:t>
      </w:r>
      <w:r>
        <w:rPr/>
        <w:t>涵盖的信息，但不包括财务报表和我们的审计报告。</w:t>
      </w:r>
    </w:p>
    <w:p>
      <w:pPr>
        <w:pStyle w:val="BodyText"/>
        <w:spacing w:line="278" w:lineRule="auto" w:before="26"/>
        <w:ind w:left="138" w:right="98" w:firstLine="419"/>
        <w:jc w:val="left"/>
      </w:pPr>
      <w:r>
        <w:rPr>
          <w:spacing w:val="-2"/>
        </w:rPr>
        <w:t>我们对财务报表发表的审计意见不涵盖其他信息，我们也不对其他信息发表任何形式的鉴证</w:t>
      </w:r>
      <w:r>
        <w:rPr>
          <w:w w:val="100"/>
        </w:rPr>
        <w:t> </w:t>
      </w:r>
      <w:r>
        <w:rPr/>
        <w:t>结论。</w:t>
      </w:r>
    </w:p>
    <w:p>
      <w:pPr>
        <w:pStyle w:val="BodyText"/>
        <w:spacing w:line="280" w:lineRule="auto" w:before="10"/>
        <w:ind w:left="138" w:right="98" w:firstLine="419"/>
        <w:jc w:val="left"/>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p>
    <w:p>
      <w:pPr>
        <w:pStyle w:val="BodyText"/>
        <w:spacing w:line="278" w:lineRule="auto" w:before="8"/>
        <w:ind w:left="138" w:right="98" w:firstLine="419"/>
        <w:jc w:val="left"/>
      </w:pPr>
      <w:r>
        <w:rPr>
          <w:spacing w:val="-2"/>
        </w:rPr>
        <w:t>基于我们已执行的工作，如果我们确定其他信息存在重大错报，我们应当报告该事实。在这</w:t>
      </w:r>
      <w:r>
        <w:rPr>
          <w:w w:val="100"/>
        </w:rPr>
        <w:t> </w:t>
      </w:r>
      <w:r>
        <w:rPr/>
        <w:t>方面，我们无任何事项需要报告。</w:t>
      </w:r>
    </w:p>
    <w:p>
      <w:pPr>
        <w:spacing w:line="278" w:lineRule="auto" w:before="13"/>
        <w:ind w:left="558" w:right="98" w:firstLine="2"/>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99"/>
          <w:sz w:val="21"/>
          <w:szCs w:val="21"/>
        </w:rPr>
        <w:t> </w:t>
      </w:r>
      <w:r>
        <w:rPr>
          <w:rFonts w:ascii="宋体" w:hAnsi="宋体" w:cs="宋体" w:eastAsia="宋体" w:hint="default"/>
          <w:spacing w:val="-2"/>
          <w:sz w:val="21"/>
          <w:szCs w:val="21"/>
        </w:rPr>
        <w:t>北大荒股份公司管理层（以下简称管理层）负责按照企业会计准则的规定编制财务报表，使</w:t>
      </w:r>
    </w:p>
    <w:p>
      <w:pPr>
        <w:pStyle w:val="BodyText"/>
        <w:spacing w:line="280" w:lineRule="auto" w:before="10"/>
        <w:ind w:left="138" w:right="98"/>
        <w:jc w:val="left"/>
      </w:pPr>
      <w:r>
        <w:rPr>
          <w:spacing w:val="-2"/>
        </w:rPr>
        <w:t>其实现公允反映，并设计、执行和维护必要的内部控制，以使财务报表不存在由于舞弊或错误导</w:t>
      </w:r>
      <w:r>
        <w:rPr>
          <w:spacing w:val="-25"/>
        </w:rPr>
        <w:t> </w:t>
      </w:r>
      <w:r>
        <w:rPr>
          <w:spacing w:val="-25"/>
        </w:rPr>
      </w:r>
      <w:r>
        <w:rPr/>
        <w:t>致的重大错报。</w:t>
      </w:r>
    </w:p>
    <w:p>
      <w:pPr>
        <w:pStyle w:val="BodyText"/>
        <w:spacing w:line="280" w:lineRule="auto" w:before="8"/>
        <w:ind w:left="138" w:right="217" w:firstLine="419"/>
        <w:jc w:val="both"/>
      </w:pPr>
      <w:r>
        <w:rPr>
          <w:spacing w:val="-2"/>
        </w:rPr>
        <w:t>在编制财务报表时，管理层负责评估北大荒股份公司的持续经营能力，披露与持续经营相关</w:t>
      </w:r>
      <w:r>
        <w:rPr>
          <w:w w:val="100"/>
        </w:rPr>
        <w:t> </w:t>
      </w:r>
      <w:r>
        <w:rPr>
          <w:spacing w:val="-2"/>
        </w:rPr>
        <w:t>的事项（如适用），并运用持续经营假设，除非管理层计划清算北大荒股份公司、终止运营或别</w:t>
      </w:r>
      <w:r>
        <w:rPr>
          <w:spacing w:val="-24"/>
        </w:rPr>
        <w:t> </w:t>
      </w:r>
      <w:r>
        <w:rPr>
          <w:spacing w:val="-24"/>
        </w:rPr>
      </w:r>
      <w:r>
        <w:rPr/>
        <w:t>无其他现实的选择。</w:t>
      </w:r>
    </w:p>
    <w:p>
      <w:pPr>
        <w:spacing w:line="278" w:lineRule="auto" w:before="8"/>
        <w:ind w:left="560" w:right="1822" w:hanging="3"/>
        <w:jc w:val="left"/>
        <w:rPr>
          <w:rFonts w:ascii="宋体" w:hAnsi="宋体" w:cs="宋体" w:eastAsia="宋体" w:hint="default"/>
          <w:sz w:val="21"/>
          <w:szCs w:val="21"/>
        </w:rPr>
      </w:pPr>
      <w:r>
        <w:rPr>
          <w:rFonts w:ascii="宋体" w:hAnsi="宋体" w:cs="宋体" w:eastAsia="宋体" w:hint="default"/>
          <w:spacing w:val="-2"/>
          <w:sz w:val="21"/>
          <w:szCs w:val="21"/>
        </w:rPr>
        <w:t>治理层负责监督北大荒股份公司的财务报告过程。</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b/>
          <w:bCs/>
          <w:sz w:val="21"/>
          <w:szCs w:val="21"/>
        </w:rPr>
        <w:t>六、注册会计师对财务报表审计的责任</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8" w:lineRule="auto" w:before="13"/>
        <w:ind w:left="138" w:right="217" w:firstLine="199"/>
        <w:jc w:val="both"/>
      </w:pPr>
      <w:r>
        <w:rPr>
          <w:spacing w:val="-2"/>
        </w:rPr>
        <w:t>我们的目标是对财务报表整体是否不存在由于舞弊或错误导致的重大错报获取合理保证，并出</w:t>
      </w:r>
      <w:r>
        <w:rPr>
          <w:w w:val="100"/>
        </w:rPr>
        <w:t> </w:t>
      </w:r>
      <w:r>
        <w:rPr>
          <w:spacing w:val="-2"/>
        </w:rPr>
        <w:t>具包含审计意见的审计报告。合理保证是高水平的保证，但并不能保证按照审计准则执行的审计</w:t>
      </w:r>
      <w:r>
        <w:rPr>
          <w:spacing w:val="-25"/>
        </w:rPr>
        <w:t> </w:t>
      </w:r>
      <w:r>
        <w:rPr>
          <w:spacing w:val="-25"/>
        </w:rPr>
      </w:r>
      <w:r>
        <w:rPr>
          <w:spacing w:val="-2"/>
        </w:rPr>
        <w:t>在某一重大错报存在时总能发现。错报可能由于舞弊或错误导致，如果合理预期错报单独或汇总</w:t>
      </w:r>
      <w:r>
        <w:rPr>
          <w:spacing w:val="-25"/>
        </w:rPr>
        <w:t> </w:t>
      </w:r>
      <w:r>
        <w:rPr>
          <w:spacing w:val="-25"/>
        </w:rPr>
      </w:r>
      <w:r>
        <w:rPr/>
        <w:t>起来可能影响财务报表使用者依据财务报表作出的经济决策，则通常认为错报是重大的。</w:t>
      </w:r>
    </w:p>
    <w:p>
      <w:pPr>
        <w:pStyle w:val="BodyText"/>
        <w:spacing w:line="278" w:lineRule="auto" w:before="10"/>
        <w:ind w:left="138" w:right="98" w:firstLine="419"/>
        <w:jc w:val="left"/>
      </w:pPr>
      <w:r>
        <w:rPr>
          <w:spacing w:val="-2"/>
        </w:rPr>
        <w:t>在按照审计准则执行审计工作的过程中，我们运用职业判断，并保持职业怀疑。同时，我们</w:t>
      </w:r>
      <w:r>
        <w:rPr>
          <w:w w:val="100"/>
        </w:rPr>
        <w:t> </w:t>
      </w:r>
      <w:r>
        <w:rPr/>
        <w:t>也执行以下工作：</w:t>
      </w:r>
    </w:p>
    <w:p>
      <w:pPr>
        <w:spacing w:after="0" w:line="278" w:lineRule="auto"/>
        <w:jc w:val="left"/>
        <w:sectPr>
          <w:footerReference w:type="default" r:id="rId42"/>
          <w:pgSz w:w="11910" w:h="16840"/>
          <w:pgMar w:footer="1195" w:header="821" w:top="1360" w:bottom="1380" w:left="1660" w:right="1060"/>
          <w:pgNumType w:start="64"/>
        </w:sectPr>
      </w:pPr>
    </w:p>
    <w:p>
      <w:pPr>
        <w:spacing w:line="240" w:lineRule="auto" w:before="3"/>
        <w:rPr>
          <w:rFonts w:ascii="宋体" w:hAnsi="宋体" w:cs="宋体" w:eastAsia="宋体" w:hint="default"/>
          <w:sz w:val="10"/>
          <w:szCs w:val="10"/>
        </w:rPr>
      </w:pPr>
    </w:p>
    <w:p>
      <w:pPr>
        <w:pStyle w:val="BodyText"/>
        <w:spacing w:line="278" w:lineRule="auto" w:before="36"/>
        <w:ind w:left="138" w:right="308" w:firstLine="419"/>
        <w:jc w:val="both"/>
      </w:pPr>
      <w:r>
        <w:rPr>
          <w:spacing w:val="-2"/>
        </w:rPr>
        <w:t>（一）识别和评估由于舞弊或错误导致的财务报表重大错报风险，设计和实施审计程序以应</w:t>
      </w:r>
      <w:r>
        <w:rPr>
          <w:w w:val="100"/>
        </w:rPr>
        <w:t> </w:t>
      </w:r>
      <w:r>
        <w:rPr>
          <w:spacing w:val="-6"/>
        </w:rPr>
        <w:t>对这些风险，并获取充分、适当的审计证据，作为发表审计意见的基础。由于舞弊可能涉及串通、</w:t>
      </w:r>
      <w:r>
        <w:rPr>
          <w:spacing w:val="-52"/>
        </w:rPr>
        <w:t> </w:t>
      </w:r>
      <w:r>
        <w:rPr>
          <w:spacing w:val="-52"/>
        </w:rPr>
      </w:r>
      <w:r>
        <w:rPr>
          <w:spacing w:val="-2"/>
        </w:rPr>
        <w:t>伪造、故意遗漏、虚假陈述或凌驾于内部控制之上，未能发现由于舞弊导致的重大错报的风险高</w:t>
      </w:r>
      <w:r>
        <w:rPr>
          <w:spacing w:val="-25"/>
        </w:rPr>
        <w:t> </w:t>
      </w:r>
      <w:r>
        <w:rPr>
          <w:spacing w:val="-25"/>
        </w:rPr>
      </w:r>
      <w:r>
        <w:rPr/>
        <w:t>于未能发现由于错误导致的重大错报的风险。</w:t>
      </w:r>
    </w:p>
    <w:p>
      <w:pPr>
        <w:pStyle w:val="BodyText"/>
        <w:spacing w:line="240" w:lineRule="auto" w:before="13"/>
        <w:ind w:left="558" w:right="2410"/>
        <w:jc w:val="left"/>
      </w:pPr>
      <w:r>
        <w:rPr/>
        <w:t>（二）了解与审计相关的内部控制，以设计恰当的审计程序。</w:t>
      </w:r>
    </w:p>
    <w:p>
      <w:pPr>
        <w:pStyle w:val="BodyText"/>
        <w:spacing w:line="240" w:lineRule="auto" w:before="44"/>
        <w:ind w:left="558" w:right="0"/>
        <w:jc w:val="left"/>
      </w:pPr>
      <w:r>
        <w:rPr/>
        <w:t>（三）评价管理层选用会计政策的恰当性和作出会计估计及相关披露的合理性。</w:t>
      </w:r>
    </w:p>
    <w:p>
      <w:pPr>
        <w:pStyle w:val="BodyText"/>
        <w:spacing w:line="280" w:lineRule="auto" w:before="44"/>
        <w:ind w:left="138" w:right="0" w:firstLine="419"/>
        <w:jc w:val="left"/>
      </w:pPr>
      <w:r>
        <w:rPr/>
        <w:t>（四）对管理层使用持续经营假设的恰当性得出结论。同时，根据获取的审计证据，就可能</w:t>
      </w:r>
      <w:r>
        <w:rPr>
          <w:w w:val="100"/>
        </w:rPr>
        <w:t> </w:t>
      </w:r>
      <w:r>
        <w:rPr>
          <w:spacing w:val="-2"/>
        </w:rPr>
        <w:t>导致对北大荒股份公司持续经营能力产生重大疑虑的事项或情况是否存在重大不确定性得出结论。</w:t>
      </w:r>
      <w:r>
        <w:rPr>
          <w:spacing w:val="-15"/>
        </w:rPr>
        <w:t> </w:t>
      </w:r>
      <w:r>
        <w:rPr>
          <w:spacing w:val="-15"/>
        </w:rPr>
      </w:r>
      <w:r>
        <w:rPr/>
        <w:t>如果我们得出结论认为存在重大不确定性，审计准则要求我们在审计报告中提请报表使用者注意</w:t>
      </w:r>
      <w:r>
        <w:rPr>
          <w:w w:val="100"/>
        </w:rPr>
        <w:t> </w:t>
      </w:r>
      <w:r>
        <w:rPr/>
        <w:t>财务报表中的相关披露；如果披露不充分，我们应当发表非无保留意见。我们的结论基于截至审</w:t>
      </w:r>
      <w:r>
        <w:rPr>
          <w:w w:val="100"/>
        </w:rPr>
        <w:t> </w:t>
      </w:r>
      <w:r>
        <w:rPr/>
        <w:t>计报告日可获得的信息。然而，未来的事项或情况可能导致北大荒股份公司不能持续经营。</w:t>
      </w:r>
    </w:p>
    <w:p>
      <w:pPr>
        <w:pStyle w:val="BodyText"/>
        <w:spacing w:line="278" w:lineRule="auto" w:before="9"/>
        <w:ind w:left="138" w:right="317" w:firstLine="419"/>
        <w:jc w:val="both"/>
      </w:pPr>
      <w:r>
        <w:rPr>
          <w:spacing w:val="-2"/>
        </w:rPr>
        <w:t>（五）评价财务报表的总体列报、结构和内容（包括披露），并评价财务报表是否公允反映</w:t>
      </w:r>
      <w:r>
        <w:rPr>
          <w:w w:val="100"/>
        </w:rPr>
        <w:t> </w:t>
      </w:r>
      <w:r>
        <w:rPr/>
        <w:t>相关交易和事项。</w:t>
      </w:r>
    </w:p>
    <w:p>
      <w:pPr>
        <w:pStyle w:val="BodyText"/>
        <w:spacing w:line="278" w:lineRule="auto" w:before="13"/>
        <w:ind w:left="138" w:right="317" w:firstLine="419"/>
        <w:jc w:val="both"/>
      </w:pPr>
      <w:r>
        <w:rPr>
          <w:spacing w:val="-2"/>
        </w:rPr>
        <w:t>（六）就北大荒股份公司中实体或业务活动的财务信息获取充分、适当的审计证据，以对财</w:t>
      </w:r>
      <w:r>
        <w:rPr>
          <w:w w:val="100"/>
        </w:rPr>
        <w:t> </w:t>
      </w:r>
      <w:r>
        <w:rPr/>
        <w:t>务报表发表意见。我们负责指导、监督和执行集团审计。我们对审计意见承担全部责任。</w:t>
      </w:r>
    </w:p>
    <w:p>
      <w:pPr>
        <w:pStyle w:val="BodyText"/>
        <w:spacing w:line="280" w:lineRule="auto" w:before="10"/>
        <w:ind w:left="138" w:right="325" w:firstLine="412"/>
        <w:jc w:val="both"/>
      </w:pPr>
      <w:r>
        <w:rPr>
          <w:spacing w:val="-2"/>
        </w:rPr>
        <w:t>我们与治理层就计划的审计范围、时间安排和重大审计发现等事项进行沟通，包括沟通我们</w:t>
      </w:r>
      <w:r>
        <w:rPr>
          <w:w w:val="100"/>
        </w:rPr>
        <w:t> </w:t>
      </w:r>
      <w:r>
        <w:rPr/>
        <w:t>在审计中识别出的值得关注的内部控制缺陷。</w:t>
      </w:r>
    </w:p>
    <w:p>
      <w:pPr>
        <w:pStyle w:val="BodyText"/>
        <w:spacing w:line="278" w:lineRule="auto" w:before="8"/>
        <w:ind w:left="138" w:right="317" w:firstLine="419"/>
        <w:jc w:val="both"/>
      </w:pPr>
      <w:r>
        <w:rPr>
          <w:spacing w:val="-2"/>
        </w:rPr>
        <w:t>我们还就已遵守与独立性相关的职业道德要求向治理层提供声明，并与治理层沟通可能被合</w:t>
      </w:r>
      <w:r>
        <w:rPr>
          <w:w w:val="100"/>
        </w:rPr>
        <w:t> </w:t>
      </w:r>
      <w:r>
        <w:rPr/>
        <w:t>理认为影响我们独立性的所有关系和其他事项，以及相关的防范措施（如适用）。</w:t>
      </w:r>
    </w:p>
    <w:p>
      <w:pPr>
        <w:pStyle w:val="BodyText"/>
        <w:spacing w:line="278" w:lineRule="auto" w:before="13"/>
        <w:ind w:left="138" w:right="317" w:firstLine="419"/>
        <w:jc w:val="both"/>
      </w:pPr>
      <w:r>
        <w:rPr>
          <w:spacing w:val="-2"/>
        </w:rPr>
        <w:t>从与治理层沟通过的事项中，我们确定哪些事项对本期财务报表审计最为重要，因而构成关</w:t>
      </w:r>
      <w:r>
        <w:rPr>
          <w:w w:val="100"/>
        </w:rPr>
        <w:t> </w:t>
      </w:r>
      <w:r>
        <w:rPr>
          <w:spacing w:val="-2"/>
        </w:rPr>
        <w:t>键审计事项。我们在审计报告中描述这些事项，除非法律法规禁止公开披露这些事项，或在极少</w:t>
      </w:r>
      <w:r>
        <w:rPr>
          <w:spacing w:val="-25"/>
        </w:rPr>
        <w:t> </w:t>
      </w:r>
      <w:r>
        <w:rPr>
          <w:spacing w:val="-25"/>
        </w:rPr>
      </w:r>
      <w:r>
        <w:rPr>
          <w:spacing w:val="-2"/>
        </w:rPr>
        <w:t>数情形下，如果合理预期在审计报告中沟通某事项造成的负面后果超过在公众利益方面产生的益</w:t>
      </w:r>
      <w:r>
        <w:rPr>
          <w:spacing w:val="-25"/>
        </w:rPr>
        <w:t> </w:t>
      </w:r>
      <w:r>
        <w:rPr>
          <w:spacing w:val="-25"/>
        </w:rPr>
      </w:r>
      <w:r>
        <w:rPr/>
        <w:t>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tbl>
      <w:tblPr>
        <w:tblW w:w="0" w:type="auto"/>
        <w:jc w:val="left"/>
        <w:tblInd w:w="343" w:type="dxa"/>
        <w:tblLayout w:type="fixed"/>
        <w:tblCellMar>
          <w:top w:w="0" w:type="dxa"/>
          <w:left w:w="0" w:type="dxa"/>
          <w:bottom w:w="0" w:type="dxa"/>
          <w:right w:w="0" w:type="dxa"/>
        </w:tblCellMar>
        <w:tblLook w:val="01E0"/>
      </w:tblPr>
      <w:tblGrid>
        <w:gridCol w:w="3911"/>
        <w:gridCol w:w="4619"/>
      </w:tblGrid>
      <w:tr>
        <w:trPr>
          <w:trHeight w:val="905" w:hRule="exact"/>
        </w:trPr>
        <w:tc>
          <w:tcPr>
            <w:tcW w:w="39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43"/>
              <w:jc w:val="center"/>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c>
          <w:tcPr>
            <w:tcW w:w="4619" w:type="dxa"/>
            <w:tcBorders>
              <w:top w:val="nil" w:sz="6" w:space="0" w:color="auto"/>
              <w:left w:val="nil" w:sz="6" w:space="0" w:color="auto"/>
              <w:bottom w:val="nil" w:sz="6" w:space="0" w:color="auto"/>
              <w:right w:val="nil" w:sz="6" w:space="0" w:color="auto"/>
            </w:tcBorders>
          </w:tcPr>
          <w:p>
            <w:pPr>
              <w:pStyle w:val="TableParagraph"/>
              <w:spacing w:line="211" w:lineRule="exact"/>
              <w:ind w:left="345" w:right="0"/>
              <w:jc w:val="left"/>
              <w:rPr>
                <w:rFonts w:ascii="宋体" w:hAnsi="宋体" w:cs="宋体" w:eastAsia="宋体" w:hint="default"/>
                <w:sz w:val="21"/>
                <w:szCs w:val="21"/>
              </w:rPr>
            </w:pPr>
            <w:r>
              <w:rPr>
                <w:rFonts w:ascii="宋体" w:hAnsi="宋体" w:cs="宋体" w:eastAsia="宋体" w:hint="default"/>
                <w:sz w:val="21"/>
                <w:szCs w:val="21"/>
              </w:rPr>
              <w:t>中国注册会计师</w:t>
            </w:r>
          </w:p>
          <w:p>
            <w:pPr>
              <w:pStyle w:val="TableParagraph"/>
              <w:tabs>
                <w:tab w:pos="3077" w:val="left" w:leader="none"/>
              </w:tabs>
              <w:spacing w:line="240" w:lineRule="auto" w:before="44"/>
              <w:ind w:left="345" w:right="0"/>
              <w:jc w:val="left"/>
              <w:rPr>
                <w:rFonts w:ascii="宋体" w:hAnsi="宋体" w:cs="宋体" w:eastAsia="宋体" w:hint="default"/>
                <w:sz w:val="21"/>
                <w:szCs w:val="21"/>
              </w:rPr>
            </w:pPr>
            <w:r>
              <w:rPr>
                <w:rFonts w:ascii="宋体" w:hAnsi="宋体" w:cs="宋体" w:eastAsia="宋体" w:hint="default"/>
                <w:sz w:val="21"/>
                <w:szCs w:val="21"/>
              </w:rPr>
              <w:t>（项目合伙人）：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李豫龙</w:t>
              <w:tab/>
            </w:r>
            <w:r>
              <w:rPr>
                <w:rFonts w:ascii="宋体" w:hAnsi="宋体" w:cs="宋体" w:eastAsia="宋体" w:hint="default"/>
                <w:sz w:val="21"/>
                <w:szCs w:val="21"/>
              </w:rPr>
            </w:r>
          </w:p>
        </w:tc>
      </w:tr>
      <w:tr>
        <w:trPr>
          <w:trHeight w:val="1046" w:hRule="exact"/>
        </w:trPr>
        <w:tc>
          <w:tcPr>
            <w:tcW w:w="39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3"/>
              <w:ind w:right="145"/>
              <w:jc w:val="center"/>
              <w:rPr>
                <w:rFonts w:ascii="宋体" w:hAnsi="宋体" w:cs="宋体" w:eastAsia="宋体" w:hint="default"/>
                <w:sz w:val="21"/>
                <w:szCs w:val="21"/>
              </w:rPr>
            </w:pPr>
            <w:r>
              <w:rPr>
                <w:rFonts w:ascii="宋体" w:hAnsi="宋体" w:cs="宋体" w:eastAsia="宋体" w:hint="default"/>
                <w:sz w:val="21"/>
                <w:szCs w:val="21"/>
              </w:rPr>
              <w:t>中国</w:t>
            </w:r>
            <w:r>
              <w:rPr>
                <w:rFonts w:ascii="Arial" w:hAnsi="Arial" w:cs="Arial" w:eastAsia="Arial" w:hint="default"/>
                <w:sz w:val="21"/>
                <w:szCs w:val="21"/>
              </w:rPr>
              <w:t>·</w:t>
            </w:r>
            <w:r>
              <w:rPr>
                <w:rFonts w:ascii="宋体" w:hAnsi="宋体" w:cs="宋体" w:eastAsia="宋体" w:hint="default"/>
                <w:sz w:val="21"/>
                <w:szCs w:val="21"/>
              </w:rPr>
              <w:t>北京</w:t>
            </w:r>
          </w:p>
        </w:tc>
        <w:tc>
          <w:tcPr>
            <w:tcW w:w="46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tabs>
                <w:tab w:pos="2971" w:val="left" w:leader="none"/>
              </w:tabs>
              <w:spacing w:line="240" w:lineRule="auto"/>
              <w:ind w:left="345" w:right="0"/>
              <w:jc w:val="left"/>
              <w:rPr>
                <w:rFonts w:ascii="宋体" w:hAnsi="宋体" w:cs="宋体" w:eastAsia="宋体" w:hint="default"/>
                <w:sz w:val="21"/>
                <w:szCs w:val="21"/>
              </w:rPr>
            </w:pPr>
            <w:r>
              <w:rPr>
                <w:rFonts w:ascii="宋体" w:hAnsi="宋体" w:cs="宋体" w:eastAsia="宋体" w:hint="default"/>
                <w:sz w:val="21"/>
                <w:szCs w:val="21"/>
              </w:rPr>
              <w:t>中国注册会计师：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张</w:t>
            </w:r>
            <w:r>
              <w:rPr>
                <w:rFonts w:ascii="宋体" w:hAnsi="宋体" w:cs="宋体" w:eastAsia="宋体" w:hint="default"/>
                <w:spacing w:val="-3"/>
                <w:sz w:val="21"/>
                <w:szCs w:val="21"/>
                <w:u w:val="single" w:color="000000"/>
              </w:rPr>
              <w:t> </w:t>
            </w:r>
            <w:r>
              <w:rPr>
                <w:rFonts w:ascii="宋体" w:hAnsi="宋体" w:cs="宋体" w:eastAsia="宋体" w:hint="default"/>
                <w:sz w:val="21"/>
                <w:szCs w:val="21"/>
                <w:u w:val="single" w:color="000000"/>
              </w:rPr>
              <w:t>静</w:t>
              <w:tab/>
            </w:r>
            <w:r>
              <w:rPr>
                <w:rFonts w:ascii="宋体" w:hAnsi="宋体" w:cs="宋体" w:eastAsia="宋体" w:hint="default"/>
                <w:sz w:val="21"/>
                <w:szCs w:val="21"/>
              </w:rPr>
            </w:r>
          </w:p>
        </w:tc>
      </w:tr>
      <w:tr>
        <w:trPr>
          <w:trHeight w:val="511" w:hRule="exact"/>
        </w:trPr>
        <w:tc>
          <w:tcPr>
            <w:tcW w:w="3911" w:type="dxa"/>
            <w:tcBorders>
              <w:top w:val="nil" w:sz="6" w:space="0" w:color="auto"/>
              <w:left w:val="nil" w:sz="6" w:space="0" w:color="auto"/>
              <w:bottom w:val="nil" w:sz="6" w:space="0" w:color="auto"/>
              <w:right w:val="nil" w:sz="6" w:space="0" w:color="auto"/>
            </w:tcBorders>
          </w:tcPr>
          <w:p>
            <w:pPr/>
          </w:p>
        </w:tc>
        <w:tc>
          <w:tcPr>
            <w:tcW w:w="461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705" w:right="0"/>
              <w:jc w:val="left"/>
              <w:rPr>
                <w:rFonts w:ascii="宋体" w:hAnsi="宋体" w:cs="宋体" w:eastAsia="宋体" w:hint="default"/>
                <w:sz w:val="21"/>
                <w:szCs w:val="21"/>
              </w:rPr>
            </w:pPr>
            <w:r>
              <w:rPr>
                <w:rFonts w:ascii="Arial" w:hAnsi="Arial" w:cs="Arial" w:eastAsia="Arial" w:hint="default"/>
                <w:sz w:val="21"/>
                <w:szCs w:val="21"/>
              </w:rPr>
              <w:t>2020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27</w:t>
            </w:r>
            <w:r>
              <w:rPr>
                <w:rFonts w:ascii="Arial" w:hAnsi="Arial" w:cs="Arial" w:eastAsia="Arial" w:hint="default"/>
                <w:spacing w:val="-5"/>
                <w:sz w:val="21"/>
                <w:szCs w:val="21"/>
              </w:rPr>
              <w:t> </w:t>
            </w:r>
            <w:r>
              <w:rPr>
                <w:rFonts w:ascii="宋体" w:hAnsi="宋体" w:cs="宋体" w:eastAsia="宋体" w:hint="default"/>
                <w:sz w:val="21"/>
                <w:szCs w:val="21"/>
              </w:rPr>
              <w:t>日</w:t>
            </w:r>
          </w:p>
        </w:tc>
      </w:tr>
    </w:tbl>
    <w:p>
      <w:pPr>
        <w:pStyle w:val="BodyText"/>
        <w:spacing w:line="264" w:lineRule="exact"/>
        <w:ind w:left="138" w:right="0"/>
        <w:jc w:val="left"/>
        <w:rPr>
          <w:rFonts w:ascii="宋体" w:hAnsi="宋体" w:cs="宋体" w:eastAsia="宋体" w:hint="default"/>
        </w:rPr>
      </w:pPr>
      <w:r>
        <w:rPr>
          <w:rFonts w:ascii="宋体"/>
          <w:w w:val="100"/>
        </w:rPr>
        <w:t> </w:t>
      </w:r>
    </w:p>
    <w:p>
      <w:pPr>
        <w:pStyle w:val="BodyText"/>
        <w:tabs>
          <w:tab w:pos="3018" w:val="left" w:leader="none"/>
        </w:tabs>
        <w:spacing w:line="273" w:lineRule="exact"/>
        <w:ind w:left="13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1910" w:h="16840"/>
          <w:pgMar w:header="821" w:footer="1195" w:top="1360" w:bottom="1380" w:left="1660" w:right="960"/>
        </w:sectPr>
      </w:pPr>
    </w:p>
    <w:p>
      <w:pPr>
        <w:pStyle w:val="Heading2"/>
        <w:spacing w:line="240" w:lineRule="auto" w:before="124"/>
        <w:ind w:left="178" w:right="0"/>
        <w:jc w:val="left"/>
        <w:rPr>
          <w:rFonts w:ascii="宋体" w:hAnsi="宋体" w:cs="宋体" w:eastAsia="宋体" w:hint="default"/>
          <w:b w:val="0"/>
          <w:bCs w:val="0"/>
        </w:rPr>
      </w:pPr>
      <w:r>
        <w:rPr>
          <w:spacing w:val="-1"/>
        </w:rPr>
        <w:t>二、</w:t>
      </w:r>
      <w:r>
        <w:rPr>
          <w:spacing w:val="-100"/>
        </w:rPr>
        <w:t> </w:t>
      </w:r>
      <w:r>
        <w:rPr>
          <w:rFonts w:ascii="宋体" w:hAnsi="宋体" w:cs="宋体" w:eastAsia="宋体" w:hint="default"/>
          <w:spacing w:val="-100"/>
        </w:rPr>
      </w:r>
      <w:r>
        <w:rPr>
          <w:spacing w:val="-1"/>
        </w:rPr>
        <w:t>财务报表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15"/>
          <w:szCs w:val="15"/>
        </w:rPr>
      </w:pPr>
    </w:p>
    <w:p>
      <w:pPr>
        <w:pStyle w:val="Heading2"/>
        <w:spacing w:line="240" w:lineRule="auto" w:before="0"/>
        <w:ind w:left="160" w:right="3697"/>
        <w:jc w:val="center"/>
        <w:rPr>
          <w:b w:val="0"/>
          <w:bCs w:val="0"/>
        </w:rPr>
      </w:pPr>
      <w:r>
        <w:rPr/>
        <w:t>合并资产负债表</w:t>
      </w:r>
      <w:r>
        <w:rPr>
          <w:b w:val="0"/>
          <w:bCs w:val="0"/>
        </w:rPr>
      </w:r>
    </w:p>
    <w:p>
      <w:pPr>
        <w:pStyle w:val="BodyText"/>
        <w:spacing w:line="240" w:lineRule="auto" w:before="56"/>
        <w:ind w:left="161" w:right="3697"/>
        <w:jc w:val="center"/>
      </w:pPr>
      <w:r>
        <w:rPr>
          <w:rFonts w:ascii="Arial" w:hAnsi="Arial" w:cs="Arial" w:eastAsia="Arial" w:hint="default"/>
        </w:rPr>
        <w:t>2019</w:t>
      </w:r>
      <w:r>
        <w:rPr>
          <w:rFonts w:ascii="Arial" w:hAnsi="Arial" w:cs="Arial" w:eastAsia="Arial" w:hint="default"/>
          <w:spacing w:val="-7"/>
        </w:rPr>
        <w:t> </w:t>
      </w:r>
      <w:r>
        <w:rPr/>
        <w:t>年</w:t>
      </w:r>
      <w:r>
        <w:rPr>
          <w:spacing w:val="-52"/>
        </w:rPr>
        <w:t> </w:t>
      </w:r>
      <w:r>
        <w:rPr>
          <w:rFonts w:ascii="Arial" w:hAnsi="Arial" w:cs="Arial" w:eastAsia="Arial" w:hint="default"/>
        </w:rPr>
        <w:t>12</w:t>
      </w:r>
      <w:r>
        <w:rPr>
          <w:rFonts w:ascii="Arial" w:hAnsi="Arial" w:cs="Arial" w:eastAsia="Arial" w:hint="default"/>
          <w:spacing w:val="-5"/>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w:t>
      </w:r>
    </w:p>
    <w:p>
      <w:pPr>
        <w:spacing w:after="0" w:line="240" w:lineRule="auto"/>
        <w:jc w:val="center"/>
        <w:sectPr>
          <w:pgSz w:w="11910" w:h="16840"/>
          <w:pgMar w:header="821" w:footer="1195" w:top="1360" w:bottom="1380" w:left="1620" w:right="1060"/>
          <w:cols w:num="2" w:equalWidth="0">
            <w:col w:w="1551" w:space="1951"/>
            <w:col w:w="5728"/>
          </w:cols>
        </w:sectPr>
      </w:pPr>
    </w:p>
    <w:p>
      <w:pPr>
        <w:pStyle w:val="BodyText"/>
        <w:spacing w:line="257" w:lineRule="exact"/>
        <w:ind w:left="178" w:right="102"/>
        <w:jc w:val="left"/>
        <w:rPr>
          <w:rFonts w:ascii="宋体" w:hAnsi="宋体" w:cs="宋体" w:eastAsia="宋体" w:hint="default"/>
        </w:rPr>
      </w:pPr>
      <w:r>
        <w:rPr/>
        <w:t>编制单位</w:t>
      </w:r>
      <w:r>
        <w:rPr>
          <w:rFonts w:ascii="宋体" w:hAnsi="宋体" w:cs="宋体" w:eastAsia="宋体" w:hint="default"/>
        </w:rPr>
        <w:t>:</w:t>
      </w:r>
      <w:r>
        <w:rPr>
          <w:rFonts w:ascii="宋体" w:hAnsi="宋体" w:cs="宋体" w:eastAsia="宋体" w:hint="default"/>
          <w:spacing w:val="-6"/>
        </w:rPr>
        <w:t> </w:t>
      </w:r>
      <w:r>
        <w:rPr/>
        <w:t>黑龙江北大荒农业股份有限公司</w:t>
      </w:r>
      <w:r>
        <w:rPr>
          <w:rFonts w:ascii="宋体" w:hAnsi="宋体" w:cs="宋体" w:eastAsia="宋体" w:hint="default"/>
        </w:rPr>
        <w:t> </w:t>
      </w:r>
    </w:p>
    <w:p>
      <w:pPr>
        <w:pStyle w:val="BodyText"/>
        <w:spacing w:line="273" w:lineRule="exact"/>
        <w:ind w:left="0" w:right="10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47.95pt;height:1pt;mso-position-horizontal-relative:char;mso-position-vertical-relative:line" coordorigin="0,0" coordsize="8959,20">
            <v:group style="position:absolute;left:10;top:10;width:4448;height:2" coordorigin="10,10" coordsize="4448,2">
              <v:shape style="position:absolute;left:10;top:10;width:4448;height:2" coordorigin="10,10" coordsize="4448,0" path="m10,10l4457,10e" filled="false" stroked="true" strokeweight=".95999pt" strokecolor="#41b7ee">
                <v:path arrowok="t"/>
              </v:shape>
            </v:group>
            <v:group style="position:absolute;left:4457;top:10;width:58;height:2" coordorigin="4457,10" coordsize="58,2">
              <v:shape style="position:absolute;left:4457;top:10;width:58;height:2" coordorigin="4457,10" coordsize="58,0" path="m4457,10l4515,10e" filled="false" stroked="true" strokeweight=".95999pt" strokecolor="#41b7ee">
                <v:path arrowok="t"/>
              </v:shape>
            </v:group>
            <v:group style="position:absolute;left:4515;top:10;width:661;height:2" coordorigin="4515,10" coordsize="661,2">
              <v:shape style="position:absolute;left:4515;top:10;width:661;height:2" coordorigin="4515,10" coordsize="661,0" path="m4515,10l5175,10e" filled="false" stroked="true" strokeweight=".95999pt" strokecolor="#41b7ee">
                <v:path arrowok="t"/>
              </v:shape>
            </v:group>
            <v:group style="position:absolute;left:5175;top:10;width:58;height:2" coordorigin="5175,10" coordsize="58,2">
              <v:shape style="position:absolute;left:5175;top:10;width:58;height:2" coordorigin="5175,10" coordsize="58,0" path="m5175,10l5233,10e" filled="false" stroked="true" strokeweight=".95999pt" strokecolor="#41b7ee">
                <v:path arrowok="t"/>
              </v:shape>
            </v:group>
            <v:group style="position:absolute;left:5233;top:10;width:1812;height:2" coordorigin="5233,10" coordsize="1812,2">
              <v:shape style="position:absolute;left:5233;top:10;width:1812;height:2" coordorigin="5233,10" coordsize="1812,0" path="m5233,10l7045,10e" filled="false" stroked="true" strokeweight=".95999pt" strokecolor="#41b7ee">
                <v:path arrowok="t"/>
              </v:shape>
            </v:group>
            <v:group style="position:absolute;left:7045;top:10;width:58;height:2" coordorigin="7045,10" coordsize="58,2">
              <v:shape style="position:absolute;left:7045;top:10;width:58;height:2" coordorigin="7045,10" coordsize="58,0" path="m7045,10l7103,10e" filled="false" stroked="true" strokeweight=".95999pt" strokecolor="#41b7ee">
                <v:path arrowok="t"/>
              </v:shape>
            </v:group>
            <v:group style="position:absolute;left:7103;top:10;width:1847;height:2" coordorigin="7103,10" coordsize="1847,2">
              <v:shape style="position:absolute;left:7103;top:10;width:1847;height:2" coordorigin="7103,10" coordsize="1847,0" path="m7103,10l8949,10e" filled="false" stroked="true" strokeweight=".95999pt" strokecolor="#41b7ee">
                <v:path arrowok="t"/>
              </v:shape>
            </v:group>
          </v:group>
        </w:pict>
      </w:r>
      <w:r>
        <w:rPr>
          <w:rFonts w:ascii="宋体" w:hAnsi="宋体" w:cs="宋体" w:eastAsia="宋体" w:hint="default"/>
          <w:sz w:val="2"/>
          <w:szCs w:val="2"/>
        </w:rPr>
      </w:r>
    </w:p>
    <w:tbl>
      <w:tblPr>
        <w:tblW w:w="0" w:type="auto"/>
        <w:jc w:val="left"/>
        <w:tblInd w:w="110" w:type="dxa"/>
        <w:tblLayout w:type="fixed"/>
        <w:tblCellMar>
          <w:top w:w="0" w:type="dxa"/>
          <w:left w:w="0" w:type="dxa"/>
          <w:bottom w:w="0" w:type="dxa"/>
          <w:right w:w="0" w:type="dxa"/>
        </w:tblCellMar>
        <w:tblLook w:val="01E0"/>
      </w:tblPr>
      <w:tblGrid>
        <w:gridCol w:w="4453"/>
        <w:gridCol w:w="718"/>
        <w:gridCol w:w="1870"/>
        <w:gridCol w:w="1899"/>
      </w:tblGrid>
      <w:tr>
        <w:trPr>
          <w:trHeight w:val="329" w:hRule="exact"/>
        </w:trPr>
        <w:tc>
          <w:tcPr>
            <w:tcW w:w="4453" w:type="dxa"/>
            <w:tcBorders>
              <w:top w:val="single" w:sz="8" w:space="0" w:color="41B7EE"/>
              <w:left w:val="nil" w:sz="6" w:space="0" w:color="auto"/>
              <w:bottom w:val="single" w:sz="4" w:space="0" w:color="41B7EE"/>
              <w:right w:val="single" w:sz="4" w:space="0" w:color="41B7EE"/>
            </w:tcBorders>
          </w:tcPr>
          <w:p>
            <w:pPr>
              <w:pStyle w:val="TableParagraph"/>
              <w:spacing w:line="262" w:lineRule="exact"/>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18" w:type="dxa"/>
            <w:tcBorders>
              <w:top w:val="single" w:sz="8" w:space="0" w:color="41B7EE"/>
              <w:left w:val="single" w:sz="4" w:space="0" w:color="41B7EE"/>
              <w:bottom w:val="single" w:sz="4" w:space="0" w:color="41B7EE"/>
              <w:right w:val="single" w:sz="4" w:space="0" w:color="41B7EE"/>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附注</w:t>
            </w:r>
          </w:p>
        </w:tc>
        <w:tc>
          <w:tcPr>
            <w:tcW w:w="1870" w:type="dxa"/>
            <w:tcBorders>
              <w:top w:val="single" w:sz="8" w:space="0" w:color="41B7EE"/>
              <w:left w:val="single" w:sz="4" w:space="0" w:color="41B7EE"/>
              <w:bottom w:val="single" w:sz="4" w:space="0" w:color="41B7EE"/>
              <w:right w:val="single" w:sz="4" w:space="0" w:color="41B7EE"/>
            </w:tcBorders>
          </w:tcPr>
          <w:p>
            <w:pPr>
              <w:pStyle w:val="TableParagraph"/>
              <w:spacing w:line="277" w:lineRule="exact"/>
              <w:ind w:right="53"/>
              <w:jc w:val="right"/>
              <w:rPr>
                <w:rFonts w:ascii="宋体" w:hAnsi="宋体" w:cs="宋体" w:eastAsia="宋体" w:hint="default"/>
                <w:sz w:val="21"/>
                <w:szCs w:val="21"/>
              </w:rPr>
            </w:pPr>
            <w:r>
              <w:rPr>
                <w:rFonts w:ascii="Arial" w:hAnsi="Arial" w:cs="Arial" w:eastAsia="Arial" w:hint="default"/>
                <w:spacing w:val="-6"/>
                <w:sz w:val="21"/>
                <w:szCs w:val="21"/>
              </w:rPr>
              <w:t>2019</w:t>
            </w:r>
            <w:r>
              <w:rPr>
                <w:rFonts w:ascii="Arial" w:hAnsi="Arial" w:cs="Arial" w:eastAsia="Arial"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Arial" w:hAnsi="Arial" w:cs="Arial" w:eastAsia="Arial" w:hint="default"/>
                <w:spacing w:val="-4"/>
                <w:sz w:val="21"/>
                <w:szCs w:val="21"/>
              </w:rPr>
              <w:t>12</w:t>
            </w:r>
            <w:r>
              <w:rPr>
                <w:rFonts w:ascii="Arial" w:hAnsi="Arial" w:cs="Arial" w:eastAsia="Arial"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Arial" w:hAnsi="Arial" w:cs="Arial" w:eastAsia="Arial" w:hint="default"/>
                <w:spacing w:val="-4"/>
                <w:sz w:val="21"/>
                <w:szCs w:val="21"/>
              </w:rPr>
              <w:t>31</w:t>
            </w:r>
            <w:r>
              <w:rPr>
                <w:rFonts w:ascii="Arial" w:hAnsi="Arial" w:cs="Arial" w:eastAsia="Arial" w:hint="default"/>
                <w:spacing w:val="-14"/>
                <w:sz w:val="21"/>
                <w:szCs w:val="21"/>
              </w:rPr>
              <w:t> </w:t>
            </w:r>
            <w:r>
              <w:rPr>
                <w:rFonts w:ascii="宋体" w:hAnsi="宋体" w:cs="宋体" w:eastAsia="宋体" w:hint="default"/>
                <w:sz w:val="21"/>
                <w:szCs w:val="21"/>
              </w:rPr>
              <w:t>日</w:t>
            </w:r>
          </w:p>
        </w:tc>
        <w:tc>
          <w:tcPr>
            <w:tcW w:w="1899" w:type="dxa"/>
            <w:tcBorders>
              <w:top w:val="single" w:sz="8" w:space="0" w:color="41B7EE"/>
              <w:left w:val="single" w:sz="4" w:space="0" w:color="41B7EE"/>
              <w:bottom w:val="single" w:sz="4" w:space="0" w:color="41B7EE"/>
              <w:right w:val="nil" w:sz="6" w:space="0" w:color="auto"/>
            </w:tcBorders>
          </w:tcPr>
          <w:p>
            <w:pPr>
              <w:pStyle w:val="TableParagraph"/>
              <w:spacing w:line="277" w:lineRule="exact"/>
              <w:ind w:right="74"/>
              <w:jc w:val="right"/>
              <w:rPr>
                <w:rFonts w:ascii="宋体" w:hAnsi="宋体" w:cs="宋体" w:eastAsia="宋体" w:hint="default"/>
                <w:sz w:val="21"/>
                <w:szCs w:val="21"/>
              </w:rPr>
            </w:pPr>
            <w:r>
              <w:rPr>
                <w:rFonts w:ascii="Arial" w:hAnsi="Arial" w:cs="Arial" w:eastAsia="Arial" w:hint="default"/>
                <w:spacing w:val="-6"/>
                <w:sz w:val="21"/>
                <w:szCs w:val="21"/>
              </w:rPr>
              <w:t>2018</w:t>
            </w:r>
            <w:r>
              <w:rPr>
                <w:rFonts w:ascii="Arial" w:hAnsi="Arial" w:cs="Arial" w:eastAsia="Arial"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Arial" w:hAnsi="Arial" w:cs="Arial" w:eastAsia="Arial" w:hint="default"/>
                <w:spacing w:val="-4"/>
                <w:sz w:val="21"/>
                <w:szCs w:val="21"/>
              </w:rPr>
              <w:t>12</w:t>
            </w:r>
            <w:r>
              <w:rPr>
                <w:rFonts w:ascii="Arial" w:hAnsi="Arial" w:cs="Arial" w:eastAsia="Arial"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Arial" w:hAnsi="Arial" w:cs="Arial" w:eastAsia="Arial" w:hint="default"/>
                <w:spacing w:val="-4"/>
                <w:sz w:val="21"/>
                <w:szCs w:val="21"/>
              </w:rPr>
              <w:t>31</w:t>
            </w:r>
            <w:r>
              <w:rPr>
                <w:rFonts w:ascii="Arial" w:hAnsi="Arial" w:cs="Arial" w:eastAsia="Arial" w:hint="default"/>
                <w:spacing w:val="-14"/>
                <w:sz w:val="21"/>
                <w:szCs w:val="21"/>
              </w:rPr>
              <w:t> </w:t>
            </w:r>
            <w:r>
              <w:rPr>
                <w:rFonts w:ascii="宋体" w:hAnsi="宋体" w:cs="宋体" w:eastAsia="宋体" w:hint="default"/>
                <w:sz w:val="21"/>
                <w:szCs w:val="21"/>
              </w:rPr>
              <w:t>日</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5" w:lineRule="exact"/>
              <w:ind w:right="139"/>
              <w:jc w:val="center"/>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1</w:t>
            </w: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1,021,755,452.63</w:t>
            </w:r>
          </w:p>
        </w:tc>
        <w:tc>
          <w:tcPr>
            <w:tcW w:w="18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313,522,154.09</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7" w:lineRule="exact"/>
              <w:ind w:right="139"/>
              <w:jc w:val="center"/>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2</w:t>
            </w: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1,403,767,138.47</w:t>
            </w: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7" w:lineRule="exact"/>
              <w:ind w:right="139"/>
              <w:jc w:val="center"/>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4</w:t>
            </w: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2,438,073.71</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5" w:lineRule="exact"/>
              <w:ind w:right="139"/>
              <w:jc w:val="center"/>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5</w:t>
            </w: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12,913,918.26</w:t>
            </w:r>
          </w:p>
        </w:tc>
        <w:tc>
          <w:tcPr>
            <w:tcW w:w="18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8"/>
              <w:ind w:right="55"/>
              <w:jc w:val="right"/>
              <w:rPr>
                <w:rFonts w:ascii="Arial" w:hAnsi="Arial" w:cs="Arial" w:eastAsia="Arial" w:hint="default"/>
                <w:sz w:val="21"/>
                <w:szCs w:val="21"/>
              </w:rPr>
            </w:pPr>
            <w:r>
              <w:rPr>
                <w:rFonts w:ascii="Arial"/>
                <w:spacing w:val="-1"/>
                <w:sz w:val="21"/>
              </w:rPr>
              <w:t>18,890,201.75</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5" w:lineRule="exact"/>
              <w:ind w:right="139"/>
              <w:jc w:val="center"/>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7</w:t>
            </w: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44,638,868.02</w:t>
            </w:r>
          </w:p>
        </w:tc>
        <w:tc>
          <w:tcPr>
            <w:tcW w:w="18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59,289,944.31</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7" w:lineRule="exact"/>
              <w:ind w:right="139"/>
              <w:jc w:val="center"/>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8</w:t>
            </w: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204,588,311.74</w:t>
            </w:r>
          </w:p>
        </w:tc>
        <w:tc>
          <w:tcPr>
            <w:tcW w:w="18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235,640,558.44</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7" w:lineRule="exact"/>
              <w:ind w:right="139"/>
              <w:jc w:val="center"/>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8</w:t>
            </w: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9,858,946.90</w:t>
            </w: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897"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5" w:lineRule="exact"/>
              <w:ind w:right="139"/>
              <w:jc w:val="center"/>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9</w:t>
            </w: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217,765,449.27</w:t>
            </w:r>
          </w:p>
        </w:tc>
        <w:tc>
          <w:tcPr>
            <w:tcW w:w="18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246,543,373.70</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7" w:lineRule="exact"/>
              <w:ind w:right="43"/>
              <w:jc w:val="center"/>
              <w:rPr>
                <w:rFonts w:ascii="Arial" w:hAnsi="Arial" w:cs="Arial" w:eastAsia="Arial" w:hint="default"/>
                <w:sz w:val="21"/>
                <w:szCs w:val="21"/>
              </w:rPr>
            </w:pPr>
            <w:r>
              <w:rPr>
                <w:rFonts w:ascii="宋体" w:hAnsi="宋体" w:cs="宋体" w:eastAsia="宋体" w:hint="default"/>
                <w:w w:val="95"/>
                <w:sz w:val="21"/>
                <w:szCs w:val="21"/>
              </w:rPr>
              <w:t>七、</w:t>
            </w:r>
            <w:r>
              <w:rPr>
                <w:rFonts w:ascii="Arial" w:hAnsi="Arial" w:cs="Arial" w:eastAsia="Arial" w:hint="default"/>
                <w:w w:val="95"/>
                <w:sz w:val="21"/>
                <w:szCs w:val="21"/>
              </w:rPr>
              <w:t>12</w:t>
            </w:r>
            <w:r>
              <w:rPr>
                <w:rFonts w:ascii="Arial" w:hAnsi="Arial" w:cs="Arial" w:eastAsia="Arial" w:hint="default"/>
                <w:sz w:val="21"/>
                <w:szCs w:val="21"/>
              </w:rPr>
            </w: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34,086,033.15</w:t>
            </w:r>
          </w:p>
        </w:tc>
        <w:tc>
          <w:tcPr>
            <w:tcW w:w="18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6"/>
              <w:jc w:val="right"/>
              <w:rPr>
                <w:rFonts w:ascii="Arial" w:hAnsi="Arial" w:cs="Arial" w:eastAsia="Arial" w:hint="default"/>
                <w:sz w:val="21"/>
                <w:szCs w:val="21"/>
              </w:rPr>
            </w:pPr>
            <w:r>
              <w:rPr>
                <w:rFonts w:ascii="Arial"/>
                <w:spacing w:val="-1"/>
                <w:sz w:val="21"/>
              </w:rPr>
              <w:t>2,169,311,126.04</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477"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2,939,515,171.54</w:t>
            </w:r>
          </w:p>
        </w:tc>
        <w:tc>
          <w:tcPr>
            <w:tcW w:w="18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6"/>
              <w:jc w:val="right"/>
              <w:rPr>
                <w:rFonts w:ascii="Arial" w:hAnsi="Arial" w:cs="Arial" w:eastAsia="Arial" w:hint="default"/>
                <w:sz w:val="21"/>
                <w:szCs w:val="21"/>
              </w:rPr>
            </w:pPr>
            <w:r>
              <w:rPr>
                <w:rFonts w:ascii="Arial"/>
                <w:spacing w:val="-1"/>
                <w:sz w:val="21"/>
              </w:rPr>
              <w:t>3,045,635,432.04</w:t>
            </w: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3" w:lineRule="exact"/>
              <w:ind w:left="57"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21,000,000.00</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7" w:lineRule="exact"/>
              <w:ind w:right="43"/>
              <w:jc w:val="center"/>
              <w:rPr>
                <w:rFonts w:ascii="Arial" w:hAnsi="Arial" w:cs="Arial" w:eastAsia="Arial" w:hint="default"/>
                <w:sz w:val="21"/>
                <w:szCs w:val="21"/>
              </w:rPr>
            </w:pPr>
            <w:r>
              <w:rPr>
                <w:rFonts w:ascii="宋体" w:hAnsi="宋体" w:cs="宋体" w:eastAsia="宋体" w:hint="default"/>
                <w:w w:val="95"/>
                <w:sz w:val="21"/>
                <w:szCs w:val="21"/>
              </w:rPr>
              <w:t>七、</w:t>
            </w:r>
            <w:r>
              <w:rPr>
                <w:rFonts w:ascii="Arial" w:hAnsi="Arial" w:cs="Arial" w:eastAsia="Arial" w:hint="default"/>
                <w:w w:val="95"/>
                <w:sz w:val="21"/>
                <w:szCs w:val="21"/>
              </w:rPr>
              <w:t>16</w:t>
            </w:r>
            <w:r>
              <w:rPr>
                <w:rFonts w:ascii="Arial" w:hAnsi="Arial" w:cs="Arial" w:eastAsia="Arial" w:hint="default"/>
                <w:sz w:val="21"/>
                <w:szCs w:val="21"/>
              </w:rPr>
            </w: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681,324,532.81</w:t>
            </w:r>
          </w:p>
        </w:tc>
        <w:tc>
          <w:tcPr>
            <w:tcW w:w="18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715,990,697.53</w:t>
            </w: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7" w:lineRule="exact"/>
              <w:ind w:right="43"/>
              <w:jc w:val="center"/>
              <w:rPr>
                <w:rFonts w:ascii="Arial" w:hAnsi="Arial" w:cs="Arial" w:eastAsia="Arial" w:hint="default"/>
                <w:sz w:val="21"/>
                <w:szCs w:val="21"/>
              </w:rPr>
            </w:pPr>
            <w:r>
              <w:rPr>
                <w:rFonts w:ascii="宋体" w:hAnsi="宋体" w:cs="宋体" w:eastAsia="宋体" w:hint="default"/>
                <w:w w:val="95"/>
                <w:sz w:val="21"/>
                <w:szCs w:val="21"/>
              </w:rPr>
              <w:t>七、</w:t>
            </w:r>
            <w:r>
              <w:rPr>
                <w:rFonts w:ascii="Arial" w:hAnsi="Arial" w:cs="Arial" w:eastAsia="Arial" w:hint="default"/>
                <w:w w:val="95"/>
                <w:sz w:val="21"/>
                <w:szCs w:val="21"/>
              </w:rPr>
              <w:t>17</w:t>
            </w:r>
            <w:r>
              <w:rPr>
                <w:rFonts w:ascii="Arial" w:hAnsi="Arial" w:cs="Arial" w:eastAsia="Arial" w:hint="default"/>
                <w:sz w:val="21"/>
                <w:szCs w:val="21"/>
              </w:rPr>
            </w: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11,000,004.00</w:t>
            </w: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5" w:lineRule="exact"/>
              <w:ind w:right="43"/>
              <w:jc w:val="center"/>
              <w:rPr>
                <w:rFonts w:ascii="Arial" w:hAnsi="Arial" w:cs="Arial" w:eastAsia="Arial" w:hint="default"/>
                <w:sz w:val="21"/>
                <w:szCs w:val="21"/>
              </w:rPr>
            </w:pPr>
            <w:r>
              <w:rPr>
                <w:rFonts w:ascii="宋体" w:hAnsi="宋体" w:cs="宋体" w:eastAsia="宋体" w:hint="default"/>
                <w:w w:val="95"/>
                <w:sz w:val="21"/>
                <w:szCs w:val="21"/>
              </w:rPr>
              <w:t>七、</w:t>
            </w:r>
            <w:r>
              <w:rPr>
                <w:rFonts w:ascii="Arial" w:hAnsi="Arial" w:cs="Arial" w:eastAsia="Arial" w:hint="default"/>
                <w:w w:val="95"/>
                <w:sz w:val="21"/>
                <w:szCs w:val="21"/>
              </w:rPr>
              <w:t>20</w:t>
            </w:r>
            <w:r>
              <w:rPr>
                <w:rFonts w:ascii="Arial" w:hAnsi="Arial" w:cs="Arial" w:eastAsia="Arial" w:hint="default"/>
                <w:sz w:val="21"/>
                <w:szCs w:val="21"/>
              </w:rPr>
            </w: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3,192,519,671.30</w:t>
            </w:r>
          </w:p>
        </w:tc>
        <w:tc>
          <w:tcPr>
            <w:tcW w:w="18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6"/>
              <w:jc w:val="right"/>
              <w:rPr>
                <w:rFonts w:ascii="Arial" w:hAnsi="Arial" w:cs="Arial" w:eastAsia="Arial" w:hint="default"/>
                <w:sz w:val="21"/>
                <w:szCs w:val="21"/>
              </w:rPr>
            </w:pPr>
            <w:r>
              <w:rPr>
                <w:rFonts w:ascii="Arial"/>
                <w:spacing w:val="-1"/>
                <w:sz w:val="21"/>
              </w:rPr>
              <w:t>3,184,953,180.39</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7" w:lineRule="exact"/>
              <w:ind w:right="43"/>
              <w:jc w:val="center"/>
              <w:rPr>
                <w:rFonts w:ascii="Arial" w:hAnsi="Arial" w:cs="Arial" w:eastAsia="Arial" w:hint="default"/>
                <w:sz w:val="21"/>
                <w:szCs w:val="21"/>
              </w:rPr>
            </w:pPr>
            <w:r>
              <w:rPr>
                <w:rFonts w:ascii="宋体" w:hAnsi="宋体" w:cs="宋体" w:eastAsia="宋体" w:hint="default"/>
                <w:w w:val="95"/>
                <w:sz w:val="21"/>
                <w:szCs w:val="21"/>
              </w:rPr>
              <w:t>七、</w:t>
            </w:r>
            <w:r>
              <w:rPr>
                <w:rFonts w:ascii="Arial" w:hAnsi="Arial" w:cs="Arial" w:eastAsia="Arial" w:hint="default"/>
                <w:w w:val="95"/>
                <w:sz w:val="21"/>
                <w:szCs w:val="21"/>
              </w:rPr>
              <w:t>21</w:t>
            </w:r>
            <w:r>
              <w:rPr>
                <w:rFonts w:ascii="Arial" w:hAnsi="Arial" w:cs="Arial" w:eastAsia="Arial" w:hint="default"/>
                <w:sz w:val="21"/>
                <w:szCs w:val="21"/>
              </w:rPr>
            </w: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43,994,631.91</w:t>
            </w:r>
          </w:p>
        </w:tc>
        <w:tc>
          <w:tcPr>
            <w:tcW w:w="18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23,119,736.43</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3" w:lineRule="exact"/>
              <w:ind w:left="268"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5" w:lineRule="exact"/>
              <w:ind w:right="43"/>
              <w:jc w:val="center"/>
              <w:rPr>
                <w:rFonts w:ascii="Arial" w:hAnsi="Arial" w:cs="Arial" w:eastAsia="Arial" w:hint="default"/>
                <w:sz w:val="21"/>
                <w:szCs w:val="21"/>
              </w:rPr>
            </w:pPr>
            <w:r>
              <w:rPr>
                <w:rFonts w:ascii="宋体" w:hAnsi="宋体" w:cs="宋体" w:eastAsia="宋体" w:hint="default"/>
                <w:w w:val="95"/>
                <w:sz w:val="21"/>
                <w:szCs w:val="21"/>
              </w:rPr>
              <w:t>七、</w:t>
            </w:r>
            <w:r>
              <w:rPr>
                <w:rFonts w:ascii="Arial" w:hAnsi="Arial" w:cs="Arial" w:eastAsia="Arial" w:hint="default"/>
                <w:w w:val="95"/>
                <w:sz w:val="21"/>
                <w:szCs w:val="21"/>
              </w:rPr>
              <w:t>25</w:t>
            </w:r>
            <w:r>
              <w:rPr>
                <w:rFonts w:ascii="Arial" w:hAnsi="Arial" w:cs="Arial" w:eastAsia="Arial" w:hint="default"/>
                <w:sz w:val="21"/>
                <w:szCs w:val="21"/>
              </w:rPr>
            </w: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421,363,428.01</w:t>
            </w:r>
          </w:p>
        </w:tc>
        <w:tc>
          <w:tcPr>
            <w:tcW w:w="18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419,128,529.11</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7" w:lineRule="exact"/>
              <w:ind w:right="43"/>
              <w:jc w:val="center"/>
              <w:rPr>
                <w:rFonts w:ascii="Arial" w:hAnsi="Arial" w:cs="Arial" w:eastAsia="Arial" w:hint="default"/>
                <w:sz w:val="21"/>
                <w:szCs w:val="21"/>
              </w:rPr>
            </w:pPr>
            <w:r>
              <w:rPr>
                <w:rFonts w:ascii="宋体" w:hAnsi="宋体" w:cs="宋体" w:eastAsia="宋体" w:hint="default"/>
                <w:w w:val="95"/>
                <w:sz w:val="21"/>
                <w:szCs w:val="21"/>
              </w:rPr>
              <w:t>七、</w:t>
            </w:r>
            <w:r>
              <w:rPr>
                <w:rFonts w:ascii="Arial" w:hAnsi="Arial" w:cs="Arial" w:eastAsia="Arial" w:hint="default"/>
                <w:w w:val="95"/>
                <w:sz w:val="21"/>
                <w:szCs w:val="21"/>
              </w:rPr>
              <w:t>28</w:t>
            </w:r>
            <w:r>
              <w:rPr>
                <w:rFonts w:ascii="Arial" w:hAnsi="Arial" w:cs="Arial" w:eastAsia="Arial" w:hint="default"/>
                <w:sz w:val="21"/>
                <w:szCs w:val="21"/>
              </w:rPr>
            </w: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44,106,346.24</w:t>
            </w:r>
          </w:p>
        </w:tc>
        <w:tc>
          <w:tcPr>
            <w:tcW w:w="18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49,477,154.61</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7" w:lineRule="exact"/>
              <w:ind w:right="43"/>
              <w:jc w:val="center"/>
              <w:rPr>
                <w:rFonts w:ascii="Arial" w:hAnsi="Arial" w:cs="Arial" w:eastAsia="Arial" w:hint="default"/>
                <w:sz w:val="21"/>
                <w:szCs w:val="21"/>
              </w:rPr>
            </w:pPr>
            <w:r>
              <w:rPr>
                <w:rFonts w:ascii="宋体" w:hAnsi="宋体" w:cs="宋体" w:eastAsia="宋体" w:hint="default"/>
                <w:w w:val="95"/>
                <w:sz w:val="21"/>
                <w:szCs w:val="21"/>
              </w:rPr>
              <w:t>七、</w:t>
            </w:r>
            <w:r>
              <w:rPr>
                <w:rFonts w:ascii="Arial" w:hAnsi="Arial" w:cs="Arial" w:eastAsia="Arial" w:hint="default"/>
                <w:w w:val="95"/>
                <w:sz w:val="21"/>
                <w:szCs w:val="21"/>
              </w:rPr>
              <w:t>30</w:t>
            </w:r>
            <w:r>
              <w:rPr>
                <w:rFonts w:ascii="Arial" w:hAnsi="Arial" w:cs="Arial" w:eastAsia="Arial" w:hint="default"/>
                <w:sz w:val="21"/>
                <w:szCs w:val="21"/>
              </w:rPr>
            </w: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511,500,706.39</w:t>
            </w:r>
          </w:p>
        </w:tc>
        <w:tc>
          <w:tcPr>
            <w:tcW w:w="18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514,161,945.27</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477"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4,905,809,320.66</w:t>
            </w:r>
          </w:p>
        </w:tc>
        <w:tc>
          <w:tcPr>
            <w:tcW w:w="18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6"/>
              <w:jc w:val="right"/>
              <w:rPr>
                <w:rFonts w:ascii="Arial" w:hAnsi="Arial" w:cs="Arial" w:eastAsia="Arial" w:hint="default"/>
                <w:sz w:val="21"/>
                <w:szCs w:val="21"/>
              </w:rPr>
            </w:pPr>
            <w:r>
              <w:rPr>
                <w:rFonts w:ascii="Arial"/>
                <w:spacing w:val="-1"/>
                <w:sz w:val="21"/>
              </w:rPr>
              <w:t>4,927,831,243.34</w:t>
            </w:r>
          </w:p>
        </w:tc>
      </w:tr>
      <w:tr>
        <w:trPr>
          <w:trHeight w:val="329" w:hRule="exact"/>
        </w:trPr>
        <w:tc>
          <w:tcPr>
            <w:tcW w:w="4453" w:type="dxa"/>
            <w:tcBorders>
              <w:top w:val="single" w:sz="4" w:space="0" w:color="41B7EE"/>
              <w:left w:val="nil" w:sz="6" w:space="0" w:color="auto"/>
              <w:bottom w:val="single" w:sz="8" w:space="0" w:color="41B7EE"/>
              <w:right w:val="single" w:sz="4" w:space="0" w:color="41B7EE"/>
            </w:tcBorders>
          </w:tcPr>
          <w:p>
            <w:pPr>
              <w:pStyle w:val="TableParagraph"/>
              <w:spacing w:line="260" w:lineRule="exact"/>
              <w:ind w:left="688"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718" w:type="dxa"/>
            <w:tcBorders>
              <w:top w:val="single" w:sz="4" w:space="0" w:color="41B7EE"/>
              <w:left w:val="single" w:sz="4" w:space="0" w:color="41B7EE"/>
              <w:bottom w:val="single" w:sz="8" w:space="0" w:color="41B7EE"/>
              <w:right w:val="single" w:sz="4" w:space="0" w:color="41B7EE"/>
            </w:tcBorders>
          </w:tcPr>
          <w:p>
            <w:pPr/>
          </w:p>
        </w:tc>
        <w:tc>
          <w:tcPr>
            <w:tcW w:w="1870"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7,845,324,492.20</w:t>
            </w:r>
          </w:p>
        </w:tc>
        <w:tc>
          <w:tcPr>
            <w:tcW w:w="1899"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31"/>
              <w:ind w:right="56"/>
              <w:jc w:val="right"/>
              <w:rPr>
                <w:rFonts w:ascii="Arial" w:hAnsi="Arial" w:cs="Arial" w:eastAsia="Arial" w:hint="default"/>
                <w:sz w:val="21"/>
                <w:szCs w:val="21"/>
              </w:rPr>
            </w:pPr>
            <w:r>
              <w:rPr>
                <w:rFonts w:ascii="Arial"/>
                <w:spacing w:val="-1"/>
                <w:sz w:val="21"/>
              </w:rPr>
              <w:t>7,973,466,675.38</w:t>
            </w:r>
          </w:p>
        </w:tc>
      </w:tr>
    </w:tbl>
    <w:p>
      <w:pPr>
        <w:spacing w:line="240" w:lineRule="auto" w:before="11"/>
        <w:rPr>
          <w:rFonts w:ascii="宋体" w:hAnsi="宋体" w:cs="宋体" w:eastAsia="宋体" w:hint="default"/>
          <w:sz w:val="2"/>
          <w:szCs w:val="2"/>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47.95pt;height:1pt;mso-position-horizontal-relative:char;mso-position-vertical-relative:line" coordorigin="0,0" coordsize="8959,20">
            <v:group style="position:absolute;left:10;top:10;width:4448;height:2" coordorigin="10,10" coordsize="4448,2">
              <v:shape style="position:absolute;left:10;top:10;width:4448;height:2" coordorigin="10,10" coordsize="4448,0" path="m10,10l4457,10e" filled="false" stroked="true" strokeweight=".96002pt" strokecolor="#41b7ee">
                <v:path arrowok="t"/>
              </v:shape>
            </v:group>
            <v:group style="position:absolute;left:4457;top:10;width:58;height:2" coordorigin="4457,10" coordsize="58,2">
              <v:shape style="position:absolute;left:4457;top:10;width:58;height:2" coordorigin="4457,10" coordsize="58,0" path="m4457,10l4515,10e" filled="false" stroked="true" strokeweight=".96002pt" strokecolor="#41b7ee">
                <v:path arrowok="t"/>
              </v:shape>
            </v:group>
            <v:group style="position:absolute;left:4515;top:10;width:661;height:2" coordorigin="4515,10" coordsize="661,2">
              <v:shape style="position:absolute;left:4515;top:10;width:661;height:2" coordorigin="4515,10" coordsize="661,0" path="m4515,10l5175,10e" filled="false" stroked="true" strokeweight=".96002pt" strokecolor="#41b7ee">
                <v:path arrowok="t"/>
              </v:shape>
            </v:group>
            <v:group style="position:absolute;left:5175;top:10;width:58;height:2" coordorigin="5175,10" coordsize="58,2">
              <v:shape style="position:absolute;left:5175;top:10;width:58;height:2" coordorigin="5175,10" coordsize="58,0" path="m5175,10l5233,10e" filled="false" stroked="true" strokeweight=".96002pt" strokecolor="#41b7ee">
                <v:path arrowok="t"/>
              </v:shape>
            </v:group>
            <v:group style="position:absolute;left:5233;top:10;width:1812;height:2" coordorigin="5233,10" coordsize="1812,2">
              <v:shape style="position:absolute;left:5233;top:10;width:1812;height:2" coordorigin="5233,10" coordsize="1812,0" path="m5233,10l7045,10e" filled="false" stroked="true" strokeweight=".96002pt" strokecolor="#41b7ee">
                <v:path arrowok="t"/>
              </v:shape>
            </v:group>
            <v:group style="position:absolute;left:7045;top:10;width:58;height:2" coordorigin="7045,10" coordsize="58,2">
              <v:shape style="position:absolute;left:7045;top:10;width:58;height:2" coordorigin="7045,10" coordsize="58,0" path="m7045,10l7103,10e" filled="false" stroked="true" strokeweight=".96002pt" strokecolor="#41b7ee">
                <v:path arrowok="t"/>
              </v:shape>
            </v:group>
            <v:group style="position:absolute;left:7103;top:10;width:1847;height:2" coordorigin="7103,10" coordsize="1847,2">
              <v:shape style="position:absolute;left:7103;top:10;width:1847;height:2" coordorigin="7103,10" coordsize="1847,0" path="m7103,10l8949,10e" filled="false" stroked="true" strokeweight=".96002pt" strokecolor="#41b7ee">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360" w:bottom="1380" w:left="1620" w:right="1060"/>
        </w:sectPr>
      </w:pPr>
    </w:p>
    <w:p>
      <w:pPr>
        <w:spacing w:line="240" w:lineRule="auto" w:before="9"/>
        <w:rPr>
          <w:rFonts w:ascii="Times New Roman" w:hAnsi="Times New Roman" w:cs="Times New Roman" w:eastAsia="Times New Roman" w:hint="default"/>
          <w:sz w:val="13"/>
          <w:szCs w:val="13"/>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7.95pt;height:1pt;mso-position-horizontal-relative:char;mso-position-vertical-relative:line" coordorigin="0,0" coordsize="8959,20">
            <v:group style="position:absolute;left:10;top:10;width:4448;height:2" coordorigin="10,10" coordsize="4448,2">
              <v:shape style="position:absolute;left:10;top:10;width:4448;height:2" coordorigin="10,10" coordsize="4448,0" path="m10,10l4457,10e" filled="false" stroked="true" strokeweight=".96001pt" strokecolor="#41b7ee">
                <v:path arrowok="t"/>
              </v:shape>
            </v:group>
            <v:group style="position:absolute;left:4457;top:10;width:58;height:2" coordorigin="4457,10" coordsize="58,2">
              <v:shape style="position:absolute;left:4457;top:10;width:58;height:2" coordorigin="4457,10" coordsize="58,0" path="m4457,10l4515,10e" filled="false" stroked="true" strokeweight=".96001pt" strokecolor="#41b7ee">
                <v:path arrowok="t"/>
              </v:shape>
            </v:group>
            <v:group style="position:absolute;left:4515;top:10;width:661;height:2" coordorigin="4515,10" coordsize="661,2">
              <v:shape style="position:absolute;left:4515;top:10;width:661;height:2" coordorigin="4515,10" coordsize="661,0" path="m4515,10l5175,10e" filled="false" stroked="true" strokeweight=".96001pt" strokecolor="#41b7ee">
                <v:path arrowok="t"/>
              </v:shape>
            </v:group>
            <v:group style="position:absolute;left:5175;top:10;width:58;height:2" coordorigin="5175,10" coordsize="58,2">
              <v:shape style="position:absolute;left:5175;top:10;width:58;height:2" coordorigin="5175,10" coordsize="58,0" path="m5175,10l5233,10e" filled="false" stroked="true" strokeweight=".96001pt" strokecolor="#41b7ee">
                <v:path arrowok="t"/>
              </v:shape>
            </v:group>
            <v:group style="position:absolute;left:5233;top:10;width:1812;height:2" coordorigin="5233,10" coordsize="1812,2">
              <v:shape style="position:absolute;left:5233;top:10;width:1812;height:2" coordorigin="5233,10" coordsize="1812,0" path="m5233,10l7045,10e" filled="false" stroked="true" strokeweight=".96001pt" strokecolor="#41b7ee">
                <v:path arrowok="t"/>
              </v:shape>
            </v:group>
            <v:group style="position:absolute;left:7045;top:10;width:58;height:2" coordorigin="7045,10" coordsize="58,2">
              <v:shape style="position:absolute;left:7045;top:10;width:58;height:2" coordorigin="7045,10" coordsize="58,0" path="m7045,10l7103,10e" filled="false" stroked="true" strokeweight=".96001pt" strokecolor="#41b7ee">
                <v:path arrowok="t"/>
              </v:shape>
            </v:group>
            <v:group style="position:absolute;left:7103;top:10;width:1847;height:2" coordorigin="7103,10" coordsize="1847,2">
              <v:shape style="position:absolute;left:7103;top:10;width:1847;height:2" coordorigin="7103,10" coordsize="1847,0" path="m7103,10l8949,10e" filled="false" stroked="true" strokeweight=".96001pt" strokecolor="#41b7ee">
                <v:path arrowok="t"/>
              </v:shape>
            </v:group>
          </v:group>
        </w:pict>
      </w:r>
      <w:r>
        <w:rPr>
          <w:rFonts w:ascii="Times New Roman" w:hAnsi="Times New Roman" w:cs="Times New Roman" w:eastAsia="Times New Roman" w:hint="default"/>
          <w:sz w:val="2"/>
          <w:szCs w:val="2"/>
        </w:rPr>
      </w:r>
    </w:p>
    <w:tbl>
      <w:tblPr>
        <w:tblW w:w="0" w:type="auto"/>
        <w:jc w:val="left"/>
        <w:tblInd w:w="110" w:type="dxa"/>
        <w:tblLayout w:type="fixed"/>
        <w:tblCellMar>
          <w:top w:w="0" w:type="dxa"/>
          <w:left w:w="0" w:type="dxa"/>
          <w:bottom w:w="0" w:type="dxa"/>
          <w:right w:w="0" w:type="dxa"/>
        </w:tblCellMar>
        <w:tblLook w:val="01E0"/>
      </w:tblPr>
      <w:tblGrid>
        <w:gridCol w:w="4453"/>
        <w:gridCol w:w="718"/>
        <w:gridCol w:w="1870"/>
        <w:gridCol w:w="1899"/>
      </w:tblGrid>
      <w:tr>
        <w:trPr>
          <w:trHeight w:val="329" w:hRule="exact"/>
        </w:trPr>
        <w:tc>
          <w:tcPr>
            <w:tcW w:w="4453" w:type="dxa"/>
            <w:tcBorders>
              <w:top w:val="single" w:sz="8" w:space="0" w:color="41B7EE"/>
              <w:left w:val="nil" w:sz="6" w:space="0" w:color="auto"/>
              <w:bottom w:val="single" w:sz="4" w:space="0" w:color="41B7EE"/>
              <w:right w:val="single" w:sz="4" w:space="0" w:color="41B7EE"/>
            </w:tcBorders>
          </w:tcPr>
          <w:p>
            <w:pPr>
              <w:pStyle w:val="TableParagraph"/>
              <w:spacing w:line="265" w:lineRule="exact"/>
              <w:ind w:left="57"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718" w:type="dxa"/>
            <w:tcBorders>
              <w:top w:val="single" w:sz="8" w:space="0" w:color="41B7EE"/>
              <w:left w:val="single" w:sz="4" w:space="0" w:color="41B7EE"/>
              <w:bottom w:val="single" w:sz="4" w:space="0" w:color="41B7EE"/>
              <w:right w:val="single" w:sz="4" w:space="0" w:color="41B7EE"/>
            </w:tcBorders>
          </w:tcPr>
          <w:p>
            <w:pPr/>
          </w:p>
        </w:tc>
        <w:tc>
          <w:tcPr>
            <w:tcW w:w="1870" w:type="dxa"/>
            <w:tcBorders>
              <w:top w:val="single" w:sz="8" w:space="0" w:color="41B7EE"/>
              <w:left w:val="single" w:sz="4" w:space="0" w:color="41B7EE"/>
              <w:bottom w:val="single" w:sz="4" w:space="0" w:color="41B7EE"/>
              <w:right w:val="single" w:sz="4" w:space="0" w:color="41B7EE"/>
            </w:tcBorders>
          </w:tcPr>
          <w:p>
            <w:pPr/>
          </w:p>
        </w:tc>
        <w:tc>
          <w:tcPr>
            <w:tcW w:w="1899" w:type="dxa"/>
            <w:tcBorders>
              <w:top w:val="single" w:sz="8" w:space="0" w:color="41B7EE"/>
              <w:left w:val="single" w:sz="4" w:space="0" w:color="41B7EE"/>
              <w:bottom w:val="single" w:sz="4" w:space="0" w:color="41B7EE"/>
              <w:right w:val="nil" w:sz="6" w:space="0" w:color="auto"/>
            </w:tcBorders>
          </w:tcPr>
          <w:p>
            <w:pP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7" w:lineRule="exact"/>
              <w:ind w:right="43"/>
              <w:jc w:val="center"/>
              <w:rPr>
                <w:rFonts w:ascii="Arial" w:hAnsi="Arial" w:cs="Arial" w:eastAsia="Arial" w:hint="default"/>
                <w:sz w:val="21"/>
                <w:szCs w:val="21"/>
              </w:rPr>
            </w:pPr>
            <w:r>
              <w:rPr>
                <w:rFonts w:ascii="宋体" w:hAnsi="宋体" w:cs="宋体" w:eastAsia="宋体" w:hint="default"/>
                <w:w w:val="95"/>
                <w:sz w:val="21"/>
                <w:szCs w:val="21"/>
              </w:rPr>
              <w:t>七、</w:t>
            </w:r>
            <w:r>
              <w:rPr>
                <w:rFonts w:ascii="Arial" w:hAnsi="Arial" w:cs="Arial" w:eastAsia="Arial" w:hint="default"/>
                <w:w w:val="95"/>
                <w:sz w:val="21"/>
                <w:szCs w:val="21"/>
              </w:rPr>
              <w:t>35</w:t>
            </w:r>
            <w:r>
              <w:rPr>
                <w:rFonts w:ascii="Arial" w:hAnsi="Arial" w:cs="Arial" w:eastAsia="Arial" w:hint="default"/>
                <w:sz w:val="21"/>
                <w:szCs w:val="21"/>
              </w:rPr>
            </w: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140,229,185.77</w:t>
            </w:r>
          </w:p>
        </w:tc>
        <w:tc>
          <w:tcPr>
            <w:tcW w:w="18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139,133,308.98</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7" w:lineRule="exact"/>
              <w:ind w:right="43"/>
              <w:jc w:val="center"/>
              <w:rPr>
                <w:rFonts w:ascii="Arial" w:hAnsi="Arial" w:cs="Arial" w:eastAsia="Arial" w:hint="default"/>
                <w:sz w:val="21"/>
                <w:szCs w:val="21"/>
              </w:rPr>
            </w:pPr>
            <w:r>
              <w:rPr>
                <w:rFonts w:ascii="宋体" w:hAnsi="宋体" w:cs="宋体" w:eastAsia="宋体" w:hint="default"/>
                <w:w w:val="95"/>
                <w:sz w:val="21"/>
                <w:szCs w:val="21"/>
              </w:rPr>
              <w:t>七、</w:t>
            </w:r>
            <w:r>
              <w:rPr>
                <w:rFonts w:ascii="Arial" w:hAnsi="Arial" w:cs="Arial" w:eastAsia="Arial" w:hint="default"/>
                <w:w w:val="95"/>
                <w:sz w:val="21"/>
                <w:szCs w:val="21"/>
              </w:rPr>
              <w:t>36</w:t>
            </w:r>
            <w:r>
              <w:rPr>
                <w:rFonts w:ascii="Arial" w:hAnsi="Arial" w:cs="Arial" w:eastAsia="Arial" w:hint="default"/>
                <w:sz w:val="21"/>
                <w:szCs w:val="21"/>
              </w:rPr>
            </w: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503,480,147.74</w:t>
            </w:r>
          </w:p>
        </w:tc>
        <w:tc>
          <w:tcPr>
            <w:tcW w:w="18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631,055,077.71</w:t>
            </w: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7" w:lineRule="exact"/>
              <w:ind w:right="43"/>
              <w:jc w:val="center"/>
              <w:rPr>
                <w:rFonts w:ascii="Arial" w:hAnsi="Arial" w:cs="Arial" w:eastAsia="Arial" w:hint="default"/>
                <w:sz w:val="21"/>
                <w:szCs w:val="21"/>
              </w:rPr>
            </w:pPr>
            <w:r>
              <w:rPr>
                <w:rFonts w:ascii="宋体" w:hAnsi="宋体" w:cs="宋体" w:eastAsia="宋体" w:hint="default"/>
                <w:w w:val="95"/>
                <w:sz w:val="21"/>
                <w:szCs w:val="21"/>
              </w:rPr>
              <w:t>七、</w:t>
            </w:r>
            <w:r>
              <w:rPr>
                <w:rFonts w:ascii="Arial" w:hAnsi="Arial" w:cs="Arial" w:eastAsia="Arial" w:hint="default"/>
                <w:w w:val="95"/>
                <w:sz w:val="21"/>
                <w:szCs w:val="21"/>
              </w:rPr>
              <w:t>37</w:t>
            </w:r>
            <w:r>
              <w:rPr>
                <w:rFonts w:ascii="Arial" w:hAnsi="Arial" w:cs="Arial" w:eastAsia="Arial" w:hint="default"/>
                <w:sz w:val="21"/>
                <w:szCs w:val="21"/>
              </w:rPr>
            </w: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289,888,418.37</w:t>
            </w:r>
          </w:p>
        </w:tc>
        <w:tc>
          <w:tcPr>
            <w:tcW w:w="18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314,636,993.92</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5" w:lineRule="exact"/>
              <w:ind w:right="43"/>
              <w:jc w:val="center"/>
              <w:rPr>
                <w:rFonts w:ascii="Arial" w:hAnsi="Arial" w:cs="Arial" w:eastAsia="Arial" w:hint="default"/>
                <w:sz w:val="21"/>
                <w:szCs w:val="21"/>
              </w:rPr>
            </w:pPr>
            <w:r>
              <w:rPr>
                <w:rFonts w:ascii="宋体" w:hAnsi="宋体" w:cs="宋体" w:eastAsia="宋体" w:hint="default"/>
                <w:w w:val="95"/>
                <w:sz w:val="21"/>
                <w:szCs w:val="21"/>
              </w:rPr>
              <w:t>七、</w:t>
            </w:r>
            <w:r>
              <w:rPr>
                <w:rFonts w:ascii="Arial" w:hAnsi="Arial" w:cs="Arial" w:eastAsia="Arial" w:hint="default"/>
                <w:w w:val="95"/>
                <w:sz w:val="21"/>
                <w:szCs w:val="21"/>
              </w:rPr>
              <w:t>38</w:t>
            </w:r>
            <w:r>
              <w:rPr>
                <w:rFonts w:ascii="Arial" w:hAnsi="Arial" w:cs="Arial" w:eastAsia="Arial" w:hint="default"/>
                <w:sz w:val="21"/>
                <w:szCs w:val="21"/>
              </w:rPr>
            </w: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88,866,640.04</w:t>
            </w:r>
          </w:p>
        </w:tc>
        <w:tc>
          <w:tcPr>
            <w:tcW w:w="18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8"/>
              <w:ind w:right="55"/>
              <w:jc w:val="right"/>
              <w:rPr>
                <w:rFonts w:ascii="Arial" w:hAnsi="Arial" w:cs="Arial" w:eastAsia="Arial" w:hint="default"/>
                <w:sz w:val="21"/>
                <w:szCs w:val="21"/>
              </w:rPr>
            </w:pPr>
            <w:r>
              <w:rPr>
                <w:rFonts w:ascii="Arial"/>
                <w:spacing w:val="-1"/>
                <w:sz w:val="21"/>
              </w:rPr>
              <w:t>110,742,032.77</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5" w:lineRule="exact"/>
              <w:ind w:right="43"/>
              <w:jc w:val="center"/>
              <w:rPr>
                <w:rFonts w:ascii="Arial" w:hAnsi="Arial" w:cs="Arial" w:eastAsia="Arial" w:hint="default"/>
                <w:sz w:val="21"/>
                <w:szCs w:val="21"/>
              </w:rPr>
            </w:pPr>
            <w:r>
              <w:rPr>
                <w:rFonts w:ascii="宋体" w:hAnsi="宋体" w:cs="宋体" w:eastAsia="宋体" w:hint="default"/>
                <w:w w:val="95"/>
                <w:sz w:val="21"/>
                <w:szCs w:val="21"/>
              </w:rPr>
              <w:t>七、</w:t>
            </w:r>
            <w:r>
              <w:rPr>
                <w:rFonts w:ascii="Arial" w:hAnsi="Arial" w:cs="Arial" w:eastAsia="Arial" w:hint="default"/>
                <w:w w:val="95"/>
                <w:sz w:val="21"/>
                <w:szCs w:val="21"/>
              </w:rPr>
              <w:t>39</w:t>
            </w:r>
            <w:r>
              <w:rPr>
                <w:rFonts w:ascii="Arial" w:hAnsi="Arial" w:cs="Arial" w:eastAsia="Arial" w:hint="default"/>
                <w:sz w:val="21"/>
                <w:szCs w:val="21"/>
              </w:rPr>
            </w: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274,426,330.25</w:t>
            </w:r>
          </w:p>
        </w:tc>
        <w:tc>
          <w:tcPr>
            <w:tcW w:w="18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348,605,376.64</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3" w:lineRule="exact"/>
              <w:ind w:left="897"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8" w:lineRule="exact"/>
              <w:ind w:right="43"/>
              <w:jc w:val="center"/>
              <w:rPr>
                <w:rFonts w:ascii="Arial" w:hAnsi="Arial" w:cs="Arial" w:eastAsia="Arial" w:hint="default"/>
                <w:sz w:val="21"/>
                <w:szCs w:val="21"/>
              </w:rPr>
            </w:pPr>
            <w:r>
              <w:rPr>
                <w:rFonts w:ascii="宋体" w:hAnsi="宋体" w:cs="宋体" w:eastAsia="宋体" w:hint="default"/>
                <w:w w:val="95"/>
                <w:sz w:val="21"/>
                <w:szCs w:val="21"/>
              </w:rPr>
              <w:t>七、</w:t>
            </w:r>
            <w:r>
              <w:rPr>
                <w:rFonts w:ascii="Arial" w:hAnsi="Arial" w:cs="Arial" w:eastAsia="Arial" w:hint="default"/>
                <w:w w:val="95"/>
                <w:sz w:val="21"/>
                <w:szCs w:val="21"/>
              </w:rPr>
              <w:t>39</w:t>
            </w:r>
            <w:r>
              <w:rPr>
                <w:rFonts w:ascii="Arial" w:hAnsi="Arial" w:cs="Arial" w:eastAsia="Arial" w:hint="default"/>
                <w:sz w:val="21"/>
                <w:szCs w:val="21"/>
              </w:rPr>
            </w: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70,309.90</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477"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1,296,890,722.17</w:t>
            </w:r>
          </w:p>
        </w:tc>
        <w:tc>
          <w:tcPr>
            <w:tcW w:w="18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6"/>
              <w:jc w:val="right"/>
              <w:rPr>
                <w:rFonts w:ascii="Arial" w:hAnsi="Arial" w:cs="Arial" w:eastAsia="Arial" w:hint="default"/>
                <w:sz w:val="21"/>
                <w:szCs w:val="21"/>
              </w:rPr>
            </w:pPr>
            <w:r>
              <w:rPr>
                <w:rFonts w:ascii="Arial"/>
                <w:spacing w:val="-1"/>
                <w:sz w:val="21"/>
              </w:rPr>
              <w:t>1,544,172,790.02</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7" w:lineRule="exact"/>
              <w:ind w:right="43"/>
              <w:jc w:val="center"/>
              <w:rPr>
                <w:rFonts w:ascii="Arial" w:hAnsi="Arial" w:cs="Arial" w:eastAsia="Arial" w:hint="default"/>
                <w:sz w:val="21"/>
                <w:szCs w:val="21"/>
              </w:rPr>
            </w:pPr>
            <w:r>
              <w:rPr>
                <w:rFonts w:ascii="宋体" w:hAnsi="宋体" w:cs="宋体" w:eastAsia="宋体" w:hint="default"/>
                <w:w w:val="95"/>
                <w:sz w:val="21"/>
                <w:szCs w:val="21"/>
              </w:rPr>
              <w:t>七、</w:t>
            </w:r>
            <w:r>
              <w:rPr>
                <w:rFonts w:ascii="Arial" w:hAnsi="Arial" w:cs="Arial" w:eastAsia="Arial" w:hint="default"/>
                <w:w w:val="95"/>
                <w:sz w:val="21"/>
                <w:szCs w:val="21"/>
              </w:rPr>
              <w:t>43</w:t>
            </w:r>
            <w:r>
              <w:rPr>
                <w:rFonts w:ascii="Arial" w:hAnsi="Arial" w:cs="Arial" w:eastAsia="Arial" w:hint="default"/>
                <w:sz w:val="21"/>
                <w:szCs w:val="21"/>
              </w:rPr>
            </w: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4,451,729.61</w:t>
            </w:r>
          </w:p>
        </w:tc>
        <w:tc>
          <w:tcPr>
            <w:tcW w:w="18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4,451,729.61</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897"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5" w:lineRule="exact"/>
              <w:ind w:right="43"/>
              <w:jc w:val="center"/>
              <w:rPr>
                <w:rFonts w:ascii="Arial" w:hAnsi="Arial" w:cs="Arial" w:eastAsia="Arial" w:hint="default"/>
                <w:sz w:val="21"/>
                <w:szCs w:val="21"/>
              </w:rPr>
            </w:pPr>
            <w:r>
              <w:rPr>
                <w:rFonts w:ascii="宋体" w:hAnsi="宋体" w:cs="宋体" w:eastAsia="宋体" w:hint="default"/>
                <w:w w:val="95"/>
                <w:sz w:val="21"/>
                <w:szCs w:val="21"/>
              </w:rPr>
              <w:t>七、</w:t>
            </w:r>
            <w:r>
              <w:rPr>
                <w:rFonts w:ascii="Arial" w:hAnsi="Arial" w:cs="Arial" w:eastAsia="Arial" w:hint="default"/>
                <w:w w:val="95"/>
                <w:sz w:val="21"/>
                <w:szCs w:val="21"/>
              </w:rPr>
              <w:t>46</w:t>
            </w:r>
            <w:r>
              <w:rPr>
                <w:rFonts w:ascii="Arial" w:hAnsi="Arial" w:cs="Arial" w:eastAsia="Arial" w:hint="default"/>
                <w:sz w:val="21"/>
                <w:szCs w:val="21"/>
              </w:rPr>
            </w: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137,271.31</w:t>
            </w:r>
          </w:p>
        </w:tc>
        <w:tc>
          <w:tcPr>
            <w:tcW w:w="18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137,271.31</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5" w:lineRule="exact"/>
              <w:ind w:right="43"/>
              <w:jc w:val="center"/>
              <w:rPr>
                <w:rFonts w:ascii="Arial" w:hAnsi="Arial" w:cs="Arial" w:eastAsia="Arial" w:hint="default"/>
                <w:sz w:val="21"/>
                <w:szCs w:val="21"/>
              </w:rPr>
            </w:pPr>
            <w:r>
              <w:rPr>
                <w:rFonts w:ascii="宋体" w:hAnsi="宋体" w:cs="宋体" w:eastAsia="宋体" w:hint="default"/>
                <w:w w:val="95"/>
                <w:sz w:val="21"/>
                <w:szCs w:val="21"/>
              </w:rPr>
              <w:t>七、</w:t>
            </w:r>
            <w:r>
              <w:rPr>
                <w:rFonts w:ascii="Arial" w:hAnsi="Arial" w:cs="Arial" w:eastAsia="Arial" w:hint="default"/>
                <w:w w:val="95"/>
                <w:sz w:val="21"/>
                <w:szCs w:val="21"/>
              </w:rPr>
              <w:t>47</w:t>
            </w:r>
            <w:r>
              <w:rPr>
                <w:rFonts w:ascii="Arial" w:hAnsi="Arial" w:cs="Arial" w:eastAsia="Arial" w:hint="default"/>
                <w:sz w:val="21"/>
                <w:szCs w:val="21"/>
              </w:rPr>
            </w: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109,623,736.12</w:t>
            </w:r>
          </w:p>
        </w:tc>
        <w:tc>
          <w:tcPr>
            <w:tcW w:w="18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114,649,885.84</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7" w:lineRule="exact"/>
              <w:ind w:right="43"/>
              <w:jc w:val="center"/>
              <w:rPr>
                <w:rFonts w:ascii="Arial" w:hAnsi="Arial" w:cs="Arial" w:eastAsia="Arial" w:hint="default"/>
                <w:sz w:val="21"/>
                <w:szCs w:val="21"/>
              </w:rPr>
            </w:pPr>
            <w:r>
              <w:rPr>
                <w:rFonts w:ascii="宋体" w:hAnsi="宋体" w:cs="宋体" w:eastAsia="宋体" w:hint="default"/>
                <w:w w:val="95"/>
                <w:sz w:val="21"/>
                <w:szCs w:val="21"/>
              </w:rPr>
              <w:t>七、</w:t>
            </w:r>
            <w:r>
              <w:rPr>
                <w:rFonts w:ascii="Arial" w:hAnsi="Arial" w:cs="Arial" w:eastAsia="Arial" w:hint="default"/>
                <w:w w:val="95"/>
                <w:sz w:val="21"/>
                <w:szCs w:val="21"/>
              </w:rPr>
              <w:t>48</w:t>
            </w:r>
            <w:r>
              <w:rPr>
                <w:rFonts w:ascii="Arial" w:hAnsi="Arial" w:cs="Arial" w:eastAsia="Arial" w:hint="default"/>
                <w:sz w:val="21"/>
                <w:szCs w:val="21"/>
              </w:rPr>
            </w: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447,770.64</w:t>
            </w:r>
          </w:p>
        </w:tc>
        <w:tc>
          <w:tcPr>
            <w:tcW w:w="18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447,770.64</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7" w:lineRule="exact"/>
              <w:ind w:right="43"/>
              <w:jc w:val="center"/>
              <w:rPr>
                <w:rFonts w:ascii="Arial" w:hAnsi="Arial" w:cs="Arial" w:eastAsia="Arial" w:hint="default"/>
                <w:sz w:val="21"/>
                <w:szCs w:val="21"/>
              </w:rPr>
            </w:pPr>
            <w:r>
              <w:rPr>
                <w:rFonts w:ascii="宋体" w:hAnsi="宋体" w:cs="宋体" w:eastAsia="宋体" w:hint="default"/>
                <w:w w:val="95"/>
                <w:sz w:val="21"/>
                <w:szCs w:val="21"/>
              </w:rPr>
              <w:t>七、</w:t>
            </w:r>
            <w:r>
              <w:rPr>
                <w:rFonts w:ascii="Arial" w:hAnsi="Arial" w:cs="Arial" w:eastAsia="Arial" w:hint="default"/>
                <w:w w:val="95"/>
                <w:sz w:val="21"/>
                <w:szCs w:val="21"/>
              </w:rPr>
              <w:t>49</w:t>
            </w:r>
            <w:r>
              <w:rPr>
                <w:rFonts w:ascii="Arial" w:hAnsi="Arial" w:cs="Arial" w:eastAsia="Arial" w:hint="default"/>
                <w:sz w:val="21"/>
                <w:szCs w:val="21"/>
              </w:rPr>
            </w: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3,959,427.30</w:t>
            </w:r>
          </w:p>
        </w:tc>
        <w:tc>
          <w:tcPr>
            <w:tcW w:w="18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1,701,754.62</w:t>
            </w: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477"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118,619,934.98</w:t>
            </w:r>
          </w:p>
        </w:tc>
        <w:tc>
          <w:tcPr>
            <w:tcW w:w="18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121,388,412.02</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688"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1,415,510,657.15</w:t>
            </w:r>
          </w:p>
        </w:tc>
        <w:tc>
          <w:tcPr>
            <w:tcW w:w="18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6"/>
              <w:jc w:val="right"/>
              <w:rPr>
                <w:rFonts w:ascii="Arial" w:hAnsi="Arial" w:cs="Arial" w:eastAsia="Arial" w:hint="default"/>
                <w:sz w:val="21"/>
                <w:szCs w:val="21"/>
              </w:rPr>
            </w:pPr>
            <w:r>
              <w:rPr>
                <w:rFonts w:ascii="Arial"/>
                <w:spacing w:val="-1"/>
                <w:sz w:val="21"/>
              </w:rPr>
              <w:t>1,665,561,202.04</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57"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7" w:lineRule="exact"/>
              <w:ind w:right="43"/>
              <w:jc w:val="center"/>
              <w:rPr>
                <w:rFonts w:ascii="Arial" w:hAnsi="Arial" w:cs="Arial" w:eastAsia="Arial" w:hint="default"/>
                <w:sz w:val="21"/>
                <w:szCs w:val="21"/>
              </w:rPr>
            </w:pPr>
            <w:r>
              <w:rPr>
                <w:rFonts w:ascii="宋体" w:hAnsi="宋体" w:cs="宋体" w:eastAsia="宋体" w:hint="default"/>
                <w:w w:val="95"/>
                <w:sz w:val="21"/>
                <w:szCs w:val="21"/>
              </w:rPr>
              <w:t>七、</w:t>
            </w:r>
            <w:r>
              <w:rPr>
                <w:rFonts w:ascii="Arial" w:hAnsi="Arial" w:cs="Arial" w:eastAsia="Arial" w:hint="default"/>
                <w:w w:val="95"/>
                <w:sz w:val="21"/>
                <w:szCs w:val="21"/>
              </w:rPr>
              <w:t>51</w:t>
            </w:r>
            <w:r>
              <w:rPr>
                <w:rFonts w:ascii="Arial" w:hAnsi="Arial" w:cs="Arial" w:eastAsia="Arial" w:hint="default"/>
                <w:sz w:val="21"/>
                <w:szCs w:val="21"/>
              </w:rPr>
            </w: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1,777,679,909.00</w:t>
            </w:r>
          </w:p>
        </w:tc>
        <w:tc>
          <w:tcPr>
            <w:tcW w:w="18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6"/>
              <w:jc w:val="right"/>
              <w:rPr>
                <w:rFonts w:ascii="Arial" w:hAnsi="Arial" w:cs="Arial" w:eastAsia="Arial" w:hint="default"/>
                <w:sz w:val="21"/>
                <w:szCs w:val="21"/>
              </w:rPr>
            </w:pPr>
            <w:r>
              <w:rPr>
                <w:rFonts w:ascii="Arial"/>
                <w:spacing w:val="-1"/>
                <w:sz w:val="21"/>
              </w:rPr>
              <w:t>1,777,679,909.00</w:t>
            </w: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1" w:lineRule="exact"/>
              <w:ind w:left="897"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5" w:lineRule="exact"/>
              <w:ind w:right="43"/>
              <w:jc w:val="center"/>
              <w:rPr>
                <w:rFonts w:ascii="Arial" w:hAnsi="Arial" w:cs="Arial" w:eastAsia="Arial" w:hint="default"/>
                <w:sz w:val="21"/>
                <w:szCs w:val="21"/>
              </w:rPr>
            </w:pPr>
            <w:r>
              <w:rPr>
                <w:rFonts w:ascii="宋体" w:hAnsi="宋体" w:cs="宋体" w:eastAsia="宋体" w:hint="default"/>
                <w:w w:val="95"/>
                <w:sz w:val="21"/>
                <w:szCs w:val="21"/>
              </w:rPr>
              <w:t>七、</w:t>
            </w:r>
            <w:r>
              <w:rPr>
                <w:rFonts w:ascii="Arial" w:hAnsi="Arial" w:cs="Arial" w:eastAsia="Arial" w:hint="default"/>
                <w:w w:val="95"/>
                <w:sz w:val="21"/>
                <w:szCs w:val="21"/>
              </w:rPr>
              <w:t>53</w:t>
            </w:r>
            <w:r>
              <w:rPr>
                <w:rFonts w:ascii="Arial" w:hAnsi="Arial" w:cs="Arial" w:eastAsia="Arial" w:hint="default"/>
                <w:sz w:val="21"/>
                <w:szCs w:val="21"/>
              </w:rPr>
            </w: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2,420,221,207.29</w:t>
            </w:r>
          </w:p>
        </w:tc>
        <w:tc>
          <w:tcPr>
            <w:tcW w:w="18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6"/>
              <w:jc w:val="right"/>
              <w:rPr>
                <w:rFonts w:ascii="Arial" w:hAnsi="Arial" w:cs="Arial" w:eastAsia="Arial" w:hint="default"/>
                <w:sz w:val="21"/>
                <w:szCs w:val="21"/>
              </w:rPr>
            </w:pPr>
            <w:r>
              <w:rPr>
                <w:rFonts w:ascii="Arial"/>
                <w:spacing w:val="-1"/>
                <w:sz w:val="21"/>
              </w:rPr>
              <w:t>2,420,221,207.29</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7" w:lineRule="exact"/>
              <w:ind w:right="43"/>
              <w:jc w:val="center"/>
              <w:rPr>
                <w:rFonts w:ascii="Arial" w:hAnsi="Arial" w:cs="Arial" w:eastAsia="Arial" w:hint="default"/>
                <w:sz w:val="21"/>
                <w:szCs w:val="21"/>
              </w:rPr>
            </w:pPr>
            <w:r>
              <w:rPr>
                <w:rFonts w:ascii="宋体" w:hAnsi="宋体" w:cs="宋体" w:eastAsia="宋体" w:hint="default"/>
                <w:w w:val="95"/>
                <w:sz w:val="21"/>
                <w:szCs w:val="21"/>
              </w:rPr>
              <w:t>七、</w:t>
            </w:r>
            <w:r>
              <w:rPr>
                <w:rFonts w:ascii="Arial" w:hAnsi="Arial" w:cs="Arial" w:eastAsia="Arial" w:hint="default"/>
                <w:w w:val="95"/>
                <w:sz w:val="21"/>
                <w:szCs w:val="21"/>
              </w:rPr>
              <w:t>55</w:t>
            </w:r>
            <w:r>
              <w:rPr>
                <w:rFonts w:ascii="Arial" w:hAnsi="Arial" w:cs="Arial" w:eastAsia="Arial" w:hint="default"/>
                <w:sz w:val="21"/>
                <w:szCs w:val="21"/>
              </w:rPr>
            </w: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153,310.00</w:t>
            </w: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
        </w:tc>
        <w:tc>
          <w:tcPr>
            <w:tcW w:w="1899"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5" w:lineRule="exact"/>
              <w:ind w:right="43"/>
              <w:jc w:val="center"/>
              <w:rPr>
                <w:rFonts w:ascii="Arial" w:hAnsi="Arial" w:cs="Arial" w:eastAsia="Arial" w:hint="default"/>
                <w:sz w:val="21"/>
                <w:szCs w:val="21"/>
              </w:rPr>
            </w:pPr>
            <w:r>
              <w:rPr>
                <w:rFonts w:ascii="宋体" w:hAnsi="宋体" w:cs="宋体" w:eastAsia="宋体" w:hint="default"/>
                <w:w w:val="95"/>
                <w:sz w:val="21"/>
                <w:szCs w:val="21"/>
              </w:rPr>
              <w:t>七、</w:t>
            </w:r>
            <w:r>
              <w:rPr>
                <w:rFonts w:ascii="Arial" w:hAnsi="Arial" w:cs="Arial" w:eastAsia="Arial" w:hint="default"/>
                <w:w w:val="95"/>
                <w:sz w:val="21"/>
                <w:szCs w:val="21"/>
              </w:rPr>
              <w:t>57</w:t>
            </w:r>
            <w:r>
              <w:rPr>
                <w:rFonts w:ascii="Arial" w:hAnsi="Arial" w:cs="Arial" w:eastAsia="Arial" w:hint="default"/>
                <w:sz w:val="21"/>
                <w:szCs w:val="21"/>
              </w:rPr>
            </w: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1,637,812,988.88</w:t>
            </w:r>
          </w:p>
        </w:tc>
        <w:tc>
          <w:tcPr>
            <w:tcW w:w="18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8"/>
              <w:ind w:right="56"/>
              <w:jc w:val="right"/>
              <w:rPr>
                <w:rFonts w:ascii="Arial" w:hAnsi="Arial" w:cs="Arial" w:eastAsia="Arial" w:hint="default"/>
                <w:sz w:val="21"/>
                <w:szCs w:val="21"/>
              </w:rPr>
            </w:pPr>
            <w:r>
              <w:rPr>
                <w:rFonts w:ascii="Arial"/>
                <w:spacing w:val="-1"/>
                <w:sz w:val="21"/>
              </w:rPr>
              <w:t>1,518,444,124.46</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5" w:lineRule="exact"/>
              <w:ind w:right="43"/>
              <w:jc w:val="center"/>
              <w:rPr>
                <w:rFonts w:ascii="Arial" w:hAnsi="Arial" w:cs="Arial" w:eastAsia="Arial" w:hint="default"/>
                <w:sz w:val="21"/>
                <w:szCs w:val="21"/>
              </w:rPr>
            </w:pPr>
            <w:r>
              <w:rPr>
                <w:rFonts w:ascii="宋体" w:hAnsi="宋体" w:cs="宋体" w:eastAsia="宋体" w:hint="default"/>
                <w:w w:val="95"/>
                <w:sz w:val="21"/>
                <w:szCs w:val="21"/>
              </w:rPr>
              <w:t>七、</w:t>
            </w:r>
            <w:r>
              <w:rPr>
                <w:rFonts w:ascii="Arial" w:hAnsi="Arial" w:cs="Arial" w:eastAsia="Arial" w:hint="default"/>
                <w:w w:val="95"/>
                <w:sz w:val="21"/>
                <w:szCs w:val="21"/>
              </w:rPr>
              <w:t>58</w:t>
            </w:r>
            <w:r>
              <w:rPr>
                <w:rFonts w:ascii="Arial" w:hAnsi="Arial" w:cs="Arial" w:eastAsia="Arial" w:hint="default"/>
                <w:sz w:val="21"/>
                <w:szCs w:val="21"/>
              </w:rPr>
            </w: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812,309,782.43</w:t>
            </w:r>
          </w:p>
        </w:tc>
        <w:tc>
          <w:tcPr>
            <w:tcW w:w="18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794,876,744.59</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pacing w:val="-10"/>
                <w:sz w:val="21"/>
                <w:szCs w:val="21"/>
              </w:rPr>
              <w:t>归属于母公司所有者权益（或股东权益）合计</w:t>
            </w:r>
            <w:r>
              <w:rPr>
                <w:rFonts w:ascii="宋体" w:hAnsi="宋体" w:cs="宋体" w:eastAsia="宋体" w:hint="default"/>
                <w:sz w:val="21"/>
                <w:szCs w:val="21"/>
              </w:rPr>
            </w:r>
          </w:p>
        </w:tc>
        <w:tc>
          <w:tcPr>
            <w:tcW w:w="718" w:type="dxa"/>
            <w:tcBorders>
              <w:top w:val="single" w:sz="4" w:space="0" w:color="41B7EE"/>
              <w:left w:val="single" w:sz="4" w:space="0" w:color="41B7EE"/>
              <w:bottom w:val="single" w:sz="4" w:space="0" w:color="41B7EE"/>
              <w:right w:val="single" w:sz="4" w:space="0" w:color="41B7EE"/>
            </w:tcBorders>
          </w:tcPr>
          <w:p>
            <w:pP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6,648,177,197.60</w:t>
            </w:r>
          </w:p>
        </w:tc>
        <w:tc>
          <w:tcPr>
            <w:tcW w:w="18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6"/>
              <w:jc w:val="right"/>
              <w:rPr>
                <w:rFonts w:ascii="Arial" w:hAnsi="Arial" w:cs="Arial" w:eastAsia="Arial" w:hint="default"/>
                <w:sz w:val="21"/>
                <w:szCs w:val="21"/>
              </w:rPr>
            </w:pPr>
            <w:r>
              <w:rPr>
                <w:rFonts w:ascii="Arial"/>
                <w:spacing w:val="-1"/>
                <w:sz w:val="21"/>
              </w:rPr>
              <w:t>6,511,221,985.34</w:t>
            </w:r>
          </w:p>
        </w:tc>
      </w:tr>
      <w:tr>
        <w:trPr>
          <w:trHeight w:val="329" w:hRule="exact"/>
        </w:trPr>
        <w:tc>
          <w:tcPr>
            <w:tcW w:w="4453" w:type="dxa"/>
            <w:tcBorders>
              <w:top w:val="single" w:sz="4" w:space="0" w:color="41B7EE"/>
              <w:left w:val="nil" w:sz="6" w:space="0" w:color="auto"/>
              <w:bottom w:val="single" w:sz="8"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718" w:type="dxa"/>
            <w:tcBorders>
              <w:top w:val="single" w:sz="4" w:space="0" w:color="41B7EE"/>
              <w:left w:val="single" w:sz="4" w:space="0" w:color="41B7EE"/>
              <w:bottom w:val="single" w:sz="8" w:space="0" w:color="41B7EE"/>
              <w:right w:val="single" w:sz="4" w:space="0" w:color="41B7EE"/>
            </w:tcBorders>
          </w:tcPr>
          <w:p>
            <w:pPr/>
          </w:p>
        </w:tc>
        <w:tc>
          <w:tcPr>
            <w:tcW w:w="1870"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-218,363,362.55</w:t>
            </w:r>
          </w:p>
        </w:tc>
        <w:tc>
          <w:tcPr>
            <w:tcW w:w="1899"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-203,316,512.00</w:t>
            </w:r>
          </w:p>
        </w:tc>
      </w:tr>
    </w:tbl>
    <w:p>
      <w:pPr>
        <w:spacing w:line="240" w:lineRule="auto" w:before="3"/>
        <w:rPr>
          <w:rFonts w:ascii="Times New Roman" w:hAnsi="Times New Roman" w:cs="Times New Roman" w:eastAsia="Times New Roman" w:hint="default"/>
          <w:sz w:val="3"/>
          <w:szCs w:val="3"/>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7.95pt;height:1pt;mso-position-horizontal-relative:char;mso-position-vertical-relative:line" coordorigin="0,0" coordsize="8959,20">
            <v:group style="position:absolute;left:10;top:10;width:4448;height:2" coordorigin="10,10" coordsize="4448,2">
              <v:shape style="position:absolute;left:10;top:10;width:4448;height:2" coordorigin="10,10" coordsize="4448,0" path="m10,10l4457,10e" filled="false" stroked="true" strokeweight=".95996pt" strokecolor="#41b7ee">
                <v:path arrowok="t"/>
              </v:shape>
            </v:group>
            <v:group style="position:absolute;left:4457;top:10;width:58;height:2" coordorigin="4457,10" coordsize="58,2">
              <v:shape style="position:absolute;left:4457;top:10;width:58;height:2" coordorigin="4457,10" coordsize="58,0" path="m4457,10l4515,10e" filled="false" stroked="true" strokeweight=".95996pt" strokecolor="#41b7ee">
                <v:path arrowok="t"/>
              </v:shape>
            </v:group>
            <v:group style="position:absolute;left:4515;top:10;width:661;height:2" coordorigin="4515,10" coordsize="661,2">
              <v:shape style="position:absolute;left:4515;top:10;width:661;height:2" coordorigin="4515,10" coordsize="661,0" path="m4515,10l5175,10e" filled="false" stroked="true" strokeweight=".95996pt" strokecolor="#41b7ee">
                <v:path arrowok="t"/>
              </v:shape>
            </v:group>
            <v:group style="position:absolute;left:5175;top:10;width:58;height:2" coordorigin="5175,10" coordsize="58,2">
              <v:shape style="position:absolute;left:5175;top:10;width:58;height:2" coordorigin="5175,10" coordsize="58,0" path="m5175,10l5233,10e" filled="false" stroked="true" strokeweight=".95996pt" strokecolor="#41b7ee">
                <v:path arrowok="t"/>
              </v:shape>
            </v:group>
            <v:group style="position:absolute;left:5233;top:10;width:1812;height:2" coordorigin="5233,10" coordsize="1812,2">
              <v:shape style="position:absolute;left:5233;top:10;width:1812;height:2" coordorigin="5233,10" coordsize="1812,0" path="m5233,10l7045,10e" filled="false" stroked="true" strokeweight=".95996pt" strokecolor="#41b7ee">
                <v:path arrowok="t"/>
              </v:shape>
            </v:group>
            <v:group style="position:absolute;left:7045;top:10;width:58;height:2" coordorigin="7045,10" coordsize="58,2">
              <v:shape style="position:absolute;left:7045;top:10;width:58;height:2" coordorigin="7045,10" coordsize="58,0" path="m7045,10l7103,10e" filled="false" stroked="true" strokeweight=".95996pt" strokecolor="#41b7ee">
                <v:path arrowok="t"/>
              </v:shape>
            </v:group>
            <v:group style="position:absolute;left:7103;top:10;width:1847;height:2" coordorigin="7103,10" coordsize="1847,2">
              <v:shape style="position:absolute;left:7103;top:10;width:1847;height:2" coordorigin="7103,10" coordsize="1847,0" path="m7103,10l8949,10e" filled="false" stroked="true" strokeweight=".95996pt" strokecolor="#41b7ee">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pgSz w:w="11910" w:h="16840"/>
          <w:pgMar w:header="821" w:footer="1195" w:top="1360" w:bottom="1380" w:left="1620" w:right="1100"/>
        </w:sectPr>
      </w:pPr>
    </w:p>
    <w:p>
      <w:pPr>
        <w:spacing w:line="240" w:lineRule="auto" w:before="9"/>
        <w:rPr>
          <w:rFonts w:ascii="Times New Roman" w:hAnsi="Times New Roman" w:cs="Times New Roman" w:eastAsia="Times New Roman" w:hint="default"/>
          <w:sz w:val="13"/>
          <w:szCs w:val="13"/>
        </w:rPr>
      </w:pPr>
    </w:p>
    <w:p>
      <w:pPr>
        <w:spacing w:line="20" w:lineRule="exact"/>
        <w:ind w:left="13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7.95pt;height:1pt;mso-position-horizontal-relative:char;mso-position-vertical-relative:line" coordorigin="0,0" coordsize="8959,20">
            <v:group style="position:absolute;left:10;top:10;width:4448;height:2" coordorigin="10,10" coordsize="4448,2">
              <v:shape style="position:absolute;left:10;top:10;width:4448;height:2" coordorigin="10,10" coordsize="4448,0" path="m10,10l4457,10e" filled="false" stroked="true" strokeweight=".96001pt" strokecolor="#41b7ee">
                <v:path arrowok="t"/>
              </v:shape>
            </v:group>
            <v:group style="position:absolute;left:4457;top:10;width:58;height:2" coordorigin="4457,10" coordsize="58,2">
              <v:shape style="position:absolute;left:4457;top:10;width:58;height:2" coordorigin="4457,10" coordsize="58,0" path="m4457,10l4515,10e" filled="false" stroked="true" strokeweight=".96001pt" strokecolor="#41b7ee">
                <v:path arrowok="t"/>
              </v:shape>
            </v:group>
            <v:group style="position:absolute;left:4515;top:10;width:661;height:2" coordorigin="4515,10" coordsize="661,2">
              <v:shape style="position:absolute;left:4515;top:10;width:661;height:2" coordorigin="4515,10" coordsize="661,0" path="m4515,10l5175,10e" filled="false" stroked="true" strokeweight=".96001pt" strokecolor="#41b7ee">
                <v:path arrowok="t"/>
              </v:shape>
            </v:group>
            <v:group style="position:absolute;left:5175;top:10;width:58;height:2" coordorigin="5175,10" coordsize="58,2">
              <v:shape style="position:absolute;left:5175;top:10;width:58;height:2" coordorigin="5175,10" coordsize="58,0" path="m5175,10l5233,10e" filled="false" stroked="true" strokeweight=".96001pt" strokecolor="#41b7ee">
                <v:path arrowok="t"/>
              </v:shape>
            </v:group>
            <v:group style="position:absolute;left:5233;top:10;width:1812;height:2" coordorigin="5233,10" coordsize="1812,2">
              <v:shape style="position:absolute;left:5233;top:10;width:1812;height:2" coordorigin="5233,10" coordsize="1812,0" path="m5233,10l7045,10e" filled="false" stroked="true" strokeweight=".96001pt" strokecolor="#41b7ee">
                <v:path arrowok="t"/>
              </v:shape>
            </v:group>
            <v:group style="position:absolute;left:7045;top:10;width:58;height:2" coordorigin="7045,10" coordsize="58,2">
              <v:shape style="position:absolute;left:7045;top:10;width:58;height:2" coordorigin="7045,10" coordsize="58,0" path="m7045,10l7103,10e" filled="false" stroked="true" strokeweight=".96001pt" strokecolor="#41b7ee">
                <v:path arrowok="t"/>
              </v:shape>
            </v:group>
            <v:group style="position:absolute;left:7103;top:10;width:1847;height:2" coordorigin="7103,10" coordsize="1847,2">
              <v:shape style="position:absolute;left:7103;top:10;width:1847;height:2" coordorigin="7103,10" coordsize="1847,0" path="m7103,10l8949,10e" filled="false" stroked="true" strokeweight=".96001pt" strokecolor="#41b7ee">
                <v:path arrowok="t"/>
              </v:shape>
            </v:group>
          </v:group>
        </w:pict>
      </w:r>
      <w:r>
        <w:rPr>
          <w:rFonts w:ascii="Times New Roman" w:hAnsi="Times New Roman" w:cs="Times New Roman" w:eastAsia="Times New Roman" w:hint="default"/>
          <w:sz w:val="2"/>
          <w:szCs w:val="2"/>
        </w:rPr>
      </w:r>
    </w:p>
    <w:tbl>
      <w:tblPr>
        <w:tblW w:w="0" w:type="auto"/>
        <w:jc w:val="left"/>
        <w:tblInd w:w="111" w:type="dxa"/>
        <w:tblLayout w:type="fixed"/>
        <w:tblCellMar>
          <w:top w:w="0" w:type="dxa"/>
          <w:left w:w="0" w:type="dxa"/>
          <w:bottom w:w="0" w:type="dxa"/>
          <w:right w:w="0" w:type="dxa"/>
        </w:tblCellMar>
        <w:tblLook w:val="01E0"/>
      </w:tblPr>
      <w:tblGrid>
        <w:gridCol w:w="4453"/>
        <w:gridCol w:w="718"/>
        <w:gridCol w:w="1870"/>
        <w:gridCol w:w="1899"/>
      </w:tblGrid>
      <w:tr>
        <w:trPr>
          <w:trHeight w:val="329" w:hRule="exact"/>
        </w:trPr>
        <w:tc>
          <w:tcPr>
            <w:tcW w:w="4453" w:type="dxa"/>
            <w:tcBorders>
              <w:top w:val="single" w:sz="8" w:space="0" w:color="41B7EE"/>
              <w:left w:val="nil" w:sz="6" w:space="0" w:color="auto"/>
              <w:bottom w:val="single" w:sz="4" w:space="0" w:color="41B7EE"/>
              <w:right w:val="single" w:sz="4" w:space="0" w:color="41B7EE"/>
            </w:tcBorders>
          </w:tcPr>
          <w:p>
            <w:pPr>
              <w:pStyle w:val="TableParagraph"/>
              <w:spacing w:line="265" w:lineRule="exact"/>
              <w:ind w:left="477"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718" w:type="dxa"/>
            <w:tcBorders>
              <w:top w:val="single" w:sz="8" w:space="0" w:color="41B7EE"/>
              <w:left w:val="single" w:sz="4" w:space="0" w:color="41B7EE"/>
              <w:bottom w:val="single" w:sz="4" w:space="0" w:color="41B7EE"/>
              <w:right w:val="single" w:sz="4" w:space="0" w:color="41B7EE"/>
            </w:tcBorders>
          </w:tcPr>
          <w:p>
            <w:pPr/>
          </w:p>
        </w:tc>
        <w:tc>
          <w:tcPr>
            <w:tcW w:w="1870"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34"/>
              <w:ind w:right="48"/>
              <w:jc w:val="right"/>
              <w:rPr>
                <w:rFonts w:ascii="Arial" w:hAnsi="Arial" w:cs="Arial" w:eastAsia="Arial" w:hint="default"/>
                <w:sz w:val="21"/>
                <w:szCs w:val="21"/>
              </w:rPr>
            </w:pPr>
            <w:r>
              <w:rPr>
                <w:rFonts w:ascii="Arial"/>
                <w:spacing w:val="-1"/>
                <w:sz w:val="21"/>
              </w:rPr>
              <w:t>6,429,813,835.05</w:t>
            </w:r>
          </w:p>
        </w:tc>
        <w:tc>
          <w:tcPr>
            <w:tcW w:w="1899"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34"/>
              <w:ind w:right="56"/>
              <w:jc w:val="right"/>
              <w:rPr>
                <w:rFonts w:ascii="Arial" w:hAnsi="Arial" w:cs="Arial" w:eastAsia="Arial" w:hint="default"/>
                <w:sz w:val="21"/>
                <w:szCs w:val="21"/>
              </w:rPr>
            </w:pPr>
            <w:r>
              <w:rPr>
                <w:rFonts w:ascii="Arial"/>
                <w:spacing w:val="-1"/>
                <w:sz w:val="21"/>
              </w:rPr>
              <w:t>6,307,905,473.34</w:t>
            </w:r>
          </w:p>
        </w:tc>
      </w:tr>
      <w:tr>
        <w:trPr>
          <w:trHeight w:val="350" w:hRule="exact"/>
        </w:trPr>
        <w:tc>
          <w:tcPr>
            <w:tcW w:w="4453" w:type="dxa"/>
            <w:tcBorders>
              <w:top w:val="single" w:sz="4" w:space="0" w:color="41B7EE"/>
              <w:left w:val="nil" w:sz="6" w:space="0" w:color="auto"/>
              <w:bottom w:val="single" w:sz="23" w:space="0" w:color="41B7EE"/>
              <w:right w:val="single" w:sz="4" w:space="0" w:color="41B7EE"/>
            </w:tcBorders>
          </w:tcPr>
          <w:p>
            <w:pPr>
              <w:pStyle w:val="TableParagraph"/>
              <w:spacing w:line="262" w:lineRule="exact"/>
              <w:ind w:left="688"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负债和所有者权益（或股东权益）总计</w:t>
            </w:r>
          </w:p>
        </w:tc>
        <w:tc>
          <w:tcPr>
            <w:tcW w:w="718" w:type="dxa"/>
            <w:tcBorders>
              <w:top w:val="single" w:sz="4" w:space="0" w:color="41B7EE"/>
              <w:left w:val="single" w:sz="4" w:space="0" w:color="41B7EE"/>
              <w:bottom w:val="single" w:sz="23" w:space="0" w:color="41B7EE"/>
              <w:right w:val="single" w:sz="4" w:space="0" w:color="41B7EE"/>
            </w:tcBorders>
          </w:tcPr>
          <w:p>
            <w:pPr/>
          </w:p>
        </w:tc>
        <w:tc>
          <w:tcPr>
            <w:tcW w:w="1870"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7,845,324,492.20</w:t>
            </w:r>
          </w:p>
        </w:tc>
        <w:tc>
          <w:tcPr>
            <w:tcW w:w="1899"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31"/>
              <w:ind w:right="56"/>
              <w:jc w:val="right"/>
              <w:rPr>
                <w:rFonts w:ascii="Arial" w:hAnsi="Arial" w:cs="Arial" w:eastAsia="Arial" w:hint="default"/>
                <w:sz w:val="21"/>
                <w:szCs w:val="21"/>
              </w:rPr>
            </w:pPr>
            <w:r>
              <w:rPr>
                <w:rFonts w:ascii="Arial"/>
                <w:spacing w:val="-1"/>
                <w:sz w:val="21"/>
              </w:rPr>
              <w:t>7,973,466,675.38</w:t>
            </w:r>
          </w:p>
        </w:tc>
      </w:tr>
    </w:tbl>
    <w:p>
      <w:pPr>
        <w:pStyle w:val="BodyText"/>
        <w:spacing w:line="272" w:lineRule="exact" w:before="12"/>
        <w:ind w:left="198" w:right="0"/>
        <w:jc w:val="left"/>
        <w:rPr>
          <w:rFonts w:ascii="宋体" w:hAnsi="宋体" w:cs="宋体" w:eastAsia="宋体" w:hint="default"/>
        </w:rPr>
      </w:pPr>
      <w:r>
        <w:rPr>
          <w:rFonts w:ascii="宋体" w:hAnsi="宋体" w:cs="宋体" w:eastAsia="宋体" w:hint="default"/>
          <w:w w:val="100"/>
        </w:rPr>
        <w:t>  </w:t>
      </w:r>
      <w:r>
        <w:rPr>
          <w:spacing w:val="-10"/>
          <w:w w:val="100"/>
        </w:rPr>
        <w:t>法定代表人：刘</w:t>
      </w:r>
      <w:r>
        <w:rPr>
          <w:spacing w:val="-8"/>
          <w:w w:val="100"/>
        </w:rPr>
        <w:t>长</w:t>
      </w:r>
      <w:r>
        <w:rPr>
          <w:spacing w:val="-10"/>
          <w:w w:val="100"/>
        </w:rPr>
        <w:t>友主管</w:t>
      </w:r>
      <w:r>
        <w:rPr>
          <w:spacing w:val="-8"/>
          <w:w w:val="100"/>
        </w:rPr>
        <w:t>会</w:t>
      </w:r>
      <w:r>
        <w:rPr>
          <w:spacing w:val="-10"/>
          <w:w w:val="100"/>
        </w:rPr>
        <w:t>计工作负责人：</w:t>
      </w:r>
      <w:r>
        <w:rPr>
          <w:spacing w:val="-8"/>
          <w:w w:val="100"/>
        </w:rPr>
        <w:t>贺</w:t>
      </w:r>
      <w:r>
        <w:rPr>
          <w:spacing w:val="-10"/>
          <w:w w:val="100"/>
        </w:rPr>
        <w:t>天元、</w:t>
      </w:r>
      <w:r>
        <w:rPr>
          <w:spacing w:val="-8"/>
          <w:w w:val="100"/>
        </w:rPr>
        <w:t>总</w:t>
      </w:r>
      <w:r>
        <w:rPr>
          <w:spacing w:val="-10"/>
          <w:w w:val="100"/>
        </w:rPr>
        <w:t>会计师及会计机</w:t>
      </w:r>
      <w:r>
        <w:rPr>
          <w:spacing w:val="-8"/>
          <w:w w:val="100"/>
        </w:rPr>
        <w:t>构</w:t>
      </w:r>
      <w:r>
        <w:rPr>
          <w:spacing w:val="-10"/>
          <w:w w:val="100"/>
        </w:rPr>
        <w:t>负责</w:t>
      </w:r>
      <w:r>
        <w:rPr>
          <w:spacing w:val="-11"/>
          <w:w w:val="100"/>
        </w:rPr>
        <w:t>人</w:t>
      </w:r>
      <w:r>
        <w:rPr>
          <w:spacing w:val="-7"/>
          <w:w w:val="100"/>
        </w:rPr>
        <w:t>：</w:t>
      </w:r>
      <w:r>
        <w:rPr>
          <w:spacing w:val="-10"/>
          <w:w w:val="100"/>
        </w:rPr>
        <w:t>葛树</w:t>
      </w:r>
      <w:r>
        <w:rPr>
          <w:spacing w:val="-8"/>
          <w:w w:val="100"/>
        </w:rPr>
        <w:t>峰</w:t>
      </w:r>
      <w:r>
        <w:rPr>
          <w:rFonts w:ascii="宋体" w:hAnsi="宋体" w:cs="宋体" w:eastAsia="宋体" w:hint="default"/>
          <w:color w:val="008000"/>
          <w:w w:val="100"/>
        </w:rPr>
        <w:t> </w:t>
      </w:r>
      <w:r>
        <w:rPr>
          <w:rFonts w:ascii="宋体" w:hAnsi="宋体" w:cs="宋体" w:eastAsia="宋体" w:hint="default"/>
          <w:w w:val="100"/>
        </w:rPr>
      </w:r>
    </w:p>
    <w:p>
      <w:pPr>
        <w:pStyle w:val="BodyText"/>
        <w:spacing w:line="247" w:lineRule="exact"/>
        <w:ind w:left="198" w:right="0"/>
        <w:jc w:val="left"/>
        <w:rPr>
          <w:rFonts w:ascii="宋体" w:hAnsi="宋体" w:cs="宋体" w:eastAsia="宋体" w:hint="default"/>
        </w:rPr>
      </w:pPr>
      <w:r>
        <w:rPr>
          <w:rFonts w:ascii="宋体"/>
          <w:w w:val="100"/>
        </w:rPr>
        <w:t> </w:t>
      </w:r>
    </w:p>
    <w:p>
      <w:pPr>
        <w:pStyle w:val="BodyText"/>
        <w:spacing w:line="273" w:lineRule="exact"/>
        <w:ind w:left="19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21" w:footer="1195" w:top="1360" w:bottom="1380" w:left="1600" w:right="1060"/>
        </w:sectPr>
      </w:pPr>
    </w:p>
    <w:p>
      <w:pPr>
        <w:pStyle w:val="Heading2"/>
        <w:spacing w:line="240" w:lineRule="auto"/>
        <w:ind w:left="0" w:right="69"/>
        <w:jc w:val="right"/>
        <w:rPr>
          <w:b w:val="0"/>
          <w:bCs w:val="0"/>
        </w:rPr>
      </w:pPr>
      <w:r>
        <w:rPr/>
        <w:t>母公司资产负债表</w:t>
      </w:r>
      <w:r>
        <w:rPr>
          <w:b w:val="0"/>
          <w:bCs w:val="0"/>
        </w:rPr>
      </w:r>
    </w:p>
    <w:p>
      <w:pPr>
        <w:pStyle w:val="BodyText"/>
        <w:spacing w:line="280" w:lineRule="exact" w:before="58"/>
        <w:ind w:left="0" w:right="0"/>
        <w:jc w:val="right"/>
      </w:pPr>
      <w:r>
        <w:rPr>
          <w:rFonts w:ascii="Arial" w:hAnsi="Arial" w:cs="Arial" w:eastAsia="Arial" w:hint="default"/>
        </w:rPr>
        <w:t>2019</w:t>
      </w:r>
      <w:r>
        <w:rPr>
          <w:rFonts w:ascii="Arial" w:hAnsi="Arial" w:cs="Arial" w:eastAsia="Arial" w:hint="default"/>
          <w:spacing w:val="-7"/>
        </w:rPr>
        <w:t> </w:t>
      </w:r>
      <w:r>
        <w:rPr/>
        <w:t>年</w:t>
      </w:r>
      <w:r>
        <w:rPr>
          <w:spacing w:val="-52"/>
        </w:rPr>
        <w:t> </w:t>
      </w:r>
      <w:r>
        <w:rPr>
          <w:rFonts w:ascii="Arial" w:hAnsi="Arial" w:cs="Arial" w:eastAsia="Arial" w:hint="default"/>
        </w:rPr>
        <w:t>12</w:t>
      </w:r>
      <w:r>
        <w:rPr>
          <w:rFonts w:ascii="Arial" w:hAnsi="Arial" w:cs="Arial" w:eastAsia="Arial" w:hint="default"/>
          <w:spacing w:val="-5"/>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w:t>
      </w:r>
    </w:p>
    <w:p>
      <w:pPr>
        <w:pStyle w:val="BodyText"/>
        <w:spacing w:line="266" w:lineRule="exact"/>
        <w:ind w:left="198" w:right="0"/>
        <w:jc w:val="left"/>
        <w:rPr>
          <w:rFonts w:ascii="宋体" w:hAnsi="宋体" w:cs="宋体" w:eastAsia="宋体" w:hint="default"/>
        </w:rPr>
      </w:pPr>
      <w:r>
        <w:rPr/>
        <w:t>编制单位</w:t>
      </w:r>
      <w:r>
        <w:rPr>
          <w:rFonts w:ascii="宋体" w:hAnsi="宋体" w:cs="宋体" w:eastAsia="宋体" w:hint="default"/>
        </w:rPr>
        <w:t>:</w:t>
      </w:r>
      <w:r>
        <w:rPr/>
        <w:t>黑龙江北大荒农业股份有限公司</w:t>
      </w:r>
      <w:r>
        <w:rPr>
          <w:rFonts w:ascii="宋体" w:hAnsi="宋体" w:cs="宋体" w:eastAsia="宋体" w:hint="default"/>
        </w:rPr>
        <w:t> </w:t>
      </w:r>
      <w:r>
        <w:rPr>
          <w:rFonts w:ascii="宋体" w:hAnsi="宋体" w:cs="宋体" w:eastAsia="宋体" w:hint="default"/>
          <w:spacing w:val="-2"/>
        </w:rPr>
        <w:t> </w:t>
      </w:r>
      <w:r>
        <w:rPr>
          <w:rFonts w:ascii="宋体" w:hAnsi="宋体" w:cs="宋体" w:eastAsia="宋体" w:hint="default"/>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9"/>
        <w:ind w:left="19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600" w:right="1060"/>
          <w:cols w:num="2" w:equalWidth="0">
            <w:col w:w="5530" w:space="1203"/>
            <w:col w:w="2517"/>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09"/>
        <w:gridCol w:w="862"/>
        <w:gridCol w:w="1867"/>
        <w:gridCol w:w="1901"/>
      </w:tblGrid>
      <w:tr>
        <w:trPr>
          <w:trHeight w:val="348" w:hRule="exact"/>
        </w:trPr>
        <w:tc>
          <w:tcPr>
            <w:tcW w:w="4309" w:type="dxa"/>
            <w:tcBorders>
              <w:top w:val="single" w:sz="23" w:space="0" w:color="41B7EE"/>
              <w:left w:val="nil" w:sz="6" w:space="0" w:color="auto"/>
              <w:bottom w:val="single" w:sz="4" w:space="0" w:color="41B7EE"/>
              <w:right w:val="single" w:sz="4" w:space="0" w:color="41B7EE"/>
            </w:tcBorders>
          </w:tcPr>
          <w:p>
            <w:pPr>
              <w:pStyle w:val="TableParagraph"/>
              <w:spacing w:line="265" w:lineRule="exact"/>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62" w:type="dxa"/>
            <w:tcBorders>
              <w:top w:val="single" w:sz="23" w:space="0" w:color="41B7EE"/>
              <w:left w:val="single" w:sz="4" w:space="0" w:color="41B7EE"/>
              <w:bottom w:val="single" w:sz="4" w:space="0" w:color="41B7EE"/>
              <w:right w:val="single" w:sz="4" w:space="0" w:color="41B7EE"/>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pacing w:val="-17"/>
                <w:sz w:val="21"/>
                <w:szCs w:val="21"/>
              </w:rPr>
              <w:t>附注</w:t>
            </w:r>
            <w:r>
              <w:rPr>
                <w:rFonts w:ascii="宋体" w:hAnsi="宋体" w:cs="宋体" w:eastAsia="宋体" w:hint="default"/>
                <w:sz w:val="21"/>
                <w:szCs w:val="21"/>
              </w:rPr>
            </w:r>
          </w:p>
        </w:tc>
        <w:tc>
          <w:tcPr>
            <w:tcW w:w="1867" w:type="dxa"/>
            <w:tcBorders>
              <w:top w:val="single" w:sz="23" w:space="0" w:color="41B7EE"/>
              <w:left w:val="single" w:sz="4" w:space="0" w:color="41B7EE"/>
              <w:bottom w:val="single" w:sz="4" w:space="0" w:color="41B7EE"/>
              <w:right w:val="single" w:sz="4" w:space="0" w:color="41B7EE"/>
            </w:tcBorders>
          </w:tcPr>
          <w:p>
            <w:pPr>
              <w:pStyle w:val="TableParagraph"/>
              <w:spacing w:line="280" w:lineRule="exact"/>
              <w:ind w:right="53"/>
              <w:jc w:val="right"/>
              <w:rPr>
                <w:rFonts w:ascii="宋体" w:hAnsi="宋体" w:cs="宋体" w:eastAsia="宋体" w:hint="default"/>
                <w:sz w:val="21"/>
                <w:szCs w:val="21"/>
              </w:rPr>
            </w:pPr>
            <w:r>
              <w:rPr>
                <w:rFonts w:ascii="Arial" w:hAnsi="Arial" w:cs="Arial" w:eastAsia="Arial" w:hint="default"/>
                <w:spacing w:val="-6"/>
                <w:sz w:val="21"/>
                <w:szCs w:val="21"/>
              </w:rPr>
              <w:t>2019</w:t>
            </w:r>
            <w:r>
              <w:rPr>
                <w:rFonts w:ascii="Arial" w:hAnsi="Arial" w:cs="Arial" w:eastAsia="Arial"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Arial" w:hAnsi="Arial" w:cs="Arial" w:eastAsia="Arial" w:hint="default"/>
                <w:spacing w:val="-4"/>
                <w:sz w:val="21"/>
                <w:szCs w:val="21"/>
              </w:rPr>
              <w:t>12</w:t>
            </w:r>
            <w:r>
              <w:rPr>
                <w:rFonts w:ascii="Arial" w:hAnsi="Arial" w:cs="Arial" w:eastAsia="Arial"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Arial" w:hAnsi="Arial" w:cs="Arial" w:eastAsia="Arial" w:hint="default"/>
                <w:spacing w:val="-4"/>
                <w:sz w:val="21"/>
                <w:szCs w:val="21"/>
              </w:rPr>
              <w:t>31</w:t>
            </w:r>
            <w:r>
              <w:rPr>
                <w:rFonts w:ascii="Arial" w:hAnsi="Arial" w:cs="Arial" w:eastAsia="Arial" w:hint="default"/>
                <w:spacing w:val="-14"/>
                <w:sz w:val="21"/>
                <w:szCs w:val="21"/>
              </w:rPr>
              <w:t> </w:t>
            </w:r>
            <w:r>
              <w:rPr>
                <w:rFonts w:ascii="宋体" w:hAnsi="宋体" w:cs="宋体" w:eastAsia="宋体" w:hint="default"/>
                <w:sz w:val="21"/>
                <w:szCs w:val="21"/>
              </w:rPr>
              <w:t>日</w:t>
            </w:r>
          </w:p>
        </w:tc>
        <w:tc>
          <w:tcPr>
            <w:tcW w:w="1901" w:type="dxa"/>
            <w:tcBorders>
              <w:top w:val="single" w:sz="23" w:space="0" w:color="41B7EE"/>
              <w:left w:val="single" w:sz="4" w:space="0" w:color="41B7EE"/>
              <w:bottom w:val="single" w:sz="4" w:space="0" w:color="41B7EE"/>
              <w:right w:val="nil" w:sz="6" w:space="0" w:color="auto"/>
            </w:tcBorders>
          </w:tcPr>
          <w:p>
            <w:pPr>
              <w:pStyle w:val="TableParagraph"/>
              <w:spacing w:line="280" w:lineRule="exact"/>
              <w:ind w:right="74"/>
              <w:jc w:val="right"/>
              <w:rPr>
                <w:rFonts w:ascii="宋体" w:hAnsi="宋体" w:cs="宋体" w:eastAsia="宋体" w:hint="default"/>
                <w:sz w:val="21"/>
                <w:szCs w:val="21"/>
              </w:rPr>
            </w:pPr>
            <w:r>
              <w:rPr>
                <w:rFonts w:ascii="Arial" w:hAnsi="Arial" w:cs="Arial" w:eastAsia="Arial" w:hint="default"/>
                <w:spacing w:val="-6"/>
                <w:sz w:val="21"/>
                <w:szCs w:val="21"/>
              </w:rPr>
              <w:t>2018</w:t>
            </w:r>
            <w:r>
              <w:rPr>
                <w:rFonts w:ascii="Arial" w:hAnsi="Arial" w:cs="Arial" w:eastAsia="Arial"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Arial" w:hAnsi="Arial" w:cs="Arial" w:eastAsia="Arial" w:hint="default"/>
                <w:spacing w:val="-4"/>
                <w:sz w:val="21"/>
                <w:szCs w:val="21"/>
              </w:rPr>
              <w:t>12</w:t>
            </w:r>
            <w:r>
              <w:rPr>
                <w:rFonts w:ascii="Arial" w:hAnsi="Arial" w:cs="Arial" w:eastAsia="Arial"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Arial" w:hAnsi="Arial" w:cs="Arial" w:eastAsia="Arial" w:hint="default"/>
                <w:spacing w:val="-4"/>
                <w:sz w:val="21"/>
                <w:szCs w:val="21"/>
              </w:rPr>
              <w:t>31</w:t>
            </w:r>
            <w:r>
              <w:rPr>
                <w:rFonts w:ascii="Arial" w:hAnsi="Arial" w:cs="Arial" w:eastAsia="Arial" w:hint="default"/>
                <w:spacing w:val="-14"/>
                <w:sz w:val="21"/>
                <w:szCs w:val="21"/>
              </w:rPr>
              <w:t> </w:t>
            </w:r>
            <w:r>
              <w:rPr>
                <w:rFonts w:ascii="宋体" w:hAnsi="宋体" w:cs="宋体" w:eastAsia="宋体" w:hint="default"/>
                <w:sz w:val="21"/>
                <w:szCs w:val="21"/>
              </w:rPr>
              <w:t>日</w:t>
            </w:r>
          </w:p>
        </w:tc>
      </w:tr>
      <w:tr>
        <w:trPr>
          <w:trHeight w:val="325"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57"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952,775,011.41</w:t>
            </w:r>
          </w:p>
        </w:tc>
        <w:tc>
          <w:tcPr>
            <w:tcW w:w="19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8"/>
              <w:ind w:right="55"/>
              <w:jc w:val="right"/>
              <w:rPr>
                <w:rFonts w:ascii="Arial" w:hAnsi="Arial" w:cs="Arial" w:eastAsia="Arial" w:hint="default"/>
                <w:sz w:val="21"/>
                <w:szCs w:val="21"/>
              </w:rPr>
            </w:pPr>
            <w:r>
              <w:rPr>
                <w:rFonts w:ascii="Arial"/>
                <w:spacing w:val="-1"/>
                <w:sz w:val="21"/>
              </w:rPr>
              <w:t>223,916,588.65</w:t>
            </w: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1,403,767,138.47</w:t>
            </w: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862" w:type="dxa"/>
            <w:tcBorders>
              <w:top w:val="single" w:sz="4" w:space="0" w:color="41B7EE"/>
              <w:left w:val="single" w:sz="4" w:space="0" w:color="41B7EE"/>
              <w:bottom w:val="single" w:sz="4" w:space="0" w:color="41B7EE"/>
              <w:right w:val="single" w:sz="4" w:space="0" w:color="41B7EE"/>
            </w:tcBorders>
          </w:tcPr>
          <w:p>
            <w:pPr>
              <w:pStyle w:val="TableParagraph"/>
              <w:spacing w:line="277" w:lineRule="exact"/>
              <w:ind w:right="115"/>
              <w:jc w:val="center"/>
              <w:rPr>
                <w:rFonts w:ascii="Arial" w:hAnsi="Arial" w:cs="Arial" w:eastAsia="Arial" w:hint="default"/>
                <w:sz w:val="21"/>
                <w:szCs w:val="21"/>
              </w:rPr>
            </w:pPr>
            <w:r>
              <w:rPr>
                <w:rFonts w:ascii="宋体" w:hAnsi="宋体" w:cs="宋体" w:eastAsia="宋体" w:hint="default"/>
                <w:spacing w:val="-26"/>
                <w:sz w:val="21"/>
                <w:szCs w:val="21"/>
              </w:rPr>
              <w:t>十七、</w:t>
            </w:r>
            <w:r>
              <w:rPr>
                <w:rFonts w:ascii="Arial" w:hAnsi="Arial" w:cs="Arial" w:eastAsia="Arial" w:hint="default"/>
                <w:spacing w:val="-26"/>
                <w:sz w:val="21"/>
                <w:szCs w:val="21"/>
              </w:rPr>
              <w:t>1</w:t>
            </w: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194,108.00</w:t>
            </w:r>
          </w:p>
        </w:tc>
      </w:tr>
      <w:tr>
        <w:trPr>
          <w:trHeight w:val="324"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40,861,125.50</w:t>
            </w:r>
          </w:p>
        </w:tc>
        <w:tc>
          <w:tcPr>
            <w:tcW w:w="19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8"/>
              <w:ind w:right="55"/>
              <w:jc w:val="right"/>
              <w:rPr>
                <w:rFonts w:ascii="Arial" w:hAnsi="Arial" w:cs="Arial" w:eastAsia="Arial" w:hint="default"/>
                <w:sz w:val="21"/>
                <w:szCs w:val="21"/>
              </w:rPr>
            </w:pPr>
            <w:r>
              <w:rPr>
                <w:rFonts w:ascii="Arial"/>
                <w:spacing w:val="-1"/>
                <w:sz w:val="21"/>
              </w:rPr>
              <w:t>46,932,603.15</w:t>
            </w: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862" w:type="dxa"/>
            <w:tcBorders>
              <w:top w:val="single" w:sz="4" w:space="0" w:color="41B7EE"/>
              <w:left w:val="single" w:sz="4" w:space="0" w:color="41B7EE"/>
              <w:bottom w:val="single" w:sz="4" w:space="0" w:color="41B7EE"/>
              <w:right w:val="single" w:sz="4" w:space="0" w:color="41B7EE"/>
            </w:tcBorders>
          </w:tcPr>
          <w:p>
            <w:pPr>
              <w:pStyle w:val="TableParagraph"/>
              <w:spacing w:line="275" w:lineRule="exact"/>
              <w:ind w:right="115"/>
              <w:jc w:val="center"/>
              <w:rPr>
                <w:rFonts w:ascii="Arial" w:hAnsi="Arial" w:cs="Arial" w:eastAsia="Arial" w:hint="default"/>
                <w:sz w:val="21"/>
                <w:szCs w:val="21"/>
              </w:rPr>
            </w:pPr>
            <w:r>
              <w:rPr>
                <w:rFonts w:ascii="宋体" w:hAnsi="宋体" w:cs="宋体" w:eastAsia="宋体" w:hint="default"/>
                <w:spacing w:val="-26"/>
                <w:sz w:val="21"/>
                <w:szCs w:val="21"/>
              </w:rPr>
              <w:t>十七、</w:t>
            </w:r>
            <w:r>
              <w:rPr>
                <w:rFonts w:ascii="Arial" w:hAnsi="Arial" w:cs="Arial" w:eastAsia="Arial" w:hint="default"/>
                <w:spacing w:val="-26"/>
                <w:sz w:val="21"/>
                <w:szCs w:val="21"/>
              </w:rPr>
              <w:t>2</w:t>
            </w: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1,180,496,756.20</w:t>
            </w:r>
          </w:p>
        </w:tc>
        <w:tc>
          <w:tcPr>
            <w:tcW w:w="19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6"/>
              <w:jc w:val="right"/>
              <w:rPr>
                <w:rFonts w:ascii="Arial" w:hAnsi="Arial" w:cs="Arial" w:eastAsia="Arial" w:hint="default"/>
                <w:sz w:val="21"/>
                <w:szCs w:val="21"/>
              </w:rPr>
            </w:pPr>
            <w:r>
              <w:rPr>
                <w:rFonts w:ascii="Arial"/>
                <w:spacing w:val="-1"/>
                <w:sz w:val="21"/>
              </w:rPr>
              <w:t>1,233,179,379.12</w:t>
            </w: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862" w:type="dxa"/>
            <w:tcBorders>
              <w:top w:val="single" w:sz="4" w:space="0" w:color="41B7EE"/>
              <w:left w:val="single" w:sz="4" w:space="0" w:color="41B7EE"/>
              <w:bottom w:val="single" w:sz="4" w:space="0" w:color="41B7EE"/>
              <w:right w:val="single" w:sz="4" w:space="0" w:color="41B7EE"/>
            </w:tcBorders>
          </w:tcPr>
          <w:p>
            <w:pPr>
              <w:pStyle w:val="TableParagraph"/>
              <w:spacing w:line="275" w:lineRule="exact"/>
              <w:ind w:right="115"/>
              <w:jc w:val="center"/>
              <w:rPr>
                <w:rFonts w:ascii="Arial" w:hAnsi="Arial" w:cs="Arial" w:eastAsia="Arial" w:hint="default"/>
                <w:sz w:val="21"/>
                <w:szCs w:val="21"/>
              </w:rPr>
            </w:pPr>
            <w:r>
              <w:rPr>
                <w:rFonts w:ascii="宋体" w:hAnsi="宋体" w:cs="宋体" w:eastAsia="宋体" w:hint="default"/>
                <w:spacing w:val="-26"/>
                <w:sz w:val="21"/>
                <w:szCs w:val="21"/>
              </w:rPr>
              <w:t>十七、</w:t>
            </w:r>
            <w:r>
              <w:rPr>
                <w:rFonts w:ascii="Arial" w:hAnsi="Arial" w:cs="Arial" w:eastAsia="Arial" w:hint="default"/>
                <w:spacing w:val="-26"/>
                <w:sz w:val="21"/>
                <w:szCs w:val="21"/>
              </w:rPr>
              <w:t>2</w:t>
            </w: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9,858,946.90</w:t>
            </w: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897"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44,545,856.31</w:t>
            </w:r>
          </w:p>
        </w:tc>
        <w:tc>
          <w:tcPr>
            <w:tcW w:w="19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64,947,314.62</w:t>
            </w:r>
          </w:p>
        </w:tc>
      </w:tr>
      <w:tr>
        <w:trPr>
          <w:trHeight w:val="324"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25,150,380.99</w:t>
            </w:r>
          </w:p>
        </w:tc>
        <w:tc>
          <w:tcPr>
            <w:tcW w:w="19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6"/>
              <w:jc w:val="right"/>
              <w:rPr>
                <w:rFonts w:ascii="Arial" w:hAnsi="Arial" w:cs="Arial" w:eastAsia="Arial" w:hint="default"/>
                <w:sz w:val="21"/>
                <w:szCs w:val="21"/>
              </w:rPr>
            </w:pPr>
            <w:r>
              <w:rPr>
                <w:rFonts w:ascii="Arial"/>
                <w:spacing w:val="-1"/>
                <w:sz w:val="21"/>
              </w:rPr>
              <w:t>2,162,612,628.99</w:t>
            </w: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477"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3,647,596,268.88</w:t>
            </w:r>
          </w:p>
        </w:tc>
        <w:tc>
          <w:tcPr>
            <w:tcW w:w="19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6"/>
              <w:jc w:val="right"/>
              <w:rPr>
                <w:rFonts w:ascii="Arial" w:hAnsi="Arial" w:cs="Arial" w:eastAsia="Arial" w:hint="default"/>
                <w:sz w:val="21"/>
                <w:szCs w:val="21"/>
              </w:rPr>
            </w:pPr>
            <w:r>
              <w:rPr>
                <w:rFonts w:ascii="Arial"/>
                <w:spacing w:val="-1"/>
                <w:sz w:val="21"/>
              </w:rPr>
              <w:t>3,731,782,622.53</w:t>
            </w: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57"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4"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21,000,000.00</w:t>
            </w: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862" w:type="dxa"/>
            <w:tcBorders>
              <w:top w:val="single" w:sz="4" w:space="0" w:color="41B7EE"/>
              <w:left w:val="single" w:sz="4" w:space="0" w:color="41B7EE"/>
              <w:bottom w:val="single" w:sz="4" w:space="0" w:color="41B7EE"/>
              <w:right w:val="single" w:sz="4" w:space="0" w:color="41B7EE"/>
            </w:tcBorders>
          </w:tcPr>
          <w:p>
            <w:pPr>
              <w:pStyle w:val="TableParagraph"/>
              <w:spacing w:line="275" w:lineRule="exact"/>
              <w:ind w:right="115"/>
              <w:jc w:val="center"/>
              <w:rPr>
                <w:rFonts w:ascii="Arial" w:hAnsi="Arial" w:cs="Arial" w:eastAsia="Arial" w:hint="default"/>
                <w:sz w:val="21"/>
                <w:szCs w:val="21"/>
              </w:rPr>
            </w:pPr>
            <w:r>
              <w:rPr>
                <w:rFonts w:ascii="宋体" w:hAnsi="宋体" w:cs="宋体" w:eastAsia="宋体" w:hint="default"/>
                <w:spacing w:val="-26"/>
                <w:sz w:val="21"/>
                <w:szCs w:val="21"/>
              </w:rPr>
              <w:t>十七、</w:t>
            </w:r>
            <w:r>
              <w:rPr>
                <w:rFonts w:ascii="Arial" w:hAnsi="Arial" w:cs="Arial" w:eastAsia="Arial" w:hint="default"/>
                <w:spacing w:val="-26"/>
                <w:sz w:val="21"/>
                <w:szCs w:val="21"/>
              </w:rPr>
              <w:t>3</w:t>
            </w: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809,972,711.70</w:t>
            </w:r>
          </w:p>
        </w:tc>
        <w:tc>
          <w:tcPr>
            <w:tcW w:w="19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858,854,707.75</w:t>
            </w: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3" w:lineRule="exact"/>
              <w:ind w:left="268"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11,000,001.00</w:t>
            </w: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4"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2,785,488,510.49</w:t>
            </w:r>
          </w:p>
        </w:tc>
        <w:tc>
          <w:tcPr>
            <w:tcW w:w="19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8"/>
              <w:ind w:right="56"/>
              <w:jc w:val="right"/>
              <w:rPr>
                <w:rFonts w:ascii="Arial" w:hAnsi="Arial" w:cs="Arial" w:eastAsia="Arial" w:hint="default"/>
                <w:sz w:val="21"/>
                <w:szCs w:val="21"/>
              </w:rPr>
            </w:pPr>
            <w:r>
              <w:rPr>
                <w:rFonts w:ascii="Arial"/>
                <w:spacing w:val="-1"/>
                <w:sz w:val="21"/>
              </w:rPr>
              <w:t>2,768,827,817.30</w:t>
            </w: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43,994,631.91</w:t>
            </w:r>
          </w:p>
        </w:tc>
        <w:tc>
          <w:tcPr>
            <w:tcW w:w="19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23,119,736.43</w:t>
            </w: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54,779,223.15</w:t>
            </w:r>
          </w:p>
        </w:tc>
        <w:tc>
          <w:tcPr>
            <w:tcW w:w="19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54,175,948.63</w:t>
            </w:r>
          </w:p>
        </w:tc>
      </w:tr>
      <w:tr>
        <w:trPr>
          <w:trHeight w:val="324"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9" w:hRule="exact"/>
        </w:trPr>
        <w:tc>
          <w:tcPr>
            <w:tcW w:w="4309" w:type="dxa"/>
            <w:tcBorders>
              <w:top w:val="single" w:sz="4" w:space="0" w:color="41B7EE"/>
              <w:left w:val="nil" w:sz="6" w:space="0" w:color="auto"/>
              <w:bottom w:val="single" w:sz="8"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862" w:type="dxa"/>
            <w:tcBorders>
              <w:top w:val="single" w:sz="4" w:space="0" w:color="41B7EE"/>
              <w:left w:val="single" w:sz="4" w:space="0" w:color="41B7EE"/>
              <w:bottom w:val="single" w:sz="8" w:space="0" w:color="41B7EE"/>
              <w:right w:val="single" w:sz="4" w:space="0" w:color="41B7EE"/>
            </w:tcBorders>
          </w:tcPr>
          <w:p>
            <w:pPr/>
          </w:p>
        </w:tc>
        <w:tc>
          <w:tcPr>
            <w:tcW w:w="1867" w:type="dxa"/>
            <w:tcBorders>
              <w:top w:val="single" w:sz="4" w:space="0" w:color="41B7EE"/>
              <w:left w:val="single" w:sz="4" w:space="0" w:color="41B7EE"/>
              <w:bottom w:val="single" w:sz="8" w:space="0" w:color="41B7EE"/>
              <w:right w:val="single" w:sz="4" w:space="0" w:color="41B7EE"/>
            </w:tcBorders>
          </w:tcPr>
          <w:p>
            <w:pPr/>
          </w:p>
        </w:tc>
        <w:tc>
          <w:tcPr>
            <w:tcW w:w="1901" w:type="dxa"/>
            <w:tcBorders>
              <w:top w:val="single" w:sz="4" w:space="0" w:color="41B7EE"/>
              <w:left w:val="single" w:sz="4" w:space="0" w:color="41B7EE"/>
              <w:bottom w:val="single" w:sz="8" w:space="0" w:color="41B7EE"/>
              <w:right w:val="nil" w:sz="6" w:space="0" w:color="auto"/>
            </w:tcBorders>
          </w:tcPr>
          <w:p>
            <w:pPr/>
          </w:p>
        </w:tc>
      </w:tr>
    </w:tbl>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47.95pt;height:1pt;mso-position-horizontal-relative:char;mso-position-vertical-relative:line" coordorigin="0,0" coordsize="8959,20">
            <v:group style="position:absolute;left:10;top:10;width:4304;height:2" coordorigin="10,10" coordsize="4304,2">
              <v:shape style="position:absolute;left:10;top:10;width:4304;height:2" coordorigin="10,10" coordsize="4304,0" path="m10,10l4313,10e" filled="false" stroked="true" strokeweight=".95996pt" strokecolor="#41b7ee">
                <v:path arrowok="t"/>
              </v:shape>
            </v:group>
            <v:group style="position:absolute;left:4313;top:10;width:58;height:2" coordorigin="4313,10" coordsize="58,2">
              <v:shape style="position:absolute;left:4313;top:10;width:58;height:2" coordorigin="4313,10" coordsize="58,0" path="m4313,10l4371,10e" filled="false" stroked="true" strokeweight=".95996pt" strokecolor="#41b7ee">
                <v:path arrowok="t"/>
              </v:shape>
            </v:group>
            <v:group style="position:absolute;left:4371;top:10;width:805;height:2" coordorigin="4371,10" coordsize="805,2">
              <v:shape style="position:absolute;left:4371;top:10;width:805;height:2" coordorigin="4371,10" coordsize="805,0" path="m4371,10l5175,10e" filled="false" stroked="true" strokeweight=".95996pt" strokecolor="#41b7ee">
                <v:path arrowok="t"/>
              </v:shape>
            </v:group>
            <v:group style="position:absolute;left:5175;top:10;width:58;height:2" coordorigin="5175,10" coordsize="58,2">
              <v:shape style="position:absolute;left:5175;top:10;width:58;height:2" coordorigin="5175,10" coordsize="58,0" path="m5175,10l5233,10e" filled="false" stroked="true" strokeweight=".95996pt" strokecolor="#41b7ee">
                <v:path arrowok="t"/>
              </v:shape>
            </v:group>
            <v:group style="position:absolute;left:5233;top:10;width:1810;height:2" coordorigin="5233,10" coordsize="1810,2">
              <v:shape style="position:absolute;left:5233;top:10;width:1810;height:2" coordorigin="5233,10" coordsize="1810,0" path="m5233,10l7043,10e" filled="false" stroked="true" strokeweight=".95996pt" strokecolor="#41b7ee">
                <v:path arrowok="t"/>
              </v:shape>
            </v:group>
            <v:group style="position:absolute;left:7043;top:10;width:58;height:2" coordorigin="7043,10" coordsize="58,2">
              <v:shape style="position:absolute;left:7043;top:10;width:58;height:2" coordorigin="7043,10" coordsize="58,0" path="m7043,10l7100,10e" filled="false" stroked="true" strokeweight=".95996pt" strokecolor="#41b7ee">
                <v:path arrowok="t"/>
              </v:shape>
            </v:group>
            <v:group style="position:absolute;left:7100;top:10;width:1849;height:2" coordorigin="7100,10" coordsize="1849,2">
              <v:shape style="position:absolute;left:7100;top:10;width:1849;height:2" coordorigin="7100,10" coordsize="1849,0" path="m7100,10l8949,10e" filled="false" stroked="true" strokeweight=".95996pt" strokecolor="#41b7ee">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360" w:bottom="1380" w:left="1600" w:right="1060"/>
        </w:sectPr>
      </w:pPr>
    </w:p>
    <w:p>
      <w:pPr>
        <w:spacing w:line="240" w:lineRule="auto" w:before="9"/>
        <w:rPr>
          <w:rFonts w:ascii="Times New Roman" w:hAnsi="Times New Roman" w:cs="Times New Roman" w:eastAsia="Times New Roman" w:hint="default"/>
          <w:sz w:val="13"/>
          <w:szCs w:val="13"/>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7.95pt;height:1pt;mso-position-horizontal-relative:char;mso-position-vertical-relative:line" coordorigin="0,0" coordsize="8959,20">
            <v:group style="position:absolute;left:10;top:10;width:4304;height:2" coordorigin="10,10" coordsize="4304,2">
              <v:shape style="position:absolute;left:10;top:10;width:4304;height:2" coordorigin="10,10" coordsize="4304,0" path="m10,10l4313,10e" filled="false" stroked="true" strokeweight=".96001pt" strokecolor="#41b7ee">
                <v:path arrowok="t"/>
              </v:shape>
            </v:group>
            <v:group style="position:absolute;left:4313;top:10;width:58;height:2" coordorigin="4313,10" coordsize="58,2">
              <v:shape style="position:absolute;left:4313;top:10;width:58;height:2" coordorigin="4313,10" coordsize="58,0" path="m4313,10l4371,10e" filled="false" stroked="true" strokeweight=".96001pt" strokecolor="#41b7ee">
                <v:path arrowok="t"/>
              </v:shape>
            </v:group>
            <v:group style="position:absolute;left:4371;top:10;width:805;height:2" coordorigin="4371,10" coordsize="805,2">
              <v:shape style="position:absolute;left:4371;top:10;width:805;height:2" coordorigin="4371,10" coordsize="805,0" path="m4371,10l5175,10e" filled="false" stroked="true" strokeweight=".96001pt" strokecolor="#41b7ee">
                <v:path arrowok="t"/>
              </v:shape>
            </v:group>
            <v:group style="position:absolute;left:5175;top:10;width:58;height:2" coordorigin="5175,10" coordsize="58,2">
              <v:shape style="position:absolute;left:5175;top:10;width:58;height:2" coordorigin="5175,10" coordsize="58,0" path="m5175,10l5233,10e" filled="false" stroked="true" strokeweight=".96001pt" strokecolor="#41b7ee">
                <v:path arrowok="t"/>
              </v:shape>
            </v:group>
            <v:group style="position:absolute;left:5233;top:10;width:1810;height:2" coordorigin="5233,10" coordsize="1810,2">
              <v:shape style="position:absolute;left:5233;top:10;width:1810;height:2" coordorigin="5233,10" coordsize="1810,0" path="m5233,10l7043,10e" filled="false" stroked="true" strokeweight=".96001pt" strokecolor="#41b7ee">
                <v:path arrowok="t"/>
              </v:shape>
            </v:group>
            <v:group style="position:absolute;left:7043;top:10;width:58;height:2" coordorigin="7043,10" coordsize="58,2">
              <v:shape style="position:absolute;left:7043;top:10;width:58;height:2" coordorigin="7043,10" coordsize="58,0" path="m7043,10l7100,10e" filled="false" stroked="true" strokeweight=".96001pt" strokecolor="#41b7ee">
                <v:path arrowok="t"/>
              </v:shape>
            </v:group>
            <v:group style="position:absolute;left:7100;top:10;width:1849;height:2" coordorigin="7100,10" coordsize="1849,2">
              <v:shape style="position:absolute;left:7100;top:10;width:1849;height:2" coordorigin="7100,10" coordsize="1849,0" path="m7100,10l8949,10e" filled="false" stroked="true" strokeweight=".96001pt" strokecolor="#41b7ee">
                <v:path arrowok="t"/>
              </v:shape>
            </v:group>
          </v:group>
        </w:pict>
      </w:r>
      <w:r>
        <w:rPr>
          <w:rFonts w:ascii="Times New Roman" w:hAnsi="Times New Roman" w:cs="Times New Roman" w:eastAsia="Times New Roman" w:hint="default"/>
          <w:sz w:val="2"/>
          <w:szCs w:val="2"/>
        </w:rPr>
      </w:r>
    </w:p>
    <w:tbl>
      <w:tblPr>
        <w:tblW w:w="0" w:type="auto"/>
        <w:jc w:val="left"/>
        <w:tblInd w:w="110" w:type="dxa"/>
        <w:tblLayout w:type="fixed"/>
        <w:tblCellMar>
          <w:top w:w="0" w:type="dxa"/>
          <w:left w:w="0" w:type="dxa"/>
          <w:bottom w:w="0" w:type="dxa"/>
          <w:right w:w="0" w:type="dxa"/>
        </w:tblCellMar>
        <w:tblLook w:val="01E0"/>
      </w:tblPr>
      <w:tblGrid>
        <w:gridCol w:w="4309"/>
        <w:gridCol w:w="862"/>
        <w:gridCol w:w="1867"/>
        <w:gridCol w:w="1901"/>
      </w:tblGrid>
      <w:tr>
        <w:trPr>
          <w:trHeight w:val="329" w:hRule="exact"/>
        </w:trPr>
        <w:tc>
          <w:tcPr>
            <w:tcW w:w="4309" w:type="dxa"/>
            <w:tcBorders>
              <w:top w:val="single" w:sz="8" w:space="0" w:color="41B7EE"/>
              <w:left w:val="nil" w:sz="6" w:space="0" w:color="auto"/>
              <w:bottom w:val="single" w:sz="4" w:space="0" w:color="41B7EE"/>
              <w:right w:val="single" w:sz="4" w:space="0" w:color="41B7EE"/>
            </w:tcBorders>
          </w:tcPr>
          <w:p>
            <w:pPr>
              <w:pStyle w:val="TableParagraph"/>
              <w:spacing w:line="265" w:lineRule="exact"/>
              <w:ind w:left="268"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862" w:type="dxa"/>
            <w:tcBorders>
              <w:top w:val="single" w:sz="8" w:space="0" w:color="41B7EE"/>
              <w:left w:val="single" w:sz="4" w:space="0" w:color="41B7EE"/>
              <w:bottom w:val="single" w:sz="4" w:space="0" w:color="41B7EE"/>
              <w:right w:val="single" w:sz="4" w:space="0" w:color="41B7EE"/>
            </w:tcBorders>
          </w:tcPr>
          <w:p>
            <w:pPr/>
          </w:p>
        </w:tc>
        <w:tc>
          <w:tcPr>
            <w:tcW w:w="1867"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34"/>
              <w:ind w:right="48"/>
              <w:jc w:val="right"/>
              <w:rPr>
                <w:rFonts w:ascii="Arial" w:hAnsi="Arial" w:cs="Arial" w:eastAsia="Arial" w:hint="default"/>
                <w:sz w:val="21"/>
                <w:szCs w:val="21"/>
              </w:rPr>
            </w:pPr>
            <w:r>
              <w:rPr>
                <w:rFonts w:ascii="Arial"/>
                <w:spacing w:val="-1"/>
                <w:sz w:val="21"/>
              </w:rPr>
              <w:t>43,661,013.24</w:t>
            </w:r>
          </w:p>
        </w:tc>
        <w:tc>
          <w:tcPr>
            <w:tcW w:w="1901"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34"/>
              <w:ind w:right="55"/>
              <w:jc w:val="right"/>
              <w:rPr>
                <w:rFonts w:ascii="Arial" w:hAnsi="Arial" w:cs="Arial" w:eastAsia="Arial" w:hint="default"/>
                <w:sz w:val="21"/>
                <w:szCs w:val="21"/>
              </w:rPr>
            </w:pPr>
            <w:r>
              <w:rPr>
                <w:rFonts w:ascii="Arial"/>
                <w:spacing w:val="-1"/>
                <w:sz w:val="21"/>
              </w:rPr>
              <w:t>49,001,221.61</w:t>
            </w:r>
          </w:p>
        </w:tc>
      </w:tr>
      <w:tr>
        <w:trPr>
          <w:trHeight w:val="324"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410,043,376.01</w:t>
            </w:r>
          </w:p>
        </w:tc>
        <w:tc>
          <w:tcPr>
            <w:tcW w:w="19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8"/>
              <w:ind w:right="55"/>
              <w:jc w:val="right"/>
              <w:rPr>
                <w:rFonts w:ascii="Arial" w:hAnsi="Arial" w:cs="Arial" w:eastAsia="Arial" w:hint="default"/>
                <w:sz w:val="21"/>
                <w:szCs w:val="21"/>
              </w:rPr>
            </w:pPr>
            <w:r>
              <w:rPr>
                <w:rFonts w:ascii="Arial"/>
                <w:spacing w:val="-1"/>
                <w:sz w:val="21"/>
              </w:rPr>
              <w:t>417,034,249.37</w:t>
            </w: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477"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4,158,939,467.50</w:t>
            </w:r>
          </w:p>
        </w:tc>
        <w:tc>
          <w:tcPr>
            <w:tcW w:w="19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6"/>
              <w:jc w:val="right"/>
              <w:rPr>
                <w:rFonts w:ascii="Arial" w:hAnsi="Arial" w:cs="Arial" w:eastAsia="Arial" w:hint="default"/>
                <w:sz w:val="21"/>
                <w:szCs w:val="21"/>
              </w:rPr>
            </w:pPr>
            <w:r>
              <w:rPr>
                <w:rFonts w:ascii="Arial"/>
                <w:spacing w:val="-1"/>
                <w:sz w:val="21"/>
              </w:rPr>
              <w:t>4,192,013,681.09</w:t>
            </w: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688"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7,806,535,736.38</w:t>
            </w:r>
          </w:p>
        </w:tc>
        <w:tc>
          <w:tcPr>
            <w:tcW w:w="19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6"/>
              <w:jc w:val="right"/>
              <w:rPr>
                <w:rFonts w:ascii="Arial" w:hAnsi="Arial" w:cs="Arial" w:eastAsia="Arial" w:hint="default"/>
                <w:sz w:val="21"/>
                <w:szCs w:val="21"/>
              </w:rPr>
            </w:pPr>
            <w:r>
              <w:rPr>
                <w:rFonts w:ascii="Arial"/>
                <w:spacing w:val="-1"/>
                <w:sz w:val="21"/>
              </w:rPr>
              <w:t>7,923,796,303.62</w:t>
            </w: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57"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4"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37,145,400.26</w:t>
            </w:r>
          </w:p>
        </w:tc>
        <w:tc>
          <w:tcPr>
            <w:tcW w:w="19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53,040,710.54</w:t>
            </w: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3" w:lineRule="exact"/>
              <w:ind w:left="268"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489,005,047.63</w:t>
            </w:r>
          </w:p>
        </w:tc>
        <w:tc>
          <w:tcPr>
            <w:tcW w:w="19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610,860,681.20</w:t>
            </w: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285,036,969.51</w:t>
            </w:r>
          </w:p>
        </w:tc>
        <w:tc>
          <w:tcPr>
            <w:tcW w:w="19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309,376,688.24</w:t>
            </w:r>
          </w:p>
        </w:tc>
      </w:tr>
      <w:tr>
        <w:trPr>
          <w:trHeight w:val="324"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19,953,167.91</w:t>
            </w:r>
          </w:p>
        </w:tc>
        <w:tc>
          <w:tcPr>
            <w:tcW w:w="19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41,058,083.88</w:t>
            </w: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216,956,592.41</w:t>
            </w:r>
          </w:p>
        </w:tc>
        <w:tc>
          <w:tcPr>
            <w:tcW w:w="19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8"/>
              <w:ind w:right="55"/>
              <w:jc w:val="right"/>
              <w:rPr>
                <w:rFonts w:ascii="Arial" w:hAnsi="Arial" w:cs="Arial" w:eastAsia="Arial" w:hint="default"/>
                <w:sz w:val="21"/>
                <w:szCs w:val="21"/>
              </w:rPr>
            </w:pPr>
            <w:r>
              <w:rPr>
                <w:rFonts w:ascii="Arial"/>
                <w:spacing w:val="-1"/>
                <w:sz w:val="21"/>
              </w:rPr>
              <w:t>233,573,934.71</w:t>
            </w: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897"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70,309.90</w:t>
            </w: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4"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477"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1,048,097,177.72</w:t>
            </w:r>
          </w:p>
        </w:tc>
        <w:tc>
          <w:tcPr>
            <w:tcW w:w="19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8"/>
              <w:ind w:right="56"/>
              <w:jc w:val="right"/>
              <w:rPr>
                <w:rFonts w:ascii="Arial" w:hAnsi="Arial" w:cs="Arial" w:eastAsia="Arial" w:hint="default"/>
                <w:sz w:val="21"/>
                <w:szCs w:val="21"/>
              </w:rPr>
            </w:pPr>
            <w:r>
              <w:rPr>
                <w:rFonts w:ascii="Arial"/>
                <w:spacing w:val="-1"/>
                <w:sz w:val="21"/>
              </w:rPr>
              <w:t>1,247,910,098.57</w:t>
            </w: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2,984,954.93</w:t>
            </w:r>
          </w:p>
        </w:tc>
        <w:tc>
          <w:tcPr>
            <w:tcW w:w="19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2,984,954.93</w:t>
            </w: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4"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897"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137,271.31</w:t>
            </w:r>
          </w:p>
        </w:tc>
        <w:tc>
          <w:tcPr>
            <w:tcW w:w="19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8"/>
              <w:ind w:right="55"/>
              <w:jc w:val="right"/>
              <w:rPr>
                <w:rFonts w:ascii="Arial" w:hAnsi="Arial" w:cs="Arial" w:eastAsia="Arial" w:hint="default"/>
                <w:sz w:val="21"/>
                <w:szCs w:val="21"/>
              </w:rPr>
            </w:pPr>
            <w:r>
              <w:rPr>
                <w:rFonts w:ascii="Arial"/>
                <w:spacing w:val="-1"/>
                <w:sz w:val="21"/>
              </w:rPr>
              <w:t>137,271.31</w:t>
            </w: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109,290,464.74</w:t>
            </w:r>
          </w:p>
        </w:tc>
        <w:tc>
          <w:tcPr>
            <w:tcW w:w="19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113,978,750.65</w:t>
            </w: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3,171,927.30</w:t>
            </w:r>
          </w:p>
        </w:tc>
        <w:tc>
          <w:tcPr>
            <w:tcW w:w="19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5"/>
              <w:jc w:val="right"/>
              <w:rPr>
                <w:rFonts w:ascii="Arial" w:hAnsi="Arial" w:cs="Arial" w:eastAsia="Arial" w:hint="default"/>
                <w:sz w:val="21"/>
                <w:szCs w:val="21"/>
              </w:rPr>
            </w:pPr>
            <w:r>
              <w:rPr>
                <w:rFonts w:ascii="Arial"/>
                <w:spacing w:val="-1"/>
                <w:sz w:val="21"/>
              </w:rPr>
              <w:t>651,754.62</w:t>
            </w: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4"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477"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115,584,618.28</w:t>
            </w:r>
          </w:p>
        </w:tc>
        <w:tc>
          <w:tcPr>
            <w:tcW w:w="19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8"/>
              <w:ind w:right="55"/>
              <w:jc w:val="right"/>
              <w:rPr>
                <w:rFonts w:ascii="Arial" w:hAnsi="Arial" w:cs="Arial" w:eastAsia="Arial" w:hint="default"/>
                <w:sz w:val="21"/>
                <w:szCs w:val="21"/>
              </w:rPr>
            </w:pPr>
            <w:r>
              <w:rPr>
                <w:rFonts w:ascii="Arial"/>
                <w:spacing w:val="-1"/>
                <w:sz w:val="21"/>
              </w:rPr>
              <w:t>117,752,731.51</w:t>
            </w: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1" w:lineRule="exact"/>
              <w:ind w:left="688"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1,163,681,796.00</w:t>
            </w:r>
          </w:p>
        </w:tc>
        <w:tc>
          <w:tcPr>
            <w:tcW w:w="19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6"/>
              <w:jc w:val="right"/>
              <w:rPr>
                <w:rFonts w:ascii="Arial" w:hAnsi="Arial" w:cs="Arial" w:eastAsia="Arial" w:hint="default"/>
                <w:sz w:val="21"/>
                <w:szCs w:val="21"/>
              </w:rPr>
            </w:pPr>
            <w:r>
              <w:rPr>
                <w:rFonts w:ascii="Arial"/>
                <w:spacing w:val="-1"/>
                <w:sz w:val="21"/>
              </w:rPr>
              <w:t>1,365,662,830.08</w:t>
            </w: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1,777,679,909.00</w:t>
            </w:r>
          </w:p>
        </w:tc>
        <w:tc>
          <w:tcPr>
            <w:tcW w:w="19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6"/>
              <w:jc w:val="right"/>
              <w:rPr>
                <w:rFonts w:ascii="Arial" w:hAnsi="Arial" w:cs="Arial" w:eastAsia="Arial" w:hint="default"/>
                <w:sz w:val="21"/>
                <w:szCs w:val="21"/>
              </w:rPr>
            </w:pPr>
            <w:r>
              <w:rPr>
                <w:rFonts w:ascii="Arial"/>
                <w:spacing w:val="-1"/>
                <w:sz w:val="21"/>
              </w:rPr>
              <w:t>1,777,679,909.00</w:t>
            </w: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4"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897"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2,422,095,180.79</w:t>
            </w:r>
          </w:p>
        </w:tc>
        <w:tc>
          <w:tcPr>
            <w:tcW w:w="19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6"/>
              <w:jc w:val="right"/>
              <w:rPr>
                <w:rFonts w:ascii="Arial" w:hAnsi="Arial" w:cs="Arial" w:eastAsia="Arial" w:hint="default"/>
                <w:sz w:val="21"/>
                <w:szCs w:val="21"/>
              </w:rPr>
            </w:pPr>
            <w:r>
              <w:rPr>
                <w:rFonts w:ascii="Arial"/>
                <w:spacing w:val="-1"/>
                <w:sz w:val="21"/>
              </w:rPr>
              <w:t>2,422,095,180.79</w:t>
            </w: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01" w:type="dxa"/>
            <w:tcBorders>
              <w:top w:val="single" w:sz="4" w:space="0" w:color="41B7EE"/>
              <w:left w:val="single" w:sz="4" w:space="0" w:color="41B7EE"/>
              <w:bottom w:val="single" w:sz="4" w:space="0" w:color="41B7EE"/>
              <w:right w:val="nil" w:sz="6" w:space="0" w:color="auto"/>
            </w:tcBorders>
          </w:tcPr>
          <w:p>
            <w:pPr/>
          </w:p>
        </w:tc>
      </w:tr>
      <w:tr>
        <w:trPr>
          <w:trHeight w:val="329" w:hRule="exact"/>
        </w:trPr>
        <w:tc>
          <w:tcPr>
            <w:tcW w:w="4309" w:type="dxa"/>
            <w:tcBorders>
              <w:top w:val="single" w:sz="4" w:space="0" w:color="41B7EE"/>
              <w:left w:val="nil" w:sz="6" w:space="0" w:color="auto"/>
              <w:bottom w:val="single" w:sz="8"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862" w:type="dxa"/>
            <w:tcBorders>
              <w:top w:val="single" w:sz="4" w:space="0" w:color="41B7EE"/>
              <w:left w:val="single" w:sz="4" w:space="0" w:color="41B7EE"/>
              <w:bottom w:val="single" w:sz="8" w:space="0" w:color="41B7EE"/>
              <w:right w:val="single" w:sz="4" w:space="0" w:color="41B7EE"/>
            </w:tcBorders>
          </w:tcPr>
          <w:p>
            <w:pPr/>
          </w:p>
        </w:tc>
        <w:tc>
          <w:tcPr>
            <w:tcW w:w="1867"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1.00</w:t>
            </w:r>
          </w:p>
        </w:tc>
        <w:tc>
          <w:tcPr>
            <w:tcW w:w="1901" w:type="dxa"/>
            <w:tcBorders>
              <w:top w:val="single" w:sz="4" w:space="0" w:color="41B7EE"/>
              <w:left w:val="single" w:sz="4" w:space="0" w:color="41B7EE"/>
              <w:bottom w:val="single" w:sz="8" w:space="0" w:color="41B7EE"/>
              <w:right w:val="nil" w:sz="6" w:space="0" w:color="auto"/>
            </w:tcBorders>
          </w:tcPr>
          <w:p>
            <w:pPr/>
          </w:p>
        </w:tc>
      </w:tr>
    </w:tbl>
    <w:p>
      <w:pPr>
        <w:spacing w:line="240" w:lineRule="auto" w:before="3"/>
        <w:rPr>
          <w:rFonts w:ascii="Times New Roman" w:hAnsi="Times New Roman" w:cs="Times New Roman" w:eastAsia="Times New Roman" w:hint="default"/>
          <w:sz w:val="3"/>
          <w:szCs w:val="3"/>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7.95pt;height:1pt;mso-position-horizontal-relative:char;mso-position-vertical-relative:line" coordorigin="0,0" coordsize="8959,20">
            <v:group style="position:absolute;left:10;top:10;width:4304;height:2" coordorigin="10,10" coordsize="4304,2">
              <v:shape style="position:absolute;left:10;top:10;width:4304;height:2" coordorigin="10,10" coordsize="4304,0" path="m10,10l4313,10e" filled="false" stroked="true" strokeweight=".95996pt" strokecolor="#41b7ee">
                <v:path arrowok="t"/>
              </v:shape>
            </v:group>
            <v:group style="position:absolute;left:4313;top:10;width:58;height:2" coordorigin="4313,10" coordsize="58,2">
              <v:shape style="position:absolute;left:4313;top:10;width:58;height:2" coordorigin="4313,10" coordsize="58,0" path="m4313,10l4371,10e" filled="false" stroked="true" strokeweight=".95996pt" strokecolor="#41b7ee">
                <v:path arrowok="t"/>
              </v:shape>
            </v:group>
            <v:group style="position:absolute;left:4371;top:10;width:805;height:2" coordorigin="4371,10" coordsize="805,2">
              <v:shape style="position:absolute;left:4371;top:10;width:805;height:2" coordorigin="4371,10" coordsize="805,0" path="m4371,10l5175,10e" filled="false" stroked="true" strokeweight=".95996pt" strokecolor="#41b7ee">
                <v:path arrowok="t"/>
              </v:shape>
            </v:group>
            <v:group style="position:absolute;left:5175;top:10;width:58;height:2" coordorigin="5175,10" coordsize="58,2">
              <v:shape style="position:absolute;left:5175;top:10;width:58;height:2" coordorigin="5175,10" coordsize="58,0" path="m5175,10l5233,10e" filled="false" stroked="true" strokeweight=".95996pt" strokecolor="#41b7ee">
                <v:path arrowok="t"/>
              </v:shape>
            </v:group>
            <v:group style="position:absolute;left:5233;top:10;width:1810;height:2" coordorigin="5233,10" coordsize="1810,2">
              <v:shape style="position:absolute;left:5233;top:10;width:1810;height:2" coordorigin="5233,10" coordsize="1810,0" path="m5233,10l7043,10e" filled="false" stroked="true" strokeweight=".95996pt" strokecolor="#41b7ee">
                <v:path arrowok="t"/>
              </v:shape>
            </v:group>
            <v:group style="position:absolute;left:7043;top:10;width:58;height:2" coordorigin="7043,10" coordsize="58,2">
              <v:shape style="position:absolute;left:7043;top:10;width:58;height:2" coordorigin="7043,10" coordsize="58,0" path="m7043,10l7100,10e" filled="false" stroked="true" strokeweight=".95996pt" strokecolor="#41b7ee">
                <v:path arrowok="t"/>
              </v:shape>
            </v:group>
            <v:group style="position:absolute;left:7100;top:10;width:1849;height:2" coordorigin="7100,10" coordsize="1849,2">
              <v:shape style="position:absolute;left:7100;top:10;width:1849;height:2" coordorigin="7100,10" coordsize="1849,0" path="m7100,10l8949,10e" filled="false" stroked="true" strokeweight=".95996pt" strokecolor="#41b7ee">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pgSz w:w="11910" w:h="16840"/>
          <w:pgMar w:header="821" w:footer="1195" w:top="1360" w:bottom="1380" w:left="1620" w:right="1100"/>
        </w:sectPr>
      </w:pPr>
    </w:p>
    <w:p>
      <w:pPr>
        <w:spacing w:line="240" w:lineRule="auto" w:before="9"/>
        <w:rPr>
          <w:rFonts w:ascii="Times New Roman" w:hAnsi="Times New Roman" w:cs="Times New Roman" w:eastAsia="Times New Roman" w:hint="default"/>
          <w:sz w:val="13"/>
          <w:szCs w:val="13"/>
        </w:rPr>
      </w:pPr>
    </w:p>
    <w:p>
      <w:pPr>
        <w:spacing w:line="20" w:lineRule="exact"/>
        <w:ind w:left="13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7.95pt;height:1pt;mso-position-horizontal-relative:char;mso-position-vertical-relative:line" coordorigin="0,0" coordsize="8959,20">
            <v:group style="position:absolute;left:10;top:10;width:4304;height:2" coordorigin="10,10" coordsize="4304,2">
              <v:shape style="position:absolute;left:10;top:10;width:4304;height:2" coordorigin="10,10" coordsize="4304,0" path="m10,10l4313,10e" filled="false" stroked="true" strokeweight=".96001pt" strokecolor="#41b7ee">
                <v:path arrowok="t"/>
              </v:shape>
            </v:group>
            <v:group style="position:absolute;left:4313;top:10;width:58;height:2" coordorigin="4313,10" coordsize="58,2">
              <v:shape style="position:absolute;left:4313;top:10;width:58;height:2" coordorigin="4313,10" coordsize="58,0" path="m4313,10l4371,10e" filled="false" stroked="true" strokeweight=".96001pt" strokecolor="#41b7ee">
                <v:path arrowok="t"/>
              </v:shape>
            </v:group>
            <v:group style="position:absolute;left:4371;top:10;width:805;height:2" coordorigin="4371,10" coordsize="805,2">
              <v:shape style="position:absolute;left:4371;top:10;width:805;height:2" coordorigin="4371,10" coordsize="805,0" path="m4371,10l5175,10e" filled="false" stroked="true" strokeweight=".96001pt" strokecolor="#41b7ee">
                <v:path arrowok="t"/>
              </v:shape>
            </v:group>
            <v:group style="position:absolute;left:5175;top:10;width:58;height:2" coordorigin="5175,10" coordsize="58,2">
              <v:shape style="position:absolute;left:5175;top:10;width:58;height:2" coordorigin="5175,10" coordsize="58,0" path="m5175,10l5233,10e" filled="false" stroked="true" strokeweight=".96001pt" strokecolor="#41b7ee">
                <v:path arrowok="t"/>
              </v:shape>
            </v:group>
            <v:group style="position:absolute;left:5233;top:10;width:1810;height:2" coordorigin="5233,10" coordsize="1810,2">
              <v:shape style="position:absolute;left:5233;top:10;width:1810;height:2" coordorigin="5233,10" coordsize="1810,0" path="m5233,10l7043,10e" filled="false" stroked="true" strokeweight=".96001pt" strokecolor="#41b7ee">
                <v:path arrowok="t"/>
              </v:shape>
            </v:group>
            <v:group style="position:absolute;left:7043;top:10;width:58;height:2" coordorigin="7043,10" coordsize="58,2">
              <v:shape style="position:absolute;left:7043;top:10;width:58;height:2" coordorigin="7043,10" coordsize="58,0" path="m7043,10l7100,10e" filled="false" stroked="true" strokeweight=".96001pt" strokecolor="#41b7ee">
                <v:path arrowok="t"/>
              </v:shape>
            </v:group>
            <v:group style="position:absolute;left:7100;top:10;width:1849;height:2" coordorigin="7100,10" coordsize="1849,2">
              <v:shape style="position:absolute;left:7100;top:10;width:1849;height:2" coordorigin="7100,10" coordsize="1849,0" path="m7100,10l8949,10e" filled="false" stroked="true" strokeweight=".96001pt" strokecolor="#41b7ee">
                <v:path arrowok="t"/>
              </v:shape>
            </v:group>
          </v:group>
        </w:pict>
      </w:r>
      <w:r>
        <w:rPr>
          <w:rFonts w:ascii="Times New Roman" w:hAnsi="Times New Roman" w:cs="Times New Roman" w:eastAsia="Times New Roman" w:hint="default"/>
          <w:sz w:val="2"/>
          <w:szCs w:val="2"/>
        </w:rPr>
      </w:r>
    </w:p>
    <w:tbl>
      <w:tblPr>
        <w:tblW w:w="0" w:type="auto"/>
        <w:jc w:val="left"/>
        <w:tblInd w:w="111" w:type="dxa"/>
        <w:tblLayout w:type="fixed"/>
        <w:tblCellMar>
          <w:top w:w="0" w:type="dxa"/>
          <w:left w:w="0" w:type="dxa"/>
          <w:bottom w:w="0" w:type="dxa"/>
          <w:right w:w="0" w:type="dxa"/>
        </w:tblCellMar>
        <w:tblLook w:val="01E0"/>
      </w:tblPr>
      <w:tblGrid>
        <w:gridCol w:w="4309"/>
        <w:gridCol w:w="862"/>
        <w:gridCol w:w="1867"/>
        <w:gridCol w:w="1901"/>
      </w:tblGrid>
      <w:tr>
        <w:trPr>
          <w:trHeight w:val="329" w:hRule="exact"/>
        </w:trPr>
        <w:tc>
          <w:tcPr>
            <w:tcW w:w="4309" w:type="dxa"/>
            <w:tcBorders>
              <w:top w:val="single" w:sz="8" w:space="0" w:color="41B7EE"/>
              <w:left w:val="nil" w:sz="6" w:space="0" w:color="auto"/>
              <w:bottom w:val="single" w:sz="4" w:space="0" w:color="41B7EE"/>
              <w:right w:val="single" w:sz="4" w:space="0" w:color="41B7EE"/>
            </w:tcBorders>
          </w:tcPr>
          <w:p>
            <w:pPr>
              <w:pStyle w:val="TableParagraph"/>
              <w:spacing w:line="265" w:lineRule="exact"/>
              <w:ind w:left="268"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862" w:type="dxa"/>
            <w:tcBorders>
              <w:top w:val="single" w:sz="8" w:space="0" w:color="41B7EE"/>
              <w:left w:val="single" w:sz="4" w:space="0" w:color="41B7EE"/>
              <w:bottom w:val="single" w:sz="4" w:space="0" w:color="41B7EE"/>
              <w:right w:val="single" w:sz="4" w:space="0" w:color="41B7EE"/>
            </w:tcBorders>
          </w:tcPr>
          <w:p>
            <w:pPr/>
          </w:p>
        </w:tc>
        <w:tc>
          <w:tcPr>
            <w:tcW w:w="1867" w:type="dxa"/>
            <w:tcBorders>
              <w:top w:val="single" w:sz="8" w:space="0" w:color="41B7EE"/>
              <w:left w:val="single" w:sz="4" w:space="0" w:color="41B7EE"/>
              <w:bottom w:val="single" w:sz="4" w:space="0" w:color="41B7EE"/>
              <w:right w:val="single" w:sz="4" w:space="0" w:color="41B7EE"/>
            </w:tcBorders>
          </w:tcPr>
          <w:p>
            <w:pPr/>
          </w:p>
        </w:tc>
        <w:tc>
          <w:tcPr>
            <w:tcW w:w="1901" w:type="dxa"/>
            <w:tcBorders>
              <w:top w:val="single" w:sz="8" w:space="0" w:color="41B7EE"/>
              <w:left w:val="single" w:sz="4" w:space="0" w:color="41B7EE"/>
              <w:bottom w:val="single" w:sz="4" w:space="0" w:color="41B7EE"/>
              <w:right w:val="nil" w:sz="6" w:space="0" w:color="auto"/>
            </w:tcBorders>
          </w:tcPr>
          <w:p>
            <w:pPr/>
          </w:p>
        </w:tc>
      </w:tr>
      <w:tr>
        <w:trPr>
          <w:trHeight w:val="324"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1,637,812,988.88</w:t>
            </w:r>
          </w:p>
        </w:tc>
        <w:tc>
          <w:tcPr>
            <w:tcW w:w="19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6"/>
              <w:jc w:val="right"/>
              <w:rPr>
                <w:rFonts w:ascii="Arial" w:hAnsi="Arial" w:cs="Arial" w:eastAsia="Arial" w:hint="default"/>
                <w:sz w:val="21"/>
                <w:szCs w:val="21"/>
              </w:rPr>
            </w:pPr>
            <w:r>
              <w:rPr>
                <w:rFonts w:ascii="Arial"/>
                <w:spacing w:val="-1"/>
                <w:sz w:val="21"/>
              </w:rPr>
              <w:t>1,518,444,124.46</w:t>
            </w: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805,265,860.71</w:t>
            </w:r>
          </w:p>
        </w:tc>
        <w:tc>
          <w:tcPr>
            <w:tcW w:w="19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8"/>
              <w:ind w:right="55"/>
              <w:jc w:val="right"/>
              <w:rPr>
                <w:rFonts w:ascii="Arial" w:hAnsi="Arial" w:cs="Arial" w:eastAsia="Arial" w:hint="default"/>
                <w:sz w:val="21"/>
                <w:szCs w:val="21"/>
              </w:rPr>
            </w:pPr>
            <w:r>
              <w:rPr>
                <w:rFonts w:ascii="Arial"/>
                <w:spacing w:val="-1"/>
                <w:sz w:val="21"/>
              </w:rPr>
              <w:t>839,914,259.29</w:t>
            </w:r>
          </w:p>
        </w:tc>
      </w:tr>
      <w:tr>
        <w:trPr>
          <w:trHeight w:val="322" w:hRule="exact"/>
        </w:trPr>
        <w:tc>
          <w:tcPr>
            <w:tcW w:w="4309"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477"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862"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6,642,853,940.38</w:t>
            </w:r>
          </w:p>
        </w:tc>
        <w:tc>
          <w:tcPr>
            <w:tcW w:w="19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6"/>
              <w:jc w:val="right"/>
              <w:rPr>
                <w:rFonts w:ascii="Arial" w:hAnsi="Arial" w:cs="Arial" w:eastAsia="Arial" w:hint="default"/>
                <w:sz w:val="21"/>
                <w:szCs w:val="21"/>
              </w:rPr>
            </w:pPr>
            <w:r>
              <w:rPr>
                <w:rFonts w:ascii="Arial"/>
                <w:spacing w:val="-1"/>
                <w:sz w:val="21"/>
              </w:rPr>
              <w:t>6,558,133,473.54</w:t>
            </w:r>
          </w:p>
        </w:tc>
      </w:tr>
      <w:tr>
        <w:trPr>
          <w:trHeight w:val="348" w:hRule="exact"/>
        </w:trPr>
        <w:tc>
          <w:tcPr>
            <w:tcW w:w="4309" w:type="dxa"/>
            <w:tcBorders>
              <w:top w:val="single" w:sz="4" w:space="0" w:color="41B7EE"/>
              <w:left w:val="nil" w:sz="6" w:space="0" w:color="auto"/>
              <w:bottom w:val="single" w:sz="23" w:space="0" w:color="41B7EE"/>
              <w:right w:val="single" w:sz="4" w:space="0" w:color="41B7EE"/>
            </w:tcBorders>
          </w:tcPr>
          <w:p>
            <w:pPr>
              <w:pStyle w:val="TableParagraph"/>
              <w:spacing w:line="260" w:lineRule="exact"/>
              <w:ind w:left="688" w:right="0"/>
              <w:jc w:val="left"/>
              <w:rPr>
                <w:rFonts w:ascii="宋体" w:hAnsi="宋体" w:cs="宋体" w:eastAsia="宋体" w:hint="default"/>
                <w:sz w:val="21"/>
                <w:szCs w:val="21"/>
              </w:rPr>
            </w:pPr>
            <w:r>
              <w:rPr>
                <w:rFonts w:ascii="宋体" w:hAnsi="宋体" w:cs="宋体" w:eastAsia="宋体" w:hint="default"/>
                <w:spacing w:val="-10"/>
                <w:sz w:val="21"/>
                <w:szCs w:val="21"/>
              </w:rPr>
              <w:t>负债和所有者权益（或股东权益）总计</w:t>
            </w:r>
            <w:r>
              <w:rPr>
                <w:rFonts w:ascii="宋体" w:hAnsi="宋体" w:cs="宋体" w:eastAsia="宋体" w:hint="default"/>
                <w:sz w:val="21"/>
                <w:szCs w:val="21"/>
              </w:rPr>
            </w:r>
          </w:p>
        </w:tc>
        <w:tc>
          <w:tcPr>
            <w:tcW w:w="862" w:type="dxa"/>
            <w:tcBorders>
              <w:top w:val="single" w:sz="4" w:space="0" w:color="41B7EE"/>
              <w:left w:val="single" w:sz="4" w:space="0" w:color="41B7EE"/>
              <w:bottom w:val="single" w:sz="23" w:space="0" w:color="41B7EE"/>
              <w:right w:val="single" w:sz="4" w:space="0" w:color="41B7EE"/>
            </w:tcBorders>
          </w:tcPr>
          <w:p>
            <w:pPr/>
          </w:p>
        </w:tc>
        <w:tc>
          <w:tcPr>
            <w:tcW w:w="1867"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7,806,535,736.38</w:t>
            </w:r>
          </w:p>
        </w:tc>
        <w:tc>
          <w:tcPr>
            <w:tcW w:w="1901"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31"/>
              <w:ind w:right="56"/>
              <w:jc w:val="right"/>
              <w:rPr>
                <w:rFonts w:ascii="Arial" w:hAnsi="Arial" w:cs="Arial" w:eastAsia="Arial" w:hint="default"/>
                <w:sz w:val="21"/>
                <w:szCs w:val="21"/>
              </w:rPr>
            </w:pPr>
            <w:r>
              <w:rPr>
                <w:rFonts w:ascii="Arial"/>
                <w:spacing w:val="-1"/>
                <w:sz w:val="21"/>
              </w:rPr>
              <w:t>7,923,796,303.62</w:t>
            </w:r>
          </w:p>
        </w:tc>
      </w:tr>
    </w:tbl>
    <w:p>
      <w:pPr>
        <w:pStyle w:val="BodyText"/>
        <w:spacing w:line="274" w:lineRule="exact" w:before="10"/>
        <w:ind w:left="198" w:right="0"/>
        <w:jc w:val="left"/>
        <w:rPr>
          <w:rFonts w:ascii="宋体" w:hAnsi="宋体" w:cs="宋体" w:eastAsia="宋体" w:hint="default"/>
        </w:rPr>
      </w:pPr>
      <w:r>
        <w:rPr>
          <w:rFonts w:ascii="宋体" w:hAnsi="宋体" w:cs="宋体" w:eastAsia="宋体" w:hint="default"/>
          <w:w w:val="100"/>
        </w:rPr>
        <w:t>  </w:t>
      </w:r>
      <w:r>
        <w:rPr>
          <w:spacing w:val="-10"/>
          <w:w w:val="100"/>
        </w:rPr>
        <w:t>法定代表人：刘</w:t>
      </w:r>
      <w:r>
        <w:rPr>
          <w:spacing w:val="-8"/>
          <w:w w:val="100"/>
        </w:rPr>
        <w:t>长</w:t>
      </w:r>
      <w:r>
        <w:rPr>
          <w:spacing w:val="-10"/>
          <w:w w:val="100"/>
        </w:rPr>
        <w:t>友主管</w:t>
      </w:r>
      <w:r>
        <w:rPr>
          <w:spacing w:val="-8"/>
          <w:w w:val="100"/>
        </w:rPr>
        <w:t>会</w:t>
      </w:r>
      <w:r>
        <w:rPr>
          <w:spacing w:val="-10"/>
          <w:w w:val="100"/>
        </w:rPr>
        <w:t>计工作负责人：</w:t>
      </w:r>
      <w:r>
        <w:rPr>
          <w:spacing w:val="-8"/>
          <w:w w:val="100"/>
        </w:rPr>
        <w:t>贺</w:t>
      </w:r>
      <w:r>
        <w:rPr>
          <w:spacing w:val="-10"/>
          <w:w w:val="100"/>
        </w:rPr>
        <w:t>天元、</w:t>
      </w:r>
      <w:r>
        <w:rPr>
          <w:spacing w:val="-8"/>
          <w:w w:val="100"/>
        </w:rPr>
        <w:t>总</w:t>
      </w:r>
      <w:r>
        <w:rPr>
          <w:spacing w:val="-10"/>
          <w:w w:val="100"/>
        </w:rPr>
        <w:t>会计师及会计机</w:t>
      </w:r>
      <w:r>
        <w:rPr>
          <w:spacing w:val="-8"/>
          <w:w w:val="100"/>
        </w:rPr>
        <w:t>构</w:t>
      </w:r>
      <w:r>
        <w:rPr>
          <w:spacing w:val="-10"/>
          <w:w w:val="100"/>
        </w:rPr>
        <w:t>负责</w:t>
      </w:r>
      <w:r>
        <w:rPr>
          <w:spacing w:val="-11"/>
          <w:w w:val="100"/>
        </w:rPr>
        <w:t>人</w:t>
      </w:r>
      <w:r>
        <w:rPr>
          <w:spacing w:val="-7"/>
          <w:w w:val="100"/>
        </w:rPr>
        <w:t>：</w:t>
      </w:r>
      <w:r>
        <w:rPr>
          <w:spacing w:val="-10"/>
          <w:w w:val="100"/>
        </w:rPr>
        <w:t>葛树</w:t>
      </w:r>
      <w:r>
        <w:rPr>
          <w:spacing w:val="-8"/>
          <w:w w:val="100"/>
        </w:rPr>
        <w:t>峰</w:t>
      </w:r>
      <w:r>
        <w:rPr>
          <w:rFonts w:ascii="宋体" w:hAnsi="宋体" w:cs="宋体" w:eastAsia="宋体" w:hint="default"/>
          <w:w w:val="100"/>
        </w:rPr>
        <w:t> </w:t>
      </w:r>
    </w:p>
    <w:p>
      <w:pPr>
        <w:pStyle w:val="BodyText"/>
        <w:spacing w:line="245" w:lineRule="exact"/>
        <w:ind w:left="198" w:right="0"/>
        <w:jc w:val="left"/>
        <w:rPr>
          <w:rFonts w:ascii="宋体" w:hAnsi="宋体" w:cs="宋体" w:eastAsia="宋体" w:hint="default"/>
        </w:rPr>
      </w:pPr>
      <w:r>
        <w:rPr>
          <w:rFonts w:ascii="宋体"/>
          <w:w w:val="100"/>
        </w:rPr>
        <w:t> </w:t>
      </w:r>
    </w:p>
    <w:p>
      <w:pPr>
        <w:pStyle w:val="BodyText"/>
        <w:spacing w:line="274" w:lineRule="exact"/>
        <w:ind w:left="19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footerReference w:type="default" r:id="rId43"/>
          <w:pgSz w:w="11910" w:h="16840"/>
          <w:pgMar w:footer="1195" w:header="821" w:top="1360" w:bottom="1380" w:left="1600" w:right="1060"/>
        </w:sectPr>
      </w:pPr>
    </w:p>
    <w:p>
      <w:pPr>
        <w:pStyle w:val="Heading2"/>
        <w:spacing w:line="240" w:lineRule="auto"/>
        <w:ind w:left="0" w:right="274"/>
        <w:jc w:val="right"/>
        <w:rPr>
          <w:b w:val="0"/>
          <w:bCs w:val="0"/>
        </w:rPr>
      </w:pPr>
      <w:r>
        <w:rPr/>
        <w:t>合并利润表</w:t>
      </w:r>
      <w:r>
        <w:rPr>
          <w:b w:val="0"/>
          <w:bCs w:val="0"/>
        </w:rPr>
      </w:r>
    </w:p>
    <w:p>
      <w:pPr>
        <w:pStyle w:val="BodyText"/>
        <w:spacing w:line="240" w:lineRule="auto" w:before="56"/>
        <w:ind w:left="0" w:right="0"/>
        <w:jc w:val="right"/>
      </w:pPr>
      <w:r>
        <w:rPr>
          <w:rFonts w:ascii="Arial" w:hAnsi="Arial" w:cs="Arial" w:eastAsia="Arial" w:hint="default"/>
        </w:rPr>
        <w:t>2019</w:t>
      </w:r>
      <w:r>
        <w:rPr>
          <w:rFonts w:ascii="Arial" w:hAnsi="Arial" w:cs="Arial" w:eastAsia="Arial" w:hint="default"/>
          <w:spacing w:val="-8"/>
        </w:rPr>
        <w:t> </w:t>
      </w:r>
      <w:r>
        <w:rPr/>
        <w:t>年</w:t>
      </w:r>
      <w:r>
        <w:rPr>
          <w:spacing w:val="-53"/>
        </w:rPr>
        <w:t> </w:t>
      </w:r>
      <w:r>
        <w:rPr>
          <w:rFonts w:ascii="Arial" w:hAnsi="Arial" w:cs="Arial" w:eastAsia="Arial" w:hint="default"/>
        </w:rPr>
        <w:t>1</w:t>
      </w:r>
      <w:r>
        <w:rPr>
          <w:rFonts w:ascii="Arial" w:hAnsi="Arial" w:cs="Arial" w:eastAsia="Arial" w:hint="default"/>
        </w:rPr>
        <w:t>—</w:t>
      </w:r>
      <w:r>
        <w:rPr>
          <w:rFonts w:ascii="Arial" w:hAnsi="Arial" w:cs="Arial" w:eastAsia="Arial" w:hint="default"/>
        </w:rPr>
        <w:t>12</w:t>
      </w:r>
      <w:r>
        <w:rPr>
          <w:rFonts w:ascii="Arial" w:hAnsi="Arial" w:cs="Arial" w:eastAsia="Arial" w:hint="default"/>
          <w:spacing w:val="-6"/>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7"/>
        <w:ind w:left="1471"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600" w:right="1060"/>
          <w:cols w:num="2" w:equalWidth="0">
            <w:col w:w="5420" w:space="40"/>
            <w:col w:w="3790"/>
          </w:cols>
        </w:sectPr>
      </w:pPr>
    </w:p>
    <w:p>
      <w:pPr>
        <w:spacing w:line="240" w:lineRule="auto" w:before="5"/>
        <w:rPr>
          <w:rFonts w:ascii="宋体" w:hAnsi="宋体" w:cs="宋体" w:eastAsia="宋体" w:hint="default"/>
          <w:sz w:val="2"/>
          <w:szCs w:val="2"/>
        </w:rPr>
      </w:pPr>
    </w:p>
    <w:tbl>
      <w:tblPr>
        <w:tblW w:w="0" w:type="auto"/>
        <w:jc w:val="left"/>
        <w:tblInd w:w="140" w:type="dxa"/>
        <w:tblLayout w:type="fixed"/>
        <w:tblCellMar>
          <w:top w:w="0" w:type="dxa"/>
          <w:left w:w="0" w:type="dxa"/>
          <w:bottom w:w="0" w:type="dxa"/>
          <w:right w:w="0" w:type="dxa"/>
        </w:tblCellMar>
        <w:tblLook w:val="01E0"/>
      </w:tblPr>
      <w:tblGrid>
        <w:gridCol w:w="4453"/>
        <w:gridCol w:w="718"/>
        <w:gridCol w:w="1882"/>
        <w:gridCol w:w="1896"/>
      </w:tblGrid>
      <w:tr>
        <w:trPr>
          <w:trHeight w:val="348" w:hRule="exact"/>
        </w:trPr>
        <w:tc>
          <w:tcPr>
            <w:tcW w:w="4453" w:type="dxa"/>
            <w:tcBorders>
              <w:top w:val="single" w:sz="23" w:space="0" w:color="41B7EE"/>
              <w:left w:val="nil" w:sz="6" w:space="0" w:color="auto"/>
              <w:bottom w:val="single" w:sz="4" w:space="0" w:color="41B7EE"/>
              <w:right w:val="single" w:sz="4" w:space="0" w:color="41B7EE"/>
            </w:tcBorders>
          </w:tcPr>
          <w:p>
            <w:pPr>
              <w:pStyle w:val="TableParagraph"/>
              <w:spacing w:line="265" w:lineRule="exact"/>
              <w:ind w:right="34"/>
              <w:jc w:val="center"/>
              <w:rPr>
                <w:rFonts w:ascii="宋体" w:hAnsi="宋体" w:cs="宋体" w:eastAsia="宋体" w:hint="default"/>
                <w:sz w:val="21"/>
                <w:szCs w:val="21"/>
              </w:rPr>
            </w:pPr>
            <w:r>
              <w:rPr>
                <w:rFonts w:ascii="宋体" w:hAnsi="宋体" w:cs="宋体" w:eastAsia="宋体" w:hint="default"/>
                <w:sz w:val="21"/>
                <w:szCs w:val="21"/>
              </w:rPr>
              <w:t>项目</w:t>
            </w:r>
          </w:p>
        </w:tc>
        <w:tc>
          <w:tcPr>
            <w:tcW w:w="718" w:type="dxa"/>
            <w:tcBorders>
              <w:top w:val="single" w:sz="23" w:space="0" w:color="41B7EE"/>
              <w:left w:val="single" w:sz="4" w:space="0" w:color="41B7EE"/>
              <w:bottom w:val="single" w:sz="4" w:space="0" w:color="41B7EE"/>
              <w:right w:val="single" w:sz="4" w:space="0" w:color="41B7EE"/>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pacing w:val="-17"/>
                <w:sz w:val="21"/>
                <w:szCs w:val="21"/>
              </w:rPr>
              <w:t>附注</w:t>
            </w:r>
            <w:r>
              <w:rPr>
                <w:rFonts w:ascii="宋体" w:hAnsi="宋体" w:cs="宋体" w:eastAsia="宋体" w:hint="default"/>
                <w:sz w:val="21"/>
                <w:szCs w:val="21"/>
              </w:rPr>
            </w:r>
          </w:p>
        </w:tc>
        <w:tc>
          <w:tcPr>
            <w:tcW w:w="1882" w:type="dxa"/>
            <w:tcBorders>
              <w:top w:val="single" w:sz="23" w:space="0" w:color="41B7EE"/>
              <w:left w:val="single" w:sz="4" w:space="0" w:color="41B7EE"/>
              <w:bottom w:val="single" w:sz="4" w:space="0" w:color="41B7EE"/>
              <w:right w:val="single" w:sz="4" w:space="0" w:color="41B7EE"/>
            </w:tcBorders>
          </w:tcPr>
          <w:p>
            <w:pPr>
              <w:pStyle w:val="TableParagraph"/>
              <w:spacing w:line="280" w:lineRule="exact"/>
              <w:ind w:left="463"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4"/>
                <w:sz w:val="21"/>
                <w:szCs w:val="21"/>
              </w:rPr>
              <w:t> </w:t>
            </w:r>
            <w:r>
              <w:rPr>
                <w:rFonts w:ascii="宋体" w:hAnsi="宋体" w:cs="宋体" w:eastAsia="宋体" w:hint="default"/>
                <w:sz w:val="21"/>
                <w:szCs w:val="21"/>
              </w:rPr>
              <w:t>年度</w:t>
            </w:r>
          </w:p>
        </w:tc>
        <w:tc>
          <w:tcPr>
            <w:tcW w:w="1896" w:type="dxa"/>
            <w:tcBorders>
              <w:top w:val="single" w:sz="23" w:space="0" w:color="41B7EE"/>
              <w:left w:val="single" w:sz="4" w:space="0" w:color="41B7EE"/>
              <w:bottom w:val="single" w:sz="4" w:space="0" w:color="41B7EE"/>
              <w:right w:val="nil" w:sz="6" w:space="0" w:color="auto"/>
            </w:tcBorders>
          </w:tcPr>
          <w:p>
            <w:pPr>
              <w:pStyle w:val="TableParagraph"/>
              <w:spacing w:line="280" w:lineRule="exact"/>
              <w:ind w:left="470"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4"/>
                <w:sz w:val="21"/>
                <w:szCs w:val="21"/>
              </w:rPr>
              <w:t> </w:t>
            </w:r>
            <w:r>
              <w:rPr>
                <w:rFonts w:ascii="宋体" w:hAnsi="宋体" w:cs="宋体" w:eastAsia="宋体" w:hint="default"/>
                <w:sz w:val="21"/>
                <w:szCs w:val="21"/>
              </w:rPr>
              <w:t>年度</w:t>
            </w: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57"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7" w:lineRule="exact"/>
              <w:ind w:right="35"/>
              <w:jc w:val="center"/>
              <w:rPr>
                <w:rFonts w:ascii="Arial" w:hAnsi="Arial" w:cs="Arial" w:eastAsia="Arial" w:hint="default"/>
                <w:sz w:val="21"/>
                <w:szCs w:val="21"/>
              </w:rPr>
            </w:pPr>
            <w:r>
              <w:rPr>
                <w:rFonts w:ascii="宋体" w:hAnsi="宋体" w:cs="宋体" w:eastAsia="宋体" w:hint="default"/>
                <w:spacing w:val="-14"/>
                <w:sz w:val="21"/>
                <w:szCs w:val="21"/>
              </w:rPr>
              <w:t>七、</w:t>
            </w:r>
            <w:r>
              <w:rPr>
                <w:rFonts w:ascii="Arial" w:hAnsi="Arial" w:cs="Arial" w:eastAsia="Arial" w:hint="default"/>
                <w:spacing w:val="-14"/>
                <w:sz w:val="21"/>
                <w:szCs w:val="21"/>
              </w:rPr>
              <w:t>59</w:t>
            </w:r>
            <w:r>
              <w:rPr>
                <w:rFonts w:ascii="Arial" w:hAnsi="Arial" w:cs="Arial" w:eastAsia="Arial" w:hint="default"/>
                <w:sz w:val="21"/>
                <w:szCs w:val="21"/>
              </w:rPr>
            </w:r>
          </w:p>
        </w:tc>
        <w:tc>
          <w:tcPr>
            <w:tcW w:w="18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3,111,306,139.60</w:t>
            </w:r>
          </w:p>
        </w:tc>
        <w:tc>
          <w:tcPr>
            <w:tcW w:w="189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3,264,778,781.25</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5" w:lineRule="exact"/>
              <w:ind w:right="35"/>
              <w:jc w:val="center"/>
              <w:rPr>
                <w:rFonts w:ascii="Arial" w:hAnsi="Arial" w:cs="Arial" w:eastAsia="Arial" w:hint="default"/>
                <w:sz w:val="21"/>
                <w:szCs w:val="21"/>
              </w:rPr>
            </w:pPr>
            <w:r>
              <w:rPr>
                <w:rFonts w:ascii="宋体" w:hAnsi="宋体" w:cs="宋体" w:eastAsia="宋体" w:hint="default"/>
                <w:spacing w:val="-14"/>
                <w:sz w:val="21"/>
                <w:szCs w:val="21"/>
              </w:rPr>
              <w:t>七、</w:t>
            </w:r>
            <w:r>
              <w:rPr>
                <w:rFonts w:ascii="Arial" w:hAnsi="Arial" w:cs="Arial" w:eastAsia="Arial" w:hint="default"/>
                <w:spacing w:val="-14"/>
                <w:sz w:val="21"/>
                <w:szCs w:val="21"/>
              </w:rPr>
              <w:t>59</w:t>
            </w:r>
            <w:r>
              <w:rPr>
                <w:rFonts w:ascii="Arial" w:hAnsi="Arial" w:cs="Arial" w:eastAsia="Arial" w:hint="default"/>
                <w:sz w:val="21"/>
                <w:szCs w:val="21"/>
              </w:rPr>
            </w:r>
          </w:p>
        </w:tc>
        <w:tc>
          <w:tcPr>
            <w:tcW w:w="18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3,111,306,139.60</w:t>
            </w:r>
          </w:p>
        </w:tc>
        <w:tc>
          <w:tcPr>
            <w:tcW w:w="189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8"/>
              <w:ind w:right="53"/>
              <w:jc w:val="right"/>
              <w:rPr>
                <w:rFonts w:ascii="Arial" w:hAnsi="Arial" w:cs="Arial" w:eastAsia="Arial" w:hint="default"/>
                <w:sz w:val="21"/>
                <w:szCs w:val="21"/>
              </w:rPr>
            </w:pPr>
            <w:r>
              <w:rPr>
                <w:rFonts w:ascii="Arial"/>
                <w:spacing w:val="-1"/>
                <w:sz w:val="21"/>
              </w:rPr>
              <w:t>3,264,778,781.25</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718" w:type="dxa"/>
            <w:tcBorders>
              <w:top w:val="single" w:sz="4" w:space="0" w:color="41B7EE"/>
              <w:left w:val="single" w:sz="4" w:space="0" w:color="41B7EE"/>
              <w:bottom w:val="single" w:sz="4" w:space="0" w:color="41B7EE"/>
              <w:right w:val="single" w:sz="4" w:space="0" w:color="41B7EE"/>
            </w:tcBorders>
          </w:tcPr>
          <w:p>
            <w:pPr/>
          </w:p>
        </w:tc>
        <w:tc>
          <w:tcPr>
            <w:tcW w:w="18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2,158,204,325.55</w:t>
            </w:r>
          </w:p>
        </w:tc>
        <w:tc>
          <w:tcPr>
            <w:tcW w:w="189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2,243,624,049.85</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5" w:lineRule="exact"/>
              <w:ind w:right="35"/>
              <w:jc w:val="center"/>
              <w:rPr>
                <w:rFonts w:ascii="Arial" w:hAnsi="Arial" w:cs="Arial" w:eastAsia="Arial" w:hint="default"/>
                <w:sz w:val="21"/>
                <w:szCs w:val="21"/>
              </w:rPr>
            </w:pPr>
            <w:r>
              <w:rPr>
                <w:rFonts w:ascii="宋体" w:hAnsi="宋体" w:cs="宋体" w:eastAsia="宋体" w:hint="default"/>
                <w:spacing w:val="-14"/>
                <w:sz w:val="21"/>
                <w:szCs w:val="21"/>
              </w:rPr>
              <w:t>七、</w:t>
            </w:r>
            <w:r>
              <w:rPr>
                <w:rFonts w:ascii="Arial" w:hAnsi="Arial" w:cs="Arial" w:eastAsia="Arial" w:hint="default"/>
                <w:spacing w:val="-14"/>
                <w:sz w:val="21"/>
                <w:szCs w:val="21"/>
              </w:rPr>
              <w:t>59</w:t>
            </w:r>
            <w:r>
              <w:rPr>
                <w:rFonts w:ascii="Arial" w:hAnsi="Arial" w:cs="Arial" w:eastAsia="Arial" w:hint="default"/>
                <w:sz w:val="21"/>
                <w:szCs w:val="21"/>
              </w:rPr>
            </w:r>
          </w:p>
        </w:tc>
        <w:tc>
          <w:tcPr>
            <w:tcW w:w="18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440,989,436.55</w:t>
            </w:r>
          </w:p>
        </w:tc>
        <w:tc>
          <w:tcPr>
            <w:tcW w:w="189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500,610,391.10</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688"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7" w:lineRule="exact"/>
              <w:ind w:right="35"/>
              <w:jc w:val="center"/>
              <w:rPr>
                <w:rFonts w:ascii="Arial" w:hAnsi="Arial" w:cs="Arial" w:eastAsia="Arial" w:hint="default"/>
                <w:sz w:val="21"/>
                <w:szCs w:val="21"/>
              </w:rPr>
            </w:pPr>
            <w:r>
              <w:rPr>
                <w:rFonts w:ascii="宋体" w:hAnsi="宋体" w:cs="宋体" w:eastAsia="宋体" w:hint="default"/>
                <w:spacing w:val="-14"/>
                <w:sz w:val="21"/>
                <w:szCs w:val="21"/>
              </w:rPr>
              <w:t>七、</w:t>
            </w:r>
            <w:r>
              <w:rPr>
                <w:rFonts w:ascii="Arial" w:hAnsi="Arial" w:cs="Arial" w:eastAsia="Arial" w:hint="default"/>
                <w:spacing w:val="-14"/>
                <w:sz w:val="21"/>
                <w:szCs w:val="21"/>
              </w:rPr>
              <w:t>60</w:t>
            </w:r>
            <w:r>
              <w:rPr>
                <w:rFonts w:ascii="Arial" w:hAnsi="Arial" w:cs="Arial" w:eastAsia="Arial" w:hint="default"/>
                <w:sz w:val="21"/>
                <w:szCs w:val="21"/>
              </w:rPr>
            </w:r>
          </w:p>
        </w:tc>
        <w:tc>
          <w:tcPr>
            <w:tcW w:w="18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8,949,893.40</w:t>
            </w:r>
          </w:p>
        </w:tc>
        <w:tc>
          <w:tcPr>
            <w:tcW w:w="189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41,534,540.96</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688"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7" w:lineRule="exact"/>
              <w:ind w:right="35"/>
              <w:jc w:val="center"/>
              <w:rPr>
                <w:rFonts w:ascii="Arial" w:hAnsi="Arial" w:cs="Arial" w:eastAsia="Arial" w:hint="default"/>
                <w:sz w:val="21"/>
                <w:szCs w:val="21"/>
              </w:rPr>
            </w:pPr>
            <w:r>
              <w:rPr>
                <w:rFonts w:ascii="宋体" w:hAnsi="宋体" w:cs="宋体" w:eastAsia="宋体" w:hint="default"/>
                <w:spacing w:val="-14"/>
                <w:sz w:val="21"/>
                <w:szCs w:val="21"/>
              </w:rPr>
              <w:t>七、</w:t>
            </w:r>
            <w:r>
              <w:rPr>
                <w:rFonts w:ascii="Arial" w:hAnsi="Arial" w:cs="Arial" w:eastAsia="Arial" w:hint="default"/>
                <w:spacing w:val="-14"/>
                <w:sz w:val="21"/>
                <w:szCs w:val="21"/>
              </w:rPr>
              <w:t>61</w:t>
            </w:r>
            <w:r>
              <w:rPr>
                <w:rFonts w:ascii="Arial" w:hAnsi="Arial" w:cs="Arial" w:eastAsia="Arial" w:hint="default"/>
                <w:sz w:val="21"/>
                <w:szCs w:val="21"/>
              </w:rPr>
            </w:r>
          </w:p>
        </w:tc>
        <w:tc>
          <w:tcPr>
            <w:tcW w:w="18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14,560,525.78</w:t>
            </w:r>
          </w:p>
        </w:tc>
        <w:tc>
          <w:tcPr>
            <w:tcW w:w="189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17,638,994.04</w:t>
            </w: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688"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7" w:lineRule="exact"/>
              <w:ind w:right="35"/>
              <w:jc w:val="center"/>
              <w:rPr>
                <w:rFonts w:ascii="Arial" w:hAnsi="Arial" w:cs="Arial" w:eastAsia="Arial" w:hint="default"/>
                <w:sz w:val="21"/>
                <w:szCs w:val="21"/>
              </w:rPr>
            </w:pPr>
            <w:r>
              <w:rPr>
                <w:rFonts w:ascii="宋体" w:hAnsi="宋体" w:cs="宋体" w:eastAsia="宋体" w:hint="default"/>
                <w:spacing w:val="-14"/>
                <w:sz w:val="21"/>
                <w:szCs w:val="21"/>
              </w:rPr>
              <w:t>七、</w:t>
            </w:r>
            <w:r>
              <w:rPr>
                <w:rFonts w:ascii="Arial" w:hAnsi="Arial" w:cs="Arial" w:eastAsia="Arial" w:hint="default"/>
                <w:spacing w:val="-14"/>
                <w:sz w:val="21"/>
                <w:szCs w:val="21"/>
              </w:rPr>
              <w:t>62</w:t>
            </w:r>
            <w:r>
              <w:rPr>
                <w:rFonts w:ascii="Arial" w:hAnsi="Arial" w:cs="Arial" w:eastAsia="Arial" w:hint="default"/>
                <w:sz w:val="21"/>
                <w:szCs w:val="21"/>
              </w:rPr>
            </w:r>
          </w:p>
        </w:tc>
        <w:tc>
          <w:tcPr>
            <w:tcW w:w="18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1,688,015,260.95</w:t>
            </w:r>
          </w:p>
        </w:tc>
        <w:tc>
          <w:tcPr>
            <w:tcW w:w="189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1,667,833,239.96</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688"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5" w:lineRule="exact"/>
              <w:ind w:right="35"/>
              <w:jc w:val="center"/>
              <w:rPr>
                <w:rFonts w:ascii="Arial" w:hAnsi="Arial" w:cs="Arial" w:eastAsia="Arial" w:hint="default"/>
                <w:sz w:val="21"/>
                <w:szCs w:val="21"/>
              </w:rPr>
            </w:pPr>
            <w:r>
              <w:rPr>
                <w:rFonts w:ascii="宋体" w:hAnsi="宋体" w:cs="宋体" w:eastAsia="宋体" w:hint="default"/>
                <w:spacing w:val="-14"/>
                <w:sz w:val="21"/>
                <w:szCs w:val="21"/>
              </w:rPr>
              <w:t>七、</w:t>
            </w:r>
            <w:r>
              <w:rPr>
                <w:rFonts w:ascii="Arial" w:hAnsi="Arial" w:cs="Arial" w:eastAsia="Arial" w:hint="default"/>
                <w:spacing w:val="-14"/>
                <w:sz w:val="21"/>
                <w:szCs w:val="21"/>
              </w:rPr>
              <w:t>63</w:t>
            </w:r>
            <w:r>
              <w:rPr>
                <w:rFonts w:ascii="Arial" w:hAnsi="Arial" w:cs="Arial" w:eastAsia="Arial" w:hint="default"/>
                <w:sz w:val="21"/>
                <w:szCs w:val="21"/>
              </w:rPr>
            </w:r>
          </w:p>
        </w:tc>
        <w:tc>
          <w:tcPr>
            <w:tcW w:w="18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14,309,323.11</w:t>
            </w:r>
          </w:p>
        </w:tc>
        <w:tc>
          <w:tcPr>
            <w:tcW w:w="189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8"/>
              <w:ind w:right="53"/>
              <w:jc w:val="right"/>
              <w:rPr>
                <w:rFonts w:ascii="Arial" w:hAnsi="Arial" w:cs="Arial" w:eastAsia="Arial" w:hint="default"/>
                <w:sz w:val="21"/>
                <w:szCs w:val="21"/>
              </w:rPr>
            </w:pPr>
            <w:r>
              <w:rPr>
                <w:rFonts w:ascii="Arial"/>
                <w:spacing w:val="-1"/>
                <w:sz w:val="21"/>
              </w:rPr>
              <w:t>15,723,028.22</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688"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5" w:lineRule="exact"/>
              <w:ind w:right="35"/>
              <w:jc w:val="center"/>
              <w:rPr>
                <w:rFonts w:ascii="Arial" w:hAnsi="Arial" w:cs="Arial" w:eastAsia="Arial" w:hint="default"/>
                <w:sz w:val="21"/>
                <w:szCs w:val="21"/>
              </w:rPr>
            </w:pPr>
            <w:r>
              <w:rPr>
                <w:rFonts w:ascii="宋体" w:hAnsi="宋体" w:cs="宋体" w:eastAsia="宋体" w:hint="default"/>
                <w:spacing w:val="-14"/>
                <w:sz w:val="21"/>
                <w:szCs w:val="21"/>
              </w:rPr>
              <w:t>七、</w:t>
            </w:r>
            <w:r>
              <w:rPr>
                <w:rFonts w:ascii="Arial" w:hAnsi="Arial" w:cs="Arial" w:eastAsia="Arial" w:hint="default"/>
                <w:spacing w:val="-14"/>
                <w:sz w:val="21"/>
                <w:szCs w:val="21"/>
              </w:rPr>
              <w:t>64</w:t>
            </w:r>
            <w:r>
              <w:rPr>
                <w:rFonts w:ascii="Arial" w:hAnsi="Arial" w:cs="Arial" w:eastAsia="Arial" w:hint="default"/>
                <w:sz w:val="21"/>
                <w:szCs w:val="21"/>
              </w:rPr>
            </w:r>
          </w:p>
        </w:tc>
        <w:tc>
          <w:tcPr>
            <w:tcW w:w="18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-8,620,114.24</w:t>
            </w:r>
          </w:p>
        </w:tc>
        <w:tc>
          <w:tcPr>
            <w:tcW w:w="189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283,855.57</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688"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718" w:type="dxa"/>
            <w:tcBorders>
              <w:top w:val="single" w:sz="4" w:space="0" w:color="41B7EE"/>
              <w:left w:val="single" w:sz="4" w:space="0" w:color="41B7EE"/>
              <w:bottom w:val="single" w:sz="4" w:space="0" w:color="41B7EE"/>
              <w:right w:val="single" w:sz="4" w:space="0" w:color="41B7EE"/>
            </w:tcBorders>
          </w:tcPr>
          <w:p>
            <w:pPr/>
          </w:p>
        </w:tc>
        <w:tc>
          <w:tcPr>
            <w:tcW w:w="1882" w:type="dxa"/>
            <w:tcBorders>
              <w:top w:val="single" w:sz="4" w:space="0" w:color="41B7EE"/>
              <w:left w:val="single" w:sz="4" w:space="0" w:color="41B7EE"/>
              <w:bottom w:val="single" w:sz="4" w:space="0" w:color="41B7EE"/>
              <w:right w:val="single" w:sz="4" w:space="0" w:color="41B7EE"/>
            </w:tcBorders>
          </w:tcPr>
          <w:p>
            <w:pPr/>
          </w:p>
        </w:tc>
        <w:tc>
          <w:tcPr>
            <w:tcW w:w="1896"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1317"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7" w:lineRule="exact"/>
              <w:ind w:right="35"/>
              <w:jc w:val="center"/>
              <w:rPr>
                <w:rFonts w:ascii="Arial" w:hAnsi="Arial" w:cs="Arial" w:eastAsia="Arial" w:hint="default"/>
                <w:sz w:val="21"/>
                <w:szCs w:val="21"/>
              </w:rPr>
            </w:pPr>
            <w:r>
              <w:rPr>
                <w:rFonts w:ascii="宋体" w:hAnsi="宋体" w:cs="宋体" w:eastAsia="宋体" w:hint="default"/>
                <w:spacing w:val="-14"/>
                <w:sz w:val="21"/>
                <w:szCs w:val="21"/>
              </w:rPr>
              <w:t>七、</w:t>
            </w:r>
            <w:r>
              <w:rPr>
                <w:rFonts w:ascii="Arial" w:hAnsi="Arial" w:cs="Arial" w:eastAsia="Arial" w:hint="default"/>
                <w:spacing w:val="-14"/>
                <w:sz w:val="21"/>
                <w:szCs w:val="21"/>
              </w:rPr>
              <w:t>64</w:t>
            </w:r>
            <w:r>
              <w:rPr>
                <w:rFonts w:ascii="Arial" w:hAnsi="Arial" w:cs="Arial" w:eastAsia="Arial" w:hint="default"/>
                <w:sz w:val="21"/>
                <w:szCs w:val="21"/>
              </w:rPr>
            </w:r>
          </w:p>
        </w:tc>
        <w:tc>
          <w:tcPr>
            <w:tcW w:w="18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15,983,574.96</w:t>
            </w:r>
          </w:p>
        </w:tc>
        <w:tc>
          <w:tcPr>
            <w:tcW w:w="189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6,098,209.89</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7" w:lineRule="exact"/>
              <w:ind w:right="35"/>
              <w:jc w:val="center"/>
              <w:rPr>
                <w:rFonts w:ascii="Arial" w:hAnsi="Arial" w:cs="Arial" w:eastAsia="Arial" w:hint="default"/>
                <w:sz w:val="21"/>
                <w:szCs w:val="21"/>
              </w:rPr>
            </w:pPr>
            <w:r>
              <w:rPr>
                <w:rFonts w:ascii="宋体" w:hAnsi="宋体" w:cs="宋体" w:eastAsia="宋体" w:hint="default"/>
                <w:spacing w:val="-14"/>
                <w:sz w:val="21"/>
                <w:szCs w:val="21"/>
              </w:rPr>
              <w:t>七、</w:t>
            </w:r>
            <w:r>
              <w:rPr>
                <w:rFonts w:ascii="Arial" w:hAnsi="Arial" w:cs="Arial" w:eastAsia="Arial" w:hint="default"/>
                <w:spacing w:val="-14"/>
                <w:sz w:val="21"/>
                <w:szCs w:val="21"/>
              </w:rPr>
              <w:t>65</w:t>
            </w:r>
            <w:r>
              <w:rPr>
                <w:rFonts w:ascii="Arial" w:hAnsi="Arial" w:cs="Arial" w:eastAsia="Arial" w:hint="default"/>
                <w:sz w:val="21"/>
                <w:szCs w:val="21"/>
              </w:rPr>
            </w:r>
          </w:p>
        </w:tc>
        <w:tc>
          <w:tcPr>
            <w:tcW w:w="18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938,267.68</w:t>
            </w:r>
          </w:p>
        </w:tc>
        <w:tc>
          <w:tcPr>
            <w:tcW w:w="189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9,061,506.06</w:t>
            </w: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7" w:lineRule="exact"/>
              <w:ind w:left="688"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7" w:lineRule="exact"/>
              <w:ind w:right="35"/>
              <w:jc w:val="center"/>
              <w:rPr>
                <w:rFonts w:ascii="Arial" w:hAnsi="Arial" w:cs="Arial" w:eastAsia="Arial" w:hint="default"/>
                <w:sz w:val="21"/>
                <w:szCs w:val="21"/>
              </w:rPr>
            </w:pPr>
            <w:r>
              <w:rPr>
                <w:rFonts w:ascii="宋体" w:hAnsi="宋体" w:cs="宋体" w:eastAsia="宋体" w:hint="default"/>
                <w:spacing w:val="-14"/>
                <w:sz w:val="21"/>
                <w:szCs w:val="21"/>
              </w:rPr>
              <w:t>七、</w:t>
            </w:r>
            <w:r>
              <w:rPr>
                <w:rFonts w:ascii="Arial" w:hAnsi="Arial" w:cs="Arial" w:eastAsia="Arial" w:hint="default"/>
                <w:spacing w:val="-14"/>
                <w:sz w:val="21"/>
                <w:szCs w:val="21"/>
              </w:rPr>
              <w:t>66</w:t>
            </w:r>
            <w:r>
              <w:rPr>
                <w:rFonts w:ascii="Arial" w:hAnsi="Arial" w:cs="Arial" w:eastAsia="Arial" w:hint="default"/>
                <w:sz w:val="21"/>
                <w:szCs w:val="21"/>
              </w:rPr>
            </w:r>
          </w:p>
        </w:tc>
        <w:tc>
          <w:tcPr>
            <w:tcW w:w="18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46,275,144.67</w:t>
            </w:r>
          </w:p>
        </w:tc>
        <w:tc>
          <w:tcPr>
            <w:tcW w:w="189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46,530,093.53</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right="180"/>
              <w:jc w:val="right"/>
              <w:rPr>
                <w:rFonts w:ascii="宋体" w:hAnsi="宋体" w:cs="宋体" w:eastAsia="宋体" w:hint="default"/>
                <w:sz w:val="21"/>
                <w:szCs w:val="21"/>
              </w:rPr>
            </w:pPr>
            <w:r>
              <w:rPr>
                <w:rFonts w:ascii="宋体" w:hAnsi="宋体" w:cs="宋体" w:eastAsia="宋体" w:hint="default"/>
                <w:spacing w:val="-14"/>
                <w:sz w:val="21"/>
                <w:szCs w:val="21"/>
              </w:rPr>
              <w:t>其中：对联营企业和合营企业的投资收益</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5" w:lineRule="exact"/>
              <w:ind w:right="35"/>
              <w:jc w:val="center"/>
              <w:rPr>
                <w:rFonts w:ascii="Arial" w:hAnsi="Arial" w:cs="Arial" w:eastAsia="Arial" w:hint="default"/>
                <w:sz w:val="21"/>
                <w:szCs w:val="21"/>
              </w:rPr>
            </w:pPr>
            <w:r>
              <w:rPr>
                <w:rFonts w:ascii="宋体" w:hAnsi="宋体" w:cs="宋体" w:eastAsia="宋体" w:hint="default"/>
                <w:spacing w:val="-14"/>
                <w:sz w:val="21"/>
                <w:szCs w:val="21"/>
              </w:rPr>
              <w:t>七、</w:t>
            </w:r>
            <w:r>
              <w:rPr>
                <w:rFonts w:ascii="Arial" w:hAnsi="Arial" w:cs="Arial" w:eastAsia="Arial" w:hint="default"/>
                <w:spacing w:val="-14"/>
                <w:sz w:val="21"/>
                <w:szCs w:val="21"/>
              </w:rPr>
              <w:t>66</w:t>
            </w:r>
            <w:r>
              <w:rPr>
                <w:rFonts w:ascii="Arial" w:hAnsi="Arial" w:cs="Arial" w:eastAsia="Arial" w:hint="default"/>
                <w:sz w:val="21"/>
                <w:szCs w:val="21"/>
              </w:rPr>
            </w:r>
          </w:p>
        </w:tc>
        <w:tc>
          <w:tcPr>
            <w:tcW w:w="18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-44,077,962.78</w:t>
            </w:r>
          </w:p>
        </w:tc>
        <w:tc>
          <w:tcPr>
            <w:tcW w:w="189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8"/>
              <w:ind w:right="53"/>
              <w:jc w:val="right"/>
              <w:rPr>
                <w:rFonts w:ascii="Arial" w:hAnsi="Arial" w:cs="Arial" w:eastAsia="Arial" w:hint="default"/>
                <w:sz w:val="21"/>
                <w:szCs w:val="21"/>
              </w:rPr>
            </w:pPr>
            <w:r>
              <w:rPr>
                <w:rFonts w:ascii="Arial"/>
                <w:spacing w:val="-1"/>
                <w:sz w:val="21"/>
              </w:rPr>
              <w:t>-53,593,862.50</w:t>
            </w:r>
          </w:p>
        </w:tc>
      </w:tr>
      <w:tr>
        <w:trPr>
          <w:trHeight w:val="55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39" w:lineRule="exact"/>
              <w:ind w:left="1211" w:right="0"/>
              <w:jc w:val="left"/>
              <w:rPr>
                <w:rFonts w:ascii="宋体" w:hAnsi="宋体" w:cs="宋体" w:eastAsia="宋体" w:hint="default"/>
                <w:sz w:val="21"/>
                <w:szCs w:val="21"/>
              </w:rPr>
            </w:pPr>
            <w:r>
              <w:rPr>
                <w:rFonts w:ascii="宋体" w:hAnsi="宋体" w:cs="宋体" w:eastAsia="宋体" w:hint="default"/>
                <w:sz w:val="21"/>
                <w:szCs w:val="21"/>
              </w:rPr>
              <w:t>以摊余成本计量的金融资产终止确</w:t>
            </w:r>
          </w:p>
          <w:p>
            <w:pPr>
              <w:pStyle w:val="TableParagraph"/>
              <w:spacing w:line="273" w:lineRule="exact"/>
              <w:ind w:left="57" w:right="0"/>
              <w:jc w:val="left"/>
              <w:rPr>
                <w:rFonts w:ascii="宋体" w:hAnsi="宋体" w:cs="宋体" w:eastAsia="宋体" w:hint="default"/>
                <w:sz w:val="21"/>
                <w:szCs w:val="21"/>
              </w:rPr>
            </w:pPr>
            <w:r>
              <w:rPr>
                <w:rFonts w:ascii="宋体" w:hAnsi="宋体" w:cs="宋体" w:eastAsia="宋体" w:hint="default"/>
                <w:sz w:val="21"/>
                <w:szCs w:val="21"/>
              </w:rPr>
              <w:t>认收益</w:t>
            </w:r>
          </w:p>
        </w:tc>
        <w:tc>
          <w:tcPr>
            <w:tcW w:w="718" w:type="dxa"/>
            <w:tcBorders>
              <w:top w:val="single" w:sz="4" w:space="0" w:color="41B7EE"/>
              <w:left w:val="single" w:sz="4" w:space="0" w:color="41B7EE"/>
              <w:bottom w:val="single" w:sz="4" w:space="0" w:color="41B7EE"/>
              <w:right w:val="single" w:sz="4" w:space="0" w:color="41B7EE"/>
            </w:tcBorders>
          </w:tcPr>
          <w:p>
            <w:pPr/>
          </w:p>
        </w:tc>
        <w:tc>
          <w:tcPr>
            <w:tcW w:w="1882" w:type="dxa"/>
            <w:tcBorders>
              <w:top w:val="single" w:sz="4" w:space="0" w:color="41B7EE"/>
              <w:left w:val="single" w:sz="4" w:space="0" w:color="41B7EE"/>
              <w:bottom w:val="single" w:sz="4" w:space="0" w:color="41B7EE"/>
              <w:right w:val="single" w:sz="4" w:space="0" w:color="41B7EE"/>
            </w:tcBorders>
          </w:tcPr>
          <w:p>
            <w:pPr/>
          </w:p>
        </w:tc>
        <w:tc>
          <w:tcPr>
            <w:tcW w:w="1896"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5" w:lineRule="exact"/>
              <w:ind w:left="688"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718" w:type="dxa"/>
            <w:tcBorders>
              <w:top w:val="single" w:sz="4" w:space="0" w:color="41B7EE"/>
              <w:left w:val="single" w:sz="4" w:space="0" w:color="41B7EE"/>
              <w:bottom w:val="single" w:sz="4" w:space="0" w:color="41B7EE"/>
              <w:right w:val="single" w:sz="4" w:space="0" w:color="41B7EE"/>
            </w:tcBorders>
          </w:tcPr>
          <w:p>
            <w:pPr/>
          </w:p>
        </w:tc>
        <w:tc>
          <w:tcPr>
            <w:tcW w:w="1882" w:type="dxa"/>
            <w:tcBorders>
              <w:top w:val="single" w:sz="4" w:space="0" w:color="41B7EE"/>
              <w:left w:val="single" w:sz="4" w:space="0" w:color="41B7EE"/>
              <w:bottom w:val="single" w:sz="4" w:space="0" w:color="41B7EE"/>
              <w:right w:val="single" w:sz="4" w:space="0" w:color="41B7EE"/>
            </w:tcBorders>
          </w:tcPr>
          <w:p>
            <w:pPr/>
          </w:p>
        </w:tc>
        <w:tc>
          <w:tcPr>
            <w:tcW w:w="1896"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5" w:lineRule="exact"/>
              <w:ind w:left="688" w:right="0"/>
              <w:jc w:val="left"/>
              <w:rPr>
                <w:rFonts w:ascii="宋体" w:hAnsi="宋体" w:cs="宋体" w:eastAsia="宋体" w:hint="default"/>
                <w:sz w:val="21"/>
                <w:szCs w:val="21"/>
              </w:rPr>
            </w:pPr>
            <w:r>
              <w:rPr>
                <w:rFonts w:ascii="宋体" w:hAnsi="宋体" w:cs="宋体" w:eastAsia="宋体" w:hint="default"/>
                <w:sz w:val="21"/>
                <w:szCs w:val="21"/>
              </w:rPr>
              <w:t>净敞口套期收益（损失以</w:t>
            </w:r>
            <w:r>
              <w:rPr>
                <w:rFonts w:ascii="Arial" w:hAnsi="Arial" w:cs="Arial" w:eastAsia="Arial" w:hint="default"/>
                <w:sz w:val="21"/>
                <w:szCs w:val="21"/>
              </w:rPr>
              <w:t>“</w:t>
            </w:r>
            <w:r>
              <w:rPr>
                <w:rFonts w:ascii="Arial" w:hAnsi="Arial" w:cs="Arial" w:eastAsia="Arial"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718" w:type="dxa"/>
            <w:tcBorders>
              <w:top w:val="single" w:sz="4" w:space="0" w:color="41B7EE"/>
              <w:left w:val="single" w:sz="4" w:space="0" w:color="41B7EE"/>
              <w:bottom w:val="single" w:sz="4" w:space="0" w:color="41B7EE"/>
              <w:right w:val="single" w:sz="4" w:space="0" w:color="41B7EE"/>
            </w:tcBorders>
          </w:tcPr>
          <w:p>
            <w:pPr/>
          </w:p>
        </w:tc>
        <w:tc>
          <w:tcPr>
            <w:tcW w:w="1882" w:type="dxa"/>
            <w:tcBorders>
              <w:top w:val="single" w:sz="4" w:space="0" w:color="41B7EE"/>
              <w:left w:val="single" w:sz="4" w:space="0" w:color="41B7EE"/>
              <w:bottom w:val="single" w:sz="4" w:space="0" w:color="41B7EE"/>
              <w:right w:val="single" w:sz="4" w:space="0" w:color="41B7EE"/>
            </w:tcBorders>
          </w:tcPr>
          <w:p>
            <w:pPr/>
          </w:p>
        </w:tc>
        <w:tc>
          <w:tcPr>
            <w:tcW w:w="1896"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7" w:lineRule="exact"/>
              <w:ind w:right="249"/>
              <w:jc w:val="right"/>
              <w:rPr>
                <w:rFonts w:ascii="宋体" w:hAnsi="宋体" w:cs="宋体" w:eastAsia="宋体" w:hint="default"/>
                <w:sz w:val="21"/>
                <w:szCs w:val="21"/>
              </w:rPr>
            </w:pPr>
            <w:r>
              <w:rPr>
                <w:rFonts w:ascii="宋体" w:hAnsi="宋体" w:cs="宋体" w:eastAsia="宋体" w:hint="default"/>
                <w:spacing w:val="-13"/>
                <w:sz w:val="21"/>
                <w:szCs w:val="21"/>
              </w:rPr>
              <w:t>公允价值变动收益（损失以</w:t>
            </w:r>
            <w:r>
              <w:rPr>
                <w:rFonts w:ascii="Arial" w:hAnsi="Arial" w:cs="Arial" w:eastAsia="Arial" w:hint="default"/>
                <w:spacing w:val="-13"/>
                <w:sz w:val="21"/>
                <w:szCs w:val="21"/>
              </w:rPr>
              <w:t>“</w:t>
            </w:r>
            <w:r>
              <w:rPr>
                <w:rFonts w:ascii="宋体" w:hAnsi="宋体" w:cs="宋体" w:eastAsia="宋体" w:hint="default"/>
                <w:spacing w:val="-13"/>
                <w:sz w:val="21"/>
                <w:szCs w:val="21"/>
              </w:rPr>
              <w:t>－</w:t>
            </w:r>
            <w:r>
              <w:rPr>
                <w:rFonts w:ascii="Arial" w:hAnsi="Arial" w:cs="Arial" w:eastAsia="Arial" w:hint="default"/>
                <w:spacing w:val="-13"/>
                <w:sz w:val="21"/>
                <w:szCs w:val="21"/>
              </w:rPr>
              <w:t>”</w:t>
            </w:r>
            <w:r>
              <w:rPr>
                <w:rFonts w:ascii="宋体" w:hAnsi="宋体" w:cs="宋体" w:eastAsia="宋体" w:hint="default"/>
                <w:spacing w:val="-13"/>
                <w:sz w:val="21"/>
                <w:szCs w:val="21"/>
              </w:rPr>
              <w:t>号填列）</w:t>
            </w:r>
          </w:p>
        </w:tc>
        <w:tc>
          <w:tcPr>
            <w:tcW w:w="718" w:type="dxa"/>
            <w:tcBorders>
              <w:top w:val="single" w:sz="4" w:space="0" w:color="41B7EE"/>
              <w:left w:val="single" w:sz="4" w:space="0" w:color="41B7EE"/>
              <w:bottom w:val="single" w:sz="4" w:space="0" w:color="41B7EE"/>
              <w:right w:val="single" w:sz="4" w:space="0" w:color="41B7EE"/>
            </w:tcBorders>
          </w:tcPr>
          <w:p>
            <w:pPr/>
          </w:p>
        </w:tc>
        <w:tc>
          <w:tcPr>
            <w:tcW w:w="1882" w:type="dxa"/>
            <w:tcBorders>
              <w:top w:val="single" w:sz="4" w:space="0" w:color="41B7EE"/>
              <w:left w:val="single" w:sz="4" w:space="0" w:color="41B7EE"/>
              <w:bottom w:val="single" w:sz="4" w:space="0" w:color="41B7EE"/>
              <w:right w:val="single" w:sz="4" w:space="0" w:color="41B7EE"/>
            </w:tcBorders>
          </w:tcPr>
          <w:p>
            <w:pPr/>
          </w:p>
        </w:tc>
        <w:tc>
          <w:tcPr>
            <w:tcW w:w="1896" w:type="dxa"/>
            <w:tcBorders>
              <w:top w:val="single" w:sz="4" w:space="0" w:color="41B7EE"/>
              <w:left w:val="single" w:sz="4" w:space="0" w:color="41B7EE"/>
              <w:bottom w:val="single" w:sz="4" w:space="0" w:color="41B7EE"/>
              <w:right w:val="nil" w:sz="6" w:space="0" w:color="auto"/>
            </w:tcBorders>
          </w:tcPr>
          <w:p>
            <w:pP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7" w:lineRule="exact"/>
              <w:ind w:left="688"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Arial" w:hAnsi="Arial" w:cs="Arial" w:eastAsia="Arial" w:hint="default"/>
                <w:sz w:val="21"/>
                <w:szCs w:val="21"/>
              </w:rPr>
              <w:t>“</w:t>
            </w:r>
            <w:r>
              <w:rPr>
                <w:rFonts w:ascii="Arial" w:hAnsi="Arial" w:cs="Arial" w:eastAsia="Arial"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7" w:lineRule="exact"/>
              <w:ind w:right="35"/>
              <w:jc w:val="center"/>
              <w:rPr>
                <w:rFonts w:ascii="Arial" w:hAnsi="Arial" w:cs="Arial" w:eastAsia="Arial" w:hint="default"/>
                <w:sz w:val="21"/>
                <w:szCs w:val="21"/>
              </w:rPr>
            </w:pPr>
            <w:r>
              <w:rPr>
                <w:rFonts w:ascii="宋体" w:hAnsi="宋体" w:cs="宋体" w:eastAsia="宋体" w:hint="default"/>
                <w:spacing w:val="-14"/>
                <w:sz w:val="21"/>
                <w:szCs w:val="21"/>
              </w:rPr>
              <w:t>七、</w:t>
            </w:r>
            <w:r>
              <w:rPr>
                <w:rFonts w:ascii="Arial" w:hAnsi="Arial" w:cs="Arial" w:eastAsia="Arial" w:hint="default"/>
                <w:spacing w:val="-14"/>
                <w:sz w:val="21"/>
                <w:szCs w:val="21"/>
              </w:rPr>
              <w:t>69</w:t>
            </w:r>
            <w:r>
              <w:rPr>
                <w:rFonts w:ascii="Arial" w:hAnsi="Arial" w:cs="Arial" w:eastAsia="Arial" w:hint="default"/>
                <w:sz w:val="21"/>
                <w:szCs w:val="21"/>
              </w:rPr>
            </w:r>
          </w:p>
        </w:tc>
        <w:tc>
          <w:tcPr>
            <w:tcW w:w="18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1,015,620.91</w:t>
            </w:r>
          </w:p>
        </w:tc>
        <w:tc>
          <w:tcPr>
            <w:tcW w:w="1896"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5" w:lineRule="exact"/>
              <w:ind w:left="688"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Arial" w:hAnsi="Arial" w:cs="Arial" w:eastAsia="Arial" w:hint="default"/>
                <w:sz w:val="21"/>
                <w:szCs w:val="21"/>
              </w:rPr>
              <w:t>“</w:t>
            </w:r>
            <w:r>
              <w:rPr>
                <w:rFonts w:ascii="Arial" w:hAnsi="Arial" w:cs="Arial" w:eastAsia="Arial"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5" w:lineRule="exact"/>
              <w:ind w:right="35"/>
              <w:jc w:val="center"/>
              <w:rPr>
                <w:rFonts w:ascii="Arial" w:hAnsi="Arial" w:cs="Arial" w:eastAsia="Arial" w:hint="default"/>
                <w:sz w:val="21"/>
                <w:szCs w:val="21"/>
              </w:rPr>
            </w:pPr>
            <w:r>
              <w:rPr>
                <w:rFonts w:ascii="宋体" w:hAnsi="宋体" w:cs="宋体" w:eastAsia="宋体" w:hint="default"/>
                <w:spacing w:val="-14"/>
                <w:sz w:val="21"/>
                <w:szCs w:val="21"/>
              </w:rPr>
              <w:t>七、</w:t>
            </w:r>
            <w:r>
              <w:rPr>
                <w:rFonts w:ascii="Arial" w:hAnsi="Arial" w:cs="Arial" w:eastAsia="Arial" w:hint="default"/>
                <w:spacing w:val="-14"/>
                <w:sz w:val="21"/>
                <w:szCs w:val="21"/>
              </w:rPr>
              <w:t>70</w:t>
            </w:r>
            <w:r>
              <w:rPr>
                <w:rFonts w:ascii="Arial" w:hAnsi="Arial" w:cs="Arial" w:eastAsia="Arial" w:hint="default"/>
                <w:sz w:val="21"/>
                <w:szCs w:val="21"/>
              </w:rPr>
            </w:r>
          </w:p>
        </w:tc>
        <w:tc>
          <w:tcPr>
            <w:tcW w:w="18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-4,739,721.45</w:t>
            </w:r>
          </w:p>
        </w:tc>
        <w:tc>
          <w:tcPr>
            <w:tcW w:w="189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8"/>
              <w:ind w:right="53"/>
              <w:jc w:val="right"/>
              <w:rPr>
                <w:rFonts w:ascii="Arial" w:hAnsi="Arial" w:cs="Arial" w:eastAsia="Arial" w:hint="default"/>
                <w:sz w:val="21"/>
                <w:szCs w:val="21"/>
              </w:rPr>
            </w:pPr>
            <w:r>
              <w:rPr>
                <w:rFonts w:ascii="Arial"/>
                <w:spacing w:val="-1"/>
                <w:sz w:val="21"/>
              </w:rPr>
              <w:t>-29,938,980.35</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5" w:lineRule="exact"/>
              <w:ind w:left="688"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5" w:lineRule="exact"/>
              <w:ind w:right="35"/>
              <w:jc w:val="center"/>
              <w:rPr>
                <w:rFonts w:ascii="Arial" w:hAnsi="Arial" w:cs="Arial" w:eastAsia="Arial" w:hint="default"/>
                <w:sz w:val="21"/>
                <w:szCs w:val="21"/>
              </w:rPr>
            </w:pPr>
            <w:r>
              <w:rPr>
                <w:rFonts w:ascii="宋体" w:hAnsi="宋体" w:cs="宋体" w:eastAsia="宋体" w:hint="default"/>
                <w:spacing w:val="-14"/>
                <w:sz w:val="21"/>
                <w:szCs w:val="21"/>
              </w:rPr>
              <w:t>七、</w:t>
            </w:r>
            <w:r>
              <w:rPr>
                <w:rFonts w:ascii="Arial" w:hAnsi="Arial" w:cs="Arial" w:eastAsia="Arial" w:hint="default"/>
                <w:spacing w:val="-14"/>
                <w:sz w:val="21"/>
                <w:szCs w:val="21"/>
              </w:rPr>
              <w:t>71</w:t>
            </w:r>
            <w:r>
              <w:rPr>
                <w:rFonts w:ascii="Arial" w:hAnsi="Arial" w:cs="Arial" w:eastAsia="Arial" w:hint="default"/>
                <w:sz w:val="21"/>
                <w:szCs w:val="21"/>
              </w:rPr>
            </w:r>
          </w:p>
        </w:tc>
        <w:tc>
          <w:tcPr>
            <w:tcW w:w="18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2,336,134.68</w:t>
            </w:r>
          </w:p>
        </w:tc>
        <w:tc>
          <w:tcPr>
            <w:tcW w:w="189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-2,405,103.35</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5" w:lineRule="exact"/>
              <w:ind w:left="57" w:right="0"/>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718" w:type="dxa"/>
            <w:tcBorders>
              <w:top w:val="single" w:sz="4" w:space="0" w:color="41B7EE"/>
              <w:left w:val="single" w:sz="4" w:space="0" w:color="41B7EE"/>
              <w:bottom w:val="single" w:sz="4" w:space="0" w:color="41B7EE"/>
              <w:right w:val="single" w:sz="4" w:space="0" w:color="41B7EE"/>
            </w:tcBorders>
          </w:tcPr>
          <w:p>
            <w:pPr/>
          </w:p>
        </w:tc>
        <w:tc>
          <w:tcPr>
            <w:tcW w:w="18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998,927,260.54</w:t>
            </w:r>
          </w:p>
        </w:tc>
        <w:tc>
          <w:tcPr>
            <w:tcW w:w="189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1,044,402,247.29</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5" w:lineRule="exact"/>
              <w:ind w:right="35"/>
              <w:jc w:val="center"/>
              <w:rPr>
                <w:rFonts w:ascii="Arial" w:hAnsi="Arial" w:cs="Arial" w:eastAsia="Arial" w:hint="default"/>
                <w:sz w:val="21"/>
                <w:szCs w:val="21"/>
              </w:rPr>
            </w:pPr>
            <w:r>
              <w:rPr>
                <w:rFonts w:ascii="宋体" w:hAnsi="宋体" w:cs="宋体" w:eastAsia="宋体" w:hint="default"/>
                <w:spacing w:val="-14"/>
                <w:sz w:val="21"/>
                <w:szCs w:val="21"/>
              </w:rPr>
              <w:t>七、</w:t>
            </w:r>
            <w:r>
              <w:rPr>
                <w:rFonts w:ascii="Arial" w:hAnsi="Arial" w:cs="Arial" w:eastAsia="Arial" w:hint="default"/>
                <w:spacing w:val="-14"/>
                <w:sz w:val="21"/>
                <w:szCs w:val="21"/>
              </w:rPr>
              <w:t>72</w:t>
            </w:r>
            <w:r>
              <w:rPr>
                <w:rFonts w:ascii="Arial" w:hAnsi="Arial" w:cs="Arial" w:eastAsia="Arial" w:hint="default"/>
                <w:sz w:val="21"/>
                <w:szCs w:val="21"/>
              </w:rPr>
            </w:r>
          </w:p>
        </w:tc>
        <w:tc>
          <w:tcPr>
            <w:tcW w:w="18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7,321,922.30</w:t>
            </w:r>
          </w:p>
        </w:tc>
        <w:tc>
          <w:tcPr>
            <w:tcW w:w="189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26,373,807.44</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7" w:lineRule="exact"/>
              <w:ind w:right="35"/>
              <w:jc w:val="center"/>
              <w:rPr>
                <w:rFonts w:ascii="Arial" w:hAnsi="Arial" w:cs="Arial" w:eastAsia="Arial" w:hint="default"/>
                <w:sz w:val="21"/>
                <w:szCs w:val="21"/>
              </w:rPr>
            </w:pPr>
            <w:r>
              <w:rPr>
                <w:rFonts w:ascii="宋体" w:hAnsi="宋体" w:cs="宋体" w:eastAsia="宋体" w:hint="default"/>
                <w:spacing w:val="-14"/>
                <w:sz w:val="21"/>
                <w:szCs w:val="21"/>
              </w:rPr>
              <w:t>七、</w:t>
            </w:r>
            <w:r>
              <w:rPr>
                <w:rFonts w:ascii="Arial" w:hAnsi="Arial" w:cs="Arial" w:eastAsia="Arial" w:hint="default"/>
                <w:spacing w:val="-14"/>
                <w:sz w:val="21"/>
                <w:szCs w:val="21"/>
              </w:rPr>
              <w:t>73</w:t>
            </w:r>
            <w:r>
              <w:rPr>
                <w:rFonts w:ascii="Arial" w:hAnsi="Arial" w:cs="Arial" w:eastAsia="Arial" w:hint="default"/>
                <w:sz w:val="21"/>
                <w:szCs w:val="21"/>
              </w:rPr>
            </w:r>
          </w:p>
        </w:tc>
        <w:tc>
          <w:tcPr>
            <w:tcW w:w="18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183,911,993.15</w:t>
            </w:r>
          </w:p>
        </w:tc>
        <w:tc>
          <w:tcPr>
            <w:tcW w:w="189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137,600,568.53</w:t>
            </w: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7" w:lineRule="exact"/>
              <w:ind w:left="57"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718" w:type="dxa"/>
            <w:tcBorders>
              <w:top w:val="single" w:sz="4" w:space="0" w:color="41B7EE"/>
              <w:left w:val="single" w:sz="4" w:space="0" w:color="41B7EE"/>
              <w:bottom w:val="single" w:sz="4" w:space="0" w:color="41B7EE"/>
              <w:right w:val="single" w:sz="4" w:space="0" w:color="41B7EE"/>
            </w:tcBorders>
          </w:tcPr>
          <w:p>
            <w:pPr/>
          </w:p>
        </w:tc>
        <w:tc>
          <w:tcPr>
            <w:tcW w:w="18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822,337,189.69</w:t>
            </w:r>
          </w:p>
        </w:tc>
        <w:tc>
          <w:tcPr>
            <w:tcW w:w="189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933,175,486.20</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5" w:lineRule="exact"/>
              <w:ind w:right="35"/>
              <w:jc w:val="center"/>
              <w:rPr>
                <w:rFonts w:ascii="Arial" w:hAnsi="Arial" w:cs="Arial" w:eastAsia="Arial" w:hint="default"/>
                <w:sz w:val="21"/>
                <w:szCs w:val="21"/>
              </w:rPr>
            </w:pPr>
            <w:r>
              <w:rPr>
                <w:rFonts w:ascii="宋体" w:hAnsi="宋体" w:cs="宋体" w:eastAsia="宋体" w:hint="default"/>
                <w:spacing w:val="-14"/>
                <w:sz w:val="21"/>
                <w:szCs w:val="21"/>
              </w:rPr>
              <w:t>七、</w:t>
            </w:r>
            <w:r>
              <w:rPr>
                <w:rFonts w:ascii="Arial" w:hAnsi="Arial" w:cs="Arial" w:eastAsia="Arial" w:hint="default"/>
                <w:spacing w:val="-14"/>
                <w:sz w:val="21"/>
                <w:szCs w:val="21"/>
              </w:rPr>
              <w:t>74</w:t>
            </w:r>
            <w:r>
              <w:rPr>
                <w:rFonts w:ascii="Arial" w:hAnsi="Arial" w:cs="Arial" w:eastAsia="Arial" w:hint="default"/>
                <w:sz w:val="21"/>
                <w:szCs w:val="21"/>
              </w:rPr>
            </w:r>
          </w:p>
        </w:tc>
        <w:tc>
          <w:tcPr>
            <w:tcW w:w="18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-11,231,333.56</w:t>
            </w:r>
          </w:p>
        </w:tc>
        <w:tc>
          <w:tcPr>
            <w:tcW w:w="189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8"/>
              <w:ind w:right="53"/>
              <w:jc w:val="right"/>
              <w:rPr>
                <w:rFonts w:ascii="Arial" w:hAnsi="Arial" w:cs="Arial" w:eastAsia="Arial" w:hint="default"/>
                <w:sz w:val="21"/>
                <w:szCs w:val="21"/>
              </w:rPr>
            </w:pPr>
            <w:r>
              <w:rPr>
                <w:rFonts w:ascii="Arial"/>
                <w:spacing w:val="-1"/>
                <w:sz w:val="21"/>
              </w:rPr>
              <w:t>17,879,400.91</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5" w:lineRule="exact"/>
              <w:ind w:left="57"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718" w:type="dxa"/>
            <w:tcBorders>
              <w:top w:val="single" w:sz="4" w:space="0" w:color="41B7EE"/>
              <w:left w:val="single" w:sz="4" w:space="0" w:color="41B7EE"/>
              <w:bottom w:val="single" w:sz="4" w:space="0" w:color="41B7EE"/>
              <w:right w:val="single" w:sz="4" w:space="0" w:color="41B7EE"/>
            </w:tcBorders>
          </w:tcPr>
          <w:p>
            <w:pPr/>
          </w:p>
        </w:tc>
        <w:tc>
          <w:tcPr>
            <w:tcW w:w="18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833,568,523.25</w:t>
            </w:r>
          </w:p>
        </w:tc>
        <w:tc>
          <w:tcPr>
            <w:tcW w:w="189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915,296,085.29</w:t>
            </w:r>
          </w:p>
        </w:tc>
      </w:tr>
    </w:tbl>
    <w:p>
      <w:pPr>
        <w:pStyle w:val="BodyText"/>
        <w:spacing w:line="260" w:lineRule="exact"/>
        <w:ind w:left="198" w:right="0"/>
        <w:jc w:val="left"/>
      </w:pPr>
      <w:r>
        <w:rPr>
          <w:spacing w:val="-16"/>
        </w:rPr>
        <w:t>（一）按经营持续性分类</w:t>
      </w:r>
    </w:p>
    <w:p>
      <w:pPr>
        <w:spacing w:line="240" w:lineRule="auto" w:before="13"/>
        <w:rPr>
          <w:rFonts w:ascii="宋体" w:hAnsi="宋体" w:cs="宋体" w:eastAsia="宋体" w:hint="default"/>
          <w:sz w:val="3"/>
          <w:szCs w:val="3"/>
        </w:rPr>
      </w:pPr>
    </w:p>
    <w:tbl>
      <w:tblPr>
        <w:tblW w:w="0" w:type="auto"/>
        <w:jc w:val="left"/>
        <w:tblInd w:w="140" w:type="dxa"/>
        <w:tblLayout w:type="fixed"/>
        <w:tblCellMar>
          <w:top w:w="0" w:type="dxa"/>
          <w:left w:w="0" w:type="dxa"/>
          <w:bottom w:w="0" w:type="dxa"/>
          <w:right w:w="0" w:type="dxa"/>
        </w:tblCellMar>
        <w:tblLook w:val="01E0"/>
      </w:tblPr>
      <w:tblGrid>
        <w:gridCol w:w="4453"/>
        <w:gridCol w:w="718"/>
        <w:gridCol w:w="1882"/>
        <w:gridCol w:w="1896"/>
      </w:tblGrid>
      <w:tr>
        <w:trPr>
          <w:trHeight w:val="329" w:hRule="exact"/>
        </w:trPr>
        <w:tc>
          <w:tcPr>
            <w:tcW w:w="4453" w:type="dxa"/>
            <w:tcBorders>
              <w:top w:val="single" w:sz="4" w:space="0" w:color="41B7EE"/>
              <w:left w:val="nil" w:sz="6" w:space="0" w:color="auto"/>
              <w:bottom w:val="single" w:sz="8" w:space="0" w:color="41B7EE"/>
              <w:right w:val="single" w:sz="4" w:space="0" w:color="41B7EE"/>
            </w:tcBorders>
          </w:tcPr>
          <w:p>
            <w:pPr>
              <w:pStyle w:val="TableParagraph"/>
              <w:spacing w:line="275" w:lineRule="exact"/>
              <w:ind w:left="477" w:right="0"/>
              <w:jc w:val="left"/>
              <w:rPr>
                <w:rFonts w:ascii="宋体" w:hAnsi="宋体" w:cs="宋体" w:eastAsia="宋体" w:hint="default"/>
                <w:sz w:val="21"/>
                <w:szCs w:val="21"/>
              </w:rPr>
            </w:pPr>
            <w:r>
              <w:rPr>
                <w:rFonts w:ascii="Arial" w:hAnsi="Arial" w:cs="Arial" w:eastAsia="Arial" w:hint="default"/>
                <w:spacing w:val="-12"/>
                <w:sz w:val="21"/>
                <w:szCs w:val="21"/>
              </w:rPr>
              <w:t>1.</w:t>
            </w:r>
            <w:r>
              <w:rPr>
                <w:rFonts w:ascii="宋体" w:hAnsi="宋体" w:cs="宋体" w:eastAsia="宋体" w:hint="default"/>
                <w:spacing w:val="-12"/>
                <w:sz w:val="21"/>
                <w:szCs w:val="21"/>
              </w:rPr>
              <w:t>持续经营净利润（净亏损以</w:t>
            </w:r>
            <w:r>
              <w:rPr>
                <w:rFonts w:ascii="Arial" w:hAnsi="Arial" w:cs="Arial" w:eastAsia="Arial" w:hint="default"/>
                <w:spacing w:val="-12"/>
                <w:sz w:val="21"/>
                <w:szCs w:val="21"/>
              </w:rPr>
              <w:t>“</w:t>
            </w:r>
            <w:r>
              <w:rPr>
                <w:rFonts w:ascii="宋体" w:hAnsi="宋体" w:cs="宋体" w:eastAsia="宋体" w:hint="default"/>
                <w:spacing w:val="-12"/>
                <w:sz w:val="21"/>
                <w:szCs w:val="21"/>
              </w:rPr>
              <w:t>－</w:t>
            </w:r>
            <w:r>
              <w:rPr>
                <w:rFonts w:ascii="Arial" w:hAnsi="Arial" w:cs="Arial" w:eastAsia="Arial" w:hint="default"/>
                <w:spacing w:val="-12"/>
                <w:sz w:val="21"/>
                <w:szCs w:val="21"/>
              </w:rPr>
              <w:t>”</w:t>
            </w:r>
            <w:r>
              <w:rPr>
                <w:rFonts w:ascii="宋体" w:hAnsi="宋体" w:cs="宋体" w:eastAsia="宋体" w:hint="default"/>
                <w:spacing w:val="-12"/>
                <w:sz w:val="21"/>
                <w:szCs w:val="21"/>
              </w:rPr>
              <w:t>号填列）</w:t>
            </w:r>
          </w:p>
        </w:tc>
        <w:tc>
          <w:tcPr>
            <w:tcW w:w="718" w:type="dxa"/>
            <w:tcBorders>
              <w:top w:val="single" w:sz="4" w:space="0" w:color="41B7EE"/>
              <w:left w:val="single" w:sz="4" w:space="0" w:color="41B7EE"/>
              <w:bottom w:val="single" w:sz="8" w:space="0" w:color="41B7EE"/>
              <w:right w:val="single" w:sz="4" w:space="0" w:color="41B7EE"/>
            </w:tcBorders>
          </w:tcPr>
          <w:p>
            <w:pPr/>
          </w:p>
        </w:tc>
        <w:tc>
          <w:tcPr>
            <w:tcW w:w="1882"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31"/>
              <w:ind w:left="360" w:right="0"/>
              <w:jc w:val="left"/>
              <w:rPr>
                <w:rFonts w:ascii="Arial" w:hAnsi="Arial" w:cs="Arial" w:eastAsia="Arial" w:hint="default"/>
                <w:sz w:val="21"/>
                <w:szCs w:val="21"/>
              </w:rPr>
            </w:pPr>
            <w:r>
              <w:rPr>
                <w:rFonts w:ascii="Arial"/>
                <w:sz w:val="21"/>
              </w:rPr>
              <w:t>833,568,523.25</w:t>
            </w:r>
          </w:p>
        </w:tc>
        <w:tc>
          <w:tcPr>
            <w:tcW w:w="1896"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31"/>
              <w:ind w:left="374" w:right="0"/>
              <w:jc w:val="left"/>
              <w:rPr>
                <w:rFonts w:ascii="Arial" w:hAnsi="Arial" w:cs="Arial" w:eastAsia="Arial" w:hint="default"/>
                <w:sz w:val="21"/>
                <w:szCs w:val="21"/>
              </w:rPr>
            </w:pPr>
            <w:r>
              <w:rPr>
                <w:rFonts w:ascii="Arial"/>
                <w:sz w:val="21"/>
              </w:rPr>
              <w:t>915,296,085.29</w:t>
            </w:r>
          </w:p>
        </w:tc>
      </w:tr>
    </w:tbl>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48.4pt;height:1pt;mso-position-horizontal-relative:char;mso-position-vertical-relative:line" coordorigin="0,0" coordsize="8968,20">
            <v:group style="position:absolute;left:10;top:10;width:4448;height:2" coordorigin="10,10" coordsize="4448,2">
              <v:shape style="position:absolute;left:10;top:10;width:4448;height:2" coordorigin="10,10" coordsize="4448,0" path="m10,10l4457,10e" filled="false" stroked="true" strokeweight=".96002pt" strokecolor="#41b7ee">
                <v:path arrowok="t"/>
              </v:shape>
            </v:group>
            <v:group style="position:absolute;left:4457;top:10;width:58;height:2" coordorigin="4457,10" coordsize="58,2">
              <v:shape style="position:absolute;left:4457;top:10;width:58;height:2" coordorigin="4457,10" coordsize="58,0" path="m4457,10l4515,10e" filled="false" stroked="true" strokeweight=".96002pt" strokecolor="#41b7ee">
                <v:path arrowok="t"/>
              </v:shape>
            </v:group>
            <v:group style="position:absolute;left:4515;top:10;width:661;height:2" coordorigin="4515,10" coordsize="661,2">
              <v:shape style="position:absolute;left:4515;top:10;width:661;height:2" coordorigin="4515,10" coordsize="661,0" path="m4515,10l5175,10e" filled="false" stroked="true" strokeweight=".96002pt" strokecolor="#41b7ee">
                <v:path arrowok="t"/>
              </v:shape>
            </v:group>
            <v:group style="position:absolute;left:5175;top:10;width:58;height:2" coordorigin="5175,10" coordsize="58,2">
              <v:shape style="position:absolute;left:5175;top:10;width:58;height:2" coordorigin="5175,10" coordsize="58,0" path="m5175,10l5233,10e" filled="false" stroked="true" strokeweight=".96002pt" strokecolor="#41b7ee">
                <v:path arrowok="t"/>
              </v:shape>
            </v:group>
            <v:group style="position:absolute;left:5233;top:10;width:1824;height:2" coordorigin="5233,10" coordsize="1824,2">
              <v:shape style="position:absolute;left:5233;top:10;width:1824;height:2" coordorigin="5233,10" coordsize="1824,0" path="m5233,10l7057,10e" filled="false" stroked="true" strokeweight=".96002pt" strokecolor="#41b7ee">
                <v:path arrowok="t"/>
              </v:shape>
            </v:group>
            <v:group style="position:absolute;left:7057;top:10;width:58;height:2" coordorigin="7057,10" coordsize="58,2">
              <v:shape style="position:absolute;left:7057;top:10;width:58;height:2" coordorigin="7057,10" coordsize="58,0" path="m7057,10l7115,10e" filled="false" stroked="true" strokeweight=".96002pt" strokecolor="#41b7ee">
                <v:path arrowok="t"/>
              </v:shape>
            </v:group>
            <v:group style="position:absolute;left:7115;top:10;width:1844;height:2" coordorigin="7115,10" coordsize="1844,2">
              <v:shape style="position:absolute;left:7115;top:10;width:1844;height:2" coordorigin="7115,10" coordsize="1844,0" path="m7115,10l8958,10e" filled="false" stroked="true" strokeweight=".96002pt" strokecolor="#41b7ee">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360" w:bottom="1380" w:left="1600" w:right="1060"/>
        </w:sectPr>
      </w:pPr>
    </w:p>
    <w:p>
      <w:pPr>
        <w:spacing w:line="240" w:lineRule="auto" w:before="1"/>
        <w:rPr>
          <w:rFonts w:ascii="宋体" w:hAnsi="宋体" w:cs="宋体" w:eastAsia="宋体" w:hint="default"/>
          <w:sz w:val="12"/>
          <w:szCs w:val="12"/>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48.4pt;height:1pt;mso-position-horizontal-relative:char;mso-position-vertical-relative:line" coordorigin="0,0" coordsize="8968,20">
            <v:group style="position:absolute;left:10;top:10;width:4448;height:2" coordorigin="10,10" coordsize="4448,2">
              <v:shape style="position:absolute;left:10;top:10;width:4448;height:2" coordorigin="10,10" coordsize="4448,0" path="m10,10l4457,10e" filled="false" stroked="true" strokeweight=".96001pt" strokecolor="#41b7ee">
                <v:path arrowok="t"/>
              </v:shape>
            </v:group>
            <v:group style="position:absolute;left:4457;top:10;width:58;height:2" coordorigin="4457,10" coordsize="58,2">
              <v:shape style="position:absolute;left:4457;top:10;width:58;height:2" coordorigin="4457,10" coordsize="58,0" path="m4457,10l4515,10e" filled="false" stroked="true" strokeweight=".96001pt" strokecolor="#41b7ee">
                <v:path arrowok="t"/>
              </v:shape>
            </v:group>
            <v:group style="position:absolute;left:4515;top:10;width:661;height:2" coordorigin="4515,10" coordsize="661,2">
              <v:shape style="position:absolute;left:4515;top:10;width:661;height:2" coordorigin="4515,10" coordsize="661,0" path="m4515,10l5175,10e" filled="false" stroked="true" strokeweight=".96001pt" strokecolor="#41b7ee">
                <v:path arrowok="t"/>
              </v:shape>
            </v:group>
            <v:group style="position:absolute;left:5175;top:10;width:58;height:2" coordorigin="5175,10" coordsize="58,2">
              <v:shape style="position:absolute;left:5175;top:10;width:58;height:2" coordorigin="5175,10" coordsize="58,0" path="m5175,10l5233,10e" filled="false" stroked="true" strokeweight=".96001pt" strokecolor="#41b7ee">
                <v:path arrowok="t"/>
              </v:shape>
            </v:group>
            <v:group style="position:absolute;left:5233;top:10;width:1824;height:2" coordorigin="5233,10" coordsize="1824,2">
              <v:shape style="position:absolute;left:5233;top:10;width:1824;height:2" coordorigin="5233,10" coordsize="1824,0" path="m5233,10l7057,10e" filled="false" stroked="true" strokeweight=".96001pt" strokecolor="#41b7ee">
                <v:path arrowok="t"/>
              </v:shape>
            </v:group>
            <v:group style="position:absolute;left:7057;top:10;width:58;height:2" coordorigin="7057,10" coordsize="58,2">
              <v:shape style="position:absolute;left:7057;top:10;width:58;height:2" coordorigin="7057,10" coordsize="58,0" path="m7057,10l7115,10e" filled="false" stroked="true" strokeweight=".96001pt" strokecolor="#41b7ee">
                <v:path arrowok="t"/>
              </v:shape>
            </v:group>
            <v:group style="position:absolute;left:7115;top:10;width:1844;height:2" coordorigin="7115,10" coordsize="1844,2">
              <v:shape style="position:absolute;left:7115;top:10;width:1844;height:2" coordorigin="7115,10" coordsize="1844,0" path="m7115,10l8958,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40" w:type="dxa"/>
        <w:tblLayout w:type="fixed"/>
        <w:tblCellMar>
          <w:top w:w="0" w:type="dxa"/>
          <w:left w:w="0" w:type="dxa"/>
          <w:bottom w:w="0" w:type="dxa"/>
          <w:right w:w="0" w:type="dxa"/>
        </w:tblCellMar>
        <w:tblLook w:val="01E0"/>
      </w:tblPr>
      <w:tblGrid>
        <w:gridCol w:w="4453"/>
        <w:gridCol w:w="718"/>
        <w:gridCol w:w="1882"/>
        <w:gridCol w:w="1896"/>
      </w:tblGrid>
      <w:tr>
        <w:trPr>
          <w:trHeight w:val="329" w:hRule="exact"/>
        </w:trPr>
        <w:tc>
          <w:tcPr>
            <w:tcW w:w="4453" w:type="dxa"/>
            <w:tcBorders>
              <w:top w:val="single" w:sz="8" w:space="0" w:color="41B7EE"/>
              <w:left w:val="nil" w:sz="6" w:space="0" w:color="auto"/>
              <w:bottom w:val="single" w:sz="4" w:space="0" w:color="41B7EE"/>
              <w:right w:val="single" w:sz="4" w:space="0" w:color="41B7EE"/>
            </w:tcBorders>
          </w:tcPr>
          <w:p>
            <w:pPr>
              <w:pStyle w:val="TableParagraph"/>
              <w:spacing w:line="280" w:lineRule="exact"/>
              <w:ind w:left="477" w:right="0"/>
              <w:jc w:val="left"/>
              <w:rPr>
                <w:rFonts w:ascii="宋体" w:hAnsi="宋体" w:cs="宋体" w:eastAsia="宋体" w:hint="default"/>
                <w:sz w:val="21"/>
                <w:szCs w:val="21"/>
              </w:rPr>
            </w:pPr>
            <w:r>
              <w:rPr>
                <w:rFonts w:ascii="Arial" w:hAnsi="Arial" w:cs="Arial" w:eastAsia="Arial" w:hint="default"/>
                <w:spacing w:val="-12"/>
                <w:sz w:val="21"/>
                <w:szCs w:val="21"/>
              </w:rPr>
              <w:t>2.</w:t>
            </w:r>
            <w:r>
              <w:rPr>
                <w:rFonts w:ascii="宋体" w:hAnsi="宋体" w:cs="宋体" w:eastAsia="宋体" w:hint="default"/>
                <w:spacing w:val="-12"/>
                <w:sz w:val="21"/>
                <w:szCs w:val="21"/>
              </w:rPr>
              <w:t>终止经营净利润（净亏损以</w:t>
            </w:r>
            <w:r>
              <w:rPr>
                <w:rFonts w:ascii="Arial" w:hAnsi="Arial" w:cs="Arial" w:eastAsia="Arial" w:hint="default"/>
                <w:spacing w:val="-12"/>
                <w:sz w:val="21"/>
                <w:szCs w:val="21"/>
              </w:rPr>
              <w:t>“</w:t>
            </w:r>
            <w:r>
              <w:rPr>
                <w:rFonts w:ascii="宋体" w:hAnsi="宋体" w:cs="宋体" w:eastAsia="宋体" w:hint="default"/>
                <w:spacing w:val="-12"/>
                <w:sz w:val="21"/>
                <w:szCs w:val="21"/>
              </w:rPr>
              <w:t>－</w:t>
            </w:r>
            <w:r>
              <w:rPr>
                <w:rFonts w:ascii="Arial" w:hAnsi="Arial" w:cs="Arial" w:eastAsia="Arial" w:hint="default"/>
                <w:spacing w:val="-12"/>
                <w:sz w:val="21"/>
                <w:szCs w:val="21"/>
              </w:rPr>
              <w:t>”</w:t>
            </w:r>
            <w:r>
              <w:rPr>
                <w:rFonts w:ascii="宋体" w:hAnsi="宋体" w:cs="宋体" w:eastAsia="宋体" w:hint="default"/>
                <w:spacing w:val="-12"/>
                <w:sz w:val="21"/>
                <w:szCs w:val="21"/>
              </w:rPr>
              <w:t>号填列）</w:t>
            </w:r>
          </w:p>
        </w:tc>
        <w:tc>
          <w:tcPr>
            <w:tcW w:w="718" w:type="dxa"/>
            <w:tcBorders>
              <w:top w:val="single" w:sz="8" w:space="0" w:color="41B7EE"/>
              <w:left w:val="single" w:sz="4" w:space="0" w:color="41B7EE"/>
              <w:bottom w:val="single" w:sz="4" w:space="0" w:color="41B7EE"/>
              <w:right w:val="single" w:sz="4" w:space="0" w:color="41B7EE"/>
            </w:tcBorders>
          </w:tcPr>
          <w:p>
            <w:pPr/>
          </w:p>
        </w:tc>
        <w:tc>
          <w:tcPr>
            <w:tcW w:w="1882" w:type="dxa"/>
            <w:tcBorders>
              <w:top w:val="single" w:sz="8" w:space="0" w:color="41B7EE"/>
              <w:left w:val="single" w:sz="4" w:space="0" w:color="41B7EE"/>
              <w:bottom w:val="single" w:sz="4" w:space="0" w:color="41B7EE"/>
              <w:right w:val="single" w:sz="4" w:space="0" w:color="41B7EE"/>
            </w:tcBorders>
          </w:tcPr>
          <w:p>
            <w:pPr/>
          </w:p>
        </w:tc>
        <w:tc>
          <w:tcPr>
            <w:tcW w:w="1896" w:type="dxa"/>
            <w:tcBorders>
              <w:top w:val="single" w:sz="8" w:space="0" w:color="41B7EE"/>
              <w:left w:val="single" w:sz="4" w:space="0" w:color="41B7EE"/>
              <w:bottom w:val="single" w:sz="4" w:space="0" w:color="41B7EE"/>
              <w:right w:val="nil" w:sz="6" w:space="0" w:color="auto"/>
            </w:tcBorders>
          </w:tcPr>
          <w:p>
            <w:pPr/>
          </w:p>
        </w:tc>
      </w:tr>
    </w:tbl>
    <w:p>
      <w:pPr>
        <w:pStyle w:val="BodyText"/>
        <w:spacing w:line="240" w:lineRule="auto" w:before="6"/>
        <w:ind w:left="198" w:right="0"/>
        <w:jc w:val="left"/>
      </w:pPr>
      <w:r>
        <w:rPr>
          <w:spacing w:val="-16"/>
        </w:rPr>
        <w:t>（二）按所有权归属分类</w:t>
      </w:r>
    </w:p>
    <w:p>
      <w:pPr>
        <w:spacing w:line="240" w:lineRule="auto" w:before="13"/>
        <w:rPr>
          <w:rFonts w:ascii="宋体" w:hAnsi="宋体" w:cs="宋体" w:eastAsia="宋体" w:hint="default"/>
          <w:sz w:val="3"/>
          <w:szCs w:val="3"/>
        </w:rPr>
      </w:pPr>
    </w:p>
    <w:tbl>
      <w:tblPr>
        <w:tblW w:w="0" w:type="auto"/>
        <w:jc w:val="left"/>
        <w:tblInd w:w="140" w:type="dxa"/>
        <w:tblLayout w:type="fixed"/>
        <w:tblCellMar>
          <w:top w:w="0" w:type="dxa"/>
          <w:left w:w="0" w:type="dxa"/>
          <w:bottom w:w="0" w:type="dxa"/>
          <w:right w:w="0" w:type="dxa"/>
        </w:tblCellMar>
        <w:tblLook w:val="01E0"/>
      </w:tblPr>
      <w:tblGrid>
        <w:gridCol w:w="4453"/>
        <w:gridCol w:w="718"/>
        <w:gridCol w:w="1882"/>
        <w:gridCol w:w="1896"/>
      </w:tblGrid>
      <w:tr>
        <w:trPr>
          <w:trHeight w:val="55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46" w:lineRule="exact"/>
              <w:ind w:left="477" w:right="0"/>
              <w:jc w:val="left"/>
              <w:rPr>
                <w:rFonts w:ascii="Arial" w:hAnsi="Arial" w:cs="Arial" w:eastAsia="Arial" w:hint="default"/>
                <w:sz w:val="21"/>
                <w:szCs w:val="21"/>
              </w:rPr>
            </w:pPr>
            <w:r>
              <w:rPr>
                <w:rFonts w:ascii="Arial" w:hAnsi="Arial" w:cs="Arial" w:eastAsia="Arial" w:hint="default"/>
                <w:spacing w:val="-3"/>
                <w:sz w:val="21"/>
                <w:szCs w:val="21"/>
              </w:rPr>
              <w:t>1.</w:t>
            </w:r>
            <w:r>
              <w:rPr>
                <w:rFonts w:ascii="宋体" w:hAnsi="宋体" w:cs="宋体" w:eastAsia="宋体" w:hint="default"/>
                <w:spacing w:val="-3"/>
                <w:sz w:val="21"/>
                <w:szCs w:val="21"/>
              </w:rPr>
              <w:t>归属于母公司股东的净利润（净亏损以</w:t>
            </w:r>
            <w:r>
              <w:rPr>
                <w:rFonts w:ascii="Arial" w:hAnsi="Arial" w:cs="Arial" w:eastAsia="Arial" w:hint="default"/>
                <w:spacing w:val="-3"/>
                <w:sz w:val="21"/>
                <w:szCs w:val="21"/>
              </w:rPr>
              <w:t>“</w:t>
            </w:r>
            <w:r>
              <w:rPr>
                <w:rFonts w:ascii="Arial" w:hAnsi="Arial" w:cs="Arial" w:eastAsia="Arial" w:hint="default"/>
                <w:spacing w:val="-3"/>
                <w:sz w:val="21"/>
                <w:szCs w:val="21"/>
              </w:rPr>
              <w:t>-</w:t>
            </w:r>
            <w:r>
              <w:rPr>
                <w:rFonts w:ascii="Arial" w:hAnsi="Arial" w:cs="Arial" w:eastAsia="Arial" w:hint="default"/>
                <w:spacing w:val="-3"/>
                <w:sz w:val="21"/>
                <w:szCs w:val="21"/>
              </w:rPr>
              <w:t>”</w:t>
            </w:r>
          </w:p>
          <w:p>
            <w:pPr>
              <w:pStyle w:val="TableParagraph"/>
              <w:spacing w:line="266" w:lineRule="exact"/>
              <w:ind w:left="57"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718" w:type="dxa"/>
            <w:tcBorders>
              <w:top w:val="single" w:sz="4" w:space="0" w:color="41B7EE"/>
              <w:left w:val="single" w:sz="4" w:space="0" w:color="41B7EE"/>
              <w:bottom w:val="single" w:sz="4" w:space="0" w:color="41B7EE"/>
              <w:right w:val="single" w:sz="4" w:space="0" w:color="41B7EE"/>
            </w:tcBorders>
          </w:tcPr>
          <w:p>
            <w:pPr/>
          </w:p>
        </w:tc>
        <w:tc>
          <w:tcPr>
            <w:tcW w:w="18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48"/>
              <w:jc w:val="right"/>
              <w:rPr>
                <w:rFonts w:ascii="Arial" w:hAnsi="Arial" w:cs="Arial" w:eastAsia="Arial" w:hint="default"/>
                <w:sz w:val="21"/>
                <w:szCs w:val="21"/>
              </w:rPr>
            </w:pPr>
            <w:r>
              <w:rPr>
                <w:rFonts w:ascii="Arial"/>
                <w:spacing w:val="-1"/>
                <w:sz w:val="21"/>
              </w:rPr>
              <w:t>848,615,373.80</w:t>
            </w:r>
          </w:p>
        </w:tc>
        <w:tc>
          <w:tcPr>
            <w:tcW w:w="189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6"/>
              <w:ind w:right="53"/>
              <w:jc w:val="right"/>
              <w:rPr>
                <w:rFonts w:ascii="Arial" w:hAnsi="Arial" w:cs="Arial" w:eastAsia="Arial" w:hint="default"/>
                <w:sz w:val="21"/>
                <w:szCs w:val="21"/>
              </w:rPr>
            </w:pPr>
            <w:r>
              <w:rPr>
                <w:rFonts w:ascii="Arial"/>
                <w:spacing w:val="-1"/>
                <w:sz w:val="21"/>
              </w:rPr>
              <w:t>976,475,573.91</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5" w:lineRule="exact"/>
              <w:ind w:left="477"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少数股东损益（净亏损以</w:t>
            </w:r>
            <w:r>
              <w:rPr>
                <w:rFonts w:ascii="Arial" w:hAnsi="Arial" w:cs="Arial" w:eastAsia="Arial" w:hint="default"/>
                <w:sz w:val="21"/>
                <w:szCs w:val="21"/>
              </w:rPr>
              <w:t>“</w:t>
            </w:r>
            <w:r>
              <w:rPr>
                <w:rFonts w:ascii="Arial" w:hAnsi="Arial" w:cs="Arial" w:eastAsia="Arial"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718" w:type="dxa"/>
            <w:tcBorders>
              <w:top w:val="single" w:sz="4" w:space="0" w:color="41B7EE"/>
              <w:left w:val="single" w:sz="4" w:space="0" w:color="41B7EE"/>
              <w:bottom w:val="single" w:sz="4" w:space="0" w:color="41B7EE"/>
              <w:right w:val="single" w:sz="4" w:space="0" w:color="41B7EE"/>
            </w:tcBorders>
          </w:tcPr>
          <w:p>
            <w:pPr/>
          </w:p>
        </w:tc>
        <w:tc>
          <w:tcPr>
            <w:tcW w:w="18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-15,046,850.55</w:t>
            </w:r>
          </w:p>
        </w:tc>
        <w:tc>
          <w:tcPr>
            <w:tcW w:w="189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-61,179,488.62</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5" w:lineRule="exact"/>
              <w:ind w:right="35"/>
              <w:jc w:val="center"/>
              <w:rPr>
                <w:rFonts w:ascii="Arial" w:hAnsi="Arial" w:cs="Arial" w:eastAsia="Arial" w:hint="default"/>
                <w:sz w:val="21"/>
                <w:szCs w:val="21"/>
              </w:rPr>
            </w:pPr>
            <w:r>
              <w:rPr>
                <w:rFonts w:ascii="宋体" w:hAnsi="宋体" w:cs="宋体" w:eastAsia="宋体" w:hint="default"/>
                <w:spacing w:val="-14"/>
                <w:sz w:val="21"/>
                <w:szCs w:val="21"/>
              </w:rPr>
              <w:t>七、</w:t>
            </w:r>
            <w:r>
              <w:rPr>
                <w:rFonts w:ascii="Arial" w:hAnsi="Arial" w:cs="Arial" w:eastAsia="Arial" w:hint="default"/>
                <w:spacing w:val="-14"/>
                <w:sz w:val="21"/>
                <w:szCs w:val="21"/>
              </w:rPr>
              <w:t>75</w:t>
            </w:r>
            <w:r>
              <w:rPr>
                <w:rFonts w:ascii="Arial" w:hAnsi="Arial" w:cs="Arial" w:eastAsia="Arial" w:hint="default"/>
                <w:sz w:val="21"/>
                <w:szCs w:val="21"/>
              </w:rPr>
            </w:r>
          </w:p>
        </w:tc>
        <w:tc>
          <w:tcPr>
            <w:tcW w:w="18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153,306.00</w:t>
            </w:r>
          </w:p>
        </w:tc>
        <w:tc>
          <w:tcPr>
            <w:tcW w:w="1896" w:type="dxa"/>
            <w:tcBorders>
              <w:top w:val="single" w:sz="4" w:space="0" w:color="41B7EE"/>
              <w:left w:val="single" w:sz="4" w:space="0" w:color="41B7EE"/>
              <w:bottom w:val="single" w:sz="4" w:space="0" w:color="41B7EE"/>
              <w:right w:val="nil" w:sz="6" w:space="0" w:color="auto"/>
            </w:tcBorders>
          </w:tcPr>
          <w:p>
            <w:pPr/>
          </w:p>
        </w:tc>
      </w:tr>
      <w:tr>
        <w:trPr>
          <w:trHeight w:val="55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40" w:lineRule="exact"/>
              <w:ind w:left="268" w:right="0"/>
              <w:jc w:val="left"/>
              <w:rPr>
                <w:rFonts w:ascii="宋体" w:hAnsi="宋体" w:cs="宋体" w:eastAsia="宋体" w:hint="default"/>
                <w:sz w:val="21"/>
                <w:szCs w:val="21"/>
              </w:rPr>
            </w:pPr>
            <w:r>
              <w:rPr>
                <w:rFonts w:ascii="宋体" w:hAnsi="宋体" w:cs="宋体" w:eastAsia="宋体" w:hint="default"/>
                <w:spacing w:val="-5"/>
                <w:sz w:val="21"/>
                <w:szCs w:val="21"/>
              </w:rPr>
              <w:t>（一）归属母公司所有者的其他综合收益的税</w:t>
            </w:r>
          </w:p>
          <w:p>
            <w:pPr>
              <w:pStyle w:val="TableParagraph"/>
              <w:spacing w:line="274" w:lineRule="exact"/>
              <w:ind w:left="57"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right="35"/>
              <w:jc w:val="center"/>
              <w:rPr>
                <w:rFonts w:ascii="Arial" w:hAnsi="Arial" w:cs="Arial" w:eastAsia="Arial" w:hint="default"/>
                <w:sz w:val="21"/>
                <w:szCs w:val="21"/>
              </w:rPr>
            </w:pPr>
            <w:r>
              <w:rPr>
                <w:rFonts w:ascii="宋体" w:hAnsi="宋体" w:cs="宋体" w:eastAsia="宋体" w:hint="default"/>
                <w:spacing w:val="-14"/>
                <w:sz w:val="21"/>
                <w:szCs w:val="21"/>
              </w:rPr>
              <w:t>七、</w:t>
            </w:r>
            <w:r>
              <w:rPr>
                <w:rFonts w:ascii="Arial" w:hAnsi="Arial" w:cs="Arial" w:eastAsia="Arial" w:hint="default"/>
                <w:spacing w:val="-14"/>
                <w:sz w:val="21"/>
                <w:szCs w:val="21"/>
              </w:rPr>
              <w:t>75</w:t>
            </w:r>
            <w:r>
              <w:rPr>
                <w:rFonts w:ascii="Arial" w:hAnsi="Arial" w:cs="Arial" w:eastAsia="Arial" w:hint="default"/>
                <w:sz w:val="21"/>
                <w:szCs w:val="21"/>
              </w:rPr>
            </w:r>
          </w:p>
        </w:tc>
        <w:tc>
          <w:tcPr>
            <w:tcW w:w="18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48"/>
              <w:jc w:val="right"/>
              <w:rPr>
                <w:rFonts w:ascii="Arial" w:hAnsi="Arial" w:cs="Arial" w:eastAsia="Arial" w:hint="default"/>
                <w:sz w:val="21"/>
                <w:szCs w:val="21"/>
              </w:rPr>
            </w:pPr>
            <w:r>
              <w:rPr>
                <w:rFonts w:ascii="Arial"/>
                <w:spacing w:val="-1"/>
                <w:sz w:val="21"/>
              </w:rPr>
              <w:t>153,306.00</w:t>
            </w:r>
          </w:p>
        </w:tc>
        <w:tc>
          <w:tcPr>
            <w:tcW w:w="1896"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7" w:lineRule="exact"/>
              <w:ind w:left="477"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．不能重分类进损益的其他综合收益</w:t>
            </w:r>
          </w:p>
        </w:tc>
        <w:tc>
          <w:tcPr>
            <w:tcW w:w="718" w:type="dxa"/>
            <w:tcBorders>
              <w:top w:val="single" w:sz="4" w:space="0" w:color="41B7EE"/>
              <w:left w:val="single" w:sz="4" w:space="0" w:color="41B7EE"/>
              <w:bottom w:val="single" w:sz="4" w:space="0" w:color="41B7EE"/>
              <w:right w:val="single" w:sz="4" w:space="0" w:color="41B7EE"/>
            </w:tcBorders>
          </w:tcPr>
          <w:p>
            <w:pPr/>
          </w:p>
        </w:tc>
        <w:tc>
          <w:tcPr>
            <w:tcW w:w="1882" w:type="dxa"/>
            <w:tcBorders>
              <w:top w:val="single" w:sz="4" w:space="0" w:color="41B7EE"/>
              <w:left w:val="single" w:sz="4" w:space="0" w:color="41B7EE"/>
              <w:bottom w:val="single" w:sz="4" w:space="0" w:color="41B7EE"/>
              <w:right w:val="single" w:sz="4" w:space="0" w:color="41B7EE"/>
            </w:tcBorders>
          </w:tcPr>
          <w:p>
            <w:pPr/>
          </w:p>
        </w:tc>
        <w:tc>
          <w:tcPr>
            <w:tcW w:w="1896"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7" w:lineRule="exact"/>
              <w:ind w:left="268"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）重新计量设定受益计划变动额</w:t>
            </w:r>
          </w:p>
        </w:tc>
        <w:tc>
          <w:tcPr>
            <w:tcW w:w="718" w:type="dxa"/>
            <w:tcBorders>
              <w:top w:val="single" w:sz="4" w:space="0" w:color="41B7EE"/>
              <w:left w:val="single" w:sz="4" w:space="0" w:color="41B7EE"/>
              <w:bottom w:val="single" w:sz="4" w:space="0" w:color="41B7EE"/>
              <w:right w:val="single" w:sz="4" w:space="0" w:color="41B7EE"/>
            </w:tcBorders>
          </w:tcPr>
          <w:p>
            <w:pPr/>
          </w:p>
        </w:tc>
        <w:tc>
          <w:tcPr>
            <w:tcW w:w="1882" w:type="dxa"/>
            <w:tcBorders>
              <w:top w:val="single" w:sz="4" w:space="0" w:color="41B7EE"/>
              <w:left w:val="single" w:sz="4" w:space="0" w:color="41B7EE"/>
              <w:bottom w:val="single" w:sz="4" w:space="0" w:color="41B7EE"/>
              <w:right w:val="single" w:sz="4" w:space="0" w:color="41B7EE"/>
            </w:tcBorders>
          </w:tcPr>
          <w:p>
            <w:pPr/>
          </w:p>
        </w:tc>
        <w:tc>
          <w:tcPr>
            <w:tcW w:w="1896" w:type="dxa"/>
            <w:tcBorders>
              <w:top w:val="single" w:sz="4" w:space="0" w:color="41B7EE"/>
              <w:left w:val="single" w:sz="4" w:space="0" w:color="41B7EE"/>
              <w:bottom w:val="single" w:sz="4" w:space="0" w:color="41B7EE"/>
              <w:right w:val="nil" w:sz="6" w:space="0" w:color="auto"/>
            </w:tcBorders>
          </w:tcPr>
          <w:p>
            <w:pP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7" w:lineRule="exact"/>
              <w:ind w:left="268"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）权益法下不能转损益的其他综合收益</w:t>
            </w:r>
          </w:p>
        </w:tc>
        <w:tc>
          <w:tcPr>
            <w:tcW w:w="718" w:type="dxa"/>
            <w:tcBorders>
              <w:top w:val="single" w:sz="4" w:space="0" w:color="41B7EE"/>
              <w:left w:val="single" w:sz="4" w:space="0" w:color="41B7EE"/>
              <w:bottom w:val="single" w:sz="4" w:space="0" w:color="41B7EE"/>
              <w:right w:val="single" w:sz="4" w:space="0" w:color="41B7EE"/>
            </w:tcBorders>
          </w:tcPr>
          <w:p>
            <w:pPr/>
          </w:p>
        </w:tc>
        <w:tc>
          <w:tcPr>
            <w:tcW w:w="1882" w:type="dxa"/>
            <w:tcBorders>
              <w:top w:val="single" w:sz="4" w:space="0" w:color="41B7EE"/>
              <w:left w:val="single" w:sz="4" w:space="0" w:color="41B7EE"/>
              <w:bottom w:val="single" w:sz="4" w:space="0" w:color="41B7EE"/>
              <w:right w:val="single" w:sz="4" w:space="0" w:color="41B7EE"/>
            </w:tcBorders>
          </w:tcPr>
          <w:p>
            <w:pPr/>
          </w:p>
        </w:tc>
        <w:tc>
          <w:tcPr>
            <w:tcW w:w="1896"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5" w:lineRule="exact"/>
              <w:ind w:left="268"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）其他权益工具投资公允价值变动</w:t>
            </w:r>
          </w:p>
        </w:tc>
        <w:tc>
          <w:tcPr>
            <w:tcW w:w="718" w:type="dxa"/>
            <w:tcBorders>
              <w:top w:val="single" w:sz="4" w:space="0" w:color="41B7EE"/>
              <w:left w:val="single" w:sz="4" w:space="0" w:color="41B7EE"/>
              <w:bottom w:val="single" w:sz="4" w:space="0" w:color="41B7EE"/>
              <w:right w:val="single" w:sz="4" w:space="0" w:color="41B7EE"/>
            </w:tcBorders>
          </w:tcPr>
          <w:p>
            <w:pPr/>
          </w:p>
        </w:tc>
        <w:tc>
          <w:tcPr>
            <w:tcW w:w="1882" w:type="dxa"/>
            <w:tcBorders>
              <w:top w:val="single" w:sz="4" w:space="0" w:color="41B7EE"/>
              <w:left w:val="single" w:sz="4" w:space="0" w:color="41B7EE"/>
              <w:bottom w:val="single" w:sz="4" w:space="0" w:color="41B7EE"/>
              <w:right w:val="single" w:sz="4" w:space="0" w:color="41B7EE"/>
            </w:tcBorders>
          </w:tcPr>
          <w:p>
            <w:pPr/>
          </w:p>
        </w:tc>
        <w:tc>
          <w:tcPr>
            <w:tcW w:w="1896"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5" w:lineRule="exact"/>
              <w:ind w:left="268"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）企业自身信用风险公允价值变动</w:t>
            </w:r>
          </w:p>
        </w:tc>
        <w:tc>
          <w:tcPr>
            <w:tcW w:w="718" w:type="dxa"/>
            <w:tcBorders>
              <w:top w:val="single" w:sz="4" w:space="0" w:color="41B7EE"/>
              <w:left w:val="single" w:sz="4" w:space="0" w:color="41B7EE"/>
              <w:bottom w:val="single" w:sz="4" w:space="0" w:color="41B7EE"/>
              <w:right w:val="single" w:sz="4" w:space="0" w:color="41B7EE"/>
            </w:tcBorders>
          </w:tcPr>
          <w:p>
            <w:pPr/>
          </w:p>
        </w:tc>
        <w:tc>
          <w:tcPr>
            <w:tcW w:w="1882" w:type="dxa"/>
            <w:tcBorders>
              <w:top w:val="single" w:sz="4" w:space="0" w:color="41B7EE"/>
              <w:left w:val="single" w:sz="4" w:space="0" w:color="41B7EE"/>
              <w:bottom w:val="single" w:sz="4" w:space="0" w:color="41B7EE"/>
              <w:right w:val="single" w:sz="4" w:space="0" w:color="41B7EE"/>
            </w:tcBorders>
          </w:tcPr>
          <w:p>
            <w:pPr/>
          </w:p>
        </w:tc>
        <w:tc>
          <w:tcPr>
            <w:tcW w:w="1896"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5" w:lineRule="exact"/>
              <w:ind w:left="477"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．将重分类进损益的其他综合收益</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5" w:lineRule="exact"/>
              <w:ind w:right="35"/>
              <w:jc w:val="center"/>
              <w:rPr>
                <w:rFonts w:ascii="Arial" w:hAnsi="Arial" w:cs="Arial" w:eastAsia="Arial" w:hint="default"/>
                <w:sz w:val="21"/>
                <w:szCs w:val="21"/>
              </w:rPr>
            </w:pPr>
            <w:r>
              <w:rPr>
                <w:rFonts w:ascii="宋体" w:hAnsi="宋体" w:cs="宋体" w:eastAsia="宋体" w:hint="default"/>
                <w:spacing w:val="-14"/>
                <w:sz w:val="21"/>
                <w:szCs w:val="21"/>
              </w:rPr>
              <w:t>七、</w:t>
            </w:r>
            <w:r>
              <w:rPr>
                <w:rFonts w:ascii="Arial" w:hAnsi="Arial" w:cs="Arial" w:eastAsia="Arial" w:hint="default"/>
                <w:spacing w:val="-14"/>
                <w:sz w:val="21"/>
                <w:szCs w:val="21"/>
              </w:rPr>
              <w:t>75</w:t>
            </w:r>
            <w:r>
              <w:rPr>
                <w:rFonts w:ascii="Arial" w:hAnsi="Arial" w:cs="Arial" w:eastAsia="Arial" w:hint="default"/>
                <w:sz w:val="21"/>
                <w:szCs w:val="21"/>
              </w:rPr>
            </w:r>
          </w:p>
        </w:tc>
        <w:tc>
          <w:tcPr>
            <w:tcW w:w="18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153,306.00</w:t>
            </w:r>
          </w:p>
        </w:tc>
        <w:tc>
          <w:tcPr>
            <w:tcW w:w="1896"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7" w:lineRule="exact"/>
              <w:ind w:left="268"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）权益法下可转损益的其他综合收益</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7" w:lineRule="exact"/>
              <w:ind w:right="35"/>
              <w:jc w:val="center"/>
              <w:rPr>
                <w:rFonts w:ascii="Arial" w:hAnsi="Arial" w:cs="Arial" w:eastAsia="Arial" w:hint="default"/>
                <w:sz w:val="21"/>
                <w:szCs w:val="21"/>
              </w:rPr>
            </w:pPr>
            <w:r>
              <w:rPr>
                <w:rFonts w:ascii="宋体" w:hAnsi="宋体" w:cs="宋体" w:eastAsia="宋体" w:hint="default"/>
                <w:spacing w:val="-14"/>
                <w:sz w:val="21"/>
                <w:szCs w:val="21"/>
              </w:rPr>
              <w:t>七、</w:t>
            </w:r>
            <w:r>
              <w:rPr>
                <w:rFonts w:ascii="Arial" w:hAnsi="Arial" w:cs="Arial" w:eastAsia="Arial" w:hint="default"/>
                <w:spacing w:val="-14"/>
                <w:sz w:val="21"/>
                <w:szCs w:val="21"/>
              </w:rPr>
              <w:t>75</w:t>
            </w:r>
            <w:r>
              <w:rPr>
                <w:rFonts w:ascii="Arial" w:hAnsi="Arial" w:cs="Arial" w:eastAsia="Arial" w:hint="default"/>
                <w:sz w:val="21"/>
                <w:szCs w:val="21"/>
              </w:rPr>
            </w:r>
          </w:p>
        </w:tc>
        <w:tc>
          <w:tcPr>
            <w:tcW w:w="18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153,306.00</w:t>
            </w:r>
          </w:p>
        </w:tc>
        <w:tc>
          <w:tcPr>
            <w:tcW w:w="1896"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7" w:lineRule="exact"/>
              <w:ind w:left="268"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）其他债权投资公允价值变动</w:t>
            </w:r>
          </w:p>
        </w:tc>
        <w:tc>
          <w:tcPr>
            <w:tcW w:w="718" w:type="dxa"/>
            <w:tcBorders>
              <w:top w:val="single" w:sz="4" w:space="0" w:color="41B7EE"/>
              <w:left w:val="single" w:sz="4" w:space="0" w:color="41B7EE"/>
              <w:bottom w:val="single" w:sz="4" w:space="0" w:color="41B7EE"/>
              <w:right w:val="single" w:sz="4" w:space="0" w:color="41B7EE"/>
            </w:tcBorders>
          </w:tcPr>
          <w:p>
            <w:pPr/>
          </w:p>
        </w:tc>
        <w:tc>
          <w:tcPr>
            <w:tcW w:w="1882" w:type="dxa"/>
            <w:tcBorders>
              <w:top w:val="single" w:sz="4" w:space="0" w:color="41B7EE"/>
              <w:left w:val="single" w:sz="4" w:space="0" w:color="41B7EE"/>
              <w:bottom w:val="single" w:sz="4" w:space="0" w:color="41B7EE"/>
              <w:right w:val="single" w:sz="4" w:space="0" w:color="41B7EE"/>
            </w:tcBorders>
          </w:tcPr>
          <w:p>
            <w:pPr/>
          </w:p>
        </w:tc>
        <w:tc>
          <w:tcPr>
            <w:tcW w:w="1896" w:type="dxa"/>
            <w:tcBorders>
              <w:top w:val="single" w:sz="4" w:space="0" w:color="41B7EE"/>
              <w:left w:val="single" w:sz="4" w:space="0" w:color="41B7EE"/>
              <w:bottom w:val="single" w:sz="4" w:space="0" w:color="41B7EE"/>
              <w:right w:val="nil" w:sz="6" w:space="0" w:color="auto"/>
            </w:tcBorders>
          </w:tcPr>
          <w:p>
            <w:pP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7" w:lineRule="exact"/>
              <w:ind w:left="268"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）可供出售金融资产公允价值变动损益</w:t>
            </w:r>
          </w:p>
        </w:tc>
        <w:tc>
          <w:tcPr>
            <w:tcW w:w="718" w:type="dxa"/>
            <w:tcBorders>
              <w:top w:val="single" w:sz="4" w:space="0" w:color="41B7EE"/>
              <w:left w:val="single" w:sz="4" w:space="0" w:color="41B7EE"/>
              <w:bottom w:val="single" w:sz="4" w:space="0" w:color="41B7EE"/>
              <w:right w:val="single" w:sz="4" w:space="0" w:color="41B7EE"/>
            </w:tcBorders>
          </w:tcPr>
          <w:p>
            <w:pPr/>
          </w:p>
        </w:tc>
        <w:tc>
          <w:tcPr>
            <w:tcW w:w="1882" w:type="dxa"/>
            <w:tcBorders>
              <w:top w:val="single" w:sz="4" w:space="0" w:color="41B7EE"/>
              <w:left w:val="single" w:sz="4" w:space="0" w:color="41B7EE"/>
              <w:bottom w:val="single" w:sz="4" w:space="0" w:color="41B7EE"/>
              <w:right w:val="single" w:sz="4" w:space="0" w:color="41B7EE"/>
            </w:tcBorders>
          </w:tcPr>
          <w:p>
            <w:pPr/>
          </w:p>
        </w:tc>
        <w:tc>
          <w:tcPr>
            <w:tcW w:w="1896"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5" w:lineRule="exact"/>
              <w:ind w:right="185"/>
              <w:jc w:val="right"/>
              <w:rPr>
                <w:rFonts w:ascii="宋体" w:hAnsi="宋体" w:cs="宋体" w:eastAsia="宋体" w:hint="default"/>
                <w:sz w:val="21"/>
                <w:szCs w:val="21"/>
              </w:rPr>
            </w:pPr>
            <w:r>
              <w:rPr>
                <w:rFonts w:ascii="宋体" w:hAnsi="宋体" w:cs="宋体" w:eastAsia="宋体" w:hint="default"/>
                <w:spacing w:val="-17"/>
                <w:sz w:val="21"/>
                <w:szCs w:val="21"/>
              </w:rPr>
              <w:t>（</w:t>
            </w:r>
            <w:r>
              <w:rPr>
                <w:rFonts w:ascii="Arial" w:hAnsi="Arial" w:cs="Arial" w:eastAsia="Arial" w:hint="default"/>
                <w:spacing w:val="-17"/>
                <w:sz w:val="21"/>
                <w:szCs w:val="21"/>
              </w:rPr>
              <w:t>4</w:t>
            </w:r>
            <w:r>
              <w:rPr>
                <w:rFonts w:ascii="宋体" w:hAnsi="宋体" w:cs="宋体" w:eastAsia="宋体" w:hint="default"/>
                <w:spacing w:val="-17"/>
                <w:sz w:val="21"/>
                <w:szCs w:val="21"/>
              </w:rPr>
              <w:t>）金融资产重分类计入其他综合收益的金额</w:t>
            </w:r>
            <w:r>
              <w:rPr>
                <w:rFonts w:ascii="宋体" w:hAnsi="宋体" w:cs="宋体" w:eastAsia="宋体" w:hint="default"/>
                <w:sz w:val="21"/>
                <w:szCs w:val="21"/>
              </w:rPr>
            </w:r>
          </w:p>
        </w:tc>
        <w:tc>
          <w:tcPr>
            <w:tcW w:w="718" w:type="dxa"/>
            <w:tcBorders>
              <w:top w:val="single" w:sz="4" w:space="0" w:color="41B7EE"/>
              <w:left w:val="single" w:sz="4" w:space="0" w:color="41B7EE"/>
              <w:bottom w:val="single" w:sz="4" w:space="0" w:color="41B7EE"/>
              <w:right w:val="single" w:sz="4" w:space="0" w:color="41B7EE"/>
            </w:tcBorders>
          </w:tcPr>
          <w:p>
            <w:pPr/>
          </w:p>
        </w:tc>
        <w:tc>
          <w:tcPr>
            <w:tcW w:w="1882" w:type="dxa"/>
            <w:tcBorders>
              <w:top w:val="single" w:sz="4" w:space="0" w:color="41B7EE"/>
              <w:left w:val="single" w:sz="4" w:space="0" w:color="41B7EE"/>
              <w:bottom w:val="single" w:sz="4" w:space="0" w:color="41B7EE"/>
              <w:right w:val="single" w:sz="4" w:space="0" w:color="41B7EE"/>
            </w:tcBorders>
          </w:tcPr>
          <w:p>
            <w:pPr/>
          </w:p>
        </w:tc>
        <w:tc>
          <w:tcPr>
            <w:tcW w:w="1896" w:type="dxa"/>
            <w:tcBorders>
              <w:top w:val="single" w:sz="4" w:space="0" w:color="41B7EE"/>
              <w:left w:val="single" w:sz="4" w:space="0" w:color="41B7EE"/>
              <w:bottom w:val="single" w:sz="4" w:space="0" w:color="41B7EE"/>
              <w:right w:val="nil" w:sz="6" w:space="0" w:color="auto"/>
            </w:tcBorders>
          </w:tcPr>
          <w:p>
            <w:pPr/>
          </w:p>
        </w:tc>
      </w:tr>
      <w:tr>
        <w:trPr>
          <w:trHeight w:val="55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46" w:lineRule="exact"/>
              <w:ind w:left="268"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5</w:t>
            </w:r>
            <w:r>
              <w:rPr>
                <w:rFonts w:ascii="宋体" w:hAnsi="宋体" w:cs="宋体" w:eastAsia="宋体" w:hint="default"/>
                <w:sz w:val="21"/>
                <w:szCs w:val="21"/>
              </w:rPr>
              <w:t>）持有至到期投资重分类为可供出售金融</w:t>
            </w:r>
          </w:p>
          <w:p>
            <w:pPr>
              <w:pStyle w:val="TableParagraph"/>
              <w:spacing w:line="266" w:lineRule="exact"/>
              <w:ind w:left="57" w:right="0"/>
              <w:jc w:val="left"/>
              <w:rPr>
                <w:rFonts w:ascii="宋体" w:hAnsi="宋体" w:cs="宋体" w:eastAsia="宋体" w:hint="default"/>
                <w:sz w:val="21"/>
                <w:szCs w:val="21"/>
              </w:rPr>
            </w:pPr>
            <w:r>
              <w:rPr>
                <w:rFonts w:ascii="宋体" w:hAnsi="宋体" w:cs="宋体" w:eastAsia="宋体" w:hint="default"/>
                <w:sz w:val="21"/>
                <w:szCs w:val="21"/>
              </w:rPr>
              <w:t>资产损益</w:t>
            </w:r>
          </w:p>
        </w:tc>
        <w:tc>
          <w:tcPr>
            <w:tcW w:w="718" w:type="dxa"/>
            <w:tcBorders>
              <w:top w:val="single" w:sz="4" w:space="0" w:color="41B7EE"/>
              <w:left w:val="single" w:sz="4" w:space="0" w:color="41B7EE"/>
              <w:bottom w:val="single" w:sz="4" w:space="0" w:color="41B7EE"/>
              <w:right w:val="single" w:sz="4" w:space="0" w:color="41B7EE"/>
            </w:tcBorders>
          </w:tcPr>
          <w:p>
            <w:pPr/>
          </w:p>
        </w:tc>
        <w:tc>
          <w:tcPr>
            <w:tcW w:w="1882" w:type="dxa"/>
            <w:tcBorders>
              <w:top w:val="single" w:sz="4" w:space="0" w:color="41B7EE"/>
              <w:left w:val="single" w:sz="4" w:space="0" w:color="41B7EE"/>
              <w:bottom w:val="single" w:sz="4" w:space="0" w:color="41B7EE"/>
              <w:right w:val="single" w:sz="4" w:space="0" w:color="41B7EE"/>
            </w:tcBorders>
          </w:tcPr>
          <w:p>
            <w:pPr/>
          </w:p>
        </w:tc>
        <w:tc>
          <w:tcPr>
            <w:tcW w:w="1896"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5" w:lineRule="exact"/>
              <w:ind w:left="268"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6</w:t>
            </w:r>
            <w:r>
              <w:rPr>
                <w:rFonts w:ascii="宋体" w:hAnsi="宋体" w:cs="宋体" w:eastAsia="宋体" w:hint="default"/>
                <w:sz w:val="21"/>
                <w:szCs w:val="21"/>
              </w:rPr>
              <w:t>）其他债权投资信用减值准备</w:t>
            </w:r>
          </w:p>
        </w:tc>
        <w:tc>
          <w:tcPr>
            <w:tcW w:w="718" w:type="dxa"/>
            <w:tcBorders>
              <w:top w:val="single" w:sz="4" w:space="0" w:color="41B7EE"/>
              <w:left w:val="single" w:sz="4" w:space="0" w:color="41B7EE"/>
              <w:bottom w:val="single" w:sz="4" w:space="0" w:color="41B7EE"/>
              <w:right w:val="single" w:sz="4" w:space="0" w:color="41B7EE"/>
            </w:tcBorders>
          </w:tcPr>
          <w:p>
            <w:pPr/>
          </w:p>
        </w:tc>
        <w:tc>
          <w:tcPr>
            <w:tcW w:w="1882" w:type="dxa"/>
            <w:tcBorders>
              <w:top w:val="single" w:sz="4" w:space="0" w:color="41B7EE"/>
              <w:left w:val="single" w:sz="4" w:space="0" w:color="41B7EE"/>
              <w:bottom w:val="single" w:sz="4" w:space="0" w:color="41B7EE"/>
              <w:right w:val="single" w:sz="4" w:space="0" w:color="41B7EE"/>
            </w:tcBorders>
          </w:tcPr>
          <w:p>
            <w:pPr/>
          </w:p>
        </w:tc>
        <w:tc>
          <w:tcPr>
            <w:tcW w:w="1896" w:type="dxa"/>
            <w:tcBorders>
              <w:top w:val="single" w:sz="4" w:space="0" w:color="41B7EE"/>
              <w:left w:val="single" w:sz="4" w:space="0" w:color="41B7EE"/>
              <w:bottom w:val="single" w:sz="4" w:space="0" w:color="41B7EE"/>
              <w:right w:val="nil" w:sz="6" w:space="0" w:color="auto"/>
            </w:tcBorders>
          </w:tcPr>
          <w:p>
            <w:pPr/>
          </w:p>
        </w:tc>
      </w:tr>
      <w:tr>
        <w:trPr>
          <w:trHeight w:val="55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48" w:lineRule="exact"/>
              <w:ind w:left="268"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7</w:t>
            </w:r>
            <w:r>
              <w:rPr>
                <w:rFonts w:ascii="宋体" w:hAnsi="宋体" w:cs="宋体" w:eastAsia="宋体" w:hint="default"/>
                <w:sz w:val="21"/>
                <w:szCs w:val="21"/>
              </w:rPr>
              <w:t>）现金流量套期储备（现金流量套期损益</w:t>
            </w:r>
          </w:p>
          <w:p>
            <w:pPr>
              <w:pStyle w:val="TableParagraph"/>
              <w:spacing w:line="267" w:lineRule="exact"/>
              <w:ind w:left="57" w:right="0"/>
              <w:jc w:val="left"/>
              <w:rPr>
                <w:rFonts w:ascii="宋体" w:hAnsi="宋体" w:cs="宋体" w:eastAsia="宋体" w:hint="default"/>
                <w:sz w:val="21"/>
                <w:szCs w:val="21"/>
              </w:rPr>
            </w:pPr>
            <w:r>
              <w:rPr>
                <w:rFonts w:ascii="宋体" w:hAnsi="宋体" w:cs="宋体" w:eastAsia="宋体" w:hint="default"/>
                <w:sz w:val="21"/>
                <w:szCs w:val="21"/>
              </w:rPr>
              <w:t>的有效部分）</w:t>
            </w:r>
          </w:p>
        </w:tc>
        <w:tc>
          <w:tcPr>
            <w:tcW w:w="718" w:type="dxa"/>
            <w:tcBorders>
              <w:top w:val="single" w:sz="4" w:space="0" w:color="41B7EE"/>
              <w:left w:val="single" w:sz="4" w:space="0" w:color="41B7EE"/>
              <w:bottom w:val="single" w:sz="4" w:space="0" w:color="41B7EE"/>
              <w:right w:val="single" w:sz="4" w:space="0" w:color="41B7EE"/>
            </w:tcBorders>
          </w:tcPr>
          <w:p>
            <w:pPr/>
          </w:p>
        </w:tc>
        <w:tc>
          <w:tcPr>
            <w:tcW w:w="1882" w:type="dxa"/>
            <w:tcBorders>
              <w:top w:val="single" w:sz="4" w:space="0" w:color="41B7EE"/>
              <w:left w:val="single" w:sz="4" w:space="0" w:color="41B7EE"/>
              <w:bottom w:val="single" w:sz="4" w:space="0" w:color="41B7EE"/>
              <w:right w:val="single" w:sz="4" w:space="0" w:color="41B7EE"/>
            </w:tcBorders>
          </w:tcPr>
          <w:p>
            <w:pPr/>
          </w:p>
        </w:tc>
        <w:tc>
          <w:tcPr>
            <w:tcW w:w="1896"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8" w:lineRule="exact"/>
              <w:ind w:left="268"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8</w:t>
            </w:r>
            <w:r>
              <w:rPr>
                <w:rFonts w:ascii="宋体" w:hAnsi="宋体" w:cs="宋体" w:eastAsia="宋体" w:hint="default"/>
                <w:sz w:val="21"/>
                <w:szCs w:val="21"/>
              </w:rPr>
              <w:t>）外币财务报表折算差额</w:t>
            </w:r>
          </w:p>
        </w:tc>
        <w:tc>
          <w:tcPr>
            <w:tcW w:w="718" w:type="dxa"/>
            <w:tcBorders>
              <w:top w:val="single" w:sz="4" w:space="0" w:color="41B7EE"/>
              <w:left w:val="single" w:sz="4" w:space="0" w:color="41B7EE"/>
              <w:bottom w:val="single" w:sz="4" w:space="0" w:color="41B7EE"/>
              <w:right w:val="single" w:sz="4" w:space="0" w:color="41B7EE"/>
            </w:tcBorders>
          </w:tcPr>
          <w:p>
            <w:pPr/>
          </w:p>
        </w:tc>
        <w:tc>
          <w:tcPr>
            <w:tcW w:w="1882" w:type="dxa"/>
            <w:tcBorders>
              <w:top w:val="single" w:sz="4" w:space="0" w:color="41B7EE"/>
              <w:left w:val="single" w:sz="4" w:space="0" w:color="41B7EE"/>
              <w:bottom w:val="single" w:sz="4" w:space="0" w:color="41B7EE"/>
              <w:right w:val="single" w:sz="4" w:space="0" w:color="41B7EE"/>
            </w:tcBorders>
          </w:tcPr>
          <w:p>
            <w:pPr/>
          </w:p>
        </w:tc>
        <w:tc>
          <w:tcPr>
            <w:tcW w:w="1896" w:type="dxa"/>
            <w:tcBorders>
              <w:top w:val="single" w:sz="4" w:space="0" w:color="41B7EE"/>
              <w:left w:val="single" w:sz="4" w:space="0" w:color="41B7EE"/>
              <w:bottom w:val="single" w:sz="4" w:space="0" w:color="41B7EE"/>
              <w:right w:val="nil" w:sz="6" w:space="0" w:color="auto"/>
            </w:tcBorders>
          </w:tcPr>
          <w:p>
            <w:pP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7" w:lineRule="exact"/>
              <w:ind w:left="268"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9</w:t>
            </w:r>
            <w:r>
              <w:rPr>
                <w:rFonts w:ascii="宋体" w:hAnsi="宋体" w:cs="宋体" w:eastAsia="宋体" w:hint="default"/>
                <w:sz w:val="21"/>
                <w:szCs w:val="21"/>
              </w:rPr>
              <w:t>）其他</w:t>
            </w:r>
          </w:p>
        </w:tc>
        <w:tc>
          <w:tcPr>
            <w:tcW w:w="718" w:type="dxa"/>
            <w:tcBorders>
              <w:top w:val="single" w:sz="4" w:space="0" w:color="41B7EE"/>
              <w:left w:val="single" w:sz="4" w:space="0" w:color="41B7EE"/>
              <w:bottom w:val="single" w:sz="4" w:space="0" w:color="41B7EE"/>
              <w:right w:val="single" w:sz="4" w:space="0" w:color="41B7EE"/>
            </w:tcBorders>
          </w:tcPr>
          <w:p>
            <w:pPr/>
          </w:p>
        </w:tc>
        <w:tc>
          <w:tcPr>
            <w:tcW w:w="1882" w:type="dxa"/>
            <w:tcBorders>
              <w:top w:val="single" w:sz="4" w:space="0" w:color="41B7EE"/>
              <w:left w:val="single" w:sz="4" w:space="0" w:color="41B7EE"/>
              <w:bottom w:val="single" w:sz="4" w:space="0" w:color="41B7EE"/>
              <w:right w:val="single" w:sz="4" w:space="0" w:color="41B7EE"/>
            </w:tcBorders>
          </w:tcPr>
          <w:p>
            <w:pPr/>
          </w:p>
        </w:tc>
        <w:tc>
          <w:tcPr>
            <w:tcW w:w="1896" w:type="dxa"/>
            <w:tcBorders>
              <w:top w:val="single" w:sz="4" w:space="0" w:color="41B7EE"/>
              <w:left w:val="single" w:sz="4" w:space="0" w:color="41B7EE"/>
              <w:bottom w:val="single" w:sz="4" w:space="0" w:color="41B7EE"/>
              <w:right w:val="nil" w:sz="6" w:space="0" w:color="auto"/>
            </w:tcBorders>
          </w:tcPr>
          <w:p>
            <w:pPr/>
          </w:p>
        </w:tc>
      </w:tr>
      <w:tr>
        <w:trPr>
          <w:trHeight w:val="55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39" w:lineRule="exact"/>
              <w:ind w:left="268" w:right="0"/>
              <w:jc w:val="left"/>
              <w:rPr>
                <w:rFonts w:ascii="宋体" w:hAnsi="宋体" w:cs="宋体" w:eastAsia="宋体" w:hint="default"/>
                <w:sz w:val="21"/>
                <w:szCs w:val="21"/>
              </w:rPr>
            </w:pPr>
            <w:r>
              <w:rPr>
                <w:rFonts w:ascii="宋体" w:hAnsi="宋体" w:cs="宋体" w:eastAsia="宋体" w:hint="default"/>
                <w:spacing w:val="-5"/>
                <w:sz w:val="21"/>
                <w:szCs w:val="21"/>
              </w:rPr>
              <w:t>（二）归属于少数股东的其他综合收益的税后</w:t>
            </w:r>
          </w:p>
          <w:p>
            <w:pPr>
              <w:pStyle w:val="TableParagraph"/>
              <w:spacing w:line="273" w:lineRule="exact"/>
              <w:ind w:left="57"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718" w:type="dxa"/>
            <w:tcBorders>
              <w:top w:val="single" w:sz="4" w:space="0" w:color="41B7EE"/>
              <w:left w:val="single" w:sz="4" w:space="0" w:color="41B7EE"/>
              <w:bottom w:val="single" w:sz="4" w:space="0" w:color="41B7EE"/>
              <w:right w:val="single" w:sz="4" w:space="0" w:color="41B7EE"/>
            </w:tcBorders>
          </w:tcPr>
          <w:p>
            <w:pPr/>
          </w:p>
        </w:tc>
        <w:tc>
          <w:tcPr>
            <w:tcW w:w="1882" w:type="dxa"/>
            <w:tcBorders>
              <w:top w:val="single" w:sz="4" w:space="0" w:color="41B7EE"/>
              <w:left w:val="single" w:sz="4" w:space="0" w:color="41B7EE"/>
              <w:bottom w:val="single" w:sz="4" w:space="0" w:color="41B7EE"/>
              <w:right w:val="single" w:sz="4" w:space="0" w:color="41B7EE"/>
            </w:tcBorders>
          </w:tcPr>
          <w:p>
            <w:pPr/>
          </w:p>
        </w:tc>
        <w:tc>
          <w:tcPr>
            <w:tcW w:w="1896"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718" w:type="dxa"/>
            <w:tcBorders>
              <w:top w:val="single" w:sz="4" w:space="0" w:color="41B7EE"/>
              <w:left w:val="single" w:sz="4" w:space="0" w:color="41B7EE"/>
              <w:bottom w:val="single" w:sz="4" w:space="0" w:color="41B7EE"/>
              <w:right w:val="single" w:sz="4" w:space="0" w:color="41B7EE"/>
            </w:tcBorders>
          </w:tcPr>
          <w:p>
            <w:pPr/>
          </w:p>
        </w:tc>
        <w:tc>
          <w:tcPr>
            <w:tcW w:w="18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833,721,829.25</w:t>
            </w:r>
          </w:p>
        </w:tc>
        <w:tc>
          <w:tcPr>
            <w:tcW w:w="189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915,296,085.29</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right="182"/>
              <w:jc w:val="right"/>
              <w:rPr>
                <w:rFonts w:ascii="宋体" w:hAnsi="宋体" w:cs="宋体" w:eastAsia="宋体" w:hint="default"/>
                <w:sz w:val="21"/>
                <w:szCs w:val="21"/>
              </w:rPr>
            </w:pPr>
            <w:r>
              <w:rPr>
                <w:rFonts w:ascii="宋体" w:hAnsi="宋体" w:cs="宋体" w:eastAsia="宋体" w:hint="default"/>
                <w:spacing w:val="-2"/>
                <w:sz w:val="21"/>
                <w:szCs w:val="21"/>
              </w:rPr>
              <w:t>（一）归属于母公司所有者的综合收益总额</w:t>
            </w:r>
          </w:p>
        </w:tc>
        <w:tc>
          <w:tcPr>
            <w:tcW w:w="718" w:type="dxa"/>
            <w:tcBorders>
              <w:top w:val="single" w:sz="4" w:space="0" w:color="41B7EE"/>
              <w:left w:val="single" w:sz="4" w:space="0" w:color="41B7EE"/>
              <w:bottom w:val="single" w:sz="4" w:space="0" w:color="41B7EE"/>
              <w:right w:val="single" w:sz="4" w:space="0" w:color="41B7EE"/>
            </w:tcBorders>
          </w:tcPr>
          <w:p>
            <w:pPr/>
          </w:p>
        </w:tc>
        <w:tc>
          <w:tcPr>
            <w:tcW w:w="18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848,768,679.80</w:t>
            </w:r>
          </w:p>
        </w:tc>
        <w:tc>
          <w:tcPr>
            <w:tcW w:w="189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976,475,573.91</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（二）归属于少数股东的综合收益总额</w:t>
            </w:r>
          </w:p>
        </w:tc>
        <w:tc>
          <w:tcPr>
            <w:tcW w:w="718" w:type="dxa"/>
            <w:tcBorders>
              <w:top w:val="single" w:sz="4" w:space="0" w:color="41B7EE"/>
              <w:left w:val="single" w:sz="4" w:space="0" w:color="41B7EE"/>
              <w:bottom w:val="single" w:sz="4" w:space="0" w:color="41B7EE"/>
              <w:right w:val="single" w:sz="4" w:space="0" w:color="41B7EE"/>
            </w:tcBorders>
          </w:tcPr>
          <w:p>
            <w:pPr/>
          </w:p>
        </w:tc>
        <w:tc>
          <w:tcPr>
            <w:tcW w:w="18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-15,046,850.55</w:t>
            </w:r>
          </w:p>
        </w:tc>
        <w:tc>
          <w:tcPr>
            <w:tcW w:w="189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-61,179,488.62</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57"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718" w:type="dxa"/>
            <w:tcBorders>
              <w:top w:val="single" w:sz="4" w:space="0" w:color="41B7EE"/>
              <w:left w:val="single" w:sz="4" w:space="0" w:color="41B7EE"/>
              <w:bottom w:val="single" w:sz="4" w:space="0" w:color="41B7EE"/>
              <w:right w:val="single" w:sz="4" w:space="0" w:color="41B7EE"/>
            </w:tcBorders>
          </w:tcPr>
          <w:p>
            <w:pPr/>
          </w:p>
        </w:tc>
        <w:tc>
          <w:tcPr>
            <w:tcW w:w="1882" w:type="dxa"/>
            <w:tcBorders>
              <w:top w:val="single" w:sz="4" w:space="0" w:color="41B7EE"/>
              <w:left w:val="single" w:sz="4" w:space="0" w:color="41B7EE"/>
              <w:bottom w:val="single" w:sz="4" w:space="0" w:color="41B7EE"/>
              <w:right w:val="single" w:sz="4" w:space="0" w:color="41B7EE"/>
            </w:tcBorders>
          </w:tcPr>
          <w:p>
            <w:pPr/>
          </w:p>
        </w:tc>
        <w:tc>
          <w:tcPr>
            <w:tcW w:w="1896" w:type="dxa"/>
            <w:tcBorders>
              <w:top w:val="single" w:sz="4" w:space="0" w:color="41B7EE"/>
              <w:left w:val="single" w:sz="4" w:space="0" w:color="41B7EE"/>
              <w:bottom w:val="single" w:sz="4" w:space="0" w:color="41B7EE"/>
              <w:right w:val="nil" w:sz="6" w:space="0" w:color="auto"/>
            </w:tcBorders>
          </w:tcPr>
          <w:p>
            <w:pPr>
              <w:pStyle w:val="TableParagraph"/>
              <w:spacing w:line="258" w:lineRule="exact"/>
              <w:ind w:right="-49"/>
              <w:jc w:val="right"/>
              <w:rPr>
                <w:rFonts w:ascii="宋体" w:hAnsi="宋体" w:cs="宋体" w:eastAsia="宋体" w:hint="default"/>
                <w:sz w:val="21"/>
                <w:szCs w:val="21"/>
              </w:rPr>
            </w:pPr>
            <w:r>
              <w:rPr>
                <w:rFonts w:ascii="宋体"/>
                <w:w w:val="100"/>
                <w:sz w:val="21"/>
              </w:rPr>
              <w:t> </w:t>
            </w: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7" w:lineRule="exact"/>
              <w:ind w:left="268" w:right="0"/>
              <w:jc w:val="left"/>
              <w:rPr>
                <w:rFonts w:ascii="Arial" w:hAnsi="Arial" w:cs="Arial" w:eastAsia="Arial" w:hint="default"/>
                <w:sz w:val="21"/>
                <w:szCs w:val="21"/>
              </w:rPr>
            </w:pPr>
            <w:r>
              <w:rPr>
                <w:rFonts w:ascii="宋体" w:hAnsi="宋体" w:cs="宋体" w:eastAsia="宋体" w:hint="default"/>
                <w:sz w:val="21"/>
                <w:szCs w:val="21"/>
              </w:rPr>
              <w:t>（一）基本每股收益（元</w:t>
            </w:r>
            <w:r>
              <w:rPr>
                <w:rFonts w:ascii="Arial" w:hAnsi="Arial" w:cs="Arial" w:eastAsia="Arial" w:hint="default"/>
                <w:sz w:val="21"/>
                <w:szCs w:val="21"/>
              </w:rPr>
              <w:t>/</w:t>
            </w:r>
            <w:r>
              <w:rPr>
                <w:rFonts w:ascii="宋体" w:hAnsi="宋体" w:cs="宋体" w:eastAsia="宋体" w:hint="default"/>
                <w:sz w:val="21"/>
                <w:szCs w:val="21"/>
              </w:rPr>
              <w:t>股</w:t>
            </w:r>
            <w:r>
              <w:rPr>
                <w:rFonts w:ascii="Arial" w:hAnsi="Arial" w:cs="Arial" w:eastAsia="Arial" w:hint="default"/>
                <w:sz w:val="21"/>
                <w:szCs w:val="21"/>
              </w:rPr>
              <w:t>)</w:t>
            </w:r>
          </w:p>
        </w:tc>
        <w:tc>
          <w:tcPr>
            <w:tcW w:w="718" w:type="dxa"/>
            <w:tcBorders>
              <w:top w:val="single" w:sz="4" w:space="0" w:color="41B7EE"/>
              <w:left w:val="single" w:sz="4" w:space="0" w:color="41B7EE"/>
              <w:bottom w:val="single" w:sz="4" w:space="0" w:color="41B7EE"/>
              <w:right w:val="single" w:sz="4" w:space="0" w:color="41B7EE"/>
            </w:tcBorders>
          </w:tcPr>
          <w:p>
            <w:pPr/>
          </w:p>
        </w:tc>
        <w:tc>
          <w:tcPr>
            <w:tcW w:w="18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0.477</w:t>
            </w:r>
          </w:p>
        </w:tc>
        <w:tc>
          <w:tcPr>
            <w:tcW w:w="189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0.549</w:t>
            </w:r>
          </w:p>
        </w:tc>
      </w:tr>
      <w:tr>
        <w:trPr>
          <w:trHeight w:val="348" w:hRule="exact"/>
        </w:trPr>
        <w:tc>
          <w:tcPr>
            <w:tcW w:w="4453" w:type="dxa"/>
            <w:tcBorders>
              <w:top w:val="single" w:sz="4" w:space="0" w:color="41B7EE"/>
              <w:left w:val="nil" w:sz="6" w:space="0" w:color="auto"/>
              <w:bottom w:val="single" w:sz="23" w:space="0" w:color="41B7EE"/>
              <w:right w:val="single" w:sz="4" w:space="0" w:color="41B7EE"/>
            </w:tcBorders>
          </w:tcPr>
          <w:p>
            <w:pPr>
              <w:pStyle w:val="TableParagraph"/>
              <w:spacing w:line="275" w:lineRule="exact"/>
              <w:ind w:left="268" w:right="0"/>
              <w:jc w:val="left"/>
              <w:rPr>
                <w:rFonts w:ascii="Arial" w:hAnsi="Arial" w:cs="Arial" w:eastAsia="Arial" w:hint="default"/>
                <w:sz w:val="21"/>
                <w:szCs w:val="21"/>
              </w:rPr>
            </w:pPr>
            <w:r>
              <w:rPr>
                <w:rFonts w:ascii="宋体" w:hAnsi="宋体" w:cs="宋体" w:eastAsia="宋体" w:hint="default"/>
                <w:sz w:val="21"/>
                <w:szCs w:val="21"/>
              </w:rPr>
              <w:t>（二）稀释每股收益（元</w:t>
            </w:r>
            <w:r>
              <w:rPr>
                <w:rFonts w:ascii="Arial" w:hAnsi="Arial" w:cs="Arial" w:eastAsia="Arial" w:hint="default"/>
                <w:sz w:val="21"/>
                <w:szCs w:val="21"/>
              </w:rPr>
              <w:t>/</w:t>
            </w:r>
            <w:r>
              <w:rPr>
                <w:rFonts w:ascii="宋体" w:hAnsi="宋体" w:cs="宋体" w:eastAsia="宋体" w:hint="default"/>
                <w:sz w:val="21"/>
                <w:szCs w:val="21"/>
              </w:rPr>
              <w:t>股</w:t>
            </w:r>
            <w:r>
              <w:rPr>
                <w:rFonts w:ascii="Arial" w:hAnsi="Arial" w:cs="Arial" w:eastAsia="Arial" w:hint="default"/>
                <w:sz w:val="21"/>
                <w:szCs w:val="21"/>
              </w:rPr>
              <w:t>)</w:t>
            </w:r>
          </w:p>
        </w:tc>
        <w:tc>
          <w:tcPr>
            <w:tcW w:w="718" w:type="dxa"/>
            <w:tcBorders>
              <w:top w:val="single" w:sz="4" w:space="0" w:color="41B7EE"/>
              <w:left w:val="single" w:sz="4" w:space="0" w:color="41B7EE"/>
              <w:bottom w:val="single" w:sz="23" w:space="0" w:color="41B7EE"/>
              <w:right w:val="single" w:sz="4" w:space="0" w:color="41B7EE"/>
            </w:tcBorders>
          </w:tcPr>
          <w:p>
            <w:pPr/>
          </w:p>
        </w:tc>
        <w:tc>
          <w:tcPr>
            <w:tcW w:w="1882"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0.477</w:t>
            </w:r>
          </w:p>
        </w:tc>
        <w:tc>
          <w:tcPr>
            <w:tcW w:w="1896"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28"/>
              <w:ind w:right="53"/>
              <w:jc w:val="right"/>
              <w:rPr>
                <w:rFonts w:ascii="Arial" w:hAnsi="Arial" w:cs="Arial" w:eastAsia="Arial" w:hint="default"/>
                <w:sz w:val="21"/>
                <w:szCs w:val="21"/>
              </w:rPr>
            </w:pPr>
            <w:r>
              <w:rPr>
                <w:rFonts w:ascii="Arial"/>
                <w:spacing w:val="-1"/>
                <w:sz w:val="21"/>
              </w:rPr>
              <w:t>0.549</w:t>
            </w:r>
          </w:p>
        </w:tc>
      </w:tr>
    </w:tbl>
    <w:p>
      <w:pPr>
        <w:pStyle w:val="BodyText"/>
        <w:spacing w:line="239" w:lineRule="exact"/>
        <w:ind w:left="198" w:right="0"/>
        <w:jc w:val="left"/>
        <w:rPr>
          <w:rFonts w:ascii="宋体" w:hAnsi="宋体" w:cs="宋体" w:eastAsia="宋体" w:hint="default"/>
        </w:rPr>
      </w:pPr>
      <w:r>
        <w:rPr>
          <w:rFonts w:ascii="宋体"/>
          <w:w w:val="100"/>
        </w:rPr>
        <w:t> </w:t>
      </w:r>
    </w:p>
    <w:p>
      <w:pPr>
        <w:pStyle w:val="BodyText"/>
        <w:spacing w:line="273" w:lineRule="exact"/>
        <w:ind w:left="198" w:right="0"/>
        <w:jc w:val="left"/>
        <w:rPr>
          <w:rFonts w:ascii="宋体" w:hAnsi="宋体" w:cs="宋体" w:eastAsia="宋体" w:hint="default"/>
        </w:rPr>
      </w:pPr>
      <w:r>
        <w:rPr/>
        <w:t>定代表人：刘长友主管会计工作负责人：贺天元、总会计师及会计机构负责人：葛树峰</w:t>
      </w:r>
      <w:r>
        <w:rPr>
          <w:rFonts w:ascii="宋体" w:hAnsi="宋体" w:cs="宋体" w:eastAsia="宋体" w:hint="default"/>
        </w:rPr>
        <w:t> </w:t>
      </w:r>
    </w:p>
    <w:p>
      <w:pPr>
        <w:pStyle w:val="BodyText"/>
        <w:spacing w:line="274" w:lineRule="exact"/>
        <w:ind w:left="198" w:right="0"/>
        <w:jc w:val="left"/>
        <w:rPr>
          <w:rFonts w:ascii="宋体" w:hAnsi="宋体" w:cs="宋体" w:eastAsia="宋体" w:hint="default"/>
        </w:rPr>
      </w:pPr>
      <w:r>
        <w:rPr>
          <w:rFonts w:ascii="宋体"/>
          <w:color w:val="FF0000"/>
          <w:w w:val="100"/>
        </w:rPr>
        <w:t> </w:t>
      </w:r>
      <w:r>
        <w:rPr>
          <w:rFonts w:ascii="宋体"/>
          <w:w w:val="100"/>
        </w:rPr>
      </w:r>
    </w:p>
    <w:p>
      <w:pPr>
        <w:spacing w:after="0" w:line="274" w:lineRule="exact"/>
        <w:jc w:val="left"/>
        <w:rPr>
          <w:rFonts w:ascii="宋体" w:hAnsi="宋体" w:cs="宋体" w:eastAsia="宋体" w:hint="default"/>
        </w:rPr>
        <w:sectPr>
          <w:footerReference w:type="default" r:id="rId44"/>
          <w:pgSz w:w="11910" w:h="16840"/>
          <w:pgMar w:footer="1348" w:header="821" w:top="1360" w:bottom="1540" w:left="1600" w:right="1040"/>
          <w:pgNumType w:start="71"/>
        </w:sectPr>
      </w:pPr>
    </w:p>
    <w:p>
      <w:pPr>
        <w:pStyle w:val="Heading2"/>
        <w:spacing w:line="240" w:lineRule="auto"/>
        <w:ind w:left="0" w:right="168"/>
        <w:jc w:val="right"/>
        <w:rPr>
          <w:b w:val="0"/>
          <w:bCs w:val="0"/>
        </w:rPr>
      </w:pPr>
      <w:r>
        <w:rPr/>
        <w:t>母公司利润表</w:t>
      </w:r>
      <w:r>
        <w:rPr>
          <w:b w:val="0"/>
          <w:bCs w:val="0"/>
        </w:rPr>
      </w:r>
    </w:p>
    <w:p>
      <w:pPr>
        <w:pStyle w:val="BodyText"/>
        <w:spacing w:line="240" w:lineRule="auto" w:before="58"/>
        <w:ind w:left="0" w:right="0"/>
        <w:jc w:val="right"/>
      </w:pPr>
      <w:r>
        <w:rPr>
          <w:rFonts w:ascii="Arial" w:hAnsi="Arial" w:cs="Arial" w:eastAsia="Arial" w:hint="default"/>
        </w:rPr>
        <w:t>2019</w:t>
      </w:r>
      <w:r>
        <w:rPr>
          <w:rFonts w:ascii="Arial" w:hAnsi="Arial" w:cs="Arial" w:eastAsia="Arial" w:hint="default"/>
          <w:spacing w:val="-8"/>
        </w:rPr>
        <w:t> </w:t>
      </w:r>
      <w:r>
        <w:rPr/>
        <w:t>年</w:t>
      </w:r>
      <w:r>
        <w:rPr>
          <w:spacing w:val="-53"/>
        </w:rPr>
        <w:t> </w:t>
      </w:r>
      <w:r>
        <w:rPr>
          <w:rFonts w:ascii="Arial" w:hAnsi="Arial" w:cs="Arial" w:eastAsia="Arial" w:hint="default"/>
        </w:rPr>
        <w:t>1</w:t>
      </w:r>
      <w:r>
        <w:rPr>
          <w:rFonts w:ascii="Arial" w:hAnsi="Arial" w:cs="Arial" w:eastAsia="Arial" w:hint="default"/>
        </w:rPr>
        <w:t>—</w:t>
      </w:r>
      <w:r>
        <w:rPr>
          <w:rFonts w:ascii="Arial" w:hAnsi="Arial" w:cs="Arial" w:eastAsia="Arial" w:hint="default"/>
        </w:rPr>
        <w:t>12</w:t>
      </w:r>
      <w:r>
        <w:rPr>
          <w:rFonts w:ascii="Arial" w:hAnsi="Arial" w:cs="Arial" w:eastAsia="Arial" w:hint="default"/>
          <w:spacing w:val="-6"/>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7"/>
        <w:ind w:left="1471"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b/>
          <w:bCs/>
          <w:color w:val="FF0000"/>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360" w:bottom="1380" w:left="1600" w:right="1040"/>
          <w:cols w:num="2" w:equalWidth="0">
            <w:col w:w="5420" w:space="40"/>
            <w:col w:w="3810"/>
          </w:cols>
        </w:sectPr>
      </w:pPr>
    </w:p>
    <w:p>
      <w:pPr>
        <w:spacing w:line="240" w:lineRule="auto" w:before="7"/>
        <w:rPr>
          <w:rFonts w:ascii="宋体" w:hAnsi="宋体" w:cs="宋体" w:eastAsia="宋体" w:hint="default"/>
          <w:b/>
          <w:bCs/>
          <w:sz w:val="2"/>
          <w:szCs w:val="2"/>
        </w:rPr>
      </w:pPr>
    </w:p>
    <w:tbl>
      <w:tblPr>
        <w:tblW w:w="0" w:type="auto"/>
        <w:jc w:val="left"/>
        <w:tblInd w:w="111" w:type="dxa"/>
        <w:tblLayout w:type="fixed"/>
        <w:tblCellMar>
          <w:top w:w="0" w:type="dxa"/>
          <w:left w:w="0" w:type="dxa"/>
          <w:bottom w:w="0" w:type="dxa"/>
          <w:right w:w="0" w:type="dxa"/>
        </w:tblCellMar>
        <w:tblLook w:val="01E0"/>
      </w:tblPr>
      <w:tblGrid>
        <w:gridCol w:w="4453"/>
        <w:gridCol w:w="718"/>
        <w:gridCol w:w="1867"/>
        <w:gridCol w:w="1911"/>
      </w:tblGrid>
      <w:tr>
        <w:trPr>
          <w:trHeight w:val="348" w:hRule="exact"/>
        </w:trPr>
        <w:tc>
          <w:tcPr>
            <w:tcW w:w="4453" w:type="dxa"/>
            <w:tcBorders>
              <w:top w:val="single" w:sz="23" w:space="0" w:color="41B7EE"/>
              <w:left w:val="nil" w:sz="6" w:space="0" w:color="auto"/>
              <w:bottom w:val="single" w:sz="4" w:space="0" w:color="41B7EE"/>
              <w:right w:val="single" w:sz="4" w:space="0" w:color="41B7EE"/>
            </w:tcBorders>
          </w:tcPr>
          <w:p>
            <w:pPr>
              <w:pStyle w:val="TableParagraph"/>
              <w:spacing w:line="262" w:lineRule="exact"/>
              <w:ind w:right="34"/>
              <w:jc w:val="center"/>
              <w:rPr>
                <w:rFonts w:ascii="宋体" w:hAnsi="宋体" w:cs="宋体" w:eastAsia="宋体" w:hint="default"/>
                <w:sz w:val="21"/>
                <w:szCs w:val="21"/>
              </w:rPr>
            </w:pPr>
            <w:r>
              <w:rPr>
                <w:rFonts w:ascii="宋体" w:hAnsi="宋体" w:cs="宋体" w:eastAsia="宋体" w:hint="default"/>
                <w:sz w:val="21"/>
                <w:szCs w:val="21"/>
              </w:rPr>
              <w:t>项目</w:t>
            </w:r>
          </w:p>
        </w:tc>
        <w:tc>
          <w:tcPr>
            <w:tcW w:w="718" w:type="dxa"/>
            <w:tcBorders>
              <w:top w:val="single" w:sz="23" w:space="0" w:color="41B7EE"/>
              <w:left w:val="single" w:sz="4" w:space="0" w:color="41B7EE"/>
              <w:bottom w:val="single" w:sz="4" w:space="0" w:color="41B7EE"/>
              <w:right w:val="single" w:sz="4" w:space="0" w:color="41B7EE"/>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附注</w:t>
            </w:r>
          </w:p>
        </w:tc>
        <w:tc>
          <w:tcPr>
            <w:tcW w:w="1867" w:type="dxa"/>
            <w:tcBorders>
              <w:top w:val="single" w:sz="23" w:space="0" w:color="41B7EE"/>
              <w:left w:val="single" w:sz="4" w:space="0" w:color="41B7EE"/>
              <w:bottom w:val="single" w:sz="4" w:space="0" w:color="41B7EE"/>
              <w:right w:val="single" w:sz="4" w:space="0" w:color="41B7EE"/>
            </w:tcBorders>
          </w:tcPr>
          <w:p>
            <w:pPr>
              <w:pStyle w:val="TableParagraph"/>
              <w:spacing w:line="277" w:lineRule="exact"/>
              <w:ind w:left="458"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4"/>
                <w:sz w:val="21"/>
                <w:szCs w:val="21"/>
              </w:rPr>
              <w:t> </w:t>
            </w:r>
            <w:r>
              <w:rPr>
                <w:rFonts w:ascii="宋体" w:hAnsi="宋体" w:cs="宋体" w:eastAsia="宋体" w:hint="default"/>
                <w:sz w:val="21"/>
                <w:szCs w:val="21"/>
              </w:rPr>
              <w:t>年度</w:t>
            </w:r>
          </w:p>
        </w:tc>
        <w:tc>
          <w:tcPr>
            <w:tcW w:w="1911" w:type="dxa"/>
            <w:tcBorders>
              <w:top w:val="single" w:sz="23" w:space="0" w:color="41B7EE"/>
              <w:left w:val="single" w:sz="4" w:space="0" w:color="41B7EE"/>
              <w:bottom w:val="single" w:sz="4" w:space="0" w:color="41B7EE"/>
              <w:right w:val="nil" w:sz="6" w:space="0" w:color="auto"/>
            </w:tcBorders>
          </w:tcPr>
          <w:p>
            <w:pPr>
              <w:pStyle w:val="TableParagraph"/>
              <w:spacing w:line="277" w:lineRule="exact"/>
              <w:ind w:left="478"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4"/>
                <w:sz w:val="21"/>
                <w:szCs w:val="21"/>
              </w:rPr>
              <w:t> </w:t>
            </w:r>
            <w:r>
              <w:rPr>
                <w:rFonts w:ascii="宋体" w:hAnsi="宋体" w:cs="宋体" w:eastAsia="宋体" w:hint="default"/>
                <w:sz w:val="21"/>
                <w:szCs w:val="21"/>
              </w:rPr>
              <w:t>年度</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38"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5" w:lineRule="exact"/>
              <w:ind w:right="7"/>
              <w:jc w:val="center"/>
              <w:rPr>
                <w:rFonts w:ascii="Arial" w:hAnsi="Arial" w:cs="Arial" w:eastAsia="Arial" w:hint="default"/>
                <w:sz w:val="21"/>
                <w:szCs w:val="21"/>
              </w:rPr>
            </w:pPr>
            <w:r>
              <w:rPr>
                <w:rFonts w:ascii="宋体" w:hAnsi="宋体" w:cs="宋体" w:eastAsia="宋体" w:hint="default"/>
                <w:spacing w:val="-26"/>
                <w:sz w:val="21"/>
                <w:szCs w:val="21"/>
              </w:rPr>
              <w:t>十七、</w:t>
            </w:r>
            <w:r>
              <w:rPr>
                <w:rFonts w:ascii="Arial" w:hAnsi="Arial" w:cs="Arial" w:eastAsia="Arial" w:hint="default"/>
                <w:spacing w:val="-26"/>
                <w:sz w:val="21"/>
                <w:szCs w:val="21"/>
              </w:rPr>
              <w:t>4</w:t>
            </w: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3,090,330,310.53</w:t>
            </w:r>
          </w:p>
        </w:tc>
        <w:tc>
          <w:tcPr>
            <w:tcW w:w="191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8"/>
              <w:ind w:right="53"/>
              <w:jc w:val="right"/>
              <w:rPr>
                <w:rFonts w:ascii="Arial" w:hAnsi="Arial" w:cs="Arial" w:eastAsia="Arial" w:hint="default"/>
                <w:sz w:val="21"/>
                <w:szCs w:val="21"/>
              </w:rPr>
            </w:pPr>
            <w:r>
              <w:rPr>
                <w:rFonts w:ascii="Arial"/>
                <w:spacing w:val="-1"/>
                <w:sz w:val="21"/>
              </w:rPr>
              <w:t>2,996,520,612.37</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5" w:lineRule="exact"/>
              <w:ind w:right="7"/>
              <w:jc w:val="center"/>
              <w:rPr>
                <w:rFonts w:ascii="Arial" w:hAnsi="Arial" w:cs="Arial" w:eastAsia="Arial" w:hint="default"/>
                <w:sz w:val="21"/>
                <w:szCs w:val="21"/>
              </w:rPr>
            </w:pPr>
            <w:r>
              <w:rPr>
                <w:rFonts w:ascii="宋体" w:hAnsi="宋体" w:cs="宋体" w:eastAsia="宋体" w:hint="default"/>
                <w:spacing w:val="-26"/>
                <w:sz w:val="21"/>
                <w:szCs w:val="21"/>
              </w:rPr>
              <w:t>十七、</w:t>
            </w:r>
            <w:r>
              <w:rPr>
                <w:rFonts w:ascii="Arial" w:hAnsi="Arial" w:cs="Arial" w:eastAsia="Arial" w:hint="default"/>
                <w:spacing w:val="-26"/>
                <w:sz w:val="21"/>
                <w:szCs w:val="21"/>
              </w:rPr>
              <w:t>4</w:t>
            </w: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414,807,856.19</w:t>
            </w:r>
          </w:p>
        </w:tc>
        <w:tc>
          <w:tcPr>
            <w:tcW w:w="191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312,100,252.27</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688"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718"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5,827,662.56</w:t>
            </w:r>
          </w:p>
        </w:tc>
        <w:tc>
          <w:tcPr>
            <w:tcW w:w="191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5,176,285.63</w:t>
            </w:r>
          </w:p>
        </w:tc>
      </w:tr>
      <w:tr>
        <w:trPr>
          <w:trHeight w:val="329" w:hRule="exact"/>
        </w:trPr>
        <w:tc>
          <w:tcPr>
            <w:tcW w:w="4453" w:type="dxa"/>
            <w:tcBorders>
              <w:top w:val="single" w:sz="4" w:space="0" w:color="41B7EE"/>
              <w:left w:val="nil" w:sz="6" w:space="0" w:color="auto"/>
              <w:bottom w:val="single" w:sz="8" w:space="0" w:color="41B7EE"/>
              <w:right w:val="single" w:sz="4" w:space="0" w:color="41B7EE"/>
            </w:tcBorders>
          </w:tcPr>
          <w:p>
            <w:pPr>
              <w:pStyle w:val="TableParagraph"/>
              <w:spacing w:line="260" w:lineRule="exact"/>
              <w:ind w:left="688"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718" w:type="dxa"/>
            <w:tcBorders>
              <w:top w:val="single" w:sz="4" w:space="0" w:color="41B7EE"/>
              <w:left w:val="single" w:sz="4" w:space="0" w:color="41B7EE"/>
              <w:bottom w:val="single" w:sz="8" w:space="0" w:color="41B7EE"/>
              <w:right w:val="single" w:sz="4" w:space="0" w:color="41B7EE"/>
            </w:tcBorders>
          </w:tcPr>
          <w:p>
            <w:pPr/>
          </w:p>
        </w:tc>
        <w:tc>
          <w:tcPr>
            <w:tcW w:w="1867"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14,560,525.78</w:t>
            </w:r>
          </w:p>
        </w:tc>
        <w:tc>
          <w:tcPr>
            <w:tcW w:w="1911"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17,465,010.94</w:t>
            </w:r>
          </w:p>
        </w:tc>
      </w:tr>
    </w:tbl>
    <w:p>
      <w:pPr>
        <w:spacing w:after="0" w:line="240" w:lineRule="auto"/>
        <w:jc w:val="right"/>
        <w:rPr>
          <w:rFonts w:ascii="Arial" w:hAnsi="Arial" w:cs="Arial" w:eastAsia="Arial" w:hint="default"/>
          <w:sz w:val="21"/>
          <w:szCs w:val="21"/>
        </w:rPr>
        <w:sectPr>
          <w:type w:val="continuous"/>
          <w:pgSz w:w="11910" w:h="16840"/>
          <w:pgMar w:top="1360" w:bottom="1380" w:left="1600" w:right="1040"/>
        </w:sectPr>
      </w:pPr>
    </w:p>
    <w:p>
      <w:pPr>
        <w:spacing w:line="240" w:lineRule="auto" w:before="9"/>
        <w:rPr>
          <w:rFonts w:ascii="Times New Roman" w:hAnsi="Times New Roman" w:cs="Times New Roman" w:eastAsia="Times New Roman" w:hint="default"/>
          <w:sz w:val="13"/>
          <w:szCs w:val="13"/>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8.4pt;height:1pt;mso-position-horizontal-relative:char;mso-position-vertical-relative:line" coordorigin="0,0" coordsize="8968,20">
            <v:group style="position:absolute;left:10;top:10;width:4448;height:2" coordorigin="10,10" coordsize="4448,2">
              <v:shape style="position:absolute;left:10;top:10;width:4448;height:2" coordorigin="10,10" coordsize="4448,0" path="m10,10l4457,10e" filled="false" stroked="true" strokeweight=".96001pt" strokecolor="#41b7ee">
                <v:path arrowok="t"/>
              </v:shape>
            </v:group>
            <v:group style="position:absolute;left:4457;top:10;width:58;height:2" coordorigin="4457,10" coordsize="58,2">
              <v:shape style="position:absolute;left:4457;top:10;width:58;height:2" coordorigin="4457,10" coordsize="58,0" path="m4457,10l4515,10e" filled="false" stroked="true" strokeweight=".96001pt" strokecolor="#41b7ee">
                <v:path arrowok="t"/>
              </v:shape>
            </v:group>
            <v:group style="position:absolute;left:4515;top:10;width:661;height:2" coordorigin="4515,10" coordsize="661,2">
              <v:shape style="position:absolute;left:4515;top:10;width:661;height:2" coordorigin="4515,10" coordsize="661,0" path="m4515,10l5175,10e" filled="false" stroked="true" strokeweight=".96001pt" strokecolor="#41b7ee">
                <v:path arrowok="t"/>
              </v:shape>
            </v:group>
            <v:group style="position:absolute;left:5175;top:10;width:58;height:2" coordorigin="5175,10" coordsize="58,2">
              <v:shape style="position:absolute;left:5175;top:10;width:58;height:2" coordorigin="5175,10" coordsize="58,0" path="m5175,10l5233,10e" filled="false" stroked="true" strokeweight=".96001pt" strokecolor="#41b7ee">
                <v:path arrowok="t"/>
              </v:shape>
            </v:group>
            <v:group style="position:absolute;left:5233;top:10;width:1810;height:2" coordorigin="5233,10" coordsize="1810,2">
              <v:shape style="position:absolute;left:5233;top:10;width:1810;height:2" coordorigin="5233,10" coordsize="1810,0" path="m5233,10l7043,10e" filled="false" stroked="true" strokeweight=".96001pt" strokecolor="#41b7ee">
                <v:path arrowok="t"/>
              </v:shape>
            </v:group>
            <v:group style="position:absolute;left:7043;top:10;width:58;height:2" coordorigin="7043,10" coordsize="58,2">
              <v:shape style="position:absolute;left:7043;top:10;width:58;height:2" coordorigin="7043,10" coordsize="58,0" path="m7043,10l7100,10e" filled="false" stroked="true" strokeweight=".96001pt" strokecolor="#41b7ee">
                <v:path arrowok="t"/>
              </v:shape>
            </v:group>
            <v:group style="position:absolute;left:7100;top:10;width:1859;height:2" coordorigin="7100,10" coordsize="1859,2">
              <v:shape style="position:absolute;left:7100;top:10;width:1859;height:2" coordorigin="7100,10" coordsize="1859,0" path="m7100,10l8958,10e" filled="false" stroked="true" strokeweight=".96001pt" strokecolor="#41b7ee">
                <v:path arrowok="t"/>
              </v:shape>
            </v:group>
          </v:group>
        </w:pict>
      </w:r>
      <w:r>
        <w:rPr>
          <w:rFonts w:ascii="Times New Roman" w:hAnsi="Times New Roman" w:cs="Times New Roman" w:eastAsia="Times New Roman" w:hint="default"/>
          <w:sz w:val="2"/>
          <w:szCs w:val="2"/>
        </w:rPr>
      </w:r>
    </w:p>
    <w:tbl>
      <w:tblPr>
        <w:tblW w:w="0" w:type="auto"/>
        <w:jc w:val="left"/>
        <w:tblInd w:w="110" w:type="dxa"/>
        <w:tblLayout w:type="fixed"/>
        <w:tblCellMar>
          <w:top w:w="0" w:type="dxa"/>
          <w:left w:w="0" w:type="dxa"/>
          <w:bottom w:w="0" w:type="dxa"/>
          <w:right w:w="0" w:type="dxa"/>
        </w:tblCellMar>
        <w:tblLook w:val="01E0"/>
      </w:tblPr>
      <w:tblGrid>
        <w:gridCol w:w="4453"/>
        <w:gridCol w:w="718"/>
        <w:gridCol w:w="1867"/>
        <w:gridCol w:w="1911"/>
      </w:tblGrid>
      <w:tr>
        <w:trPr>
          <w:trHeight w:val="329" w:hRule="exact"/>
        </w:trPr>
        <w:tc>
          <w:tcPr>
            <w:tcW w:w="4453" w:type="dxa"/>
            <w:tcBorders>
              <w:top w:val="single" w:sz="8" w:space="0" w:color="41B7EE"/>
              <w:left w:val="nil" w:sz="6" w:space="0" w:color="auto"/>
              <w:bottom w:val="single" w:sz="4" w:space="0" w:color="41B7EE"/>
              <w:right w:val="single" w:sz="4" w:space="0" w:color="41B7EE"/>
            </w:tcBorders>
          </w:tcPr>
          <w:p>
            <w:pPr>
              <w:pStyle w:val="TableParagraph"/>
              <w:spacing w:line="265" w:lineRule="exact"/>
              <w:ind w:left="688"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718" w:type="dxa"/>
            <w:tcBorders>
              <w:top w:val="single" w:sz="8" w:space="0" w:color="41B7EE"/>
              <w:left w:val="single" w:sz="4" w:space="0" w:color="41B7EE"/>
              <w:bottom w:val="single" w:sz="4" w:space="0" w:color="41B7EE"/>
              <w:right w:val="single" w:sz="4" w:space="0" w:color="41B7EE"/>
            </w:tcBorders>
          </w:tcPr>
          <w:p>
            <w:pPr/>
          </w:p>
        </w:tc>
        <w:tc>
          <w:tcPr>
            <w:tcW w:w="1867"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34"/>
              <w:ind w:right="48"/>
              <w:jc w:val="right"/>
              <w:rPr>
                <w:rFonts w:ascii="Arial" w:hAnsi="Arial" w:cs="Arial" w:eastAsia="Arial" w:hint="default"/>
                <w:sz w:val="21"/>
                <w:szCs w:val="21"/>
              </w:rPr>
            </w:pPr>
            <w:r>
              <w:rPr>
                <w:rFonts w:ascii="Arial"/>
                <w:spacing w:val="-1"/>
                <w:sz w:val="21"/>
              </w:rPr>
              <w:t>1,667,367,146.37</w:t>
            </w:r>
          </w:p>
        </w:tc>
        <w:tc>
          <w:tcPr>
            <w:tcW w:w="1911"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34"/>
              <w:ind w:right="53"/>
              <w:jc w:val="right"/>
              <w:rPr>
                <w:rFonts w:ascii="Arial" w:hAnsi="Arial" w:cs="Arial" w:eastAsia="Arial" w:hint="default"/>
                <w:sz w:val="21"/>
                <w:szCs w:val="21"/>
              </w:rPr>
            </w:pPr>
            <w:r>
              <w:rPr>
                <w:rFonts w:ascii="Arial"/>
                <w:spacing w:val="-1"/>
                <w:sz w:val="21"/>
              </w:rPr>
              <w:t>1,634,107,975.28</w:t>
            </w: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688"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718"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14,309,323.11</w:t>
            </w:r>
          </w:p>
        </w:tc>
        <w:tc>
          <w:tcPr>
            <w:tcW w:w="191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15,723,028.22</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688"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718"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-7,730,645.79</w:t>
            </w:r>
          </w:p>
        </w:tc>
        <w:tc>
          <w:tcPr>
            <w:tcW w:w="191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8"/>
              <w:ind w:right="53"/>
              <w:jc w:val="right"/>
              <w:rPr>
                <w:rFonts w:ascii="Arial" w:hAnsi="Arial" w:cs="Arial" w:eastAsia="Arial" w:hint="default"/>
                <w:sz w:val="21"/>
                <w:szCs w:val="21"/>
              </w:rPr>
            </w:pPr>
            <w:r>
              <w:rPr>
                <w:rFonts w:ascii="Arial"/>
                <w:spacing w:val="-1"/>
                <w:sz w:val="21"/>
              </w:rPr>
              <w:t>-4,758,972.76</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688"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718"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1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1317"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718"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14,999,931.42</w:t>
            </w:r>
          </w:p>
        </w:tc>
        <w:tc>
          <w:tcPr>
            <w:tcW w:w="191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11,027,318.41</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718"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173,822.38</w:t>
            </w:r>
          </w:p>
        </w:tc>
        <w:tc>
          <w:tcPr>
            <w:tcW w:w="191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7,380,138.38</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7" w:lineRule="exact"/>
              <w:ind w:left="688"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77" w:lineRule="exact"/>
              <w:ind w:left="23" w:right="0"/>
              <w:jc w:val="left"/>
              <w:rPr>
                <w:rFonts w:ascii="Arial" w:hAnsi="Arial" w:cs="Arial" w:eastAsia="Arial" w:hint="default"/>
                <w:sz w:val="21"/>
                <w:szCs w:val="21"/>
              </w:rPr>
            </w:pPr>
            <w:r>
              <w:rPr>
                <w:rFonts w:ascii="宋体" w:hAnsi="宋体" w:cs="宋体" w:eastAsia="宋体" w:hint="default"/>
                <w:spacing w:val="-26"/>
                <w:sz w:val="21"/>
                <w:szCs w:val="21"/>
              </w:rPr>
              <w:t>十七、</w:t>
            </w:r>
            <w:r>
              <w:rPr>
                <w:rFonts w:ascii="Arial" w:hAnsi="Arial" w:cs="Arial" w:eastAsia="Arial" w:hint="default"/>
                <w:spacing w:val="-26"/>
                <w:sz w:val="21"/>
                <w:szCs w:val="21"/>
              </w:rPr>
              <w:t>5</w:t>
            </w: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62,212,619.34</w:t>
            </w:r>
          </w:p>
        </w:tc>
        <w:tc>
          <w:tcPr>
            <w:tcW w:w="191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53,969,451.14</w:t>
            </w: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right="123"/>
              <w:jc w:val="right"/>
              <w:rPr>
                <w:rFonts w:ascii="宋体" w:hAnsi="宋体" w:cs="宋体" w:eastAsia="宋体" w:hint="default"/>
                <w:sz w:val="21"/>
                <w:szCs w:val="21"/>
              </w:rPr>
            </w:pPr>
            <w:r>
              <w:rPr>
                <w:rFonts w:ascii="宋体" w:hAnsi="宋体" w:cs="宋体" w:eastAsia="宋体" w:hint="default"/>
                <w:spacing w:val="-10"/>
                <w:sz w:val="21"/>
                <w:szCs w:val="21"/>
              </w:rPr>
              <w:t>其中：对联营企业和合营企业的投资收益</w:t>
            </w:r>
            <w:r>
              <w:rPr>
                <w:rFonts w:ascii="宋体" w:hAnsi="宋体" w:cs="宋体" w:eastAsia="宋体" w:hint="default"/>
                <w:sz w:val="21"/>
                <w:szCs w:val="21"/>
              </w:rPr>
            </w:r>
          </w:p>
        </w:tc>
        <w:tc>
          <w:tcPr>
            <w:tcW w:w="718"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-28,140,488.11</w:t>
            </w:r>
          </w:p>
        </w:tc>
        <w:tc>
          <w:tcPr>
            <w:tcW w:w="191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-46,154,504.89</w:t>
            </w:r>
          </w:p>
        </w:tc>
      </w:tr>
      <w:tr>
        <w:trPr>
          <w:trHeight w:val="55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39" w:lineRule="exact"/>
              <w:ind w:left="1211" w:right="0"/>
              <w:jc w:val="left"/>
              <w:rPr>
                <w:rFonts w:ascii="宋体" w:hAnsi="宋体" w:cs="宋体" w:eastAsia="宋体" w:hint="default"/>
                <w:sz w:val="21"/>
                <w:szCs w:val="21"/>
              </w:rPr>
            </w:pPr>
            <w:r>
              <w:rPr>
                <w:rFonts w:ascii="宋体" w:hAnsi="宋体" w:cs="宋体" w:eastAsia="宋体" w:hint="default"/>
                <w:sz w:val="21"/>
                <w:szCs w:val="21"/>
              </w:rPr>
              <w:t>以摊余成本计量的金融资产终止确</w:t>
            </w:r>
          </w:p>
          <w:p>
            <w:pPr>
              <w:pStyle w:val="TableParagraph"/>
              <w:spacing w:line="273" w:lineRule="exact"/>
              <w:ind w:left="57" w:right="0"/>
              <w:jc w:val="left"/>
              <w:rPr>
                <w:rFonts w:ascii="宋体" w:hAnsi="宋体" w:cs="宋体" w:eastAsia="宋体" w:hint="default"/>
                <w:sz w:val="21"/>
                <w:szCs w:val="21"/>
              </w:rPr>
            </w:pPr>
            <w:r>
              <w:rPr>
                <w:rFonts w:ascii="宋体" w:hAnsi="宋体" w:cs="宋体" w:eastAsia="宋体" w:hint="default"/>
                <w:sz w:val="21"/>
                <w:szCs w:val="21"/>
              </w:rPr>
              <w:t>认收益</w:t>
            </w:r>
          </w:p>
        </w:tc>
        <w:tc>
          <w:tcPr>
            <w:tcW w:w="718"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1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5" w:lineRule="exact"/>
              <w:ind w:left="688" w:right="0"/>
              <w:jc w:val="left"/>
              <w:rPr>
                <w:rFonts w:ascii="宋体" w:hAnsi="宋体" w:cs="宋体" w:eastAsia="宋体" w:hint="default"/>
                <w:sz w:val="21"/>
                <w:szCs w:val="21"/>
              </w:rPr>
            </w:pPr>
            <w:r>
              <w:rPr>
                <w:rFonts w:ascii="宋体" w:hAnsi="宋体" w:cs="宋体" w:eastAsia="宋体" w:hint="default"/>
                <w:sz w:val="21"/>
                <w:szCs w:val="21"/>
              </w:rPr>
              <w:t>净敞口套期收益（损失以</w:t>
            </w:r>
            <w:r>
              <w:rPr>
                <w:rFonts w:ascii="Arial" w:hAnsi="Arial" w:cs="Arial" w:eastAsia="Arial" w:hint="default"/>
                <w:sz w:val="21"/>
                <w:szCs w:val="21"/>
              </w:rPr>
              <w:t>“</w:t>
            </w:r>
            <w:r>
              <w:rPr>
                <w:rFonts w:ascii="Arial" w:hAnsi="Arial" w:cs="Arial" w:eastAsia="Arial"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718"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1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6" w:lineRule="exact"/>
              <w:ind w:right="249"/>
              <w:jc w:val="right"/>
              <w:rPr>
                <w:rFonts w:ascii="宋体" w:hAnsi="宋体" w:cs="宋体" w:eastAsia="宋体" w:hint="default"/>
                <w:sz w:val="21"/>
                <w:szCs w:val="21"/>
              </w:rPr>
            </w:pPr>
            <w:r>
              <w:rPr>
                <w:rFonts w:ascii="宋体" w:hAnsi="宋体" w:cs="宋体" w:eastAsia="宋体" w:hint="default"/>
                <w:spacing w:val="-13"/>
                <w:sz w:val="21"/>
                <w:szCs w:val="21"/>
              </w:rPr>
              <w:t>公允价值变动收益（损失以</w:t>
            </w:r>
            <w:r>
              <w:rPr>
                <w:rFonts w:ascii="Arial" w:hAnsi="Arial" w:cs="Arial" w:eastAsia="Arial" w:hint="default"/>
                <w:spacing w:val="-13"/>
                <w:sz w:val="21"/>
                <w:szCs w:val="21"/>
              </w:rPr>
              <w:t>“</w:t>
            </w:r>
            <w:r>
              <w:rPr>
                <w:rFonts w:ascii="宋体" w:hAnsi="宋体" w:cs="宋体" w:eastAsia="宋体" w:hint="default"/>
                <w:spacing w:val="-13"/>
                <w:sz w:val="21"/>
                <w:szCs w:val="21"/>
              </w:rPr>
              <w:t>－</w:t>
            </w:r>
            <w:r>
              <w:rPr>
                <w:rFonts w:ascii="Arial" w:hAnsi="Arial" w:cs="Arial" w:eastAsia="Arial" w:hint="default"/>
                <w:spacing w:val="-13"/>
                <w:sz w:val="21"/>
                <w:szCs w:val="21"/>
              </w:rPr>
              <w:t>”</w:t>
            </w:r>
            <w:r>
              <w:rPr>
                <w:rFonts w:ascii="宋体" w:hAnsi="宋体" w:cs="宋体" w:eastAsia="宋体" w:hint="default"/>
                <w:spacing w:val="-13"/>
                <w:sz w:val="21"/>
                <w:szCs w:val="21"/>
              </w:rPr>
              <w:t>号填列）</w:t>
            </w:r>
          </w:p>
        </w:tc>
        <w:tc>
          <w:tcPr>
            <w:tcW w:w="718"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1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5" w:lineRule="exact"/>
              <w:ind w:left="688"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Arial" w:hAnsi="Arial" w:cs="Arial" w:eastAsia="Arial" w:hint="default"/>
                <w:sz w:val="21"/>
                <w:szCs w:val="21"/>
              </w:rPr>
              <w:t>“</w:t>
            </w:r>
            <w:r>
              <w:rPr>
                <w:rFonts w:ascii="Arial" w:hAnsi="Arial" w:cs="Arial" w:eastAsia="Arial"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718"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-43,816,188.24</w:t>
            </w:r>
          </w:p>
        </w:tc>
        <w:tc>
          <w:tcPr>
            <w:tcW w:w="191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7" w:lineRule="exact"/>
              <w:ind w:left="688"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Arial" w:hAnsi="Arial" w:cs="Arial" w:eastAsia="Arial" w:hint="default"/>
                <w:sz w:val="21"/>
                <w:szCs w:val="21"/>
              </w:rPr>
              <w:t>“</w:t>
            </w:r>
            <w:r>
              <w:rPr>
                <w:rFonts w:ascii="Arial" w:hAnsi="Arial" w:cs="Arial" w:eastAsia="Arial"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718"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-33,845,555.50</w:t>
            </w:r>
          </w:p>
        </w:tc>
        <w:tc>
          <w:tcPr>
            <w:tcW w:w="191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801,300.21</w:t>
            </w: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7" w:lineRule="exact"/>
              <w:ind w:left="688"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718"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2,262,492.52</w:t>
            </w:r>
          </w:p>
        </w:tc>
        <w:tc>
          <w:tcPr>
            <w:tcW w:w="191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75,027.52</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5" w:lineRule="exact"/>
              <w:ind w:left="38" w:right="0"/>
              <w:jc w:val="left"/>
              <w:rPr>
                <w:rFonts w:ascii="宋体" w:hAnsi="宋体" w:cs="宋体" w:eastAsia="宋体" w:hint="default"/>
                <w:sz w:val="21"/>
                <w:szCs w:val="21"/>
              </w:rPr>
            </w:pPr>
            <w:r>
              <w:rPr>
                <w:rFonts w:ascii="宋体" w:hAnsi="宋体" w:cs="宋体" w:eastAsia="宋体" w:hint="default"/>
                <w:sz w:val="21"/>
                <w:szCs w:val="21"/>
              </w:rPr>
              <w:t>二、营业利润（亏损以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718"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968,175,632.81</w:t>
            </w:r>
          </w:p>
        </w:tc>
        <w:tc>
          <w:tcPr>
            <w:tcW w:w="191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8"/>
              <w:ind w:right="53"/>
              <w:jc w:val="right"/>
              <w:rPr>
                <w:rFonts w:ascii="Arial" w:hAnsi="Arial" w:cs="Arial" w:eastAsia="Arial" w:hint="default"/>
                <w:sz w:val="21"/>
                <w:szCs w:val="21"/>
              </w:rPr>
            </w:pPr>
            <w:r>
              <w:rPr>
                <w:rFonts w:ascii="Arial"/>
                <w:spacing w:val="-1"/>
                <w:sz w:val="21"/>
              </w:rPr>
              <w:t>1,078,932,950.04</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718"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6,462,358.30</w:t>
            </w:r>
          </w:p>
        </w:tc>
        <w:tc>
          <w:tcPr>
            <w:tcW w:w="191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25,758,700.92</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718"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183,894,085.86</w:t>
            </w:r>
          </w:p>
        </w:tc>
        <w:tc>
          <w:tcPr>
            <w:tcW w:w="191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137,597,301.83</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5" w:lineRule="exact"/>
              <w:ind w:left="38" w:right="0"/>
              <w:jc w:val="left"/>
              <w:rPr>
                <w:rFonts w:ascii="宋体" w:hAnsi="宋体" w:cs="宋体" w:eastAsia="宋体" w:hint="default"/>
                <w:sz w:val="21"/>
                <w:szCs w:val="21"/>
              </w:rPr>
            </w:pPr>
            <w:r>
              <w:rPr>
                <w:rFonts w:ascii="宋体" w:hAnsi="宋体" w:cs="宋体" w:eastAsia="宋体" w:hint="default"/>
                <w:sz w:val="21"/>
                <w:szCs w:val="21"/>
              </w:rPr>
              <w:t>三、利润总额（亏损总额以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718"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790,743,905.25</w:t>
            </w:r>
          </w:p>
        </w:tc>
        <w:tc>
          <w:tcPr>
            <w:tcW w:w="191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967,094,349.13</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458"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718"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-5,790,032.13</w:t>
            </w:r>
          </w:p>
        </w:tc>
        <w:tc>
          <w:tcPr>
            <w:tcW w:w="191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12,402,926.01</w:t>
            </w: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7" w:lineRule="exact"/>
              <w:ind w:left="38" w:right="0"/>
              <w:jc w:val="left"/>
              <w:rPr>
                <w:rFonts w:ascii="宋体" w:hAnsi="宋体" w:cs="宋体" w:eastAsia="宋体" w:hint="default"/>
                <w:sz w:val="21"/>
                <w:szCs w:val="21"/>
              </w:rPr>
            </w:pPr>
            <w:r>
              <w:rPr>
                <w:rFonts w:ascii="宋体" w:hAnsi="宋体" w:cs="宋体" w:eastAsia="宋体" w:hint="default"/>
                <w:sz w:val="21"/>
                <w:szCs w:val="21"/>
              </w:rPr>
              <w:t>四、净利润（净亏损以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718"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796,533,937.38</w:t>
            </w:r>
          </w:p>
        </w:tc>
        <w:tc>
          <w:tcPr>
            <w:tcW w:w="191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954,691,423.12</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5" w:lineRule="exact"/>
              <w:ind w:right="155"/>
              <w:jc w:val="right"/>
              <w:rPr>
                <w:rFonts w:ascii="宋体" w:hAnsi="宋体" w:cs="宋体" w:eastAsia="宋体" w:hint="default"/>
                <w:sz w:val="21"/>
                <w:szCs w:val="21"/>
              </w:rPr>
            </w:pPr>
            <w:r>
              <w:rPr>
                <w:rFonts w:ascii="宋体" w:hAnsi="宋体" w:cs="宋体" w:eastAsia="宋体" w:hint="default"/>
                <w:spacing w:val="-17"/>
                <w:sz w:val="21"/>
                <w:szCs w:val="21"/>
              </w:rPr>
              <w:t>（一）持续经营净利润（净亏损以</w:t>
            </w:r>
            <w:r>
              <w:rPr>
                <w:rFonts w:ascii="Arial" w:hAnsi="Arial" w:cs="Arial" w:eastAsia="Arial" w:hint="default"/>
                <w:spacing w:val="-17"/>
                <w:sz w:val="21"/>
                <w:szCs w:val="21"/>
              </w:rPr>
              <w:t>“</w:t>
            </w:r>
            <w:r>
              <w:rPr>
                <w:rFonts w:ascii="宋体" w:hAnsi="宋体" w:cs="宋体" w:eastAsia="宋体" w:hint="default"/>
                <w:spacing w:val="-17"/>
                <w:sz w:val="21"/>
                <w:szCs w:val="21"/>
              </w:rPr>
              <w:t>－</w:t>
            </w:r>
            <w:r>
              <w:rPr>
                <w:rFonts w:ascii="Arial" w:hAnsi="Arial" w:cs="Arial" w:eastAsia="Arial" w:hint="default"/>
                <w:spacing w:val="-17"/>
                <w:sz w:val="21"/>
                <w:szCs w:val="21"/>
              </w:rPr>
              <w:t>”</w:t>
            </w:r>
            <w:r>
              <w:rPr>
                <w:rFonts w:ascii="宋体" w:hAnsi="宋体" w:cs="宋体" w:eastAsia="宋体" w:hint="default"/>
                <w:spacing w:val="-17"/>
                <w:sz w:val="21"/>
                <w:szCs w:val="21"/>
              </w:rPr>
              <w:t>号填列）</w:t>
            </w:r>
            <w:r>
              <w:rPr>
                <w:rFonts w:ascii="宋体" w:hAnsi="宋体" w:cs="宋体" w:eastAsia="宋体" w:hint="default"/>
                <w:sz w:val="21"/>
                <w:szCs w:val="21"/>
              </w:rPr>
            </w:r>
          </w:p>
        </w:tc>
        <w:tc>
          <w:tcPr>
            <w:tcW w:w="718"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796,533,937.38</w:t>
            </w:r>
          </w:p>
        </w:tc>
        <w:tc>
          <w:tcPr>
            <w:tcW w:w="191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8"/>
              <w:ind w:right="53"/>
              <w:jc w:val="right"/>
              <w:rPr>
                <w:rFonts w:ascii="Arial" w:hAnsi="Arial" w:cs="Arial" w:eastAsia="Arial" w:hint="default"/>
                <w:sz w:val="21"/>
                <w:szCs w:val="21"/>
              </w:rPr>
            </w:pPr>
            <w:r>
              <w:rPr>
                <w:rFonts w:ascii="Arial"/>
                <w:spacing w:val="-1"/>
                <w:sz w:val="21"/>
              </w:rPr>
              <w:t>954,691,423.12</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5" w:lineRule="exact"/>
              <w:ind w:right="155"/>
              <w:jc w:val="right"/>
              <w:rPr>
                <w:rFonts w:ascii="宋体" w:hAnsi="宋体" w:cs="宋体" w:eastAsia="宋体" w:hint="default"/>
                <w:sz w:val="21"/>
                <w:szCs w:val="21"/>
              </w:rPr>
            </w:pPr>
            <w:r>
              <w:rPr>
                <w:rFonts w:ascii="宋体" w:hAnsi="宋体" w:cs="宋体" w:eastAsia="宋体" w:hint="default"/>
                <w:spacing w:val="-17"/>
                <w:sz w:val="21"/>
                <w:szCs w:val="21"/>
              </w:rPr>
              <w:t>（二）终止经营净利润（净亏损以</w:t>
            </w:r>
            <w:r>
              <w:rPr>
                <w:rFonts w:ascii="Arial" w:hAnsi="Arial" w:cs="Arial" w:eastAsia="Arial" w:hint="default"/>
                <w:spacing w:val="-17"/>
                <w:sz w:val="21"/>
                <w:szCs w:val="21"/>
              </w:rPr>
              <w:t>“</w:t>
            </w:r>
            <w:r>
              <w:rPr>
                <w:rFonts w:ascii="宋体" w:hAnsi="宋体" w:cs="宋体" w:eastAsia="宋体" w:hint="default"/>
                <w:spacing w:val="-17"/>
                <w:sz w:val="21"/>
                <w:szCs w:val="21"/>
              </w:rPr>
              <w:t>－</w:t>
            </w:r>
            <w:r>
              <w:rPr>
                <w:rFonts w:ascii="Arial" w:hAnsi="Arial" w:cs="Arial" w:eastAsia="Arial" w:hint="default"/>
                <w:spacing w:val="-17"/>
                <w:sz w:val="21"/>
                <w:szCs w:val="21"/>
              </w:rPr>
              <w:t>”</w:t>
            </w:r>
            <w:r>
              <w:rPr>
                <w:rFonts w:ascii="宋体" w:hAnsi="宋体" w:cs="宋体" w:eastAsia="宋体" w:hint="default"/>
                <w:spacing w:val="-17"/>
                <w:sz w:val="21"/>
                <w:szCs w:val="21"/>
              </w:rPr>
              <w:t>号填列）</w:t>
            </w:r>
            <w:r>
              <w:rPr>
                <w:rFonts w:ascii="宋体" w:hAnsi="宋体" w:cs="宋体" w:eastAsia="宋体" w:hint="default"/>
                <w:sz w:val="21"/>
                <w:szCs w:val="21"/>
              </w:rPr>
            </w:r>
          </w:p>
        </w:tc>
        <w:tc>
          <w:tcPr>
            <w:tcW w:w="718"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1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718"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1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（一）不能重分类进损益的其他综合收益</w:t>
            </w:r>
          </w:p>
        </w:tc>
        <w:tc>
          <w:tcPr>
            <w:tcW w:w="718"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1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7" w:lineRule="exact"/>
              <w:ind w:left="477"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重新计量设定受益计划变动额</w:t>
            </w:r>
          </w:p>
        </w:tc>
        <w:tc>
          <w:tcPr>
            <w:tcW w:w="718"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11" w:type="dxa"/>
            <w:tcBorders>
              <w:top w:val="single" w:sz="4" w:space="0" w:color="41B7EE"/>
              <w:left w:val="single" w:sz="4" w:space="0" w:color="41B7EE"/>
              <w:bottom w:val="single" w:sz="4" w:space="0" w:color="41B7EE"/>
              <w:right w:val="nil" w:sz="6" w:space="0" w:color="auto"/>
            </w:tcBorders>
          </w:tcPr>
          <w:p>
            <w:pP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7" w:lineRule="exact"/>
              <w:ind w:left="477"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权益法下不能转损益的其他综合收益</w:t>
            </w:r>
          </w:p>
        </w:tc>
        <w:tc>
          <w:tcPr>
            <w:tcW w:w="718"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1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5" w:lineRule="exact"/>
              <w:ind w:left="477"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其他权益工具投资公允价值变动</w:t>
            </w:r>
          </w:p>
        </w:tc>
        <w:tc>
          <w:tcPr>
            <w:tcW w:w="718"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1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5" w:lineRule="exact"/>
              <w:ind w:left="477"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企业自身信用风险公允价值变动</w:t>
            </w:r>
          </w:p>
        </w:tc>
        <w:tc>
          <w:tcPr>
            <w:tcW w:w="718"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1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（二）将重分类进损益的其他综合收益</w:t>
            </w:r>
          </w:p>
        </w:tc>
        <w:tc>
          <w:tcPr>
            <w:tcW w:w="718"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1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5" w:lineRule="exact"/>
              <w:ind w:left="477"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权益法下可转损益的其他综合收益</w:t>
            </w:r>
          </w:p>
        </w:tc>
        <w:tc>
          <w:tcPr>
            <w:tcW w:w="718"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1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7" w:lineRule="exact"/>
              <w:ind w:left="477"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其他债权投资公允价值变动</w:t>
            </w:r>
          </w:p>
        </w:tc>
        <w:tc>
          <w:tcPr>
            <w:tcW w:w="718"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11" w:type="dxa"/>
            <w:tcBorders>
              <w:top w:val="single" w:sz="4" w:space="0" w:color="41B7EE"/>
              <w:left w:val="single" w:sz="4" w:space="0" w:color="41B7EE"/>
              <w:bottom w:val="single" w:sz="4" w:space="0" w:color="41B7EE"/>
              <w:right w:val="nil" w:sz="6" w:space="0" w:color="auto"/>
            </w:tcBorders>
          </w:tcPr>
          <w:p>
            <w:pP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7" w:lineRule="exact"/>
              <w:ind w:left="477"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可供出售金融资产公允价值变动损益</w:t>
            </w:r>
          </w:p>
        </w:tc>
        <w:tc>
          <w:tcPr>
            <w:tcW w:w="718"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1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6" w:lineRule="exact"/>
              <w:ind w:right="155"/>
              <w:jc w:val="right"/>
              <w:rPr>
                <w:rFonts w:ascii="宋体" w:hAnsi="宋体" w:cs="宋体" w:eastAsia="宋体" w:hint="default"/>
                <w:sz w:val="21"/>
                <w:szCs w:val="21"/>
              </w:rPr>
            </w:pPr>
            <w:r>
              <w:rPr>
                <w:rFonts w:ascii="Arial" w:hAnsi="Arial" w:cs="Arial" w:eastAsia="Arial" w:hint="default"/>
                <w:spacing w:val="-9"/>
                <w:sz w:val="21"/>
                <w:szCs w:val="21"/>
              </w:rPr>
              <w:t>4.</w:t>
            </w:r>
            <w:r>
              <w:rPr>
                <w:rFonts w:ascii="宋体" w:hAnsi="宋体" w:cs="宋体" w:eastAsia="宋体" w:hint="default"/>
                <w:spacing w:val="-9"/>
                <w:sz w:val="21"/>
                <w:szCs w:val="21"/>
              </w:rPr>
              <w:t>金融资产重分类计入其他综合收益的金额</w:t>
            </w:r>
          </w:p>
        </w:tc>
        <w:tc>
          <w:tcPr>
            <w:tcW w:w="718"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11" w:type="dxa"/>
            <w:tcBorders>
              <w:top w:val="single" w:sz="4" w:space="0" w:color="41B7EE"/>
              <w:left w:val="single" w:sz="4" w:space="0" w:color="41B7EE"/>
              <w:bottom w:val="single" w:sz="4" w:space="0" w:color="41B7EE"/>
              <w:right w:val="nil" w:sz="6" w:space="0" w:color="auto"/>
            </w:tcBorders>
          </w:tcPr>
          <w:p>
            <w:pPr/>
          </w:p>
        </w:tc>
      </w:tr>
      <w:tr>
        <w:trPr>
          <w:trHeight w:val="55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46" w:lineRule="exact"/>
              <w:ind w:left="477" w:right="0"/>
              <w:jc w:val="left"/>
              <w:rPr>
                <w:rFonts w:ascii="宋体" w:hAnsi="宋体" w:cs="宋体" w:eastAsia="宋体" w:hint="default"/>
                <w:sz w:val="21"/>
                <w:szCs w:val="21"/>
              </w:rPr>
            </w:pPr>
            <w:r>
              <w:rPr>
                <w:rFonts w:ascii="Arial" w:hAnsi="Arial" w:cs="Arial" w:eastAsia="Arial" w:hint="default"/>
                <w:sz w:val="21"/>
                <w:szCs w:val="21"/>
              </w:rPr>
              <w:t>5.</w:t>
            </w:r>
            <w:r>
              <w:rPr>
                <w:rFonts w:ascii="宋体" w:hAnsi="宋体" w:cs="宋体" w:eastAsia="宋体" w:hint="default"/>
                <w:sz w:val="21"/>
                <w:szCs w:val="21"/>
              </w:rPr>
              <w:t>持有至到期投资重分类为可供出售金融</w:t>
            </w:r>
          </w:p>
          <w:p>
            <w:pPr>
              <w:pStyle w:val="TableParagraph"/>
              <w:spacing w:line="266" w:lineRule="exact"/>
              <w:ind w:left="57" w:right="0"/>
              <w:jc w:val="left"/>
              <w:rPr>
                <w:rFonts w:ascii="宋体" w:hAnsi="宋体" w:cs="宋体" w:eastAsia="宋体" w:hint="default"/>
                <w:sz w:val="21"/>
                <w:szCs w:val="21"/>
              </w:rPr>
            </w:pPr>
            <w:r>
              <w:rPr>
                <w:rFonts w:ascii="宋体" w:hAnsi="宋体" w:cs="宋体" w:eastAsia="宋体" w:hint="default"/>
                <w:sz w:val="21"/>
                <w:szCs w:val="21"/>
              </w:rPr>
              <w:t>资产损益</w:t>
            </w:r>
          </w:p>
        </w:tc>
        <w:tc>
          <w:tcPr>
            <w:tcW w:w="718"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1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5" w:lineRule="exact"/>
              <w:ind w:left="477" w:right="0"/>
              <w:jc w:val="left"/>
              <w:rPr>
                <w:rFonts w:ascii="宋体" w:hAnsi="宋体" w:cs="宋体" w:eastAsia="宋体" w:hint="default"/>
                <w:sz w:val="21"/>
                <w:szCs w:val="21"/>
              </w:rPr>
            </w:pPr>
            <w:r>
              <w:rPr>
                <w:rFonts w:ascii="Arial" w:hAnsi="Arial" w:cs="Arial" w:eastAsia="Arial" w:hint="default"/>
                <w:sz w:val="21"/>
                <w:szCs w:val="21"/>
              </w:rPr>
              <w:t>6.</w:t>
            </w:r>
            <w:r>
              <w:rPr>
                <w:rFonts w:ascii="宋体" w:hAnsi="宋体" w:cs="宋体" w:eastAsia="宋体" w:hint="default"/>
                <w:sz w:val="21"/>
                <w:szCs w:val="21"/>
              </w:rPr>
              <w:t>其他债权投资信用减值准备</w:t>
            </w:r>
          </w:p>
        </w:tc>
        <w:tc>
          <w:tcPr>
            <w:tcW w:w="718"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11" w:type="dxa"/>
            <w:tcBorders>
              <w:top w:val="single" w:sz="4" w:space="0" w:color="41B7EE"/>
              <w:left w:val="single" w:sz="4" w:space="0" w:color="41B7EE"/>
              <w:bottom w:val="single" w:sz="4" w:space="0" w:color="41B7EE"/>
              <w:right w:val="nil" w:sz="6" w:space="0" w:color="auto"/>
            </w:tcBorders>
          </w:tcPr>
          <w:p>
            <w:pPr/>
          </w:p>
        </w:tc>
      </w:tr>
      <w:tr>
        <w:trPr>
          <w:trHeight w:val="55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48" w:lineRule="exact"/>
              <w:ind w:left="477" w:right="0"/>
              <w:jc w:val="left"/>
              <w:rPr>
                <w:rFonts w:ascii="宋体" w:hAnsi="宋体" w:cs="宋体" w:eastAsia="宋体" w:hint="default"/>
                <w:sz w:val="21"/>
                <w:szCs w:val="21"/>
              </w:rPr>
            </w:pPr>
            <w:r>
              <w:rPr>
                <w:rFonts w:ascii="Arial" w:hAnsi="Arial" w:cs="Arial" w:eastAsia="Arial" w:hint="default"/>
                <w:spacing w:val="-4"/>
                <w:sz w:val="21"/>
                <w:szCs w:val="21"/>
              </w:rPr>
              <w:t>7.</w:t>
            </w:r>
            <w:r>
              <w:rPr>
                <w:rFonts w:ascii="宋体" w:hAnsi="宋体" w:cs="宋体" w:eastAsia="宋体" w:hint="default"/>
                <w:spacing w:val="-4"/>
                <w:sz w:val="21"/>
                <w:szCs w:val="21"/>
              </w:rPr>
              <w:t>现金流量套期储备（现金流量套期损益的</w:t>
            </w:r>
          </w:p>
          <w:p>
            <w:pPr>
              <w:pStyle w:val="TableParagraph"/>
              <w:spacing w:line="267" w:lineRule="exact"/>
              <w:ind w:left="57" w:right="0"/>
              <w:jc w:val="left"/>
              <w:rPr>
                <w:rFonts w:ascii="宋体" w:hAnsi="宋体" w:cs="宋体" w:eastAsia="宋体" w:hint="default"/>
                <w:sz w:val="21"/>
                <w:szCs w:val="21"/>
              </w:rPr>
            </w:pPr>
            <w:r>
              <w:rPr>
                <w:rFonts w:ascii="宋体" w:hAnsi="宋体" w:cs="宋体" w:eastAsia="宋体" w:hint="default"/>
                <w:sz w:val="21"/>
                <w:szCs w:val="21"/>
              </w:rPr>
              <w:t>有效部分）</w:t>
            </w:r>
          </w:p>
        </w:tc>
        <w:tc>
          <w:tcPr>
            <w:tcW w:w="718"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1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7" w:lineRule="exact"/>
              <w:ind w:left="477" w:right="0"/>
              <w:jc w:val="left"/>
              <w:rPr>
                <w:rFonts w:ascii="宋体" w:hAnsi="宋体" w:cs="宋体" w:eastAsia="宋体" w:hint="default"/>
                <w:sz w:val="21"/>
                <w:szCs w:val="21"/>
              </w:rPr>
            </w:pPr>
            <w:r>
              <w:rPr>
                <w:rFonts w:ascii="Arial" w:hAnsi="Arial" w:cs="Arial" w:eastAsia="Arial" w:hint="default"/>
                <w:sz w:val="21"/>
                <w:szCs w:val="21"/>
              </w:rPr>
              <w:t>8.</w:t>
            </w:r>
            <w:r>
              <w:rPr>
                <w:rFonts w:ascii="宋体" w:hAnsi="宋体" w:cs="宋体" w:eastAsia="宋体" w:hint="default"/>
                <w:sz w:val="21"/>
                <w:szCs w:val="21"/>
              </w:rPr>
              <w:t>外币财务报表折算差额</w:t>
            </w:r>
          </w:p>
        </w:tc>
        <w:tc>
          <w:tcPr>
            <w:tcW w:w="718"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11"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77" w:lineRule="exact"/>
              <w:ind w:left="477" w:right="0"/>
              <w:jc w:val="left"/>
              <w:rPr>
                <w:rFonts w:ascii="宋体" w:hAnsi="宋体" w:cs="宋体" w:eastAsia="宋体" w:hint="default"/>
                <w:sz w:val="21"/>
                <w:szCs w:val="21"/>
              </w:rPr>
            </w:pPr>
            <w:r>
              <w:rPr>
                <w:rFonts w:ascii="Arial" w:hAnsi="Arial" w:cs="Arial" w:eastAsia="Arial" w:hint="default"/>
                <w:sz w:val="21"/>
                <w:szCs w:val="21"/>
              </w:rPr>
              <w:t>9.</w:t>
            </w:r>
            <w:r>
              <w:rPr>
                <w:rFonts w:ascii="宋体" w:hAnsi="宋体" w:cs="宋体" w:eastAsia="宋体" w:hint="default"/>
                <w:sz w:val="21"/>
                <w:szCs w:val="21"/>
              </w:rPr>
              <w:t>其他</w:t>
            </w:r>
          </w:p>
        </w:tc>
        <w:tc>
          <w:tcPr>
            <w:tcW w:w="718"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
        </w:tc>
        <w:tc>
          <w:tcPr>
            <w:tcW w:w="1911" w:type="dxa"/>
            <w:tcBorders>
              <w:top w:val="single" w:sz="4" w:space="0" w:color="41B7EE"/>
              <w:left w:val="single" w:sz="4" w:space="0" w:color="41B7EE"/>
              <w:bottom w:val="single" w:sz="4" w:space="0" w:color="41B7EE"/>
              <w:right w:val="nil" w:sz="6" w:space="0" w:color="auto"/>
            </w:tcBorders>
          </w:tcPr>
          <w:p>
            <w:pP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38"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718" w:type="dxa"/>
            <w:tcBorders>
              <w:top w:val="single" w:sz="4" w:space="0" w:color="41B7EE"/>
              <w:left w:val="single" w:sz="4" w:space="0" w:color="41B7EE"/>
              <w:bottom w:val="single" w:sz="4" w:space="0" w:color="41B7EE"/>
              <w:right w:val="single" w:sz="4" w:space="0" w:color="41B7EE"/>
            </w:tcBorders>
          </w:tcPr>
          <w:p>
            <w:pPr/>
          </w:p>
        </w:tc>
        <w:tc>
          <w:tcPr>
            <w:tcW w:w="18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796,533,937.38</w:t>
            </w:r>
          </w:p>
        </w:tc>
        <w:tc>
          <w:tcPr>
            <w:tcW w:w="191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954,691,423.12</w:t>
            </w:r>
          </w:p>
        </w:tc>
      </w:tr>
      <w:tr>
        <w:trPr>
          <w:trHeight w:val="329" w:hRule="exact"/>
        </w:trPr>
        <w:tc>
          <w:tcPr>
            <w:tcW w:w="4453" w:type="dxa"/>
            <w:tcBorders>
              <w:top w:val="single" w:sz="4" w:space="0" w:color="41B7EE"/>
              <w:left w:val="nil" w:sz="6" w:space="0" w:color="auto"/>
              <w:bottom w:val="single" w:sz="8" w:space="0" w:color="41B7EE"/>
              <w:right w:val="single" w:sz="4" w:space="0" w:color="41B7EE"/>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718" w:type="dxa"/>
            <w:tcBorders>
              <w:top w:val="single" w:sz="4" w:space="0" w:color="41B7EE"/>
              <w:left w:val="single" w:sz="4" w:space="0" w:color="41B7EE"/>
              <w:bottom w:val="single" w:sz="8" w:space="0" w:color="41B7EE"/>
              <w:right w:val="single" w:sz="4" w:space="0" w:color="41B7EE"/>
            </w:tcBorders>
          </w:tcPr>
          <w:p>
            <w:pPr/>
          </w:p>
        </w:tc>
        <w:tc>
          <w:tcPr>
            <w:tcW w:w="1867" w:type="dxa"/>
            <w:tcBorders>
              <w:top w:val="single" w:sz="4" w:space="0" w:color="41B7EE"/>
              <w:left w:val="single" w:sz="4" w:space="0" w:color="41B7EE"/>
              <w:bottom w:val="single" w:sz="8" w:space="0" w:color="41B7EE"/>
              <w:right w:val="single" w:sz="4" w:space="0" w:color="41B7EE"/>
            </w:tcBorders>
          </w:tcPr>
          <w:p>
            <w:pPr/>
          </w:p>
        </w:tc>
        <w:tc>
          <w:tcPr>
            <w:tcW w:w="1911" w:type="dxa"/>
            <w:tcBorders>
              <w:top w:val="single" w:sz="4" w:space="0" w:color="41B7EE"/>
              <w:left w:val="single" w:sz="4" w:space="0" w:color="41B7EE"/>
              <w:bottom w:val="single" w:sz="8" w:space="0" w:color="41B7EE"/>
              <w:right w:val="nil" w:sz="6" w:space="0" w:color="auto"/>
            </w:tcBorders>
          </w:tcPr>
          <w:p>
            <w:pPr/>
          </w:p>
        </w:tc>
      </w:tr>
    </w:tbl>
    <w:p>
      <w:pPr>
        <w:spacing w:after="0"/>
        <w:sectPr>
          <w:pgSz w:w="11910" w:h="16840"/>
          <w:pgMar w:header="821" w:footer="1348" w:top="1360" w:bottom="1540" w:left="1620" w:right="1080"/>
        </w:sectPr>
      </w:pPr>
    </w:p>
    <w:p>
      <w:pPr>
        <w:spacing w:line="240" w:lineRule="auto" w:before="9"/>
        <w:rPr>
          <w:rFonts w:ascii="Times New Roman" w:hAnsi="Times New Roman" w:cs="Times New Roman" w:eastAsia="Times New Roman" w:hint="default"/>
          <w:sz w:val="13"/>
          <w:szCs w:val="13"/>
        </w:rPr>
      </w:pPr>
    </w:p>
    <w:p>
      <w:pPr>
        <w:spacing w:line="20" w:lineRule="exact"/>
        <w:ind w:left="13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8.4pt;height:1pt;mso-position-horizontal-relative:char;mso-position-vertical-relative:line" coordorigin="0,0" coordsize="8968,20">
            <v:group style="position:absolute;left:10;top:10;width:4448;height:2" coordorigin="10,10" coordsize="4448,2">
              <v:shape style="position:absolute;left:10;top:10;width:4448;height:2" coordorigin="10,10" coordsize="4448,0" path="m10,10l4457,10e" filled="false" stroked="true" strokeweight=".96001pt" strokecolor="#41b7ee">
                <v:path arrowok="t"/>
              </v:shape>
            </v:group>
            <v:group style="position:absolute;left:4457;top:10;width:58;height:2" coordorigin="4457,10" coordsize="58,2">
              <v:shape style="position:absolute;left:4457;top:10;width:58;height:2" coordorigin="4457,10" coordsize="58,0" path="m4457,10l4515,10e" filled="false" stroked="true" strokeweight=".96001pt" strokecolor="#41b7ee">
                <v:path arrowok="t"/>
              </v:shape>
            </v:group>
            <v:group style="position:absolute;left:4515;top:10;width:661;height:2" coordorigin="4515,10" coordsize="661,2">
              <v:shape style="position:absolute;left:4515;top:10;width:661;height:2" coordorigin="4515,10" coordsize="661,0" path="m4515,10l5175,10e" filled="false" stroked="true" strokeweight=".96001pt" strokecolor="#41b7ee">
                <v:path arrowok="t"/>
              </v:shape>
            </v:group>
            <v:group style="position:absolute;left:5175;top:10;width:58;height:2" coordorigin="5175,10" coordsize="58,2">
              <v:shape style="position:absolute;left:5175;top:10;width:58;height:2" coordorigin="5175,10" coordsize="58,0" path="m5175,10l5233,10e" filled="false" stroked="true" strokeweight=".96001pt" strokecolor="#41b7ee">
                <v:path arrowok="t"/>
              </v:shape>
            </v:group>
            <v:group style="position:absolute;left:5233;top:10;width:1810;height:2" coordorigin="5233,10" coordsize="1810,2">
              <v:shape style="position:absolute;left:5233;top:10;width:1810;height:2" coordorigin="5233,10" coordsize="1810,0" path="m5233,10l7043,10e" filled="false" stroked="true" strokeweight=".96001pt" strokecolor="#41b7ee">
                <v:path arrowok="t"/>
              </v:shape>
            </v:group>
            <v:group style="position:absolute;left:7043;top:10;width:58;height:2" coordorigin="7043,10" coordsize="58,2">
              <v:shape style="position:absolute;left:7043;top:10;width:58;height:2" coordorigin="7043,10" coordsize="58,0" path="m7043,10l7100,10e" filled="false" stroked="true" strokeweight=".96001pt" strokecolor="#41b7ee">
                <v:path arrowok="t"/>
              </v:shape>
            </v:group>
            <v:group style="position:absolute;left:7100;top:10;width:1859;height:2" coordorigin="7100,10" coordsize="1859,2">
              <v:shape style="position:absolute;left:7100;top:10;width:1859;height:2" coordorigin="7100,10" coordsize="1859,0" path="m7100,10l8958,10e" filled="false" stroked="true" strokeweight=".96001pt" strokecolor="#41b7ee">
                <v:path arrowok="t"/>
              </v:shape>
            </v:group>
          </v:group>
        </w:pict>
      </w:r>
      <w:r>
        <w:rPr>
          <w:rFonts w:ascii="Times New Roman" w:hAnsi="Times New Roman" w:cs="Times New Roman" w:eastAsia="Times New Roman" w:hint="default"/>
          <w:sz w:val="2"/>
          <w:szCs w:val="2"/>
        </w:rPr>
      </w:r>
    </w:p>
    <w:tbl>
      <w:tblPr>
        <w:tblW w:w="0" w:type="auto"/>
        <w:jc w:val="left"/>
        <w:tblInd w:w="111" w:type="dxa"/>
        <w:tblLayout w:type="fixed"/>
        <w:tblCellMar>
          <w:top w:w="0" w:type="dxa"/>
          <w:left w:w="0" w:type="dxa"/>
          <w:bottom w:w="0" w:type="dxa"/>
          <w:right w:w="0" w:type="dxa"/>
        </w:tblCellMar>
        <w:tblLook w:val="01E0"/>
      </w:tblPr>
      <w:tblGrid>
        <w:gridCol w:w="4453"/>
        <w:gridCol w:w="718"/>
        <w:gridCol w:w="1867"/>
        <w:gridCol w:w="1911"/>
      </w:tblGrid>
      <w:tr>
        <w:trPr>
          <w:trHeight w:val="329" w:hRule="exact"/>
        </w:trPr>
        <w:tc>
          <w:tcPr>
            <w:tcW w:w="4453" w:type="dxa"/>
            <w:tcBorders>
              <w:top w:val="single" w:sz="8" w:space="0" w:color="41B7EE"/>
              <w:left w:val="nil" w:sz="6" w:space="0" w:color="auto"/>
              <w:bottom w:val="single" w:sz="4" w:space="0" w:color="41B7EE"/>
              <w:right w:val="single" w:sz="4" w:space="0" w:color="41B7EE"/>
            </w:tcBorders>
          </w:tcPr>
          <w:p>
            <w:pPr>
              <w:pStyle w:val="TableParagraph"/>
              <w:spacing w:line="280" w:lineRule="exact"/>
              <w:ind w:left="458" w:right="0"/>
              <w:jc w:val="left"/>
              <w:rPr>
                <w:rFonts w:ascii="Arial" w:hAnsi="Arial" w:cs="Arial" w:eastAsia="Arial" w:hint="default"/>
                <w:sz w:val="21"/>
                <w:szCs w:val="21"/>
              </w:rPr>
            </w:pPr>
            <w:r>
              <w:rPr>
                <w:rFonts w:ascii="宋体" w:hAnsi="宋体" w:cs="宋体" w:eastAsia="宋体" w:hint="default"/>
                <w:sz w:val="21"/>
                <w:szCs w:val="21"/>
              </w:rPr>
              <w:t>（一）基本每股收益（元</w:t>
            </w:r>
            <w:r>
              <w:rPr>
                <w:rFonts w:ascii="Arial" w:hAnsi="Arial" w:cs="Arial" w:eastAsia="Arial" w:hint="default"/>
                <w:sz w:val="21"/>
                <w:szCs w:val="21"/>
              </w:rPr>
              <w:t>/</w:t>
            </w:r>
            <w:r>
              <w:rPr>
                <w:rFonts w:ascii="宋体" w:hAnsi="宋体" w:cs="宋体" w:eastAsia="宋体" w:hint="default"/>
                <w:sz w:val="21"/>
                <w:szCs w:val="21"/>
              </w:rPr>
              <w:t>股</w:t>
            </w:r>
            <w:r>
              <w:rPr>
                <w:rFonts w:ascii="Arial" w:hAnsi="Arial" w:cs="Arial" w:eastAsia="Arial" w:hint="default"/>
                <w:sz w:val="21"/>
                <w:szCs w:val="21"/>
              </w:rPr>
              <w:t>)</w:t>
            </w:r>
          </w:p>
        </w:tc>
        <w:tc>
          <w:tcPr>
            <w:tcW w:w="718" w:type="dxa"/>
            <w:tcBorders>
              <w:top w:val="single" w:sz="8" w:space="0" w:color="41B7EE"/>
              <w:left w:val="single" w:sz="4" w:space="0" w:color="41B7EE"/>
              <w:bottom w:val="single" w:sz="4" w:space="0" w:color="41B7EE"/>
              <w:right w:val="single" w:sz="4" w:space="0" w:color="41B7EE"/>
            </w:tcBorders>
          </w:tcPr>
          <w:p>
            <w:pPr/>
          </w:p>
        </w:tc>
        <w:tc>
          <w:tcPr>
            <w:tcW w:w="1867" w:type="dxa"/>
            <w:tcBorders>
              <w:top w:val="single" w:sz="8" w:space="0" w:color="41B7EE"/>
              <w:left w:val="single" w:sz="4" w:space="0" w:color="41B7EE"/>
              <w:bottom w:val="single" w:sz="4" w:space="0" w:color="41B7EE"/>
              <w:right w:val="single" w:sz="4" w:space="0" w:color="41B7EE"/>
            </w:tcBorders>
          </w:tcPr>
          <w:p>
            <w:pPr/>
          </w:p>
        </w:tc>
        <w:tc>
          <w:tcPr>
            <w:tcW w:w="1911" w:type="dxa"/>
            <w:tcBorders>
              <w:top w:val="single" w:sz="8" w:space="0" w:color="41B7EE"/>
              <w:left w:val="single" w:sz="4" w:space="0" w:color="41B7EE"/>
              <w:bottom w:val="single" w:sz="4" w:space="0" w:color="41B7EE"/>
              <w:right w:val="nil" w:sz="6" w:space="0" w:color="auto"/>
            </w:tcBorders>
          </w:tcPr>
          <w:p>
            <w:pPr/>
          </w:p>
        </w:tc>
      </w:tr>
      <w:tr>
        <w:trPr>
          <w:trHeight w:val="350" w:hRule="exact"/>
        </w:trPr>
        <w:tc>
          <w:tcPr>
            <w:tcW w:w="4453" w:type="dxa"/>
            <w:tcBorders>
              <w:top w:val="single" w:sz="4" w:space="0" w:color="41B7EE"/>
              <w:left w:val="nil" w:sz="6" w:space="0" w:color="auto"/>
              <w:bottom w:val="single" w:sz="23" w:space="0" w:color="41B7EE"/>
              <w:right w:val="single" w:sz="4" w:space="0" w:color="41B7EE"/>
            </w:tcBorders>
          </w:tcPr>
          <w:p>
            <w:pPr>
              <w:pStyle w:val="TableParagraph"/>
              <w:spacing w:line="277" w:lineRule="exact"/>
              <w:ind w:left="458" w:right="0"/>
              <w:jc w:val="left"/>
              <w:rPr>
                <w:rFonts w:ascii="Arial" w:hAnsi="Arial" w:cs="Arial" w:eastAsia="Arial" w:hint="default"/>
                <w:sz w:val="21"/>
                <w:szCs w:val="21"/>
              </w:rPr>
            </w:pPr>
            <w:r>
              <w:rPr>
                <w:rFonts w:ascii="宋体" w:hAnsi="宋体" w:cs="宋体" w:eastAsia="宋体" w:hint="default"/>
                <w:sz w:val="21"/>
                <w:szCs w:val="21"/>
              </w:rPr>
              <w:t>（二）稀释每股收益（元</w:t>
            </w:r>
            <w:r>
              <w:rPr>
                <w:rFonts w:ascii="Arial" w:hAnsi="Arial" w:cs="Arial" w:eastAsia="Arial" w:hint="default"/>
                <w:sz w:val="21"/>
                <w:szCs w:val="21"/>
              </w:rPr>
              <w:t>/</w:t>
            </w:r>
            <w:r>
              <w:rPr>
                <w:rFonts w:ascii="宋体" w:hAnsi="宋体" w:cs="宋体" w:eastAsia="宋体" w:hint="default"/>
                <w:sz w:val="21"/>
                <w:szCs w:val="21"/>
              </w:rPr>
              <w:t>股</w:t>
            </w:r>
            <w:r>
              <w:rPr>
                <w:rFonts w:ascii="Arial" w:hAnsi="Arial" w:cs="Arial" w:eastAsia="Arial" w:hint="default"/>
                <w:sz w:val="21"/>
                <w:szCs w:val="21"/>
              </w:rPr>
              <w:t>)</w:t>
            </w:r>
          </w:p>
        </w:tc>
        <w:tc>
          <w:tcPr>
            <w:tcW w:w="718" w:type="dxa"/>
            <w:tcBorders>
              <w:top w:val="single" w:sz="4" w:space="0" w:color="41B7EE"/>
              <w:left w:val="single" w:sz="4" w:space="0" w:color="41B7EE"/>
              <w:bottom w:val="single" w:sz="23" w:space="0" w:color="41B7EE"/>
              <w:right w:val="single" w:sz="4" w:space="0" w:color="41B7EE"/>
            </w:tcBorders>
          </w:tcPr>
          <w:p>
            <w:pPr/>
          </w:p>
        </w:tc>
        <w:tc>
          <w:tcPr>
            <w:tcW w:w="1867" w:type="dxa"/>
            <w:tcBorders>
              <w:top w:val="single" w:sz="4" w:space="0" w:color="41B7EE"/>
              <w:left w:val="single" w:sz="4" w:space="0" w:color="41B7EE"/>
              <w:bottom w:val="single" w:sz="23" w:space="0" w:color="41B7EE"/>
              <w:right w:val="single" w:sz="4" w:space="0" w:color="41B7EE"/>
            </w:tcBorders>
          </w:tcPr>
          <w:p>
            <w:pPr/>
          </w:p>
        </w:tc>
        <w:tc>
          <w:tcPr>
            <w:tcW w:w="1911" w:type="dxa"/>
            <w:tcBorders>
              <w:top w:val="single" w:sz="4" w:space="0" w:color="41B7EE"/>
              <w:left w:val="single" w:sz="4" w:space="0" w:color="41B7EE"/>
              <w:bottom w:val="single" w:sz="23" w:space="0" w:color="41B7EE"/>
              <w:right w:val="nil" w:sz="6" w:space="0" w:color="auto"/>
            </w:tcBorders>
          </w:tcPr>
          <w:p>
            <w:pPr/>
          </w:p>
        </w:tc>
      </w:tr>
    </w:tbl>
    <w:p>
      <w:pPr>
        <w:pStyle w:val="BodyText"/>
        <w:spacing w:line="258" w:lineRule="exact"/>
        <w:ind w:left="198" w:right="0"/>
        <w:jc w:val="left"/>
        <w:rPr>
          <w:rFonts w:ascii="宋体" w:hAnsi="宋体" w:cs="宋体" w:eastAsia="宋体" w:hint="default"/>
        </w:rPr>
      </w:pPr>
      <w:r>
        <w:rPr>
          <w:rFonts w:ascii="宋体"/>
          <w:w w:val="100"/>
        </w:rPr>
        <w:t> </w:t>
      </w:r>
    </w:p>
    <w:p>
      <w:pPr>
        <w:spacing w:line="259" w:lineRule="exact" w:before="0"/>
        <w:ind w:left="198" w:right="0" w:firstLine="0"/>
        <w:jc w:val="left"/>
        <w:rPr>
          <w:rFonts w:ascii="宋体" w:hAnsi="宋体" w:cs="宋体" w:eastAsia="宋体" w:hint="default"/>
          <w:sz w:val="20"/>
          <w:szCs w:val="20"/>
        </w:rPr>
      </w:pPr>
      <w:r>
        <w:rPr>
          <w:rFonts w:ascii="宋体" w:hAnsi="宋体" w:cs="宋体" w:eastAsia="宋体" w:hint="default"/>
          <w:sz w:val="20"/>
          <w:szCs w:val="20"/>
        </w:rPr>
        <w:t>法定代表人：刘长友主管会计工作负责人：贺天元、总会计师及会计机构负责人：葛树峰</w:t>
      </w:r>
      <w:r>
        <w:rPr>
          <w:rFonts w:ascii="宋体" w:hAnsi="宋体" w:cs="宋体" w:eastAsia="宋体" w:hint="default"/>
          <w:sz w:val="20"/>
          <w:szCs w:val="20"/>
        </w:rPr>
        <w:t> </w:t>
      </w:r>
    </w:p>
    <w:p>
      <w:pPr>
        <w:pStyle w:val="BodyText"/>
        <w:spacing w:line="272" w:lineRule="exact"/>
        <w:ind w:left="198" w:right="0"/>
        <w:jc w:val="left"/>
        <w:rPr>
          <w:rFonts w:ascii="宋体" w:hAnsi="宋体" w:cs="宋体" w:eastAsia="宋体" w:hint="default"/>
        </w:rPr>
      </w:pPr>
      <w:r>
        <w:rPr>
          <w:rFonts w:ascii="宋体"/>
          <w:color w:val="FF0000"/>
          <w:w w:val="100"/>
        </w:rPr>
        <w:t> </w:t>
      </w:r>
      <w:r>
        <w:rPr>
          <w:rFonts w:ascii="宋体"/>
          <w:w w:val="100"/>
        </w:rPr>
      </w:r>
    </w:p>
    <w:p>
      <w:pPr>
        <w:pStyle w:val="BodyText"/>
        <w:spacing w:line="274" w:lineRule="exact"/>
        <w:ind w:left="198" w:right="0"/>
        <w:jc w:val="left"/>
        <w:rPr>
          <w:rFonts w:ascii="宋体" w:hAnsi="宋体" w:cs="宋体" w:eastAsia="宋体" w:hint="default"/>
        </w:rPr>
      </w:pPr>
      <w:r>
        <w:rPr>
          <w:rFonts w:ascii="宋体"/>
          <w:color w:val="FF0000"/>
          <w:w w:val="100"/>
        </w:rPr>
        <w:t> </w:t>
      </w:r>
      <w:r>
        <w:rPr>
          <w:rFonts w:ascii="宋体"/>
          <w:w w:val="100"/>
        </w:rPr>
      </w:r>
    </w:p>
    <w:p>
      <w:pPr>
        <w:spacing w:after="0" w:line="274" w:lineRule="exact"/>
        <w:jc w:val="left"/>
        <w:rPr>
          <w:rFonts w:ascii="宋体" w:hAnsi="宋体" w:cs="宋体" w:eastAsia="宋体" w:hint="default"/>
        </w:rPr>
        <w:sectPr>
          <w:footerReference w:type="default" r:id="rId45"/>
          <w:pgSz w:w="11910" w:h="16840"/>
          <w:pgMar w:footer="1195" w:header="821" w:top="1360" w:bottom="1380" w:left="1600" w:right="1040"/>
          <w:pgNumType w:start="73"/>
        </w:sectPr>
      </w:pPr>
    </w:p>
    <w:p>
      <w:pPr>
        <w:pStyle w:val="Heading2"/>
        <w:spacing w:line="271" w:lineRule="exact" w:before="0"/>
        <w:ind w:left="0" w:right="0"/>
        <w:jc w:val="right"/>
        <w:rPr>
          <w:rFonts w:ascii="宋体" w:hAnsi="宋体" w:cs="宋体" w:eastAsia="宋体" w:hint="default"/>
          <w:b w:val="0"/>
          <w:bCs w:val="0"/>
        </w:rPr>
      </w:pPr>
      <w:r>
        <w:rPr>
          <w:spacing w:val="-1"/>
        </w:rPr>
        <w:t>合并现金流量表</w:t>
      </w:r>
      <w:r>
        <w:rPr>
          <w:rFonts w:ascii="宋体" w:hAnsi="宋体" w:cs="宋体" w:eastAsia="宋体" w:hint="default"/>
          <w:w w:val="99"/>
        </w:rPr>
        <w:t> </w:t>
      </w:r>
      <w:r>
        <w:rPr>
          <w:rFonts w:ascii="宋体" w:hAnsi="宋体" w:cs="宋体" w:eastAsia="宋体" w:hint="default"/>
          <w:b w:val="0"/>
          <w:bCs w:val="0"/>
        </w:rPr>
      </w:r>
    </w:p>
    <w:p>
      <w:pPr>
        <w:pStyle w:val="BodyText"/>
        <w:spacing w:line="289" w:lineRule="exact"/>
        <w:ind w:left="0" w:right="36"/>
        <w:jc w:val="right"/>
      </w:pPr>
      <w:r>
        <w:rPr>
          <w:rFonts w:ascii="Arial" w:hAnsi="Arial" w:cs="Arial" w:eastAsia="Arial" w:hint="default"/>
        </w:rPr>
        <w:t>2019</w:t>
      </w:r>
      <w:r>
        <w:rPr>
          <w:rFonts w:ascii="Arial" w:hAnsi="Arial" w:cs="Arial" w:eastAsia="Arial" w:hint="default"/>
          <w:spacing w:val="-8"/>
        </w:rPr>
        <w:t> </w:t>
      </w:r>
      <w:r>
        <w:rPr/>
        <w:t>年</w:t>
      </w:r>
      <w:r>
        <w:rPr>
          <w:spacing w:val="-53"/>
        </w:rPr>
        <w:t> </w:t>
      </w:r>
      <w:r>
        <w:rPr>
          <w:rFonts w:ascii="Arial" w:hAnsi="Arial" w:cs="Arial" w:eastAsia="Arial" w:hint="default"/>
        </w:rPr>
        <w:t>1</w:t>
      </w:r>
      <w:r>
        <w:rPr>
          <w:rFonts w:ascii="Arial" w:hAnsi="Arial" w:cs="Arial" w:eastAsia="Arial" w:hint="default"/>
        </w:rPr>
        <w:t>—</w:t>
      </w:r>
      <w:r>
        <w:rPr>
          <w:rFonts w:ascii="Arial" w:hAnsi="Arial" w:cs="Arial" w:eastAsia="Arial" w:hint="default"/>
        </w:rPr>
        <w:t>12</w:t>
      </w:r>
      <w:r>
        <w:rPr>
          <w:rFonts w:ascii="Arial" w:hAnsi="Arial" w:cs="Arial" w:eastAsia="Arial" w:hint="default"/>
          <w:spacing w:val="-6"/>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1"/>
          <w:szCs w:val="21"/>
        </w:rPr>
      </w:pPr>
    </w:p>
    <w:p>
      <w:pPr>
        <w:pStyle w:val="BodyText"/>
        <w:spacing w:line="240" w:lineRule="auto"/>
        <w:ind w:left="1222"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600" w:right="1040"/>
          <w:cols w:num="2" w:equalWidth="0">
            <w:col w:w="5458" w:space="40"/>
            <w:col w:w="3772"/>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453"/>
        <w:gridCol w:w="701"/>
        <w:gridCol w:w="1891"/>
        <w:gridCol w:w="1904"/>
      </w:tblGrid>
      <w:tr>
        <w:trPr>
          <w:trHeight w:val="348" w:hRule="exact"/>
        </w:trPr>
        <w:tc>
          <w:tcPr>
            <w:tcW w:w="4453" w:type="dxa"/>
            <w:tcBorders>
              <w:top w:val="single" w:sz="23" w:space="0" w:color="41B7EE"/>
              <w:left w:val="nil" w:sz="6" w:space="0" w:color="auto"/>
              <w:bottom w:val="single" w:sz="4" w:space="0" w:color="41B7EE"/>
              <w:right w:val="single" w:sz="4" w:space="0" w:color="41B7EE"/>
            </w:tcBorders>
          </w:tcPr>
          <w:p>
            <w:pPr>
              <w:pStyle w:val="TableParagraph"/>
              <w:spacing w:line="262" w:lineRule="exact"/>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01" w:type="dxa"/>
            <w:tcBorders>
              <w:top w:val="single" w:sz="23" w:space="0" w:color="41B7EE"/>
              <w:left w:val="single" w:sz="4" w:space="0" w:color="41B7EE"/>
              <w:bottom w:val="single" w:sz="4" w:space="0" w:color="41B7EE"/>
              <w:right w:val="single" w:sz="4" w:space="0" w:color="41B7EE"/>
            </w:tcBorders>
          </w:tcPr>
          <w:p>
            <w:pPr>
              <w:pStyle w:val="TableParagraph"/>
              <w:spacing w:line="262" w:lineRule="exact"/>
              <w:ind w:right="130"/>
              <w:jc w:val="right"/>
              <w:rPr>
                <w:rFonts w:ascii="宋体" w:hAnsi="宋体" w:cs="宋体" w:eastAsia="宋体" w:hint="default"/>
                <w:sz w:val="21"/>
                <w:szCs w:val="21"/>
              </w:rPr>
            </w:pPr>
            <w:r>
              <w:rPr>
                <w:rFonts w:ascii="宋体" w:hAnsi="宋体" w:cs="宋体" w:eastAsia="宋体" w:hint="default"/>
                <w:sz w:val="21"/>
                <w:szCs w:val="21"/>
              </w:rPr>
              <w:t>附注</w:t>
            </w:r>
          </w:p>
        </w:tc>
        <w:tc>
          <w:tcPr>
            <w:tcW w:w="1891" w:type="dxa"/>
            <w:tcBorders>
              <w:top w:val="single" w:sz="23" w:space="0" w:color="41B7EE"/>
              <w:left w:val="single" w:sz="4" w:space="0" w:color="41B7EE"/>
              <w:bottom w:val="single" w:sz="4" w:space="0" w:color="41B7EE"/>
              <w:right w:val="single" w:sz="4" w:space="0" w:color="41B7EE"/>
            </w:tcBorders>
          </w:tcPr>
          <w:p>
            <w:pPr>
              <w:pStyle w:val="TableParagraph"/>
              <w:spacing w:line="277" w:lineRule="exact"/>
              <w:ind w:left="496" w:right="0"/>
              <w:jc w:val="left"/>
              <w:rPr>
                <w:rFonts w:ascii="宋体" w:hAnsi="宋体" w:cs="宋体" w:eastAsia="宋体" w:hint="default"/>
                <w:sz w:val="21"/>
                <w:szCs w:val="21"/>
              </w:rPr>
            </w:pPr>
            <w:r>
              <w:rPr>
                <w:rFonts w:ascii="Arial" w:hAnsi="Arial" w:cs="Arial" w:eastAsia="Arial" w:hint="default"/>
                <w:sz w:val="21"/>
                <w:szCs w:val="21"/>
              </w:rPr>
              <w:t>2019</w:t>
            </w:r>
            <w:r>
              <w:rPr>
                <w:rFonts w:ascii="宋体" w:hAnsi="宋体" w:cs="宋体" w:eastAsia="宋体" w:hint="default"/>
                <w:sz w:val="21"/>
                <w:szCs w:val="21"/>
              </w:rPr>
              <w:t>年度</w:t>
            </w:r>
          </w:p>
        </w:tc>
        <w:tc>
          <w:tcPr>
            <w:tcW w:w="1904" w:type="dxa"/>
            <w:tcBorders>
              <w:top w:val="single" w:sz="23" w:space="0" w:color="41B7EE"/>
              <w:left w:val="single" w:sz="4" w:space="0" w:color="41B7EE"/>
              <w:bottom w:val="single" w:sz="4" w:space="0" w:color="41B7EE"/>
              <w:right w:val="nil" w:sz="6" w:space="0" w:color="auto"/>
            </w:tcBorders>
          </w:tcPr>
          <w:p>
            <w:pPr>
              <w:pStyle w:val="TableParagraph"/>
              <w:spacing w:line="277" w:lineRule="exact"/>
              <w:ind w:left="502" w:right="0"/>
              <w:jc w:val="left"/>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年度</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701" w:type="dxa"/>
            <w:tcBorders>
              <w:top w:val="single" w:sz="4" w:space="0" w:color="41B7EE"/>
              <w:left w:val="single" w:sz="4" w:space="0" w:color="41B7EE"/>
              <w:bottom w:val="single" w:sz="4" w:space="0" w:color="41B7EE"/>
              <w:right w:val="single" w:sz="4" w:space="0" w:color="41B7EE"/>
            </w:tcBorders>
          </w:tcPr>
          <w:p>
            <w:pPr/>
          </w:p>
        </w:tc>
        <w:tc>
          <w:tcPr>
            <w:tcW w:w="1891" w:type="dxa"/>
            <w:tcBorders>
              <w:top w:val="single" w:sz="4" w:space="0" w:color="41B7EE"/>
              <w:left w:val="single" w:sz="4" w:space="0" w:color="41B7EE"/>
              <w:bottom w:val="single" w:sz="4" w:space="0" w:color="41B7EE"/>
              <w:right w:val="single" w:sz="4" w:space="0" w:color="41B7EE"/>
            </w:tcBorders>
          </w:tcPr>
          <w:p>
            <w:pPr/>
          </w:p>
        </w:tc>
        <w:tc>
          <w:tcPr>
            <w:tcW w:w="1904"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701" w:type="dxa"/>
            <w:tcBorders>
              <w:top w:val="single" w:sz="4" w:space="0" w:color="41B7EE"/>
              <w:left w:val="single" w:sz="4" w:space="0" w:color="41B7EE"/>
              <w:bottom w:val="single" w:sz="4" w:space="0" w:color="41B7EE"/>
              <w:right w:val="single" w:sz="4" w:space="0" w:color="41B7EE"/>
            </w:tcBorders>
          </w:tcPr>
          <w:p>
            <w:pP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3,022,029,576.23</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3,321,520,799.80</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1" w:lineRule="exact"/>
              <w:ind w:left="268"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701" w:type="dxa"/>
            <w:tcBorders>
              <w:top w:val="single" w:sz="4" w:space="0" w:color="41B7EE"/>
              <w:left w:val="single" w:sz="4" w:space="0" w:color="41B7EE"/>
              <w:bottom w:val="single" w:sz="4" w:space="0" w:color="41B7EE"/>
              <w:right w:val="single" w:sz="4" w:space="0" w:color="41B7EE"/>
            </w:tcBorders>
          </w:tcPr>
          <w:p>
            <w:pPr/>
          </w:p>
        </w:tc>
        <w:tc>
          <w:tcPr>
            <w:tcW w:w="1891" w:type="dxa"/>
            <w:tcBorders>
              <w:top w:val="single" w:sz="4" w:space="0" w:color="41B7EE"/>
              <w:left w:val="single" w:sz="4" w:space="0" w:color="41B7EE"/>
              <w:bottom w:val="single" w:sz="4" w:space="0" w:color="41B7EE"/>
              <w:right w:val="single" w:sz="4" w:space="0" w:color="41B7EE"/>
            </w:tcBorders>
          </w:tcPr>
          <w:p>
            <w:pPr/>
          </w:p>
        </w:tc>
        <w:tc>
          <w:tcPr>
            <w:tcW w:w="1904"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75" w:lineRule="exact"/>
              <w:ind w:right="122"/>
              <w:jc w:val="right"/>
              <w:rPr>
                <w:rFonts w:ascii="Arial" w:hAnsi="Arial" w:cs="Arial" w:eastAsia="Arial" w:hint="default"/>
                <w:sz w:val="21"/>
                <w:szCs w:val="21"/>
              </w:rPr>
            </w:pPr>
            <w:r>
              <w:rPr>
                <w:rFonts w:ascii="宋体" w:hAnsi="宋体" w:cs="宋体" w:eastAsia="宋体" w:hint="default"/>
                <w:spacing w:val="-28"/>
                <w:w w:val="90"/>
                <w:sz w:val="21"/>
                <w:szCs w:val="21"/>
              </w:rPr>
              <w:t>七、</w:t>
            </w:r>
            <w:r>
              <w:rPr>
                <w:rFonts w:ascii="Arial" w:hAnsi="Arial" w:cs="Arial" w:eastAsia="Arial" w:hint="default"/>
                <w:spacing w:val="-28"/>
                <w:w w:val="90"/>
                <w:sz w:val="21"/>
                <w:szCs w:val="21"/>
              </w:rPr>
              <w:t>76</w:t>
            </w:r>
            <w:r>
              <w:rPr>
                <w:rFonts w:ascii="Arial" w:hAnsi="Arial" w:cs="Arial" w:eastAsia="Arial" w:hint="default"/>
                <w:sz w:val="21"/>
                <w:szCs w:val="21"/>
              </w:rPr>
            </w: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206,227,057.32</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208,223,153.39</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477"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701" w:type="dxa"/>
            <w:tcBorders>
              <w:top w:val="single" w:sz="4" w:space="0" w:color="41B7EE"/>
              <w:left w:val="single" w:sz="4" w:space="0" w:color="41B7EE"/>
              <w:bottom w:val="single" w:sz="4" w:space="0" w:color="41B7EE"/>
              <w:right w:val="single" w:sz="4" w:space="0" w:color="41B7EE"/>
            </w:tcBorders>
          </w:tcPr>
          <w:p>
            <w:pP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3,228,256,633.55</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3,529,743,953.19</w:t>
            </w: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701" w:type="dxa"/>
            <w:tcBorders>
              <w:top w:val="single" w:sz="4" w:space="0" w:color="41B7EE"/>
              <w:left w:val="single" w:sz="4" w:space="0" w:color="41B7EE"/>
              <w:bottom w:val="single" w:sz="4" w:space="0" w:color="41B7EE"/>
              <w:right w:val="single" w:sz="4" w:space="0" w:color="41B7EE"/>
            </w:tcBorders>
          </w:tcPr>
          <w:p>
            <w:pP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504,798,973.87</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430,419,177.95</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支付给职工及为职工支付的现金</w:t>
            </w:r>
          </w:p>
        </w:tc>
        <w:tc>
          <w:tcPr>
            <w:tcW w:w="701" w:type="dxa"/>
            <w:tcBorders>
              <w:top w:val="single" w:sz="4" w:space="0" w:color="41B7EE"/>
              <w:left w:val="single" w:sz="4" w:space="0" w:color="41B7EE"/>
              <w:bottom w:val="single" w:sz="4" w:space="0" w:color="41B7EE"/>
              <w:right w:val="single" w:sz="4" w:space="0" w:color="41B7EE"/>
            </w:tcBorders>
          </w:tcPr>
          <w:p>
            <w:pP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845,027,980.44</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8"/>
              <w:ind w:right="53"/>
              <w:jc w:val="right"/>
              <w:rPr>
                <w:rFonts w:ascii="Arial" w:hAnsi="Arial" w:cs="Arial" w:eastAsia="Arial" w:hint="default"/>
                <w:sz w:val="21"/>
                <w:szCs w:val="21"/>
              </w:rPr>
            </w:pPr>
            <w:r>
              <w:rPr>
                <w:rFonts w:ascii="Arial"/>
                <w:spacing w:val="-1"/>
                <w:sz w:val="21"/>
              </w:rPr>
              <w:t>864,500,851.03</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701" w:type="dxa"/>
            <w:tcBorders>
              <w:top w:val="single" w:sz="4" w:space="0" w:color="41B7EE"/>
              <w:left w:val="single" w:sz="4" w:space="0" w:color="41B7EE"/>
              <w:bottom w:val="single" w:sz="4" w:space="0" w:color="41B7EE"/>
              <w:right w:val="single" w:sz="4" w:space="0" w:color="41B7EE"/>
            </w:tcBorders>
          </w:tcPr>
          <w:p>
            <w:pP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24,270,810.20</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44,694,859.19</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75" w:lineRule="exact"/>
              <w:ind w:right="122"/>
              <w:jc w:val="right"/>
              <w:rPr>
                <w:rFonts w:ascii="Arial" w:hAnsi="Arial" w:cs="Arial" w:eastAsia="Arial" w:hint="default"/>
                <w:sz w:val="21"/>
                <w:szCs w:val="21"/>
              </w:rPr>
            </w:pPr>
            <w:r>
              <w:rPr>
                <w:rFonts w:ascii="宋体" w:hAnsi="宋体" w:cs="宋体" w:eastAsia="宋体" w:hint="default"/>
                <w:spacing w:val="-28"/>
                <w:w w:val="90"/>
                <w:sz w:val="21"/>
                <w:szCs w:val="21"/>
              </w:rPr>
              <w:t>七、</w:t>
            </w:r>
            <w:r>
              <w:rPr>
                <w:rFonts w:ascii="Arial" w:hAnsi="Arial" w:cs="Arial" w:eastAsia="Arial" w:hint="default"/>
                <w:spacing w:val="-28"/>
                <w:w w:val="90"/>
                <w:sz w:val="21"/>
                <w:szCs w:val="21"/>
              </w:rPr>
              <w:t>76</w:t>
            </w:r>
            <w:r>
              <w:rPr>
                <w:rFonts w:ascii="Arial" w:hAnsi="Arial" w:cs="Arial" w:eastAsia="Arial" w:hint="default"/>
                <w:sz w:val="21"/>
                <w:szCs w:val="21"/>
              </w:rPr>
            </w: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1,039,990,551.73</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876,257,150.75</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477"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701" w:type="dxa"/>
            <w:tcBorders>
              <w:top w:val="single" w:sz="4" w:space="0" w:color="41B7EE"/>
              <w:left w:val="single" w:sz="4" w:space="0" w:color="41B7EE"/>
              <w:bottom w:val="single" w:sz="4" w:space="0" w:color="41B7EE"/>
              <w:right w:val="single" w:sz="4" w:space="0" w:color="41B7EE"/>
            </w:tcBorders>
          </w:tcPr>
          <w:p>
            <w:pP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2,414,088,316.24</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2,215,872,038.92</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688"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701" w:type="dxa"/>
            <w:tcBorders>
              <w:top w:val="single" w:sz="4" w:space="0" w:color="41B7EE"/>
              <w:left w:val="single" w:sz="4" w:space="0" w:color="41B7EE"/>
              <w:bottom w:val="single" w:sz="4" w:space="0" w:color="41B7EE"/>
              <w:right w:val="single" w:sz="4" w:space="0" w:color="41B7EE"/>
            </w:tcBorders>
          </w:tcPr>
          <w:p>
            <w:pP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814,168,317.31</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1,313,871,914.27</w:t>
            </w: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57"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701" w:type="dxa"/>
            <w:tcBorders>
              <w:top w:val="single" w:sz="4" w:space="0" w:color="41B7EE"/>
              <w:left w:val="single" w:sz="4" w:space="0" w:color="41B7EE"/>
              <w:bottom w:val="single" w:sz="4" w:space="0" w:color="41B7EE"/>
              <w:right w:val="single" w:sz="4" w:space="0" w:color="41B7EE"/>
            </w:tcBorders>
          </w:tcPr>
          <w:p>
            <w:pPr/>
          </w:p>
        </w:tc>
        <w:tc>
          <w:tcPr>
            <w:tcW w:w="1891" w:type="dxa"/>
            <w:tcBorders>
              <w:top w:val="single" w:sz="4" w:space="0" w:color="41B7EE"/>
              <w:left w:val="single" w:sz="4" w:space="0" w:color="41B7EE"/>
              <w:bottom w:val="single" w:sz="4" w:space="0" w:color="41B7EE"/>
              <w:right w:val="single" w:sz="4" w:space="0" w:color="41B7EE"/>
            </w:tcBorders>
          </w:tcPr>
          <w:p>
            <w:pPr/>
          </w:p>
        </w:tc>
        <w:tc>
          <w:tcPr>
            <w:tcW w:w="1904"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701" w:type="dxa"/>
            <w:tcBorders>
              <w:top w:val="single" w:sz="4" w:space="0" w:color="41B7EE"/>
              <w:left w:val="single" w:sz="4" w:space="0" w:color="41B7EE"/>
              <w:bottom w:val="single" w:sz="4" w:space="0" w:color="41B7EE"/>
              <w:right w:val="single" w:sz="4" w:space="0" w:color="41B7EE"/>
            </w:tcBorders>
          </w:tcPr>
          <w:p>
            <w:pP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11,231,104,000.00</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8"/>
              <w:ind w:right="53"/>
              <w:jc w:val="right"/>
              <w:rPr>
                <w:rFonts w:ascii="Arial" w:hAnsi="Arial" w:cs="Arial" w:eastAsia="Arial" w:hint="default"/>
                <w:sz w:val="21"/>
                <w:szCs w:val="21"/>
              </w:rPr>
            </w:pPr>
            <w:r>
              <w:rPr>
                <w:rFonts w:ascii="Arial"/>
                <w:spacing w:val="-1"/>
                <w:sz w:val="21"/>
              </w:rPr>
              <w:t>6,350,000,000.00</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701" w:type="dxa"/>
            <w:tcBorders>
              <w:top w:val="single" w:sz="4" w:space="0" w:color="41B7EE"/>
              <w:left w:val="single" w:sz="4" w:space="0" w:color="41B7EE"/>
              <w:bottom w:val="single" w:sz="4" w:space="0" w:color="41B7EE"/>
              <w:right w:val="single" w:sz="4" w:space="0" w:color="41B7EE"/>
            </w:tcBorders>
          </w:tcPr>
          <w:p>
            <w:pP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78,383,114.58</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63,418,854.56</w:t>
            </w:r>
          </w:p>
        </w:tc>
      </w:tr>
      <w:tr>
        <w:trPr>
          <w:trHeight w:val="55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40" w:lineRule="exact"/>
              <w:ind w:left="268" w:right="0"/>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处置固定资产、无形资产和其他长期资产收回</w:t>
            </w:r>
          </w:p>
          <w:p>
            <w:pPr>
              <w:pStyle w:val="TableParagraph"/>
              <w:spacing w:line="274" w:lineRule="exact"/>
              <w:ind w:left="57" w:right="0"/>
              <w:jc w:val="left"/>
              <w:rPr>
                <w:rFonts w:ascii="宋体" w:hAnsi="宋体" w:cs="宋体" w:eastAsia="宋体" w:hint="default"/>
                <w:sz w:val="21"/>
                <w:szCs w:val="21"/>
              </w:rPr>
            </w:pPr>
            <w:r>
              <w:rPr>
                <w:rFonts w:ascii="宋体" w:hAnsi="宋体" w:cs="宋体" w:eastAsia="宋体" w:hint="default"/>
                <w:sz w:val="21"/>
                <w:szCs w:val="21"/>
              </w:rPr>
              <w:t>的现金净额</w:t>
            </w:r>
          </w:p>
        </w:tc>
        <w:tc>
          <w:tcPr>
            <w:tcW w:w="701" w:type="dxa"/>
            <w:tcBorders>
              <w:top w:val="single" w:sz="4" w:space="0" w:color="41B7EE"/>
              <w:left w:val="single" w:sz="4" w:space="0" w:color="41B7EE"/>
              <w:bottom w:val="single" w:sz="4" w:space="0" w:color="41B7EE"/>
              <w:right w:val="single" w:sz="4" w:space="0" w:color="41B7EE"/>
            </w:tcBorders>
          </w:tcPr>
          <w:p>
            <w:pP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48"/>
              <w:jc w:val="right"/>
              <w:rPr>
                <w:rFonts w:ascii="Arial" w:hAnsi="Arial" w:cs="Arial" w:eastAsia="Arial" w:hint="default"/>
                <w:sz w:val="21"/>
                <w:szCs w:val="21"/>
              </w:rPr>
            </w:pPr>
            <w:r>
              <w:rPr>
                <w:rFonts w:ascii="Arial"/>
                <w:spacing w:val="-1"/>
                <w:sz w:val="21"/>
              </w:rPr>
              <w:t>4,396,313.00</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6"/>
              <w:ind w:right="53"/>
              <w:jc w:val="right"/>
              <w:rPr>
                <w:rFonts w:ascii="Arial" w:hAnsi="Arial" w:cs="Arial" w:eastAsia="Arial" w:hint="default"/>
                <w:sz w:val="21"/>
                <w:szCs w:val="21"/>
              </w:rPr>
            </w:pPr>
            <w:r>
              <w:rPr>
                <w:rFonts w:ascii="Arial"/>
                <w:spacing w:val="-1"/>
                <w:sz w:val="21"/>
              </w:rPr>
              <w:t>1,144,153.00</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right="182"/>
              <w:jc w:val="righ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处置子公司及其他营业单位收到的现金净额</w:t>
            </w:r>
          </w:p>
        </w:tc>
        <w:tc>
          <w:tcPr>
            <w:tcW w:w="701" w:type="dxa"/>
            <w:tcBorders>
              <w:top w:val="single" w:sz="4" w:space="0" w:color="41B7EE"/>
              <w:left w:val="single" w:sz="4" w:space="0" w:color="41B7EE"/>
              <w:bottom w:val="single" w:sz="4" w:space="0" w:color="41B7EE"/>
              <w:right w:val="single" w:sz="4" w:space="0" w:color="41B7EE"/>
            </w:tcBorders>
          </w:tcPr>
          <w:p>
            <w:pPr/>
          </w:p>
        </w:tc>
        <w:tc>
          <w:tcPr>
            <w:tcW w:w="1891" w:type="dxa"/>
            <w:tcBorders>
              <w:top w:val="single" w:sz="4" w:space="0" w:color="41B7EE"/>
              <w:left w:val="single" w:sz="4" w:space="0" w:color="41B7EE"/>
              <w:bottom w:val="single" w:sz="4" w:space="0" w:color="41B7EE"/>
              <w:right w:val="single" w:sz="4" w:space="0" w:color="41B7EE"/>
            </w:tcBorders>
          </w:tcPr>
          <w:p>
            <w:pPr/>
          </w:p>
        </w:tc>
        <w:tc>
          <w:tcPr>
            <w:tcW w:w="1904"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77" w:lineRule="exact"/>
              <w:ind w:right="122"/>
              <w:jc w:val="right"/>
              <w:rPr>
                <w:rFonts w:ascii="Arial" w:hAnsi="Arial" w:cs="Arial" w:eastAsia="Arial" w:hint="default"/>
                <w:sz w:val="21"/>
                <w:szCs w:val="21"/>
              </w:rPr>
            </w:pPr>
            <w:r>
              <w:rPr>
                <w:rFonts w:ascii="宋体" w:hAnsi="宋体" w:cs="宋体" w:eastAsia="宋体" w:hint="default"/>
                <w:spacing w:val="-28"/>
                <w:w w:val="90"/>
                <w:sz w:val="21"/>
                <w:szCs w:val="21"/>
              </w:rPr>
              <w:t>七、</w:t>
            </w:r>
            <w:r>
              <w:rPr>
                <w:rFonts w:ascii="Arial" w:hAnsi="Arial" w:cs="Arial" w:eastAsia="Arial" w:hint="default"/>
                <w:spacing w:val="-28"/>
                <w:w w:val="90"/>
                <w:sz w:val="21"/>
                <w:szCs w:val="21"/>
              </w:rPr>
              <w:t>76</w:t>
            </w:r>
            <w:r>
              <w:rPr>
                <w:rFonts w:ascii="Arial" w:hAnsi="Arial" w:cs="Arial" w:eastAsia="Arial" w:hint="default"/>
                <w:sz w:val="21"/>
                <w:szCs w:val="21"/>
              </w:rPr>
            </w:r>
          </w:p>
        </w:tc>
        <w:tc>
          <w:tcPr>
            <w:tcW w:w="1891" w:type="dxa"/>
            <w:tcBorders>
              <w:top w:val="single" w:sz="4" w:space="0" w:color="41B7EE"/>
              <w:left w:val="single" w:sz="4" w:space="0" w:color="41B7EE"/>
              <w:bottom w:val="single" w:sz="4" w:space="0" w:color="41B7EE"/>
              <w:right w:val="single" w:sz="4" w:space="0" w:color="41B7EE"/>
            </w:tcBorders>
          </w:tcPr>
          <w:p>
            <w:pP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590,000,000.00</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477"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701" w:type="dxa"/>
            <w:tcBorders>
              <w:top w:val="single" w:sz="4" w:space="0" w:color="41B7EE"/>
              <w:left w:val="single" w:sz="4" w:space="0" w:color="41B7EE"/>
              <w:bottom w:val="single" w:sz="4" w:space="0" w:color="41B7EE"/>
              <w:right w:val="single" w:sz="4" w:space="0" w:color="41B7EE"/>
            </w:tcBorders>
          </w:tcPr>
          <w:p>
            <w:pP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11,313,883,427.58</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7,004,563,007.56</w:t>
            </w:r>
          </w:p>
        </w:tc>
      </w:tr>
      <w:tr>
        <w:trPr>
          <w:trHeight w:val="557"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41" w:lineRule="exact"/>
              <w:ind w:left="268" w:right="0"/>
              <w:jc w:val="left"/>
              <w:rPr>
                <w:rFonts w:ascii="宋体" w:hAnsi="宋体" w:cs="宋体" w:eastAsia="宋体" w:hint="default"/>
                <w:sz w:val="21"/>
                <w:szCs w:val="21"/>
              </w:rPr>
            </w:pPr>
            <w:r>
              <w:rPr>
                <w:rFonts w:ascii="宋体" w:hAnsi="宋体" w:cs="宋体" w:eastAsia="宋体" w:hint="default"/>
                <w:spacing w:val="-5"/>
                <w:sz w:val="21"/>
                <w:szCs w:val="21"/>
              </w:rPr>
              <w:t>购建固定资产、无形资产和其他长期资产支付</w:t>
            </w:r>
          </w:p>
          <w:p>
            <w:pPr>
              <w:pStyle w:val="TableParagraph"/>
              <w:spacing w:line="273" w:lineRule="exact"/>
              <w:ind w:left="57"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701" w:type="dxa"/>
            <w:tcBorders>
              <w:top w:val="single" w:sz="4" w:space="0" w:color="41B7EE"/>
              <w:left w:val="single" w:sz="4" w:space="0" w:color="41B7EE"/>
              <w:bottom w:val="single" w:sz="4" w:space="0" w:color="41B7EE"/>
              <w:right w:val="single" w:sz="4" w:space="0" w:color="41B7EE"/>
            </w:tcBorders>
          </w:tcPr>
          <w:p>
            <w:pP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48"/>
              <w:jc w:val="right"/>
              <w:rPr>
                <w:rFonts w:ascii="Arial" w:hAnsi="Arial" w:cs="Arial" w:eastAsia="Arial" w:hint="default"/>
                <w:sz w:val="21"/>
                <w:szCs w:val="21"/>
              </w:rPr>
            </w:pPr>
            <w:r>
              <w:rPr>
                <w:rFonts w:ascii="Arial"/>
                <w:spacing w:val="-1"/>
                <w:sz w:val="21"/>
              </w:rPr>
              <w:t>237,913,160.99</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8"/>
              <w:ind w:right="53"/>
              <w:jc w:val="right"/>
              <w:rPr>
                <w:rFonts w:ascii="Arial" w:hAnsi="Arial" w:cs="Arial" w:eastAsia="Arial" w:hint="default"/>
                <w:sz w:val="21"/>
                <w:szCs w:val="21"/>
              </w:rPr>
            </w:pPr>
            <w:r>
              <w:rPr>
                <w:rFonts w:ascii="Arial"/>
                <w:spacing w:val="-1"/>
                <w:sz w:val="21"/>
              </w:rPr>
              <w:t>267,560,550.31</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701" w:type="dxa"/>
            <w:tcBorders>
              <w:top w:val="single" w:sz="4" w:space="0" w:color="41B7EE"/>
              <w:left w:val="single" w:sz="4" w:space="0" w:color="41B7EE"/>
              <w:bottom w:val="single" w:sz="4" w:space="0" w:color="41B7EE"/>
              <w:right w:val="single" w:sz="4" w:space="0" w:color="41B7EE"/>
            </w:tcBorders>
          </w:tcPr>
          <w:p>
            <w:pP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10,472,000,000.00</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8"/>
              <w:ind w:right="53"/>
              <w:jc w:val="right"/>
              <w:rPr>
                <w:rFonts w:ascii="Arial" w:hAnsi="Arial" w:cs="Arial" w:eastAsia="Arial" w:hint="default"/>
                <w:sz w:val="21"/>
                <w:szCs w:val="21"/>
              </w:rPr>
            </w:pPr>
            <w:r>
              <w:rPr>
                <w:rFonts w:ascii="Arial"/>
                <w:spacing w:val="-1"/>
                <w:sz w:val="21"/>
              </w:rPr>
              <w:t>7,222,000,000.00</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right="182"/>
              <w:jc w:val="righ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取得子公司及其他营业单位支付的现金净额</w:t>
            </w:r>
          </w:p>
        </w:tc>
        <w:tc>
          <w:tcPr>
            <w:tcW w:w="701" w:type="dxa"/>
            <w:tcBorders>
              <w:top w:val="single" w:sz="4" w:space="0" w:color="41B7EE"/>
              <w:left w:val="single" w:sz="4" w:space="0" w:color="41B7EE"/>
              <w:bottom w:val="single" w:sz="4" w:space="0" w:color="41B7EE"/>
              <w:right w:val="single" w:sz="4" w:space="0" w:color="41B7EE"/>
            </w:tcBorders>
          </w:tcPr>
          <w:p>
            <w:pPr/>
          </w:p>
        </w:tc>
        <w:tc>
          <w:tcPr>
            <w:tcW w:w="1891" w:type="dxa"/>
            <w:tcBorders>
              <w:top w:val="single" w:sz="4" w:space="0" w:color="41B7EE"/>
              <w:left w:val="single" w:sz="4" w:space="0" w:color="41B7EE"/>
              <w:bottom w:val="single" w:sz="4" w:space="0" w:color="41B7EE"/>
              <w:right w:val="single" w:sz="4" w:space="0" w:color="41B7EE"/>
            </w:tcBorders>
          </w:tcPr>
          <w:p>
            <w:pPr/>
          </w:p>
        </w:tc>
        <w:tc>
          <w:tcPr>
            <w:tcW w:w="1904"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75" w:lineRule="exact"/>
              <w:ind w:right="122"/>
              <w:jc w:val="right"/>
              <w:rPr>
                <w:rFonts w:ascii="Arial" w:hAnsi="Arial" w:cs="Arial" w:eastAsia="Arial" w:hint="default"/>
                <w:sz w:val="21"/>
                <w:szCs w:val="21"/>
              </w:rPr>
            </w:pPr>
            <w:r>
              <w:rPr>
                <w:rFonts w:ascii="宋体" w:hAnsi="宋体" w:cs="宋体" w:eastAsia="宋体" w:hint="default"/>
                <w:spacing w:val="-28"/>
                <w:w w:val="90"/>
                <w:sz w:val="21"/>
                <w:szCs w:val="21"/>
              </w:rPr>
              <w:t>七、</w:t>
            </w:r>
            <w:r>
              <w:rPr>
                <w:rFonts w:ascii="Arial" w:hAnsi="Arial" w:cs="Arial" w:eastAsia="Arial" w:hint="default"/>
                <w:spacing w:val="-28"/>
                <w:w w:val="90"/>
                <w:sz w:val="21"/>
                <w:szCs w:val="21"/>
              </w:rPr>
              <w:t>76</w:t>
            </w:r>
            <w:r>
              <w:rPr>
                <w:rFonts w:ascii="Arial" w:hAnsi="Arial" w:cs="Arial" w:eastAsia="Arial" w:hint="default"/>
                <w:sz w:val="21"/>
                <w:szCs w:val="21"/>
              </w:rPr>
            </w: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212,443.95</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520,033,290.00</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3" w:lineRule="exact"/>
              <w:ind w:left="477"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701" w:type="dxa"/>
            <w:tcBorders>
              <w:top w:val="single" w:sz="4" w:space="0" w:color="41B7EE"/>
              <w:left w:val="single" w:sz="4" w:space="0" w:color="41B7EE"/>
              <w:bottom w:val="single" w:sz="4" w:space="0" w:color="41B7EE"/>
              <w:right w:val="single" w:sz="4" w:space="0" w:color="41B7EE"/>
            </w:tcBorders>
          </w:tcPr>
          <w:p>
            <w:pP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10,710,125,604.94</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8,009,593,840.31</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688"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701" w:type="dxa"/>
            <w:tcBorders>
              <w:top w:val="single" w:sz="4" w:space="0" w:color="41B7EE"/>
              <w:left w:val="single" w:sz="4" w:space="0" w:color="41B7EE"/>
              <w:bottom w:val="single" w:sz="4" w:space="0" w:color="41B7EE"/>
              <w:right w:val="single" w:sz="4" w:space="0" w:color="41B7EE"/>
            </w:tcBorders>
          </w:tcPr>
          <w:p>
            <w:pP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603,757,822.64</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-1,005,030,832.75</w:t>
            </w: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57"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701" w:type="dxa"/>
            <w:tcBorders>
              <w:top w:val="single" w:sz="4" w:space="0" w:color="41B7EE"/>
              <w:left w:val="single" w:sz="4" w:space="0" w:color="41B7EE"/>
              <w:bottom w:val="single" w:sz="4" w:space="0" w:color="41B7EE"/>
              <w:right w:val="single" w:sz="4" w:space="0" w:color="41B7EE"/>
            </w:tcBorders>
          </w:tcPr>
          <w:p>
            <w:pPr/>
          </w:p>
        </w:tc>
        <w:tc>
          <w:tcPr>
            <w:tcW w:w="1891" w:type="dxa"/>
            <w:tcBorders>
              <w:top w:val="single" w:sz="4" w:space="0" w:color="41B7EE"/>
              <w:left w:val="single" w:sz="4" w:space="0" w:color="41B7EE"/>
              <w:bottom w:val="single" w:sz="4" w:space="0" w:color="41B7EE"/>
              <w:right w:val="single" w:sz="4" w:space="0" w:color="41B7EE"/>
            </w:tcBorders>
          </w:tcPr>
          <w:p>
            <w:pPr/>
          </w:p>
        </w:tc>
        <w:tc>
          <w:tcPr>
            <w:tcW w:w="1904"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701" w:type="dxa"/>
            <w:tcBorders>
              <w:top w:val="single" w:sz="4" w:space="0" w:color="41B7EE"/>
              <w:left w:val="single" w:sz="4" w:space="0" w:color="41B7EE"/>
              <w:bottom w:val="single" w:sz="4" w:space="0" w:color="41B7EE"/>
              <w:right w:val="single" w:sz="4" w:space="0" w:color="41B7EE"/>
            </w:tcBorders>
          </w:tcPr>
          <w:p>
            <w:pPr/>
          </w:p>
        </w:tc>
        <w:tc>
          <w:tcPr>
            <w:tcW w:w="1891" w:type="dxa"/>
            <w:tcBorders>
              <w:top w:val="single" w:sz="4" w:space="0" w:color="41B7EE"/>
              <w:left w:val="single" w:sz="4" w:space="0" w:color="41B7EE"/>
              <w:bottom w:val="single" w:sz="4" w:space="0" w:color="41B7EE"/>
              <w:right w:val="single" w:sz="4" w:space="0" w:color="41B7EE"/>
            </w:tcBorders>
          </w:tcPr>
          <w:p>
            <w:pPr/>
          </w:p>
        </w:tc>
        <w:tc>
          <w:tcPr>
            <w:tcW w:w="1904"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right="182"/>
              <w:jc w:val="right"/>
              <w:rPr>
                <w:rFonts w:ascii="宋体" w:hAnsi="宋体" w:cs="宋体" w:eastAsia="宋体" w:hint="default"/>
                <w:sz w:val="21"/>
                <w:szCs w:val="21"/>
              </w:rPr>
            </w:pPr>
            <w:r>
              <w:rPr>
                <w:rFonts w:ascii="宋体" w:hAnsi="宋体" w:cs="宋体" w:eastAsia="宋体" w:hint="default"/>
                <w:spacing w:val="-2"/>
                <w:sz w:val="21"/>
                <w:szCs w:val="21"/>
              </w:rPr>
              <w:t>其中：子公司吸收少数股东投资收到的现金</w:t>
            </w:r>
          </w:p>
        </w:tc>
        <w:tc>
          <w:tcPr>
            <w:tcW w:w="701" w:type="dxa"/>
            <w:tcBorders>
              <w:top w:val="single" w:sz="4" w:space="0" w:color="41B7EE"/>
              <w:left w:val="single" w:sz="4" w:space="0" w:color="41B7EE"/>
              <w:bottom w:val="single" w:sz="4" w:space="0" w:color="41B7EE"/>
              <w:right w:val="single" w:sz="4" w:space="0" w:color="41B7EE"/>
            </w:tcBorders>
          </w:tcPr>
          <w:p>
            <w:pPr/>
          </w:p>
        </w:tc>
        <w:tc>
          <w:tcPr>
            <w:tcW w:w="1891" w:type="dxa"/>
            <w:tcBorders>
              <w:top w:val="single" w:sz="4" w:space="0" w:color="41B7EE"/>
              <w:left w:val="single" w:sz="4" w:space="0" w:color="41B7EE"/>
              <w:bottom w:val="single" w:sz="4" w:space="0" w:color="41B7EE"/>
              <w:right w:val="single" w:sz="4" w:space="0" w:color="41B7EE"/>
            </w:tcBorders>
          </w:tcPr>
          <w:p>
            <w:pPr/>
          </w:p>
        </w:tc>
        <w:tc>
          <w:tcPr>
            <w:tcW w:w="1904"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701" w:type="dxa"/>
            <w:tcBorders>
              <w:top w:val="single" w:sz="4" w:space="0" w:color="41B7EE"/>
              <w:left w:val="single" w:sz="4" w:space="0" w:color="41B7EE"/>
              <w:bottom w:val="single" w:sz="4" w:space="0" w:color="41B7EE"/>
              <w:right w:val="single" w:sz="4" w:space="0" w:color="41B7EE"/>
            </w:tcBorders>
          </w:tcPr>
          <w:p>
            <w:pPr/>
          </w:p>
        </w:tc>
        <w:tc>
          <w:tcPr>
            <w:tcW w:w="1891" w:type="dxa"/>
            <w:tcBorders>
              <w:top w:val="single" w:sz="4" w:space="0" w:color="41B7EE"/>
              <w:left w:val="single" w:sz="4" w:space="0" w:color="41B7EE"/>
              <w:bottom w:val="single" w:sz="4" w:space="0" w:color="41B7EE"/>
              <w:right w:val="single" w:sz="4" w:space="0" w:color="41B7EE"/>
            </w:tcBorders>
          </w:tcPr>
          <w:p>
            <w:pPr/>
          </w:p>
        </w:tc>
        <w:tc>
          <w:tcPr>
            <w:tcW w:w="1904"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701" w:type="dxa"/>
            <w:tcBorders>
              <w:top w:val="single" w:sz="4" w:space="0" w:color="41B7EE"/>
              <w:left w:val="single" w:sz="4" w:space="0" w:color="41B7EE"/>
              <w:bottom w:val="single" w:sz="4" w:space="0" w:color="41B7EE"/>
              <w:right w:val="single" w:sz="4" w:space="0" w:color="41B7EE"/>
            </w:tcBorders>
          </w:tcPr>
          <w:p>
            <w:pPr/>
          </w:p>
        </w:tc>
        <w:tc>
          <w:tcPr>
            <w:tcW w:w="1891" w:type="dxa"/>
            <w:tcBorders>
              <w:top w:val="single" w:sz="4" w:space="0" w:color="41B7EE"/>
              <w:left w:val="single" w:sz="4" w:space="0" w:color="41B7EE"/>
              <w:bottom w:val="single" w:sz="4" w:space="0" w:color="41B7EE"/>
              <w:right w:val="single" w:sz="4" w:space="0" w:color="41B7EE"/>
            </w:tcBorders>
          </w:tcPr>
          <w:p>
            <w:pPr/>
          </w:p>
        </w:tc>
        <w:tc>
          <w:tcPr>
            <w:tcW w:w="1904"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477"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701" w:type="dxa"/>
            <w:tcBorders>
              <w:top w:val="single" w:sz="4" w:space="0" w:color="41B7EE"/>
              <w:left w:val="single" w:sz="4" w:space="0" w:color="41B7EE"/>
              <w:bottom w:val="single" w:sz="4" w:space="0" w:color="41B7EE"/>
              <w:right w:val="single" w:sz="4" w:space="0" w:color="41B7EE"/>
            </w:tcBorders>
          </w:tcPr>
          <w:p>
            <w:pPr/>
          </w:p>
        </w:tc>
        <w:tc>
          <w:tcPr>
            <w:tcW w:w="1891" w:type="dxa"/>
            <w:tcBorders>
              <w:top w:val="single" w:sz="4" w:space="0" w:color="41B7EE"/>
              <w:left w:val="single" w:sz="4" w:space="0" w:color="41B7EE"/>
              <w:bottom w:val="single" w:sz="4" w:space="0" w:color="41B7EE"/>
              <w:right w:val="single" w:sz="4" w:space="0" w:color="41B7EE"/>
            </w:tcBorders>
          </w:tcPr>
          <w:p>
            <w:pPr/>
          </w:p>
        </w:tc>
        <w:tc>
          <w:tcPr>
            <w:tcW w:w="1904" w:type="dxa"/>
            <w:tcBorders>
              <w:top w:val="single" w:sz="4" w:space="0" w:color="41B7EE"/>
              <w:left w:val="single" w:sz="4" w:space="0" w:color="41B7EE"/>
              <w:bottom w:val="single" w:sz="4" w:space="0" w:color="41B7EE"/>
              <w:right w:val="nil" w:sz="6" w:space="0" w:color="auto"/>
            </w:tcBorders>
          </w:tcPr>
          <w:p>
            <w:pP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701" w:type="dxa"/>
            <w:tcBorders>
              <w:top w:val="single" w:sz="4" w:space="0" w:color="41B7EE"/>
              <w:left w:val="single" w:sz="4" w:space="0" w:color="41B7EE"/>
              <w:bottom w:val="single" w:sz="4" w:space="0" w:color="41B7EE"/>
              <w:right w:val="single" w:sz="4" w:space="0" w:color="41B7EE"/>
            </w:tcBorders>
          </w:tcPr>
          <w:p>
            <w:pPr/>
          </w:p>
        </w:tc>
        <w:tc>
          <w:tcPr>
            <w:tcW w:w="1891" w:type="dxa"/>
            <w:tcBorders>
              <w:top w:val="single" w:sz="4" w:space="0" w:color="41B7EE"/>
              <w:left w:val="single" w:sz="4" w:space="0" w:color="41B7EE"/>
              <w:bottom w:val="single" w:sz="4" w:space="0" w:color="41B7EE"/>
              <w:right w:val="single" w:sz="4" w:space="0" w:color="41B7EE"/>
            </w:tcBorders>
          </w:tcPr>
          <w:p>
            <w:pPr/>
          </w:p>
        </w:tc>
        <w:tc>
          <w:tcPr>
            <w:tcW w:w="1904" w:type="dxa"/>
            <w:tcBorders>
              <w:top w:val="single" w:sz="4" w:space="0" w:color="41B7EE"/>
              <w:left w:val="single" w:sz="4" w:space="0" w:color="41B7EE"/>
              <w:bottom w:val="single" w:sz="4" w:space="0" w:color="41B7EE"/>
              <w:right w:val="nil" w:sz="6" w:space="0" w:color="auto"/>
            </w:tcBorders>
          </w:tcPr>
          <w:p>
            <w:pPr/>
          </w:p>
        </w:tc>
      </w:tr>
      <w:tr>
        <w:trPr>
          <w:trHeight w:val="329" w:hRule="exact"/>
        </w:trPr>
        <w:tc>
          <w:tcPr>
            <w:tcW w:w="4453" w:type="dxa"/>
            <w:tcBorders>
              <w:top w:val="single" w:sz="4" w:space="0" w:color="41B7EE"/>
              <w:left w:val="nil" w:sz="6" w:space="0" w:color="auto"/>
              <w:bottom w:val="single" w:sz="8"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701" w:type="dxa"/>
            <w:tcBorders>
              <w:top w:val="single" w:sz="4" w:space="0" w:color="41B7EE"/>
              <w:left w:val="single" w:sz="4" w:space="0" w:color="41B7EE"/>
              <w:bottom w:val="single" w:sz="8" w:space="0" w:color="41B7EE"/>
              <w:right w:val="single" w:sz="4" w:space="0" w:color="41B7EE"/>
            </w:tcBorders>
          </w:tcPr>
          <w:p>
            <w:pPr/>
          </w:p>
        </w:tc>
        <w:tc>
          <w:tcPr>
            <w:tcW w:w="1891"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710,769,991.52</w:t>
            </w:r>
          </w:p>
        </w:tc>
        <w:tc>
          <w:tcPr>
            <w:tcW w:w="1904"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28"/>
              <w:ind w:right="53"/>
              <w:jc w:val="right"/>
              <w:rPr>
                <w:rFonts w:ascii="Arial" w:hAnsi="Arial" w:cs="Arial" w:eastAsia="Arial" w:hint="default"/>
                <w:sz w:val="21"/>
                <w:szCs w:val="21"/>
              </w:rPr>
            </w:pPr>
            <w:r>
              <w:rPr>
                <w:rFonts w:ascii="Arial"/>
                <w:spacing w:val="-1"/>
                <w:sz w:val="21"/>
              </w:rPr>
              <w:t>479,910,270.70</w:t>
            </w:r>
          </w:p>
        </w:tc>
      </w:tr>
    </w:tbl>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48.4pt;height:1pt;mso-position-horizontal-relative:char;mso-position-vertical-relative:line" coordorigin="0,0" coordsize="8968,20">
            <v:group style="position:absolute;left:10;top:10;width:4448;height:2" coordorigin="10,10" coordsize="4448,2">
              <v:shape style="position:absolute;left:10;top:10;width:4448;height:2" coordorigin="10,10" coordsize="4448,0" path="m10,10l4457,10e" filled="false" stroked="true" strokeweight=".95996pt" strokecolor="#41b7ee">
                <v:path arrowok="t"/>
              </v:shape>
            </v:group>
            <v:group style="position:absolute;left:4457;top:10;width:58;height:2" coordorigin="4457,10" coordsize="58,2">
              <v:shape style="position:absolute;left:4457;top:10;width:58;height:2" coordorigin="4457,10" coordsize="58,0" path="m4457,10l4515,10e" filled="false" stroked="true" strokeweight=".95996pt" strokecolor="#41b7ee">
                <v:path arrowok="t"/>
              </v:shape>
            </v:group>
            <v:group style="position:absolute;left:4515;top:10;width:644;height:2" coordorigin="4515,10" coordsize="644,2">
              <v:shape style="position:absolute;left:4515;top:10;width:644;height:2" coordorigin="4515,10" coordsize="644,0" path="m4515,10l5159,10e" filled="false" stroked="true" strokeweight=".95996pt" strokecolor="#41b7ee">
                <v:path arrowok="t"/>
              </v:shape>
            </v:group>
            <v:group style="position:absolute;left:5159;top:10;width:58;height:2" coordorigin="5159,10" coordsize="58,2">
              <v:shape style="position:absolute;left:5159;top:10;width:58;height:2" coordorigin="5159,10" coordsize="58,0" path="m5159,10l5216,10e" filled="false" stroked="true" strokeweight=".95996pt" strokecolor="#41b7ee">
                <v:path arrowok="t"/>
              </v:shape>
            </v:group>
            <v:group style="position:absolute;left:5216;top:10;width:1834;height:2" coordorigin="5216,10" coordsize="1834,2">
              <v:shape style="position:absolute;left:5216;top:10;width:1834;height:2" coordorigin="5216,10" coordsize="1834,0" path="m5216,10l7050,10e" filled="false" stroked="true" strokeweight=".95996pt" strokecolor="#41b7ee">
                <v:path arrowok="t"/>
              </v:shape>
            </v:group>
            <v:group style="position:absolute;left:7050;top:10;width:58;height:2" coordorigin="7050,10" coordsize="58,2">
              <v:shape style="position:absolute;left:7050;top:10;width:58;height:2" coordorigin="7050,10" coordsize="58,0" path="m7050,10l7107,10e" filled="false" stroked="true" strokeweight=".95996pt" strokecolor="#41b7ee">
                <v:path arrowok="t"/>
              </v:shape>
            </v:group>
            <v:group style="position:absolute;left:7107;top:10;width:1851;height:2" coordorigin="7107,10" coordsize="1851,2">
              <v:shape style="position:absolute;left:7107;top:10;width:1851;height:2" coordorigin="7107,10" coordsize="1851,0" path="m7107,10l8958,10e" filled="false" stroked="true" strokeweight=".95996pt" strokecolor="#41b7ee">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360" w:bottom="1380" w:left="1600" w:right="1040"/>
        </w:sectPr>
      </w:pPr>
    </w:p>
    <w:p>
      <w:pPr>
        <w:spacing w:line="240" w:lineRule="auto" w:before="1"/>
        <w:rPr>
          <w:rFonts w:ascii="宋体" w:hAnsi="宋体" w:cs="宋体" w:eastAsia="宋体" w:hint="default"/>
          <w:sz w:val="12"/>
          <w:szCs w:val="12"/>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48.4pt;height:1pt;mso-position-horizontal-relative:char;mso-position-vertical-relative:line" coordorigin="0,0" coordsize="8968,20">
            <v:group style="position:absolute;left:10;top:10;width:4448;height:2" coordorigin="10,10" coordsize="4448,2">
              <v:shape style="position:absolute;left:10;top:10;width:4448;height:2" coordorigin="10,10" coordsize="4448,0" path="m10,10l4457,10e" filled="false" stroked="true" strokeweight=".96001pt" strokecolor="#41b7ee">
                <v:path arrowok="t"/>
              </v:shape>
            </v:group>
            <v:group style="position:absolute;left:4457;top:10;width:58;height:2" coordorigin="4457,10" coordsize="58,2">
              <v:shape style="position:absolute;left:4457;top:10;width:58;height:2" coordorigin="4457,10" coordsize="58,0" path="m4457,10l4515,10e" filled="false" stroked="true" strokeweight=".96001pt" strokecolor="#41b7ee">
                <v:path arrowok="t"/>
              </v:shape>
            </v:group>
            <v:group style="position:absolute;left:4515;top:10;width:644;height:2" coordorigin="4515,10" coordsize="644,2">
              <v:shape style="position:absolute;left:4515;top:10;width:644;height:2" coordorigin="4515,10" coordsize="644,0" path="m4515,10l5159,10e" filled="false" stroked="true" strokeweight=".96001pt" strokecolor="#41b7ee">
                <v:path arrowok="t"/>
              </v:shape>
            </v:group>
            <v:group style="position:absolute;left:5159;top:10;width:58;height:2" coordorigin="5159,10" coordsize="58,2">
              <v:shape style="position:absolute;left:5159;top:10;width:58;height:2" coordorigin="5159,10" coordsize="58,0" path="m5159,10l5216,10e" filled="false" stroked="true" strokeweight=".96001pt" strokecolor="#41b7ee">
                <v:path arrowok="t"/>
              </v:shape>
            </v:group>
            <v:group style="position:absolute;left:5216;top:10;width:1834;height:2" coordorigin="5216,10" coordsize="1834,2">
              <v:shape style="position:absolute;left:5216;top:10;width:1834;height:2" coordorigin="5216,10" coordsize="1834,0" path="m5216,10l7050,10e" filled="false" stroked="true" strokeweight=".96001pt" strokecolor="#41b7ee">
                <v:path arrowok="t"/>
              </v:shape>
            </v:group>
            <v:group style="position:absolute;left:7050;top:10;width:58;height:2" coordorigin="7050,10" coordsize="58,2">
              <v:shape style="position:absolute;left:7050;top:10;width:58;height:2" coordorigin="7050,10" coordsize="58,0" path="m7050,10l7107,10e" filled="false" stroked="true" strokeweight=".96001pt" strokecolor="#41b7ee">
                <v:path arrowok="t"/>
              </v:shape>
            </v:group>
            <v:group style="position:absolute;left:7107;top:10;width:1851;height:2" coordorigin="7107,10" coordsize="1851,2">
              <v:shape style="position:absolute;left:7107;top:10;width:1851;height:2" coordorigin="7107,10" coordsize="1851,0" path="m7107,10l8958,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11" w:type="dxa"/>
        <w:tblLayout w:type="fixed"/>
        <w:tblCellMar>
          <w:top w:w="0" w:type="dxa"/>
          <w:left w:w="0" w:type="dxa"/>
          <w:bottom w:w="0" w:type="dxa"/>
          <w:right w:w="0" w:type="dxa"/>
        </w:tblCellMar>
        <w:tblLook w:val="01E0"/>
      </w:tblPr>
      <w:tblGrid>
        <w:gridCol w:w="4453"/>
        <w:gridCol w:w="701"/>
        <w:gridCol w:w="1891"/>
        <w:gridCol w:w="1904"/>
      </w:tblGrid>
      <w:tr>
        <w:trPr>
          <w:trHeight w:val="329" w:hRule="exact"/>
        </w:trPr>
        <w:tc>
          <w:tcPr>
            <w:tcW w:w="4453" w:type="dxa"/>
            <w:tcBorders>
              <w:top w:val="single" w:sz="8" w:space="0" w:color="41B7EE"/>
              <w:left w:val="nil" w:sz="6" w:space="0" w:color="auto"/>
              <w:bottom w:val="single" w:sz="4" w:space="0" w:color="41B7EE"/>
              <w:right w:val="single" w:sz="4" w:space="0" w:color="41B7EE"/>
            </w:tcBorders>
          </w:tcPr>
          <w:p>
            <w:pPr>
              <w:pStyle w:val="TableParagraph"/>
              <w:spacing w:line="265" w:lineRule="exact"/>
              <w:ind w:left="268"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其中：子公司支付给少数股东的股利、利润</w:t>
            </w:r>
          </w:p>
        </w:tc>
        <w:tc>
          <w:tcPr>
            <w:tcW w:w="701" w:type="dxa"/>
            <w:tcBorders>
              <w:top w:val="single" w:sz="8" w:space="0" w:color="41B7EE"/>
              <w:left w:val="single" w:sz="4" w:space="0" w:color="41B7EE"/>
              <w:bottom w:val="single" w:sz="4" w:space="0" w:color="41B7EE"/>
              <w:right w:val="single" w:sz="4" w:space="0" w:color="41B7EE"/>
            </w:tcBorders>
          </w:tcPr>
          <w:p>
            <w:pPr/>
          </w:p>
        </w:tc>
        <w:tc>
          <w:tcPr>
            <w:tcW w:w="1891" w:type="dxa"/>
            <w:tcBorders>
              <w:top w:val="single" w:sz="8" w:space="0" w:color="41B7EE"/>
              <w:left w:val="single" w:sz="4" w:space="0" w:color="41B7EE"/>
              <w:bottom w:val="single" w:sz="4" w:space="0" w:color="41B7EE"/>
              <w:right w:val="single" w:sz="4" w:space="0" w:color="41B7EE"/>
            </w:tcBorders>
          </w:tcPr>
          <w:p>
            <w:pPr/>
          </w:p>
        </w:tc>
        <w:tc>
          <w:tcPr>
            <w:tcW w:w="1904" w:type="dxa"/>
            <w:tcBorders>
              <w:top w:val="single" w:sz="8" w:space="0" w:color="41B7EE"/>
              <w:left w:val="single" w:sz="4" w:space="0" w:color="41B7EE"/>
              <w:bottom w:val="single" w:sz="4" w:space="0" w:color="41B7EE"/>
              <w:right w:val="nil" w:sz="6" w:space="0" w:color="auto"/>
            </w:tcBorders>
          </w:tcPr>
          <w:p>
            <w:pP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701" w:type="dxa"/>
            <w:tcBorders>
              <w:top w:val="single" w:sz="4" w:space="0" w:color="41B7EE"/>
              <w:left w:val="single" w:sz="4" w:space="0" w:color="41B7EE"/>
              <w:bottom w:val="single" w:sz="4" w:space="0" w:color="41B7EE"/>
              <w:right w:val="single" w:sz="4" w:space="0" w:color="41B7EE"/>
            </w:tcBorders>
          </w:tcPr>
          <w:p>
            <w:pPr/>
          </w:p>
        </w:tc>
        <w:tc>
          <w:tcPr>
            <w:tcW w:w="1891" w:type="dxa"/>
            <w:tcBorders>
              <w:top w:val="single" w:sz="4" w:space="0" w:color="41B7EE"/>
              <w:left w:val="single" w:sz="4" w:space="0" w:color="41B7EE"/>
              <w:bottom w:val="single" w:sz="4" w:space="0" w:color="41B7EE"/>
              <w:right w:val="single" w:sz="4" w:space="0" w:color="41B7EE"/>
            </w:tcBorders>
          </w:tcPr>
          <w:p>
            <w:pPr/>
          </w:p>
        </w:tc>
        <w:tc>
          <w:tcPr>
            <w:tcW w:w="1904"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477"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701" w:type="dxa"/>
            <w:tcBorders>
              <w:top w:val="single" w:sz="4" w:space="0" w:color="41B7EE"/>
              <w:left w:val="single" w:sz="4" w:space="0" w:color="41B7EE"/>
              <w:bottom w:val="single" w:sz="4" w:space="0" w:color="41B7EE"/>
              <w:right w:val="single" w:sz="4" w:space="0" w:color="41B7EE"/>
            </w:tcBorders>
          </w:tcPr>
          <w:p>
            <w:pP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710,769,991.52</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8"/>
              <w:ind w:right="53"/>
              <w:jc w:val="right"/>
              <w:rPr>
                <w:rFonts w:ascii="Arial" w:hAnsi="Arial" w:cs="Arial" w:eastAsia="Arial" w:hint="default"/>
                <w:sz w:val="21"/>
                <w:szCs w:val="21"/>
              </w:rPr>
            </w:pPr>
            <w:r>
              <w:rPr>
                <w:rFonts w:ascii="Arial"/>
                <w:spacing w:val="-1"/>
                <w:sz w:val="21"/>
              </w:rPr>
              <w:t>479,910,270.70</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688"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701" w:type="dxa"/>
            <w:tcBorders>
              <w:top w:val="single" w:sz="4" w:space="0" w:color="41B7EE"/>
              <w:left w:val="single" w:sz="4" w:space="0" w:color="41B7EE"/>
              <w:bottom w:val="single" w:sz="4" w:space="0" w:color="41B7EE"/>
              <w:right w:val="single" w:sz="4" w:space="0" w:color="41B7EE"/>
            </w:tcBorders>
          </w:tcPr>
          <w:p>
            <w:pP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-710,769,991.52</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-479,910,270.70</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701" w:type="dxa"/>
            <w:tcBorders>
              <w:top w:val="single" w:sz="4" w:space="0" w:color="41B7EE"/>
              <w:left w:val="single" w:sz="4" w:space="0" w:color="41B7EE"/>
              <w:bottom w:val="single" w:sz="4" w:space="0" w:color="41B7EE"/>
              <w:right w:val="single" w:sz="4" w:space="0" w:color="41B7EE"/>
            </w:tcBorders>
          </w:tcPr>
          <w:p>
            <w:pPr/>
          </w:p>
        </w:tc>
        <w:tc>
          <w:tcPr>
            <w:tcW w:w="1891" w:type="dxa"/>
            <w:tcBorders>
              <w:top w:val="single" w:sz="4" w:space="0" w:color="41B7EE"/>
              <w:left w:val="single" w:sz="4" w:space="0" w:color="41B7EE"/>
              <w:bottom w:val="single" w:sz="4" w:space="0" w:color="41B7EE"/>
              <w:right w:val="single" w:sz="4" w:space="0" w:color="41B7EE"/>
            </w:tcBorders>
          </w:tcPr>
          <w:p>
            <w:pPr/>
          </w:p>
        </w:tc>
        <w:tc>
          <w:tcPr>
            <w:tcW w:w="1904"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57"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701" w:type="dxa"/>
            <w:tcBorders>
              <w:top w:val="single" w:sz="4" w:space="0" w:color="41B7EE"/>
              <w:left w:val="single" w:sz="4" w:space="0" w:color="41B7EE"/>
              <w:bottom w:val="single" w:sz="4" w:space="0" w:color="41B7EE"/>
              <w:right w:val="single" w:sz="4" w:space="0" w:color="41B7EE"/>
            </w:tcBorders>
          </w:tcPr>
          <w:p>
            <w:pP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707,156,148.43</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-171,069,189.18</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701" w:type="dxa"/>
            <w:tcBorders>
              <w:top w:val="single" w:sz="4" w:space="0" w:color="41B7EE"/>
              <w:left w:val="single" w:sz="4" w:space="0" w:color="41B7EE"/>
              <w:bottom w:val="single" w:sz="4" w:space="0" w:color="41B7EE"/>
              <w:right w:val="single" w:sz="4" w:space="0" w:color="41B7EE"/>
            </w:tcBorders>
          </w:tcPr>
          <w:p>
            <w:pP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312,973,104.49</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484,042,293.67</w:t>
            </w:r>
          </w:p>
        </w:tc>
      </w:tr>
      <w:tr>
        <w:trPr>
          <w:trHeight w:val="350" w:hRule="exact"/>
        </w:trPr>
        <w:tc>
          <w:tcPr>
            <w:tcW w:w="4453" w:type="dxa"/>
            <w:tcBorders>
              <w:top w:val="single" w:sz="4" w:space="0" w:color="41B7EE"/>
              <w:left w:val="nil" w:sz="6" w:space="0" w:color="auto"/>
              <w:bottom w:val="single" w:sz="23" w:space="0" w:color="41B7EE"/>
              <w:right w:val="single" w:sz="4" w:space="0" w:color="41B7EE"/>
            </w:tcBorders>
          </w:tcPr>
          <w:p>
            <w:pPr>
              <w:pStyle w:val="TableParagraph"/>
              <w:spacing w:line="262" w:lineRule="exact"/>
              <w:ind w:left="57"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701" w:type="dxa"/>
            <w:tcBorders>
              <w:top w:val="single" w:sz="4" w:space="0" w:color="41B7EE"/>
              <w:left w:val="single" w:sz="4" w:space="0" w:color="41B7EE"/>
              <w:bottom w:val="single" w:sz="23" w:space="0" w:color="41B7EE"/>
              <w:right w:val="single" w:sz="4" w:space="0" w:color="41B7EE"/>
            </w:tcBorders>
          </w:tcPr>
          <w:p>
            <w:pPr/>
          </w:p>
        </w:tc>
        <w:tc>
          <w:tcPr>
            <w:tcW w:w="1891"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1,020,129,252.92</w:t>
            </w:r>
          </w:p>
        </w:tc>
        <w:tc>
          <w:tcPr>
            <w:tcW w:w="1904"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312,973,104.49</w:t>
            </w:r>
          </w:p>
        </w:tc>
      </w:tr>
    </w:tbl>
    <w:p>
      <w:pPr>
        <w:pStyle w:val="BodyText"/>
        <w:spacing w:line="258" w:lineRule="exact"/>
        <w:ind w:left="198" w:right="0"/>
        <w:jc w:val="left"/>
        <w:rPr>
          <w:rFonts w:ascii="宋体" w:hAnsi="宋体" w:cs="宋体" w:eastAsia="宋体" w:hint="default"/>
        </w:rPr>
      </w:pPr>
      <w:r>
        <w:rPr>
          <w:rFonts w:ascii="宋体"/>
          <w:w w:val="100"/>
        </w:rPr>
        <w:t> </w:t>
      </w:r>
    </w:p>
    <w:p>
      <w:pPr>
        <w:spacing w:line="259" w:lineRule="exact" w:before="0"/>
        <w:ind w:left="198" w:right="0" w:firstLine="0"/>
        <w:jc w:val="left"/>
        <w:rPr>
          <w:rFonts w:ascii="宋体" w:hAnsi="宋体" w:cs="宋体" w:eastAsia="宋体" w:hint="default"/>
          <w:sz w:val="20"/>
          <w:szCs w:val="20"/>
        </w:rPr>
      </w:pPr>
      <w:r>
        <w:rPr>
          <w:rFonts w:ascii="宋体" w:hAnsi="宋体" w:cs="宋体" w:eastAsia="宋体" w:hint="default"/>
          <w:sz w:val="20"/>
          <w:szCs w:val="20"/>
        </w:rPr>
        <w:t>法定代表人：刘长友主管会计工作负责人：贺天元、总会计师及会计机构负责人：葛树峰</w:t>
      </w:r>
      <w:r>
        <w:rPr>
          <w:rFonts w:ascii="宋体" w:hAnsi="宋体" w:cs="宋体" w:eastAsia="宋体" w:hint="default"/>
          <w:b/>
          <w:bCs/>
          <w:color w:val="FF0000"/>
          <w:w w:val="98"/>
          <w:sz w:val="20"/>
          <w:szCs w:val="20"/>
        </w:rPr>
        <w:t> </w:t>
      </w:r>
      <w:r>
        <w:rPr>
          <w:rFonts w:ascii="宋体" w:hAnsi="宋体" w:cs="宋体" w:eastAsia="宋体" w:hint="default"/>
          <w:sz w:val="20"/>
          <w:szCs w:val="20"/>
        </w:rPr>
      </w:r>
    </w:p>
    <w:p>
      <w:pPr>
        <w:pStyle w:val="BodyText"/>
        <w:spacing w:line="273" w:lineRule="exact"/>
        <w:ind w:left="19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21" w:footer="1195" w:top="1360" w:bottom="1380" w:left="1600" w:right="1040"/>
        </w:sectPr>
      </w:pPr>
    </w:p>
    <w:p>
      <w:pPr>
        <w:spacing w:line="237" w:lineRule="auto" w:before="1"/>
        <w:ind w:left="3769" w:right="0" w:firstLine="844"/>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w w:val="100"/>
          <w:sz w:val="21"/>
          <w:szCs w:val="21"/>
        </w:rPr>
        <w:t>母公司现金流量</w:t>
      </w:r>
      <w:r>
        <w:rPr>
          <w:rFonts w:ascii="宋体" w:hAnsi="宋体" w:cs="宋体" w:eastAsia="宋体" w:hint="default"/>
          <w:b/>
          <w:bCs/>
          <w:spacing w:val="-2"/>
          <w:w w:val="100"/>
          <w:sz w:val="21"/>
          <w:szCs w:val="21"/>
        </w:rPr>
        <w:t>表</w:t>
      </w:r>
      <w:r>
        <w:rPr>
          <w:rFonts w:ascii="宋体" w:hAnsi="宋体" w:cs="宋体" w:eastAsia="宋体" w:hint="default"/>
          <w:b/>
          <w:bCs/>
          <w:w w:val="99"/>
          <w:sz w:val="21"/>
          <w:szCs w:val="21"/>
        </w:rPr>
        <w:t> </w:t>
      </w:r>
      <w:r>
        <w:rPr>
          <w:rFonts w:ascii="Arial" w:hAnsi="Arial" w:cs="Arial" w:eastAsia="Arial" w:hint="default"/>
          <w:w w:val="100"/>
          <w:sz w:val="21"/>
          <w:szCs w:val="21"/>
        </w:rPr>
        <w:t>2019</w:t>
      </w:r>
      <w:r>
        <w:rPr>
          <w:rFonts w:ascii="Arial" w:hAnsi="Arial" w:cs="Arial" w:eastAsia="Arial" w:hint="default"/>
          <w:spacing w:val="-8"/>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Arial" w:hAnsi="Arial" w:cs="Arial" w:eastAsia="Arial" w:hint="default"/>
          <w:spacing w:val="-3"/>
          <w:w w:val="100"/>
          <w:sz w:val="21"/>
          <w:szCs w:val="21"/>
        </w:rPr>
        <w:t>1</w:t>
      </w:r>
      <w:r>
        <w:rPr>
          <w:rFonts w:ascii="Arial" w:hAnsi="Arial" w:cs="Arial" w:eastAsia="Arial" w:hint="default"/>
          <w:w w:val="100"/>
          <w:sz w:val="21"/>
          <w:szCs w:val="21"/>
        </w:rPr>
        <w:t>—</w:t>
      </w:r>
      <w:r>
        <w:rPr>
          <w:rFonts w:ascii="Arial" w:hAnsi="Arial" w:cs="Arial" w:eastAsia="Arial" w:hint="default"/>
          <w:spacing w:val="-3"/>
          <w:w w:val="100"/>
          <w:sz w:val="21"/>
          <w:szCs w:val="21"/>
        </w:rPr>
        <w:t>1</w:t>
      </w:r>
      <w:r>
        <w:rPr>
          <w:rFonts w:ascii="Arial" w:hAnsi="Arial" w:cs="Arial" w:eastAsia="Arial" w:hint="default"/>
          <w:w w:val="100"/>
          <w:sz w:val="21"/>
          <w:szCs w:val="21"/>
        </w:rPr>
        <w:t>2</w:t>
      </w:r>
      <w:r>
        <w:rPr>
          <w:rFonts w:ascii="Arial" w:hAnsi="Arial" w:cs="Arial" w:eastAsia="Arial" w:hint="default"/>
          <w:spacing w:val="-6"/>
          <w:sz w:val="21"/>
          <w:szCs w:val="21"/>
        </w:rPr>
        <w:t> </w:t>
      </w:r>
      <w:r>
        <w:rPr>
          <w:rFonts w:ascii="宋体" w:hAnsi="宋体" w:cs="宋体" w:eastAsia="宋体" w:hint="default"/>
          <w:w w:val="100"/>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ind w:left="1327"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600" w:right="1040"/>
          <w:cols w:num="2" w:equalWidth="0">
            <w:col w:w="5564" w:space="40"/>
            <w:col w:w="366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453"/>
        <w:gridCol w:w="701"/>
        <w:gridCol w:w="1891"/>
        <w:gridCol w:w="1904"/>
      </w:tblGrid>
      <w:tr>
        <w:trPr>
          <w:trHeight w:val="348" w:hRule="exact"/>
        </w:trPr>
        <w:tc>
          <w:tcPr>
            <w:tcW w:w="4453" w:type="dxa"/>
            <w:tcBorders>
              <w:top w:val="single" w:sz="23" w:space="0" w:color="41B7EE"/>
              <w:left w:val="nil" w:sz="6" w:space="0" w:color="auto"/>
              <w:bottom w:val="single" w:sz="4" w:space="0" w:color="41B7EE"/>
              <w:right w:val="single" w:sz="4" w:space="0" w:color="41B7EE"/>
            </w:tcBorders>
          </w:tcPr>
          <w:p>
            <w:pPr>
              <w:pStyle w:val="TableParagraph"/>
              <w:spacing w:line="262" w:lineRule="exact"/>
              <w:ind w:left="11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701" w:type="dxa"/>
            <w:tcBorders>
              <w:top w:val="single" w:sz="23" w:space="0" w:color="41B7EE"/>
              <w:left w:val="single" w:sz="4" w:space="0" w:color="41B7EE"/>
              <w:bottom w:val="single" w:sz="4" w:space="0" w:color="41B7EE"/>
              <w:right w:val="single" w:sz="4" w:space="0" w:color="41B7EE"/>
            </w:tcBorders>
          </w:tcPr>
          <w:p>
            <w:pPr>
              <w:pStyle w:val="TableParagraph"/>
              <w:spacing w:line="262" w:lineRule="exact"/>
              <w:ind w:left="136" w:right="0"/>
              <w:jc w:val="left"/>
              <w:rPr>
                <w:rFonts w:ascii="宋体" w:hAnsi="宋体" w:cs="宋体" w:eastAsia="宋体" w:hint="default"/>
                <w:sz w:val="21"/>
                <w:szCs w:val="21"/>
              </w:rPr>
            </w:pPr>
            <w:r>
              <w:rPr>
                <w:rFonts w:ascii="宋体" w:hAnsi="宋体" w:cs="宋体" w:eastAsia="宋体" w:hint="default"/>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1" w:type="dxa"/>
            <w:tcBorders>
              <w:top w:val="single" w:sz="23" w:space="0" w:color="41B7EE"/>
              <w:left w:val="single" w:sz="4" w:space="0" w:color="41B7EE"/>
              <w:bottom w:val="single" w:sz="4" w:space="0" w:color="41B7EE"/>
              <w:right w:val="single" w:sz="4" w:space="0" w:color="41B7EE"/>
            </w:tcBorders>
          </w:tcPr>
          <w:p>
            <w:pPr>
              <w:pStyle w:val="TableParagraph"/>
              <w:spacing w:line="277" w:lineRule="exact"/>
              <w:ind w:left="496" w:right="0"/>
              <w:jc w:val="left"/>
              <w:rPr>
                <w:rFonts w:ascii="宋体" w:hAnsi="宋体" w:cs="宋体" w:eastAsia="宋体" w:hint="default"/>
                <w:sz w:val="21"/>
                <w:szCs w:val="21"/>
              </w:rPr>
            </w:pPr>
            <w:r>
              <w:rPr>
                <w:rFonts w:ascii="Arial" w:hAnsi="Arial" w:cs="Arial" w:eastAsia="Arial" w:hint="default"/>
                <w:sz w:val="21"/>
                <w:szCs w:val="21"/>
              </w:rPr>
              <w:t>2019</w:t>
            </w:r>
            <w:r>
              <w:rPr>
                <w:rFonts w:ascii="宋体" w:hAnsi="宋体" w:cs="宋体" w:eastAsia="宋体" w:hint="default"/>
                <w:sz w:val="21"/>
                <w:szCs w:val="21"/>
              </w:rPr>
              <w:t>年度</w:t>
            </w:r>
          </w:p>
        </w:tc>
        <w:tc>
          <w:tcPr>
            <w:tcW w:w="1904" w:type="dxa"/>
            <w:tcBorders>
              <w:top w:val="single" w:sz="23" w:space="0" w:color="41B7EE"/>
              <w:left w:val="single" w:sz="4" w:space="0" w:color="41B7EE"/>
              <w:bottom w:val="single" w:sz="4" w:space="0" w:color="41B7EE"/>
              <w:right w:val="nil" w:sz="6" w:space="0" w:color="auto"/>
            </w:tcBorders>
          </w:tcPr>
          <w:p>
            <w:pPr>
              <w:pStyle w:val="TableParagraph"/>
              <w:spacing w:line="277" w:lineRule="exact"/>
              <w:ind w:left="502" w:right="0"/>
              <w:jc w:val="left"/>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年度</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r>
              <w:rPr>
                <w:rFonts w:ascii="宋体" w:hAnsi="宋体" w:cs="宋体" w:eastAsia="宋体" w:hint="default"/>
                <w:sz w:val="21"/>
                <w:szCs w:val="21"/>
              </w:rPr>
              <w:t> </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60" w:lineRule="exact"/>
              <w:ind w:left="52" w:right="0"/>
              <w:jc w:val="left"/>
              <w:rPr>
                <w:rFonts w:ascii="宋体" w:hAnsi="宋体" w:cs="宋体" w:eastAsia="宋体" w:hint="default"/>
                <w:sz w:val="21"/>
                <w:szCs w:val="21"/>
              </w:rPr>
            </w:pPr>
            <w:r>
              <w:rPr>
                <w:rFonts w:ascii="宋体"/>
                <w:w w:val="100"/>
                <w:sz w:val="21"/>
              </w:rPr>
              <w:t> </w:t>
            </w:r>
          </w:p>
        </w:tc>
        <w:tc>
          <w:tcPr>
            <w:tcW w:w="1891" w:type="dxa"/>
            <w:tcBorders>
              <w:top w:val="single" w:sz="4" w:space="0" w:color="41B7EE"/>
              <w:left w:val="single" w:sz="4" w:space="0" w:color="41B7EE"/>
              <w:bottom w:val="single" w:sz="4" w:space="0" w:color="41B7EE"/>
              <w:right w:val="single" w:sz="4" w:space="0" w:color="41B7EE"/>
            </w:tcBorders>
          </w:tcPr>
          <w:p>
            <w:pPr/>
          </w:p>
        </w:tc>
        <w:tc>
          <w:tcPr>
            <w:tcW w:w="1904"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r>
              <w:rPr>
                <w:rFonts w:ascii="宋体" w:hAnsi="宋体" w:cs="宋体" w:eastAsia="宋体" w:hint="default"/>
                <w:sz w:val="21"/>
                <w:szCs w:val="21"/>
              </w:rPr>
              <w:t> </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60" w:lineRule="exact"/>
              <w:ind w:left="52" w:right="0"/>
              <w:jc w:val="left"/>
              <w:rPr>
                <w:rFonts w:ascii="宋体" w:hAnsi="宋体" w:cs="宋体" w:eastAsia="宋体" w:hint="default"/>
                <w:sz w:val="21"/>
                <w:szCs w:val="21"/>
              </w:rPr>
            </w:pPr>
            <w:r>
              <w:rPr>
                <w:rFonts w:ascii="宋体"/>
                <w:w w:val="100"/>
                <w:sz w:val="21"/>
              </w:rPr>
              <w:t> </w:t>
            </w: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3,018,186,981.83</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3,088,288,770.37</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60" w:lineRule="exact"/>
              <w:ind w:left="52" w:right="0"/>
              <w:jc w:val="left"/>
              <w:rPr>
                <w:rFonts w:ascii="宋体" w:hAnsi="宋体" w:cs="宋体" w:eastAsia="宋体" w:hint="default"/>
                <w:sz w:val="21"/>
                <w:szCs w:val="21"/>
              </w:rPr>
            </w:pPr>
            <w:r>
              <w:rPr>
                <w:rFonts w:ascii="宋体"/>
                <w:w w:val="100"/>
                <w:sz w:val="21"/>
              </w:rPr>
              <w:t> </w:t>
            </w:r>
          </w:p>
        </w:tc>
        <w:tc>
          <w:tcPr>
            <w:tcW w:w="1891" w:type="dxa"/>
            <w:tcBorders>
              <w:top w:val="single" w:sz="4" w:space="0" w:color="41B7EE"/>
              <w:left w:val="single" w:sz="4" w:space="0" w:color="41B7EE"/>
              <w:bottom w:val="single" w:sz="4" w:space="0" w:color="41B7EE"/>
              <w:right w:val="single" w:sz="4" w:space="0" w:color="41B7EE"/>
            </w:tcBorders>
          </w:tcPr>
          <w:p>
            <w:pPr/>
          </w:p>
        </w:tc>
        <w:tc>
          <w:tcPr>
            <w:tcW w:w="1904"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r>
              <w:rPr>
                <w:rFonts w:ascii="宋体" w:hAnsi="宋体" w:cs="宋体" w:eastAsia="宋体" w:hint="default"/>
                <w:sz w:val="21"/>
                <w:szCs w:val="21"/>
              </w:rPr>
              <w:t> </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60" w:lineRule="exact"/>
              <w:ind w:left="52" w:right="0"/>
              <w:jc w:val="left"/>
              <w:rPr>
                <w:rFonts w:ascii="宋体" w:hAnsi="宋体" w:cs="宋体" w:eastAsia="宋体" w:hint="default"/>
                <w:sz w:val="21"/>
                <w:szCs w:val="21"/>
              </w:rPr>
            </w:pPr>
            <w:r>
              <w:rPr>
                <w:rFonts w:ascii="宋体"/>
                <w:w w:val="100"/>
                <w:sz w:val="21"/>
              </w:rPr>
              <w:t> </w:t>
            </w: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191,766,564.38</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220,021,565.33</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477"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62" w:lineRule="exact"/>
              <w:ind w:left="52" w:right="0"/>
              <w:jc w:val="left"/>
              <w:rPr>
                <w:rFonts w:ascii="宋体" w:hAnsi="宋体" w:cs="宋体" w:eastAsia="宋体" w:hint="default"/>
                <w:sz w:val="21"/>
                <w:szCs w:val="21"/>
              </w:rPr>
            </w:pPr>
            <w:r>
              <w:rPr>
                <w:rFonts w:ascii="宋体"/>
                <w:w w:val="100"/>
                <w:sz w:val="21"/>
              </w:rPr>
              <w:t> </w:t>
            </w: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3,209,953,546.21</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3,308,310,335.70</w:t>
            </w: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r>
              <w:rPr>
                <w:rFonts w:ascii="宋体" w:hAnsi="宋体" w:cs="宋体" w:eastAsia="宋体" w:hint="default"/>
                <w:sz w:val="21"/>
                <w:szCs w:val="21"/>
              </w:rPr>
              <w:t> </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62" w:lineRule="exact"/>
              <w:ind w:left="52" w:right="0"/>
              <w:jc w:val="left"/>
              <w:rPr>
                <w:rFonts w:ascii="宋体" w:hAnsi="宋体" w:cs="宋体" w:eastAsia="宋体" w:hint="default"/>
                <w:sz w:val="21"/>
                <w:szCs w:val="21"/>
              </w:rPr>
            </w:pPr>
            <w:r>
              <w:rPr>
                <w:rFonts w:ascii="宋体"/>
                <w:w w:val="100"/>
                <w:sz w:val="21"/>
              </w:rPr>
              <w:t> </w:t>
            </w: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501,589,183.87</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419,873,289.41</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支付给职工及为职工支付的现金</w:t>
            </w:r>
            <w:r>
              <w:rPr>
                <w:rFonts w:ascii="宋体" w:hAnsi="宋体" w:cs="宋体" w:eastAsia="宋体" w:hint="default"/>
                <w:sz w:val="21"/>
                <w:szCs w:val="21"/>
              </w:rPr>
              <w:t> </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60" w:lineRule="exact"/>
              <w:ind w:left="52" w:right="0"/>
              <w:jc w:val="left"/>
              <w:rPr>
                <w:rFonts w:ascii="宋体" w:hAnsi="宋体" w:cs="宋体" w:eastAsia="宋体" w:hint="default"/>
                <w:sz w:val="21"/>
                <w:szCs w:val="21"/>
              </w:rPr>
            </w:pPr>
            <w:r>
              <w:rPr>
                <w:rFonts w:ascii="宋体"/>
                <w:w w:val="100"/>
                <w:sz w:val="21"/>
              </w:rPr>
              <w:t> </w:t>
            </w: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839,491,606.01</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8"/>
              <w:ind w:right="53"/>
              <w:jc w:val="right"/>
              <w:rPr>
                <w:rFonts w:ascii="Arial" w:hAnsi="Arial" w:cs="Arial" w:eastAsia="Arial" w:hint="default"/>
                <w:sz w:val="21"/>
                <w:szCs w:val="21"/>
              </w:rPr>
            </w:pPr>
            <w:r>
              <w:rPr>
                <w:rFonts w:ascii="Arial"/>
                <w:spacing w:val="-1"/>
                <w:sz w:val="21"/>
              </w:rPr>
              <w:t>858,244,527.55</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60" w:lineRule="exact"/>
              <w:ind w:left="52" w:right="0"/>
              <w:jc w:val="left"/>
              <w:rPr>
                <w:rFonts w:ascii="宋体" w:hAnsi="宋体" w:cs="宋体" w:eastAsia="宋体" w:hint="default"/>
                <w:sz w:val="21"/>
                <w:szCs w:val="21"/>
              </w:rPr>
            </w:pPr>
            <w:r>
              <w:rPr>
                <w:rFonts w:ascii="宋体"/>
                <w:w w:val="100"/>
                <w:sz w:val="21"/>
              </w:rPr>
              <w:t> </w:t>
            </w: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19,880,844.41</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8,195,282.33</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r>
              <w:rPr>
                <w:rFonts w:ascii="宋体" w:hAnsi="宋体" w:cs="宋体" w:eastAsia="宋体" w:hint="default"/>
                <w:sz w:val="21"/>
                <w:szCs w:val="21"/>
              </w:rPr>
              <w:t> </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60" w:lineRule="exact"/>
              <w:ind w:left="52" w:right="0"/>
              <w:jc w:val="left"/>
              <w:rPr>
                <w:rFonts w:ascii="宋体" w:hAnsi="宋体" w:cs="宋体" w:eastAsia="宋体" w:hint="default"/>
                <w:sz w:val="21"/>
                <w:szCs w:val="21"/>
              </w:rPr>
            </w:pPr>
            <w:r>
              <w:rPr>
                <w:rFonts w:ascii="宋体"/>
                <w:w w:val="100"/>
                <w:sz w:val="21"/>
              </w:rPr>
              <w:t> </w:t>
            </w: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1,016,958,866.85</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885,521,406.78</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477"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60" w:lineRule="exact"/>
              <w:ind w:left="52" w:right="0"/>
              <w:jc w:val="left"/>
              <w:rPr>
                <w:rFonts w:ascii="宋体" w:hAnsi="宋体" w:cs="宋体" w:eastAsia="宋体" w:hint="default"/>
                <w:sz w:val="21"/>
                <w:szCs w:val="21"/>
              </w:rPr>
            </w:pPr>
            <w:r>
              <w:rPr>
                <w:rFonts w:ascii="宋体"/>
                <w:w w:val="100"/>
                <w:sz w:val="21"/>
              </w:rPr>
              <w:t> </w:t>
            </w: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2,377,920,501.14</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2,171,834,506.07</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62" w:lineRule="exact"/>
              <w:ind w:left="52" w:right="0"/>
              <w:jc w:val="left"/>
              <w:rPr>
                <w:rFonts w:ascii="宋体" w:hAnsi="宋体" w:cs="宋体" w:eastAsia="宋体" w:hint="default"/>
                <w:sz w:val="21"/>
                <w:szCs w:val="21"/>
              </w:rPr>
            </w:pPr>
            <w:r>
              <w:rPr>
                <w:rFonts w:ascii="宋体"/>
                <w:w w:val="100"/>
                <w:sz w:val="21"/>
              </w:rPr>
              <w:t> </w:t>
            </w: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832,033,045.07</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1,136,475,829.63</w:t>
            </w: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57"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r>
              <w:rPr>
                <w:rFonts w:ascii="宋体" w:hAnsi="宋体" w:cs="宋体" w:eastAsia="宋体" w:hint="default"/>
                <w:sz w:val="21"/>
                <w:szCs w:val="21"/>
              </w:rPr>
              <w:t> </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62" w:lineRule="exact"/>
              <w:ind w:left="52"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891" w:type="dxa"/>
            <w:tcBorders>
              <w:top w:val="single" w:sz="4" w:space="0" w:color="41B7EE"/>
              <w:left w:val="single" w:sz="4" w:space="0" w:color="41B7EE"/>
              <w:bottom w:val="single" w:sz="4" w:space="0" w:color="41B7EE"/>
              <w:right w:val="single" w:sz="4" w:space="0" w:color="41B7EE"/>
            </w:tcBorders>
          </w:tcPr>
          <w:p>
            <w:pPr/>
          </w:p>
        </w:tc>
        <w:tc>
          <w:tcPr>
            <w:tcW w:w="1904"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60" w:lineRule="exact"/>
              <w:ind w:left="52" w:right="0"/>
              <w:jc w:val="left"/>
              <w:rPr>
                <w:rFonts w:ascii="宋体" w:hAnsi="宋体" w:cs="宋体" w:eastAsia="宋体" w:hint="default"/>
                <w:sz w:val="21"/>
                <w:szCs w:val="21"/>
              </w:rPr>
            </w:pPr>
            <w:r>
              <w:rPr>
                <w:rFonts w:ascii="宋体"/>
                <w:w w:val="100"/>
                <w:sz w:val="21"/>
              </w:rPr>
              <w:t> </w:t>
            </w: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11,231,104,000.00</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8"/>
              <w:ind w:right="53"/>
              <w:jc w:val="right"/>
              <w:rPr>
                <w:rFonts w:ascii="Arial" w:hAnsi="Arial" w:cs="Arial" w:eastAsia="Arial" w:hint="default"/>
                <w:sz w:val="21"/>
                <w:szCs w:val="21"/>
              </w:rPr>
            </w:pPr>
            <w:r>
              <w:rPr>
                <w:rFonts w:ascii="Arial"/>
                <w:spacing w:val="-1"/>
                <w:sz w:val="21"/>
              </w:rPr>
              <w:t>6,350,000,000.00</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60" w:lineRule="exact"/>
              <w:ind w:left="52" w:right="0"/>
              <w:jc w:val="left"/>
              <w:rPr>
                <w:rFonts w:ascii="宋体" w:hAnsi="宋体" w:cs="宋体" w:eastAsia="宋体" w:hint="default"/>
                <w:sz w:val="21"/>
                <w:szCs w:val="21"/>
              </w:rPr>
            </w:pPr>
            <w:r>
              <w:rPr>
                <w:rFonts w:ascii="宋体"/>
                <w:w w:val="100"/>
                <w:sz w:val="21"/>
              </w:rPr>
              <w:t> </w:t>
            </w: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78,383,114.58</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63,277,854.84</w:t>
            </w:r>
          </w:p>
        </w:tc>
      </w:tr>
      <w:tr>
        <w:trPr>
          <w:trHeight w:val="55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40" w:lineRule="exact"/>
              <w:ind w:left="268" w:right="0"/>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处置固定资产、无形资产和其他长期资产收回</w:t>
            </w:r>
          </w:p>
          <w:p>
            <w:pPr>
              <w:pStyle w:val="TableParagraph"/>
              <w:spacing w:line="274" w:lineRule="exact"/>
              <w:ind w:left="57" w:right="0"/>
              <w:jc w:val="left"/>
              <w:rPr>
                <w:rFonts w:ascii="宋体" w:hAnsi="宋体" w:cs="宋体" w:eastAsia="宋体" w:hint="default"/>
                <w:sz w:val="21"/>
                <w:szCs w:val="21"/>
              </w:rPr>
            </w:pPr>
            <w:r>
              <w:rPr>
                <w:rFonts w:ascii="宋体" w:hAnsi="宋体" w:cs="宋体" w:eastAsia="宋体" w:hint="default"/>
                <w:sz w:val="21"/>
                <w:szCs w:val="21"/>
              </w:rPr>
              <w:t>的现金净额</w:t>
            </w:r>
            <w:r>
              <w:rPr>
                <w:rFonts w:ascii="宋体" w:hAnsi="宋体" w:cs="宋体" w:eastAsia="宋体" w:hint="default"/>
                <w:sz w:val="21"/>
                <w:szCs w:val="21"/>
              </w:rPr>
              <w:t> </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52" w:right="0"/>
              <w:jc w:val="left"/>
              <w:rPr>
                <w:rFonts w:ascii="宋体" w:hAnsi="宋体" w:cs="宋体" w:eastAsia="宋体" w:hint="default"/>
                <w:sz w:val="21"/>
                <w:szCs w:val="21"/>
              </w:rPr>
            </w:pPr>
            <w:r>
              <w:rPr>
                <w:rFonts w:ascii="宋体"/>
                <w:w w:val="100"/>
                <w:sz w:val="21"/>
              </w:rPr>
              <w:t> </w:t>
            </w: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48"/>
              <w:jc w:val="right"/>
              <w:rPr>
                <w:rFonts w:ascii="Arial" w:hAnsi="Arial" w:cs="Arial" w:eastAsia="Arial" w:hint="default"/>
                <w:sz w:val="21"/>
                <w:szCs w:val="21"/>
              </w:rPr>
            </w:pPr>
            <w:r>
              <w:rPr>
                <w:rFonts w:ascii="Arial"/>
                <w:spacing w:val="-1"/>
                <w:sz w:val="21"/>
              </w:rPr>
              <w:t>3,596,313.00</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6"/>
              <w:ind w:right="53"/>
              <w:jc w:val="right"/>
              <w:rPr>
                <w:rFonts w:ascii="Arial" w:hAnsi="Arial" w:cs="Arial" w:eastAsia="Arial" w:hint="default"/>
                <w:sz w:val="21"/>
                <w:szCs w:val="21"/>
              </w:rPr>
            </w:pPr>
            <w:r>
              <w:rPr>
                <w:rFonts w:ascii="Arial"/>
                <w:spacing w:val="-1"/>
                <w:sz w:val="21"/>
              </w:rPr>
              <w:t>792,653.00</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right="79"/>
              <w:jc w:val="righ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处置子公司及其他营业单位收到的现金净额</w:t>
            </w:r>
            <w:r>
              <w:rPr>
                <w:rFonts w:ascii="宋体" w:hAnsi="宋体" w:cs="宋体" w:eastAsia="宋体" w:hint="default"/>
                <w:sz w:val="21"/>
                <w:szCs w:val="21"/>
              </w:rPr>
              <w:t> </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60" w:lineRule="exact"/>
              <w:ind w:left="52" w:right="0"/>
              <w:jc w:val="left"/>
              <w:rPr>
                <w:rFonts w:ascii="宋体" w:hAnsi="宋体" w:cs="宋体" w:eastAsia="宋体" w:hint="default"/>
                <w:sz w:val="21"/>
                <w:szCs w:val="21"/>
              </w:rPr>
            </w:pPr>
            <w:r>
              <w:rPr>
                <w:rFonts w:ascii="宋体"/>
                <w:w w:val="100"/>
                <w:sz w:val="21"/>
              </w:rPr>
              <w:t> </w:t>
            </w:r>
          </w:p>
        </w:tc>
        <w:tc>
          <w:tcPr>
            <w:tcW w:w="1891" w:type="dxa"/>
            <w:tcBorders>
              <w:top w:val="single" w:sz="4" w:space="0" w:color="41B7EE"/>
              <w:left w:val="single" w:sz="4" w:space="0" w:color="41B7EE"/>
              <w:bottom w:val="single" w:sz="4" w:space="0" w:color="41B7EE"/>
              <w:right w:val="single" w:sz="4" w:space="0" w:color="41B7EE"/>
            </w:tcBorders>
          </w:tcPr>
          <w:p>
            <w:pPr/>
          </w:p>
        </w:tc>
        <w:tc>
          <w:tcPr>
            <w:tcW w:w="1904"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r>
              <w:rPr>
                <w:rFonts w:ascii="宋体" w:hAnsi="宋体" w:cs="宋体" w:eastAsia="宋体" w:hint="default"/>
                <w:sz w:val="21"/>
                <w:szCs w:val="21"/>
              </w:rPr>
              <w:t> </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62" w:lineRule="exact"/>
              <w:ind w:left="52" w:right="0"/>
              <w:jc w:val="left"/>
              <w:rPr>
                <w:rFonts w:ascii="宋体" w:hAnsi="宋体" w:cs="宋体" w:eastAsia="宋体" w:hint="default"/>
                <w:sz w:val="21"/>
                <w:szCs w:val="21"/>
              </w:rPr>
            </w:pPr>
            <w:r>
              <w:rPr>
                <w:rFonts w:ascii="宋体"/>
                <w:w w:val="100"/>
                <w:sz w:val="21"/>
              </w:rPr>
              <w:t> </w:t>
            </w:r>
          </w:p>
        </w:tc>
        <w:tc>
          <w:tcPr>
            <w:tcW w:w="1891" w:type="dxa"/>
            <w:tcBorders>
              <w:top w:val="single" w:sz="4" w:space="0" w:color="41B7EE"/>
              <w:left w:val="single" w:sz="4" w:space="0" w:color="41B7EE"/>
              <w:bottom w:val="single" w:sz="4" w:space="0" w:color="41B7EE"/>
              <w:right w:val="single" w:sz="4" w:space="0" w:color="41B7EE"/>
            </w:tcBorders>
          </w:tcPr>
          <w:p>
            <w:pP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580,000,000.00</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3" w:lineRule="exact"/>
              <w:ind w:left="477"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63" w:lineRule="exact"/>
              <w:ind w:left="52" w:right="0"/>
              <w:jc w:val="left"/>
              <w:rPr>
                <w:rFonts w:ascii="宋体" w:hAnsi="宋体" w:cs="宋体" w:eastAsia="宋体" w:hint="default"/>
                <w:sz w:val="21"/>
                <w:szCs w:val="21"/>
              </w:rPr>
            </w:pPr>
            <w:r>
              <w:rPr>
                <w:rFonts w:ascii="宋体"/>
                <w:w w:val="100"/>
                <w:sz w:val="21"/>
              </w:rPr>
              <w:t> </w:t>
            </w: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11,313,083,427.58</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6,994,070,507.84</w:t>
            </w:r>
          </w:p>
        </w:tc>
      </w:tr>
      <w:tr>
        <w:trPr>
          <w:trHeight w:val="557"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41" w:lineRule="exact"/>
              <w:ind w:left="268" w:right="0"/>
              <w:jc w:val="left"/>
              <w:rPr>
                <w:rFonts w:ascii="宋体" w:hAnsi="宋体" w:cs="宋体" w:eastAsia="宋体" w:hint="default"/>
                <w:sz w:val="21"/>
                <w:szCs w:val="21"/>
              </w:rPr>
            </w:pPr>
            <w:r>
              <w:rPr>
                <w:rFonts w:ascii="宋体" w:hAnsi="宋体" w:cs="宋体" w:eastAsia="宋体" w:hint="default"/>
                <w:spacing w:val="-5"/>
                <w:sz w:val="21"/>
                <w:szCs w:val="21"/>
              </w:rPr>
              <w:t>购建固定资产、无形资产和其他长期资产支付</w:t>
            </w:r>
          </w:p>
          <w:p>
            <w:pPr>
              <w:pStyle w:val="TableParagraph"/>
              <w:spacing w:line="273" w:lineRule="exact"/>
              <w:ind w:left="57" w:right="0"/>
              <w:jc w:val="left"/>
              <w:rPr>
                <w:rFonts w:ascii="宋体" w:hAnsi="宋体" w:cs="宋体" w:eastAsia="宋体" w:hint="default"/>
                <w:sz w:val="21"/>
                <w:szCs w:val="21"/>
              </w:rPr>
            </w:pPr>
            <w:r>
              <w:rPr>
                <w:rFonts w:ascii="宋体" w:hAnsi="宋体" w:cs="宋体" w:eastAsia="宋体" w:hint="default"/>
                <w:sz w:val="21"/>
                <w:szCs w:val="21"/>
              </w:rPr>
              <w:t>的现金</w:t>
            </w:r>
            <w:r>
              <w:rPr>
                <w:rFonts w:ascii="宋体" w:hAnsi="宋体" w:cs="宋体" w:eastAsia="宋体" w:hint="default"/>
                <w:sz w:val="21"/>
                <w:szCs w:val="21"/>
              </w:rPr>
              <w:t> </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52" w:right="0"/>
              <w:jc w:val="left"/>
              <w:rPr>
                <w:rFonts w:ascii="宋体" w:hAnsi="宋体" w:cs="宋体" w:eastAsia="宋体" w:hint="default"/>
                <w:sz w:val="21"/>
                <w:szCs w:val="21"/>
              </w:rPr>
            </w:pPr>
            <w:r>
              <w:rPr>
                <w:rFonts w:ascii="宋体"/>
                <w:w w:val="100"/>
                <w:sz w:val="21"/>
              </w:rPr>
              <w:t> </w:t>
            </w: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48"/>
              <w:jc w:val="right"/>
              <w:rPr>
                <w:rFonts w:ascii="Arial" w:hAnsi="Arial" w:cs="Arial" w:eastAsia="Arial" w:hint="default"/>
                <w:sz w:val="21"/>
                <w:szCs w:val="21"/>
              </w:rPr>
            </w:pPr>
            <w:r>
              <w:rPr>
                <w:rFonts w:ascii="Arial"/>
                <w:spacing w:val="-1"/>
                <w:sz w:val="21"/>
              </w:rPr>
              <w:t>237,381,844.54</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8"/>
              <w:ind w:right="53"/>
              <w:jc w:val="right"/>
              <w:rPr>
                <w:rFonts w:ascii="Arial" w:hAnsi="Arial" w:cs="Arial" w:eastAsia="Arial" w:hint="default"/>
                <w:sz w:val="21"/>
                <w:szCs w:val="21"/>
              </w:rPr>
            </w:pPr>
            <w:r>
              <w:rPr>
                <w:rFonts w:ascii="Arial"/>
                <w:spacing w:val="-1"/>
                <w:sz w:val="21"/>
              </w:rPr>
              <w:t>266,262,184.21</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60" w:lineRule="exact"/>
              <w:ind w:left="52" w:right="0"/>
              <w:jc w:val="left"/>
              <w:rPr>
                <w:rFonts w:ascii="宋体" w:hAnsi="宋体" w:cs="宋体" w:eastAsia="宋体" w:hint="default"/>
                <w:sz w:val="21"/>
                <w:szCs w:val="21"/>
              </w:rPr>
            </w:pPr>
            <w:r>
              <w:rPr>
                <w:rFonts w:ascii="宋体"/>
                <w:w w:val="100"/>
                <w:sz w:val="21"/>
              </w:rPr>
              <w:t> </w:t>
            </w: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10,472,000,000.00</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8"/>
              <w:ind w:right="53"/>
              <w:jc w:val="right"/>
              <w:rPr>
                <w:rFonts w:ascii="Arial" w:hAnsi="Arial" w:cs="Arial" w:eastAsia="Arial" w:hint="default"/>
                <w:sz w:val="21"/>
                <w:szCs w:val="21"/>
              </w:rPr>
            </w:pPr>
            <w:r>
              <w:rPr>
                <w:rFonts w:ascii="Arial"/>
                <w:spacing w:val="-1"/>
                <w:sz w:val="21"/>
              </w:rPr>
              <w:t>7,222,000,000.00</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right="79"/>
              <w:jc w:val="righ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取得子公司及其他营业单位支付的现金净额</w:t>
            </w:r>
            <w:r>
              <w:rPr>
                <w:rFonts w:ascii="宋体" w:hAnsi="宋体" w:cs="宋体" w:eastAsia="宋体" w:hint="default"/>
                <w:sz w:val="21"/>
                <w:szCs w:val="21"/>
              </w:rPr>
              <w:t> </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60" w:lineRule="exact"/>
              <w:ind w:left="52" w:right="0"/>
              <w:jc w:val="left"/>
              <w:rPr>
                <w:rFonts w:ascii="宋体" w:hAnsi="宋体" w:cs="宋体" w:eastAsia="宋体" w:hint="default"/>
                <w:sz w:val="21"/>
                <w:szCs w:val="21"/>
              </w:rPr>
            </w:pPr>
            <w:r>
              <w:rPr>
                <w:rFonts w:ascii="宋体"/>
                <w:w w:val="100"/>
                <w:sz w:val="21"/>
              </w:rPr>
              <w:t> </w:t>
            </w:r>
          </w:p>
        </w:tc>
        <w:tc>
          <w:tcPr>
            <w:tcW w:w="1891" w:type="dxa"/>
            <w:tcBorders>
              <w:top w:val="single" w:sz="4" w:space="0" w:color="41B7EE"/>
              <w:left w:val="single" w:sz="4" w:space="0" w:color="41B7EE"/>
              <w:bottom w:val="single" w:sz="4" w:space="0" w:color="41B7EE"/>
              <w:right w:val="single" w:sz="4" w:space="0" w:color="41B7EE"/>
            </w:tcBorders>
          </w:tcPr>
          <w:p>
            <w:pPr/>
          </w:p>
        </w:tc>
        <w:tc>
          <w:tcPr>
            <w:tcW w:w="1904"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r>
              <w:rPr>
                <w:rFonts w:ascii="宋体" w:hAnsi="宋体" w:cs="宋体" w:eastAsia="宋体" w:hint="default"/>
                <w:sz w:val="21"/>
                <w:szCs w:val="21"/>
              </w:rPr>
              <w:t> </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60" w:lineRule="exact"/>
              <w:ind w:left="52" w:right="0"/>
              <w:jc w:val="left"/>
              <w:rPr>
                <w:rFonts w:ascii="宋体" w:hAnsi="宋体" w:cs="宋体" w:eastAsia="宋体" w:hint="default"/>
                <w:sz w:val="21"/>
                <w:szCs w:val="21"/>
              </w:rPr>
            </w:pPr>
            <w:r>
              <w:rPr>
                <w:rFonts w:ascii="宋体"/>
                <w:w w:val="100"/>
                <w:sz w:val="21"/>
              </w:rPr>
              <w:t> </w:t>
            </w: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212,443.95</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520,033,290.00</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477"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62" w:lineRule="exact"/>
              <w:ind w:left="52" w:right="0"/>
              <w:jc w:val="left"/>
              <w:rPr>
                <w:rFonts w:ascii="宋体" w:hAnsi="宋体" w:cs="宋体" w:eastAsia="宋体" w:hint="default"/>
                <w:sz w:val="21"/>
                <w:szCs w:val="21"/>
              </w:rPr>
            </w:pPr>
            <w:r>
              <w:rPr>
                <w:rFonts w:ascii="宋体"/>
                <w:w w:val="100"/>
                <w:sz w:val="21"/>
              </w:rPr>
              <w:t> </w:t>
            </w: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10,709,594,288.49</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8,008,295,474.21</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688"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62" w:lineRule="exact"/>
              <w:ind w:left="52" w:right="0"/>
              <w:jc w:val="left"/>
              <w:rPr>
                <w:rFonts w:ascii="宋体" w:hAnsi="宋体" w:cs="宋体" w:eastAsia="宋体" w:hint="default"/>
                <w:sz w:val="21"/>
                <w:szCs w:val="21"/>
              </w:rPr>
            </w:pPr>
            <w:r>
              <w:rPr>
                <w:rFonts w:ascii="宋体"/>
                <w:w w:val="100"/>
                <w:sz w:val="21"/>
              </w:rPr>
              <w:t> </w:t>
            </w: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603,489,139.09</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-1,014,224,966.37</w:t>
            </w: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57"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r>
              <w:rPr>
                <w:rFonts w:ascii="宋体" w:hAnsi="宋体" w:cs="宋体" w:eastAsia="宋体" w:hint="default"/>
                <w:sz w:val="21"/>
                <w:szCs w:val="21"/>
              </w:rPr>
              <w:t> </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62" w:lineRule="exact"/>
              <w:ind w:left="52"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891" w:type="dxa"/>
            <w:tcBorders>
              <w:top w:val="single" w:sz="4" w:space="0" w:color="41B7EE"/>
              <w:left w:val="single" w:sz="4" w:space="0" w:color="41B7EE"/>
              <w:bottom w:val="single" w:sz="4" w:space="0" w:color="41B7EE"/>
              <w:right w:val="single" w:sz="4" w:space="0" w:color="41B7EE"/>
            </w:tcBorders>
          </w:tcPr>
          <w:p>
            <w:pPr/>
          </w:p>
        </w:tc>
        <w:tc>
          <w:tcPr>
            <w:tcW w:w="1904" w:type="dxa"/>
            <w:tcBorders>
              <w:top w:val="single" w:sz="4" w:space="0" w:color="41B7EE"/>
              <w:left w:val="single" w:sz="4" w:space="0" w:color="41B7EE"/>
              <w:bottom w:val="single" w:sz="4" w:space="0" w:color="41B7EE"/>
              <w:right w:val="nil" w:sz="6" w:space="0" w:color="auto"/>
            </w:tcBorders>
          </w:tcPr>
          <w:p>
            <w:pPr/>
          </w:p>
        </w:tc>
      </w:tr>
      <w:tr>
        <w:trPr>
          <w:trHeight w:val="329" w:hRule="exact"/>
        </w:trPr>
        <w:tc>
          <w:tcPr>
            <w:tcW w:w="4453" w:type="dxa"/>
            <w:tcBorders>
              <w:top w:val="single" w:sz="4" w:space="0" w:color="41B7EE"/>
              <w:left w:val="nil" w:sz="6" w:space="0" w:color="auto"/>
              <w:bottom w:val="single" w:sz="8"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701" w:type="dxa"/>
            <w:tcBorders>
              <w:top w:val="single" w:sz="4" w:space="0" w:color="41B7EE"/>
              <w:left w:val="single" w:sz="4" w:space="0" w:color="41B7EE"/>
              <w:bottom w:val="single" w:sz="8" w:space="0" w:color="41B7EE"/>
              <w:right w:val="single" w:sz="4" w:space="0" w:color="41B7EE"/>
            </w:tcBorders>
          </w:tcPr>
          <w:p>
            <w:pPr>
              <w:pStyle w:val="TableParagraph"/>
              <w:spacing w:line="260" w:lineRule="exact"/>
              <w:ind w:left="52" w:right="0"/>
              <w:jc w:val="left"/>
              <w:rPr>
                <w:rFonts w:ascii="宋体" w:hAnsi="宋体" w:cs="宋体" w:eastAsia="宋体" w:hint="default"/>
                <w:sz w:val="21"/>
                <w:szCs w:val="21"/>
              </w:rPr>
            </w:pPr>
            <w:r>
              <w:rPr>
                <w:rFonts w:ascii="宋体"/>
                <w:w w:val="100"/>
                <w:sz w:val="21"/>
              </w:rPr>
              <w:t> </w:t>
            </w:r>
          </w:p>
        </w:tc>
        <w:tc>
          <w:tcPr>
            <w:tcW w:w="1891" w:type="dxa"/>
            <w:tcBorders>
              <w:top w:val="single" w:sz="4" w:space="0" w:color="41B7EE"/>
              <w:left w:val="single" w:sz="4" w:space="0" w:color="41B7EE"/>
              <w:bottom w:val="single" w:sz="8" w:space="0" w:color="41B7EE"/>
              <w:right w:val="single" w:sz="4" w:space="0" w:color="41B7EE"/>
            </w:tcBorders>
          </w:tcPr>
          <w:p>
            <w:pPr/>
          </w:p>
        </w:tc>
        <w:tc>
          <w:tcPr>
            <w:tcW w:w="1904" w:type="dxa"/>
            <w:tcBorders>
              <w:top w:val="single" w:sz="4" w:space="0" w:color="41B7EE"/>
              <w:left w:val="single" w:sz="4" w:space="0" w:color="41B7EE"/>
              <w:bottom w:val="single" w:sz="8" w:space="0" w:color="41B7EE"/>
              <w:right w:val="nil" w:sz="6" w:space="0" w:color="auto"/>
            </w:tcBorders>
          </w:tcPr>
          <w:p>
            <w:pPr/>
          </w:p>
        </w:tc>
      </w:tr>
    </w:tbl>
    <w:p>
      <w:pPr>
        <w:spacing w:after="0"/>
        <w:sectPr>
          <w:type w:val="continuous"/>
          <w:pgSz w:w="11910" w:h="16840"/>
          <w:pgMar w:top="1360" w:bottom="1380" w:left="1600" w:right="1040"/>
        </w:sectPr>
      </w:pPr>
    </w:p>
    <w:p>
      <w:pPr>
        <w:spacing w:line="240" w:lineRule="auto" w:before="1"/>
        <w:rPr>
          <w:rFonts w:ascii="宋体" w:hAnsi="宋体" w:cs="宋体" w:eastAsia="宋体" w:hint="default"/>
          <w:sz w:val="12"/>
          <w:szCs w:val="12"/>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48.4pt;height:1pt;mso-position-horizontal-relative:char;mso-position-vertical-relative:line" coordorigin="0,0" coordsize="8968,20">
            <v:group style="position:absolute;left:10;top:10;width:4448;height:2" coordorigin="10,10" coordsize="4448,2">
              <v:shape style="position:absolute;left:10;top:10;width:4448;height:2" coordorigin="10,10" coordsize="4448,0" path="m10,10l4457,10e" filled="false" stroked="true" strokeweight=".96001pt" strokecolor="#41b7ee">
                <v:path arrowok="t"/>
              </v:shape>
            </v:group>
            <v:group style="position:absolute;left:4457;top:10;width:58;height:2" coordorigin="4457,10" coordsize="58,2">
              <v:shape style="position:absolute;left:4457;top:10;width:58;height:2" coordorigin="4457,10" coordsize="58,0" path="m4457,10l4515,10e" filled="false" stroked="true" strokeweight=".96001pt" strokecolor="#41b7ee">
                <v:path arrowok="t"/>
              </v:shape>
            </v:group>
            <v:group style="position:absolute;left:4515;top:10;width:644;height:2" coordorigin="4515,10" coordsize="644,2">
              <v:shape style="position:absolute;left:4515;top:10;width:644;height:2" coordorigin="4515,10" coordsize="644,0" path="m4515,10l5159,10e" filled="false" stroked="true" strokeweight=".96001pt" strokecolor="#41b7ee">
                <v:path arrowok="t"/>
              </v:shape>
            </v:group>
            <v:group style="position:absolute;left:5159;top:10;width:58;height:2" coordorigin="5159,10" coordsize="58,2">
              <v:shape style="position:absolute;left:5159;top:10;width:58;height:2" coordorigin="5159,10" coordsize="58,0" path="m5159,10l5216,10e" filled="false" stroked="true" strokeweight=".96001pt" strokecolor="#41b7ee">
                <v:path arrowok="t"/>
              </v:shape>
            </v:group>
            <v:group style="position:absolute;left:5216;top:10;width:1834;height:2" coordorigin="5216,10" coordsize="1834,2">
              <v:shape style="position:absolute;left:5216;top:10;width:1834;height:2" coordorigin="5216,10" coordsize="1834,0" path="m5216,10l7050,10e" filled="false" stroked="true" strokeweight=".96001pt" strokecolor="#41b7ee">
                <v:path arrowok="t"/>
              </v:shape>
            </v:group>
            <v:group style="position:absolute;left:7050;top:10;width:58;height:2" coordorigin="7050,10" coordsize="58,2">
              <v:shape style="position:absolute;left:7050;top:10;width:58;height:2" coordorigin="7050,10" coordsize="58,0" path="m7050,10l7107,10e" filled="false" stroked="true" strokeweight=".96001pt" strokecolor="#41b7ee">
                <v:path arrowok="t"/>
              </v:shape>
            </v:group>
            <v:group style="position:absolute;left:7107;top:10;width:1851;height:2" coordorigin="7107,10" coordsize="1851,2">
              <v:shape style="position:absolute;left:7107;top:10;width:1851;height:2" coordorigin="7107,10" coordsize="1851,0" path="m7107,10l8958,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10" w:type="dxa"/>
        <w:tblLayout w:type="fixed"/>
        <w:tblCellMar>
          <w:top w:w="0" w:type="dxa"/>
          <w:left w:w="0" w:type="dxa"/>
          <w:bottom w:w="0" w:type="dxa"/>
          <w:right w:w="0" w:type="dxa"/>
        </w:tblCellMar>
        <w:tblLook w:val="01E0"/>
      </w:tblPr>
      <w:tblGrid>
        <w:gridCol w:w="4453"/>
        <w:gridCol w:w="701"/>
        <w:gridCol w:w="1891"/>
        <w:gridCol w:w="1904"/>
      </w:tblGrid>
      <w:tr>
        <w:trPr>
          <w:trHeight w:val="329" w:hRule="exact"/>
        </w:trPr>
        <w:tc>
          <w:tcPr>
            <w:tcW w:w="4453" w:type="dxa"/>
            <w:tcBorders>
              <w:top w:val="single" w:sz="8" w:space="0" w:color="41B7EE"/>
              <w:left w:val="nil" w:sz="6" w:space="0" w:color="auto"/>
              <w:bottom w:val="single" w:sz="4" w:space="0" w:color="41B7EE"/>
              <w:right w:val="single" w:sz="4" w:space="0" w:color="41B7EE"/>
            </w:tcBorders>
          </w:tcPr>
          <w:p>
            <w:pPr>
              <w:pStyle w:val="TableParagraph"/>
              <w:spacing w:line="265" w:lineRule="exact"/>
              <w:ind w:left="268"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701" w:type="dxa"/>
            <w:tcBorders>
              <w:top w:val="single" w:sz="8" w:space="0" w:color="41B7EE"/>
              <w:left w:val="single" w:sz="4" w:space="0" w:color="41B7EE"/>
              <w:bottom w:val="single" w:sz="4" w:space="0" w:color="41B7EE"/>
              <w:right w:val="single" w:sz="4" w:space="0" w:color="41B7EE"/>
            </w:tcBorders>
          </w:tcPr>
          <w:p>
            <w:pPr>
              <w:pStyle w:val="TableParagraph"/>
              <w:spacing w:line="265" w:lineRule="exact"/>
              <w:ind w:left="52" w:right="0"/>
              <w:jc w:val="left"/>
              <w:rPr>
                <w:rFonts w:ascii="宋体" w:hAnsi="宋体" w:cs="宋体" w:eastAsia="宋体" w:hint="default"/>
                <w:sz w:val="21"/>
                <w:szCs w:val="21"/>
              </w:rPr>
            </w:pPr>
            <w:r>
              <w:rPr>
                <w:rFonts w:ascii="宋体"/>
                <w:w w:val="100"/>
                <w:sz w:val="21"/>
              </w:rPr>
              <w:t> </w:t>
            </w:r>
          </w:p>
        </w:tc>
        <w:tc>
          <w:tcPr>
            <w:tcW w:w="1891" w:type="dxa"/>
            <w:tcBorders>
              <w:top w:val="single" w:sz="8" w:space="0" w:color="41B7EE"/>
              <w:left w:val="single" w:sz="4" w:space="0" w:color="41B7EE"/>
              <w:bottom w:val="single" w:sz="4" w:space="0" w:color="41B7EE"/>
              <w:right w:val="single" w:sz="4" w:space="0" w:color="41B7EE"/>
            </w:tcBorders>
          </w:tcPr>
          <w:p>
            <w:pPr/>
          </w:p>
        </w:tc>
        <w:tc>
          <w:tcPr>
            <w:tcW w:w="1904" w:type="dxa"/>
            <w:tcBorders>
              <w:top w:val="single" w:sz="8" w:space="0" w:color="41B7EE"/>
              <w:left w:val="single" w:sz="4" w:space="0" w:color="41B7EE"/>
              <w:bottom w:val="single" w:sz="4" w:space="0" w:color="41B7EE"/>
              <w:right w:val="nil" w:sz="6" w:space="0" w:color="auto"/>
            </w:tcBorders>
          </w:tcPr>
          <w:p>
            <w:pP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r>
              <w:rPr>
                <w:rFonts w:ascii="宋体" w:hAnsi="宋体" w:cs="宋体" w:eastAsia="宋体" w:hint="default"/>
                <w:sz w:val="21"/>
                <w:szCs w:val="21"/>
              </w:rPr>
              <w:t> </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62" w:lineRule="exact"/>
              <w:ind w:left="52" w:right="0"/>
              <w:jc w:val="left"/>
              <w:rPr>
                <w:rFonts w:ascii="宋体" w:hAnsi="宋体" w:cs="宋体" w:eastAsia="宋体" w:hint="default"/>
                <w:sz w:val="21"/>
                <w:szCs w:val="21"/>
              </w:rPr>
            </w:pPr>
            <w:r>
              <w:rPr>
                <w:rFonts w:ascii="宋体"/>
                <w:w w:val="100"/>
                <w:sz w:val="21"/>
              </w:rPr>
              <w:t> </w:t>
            </w: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5,267,680.01</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196,757,523.14</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477"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60" w:lineRule="exact"/>
              <w:ind w:left="52" w:right="0"/>
              <w:jc w:val="left"/>
              <w:rPr>
                <w:rFonts w:ascii="宋体" w:hAnsi="宋体" w:cs="宋体" w:eastAsia="宋体" w:hint="default"/>
                <w:sz w:val="21"/>
                <w:szCs w:val="21"/>
              </w:rPr>
            </w:pPr>
            <w:r>
              <w:rPr>
                <w:rFonts w:ascii="宋体"/>
                <w:w w:val="100"/>
                <w:sz w:val="21"/>
              </w:rPr>
              <w:t> </w:t>
            </w: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48"/>
              <w:jc w:val="right"/>
              <w:rPr>
                <w:rFonts w:ascii="Arial" w:hAnsi="Arial" w:cs="Arial" w:eastAsia="Arial" w:hint="default"/>
                <w:sz w:val="21"/>
                <w:szCs w:val="21"/>
              </w:rPr>
            </w:pPr>
            <w:r>
              <w:rPr>
                <w:rFonts w:ascii="Arial"/>
                <w:spacing w:val="-1"/>
                <w:sz w:val="21"/>
              </w:rPr>
              <w:t>5,267,680.01</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8"/>
              <w:ind w:right="53"/>
              <w:jc w:val="right"/>
              <w:rPr>
                <w:rFonts w:ascii="Arial" w:hAnsi="Arial" w:cs="Arial" w:eastAsia="Arial" w:hint="default"/>
                <w:sz w:val="21"/>
                <w:szCs w:val="21"/>
              </w:rPr>
            </w:pPr>
            <w:r>
              <w:rPr>
                <w:rFonts w:ascii="Arial"/>
                <w:spacing w:val="-1"/>
                <w:sz w:val="21"/>
              </w:rPr>
              <w:t>196,757,523.14</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60" w:lineRule="exact"/>
              <w:ind w:left="52" w:right="0"/>
              <w:jc w:val="left"/>
              <w:rPr>
                <w:rFonts w:ascii="宋体" w:hAnsi="宋体" w:cs="宋体" w:eastAsia="宋体" w:hint="default"/>
                <w:sz w:val="21"/>
                <w:szCs w:val="21"/>
              </w:rPr>
            </w:pPr>
            <w:r>
              <w:rPr>
                <w:rFonts w:ascii="宋体"/>
                <w:w w:val="100"/>
                <w:sz w:val="21"/>
              </w:rPr>
              <w:t> </w:t>
            </w:r>
          </w:p>
        </w:tc>
        <w:tc>
          <w:tcPr>
            <w:tcW w:w="1891" w:type="dxa"/>
            <w:tcBorders>
              <w:top w:val="single" w:sz="4" w:space="0" w:color="41B7EE"/>
              <w:left w:val="single" w:sz="4" w:space="0" w:color="41B7EE"/>
              <w:bottom w:val="single" w:sz="4" w:space="0" w:color="41B7EE"/>
              <w:right w:val="single" w:sz="4" w:space="0" w:color="41B7EE"/>
            </w:tcBorders>
          </w:tcPr>
          <w:p>
            <w:pPr/>
          </w:p>
        </w:tc>
        <w:tc>
          <w:tcPr>
            <w:tcW w:w="1904"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r>
              <w:rPr>
                <w:rFonts w:ascii="宋体" w:hAnsi="宋体" w:cs="宋体" w:eastAsia="宋体" w:hint="default"/>
                <w:sz w:val="21"/>
                <w:szCs w:val="21"/>
              </w:rPr>
              <w:t> </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60" w:lineRule="exact"/>
              <w:ind w:left="52" w:right="0"/>
              <w:jc w:val="left"/>
              <w:rPr>
                <w:rFonts w:ascii="宋体" w:hAnsi="宋体" w:cs="宋体" w:eastAsia="宋体" w:hint="default"/>
                <w:sz w:val="21"/>
                <w:szCs w:val="21"/>
              </w:rPr>
            </w:pPr>
            <w:r>
              <w:rPr>
                <w:rFonts w:ascii="宋体"/>
                <w:w w:val="100"/>
                <w:sz w:val="21"/>
              </w:rPr>
              <w:t> </w:t>
            </w: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710,769,991.52</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479,910,270.70</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r>
              <w:rPr>
                <w:rFonts w:ascii="宋体" w:hAnsi="宋体" w:cs="宋体" w:eastAsia="宋体" w:hint="default"/>
                <w:sz w:val="21"/>
                <w:szCs w:val="21"/>
              </w:rPr>
              <w:t> </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62" w:lineRule="exact"/>
              <w:ind w:left="52" w:right="0"/>
              <w:jc w:val="left"/>
              <w:rPr>
                <w:rFonts w:ascii="宋体" w:hAnsi="宋体" w:cs="宋体" w:eastAsia="宋体" w:hint="default"/>
                <w:sz w:val="21"/>
                <w:szCs w:val="21"/>
              </w:rPr>
            </w:pPr>
            <w:r>
              <w:rPr>
                <w:rFonts w:ascii="宋体"/>
                <w:w w:val="100"/>
                <w:sz w:val="21"/>
              </w:rPr>
              <w:t> </w:t>
            </w: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2,238,600.00</w:t>
            </w:r>
          </w:p>
        </w:tc>
        <w:tc>
          <w:tcPr>
            <w:tcW w:w="1904"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477"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62" w:lineRule="exact"/>
              <w:ind w:left="52" w:right="0"/>
              <w:jc w:val="left"/>
              <w:rPr>
                <w:rFonts w:ascii="宋体" w:hAnsi="宋体" w:cs="宋体" w:eastAsia="宋体" w:hint="default"/>
                <w:sz w:val="21"/>
                <w:szCs w:val="21"/>
              </w:rPr>
            </w:pPr>
            <w:r>
              <w:rPr>
                <w:rFonts w:ascii="宋体"/>
                <w:w w:val="100"/>
                <w:sz w:val="21"/>
              </w:rPr>
              <w:t> </w:t>
            </w: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713,008,591.52</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479,910,270.70</w:t>
            </w:r>
          </w:p>
        </w:tc>
      </w:tr>
      <w:tr>
        <w:trPr>
          <w:trHeight w:val="324"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688"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62" w:lineRule="exact"/>
              <w:ind w:left="52" w:right="0"/>
              <w:jc w:val="left"/>
              <w:rPr>
                <w:rFonts w:ascii="宋体" w:hAnsi="宋体" w:cs="宋体" w:eastAsia="宋体" w:hint="default"/>
                <w:sz w:val="21"/>
                <w:szCs w:val="21"/>
              </w:rPr>
            </w:pPr>
            <w:r>
              <w:rPr>
                <w:rFonts w:ascii="宋体"/>
                <w:w w:val="100"/>
                <w:sz w:val="21"/>
              </w:rPr>
              <w:t> </w:t>
            </w: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-707,740,911.51</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-283,152,747.56</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r>
              <w:rPr>
                <w:rFonts w:ascii="宋体" w:hAnsi="宋体" w:cs="宋体" w:eastAsia="宋体" w:hint="default"/>
                <w:sz w:val="21"/>
                <w:szCs w:val="21"/>
              </w:rPr>
              <w:t> </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60" w:lineRule="exact"/>
              <w:ind w:left="52" w:right="0"/>
              <w:jc w:val="left"/>
              <w:rPr>
                <w:rFonts w:ascii="宋体" w:hAnsi="宋体" w:cs="宋体" w:eastAsia="宋体" w:hint="default"/>
                <w:sz w:val="21"/>
                <w:szCs w:val="21"/>
              </w:rPr>
            </w:pPr>
            <w:r>
              <w:rPr>
                <w:rFonts w:ascii="宋体"/>
                <w:w w:val="100"/>
                <w:sz w:val="21"/>
              </w:rPr>
              <w:t> </w:t>
            </w:r>
          </w:p>
        </w:tc>
        <w:tc>
          <w:tcPr>
            <w:tcW w:w="1891" w:type="dxa"/>
            <w:tcBorders>
              <w:top w:val="single" w:sz="4" w:space="0" w:color="41B7EE"/>
              <w:left w:val="single" w:sz="4" w:space="0" w:color="41B7EE"/>
              <w:bottom w:val="single" w:sz="4" w:space="0" w:color="41B7EE"/>
              <w:right w:val="single" w:sz="4" w:space="0" w:color="41B7EE"/>
            </w:tcBorders>
          </w:tcPr>
          <w:p>
            <w:pPr/>
          </w:p>
        </w:tc>
        <w:tc>
          <w:tcPr>
            <w:tcW w:w="1904"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r>
              <w:rPr>
                <w:rFonts w:ascii="宋体" w:hAnsi="宋体" w:cs="宋体" w:eastAsia="宋体" w:hint="default"/>
                <w:sz w:val="21"/>
                <w:szCs w:val="21"/>
              </w:rPr>
              <w:t> </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60" w:lineRule="exact"/>
              <w:ind w:left="52" w:right="0"/>
              <w:jc w:val="left"/>
              <w:rPr>
                <w:rFonts w:ascii="宋体" w:hAnsi="宋体" w:cs="宋体" w:eastAsia="宋体" w:hint="default"/>
                <w:sz w:val="21"/>
                <w:szCs w:val="21"/>
              </w:rPr>
            </w:pPr>
            <w:r>
              <w:rPr>
                <w:rFonts w:ascii="宋体"/>
                <w:w w:val="100"/>
                <w:sz w:val="21"/>
              </w:rPr>
              <w:t> </w:t>
            </w: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727,781,272.65</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-160,901,884.30</w:t>
            </w:r>
          </w:p>
        </w:tc>
      </w:tr>
      <w:tr>
        <w:trPr>
          <w:trHeight w:val="322" w:hRule="exact"/>
        </w:trPr>
        <w:tc>
          <w:tcPr>
            <w:tcW w:w="445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68"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r>
              <w:rPr>
                <w:rFonts w:ascii="宋体" w:hAnsi="宋体" w:cs="宋体" w:eastAsia="宋体" w:hint="default"/>
                <w:sz w:val="21"/>
                <w:szCs w:val="21"/>
              </w:rPr>
              <w:t> </w:t>
            </w:r>
          </w:p>
        </w:tc>
        <w:tc>
          <w:tcPr>
            <w:tcW w:w="701" w:type="dxa"/>
            <w:tcBorders>
              <w:top w:val="single" w:sz="4" w:space="0" w:color="41B7EE"/>
              <w:left w:val="single" w:sz="4" w:space="0" w:color="41B7EE"/>
              <w:bottom w:val="single" w:sz="4" w:space="0" w:color="41B7EE"/>
              <w:right w:val="single" w:sz="4" w:space="0" w:color="41B7EE"/>
            </w:tcBorders>
          </w:tcPr>
          <w:p>
            <w:pPr>
              <w:pStyle w:val="TableParagraph"/>
              <w:spacing w:line="260" w:lineRule="exact"/>
              <w:ind w:left="52" w:right="0"/>
              <w:jc w:val="left"/>
              <w:rPr>
                <w:rFonts w:ascii="宋体" w:hAnsi="宋体" w:cs="宋体" w:eastAsia="宋体" w:hint="default"/>
                <w:sz w:val="21"/>
                <w:szCs w:val="21"/>
              </w:rPr>
            </w:pPr>
            <w:r>
              <w:rPr>
                <w:rFonts w:ascii="宋体"/>
                <w:w w:val="100"/>
                <w:sz w:val="21"/>
              </w:rPr>
              <w:t> </w:t>
            </w: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223,367,539.05</w:t>
            </w:r>
          </w:p>
        </w:tc>
        <w:tc>
          <w:tcPr>
            <w:tcW w:w="190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384,269,423.35</w:t>
            </w:r>
          </w:p>
        </w:tc>
      </w:tr>
      <w:tr>
        <w:trPr>
          <w:trHeight w:val="329" w:hRule="exact"/>
        </w:trPr>
        <w:tc>
          <w:tcPr>
            <w:tcW w:w="4453" w:type="dxa"/>
            <w:tcBorders>
              <w:top w:val="single" w:sz="4" w:space="0" w:color="41B7EE"/>
              <w:left w:val="nil" w:sz="6" w:space="0" w:color="auto"/>
              <w:bottom w:val="single" w:sz="8" w:space="0" w:color="41B7EE"/>
              <w:right w:val="single" w:sz="4" w:space="0" w:color="41B7EE"/>
            </w:tcBorders>
          </w:tcPr>
          <w:p>
            <w:pPr>
              <w:pStyle w:val="TableParagraph"/>
              <w:spacing w:line="263" w:lineRule="exact"/>
              <w:ind w:left="57"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r>
              <w:rPr>
                <w:rFonts w:ascii="宋体" w:hAnsi="宋体" w:cs="宋体" w:eastAsia="宋体" w:hint="default"/>
                <w:sz w:val="21"/>
                <w:szCs w:val="21"/>
              </w:rPr>
              <w:t> </w:t>
            </w:r>
          </w:p>
        </w:tc>
        <w:tc>
          <w:tcPr>
            <w:tcW w:w="701" w:type="dxa"/>
            <w:tcBorders>
              <w:top w:val="single" w:sz="4" w:space="0" w:color="41B7EE"/>
              <w:left w:val="single" w:sz="4" w:space="0" w:color="41B7EE"/>
              <w:bottom w:val="single" w:sz="8" w:space="0" w:color="41B7EE"/>
              <w:right w:val="single" w:sz="4" w:space="0" w:color="41B7EE"/>
            </w:tcBorders>
          </w:tcPr>
          <w:p>
            <w:pPr>
              <w:pStyle w:val="TableParagraph"/>
              <w:spacing w:line="263" w:lineRule="exact"/>
              <w:ind w:left="52" w:right="0"/>
              <w:jc w:val="left"/>
              <w:rPr>
                <w:rFonts w:ascii="宋体" w:hAnsi="宋体" w:cs="宋体" w:eastAsia="宋体" w:hint="default"/>
                <w:sz w:val="21"/>
                <w:szCs w:val="21"/>
              </w:rPr>
            </w:pPr>
            <w:r>
              <w:rPr>
                <w:rFonts w:ascii="宋体"/>
                <w:w w:val="100"/>
                <w:sz w:val="21"/>
              </w:rPr>
              <w:t> </w:t>
            </w:r>
          </w:p>
        </w:tc>
        <w:tc>
          <w:tcPr>
            <w:tcW w:w="1891"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951,148,811.70</w:t>
            </w:r>
          </w:p>
        </w:tc>
        <w:tc>
          <w:tcPr>
            <w:tcW w:w="1904"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31"/>
              <w:ind w:right="53"/>
              <w:jc w:val="right"/>
              <w:rPr>
                <w:rFonts w:ascii="Arial" w:hAnsi="Arial" w:cs="Arial" w:eastAsia="Arial" w:hint="default"/>
                <w:sz w:val="21"/>
                <w:szCs w:val="21"/>
              </w:rPr>
            </w:pPr>
            <w:r>
              <w:rPr>
                <w:rFonts w:ascii="Arial"/>
                <w:spacing w:val="-1"/>
                <w:sz w:val="21"/>
              </w:rPr>
              <w:t>223,367,539.05</w:t>
            </w:r>
          </w:p>
        </w:tc>
      </w:tr>
    </w:tbl>
    <w:p>
      <w:pPr>
        <w:spacing w:line="240" w:lineRule="auto" w:before="11"/>
        <w:rPr>
          <w:rFonts w:ascii="宋体" w:hAnsi="宋体" w:cs="宋体" w:eastAsia="宋体" w:hint="default"/>
          <w:sz w:val="2"/>
          <w:szCs w:val="2"/>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48.4pt;height:1pt;mso-position-horizontal-relative:char;mso-position-vertical-relative:line" coordorigin="0,0" coordsize="8968,20">
            <v:group style="position:absolute;left:10;top:10;width:4448;height:2" coordorigin="10,10" coordsize="4448,2">
              <v:shape style="position:absolute;left:10;top:10;width:4448;height:2" coordorigin="10,10" coordsize="4448,0" path="m10,10l4457,10e" filled="false" stroked="true" strokeweight=".96002pt" strokecolor="#41b7ee">
                <v:path arrowok="t"/>
              </v:shape>
            </v:group>
            <v:group style="position:absolute;left:4457;top:10;width:58;height:2" coordorigin="4457,10" coordsize="58,2">
              <v:shape style="position:absolute;left:4457;top:10;width:58;height:2" coordorigin="4457,10" coordsize="58,0" path="m4457,10l4515,10e" filled="false" stroked="true" strokeweight=".96002pt" strokecolor="#41b7ee">
                <v:path arrowok="t"/>
              </v:shape>
            </v:group>
            <v:group style="position:absolute;left:4515;top:10;width:644;height:2" coordorigin="4515,10" coordsize="644,2">
              <v:shape style="position:absolute;left:4515;top:10;width:644;height:2" coordorigin="4515,10" coordsize="644,0" path="m4515,10l5159,10e" filled="false" stroked="true" strokeweight=".96002pt" strokecolor="#41b7ee">
                <v:path arrowok="t"/>
              </v:shape>
            </v:group>
            <v:group style="position:absolute;left:5159;top:10;width:58;height:2" coordorigin="5159,10" coordsize="58,2">
              <v:shape style="position:absolute;left:5159;top:10;width:58;height:2" coordorigin="5159,10" coordsize="58,0" path="m5159,10l5216,10e" filled="false" stroked="true" strokeweight=".96002pt" strokecolor="#41b7ee">
                <v:path arrowok="t"/>
              </v:shape>
            </v:group>
            <v:group style="position:absolute;left:5216;top:10;width:1834;height:2" coordorigin="5216,10" coordsize="1834,2">
              <v:shape style="position:absolute;left:5216;top:10;width:1834;height:2" coordorigin="5216,10" coordsize="1834,0" path="m5216,10l7050,10e" filled="false" stroked="true" strokeweight=".96002pt" strokecolor="#41b7ee">
                <v:path arrowok="t"/>
              </v:shape>
            </v:group>
            <v:group style="position:absolute;left:7050;top:10;width:58;height:2" coordorigin="7050,10" coordsize="58,2">
              <v:shape style="position:absolute;left:7050;top:10;width:58;height:2" coordorigin="7050,10" coordsize="58,0" path="m7050,10l7107,10e" filled="false" stroked="true" strokeweight=".96002pt" strokecolor="#41b7ee">
                <v:path arrowok="t"/>
              </v:shape>
            </v:group>
            <v:group style="position:absolute;left:7107;top:10;width:1851;height:2" coordorigin="7107,10" coordsize="1851,2">
              <v:shape style="position:absolute;left:7107;top:10;width:1851;height:2" coordorigin="7107,10" coordsize="1851,0" path="m7107,10l8958,10e" filled="false" stroked="true" strokeweight=".96002pt" strokecolor="#41b7ee">
                <v:path arrowok="t"/>
              </v:shape>
            </v:group>
          </v:group>
        </w:pict>
      </w:r>
      <w:r>
        <w:rPr>
          <w:rFonts w:ascii="宋体" w:hAnsi="宋体" w:cs="宋体" w:eastAsia="宋体" w:hint="default"/>
          <w:sz w:val="2"/>
          <w:szCs w:val="2"/>
        </w:rPr>
      </w:r>
    </w:p>
    <w:p>
      <w:pPr>
        <w:pStyle w:val="BodyText"/>
        <w:spacing w:line="240" w:lineRule="exact"/>
        <w:ind w:left="178" w:right="0"/>
        <w:jc w:val="left"/>
        <w:rPr>
          <w:rFonts w:ascii="宋体" w:hAnsi="宋体" w:cs="宋体" w:eastAsia="宋体" w:hint="default"/>
        </w:rPr>
      </w:pPr>
      <w:r>
        <w:rPr>
          <w:rFonts w:ascii="宋体"/>
          <w:w w:val="100"/>
        </w:rPr>
        <w:t> </w:t>
      </w:r>
    </w:p>
    <w:p>
      <w:pPr>
        <w:spacing w:line="259" w:lineRule="exact" w:before="1"/>
        <w:ind w:left="178" w:right="0" w:firstLine="0"/>
        <w:jc w:val="left"/>
        <w:rPr>
          <w:rFonts w:ascii="宋体" w:hAnsi="宋体" w:cs="宋体" w:eastAsia="宋体" w:hint="default"/>
          <w:sz w:val="20"/>
          <w:szCs w:val="20"/>
        </w:rPr>
      </w:pPr>
      <w:r>
        <w:rPr>
          <w:rFonts w:ascii="宋体" w:hAnsi="宋体" w:cs="宋体" w:eastAsia="宋体" w:hint="default"/>
          <w:sz w:val="20"/>
          <w:szCs w:val="20"/>
        </w:rPr>
        <w:t>法定代表人：刘长友主管会计工作负责人：贺天元、总会计师及会计机构负责人：葛树峰</w:t>
      </w:r>
      <w:r>
        <w:rPr>
          <w:rFonts w:ascii="宋体" w:hAnsi="宋体" w:cs="宋体" w:eastAsia="宋体" w:hint="default"/>
          <w:b/>
          <w:bCs/>
          <w:color w:val="FF0000"/>
          <w:w w:val="98"/>
          <w:sz w:val="20"/>
          <w:szCs w:val="20"/>
        </w:rPr>
        <w:t> </w:t>
      </w:r>
      <w:r>
        <w:rPr>
          <w:rFonts w:ascii="宋体" w:hAnsi="宋体" w:cs="宋体" w:eastAsia="宋体" w:hint="default"/>
          <w:sz w:val="20"/>
          <w:szCs w:val="20"/>
        </w:rPr>
      </w:r>
    </w:p>
    <w:p>
      <w:pPr>
        <w:pStyle w:val="Heading2"/>
        <w:spacing w:line="271" w:lineRule="exact" w:before="0"/>
        <w:ind w:left="178" w:right="0"/>
        <w:jc w:val="left"/>
        <w:rPr>
          <w:rFonts w:ascii="宋体" w:hAnsi="宋体" w:cs="宋体" w:eastAsia="宋体" w:hint="default"/>
          <w:b w:val="0"/>
          <w:bCs w:val="0"/>
        </w:rPr>
      </w:pPr>
      <w:r>
        <w:rPr>
          <w:rFonts w:ascii="宋体"/>
          <w:color w:val="FF0000"/>
          <w:w w:val="99"/>
        </w:rPr>
        <w:t> </w:t>
      </w:r>
      <w:r>
        <w:rPr>
          <w:rFonts w:ascii="宋体"/>
          <w:b w:val="0"/>
        </w:rPr>
      </w:r>
    </w:p>
    <w:p>
      <w:pPr>
        <w:pStyle w:val="BodyText"/>
        <w:spacing w:line="272" w:lineRule="exact"/>
        <w:ind w:left="178" w:right="0"/>
        <w:jc w:val="left"/>
        <w:rPr>
          <w:rFonts w:ascii="宋体" w:hAnsi="宋体" w:cs="宋体" w:eastAsia="宋体" w:hint="default"/>
        </w:rPr>
      </w:pPr>
      <w:r>
        <w:rPr>
          <w:rFonts w:ascii="宋体"/>
          <w:w w:val="100"/>
        </w:rPr>
        <w:t> </w:t>
      </w:r>
    </w:p>
    <w:p>
      <w:pPr>
        <w:pStyle w:val="BodyText"/>
        <w:spacing w:line="272" w:lineRule="exact"/>
        <w:ind w:left="178" w:right="0"/>
        <w:jc w:val="left"/>
        <w:rPr>
          <w:rFonts w:ascii="宋体" w:hAnsi="宋体" w:cs="宋体" w:eastAsia="宋体" w:hint="default"/>
        </w:rPr>
      </w:pPr>
      <w:r>
        <w:rPr>
          <w:rFonts w:ascii="宋体"/>
          <w:w w:val="100"/>
        </w:rPr>
        <w:t> </w:t>
      </w:r>
    </w:p>
    <w:p>
      <w:pPr>
        <w:pStyle w:val="BodyText"/>
        <w:spacing w:line="273" w:lineRule="exact"/>
        <w:ind w:left="17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21" w:footer="1195" w:top="1360" w:bottom="1380" w:left="1620" w:right="1080"/>
        </w:sectPr>
      </w:pPr>
    </w:p>
    <w:p>
      <w:pPr>
        <w:spacing w:line="237" w:lineRule="auto" w:before="33"/>
        <w:ind w:left="6015" w:right="0" w:hanging="1"/>
        <w:jc w:val="center"/>
        <w:rPr>
          <w:rFonts w:ascii="宋体" w:hAnsi="宋体" w:cs="宋体" w:eastAsia="宋体" w:hint="default"/>
          <w:sz w:val="21"/>
          <w:szCs w:val="21"/>
        </w:rPr>
      </w:pPr>
      <w:r>
        <w:rPr/>
        <w:pict>
          <v:group style="position:absolute;margin-left:74.760002pt;margin-top:2.871006pt;width:695.65pt;height:.1pt;mso-position-horizontal-relative:page;mso-position-vertical-relative:paragraph;z-index:-942400" coordorigin="1495,57" coordsize="13913,2">
            <v:shape style="position:absolute;left:1495;top:57;width:13913;height:2" coordorigin="1495,57" coordsize="13913,0" path="m1495,57l15408,57e" filled="false" stroked="true" strokeweight=".72pt" strokecolor="#000000">
              <v:path arrowok="t"/>
            </v:shape>
            <w10:wrap type="none"/>
          </v:group>
        </w:pict>
      </w:r>
      <w:r>
        <w:rPr>
          <w:rFonts w:ascii="宋体" w:hAnsi="宋体" w:cs="宋体" w:eastAsia="宋体" w:hint="default"/>
          <w:b/>
          <w:bCs/>
          <w:w w:val="99"/>
          <w:sz w:val="21"/>
          <w:szCs w:val="21"/>
        </w:rPr>
        <w:t>  </w:t>
      </w:r>
      <w:r>
        <w:rPr>
          <w:rFonts w:ascii="宋体" w:hAnsi="宋体" w:cs="宋体" w:eastAsia="宋体" w:hint="default"/>
          <w:b/>
          <w:bCs/>
          <w:w w:val="100"/>
          <w:sz w:val="21"/>
          <w:szCs w:val="21"/>
        </w:rPr>
        <w:t>合并所有者权益变</w:t>
      </w:r>
      <w:r>
        <w:rPr>
          <w:rFonts w:ascii="宋体" w:hAnsi="宋体" w:cs="宋体" w:eastAsia="宋体" w:hint="default"/>
          <w:b/>
          <w:bCs/>
          <w:spacing w:val="-3"/>
          <w:w w:val="100"/>
          <w:sz w:val="21"/>
          <w:szCs w:val="21"/>
        </w:rPr>
        <w:t>动表</w:t>
      </w:r>
      <w:r>
        <w:rPr>
          <w:rFonts w:ascii="宋体" w:hAnsi="宋体" w:cs="宋体" w:eastAsia="宋体" w:hint="default"/>
          <w:b/>
          <w:bCs/>
          <w:w w:val="99"/>
          <w:sz w:val="21"/>
          <w:szCs w:val="21"/>
        </w:rPr>
        <w:t> </w:t>
      </w:r>
      <w:r>
        <w:rPr>
          <w:rFonts w:ascii="Arial" w:hAnsi="Arial" w:cs="Arial" w:eastAsia="Arial" w:hint="default"/>
          <w:w w:val="100"/>
          <w:sz w:val="21"/>
          <w:szCs w:val="21"/>
        </w:rPr>
        <w:t>2019</w:t>
      </w:r>
      <w:r>
        <w:rPr>
          <w:rFonts w:ascii="Arial" w:hAnsi="Arial" w:cs="Arial" w:eastAsia="Arial" w:hint="default"/>
          <w:spacing w:val="-8"/>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Arial" w:hAnsi="Arial" w:cs="Arial" w:eastAsia="Arial" w:hint="default"/>
          <w:spacing w:val="-3"/>
          <w:w w:val="100"/>
          <w:sz w:val="21"/>
          <w:szCs w:val="21"/>
        </w:rPr>
        <w:t>1</w:t>
      </w:r>
      <w:r>
        <w:rPr>
          <w:rFonts w:ascii="Arial" w:hAnsi="Arial" w:cs="Arial" w:eastAsia="Arial" w:hint="default"/>
          <w:w w:val="100"/>
          <w:sz w:val="21"/>
          <w:szCs w:val="21"/>
        </w:rPr>
        <w:t>—</w:t>
      </w:r>
      <w:r>
        <w:rPr>
          <w:rFonts w:ascii="Arial" w:hAnsi="Arial" w:cs="Arial" w:eastAsia="Arial" w:hint="default"/>
          <w:spacing w:val="-3"/>
          <w:w w:val="100"/>
          <w:sz w:val="21"/>
          <w:szCs w:val="21"/>
        </w:rPr>
        <w:t>1</w:t>
      </w:r>
      <w:r>
        <w:rPr>
          <w:rFonts w:ascii="Arial" w:hAnsi="Arial" w:cs="Arial" w:eastAsia="Arial" w:hint="default"/>
          <w:w w:val="100"/>
          <w:sz w:val="21"/>
          <w:szCs w:val="21"/>
        </w:rPr>
        <w:t>2</w:t>
      </w:r>
      <w:r>
        <w:rPr>
          <w:rFonts w:ascii="Arial" w:hAnsi="Arial" w:cs="Arial" w:eastAsia="Arial" w:hint="default"/>
          <w:spacing w:val="-6"/>
          <w:sz w:val="21"/>
          <w:szCs w:val="21"/>
        </w:rPr>
        <w:t> </w:t>
      </w:r>
      <w:r>
        <w:rPr>
          <w:rFonts w:ascii="宋体" w:hAnsi="宋体" w:cs="宋体" w:eastAsia="宋体" w:hint="default"/>
          <w:w w:val="100"/>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40" w:lineRule="auto"/>
        <w:ind w:left="3649"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46"/>
          <w:footerReference w:type="default" r:id="rId47"/>
          <w:pgSz w:w="16840" w:h="11910" w:orient="landscape"/>
          <w:pgMar w:header="826" w:footer="1195" w:top="1300" w:bottom="1380" w:left="1380" w:right="1220"/>
          <w:pgNumType w:start="76"/>
          <w:cols w:num="2" w:equalWidth="0">
            <w:col w:w="8229" w:space="40"/>
            <w:col w:w="5971"/>
          </w:cols>
        </w:sectPr>
      </w:pPr>
    </w:p>
    <w:p>
      <w:pPr>
        <w:spacing w:line="240" w:lineRule="auto" w:before="4"/>
        <w:rPr>
          <w:rFonts w:ascii="宋体" w:hAnsi="宋体" w:cs="宋体" w:eastAsia="宋体" w:hint="default"/>
          <w:sz w:val="2"/>
          <w:szCs w:val="2"/>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695.65pt;height:1pt;mso-position-horizontal-relative:char;mso-position-vertical-relative:line" coordorigin="0,0" coordsize="13913,20">
            <v:group style="position:absolute;left:10;top:10;width:2972;height:2" coordorigin="10,10" coordsize="2972,2">
              <v:shape style="position:absolute;left:10;top:10;width:2972;height:2" coordorigin="10,10" coordsize="2972,0" path="m10,10l2981,10e" filled="false" stroked="true" strokeweight=".96pt" strokecolor="#009eea">
                <v:path arrowok="t"/>
              </v:shape>
            </v:group>
            <v:group style="position:absolute;left:2981;top:10;width:58;height:2" coordorigin="2981,10" coordsize="58,2">
              <v:shape style="position:absolute;left:2981;top:10;width:58;height:2" coordorigin="2981,10" coordsize="58,0" path="m2981,10l3039,10e" filled="false" stroked="true" strokeweight=".96pt" strokecolor="#009eea">
                <v:path arrowok="t"/>
              </v:shape>
            </v:group>
            <v:group style="position:absolute;left:3039;top:10;width:10864;height:2" coordorigin="3039,10" coordsize="10864,2">
              <v:shape style="position:absolute;left:3039;top:10;width:10864;height:2" coordorigin="3039,10" coordsize="10864,0" path="m3039,10l13903,10e" filled="false" stroked="true" strokeweight=".96pt" strokecolor="#009eea">
                <v:path arrowok="t"/>
              </v:shape>
            </v:group>
          </v:group>
        </w:pict>
      </w:r>
      <w:r>
        <w:rPr>
          <w:rFonts w:ascii="宋体" w:hAnsi="宋体" w:cs="宋体" w:eastAsia="宋体" w:hint="default"/>
          <w:sz w:val="2"/>
          <w:szCs w:val="2"/>
        </w:rPr>
      </w:r>
    </w:p>
    <w:tbl>
      <w:tblPr>
        <w:tblW w:w="0" w:type="auto"/>
        <w:jc w:val="left"/>
        <w:tblInd w:w="105" w:type="dxa"/>
        <w:tblLayout w:type="fixed"/>
        <w:tblCellMar>
          <w:top w:w="0" w:type="dxa"/>
          <w:left w:w="0" w:type="dxa"/>
          <w:bottom w:w="0" w:type="dxa"/>
          <w:right w:w="0" w:type="dxa"/>
        </w:tblCellMar>
        <w:tblLook w:val="01E0"/>
      </w:tblPr>
      <w:tblGrid>
        <w:gridCol w:w="2976"/>
        <w:gridCol w:w="1340"/>
        <w:gridCol w:w="1339"/>
        <w:gridCol w:w="972"/>
        <w:gridCol w:w="506"/>
        <w:gridCol w:w="1340"/>
        <w:gridCol w:w="1440"/>
        <w:gridCol w:w="1340"/>
        <w:gridCol w:w="1298"/>
        <w:gridCol w:w="1342"/>
      </w:tblGrid>
      <w:tr>
        <w:trPr>
          <w:trHeight w:val="302" w:hRule="exact"/>
        </w:trPr>
        <w:tc>
          <w:tcPr>
            <w:tcW w:w="2976" w:type="dxa"/>
            <w:vMerge w:val="restart"/>
            <w:tcBorders>
              <w:top w:val="single" w:sz="8" w:space="0" w:color="009EEA"/>
              <w:left w:val="nil" w:sz="6" w:space="0" w:color="auto"/>
              <w:right w:val="single" w:sz="4" w:space="0" w:color="009EEA"/>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917" w:type="dxa"/>
            <w:gridSpan w:val="9"/>
            <w:tcBorders>
              <w:top w:val="single" w:sz="8" w:space="0" w:color="009EEA"/>
              <w:left w:val="single" w:sz="4" w:space="0" w:color="009EEA"/>
              <w:bottom w:val="single" w:sz="4" w:space="0" w:color="009EEA"/>
              <w:right w:val="nil" w:sz="6" w:space="0" w:color="auto"/>
            </w:tcBorders>
          </w:tcPr>
          <w:p>
            <w:pPr>
              <w:pStyle w:val="TableParagraph"/>
              <w:spacing w:line="240" w:lineRule="auto" w:before="1"/>
              <w:ind w:left="1586" w:right="0"/>
              <w:jc w:val="center"/>
              <w:rPr>
                <w:rFonts w:ascii="宋体" w:hAnsi="宋体" w:cs="宋体" w:eastAsia="宋体" w:hint="default"/>
                <w:sz w:val="18"/>
                <w:szCs w:val="18"/>
              </w:rPr>
            </w:pPr>
            <w:r>
              <w:rPr>
                <w:rFonts w:ascii="Arial" w:hAnsi="Arial" w:cs="Arial" w:eastAsia="Arial" w:hint="default"/>
                <w:w w:val="90"/>
                <w:sz w:val="18"/>
                <w:szCs w:val="18"/>
              </w:rPr>
              <w:t>2019</w:t>
            </w:r>
            <w:r>
              <w:rPr>
                <w:rFonts w:ascii="Arial" w:hAnsi="Arial" w:cs="Arial" w:eastAsia="Arial" w:hint="default"/>
                <w:spacing w:val="1"/>
                <w:w w:val="90"/>
                <w:sz w:val="18"/>
                <w:szCs w:val="18"/>
              </w:rPr>
              <w:t> </w:t>
            </w:r>
            <w:r>
              <w:rPr>
                <w:rFonts w:ascii="宋体" w:hAnsi="宋体" w:cs="宋体" w:eastAsia="宋体" w:hint="default"/>
                <w:w w:val="90"/>
                <w:sz w:val="18"/>
                <w:szCs w:val="18"/>
              </w:rPr>
              <w:t>年度</w:t>
            </w:r>
          </w:p>
        </w:tc>
      </w:tr>
      <w:tr>
        <w:trPr>
          <w:trHeight w:val="293" w:hRule="exact"/>
        </w:trPr>
        <w:tc>
          <w:tcPr>
            <w:tcW w:w="2976" w:type="dxa"/>
            <w:vMerge/>
            <w:tcBorders>
              <w:left w:val="nil" w:sz="6" w:space="0" w:color="auto"/>
              <w:right w:val="single" w:sz="4" w:space="0" w:color="009EEA"/>
            </w:tcBorders>
          </w:tcPr>
          <w:p>
            <w:pPr/>
          </w:p>
        </w:tc>
        <w:tc>
          <w:tcPr>
            <w:tcW w:w="8277" w:type="dxa"/>
            <w:gridSpan w:val="7"/>
            <w:tcBorders>
              <w:top w:val="single" w:sz="4" w:space="0" w:color="009EEA"/>
              <w:left w:val="single" w:sz="4" w:space="0" w:color="009EEA"/>
              <w:bottom w:val="single" w:sz="4" w:space="0" w:color="009EEA"/>
              <w:right w:val="single" w:sz="4" w:space="0" w:color="009EEA"/>
            </w:tcBorders>
          </w:tcPr>
          <w:p>
            <w:pPr>
              <w:pStyle w:val="TableParagraph"/>
              <w:spacing w:line="229" w:lineRule="exact"/>
              <w:ind w:left="6"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98" w:type="dxa"/>
            <w:tcBorders>
              <w:top w:val="single" w:sz="4" w:space="0" w:color="009EEA"/>
              <w:left w:val="single" w:sz="4" w:space="0" w:color="009EEA"/>
              <w:bottom w:val="single" w:sz="4" w:space="0" w:color="009EEA"/>
              <w:right w:val="single" w:sz="4" w:space="0" w:color="009EEA"/>
            </w:tcBorders>
          </w:tcPr>
          <w:p>
            <w:pPr>
              <w:pStyle w:val="TableParagraph"/>
              <w:spacing w:line="229" w:lineRule="exact"/>
              <w:ind w:left="12" w:right="0"/>
              <w:jc w:val="center"/>
              <w:rPr>
                <w:rFonts w:ascii="宋体" w:hAnsi="宋体" w:cs="宋体" w:eastAsia="宋体" w:hint="default"/>
                <w:sz w:val="18"/>
                <w:szCs w:val="18"/>
              </w:rPr>
            </w:pPr>
            <w:r>
              <w:rPr>
                <w:rFonts w:ascii="宋体" w:hAnsi="宋体" w:cs="宋体" w:eastAsia="宋体" w:hint="default"/>
                <w:sz w:val="18"/>
                <w:szCs w:val="18"/>
              </w:rPr>
              <w:t>少数股东权益</w:t>
            </w:r>
          </w:p>
        </w:tc>
        <w:tc>
          <w:tcPr>
            <w:tcW w:w="1342" w:type="dxa"/>
            <w:tcBorders>
              <w:top w:val="single" w:sz="4" w:space="0" w:color="009EEA"/>
              <w:left w:val="single" w:sz="4" w:space="0" w:color="009EEA"/>
              <w:bottom w:val="single" w:sz="4" w:space="0" w:color="009EEA"/>
              <w:right w:val="nil" w:sz="6" w:space="0" w:color="auto"/>
            </w:tcBorders>
          </w:tcPr>
          <w:p>
            <w:pPr>
              <w:pStyle w:val="TableParagraph"/>
              <w:spacing w:line="229" w:lineRule="exact"/>
              <w:ind w:right="36"/>
              <w:jc w:val="righ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2976" w:type="dxa"/>
            <w:vMerge/>
            <w:tcBorders>
              <w:left w:val="nil" w:sz="6" w:space="0" w:color="auto"/>
              <w:bottom w:val="single" w:sz="4" w:space="0" w:color="009EEA"/>
              <w:right w:val="single" w:sz="4" w:space="0" w:color="009EEA"/>
            </w:tcBorders>
          </w:tcPr>
          <w:p>
            <w:pPr/>
          </w:p>
        </w:tc>
        <w:tc>
          <w:tcPr>
            <w:tcW w:w="1340" w:type="dxa"/>
            <w:tcBorders>
              <w:top w:val="single" w:sz="4" w:space="0" w:color="009EEA"/>
              <w:left w:val="single" w:sz="4" w:space="0" w:color="009EEA"/>
              <w:bottom w:val="single" w:sz="4" w:space="0" w:color="009EEA"/>
              <w:right w:val="single" w:sz="4" w:space="0" w:color="009EEA"/>
            </w:tcBorders>
          </w:tcPr>
          <w:p>
            <w:pPr>
              <w:pStyle w:val="TableParagraph"/>
              <w:spacing w:line="213" w:lineRule="exact"/>
              <w:ind w:left="304"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4"/>
              <w:ind w:left="280" w:right="0"/>
              <w:jc w:val="left"/>
              <w:rPr>
                <w:rFonts w:ascii="Arial" w:hAnsi="Arial" w:cs="Arial" w:eastAsia="Arial" w:hint="default"/>
                <w:sz w:val="18"/>
                <w:szCs w:val="18"/>
              </w:rPr>
            </w:pPr>
            <w:r>
              <w:rPr>
                <w:rFonts w:ascii="宋体" w:hAnsi="宋体" w:cs="宋体" w:eastAsia="宋体" w:hint="default"/>
                <w:sz w:val="18"/>
                <w:szCs w:val="18"/>
              </w:rPr>
              <w:t>（或股本</w:t>
            </w:r>
            <w:r>
              <w:rPr>
                <w:rFonts w:ascii="Arial" w:hAnsi="Arial" w:cs="Arial" w:eastAsia="Arial" w:hint="default"/>
                <w:sz w:val="18"/>
                <w:szCs w:val="18"/>
              </w:rPr>
              <w:t>)</w:t>
            </w:r>
          </w:p>
        </w:tc>
        <w:tc>
          <w:tcPr>
            <w:tcW w:w="13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972" w:type="dxa"/>
            <w:tcBorders>
              <w:top w:val="single" w:sz="4" w:space="0" w:color="009EEA"/>
              <w:left w:val="single" w:sz="4" w:space="0" w:color="009EEA"/>
              <w:bottom w:val="single" w:sz="4" w:space="0" w:color="009EEA"/>
              <w:right w:val="single" w:sz="4" w:space="0" w:color="009EEA"/>
            </w:tcBorders>
          </w:tcPr>
          <w:p>
            <w:pPr>
              <w:pStyle w:val="TableParagraph"/>
              <w:spacing w:line="213" w:lineRule="exact"/>
              <w:ind w:left="2" w:right="0"/>
              <w:jc w:val="center"/>
              <w:rPr>
                <w:rFonts w:ascii="宋体" w:hAnsi="宋体" w:cs="宋体" w:eastAsia="宋体" w:hint="default"/>
                <w:sz w:val="18"/>
                <w:szCs w:val="18"/>
              </w:rPr>
            </w:pPr>
            <w:r>
              <w:rPr>
                <w:rFonts w:ascii="宋体" w:hAnsi="宋体" w:cs="宋体" w:eastAsia="宋体" w:hint="default"/>
                <w:sz w:val="18"/>
                <w:szCs w:val="18"/>
              </w:rPr>
              <w:t>其他综合</w:t>
            </w:r>
          </w:p>
          <w:p>
            <w:pPr>
              <w:pStyle w:val="TableParagraph"/>
              <w:spacing w:line="240" w:lineRule="auto" w:before="4"/>
              <w:ind w:left="2" w:right="0"/>
              <w:jc w:val="center"/>
              <w:rPr>
                <w:rFonts w:ascii="宋体" w:hAnsi="宋体" w:cs="宋体" w:eastAsia="宋体" w:hint="default"/>
                <w:sz w:val="18"/>
                <w:szCs w:val="18"/>
              </w:rPr>
            </w:pPr>
            <w:r>
              <w:rPr>
                <w:rFonts w:ascii="宋体" w:hAnsi="宋体" w:cs="宋体" w:eastAsia="宋体" w:hint="default"/>
                <w:sz w:val="18"/>
                <w:szCs w:val="18"/>
              </w:rPr>
              <w:t>收益</w:t>
            </w:r>
          </w:p>
        </w:tc>
        <w:tc>
          <w:tcPr>
            <w:tcW w:w="506" w:type="dxa"/>
            <w:tcBorders>
              <w:top w:val="single" w:sz="4" w:space="0" w:color="009EEA"/>
              <w:left w:val="single" w:sz="4" w:space="0" w:color="009EEA"/>
              <w:bottom w:val="single" w:sz="4" w:space="0" w:color="009EEA"/>
              <w:right w:val="single" w:sz="4" w:space="0" w:color="009EEA"/>
            </w:tcBorders>
          </w:tcPr>
          <w:p>
            <w:pPr>
              <w:pStyle w:val="TableParagraph"/>
              <w:spacing w:line="213" w:lineRule="exact"/>
              <w:ind w:left="69" w:right="0"/>
              <w:jc w:val="left"/>
              <w:rPr>
                <w:rFonts w:ascii="宋体" w:hAnsi="宋体" w:cs="宋体" w:eastAsia="宋体" w:hint="default"/>
                <w:sz w:val="18"/>
                <w:szCs w:val="18"/>
              </w:rPr>
            </w:pPr>
            <w:r>
              <w:rPr>
                <w:rFonts w:ascii="宋体" w:hAnsi="宋体" w:cs="宋体" w:eastAsia="宋体" w:hint="default"/>
                <w:sz w:val="18"/>
                <w:szCs w:val="18"/>
              </w:rPr>
              <w:t>专项</w:t>
            </w:r>
          </w:p>
          <w:p>
            <w:pPr>
              <w:pStyle w:val="TableParagraph"/>
              <w:spacing w:line="240" w:lineRule="auto" w:before="4"/>
              <w:ind w:left="69"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134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30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4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6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4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98" w:type="dxa"/>
            <w:tcBorders>
              <w:top w:val="single" w:sz="4" w:space="0" w:color="009EEA"/>
              <w:left w:val="single" w:sz="4" w:space="0" w:color="009EEA"/>
              <w:bottom w:val="single" w:sz="4" w:space="0" w:color="009EEA"/>
              <w:right w:val="single" w:sz="4" w:space="0" w:color="009EEA"/>
            </w:tcBorders>
          </w:tcPr>
          <w:p>
            <w:pPr/>
          </w:p>
        </w:tc>
        <w:tc>
          <w:tcPr>
            <w:tcW w:w="1342" w:type="dxa"/>
            <w:tcBorders>
              <w:top w:val="single" w:sz="4" w:space="0" w:color="009EEA"/>
              <w:left w:val="single" w:sz="4" w:space="0" w:color="009EEA"/>
              <w:bottom w:val="single" w:sz="4" w:space="0" w:color="009EEA"/>
              <w:right w:val="nil" w:sz="6" w:space="0" w:color="auto"/>
            </w:tcBorders>
          </w:tcPr>
          <w:p>
            <w:pPr/>
          </w:p>
        </w:tc>
      </w:tr>
      <w:tr>
        <w:trPr>
          <w:trHeight w:val="296" w:hRule="exact"/>
        </w:trPr>
        <w:tc>
          <w:tcPr>
            <w:tcW w:w="2976" w:type="dxa"/>
            <w:tcBorders>
              <w:top w:val="single" w:sz="4" w:space="0" w:color="009EEA"/>
              <w:left w:val="nil" w:sz="6" w:space="0" w:color="auto"/>
              <w:bottom w:val="single" w:sz="4" w:space="0" w:color="009EEA"/>
              <w:right w:val="single" w:sz="4" w:space="0" w:color="009EEA"/>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4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3"/>
              <w:ind w:left="31" w:right="0"/>
              <w:jc w:val="left"/>
              <w:rPr>
                <w:rFonts w:ascii="Arial" w:hAnsi="Arial" w:cs="Arial" w:eastAsia="Arial" w:hint="default"/>
                <w:sz w:val="20"/>
                <w:szCs w:val="20"/>
              </w:rPr>
            </w:pPr>
            <w:r>
              <w:rPr>
                <w:rFonts w:ascii="Arial"/>
                <w:w w:val="80"/>
                <w:sz w:val="20"/>
              </w:rPr>
              <w:t>1,777,679,909.00</w:t>
            </w:r>
            <w:r>
              <w:rPr>
                <w:rFonts w:ascii="Arial"/>
                <w:sz w:val="20"/>
              </w:rPr>
            </w:r>
          </w:p>
        </w:tc>
        <w:tc>
          <w:tcPr>
            <w:tcW w:w="13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3"/>
              <w:ind w:left="9" w:right="0"/>
              <w:jc w:val="center"/>
              <w:rPr>
                <w:rFonts w:ascii="Arial" w:hAnsi="Arial" w:cs="Arial" w:eastAsia="Arial" w:hint="default"/>
                <w:sz w:val="20"/>
                <w:szCs w:val="20"/>
              </w:rPr>
            </w:pPr>
            <w:r>
              <w:rPr>
                <w:rFonts w:ascii="Arial"/>
                <w:w w:val="80"/>
                <w:sz w:val="20"/>
              </w:rPr>
              <w:t>2,420,221,207.29</w:t>
            </w:r>
            <w:r>
              <w:rPr>
                <w:rFonts w:ascii="Arial"/>
                <w:sz w:val="20"/>
              </w:rPr>
            </w:r>
          </w:p>
        </w:tc>
        <w:tc>
          <w:tcPr>
            <w:tcW w:w="972" w:type="dxa"/>
            <w:tcBorders>
              <w:top w:val="single" w:sz="4" w:space="0" w:color="009EEA"/>
              <w:left w:val="single" w:sz="4" w:space="0" w:color="009EEA"/>
              <w:bottom w:val="single" w:sz="4" w:space="0" w:color="009EEA"/>
              <w:right w:val="single" w:sz="4" w:space="0" w:color="009EEA"/>
            </w:tcBorders>
          </w:tcPr>
          <w:p>
            <w:pPr/>
          </w:p>
        </w:tc>
        <w:tc>
          <w:tcPr>
            <w:tcW w:w="506" w:type="dxa"/>
            <w:tcBorders>
              <w:top w:val="single" w:sz="4" w:space="0" w:color="009EEA"/>
              <w:left w:val="single" w:sz="4" w:space="0" w:color="009EEA"/>
              <w:bottom w:val="single" w:sz="4" w:space="0" w:color="009EEA"/>
              <w:right w:val="single" w:sz="4" w:space="0" w:color="009EEA"/>
            </w:tcBorders>
          </w:tcPr>
          <w:p>
            <w:pPr/>
          </w:p>
        </w:tc>
        <w:tc>
          <w:tcPr>
            <w:tcW w:w="134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3"/>
              <w:ind w:right="20"/>
              <w:jc w:val="right"/>
              <w:rPr>
                <w:rFonts w:ascii="Arial" w:hAnsi="Arial" w:cs="Arial" w:eastAsia="Arial" w:hint="default"/>
                <w:sz w:val="20"/>
                <w:szCs w:val="20"/>
              </w:rPr>
            </w:pPr>
            <w:r>
              <w:rPr>
                <w:rFonts w:ascii="Arial"/>
                <w:spacing w:val="-1"/>
                <w:w w:val="80"/>
                <w:sz w:val="20"/>
              </w:rPr>
              <w:t>1,518,444,124.46</w:t>
            </w:r>
            <w:r>
              <w:rPr>
                <w:rFonts w:ascii="Arial"/>
                <w:spacing w:val="-1"/>
                <w:sz w:val="20"/>
              </w:rPr>
            </w:r>
          </w:p>
        </w:tc>
        <w:tc>
          <w:tcPr>
            <w:tcW w:w="144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3"/>
              <w:ind w:right="21"/>
              <w:jc w:val="right"/>
              <w:rPr>
                <w:rFonts w:ascii="Arial" w:hAnsi="Arial" w:cs="Arial" w:eastAsia="Arial" w:hint="default"/>
                <w:sz w:val="20"/>
                <w:szCs w:val="20"/>
              </w:rPr>
            </w:pPr>
            <w:r>
              <w:rPr>
                <w:rFonts w:ascii="Arial"/>
                <w:w w:val="80"/>
                <w:sz w:val="20"/>
              </w:rPr>
              <w:t>794,876,744.59</w:t>
            </w:r>
            <w:r>
              <w:rPr>
                <w:rFonts w:ascii="Arial"/>
                <w:sz w:val="20"/>
              </w:rPr>
            </w:r>
          </w:p>
        </w:tc>
        <w:tc>
          <w:tcPr>
            <w:tcW w:w="134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3"/>
              <w:ind w:right="20"/>
              <w:jc w:val="right"/>
              <w:rPr>
                <w:rFonts w:ascii="Arial" w:hAnsi="Arial" w:cs="Arial" w:eastAsia="Arial" w:hint="default"/>
                <w:sz w:val="20"/>
                <w:szCs w:val="20"/>
              </w:rPr>
            </w:pPr>
            <w:r>
              <w:rPr>
                <w:rFonts w:ascii="Arial"/>
                <w:spacing w:val="-1"/>
                <w:w w:val="80"/>
                <w:sz w:val="20"/>
              </w:rPr>
              <w:t>6,511,221,985.34</w:t>
            </w:r>
            <w:r>
              <w:rPr>
                <w:rFonts w:ascii="Arial"/>
                <w:spacing w:val="-1"/>
                <w:sz w:val="20"/>
              </w:rPr>
            </w:r>
          </w:p>
        </w:tc>
        <w:tc>
          <w:tcPr>
            <w:tcW w:w="12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3"/>
              <w:ind w:left="50" w:right="0"/>
              <w:jc w:val="center"/>
              <w:rPr>
                <w:rFonts w:ascii="Arial" w:hAnsi="Arial" w:cs="Arial" w:eastAsia="Arial" w:hint="default"/>
                <w:sz w:val="20"/>
                <w:szCs w:val="20"/>
              </w:rPr>
            </w:pPr>
            <w:r>
              <w:rPr>
                <w:rFonts w:ascii="Arial"/>
                <w:w w:val="80"/>
                <w:sz w:val="20"/>
              </w:rPr>
              <w:t>-203,316,512.00</w:t>
            </w:r>
            <w:r>
              <w:rPr>
                <w:rFonts w:ascii="Arial"/>
                <w:sz w:val="20"/>
              </w:rPr>
            </w:r>
          </w:p>
        </w:tc>
        <w:tc>
          <w:tcPr>
            <w:tcW w:w="134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3"/>
              <w:ind w:right="24"/>
              <w:jc w:val="right"/>
              <w:rPr>
                <w:rFonts w:ascii="Arial" w:hAnsi="Arial" w:cs="Arial" w:eastAsia="Arial" w:hint="default"/>
                <w:sz w:val="20"/>
                <w:szCs w:val="20"/>
              </w:rPr>
            </w:pPr>
            <w:r>
              <w:rPr>
                <w:rFonts w:ascii="Arial"/>
                <w:spacing w:val="-1"/>
                <w:w w:val="80"/>
                <w:sz w:val="20"/>
              </w:rPr>
              <w:t>6,307,905,473.34</w:t>
            </w:r>
            <w:r>
              <w:rPr>
                <w:rFonts w:ascii="Arial"/>
                <w:spacing w:val="-1"/>
                <w:sz w:val="20"/>
              </w:rPr>
            </w:r>
          </w:p>
        </w:tc>
      </w:tr>
      <w:tr>
        <w:trPr>
          <w:trHeight w:val="293" w:hRule="exact"/>
        </w:trPr>
        <w:tc>
          <w:tcPr>
            <w:tcW w:w="2976" w:type="dxa"/>
            <w:tcBorders>
              <w:top w:val="single" w:sz="4" w:space="0" w:color="009EEA"/>
              <w:left w:val="nil" w:sz="6" w:space="0" w:color="auto"/>
              <w:bottom w:val="single" w:sz="4" w:space="0" w:color="009EEA"/>
              <w:right w:val="single" w:sz="4" w:space="0" w:color="009EEA"/>
            </w:tcBorders>
          </w:tcPr>
          <w:p>
            <w:pPr>
              <w:pStyle w:val="TableParagraph"/>
              <w:spacing w:line="229" w:lineRule="exact"/>
              <w:ind w:left="2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40" w:type="dxa"/>
            <w:tcBorders>
              <w:top w:val="single" w:sz="4" w:space="0" w:color="009EEA"/>
              <w:left w:val="single" w:sz="4" w:space="0" w:color="009EEA"/>
              <w:bottom w:val="single" w:sz="4" w:space="0" w:color="009EEA"/>
              <w:right w:val="single" w:sz="4" w:space="0" w:color="009EEA"/>
            </w:tcBorders>
          </w:tcPr>
          <w:p>
            <w:pPr/>
          </w:p>
        </w:tc>
        <w:tc>
          <w:tcPr>
            <w:tcW w:w="1339" w:type="dxa"/>
            <w:tcBorders>
              <w:top w:val="single" w:sz="4" w:space="0" w:color="009EEA"/>
              <w:left w:val="single" w:sz="4" w:space="0" w:color="009EEA"/>
              <w:bottom w:val="single" w:sz="4" w:space="0" w:color="009EEA"/>
              <w:right w:val="single" w:sz="4" w:space="0" w:color="009EEA"/>
            </w:tcBorders>
          </w:tcPr>
          <w:p>
            <w:pPr/>
          </w:p>
        </w:tc>
        <w:tc>
          <w:tcPr>
            <w:tcW w:w="97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1"/>
              <w:ind w:left="43" w:right="0"/>
              <w:jc w:val="center"/>
              <w:rPr>
                <w:rFonts w:ascii="Arial" w:hAnsi="Arial" w:cs="Arial" w:eastAsia="Arial" w:hint="default"/>
                <w:sz w:val="20"/>
                <w:szCs w:val="20"/>
              </w:rPr>
            </w:pPr>
            <w:r>
              <w:rPr>
                <w:rFonts w:ascii="Arial"/>
                <w:w w:val="80"/>
                <w:sz w:val="20"/>
              </w:rPr>
              <w:t>-741,503.94</w:t>
            </w:r>
            <w:r>
              <w:rPr>
                <w:rFonts w:ascii="Arial"/>
                <w:sz w:val="20"/>
              </w:rPr>
            </w:r>
          </w:p>
        </w:tc>
        <w:tc>
          <w:tcPr>
            <w:tcW w:w="506" w:type="dxa"/>
            <w:tcBorders>
              <w:top w:val="single" w:sz="4" w:space="0" w:color="009EEA"/>
              <w:left w:val="single" w:sz="4" w:space="0" w:color="009EEA"/>
              <w:bottom w:val="single" w:sz="4" w:space="0" w:color="009EEA"/>
              <w:right w:val="single" w:sz="4" w:space="0" w:color="009EEA"/>
            </w:tcBorders>
          </w:tcPr>
          <w:p>
            <w:pPr/>
          </w:p>
        </w:tc>
        <w:tc>
          <w:tcPr>
            <w:tcW w:w="1340" w:type="dxa"/>
            <w:tcBorders>
              <w:top w:val="single" w:sz="4" w:space="0" w:color="009EEA"/>
              <w:left w:val="single" w:sz="4" w:space="0" w:color="009EEA"/>
              <w:bottom w:val="single" w:sz="4" w:space="0" w:color="009EEA"/>
              <w:right w:val="single" w:sz="4" w:space="0" w:color="009EEA"/>
            </w:tcBorders>
          </w:tcPr>
          <w:p>
            <w:pPr/>
          </w:p>
        </w:tc>
        <w:tc>
          <w:tcPr>
            <w:tcW w:w="1440" w:type="dxa"/>
            <w:tcBorders>
              <w:top w:val="single" w:sz="4" w:space="0" w:color="009EEA"/>
              <w:left w:val="single" w:sz="4" w:space="0" w:color="009EEA"/>
              <w:bottom w:val="single" w:sz="4" w:space="0" w:color="009EEA"/>
              <w:right w:val="single" w:sz="4" w:space="0" w:color="009EEA"/>
            </w:tcBorders>
          </w:tcPr>
          <w:p>
            <w:pPr/>
          </w:p>
        </w:tc>
        <w:tc>
          <w:tcPr>
            <w:tcW w:w="134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1"/>
              <w:ind w:right="19"/>
              <w:jc w:val="right"/>
              <w:rPr>
                <w:rFonts w:ascii="Arial" w:hAnsi="Arial" w:cs="Arial" w:eastAsia="Arial" w:hint="default"/>
                <w:sz w:val="20"/>
                <w:szCs w:val="20"/>
              </w:rPr>
            </w:pPr>
            <w:r>
              <w:rPr>
                <w:rFonts w:ascii="Arial"/>
                <w:w w:val="80"/>
                <w:sz w:val="20"/>
              </w:rPr>
              <w:t>-741,503.94</w:t>
            </w:r>
            <w:r>
              <w:rPr>
                <w:rFonts w:ascii="Arial"/>
                <w:sz w:val="20"/>
              </w:rPr>
            </w:r>
          </w:p>
        </w:tc>
        <w:tc>
          <w:tcPr>
            <w:tcW w:w="1298" w:type="dxa"/>
            <w:tcBorders>
              <w:top w:val="single" w:sz="4" w:space="0" w:color="009EEA"/>
              <w:left w:val="single" w:sz="4" w:space="0" w:color="009EEA"/>
              <w:bottom w:val="single" w:sz="4" w:space="0" w:color="009EEA"/>
              <w:right w:val="single" w:sz="4" w:space="0" w:color="009EEA"/>
            </w:tcBorders>
          </w:tcPr>
          <w:p>
            <w:pPr/>
          </w:p>
        </w:tc>
        <w:tc>
          <w:tcPr>
            <w:tcW w:w="134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1"/>
              <w:ind w:right="24"/>
              <w:jc w:val="right"/>
              <w:rPr>
                <w:rFonts w:ascii="Arial" w:hAnsi="Arial" w:cs="Arial" w:eastAsia="Arial" w:hint="default"/>
                <w:sz w:val="20"/>
                <w:szCs w:val="20"/>
              </w:rPr>
            </w:pPr>
            <w:r>
              <w:rPr>
                <w:rFonts w:ascii="Arial"/>
                <w:w w:val="80"/>
                <w:sz w:val="20"/>
              </w:rPr>
              <w:t>-741,503.94</w:t>
            </w:r>
            <w:r>
              <w:rPr>
                <w:rFonts w:ascii="Arial"/>
                <w:sz w:val="20"/>
              </w:rPr>
            </w:r>
          </w:p>
        </w:tc>
      </w:tr>
      <w:tr>
        <w:trPr>
          <w:trHeight w:val="295" w:hRule="exact"/>
        </w:trPr>
        <w:tc>
          <w:tcPr>
            <w:tcW w:w="2976" w:type="dxa"/>
            <w:tcBorders>
              <w:top w:val="single" w:sz="4" w:space="0" w:color="009EEA"/>
              <w:left w:val="nil" w:sz="6" w:space="0" w:color="auto"/>
              <w:bottom w:val="single" w:sz="4" w:space="0" w:color="009EEA"/>
              <w:right w:val="single" w:sz="4" w:space="0" w:color="009EEA"/>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4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3"/>
              <w:ind w:left="31" w:right="0"/>
              <w:jc w:val="left"/>
              <w:rPr>
                <w:rFonts w:ascii="Arial" w:hAnsi="Arial" w:cs="Arial" w:eastAsia="Arial" w:hint="default"/>
                <w:sz w:val="20"/>
                <w:szCs w:val="20"/>
              </w:rPr>
            </w:pPr>
            <w:r>
              <w:rPr>
                <w:rFonts w:ascii="Arial"/>
                <w:w w:val="80"/>
                <w:sz w:val="20"/>
              </w:rPr>
              <w:t>1,777,679,909.00</w:t>
            </w:r>
            <w:r>
              <w:rPr>
                <w:rFonts w:ascii="Arial"/>
                <w:sz w:val="20"/>
              </w:rPr>
            </w:r>
          </w:p>
        </w:tc>
        <w:tc>
          <w:tcPr>
            <w:tcW w:w="13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3"/>
              <w:ind w:left="9" w:right="0"/>
              <w:jc w:val="center"/>
              <w:rPr>
                <w:rFonts w:ascii="Arial" w:hAnsi="Arial" w:cs="Arial" w:eastAsia="Arial" w:hint="default"/>
                <w:sz w:val="20"/>
                <w:szCs w:val="20"/>
              </w:rPr>
            </w:pPr>
            <w:r>
              <w:rPr>
                <w:rFonts w:ascii="Arial"/>
                <w:w w:val="80"/>
                <w:sz w:val="20"/>
              </w:rPr>
              <w:t>2,420,221,207.29</w:t>
            </w:r>
            <w:r>
              <w:rPr>
                <w:rFonts w:ascii="Arial"/>
                <w:sz w:val="20"/>
              </w:rPr>
            </w:r>
          </w:p>
        </w:tc>
        <w:tc>
          <w:tcPr>
            <w:tcW w:w="97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3"/>
              <w:ind w:left="43" w:right="0"/>
              <w:jc w:val="center"/>
              <w:rPr>
                <w:rFonts w:ascii="Arial" w:hAnsi="Arial" w:cs="Arial" w:eastAsia="Arial" w:hint="default"/>
                <w:sz w:val="20"/>
                <w:szCs w:val="20"/>
              </w:rPr>
            </w:pPr>
            <w:r>
              <w:rPr>
                <w:rFonts w:ascii="Arial"/>
                <w:w w:val="80"/>
                <w:sz w:val="20"/>
              </w:rPr>
              <w:t>-741,503.94</w:t>
            </w:r>
            <w:r>
              <w:rPr>
                <w:rFonts w:ascii="Arial"/>
                <w:sz w:val="20"/>
              </w:rPr>
            </w:r>
          </w:p>
        </w:tc>
        <w:tc>
          <w:tcPr>
            <w:tcW w:w="506" w:type="dxa"/>
            <w:tcBorders>
              <w:top w:val="single" w:sz="4" w:space="0" w:color="009EEA"/>
              <w:left w:val="single" w:sz="4" w:space="0" w:color="009EEA"/>
              <w:bottom w:val="single" w:sz="4" w:space="0" w:color="009EEA"/>
              <w:right w:val="single" w:sz="4" w:space="0" w:color="009EEA"/>
            </w:tcBorders>
          </w:tcPr>
          <w:p>
            <w:pPr/>
          </w:p>
        </w:tc>
        <w:tc>
          <w:tcPr>
            <w:tcW w:w="134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3"/>
              <w:ind w:right="20"/>
              <w:jc w:val="right"/>
              <w:rPr>
                <w:rFonts w:ascii="Arial" w:hAnsi="Arial" w:cs="Arial" w:eastAsia="Arial" w:hint="default"/>
                <w:sz w:val="20"/>
                <w:szCs w:val="20"/>
              </w:rPr>
            </w:pPr>
            <w:r>
              <w:rPr>
                <w:rFonts w:ascii="Arial"/>
                <w:spacing w:val="-1"/>
                <w:w w:val="80"/>
                <w:sz w:val="20"/>
              </w:rPr>
              <w:t>1,518,444,124.46</w:t>
            </w:r>
            <w:r>
              <w:rPr>
                <w:rFonts w:ascii="Arial"/>
                <w:spacing w:val="-1"/>
                <w:sz w:val="20"/>
              </w:rPr>
            </w:r>
          </w:p>
        </w:tc>
        <w:tc>
          <w:tcPr>
            <w:tcW w:w="144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3"/>
              <w:ind w:right="21"/>
              <w:jc w:val="right"/>
              <w:rPr>
                <w:rFonts w:ascii="Arial" w:hAnsi="Arial" w:cs="Arial" w:eastAsia="Arial" w:hint="default"/>
                <w:sz w:val="20"/>
                <w:szCs w:val="20"/>
              </w:rPr>
            </w:pPr>
            <w:r>
              <w:rPr>
                <w:rFonts w:ascii="Arial"/>
                <w:w w:val="80"/>
                <w:sz w:val="20"/>
              </w:rPr>
              <w:t>794,876,744.59</w:t>
            </w:r>
            <w:r>
              <w:rPr>
                <w:rFonts w:ascii="Arial"/>
                <w:sz w:val="20"/>
              </w:rPr>
            </w:r>
          </w:p>
        </w:tc>
        <w:tc>
          <w:tcPr>
            <w:tcW w:w="134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3"/>
              <w:ind w:right="20"/>
              <w:jc w:val="right"/>
              <w:rPr>
                <w:rFonts w:ascii="Arial" w:hAnsi="Arial" w:cs="Arial" w:eastAsia="Arial" w:hint="default"/>
                <w:sz w:val="20"/>
                <w:szCs w:val="20"/>
              </w:rPr>
            </w:pPr>
            <w:r>
              <w:rPr>
                <w:rFonts w:ascii="Arial"/>
                <w:spacing w:val="-1"/>
                <w:w w:val="80"/>
                <w:sz w:val="20"/>
              </w:rPr>
              <w:t>6,510,480,481.40</w:t>
            </w:r>
            <w:r>
              <w:rPr>
                <w:rFonts w:ascii="Arial"/>
                <w:spacing w:val="-1"/>
                <w:sz w:val="20"/>
              </w:rPr>
            </w:r>
          </w:p>
        </w:tc>
        <w:tc>
          <w:tcPr>
            <w:tcW w:w="12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3"/>
              <w:ind w:left="50" w:right="0"/>
              <w:jc w:val="center"/>
              <w:rPr>
                <w:rFonts w:ascii="Arial" w:hAnsi="Arial" w:cs="Arial" w:eastAsia="Arial" w:hint="default"/>
                <w:sz w:val="20"/>
                <w:szCs w:val="20"/>
              </w:rPr>
            </w:pPr>
            <w:r>
              <w:rPr>
                <w:rFonts w:ascii="Arial"/>
                <w:w w:val="80"/>
                <w:sz w:val="20"/>
              </w:rPr>
              <w:t>-203,316,512.00</w:t>
            </w:r>
            <w:r>
              <w:rPr>
                <w:rFonts w:ascii="Arial"/>
                <w:sz w:val="20"/>
              </w:rPr>
            </w:r>
          </w:p>
        </w:tc>
        <w:tc>
          <w:tcPr>
            <w:tcW w:w="134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3"/>
              <w:ind w:right="24"/>
              <w:jc w:val="right"/>
              <w:rPr>
                <w:rFonts w:ascii="Arial" w:hAnsi="Arial" w:cs="Arial" w:eastAsia="Arial" w:hint="default"/>
                <w:sz w:val="20"/>
                <w:szCs w:val="20"/>
              </w:rPr>
            </w:pPr>
            <w:r>
              <w:rPr>
                <w:rFonts w:ascii="Arial"/>
                <w:spacing w:val="-1"/>
                <w:w w:val="80"/>
                <w:sz w:val="20"/>
              </w:rPr>
              <w:t>6,307,163,969.40</w:t>
            </w:r>
            <w:r>
              <w:rPr>
                <w:rFonts w:ascii="Arial"/>
                <w:spacing w:val="-1"/>
                <w:sz w:val="20"/>
              </w:rPr>
            </w:r>
          </w:p>
        </w:tc>
      </w:tr>
      <w:tr>
        <w:trPr>
          <w:trHeight w:val="475" w:hRule="exact"/>
        </w:trPr>
        <w:tc>
          <w:tcPr>
            <w:tcW w:w="2976" w:type="dxa"/>
            <w:tcBorders>
              <w:top w:val="single" w:sz="4" w:space="0" w:color="009EEA"/>
              <w:left w:val="nil" w:sz="6" w:space="0" w:color="auto"/>
              <w:bottom w:val="single" w:sz="4" w:space="0" w:color="009EEA"/>
              <w:right w:val="single" w:sz="4" w:space="0" w:color="009EEA"/>
            </w:tcBorders>
          </w:tcPr>
          <w:p>
            <w:pPr>
              <w:pStyle w:val="TableParagraph"/>
              <w:spacing w:line="210" w:lineRule="exact"/>
              <w:ind w:left="28" w:right="0"/>
              <w:jc w:val="left"/>
              <w:rPr>
                <w:rFonts w:ascii="Arial" w:hAnsi="Arial" w:cs="Arial" w:eastAsia="Arial" w:hint="default"/>
                <w:sz w:val="18"/>
                <w:szCs w:val="18"/>
              </w:rPr>
            </w:pPr>
            <w:r>
              <w:rPr>
                <w:rFonts w:ascii="宋体" w:hAnsi="宋体" w:cs="宋体" w:eastAsia="宋体" w:hint="default"/>
                <w:sz w:val="18"/>
                <w:szCs w:val="18"/>
              </w:rPr>
              <w:t>三、本期增减变动金额（减少以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p>
          <w:p>
            <w:pPr>
              <w:pStyle w:val="TableParagraph"/>
              <w:spacing w:line="228" w:lineRule="exact"/>
              <w:ind w:left="28"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340" w:type="dxa"/>
            <w:tcBorders>
              <w:top w:val="single" w:sz="4" w:space="0" w:color="009EEA"/>
              <w:left w:val="single" w:sz="4" w:space="0" w:color="009EEA"/>
              <w:bottom w:val="single" w:sz="4" w:space="0" w:color="009EEA"/>
              <w:right w:val="single" w:sz="4" w:space="0" w:color="009EEA"/>
            </w:tcBorders>
          </w:tcPr>
          <w:p>
            <w:pPr/>
          </w:p>
        </w:tc>
        <w:tc>
          <w:tcPr>
            <w:tcW w:w="1339" w:type="dxa"/>
            <w:tcBorders>
              <w:top w:val="single" w:sz="4" w:space="0" w:color="009EEA"/>
              <w:left w:val="single" w:sz="4" w:space="0" w:color="009EEA"/>
              <w:bottom w:val="single" w:sz="4" w:space="0" w:color="009EEA"/>
              <w:right w:val="single" w:sz="4" w:space="0" w:color="009EEA"/>
            </w:tcBorders>
          </w:tcPr>
          <w:p>
            <w:pPr/>
          </w:p>
        </w:tc>
        <w:tc>
          <w:tcPr>
            <w:tcW w:w="97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2"/>
              <w:ind w:left="98" w:right="0"/>
              <w:jc w:val="center"/>
              <w:rPr>
                <w:rFonts w:ascii="Arial" w:hAnsi="Arial" w:cs="Arial" w:eastAsia="Arial" w:hint="default"/>
                <w:sz w:val="20"/>
                <w:szCs w:val="20"/>
              </w:rPr>
            </w:pPr>
            <w:r>
              <w:rPr>
                <w:rFonts w:ascii="Arial"/>
                <w:w w:val="80"/>
                <w:sz w:val="20"/>
              </w:rPr>
              <w:t>894,813.94</w:t>
            </w:r>
            <w:r>
              <w:rPr>
                <w:rFonts w:ascii="Arial"/>
                <w:sz w:val="20"/>
              </w:rPr>
            </w:r>
          </w:p>
        </w:tc>
        <w:tc>
          <w:tcPr>
            <w:tcW w:w="506" w:type="dxa"/>
            <w:tcBorders>
              <w:top w:val="single" w:sz="4" w:space="0" w:color="009EEA"/>
              <w:left w:val="single" w:sz="4" w:space="0" w:color="009EEA"/>
              <w:bottom w:val="single" w:sz="4" w:space="0" w:color="009EEA"/>
              <w:right w:val="single" w:sz="4" w:space="0" w:color="009EEA"/>
            </w:tcBorders>
          </w:tcPr>
          <w:p>
            <w:pPr/>
          </w:p>
        </w:tc>
        <w:tc>
          <w:tcPr>
            <w:tcW w:w="134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2"/>
              <w:ind w:right="19"/>
              <w:jc w:val="right"/>
              <w:rPr>
                <w:rFonts w:ascii="Arial" w:hAnsi="Arial" w:cs="Arial" w:eastAsia="Arial" w:hint="default"/>
                <w:sz w:val="20"/>
                <w:szCs w:val="20"/>
              </w:rPr>
            </w:pPr>
            <w:r>
              <w:rPr>
                <w:rFonts w:ascii="Arial"/>
                <w:w w:val="80"/>
                <w:sz w:val="20"/>
              </w:rPr>
              <w:t>119,368,864.42</w:t>
            </w:r>
            <w:r>
              <w:rPr>
                <w:rFonts w:ascii="Arial"/>
                <w:sz w:val="20"/>
              </w:rPr>
            </w:r>
          </w:p>
        </w:tc>
        <w:tc>
          <w:tcPr>
            <w:tcW w:w="144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2"/>
              <w:ind w:right="21"/>
              <w:jc w:val="right"/>
              <w:rPr>
                <w:rFonts w:ascii="Arial" w:hAnsi="Arial" w:cs="Arial" w:eastAsia="Arial" w:hint="default"/>
                <w:sz w:val="20"/>
                <w:szCs w:val="20"/>
              </w:rPr>
            </w:pPr>
            <w:r>
              <w:rPr>
                <w:rFonts w:ascii="Arial"/>
                <w:w w:val="80"/>
                <w:sz w:val="20"/>
              </w:rPr>
              <w:t>17,433,037.84</w:t>
            </w:r>
            <w:r>
              <w:rPr>
                <w:rFonts w:ascii="Arial"/>
                <w:sz w:val="20"/>
              </w:rPr>
            </w:r>
          </w:p>
        </w:tc>
        <w:tc>
          <w:tcPr>
            <w:tcW w:w="134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2"/>
              <w:ind w:right="19"/>
              <w:jc w:val="right"/>
              <w:rPr>
                <w:rFonts w:ascii="Arial" w:hAnsi="Arial" w:cs="Arial" w:eastAsia="Arial" w:hint="default"/>
                <w:sz w:val="20"/>
                <w:szCs w:val="20"/>
              </w:rPr>
            </w:pPr>
            <w:r>
              <w:rPr>
                <w:rFonts w:ascii="Arial"/>
                <w:w w:val="80"/>
                <w:sz w:val="20"/>
              </w:rPr>
              <w:t>137,696,716.20</w:t>
            </w:r>
            <w:r>
              <w:rPr>
                <w:rFonts w:ascii="Arial"/>
                <w:sz w:val="20"/>
              </w:rPr>
            </w:r>
          </w:p>
        </w:tc>
        <w:tc>
          <w:tcPr>
            <w:tcW w:w="12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2"/>
              <w:ind w:left="142" w:right="0"/>
              <w:jc w:val="center"/>
              <w:rPr>
                <w:rFonts w:ascii="Arial" w:hAnsi="Arial" w:cs="Arial" w:eastAsia="Arial" w:hint="default"/>
                <w:sz w:val="20"/>
                <w:szCs w:val="20"/>
              </w:rPr>
            </w:pPr>
            <w:r>
              <w:rPr>
                <w:rFonts w:ascii="Arial"/>
                <w:w w:val="80"/>
                <w:sz w:val="20"/>
              </w:rPr>
              <w:t>-15,046,850.55</w:t>
            </w:r>
            <w:r>
              <w:rPr>
                <w:rFonts w:ascii="Arial"/>
                <w:sz w:val="20"/>
              </w:rPr>
            </w:r>
          </w:p>
        </w:tc>
        <w:tc>
          <w:tcPr>
            <w:tcW w:w="134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12"/>
              <w:ind w:right="23"/>
              <w:jc w:val="right"/>
              <w:rPr>
                <w:rFonts w:ascii="Arial" w:hAnsi="Arial" w:cs="Arial" w:eastAsia="Arial" w:hint="default"/>
                <w:sz w:val="20"/>
                <w:szCs w:val="20"/>
              </w:rPr>
            </w:pPr>
            <w:r>
              <w:rPr>
                <w:rFonts w:ascii="Arial"/>
                <w:w w:val="80"/>
                <w:sz w:val="20"/>
              </w:rPr>
              <w:t>122,649,865.65</w:t>
            </w:r>
            <w:r>
              <w:rPr>
                <w:rFonts w:ascii="Arial"/>
                <w:sz w:val="20"/>
              </w:rPr>
            </w:r>
          </w:p>
        </w:tc>
      </w:tr>
      <w:tr>
        <w:trPr>
          <w:trHeight w:val="295" w:hRule="exact"/>
        </w:trPr>
        <w:tc>
          <w:tcPr>
            <w:tcW w:w="2976" w:type="dxa"/>
            <w:tcBorders>
              <w:top w:val="single" w:sz="4" w:space="0" w:color="009EEA"/>
              <w:left w:val="nil" w:sz="6" w:space="0" w:color="auto"/>
              <w:bottom w:val="single" w:sz="4" w:space="0" w:color="009EEA"/>
              <w:right w:val="single" w:sz="4" w:space="0" w:color="009EEA"/>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40" w:type="dxa"/>
            <w:tcBorders>
              <w:top w:val="single" w:sz="4" w:space="0" w:color="009EEA"/>
              <w:left w:val="single" w:sz="4" w:space="0" w:color="009EEA"/>
              <w:bottom w:val="single" w:sz="4" w:space="0" w:color="009EEA"/>
              <w:right w:val="single" w:sz="4" w:space="0" w:color="009EEA"/>
            </w:tcBorders>
          </w:tcPr>
          <w:p>
            <w:pPr/>
          </w:p>
        </w:tc>
        <w:tc>
          <w:tcPr>
            <w:tcW w:w="1339" w:type="dxa"/>
            <w:tcBorders>
              <w:top w:val="single" w:sz="4" w:space="0" w:color="009EEA"/>
              <w:left w:val="single" w:sz="4" w:space="0" w:color="009EEA"/>
              <w:bottom w:val="single" w:sz="4" w:space="0" w:color="009EEA"/>
              <w:right w:val="single" w:sz="4" w:space="0" w:color="009EEA"/>
            </w:tcBorders>
          </w:tcPr>
          <w:p>
            <w:pPr/>
          </w:p>
        </w:tc>
        <w:tc>
          <w:tcPr>
            <w:tcW w:w="97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3"/>
              <w:ind w:left="98" w:right="0"/>
              <w:jc w:val="center"/>
              <w:rPr>
                <w:rFonts w:ascii="Arial" w:hAnsi="Arial" w:cs="Arial" w:eastAsia="Arial" w:hint="default"/>
                <w:sz w:val="20"/>
                <w:szCs w:val="20"/>
              </w:rPr>
            </w:pPr>
            <w:r>
              <w:rPr>
                <w:rFonts w:ascii="Arial"/>
                <w:w w:val="80"/>
                <w:sz w:val="20"/>
              </w:rPr>
              <w:t>153,306.00</w:t>
            </w:r>
            <w:r>
              <w:rPr>
                <w:rFonts w:ascii="Arial"/>
                <w:sz w:val="20"/>
              </w:rPr>
            </w:r>
          </w:p>
        </w:tc>
        <w:tc>
          <w:tcPr>
            <w:tcW w:w="506" w:type="dxa"/>
            <w:tcBorders>
              <w:top w:val="single" w:sz="4" w:space="0" w:color="009EEA"/>
              <w:left w:val="single" w:sz="4" w:space="0" w:color="009EEA"/>
              <w:bottom w:val="single" w:sz="4" w:space="0" w:color="009EEA"/>
              <w:right w:val="single" w:sz="4" w:space="0" w:color="009EEA"/>
            </w:tcBorders>
          </w:tcPr>
          <w:p>
            <w:pPr/>
          </w:p>
        </w:tc>
        <w:tc>
          <w:tcPr>
            <w:tcW w:w="1340" w:type="dxa"/>
            <w:tcBorders>
              <w:top w:val="single" w:sz="4" w:space="0" w:color="009EEA"/>
              <w:left w:val="single" w:sz="4" w:space="0" w:color="009EEA"/>
              <w:bottom w:val="single" w:sz="4" w:space="0" w:color="009EEA"/>
              <w:right w:val="single" w:sz="4" w:space="0" w:color="009EEA"/>
            </w:tcBorders>
          </w:tcPr>
          <w:p>
            <w:pPr/>
          </w:p>
        </w:tc>
        <w:tc>
          <w:tcPr>
            <w:tcW w:w="144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3"/>
              <w:ind w:right="21"/>
              <w:jc w:val="right"/>
              <w:rPr>
                <w:rFonts w:ascii="Arial" w:hAnsi="Arial" w:cs="Arial" w:eastAsia="Arial" w:hint="default"/>
                <w:sz w:val="20"/>
                <w:szCs w:val="20"/>
              </w:rPr>
            </w:pPr>
            <w:r>
              <w:rPr>
                <w:rFonts w:ascii="Arial"/>
                <w:w w:val="80"/>
                <w:sz w:val="20"/>
              </w:rPr>
              <w:t>848,615,373.80</w:t>
            </w:r>
            <w:r>
              <w:rPr>
                <w:rFonts w:ascii="Arial"/>
                <w:sz w:val="20"/>
              </w:rPr>
            </w:r>
          </w:p>
        </w:tc>
        <w:tc>
          <w:tcPr>
            <w:tcW w:w="134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3"/>
              <w:ind w:right="19"/>
              <w:jc w:val="right"/>
              <w:rPr>
                <w:rFonts w:ascii="Arial" w:hAnsi="Arial" w:cs="Arial" w:eastAsia="Arial" w:hint="default"/>
                <w:sz w:val="20"/>
                <w:szCs w:val="20"/>
              </w:rPr>
            </w:pPr>
            <w:r>
              <w:rPr>
                <w:rFonts w:ascii="Arial"/>
                <w:w w:val="80"/>
                <w:sz w:val="20"/>
              </w:rPr>
              <w:t>848,768,679.80</w:t>
            </w:r>
            <w:r>
              <w:rPr>
                <w:rFonts w:ascii="Arial"/>
                <w:sz w:val="20"/>
              </w:rPr>
            </w:r>
          </w:p>
        </w:tc>
        <w:tc>
          <w:tcPr>
            <w:tcW w:w="12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3"/>
              <w:ind w:left="142" w:right="0"/>
              <w:jc w:val="center"/>
              <w:rPr>
                <w:rFonts w:ascii="Arial" w:hAnsi="Arial" w:cs="Arial" w:eastAsia="Arial" w:hint="default"/>
                <w:sz w:val="20"/>
                <w:szCs w:val="20"/>
              </w:rPr>
            </w:pPr>
            <w:r>
              <w:rPr>
                <w:rFonts w:ascii="Arial"/>
                <w:w w:val="80"/>
                <w:sz w:val="20"/>
              </w:rPr>
              <w:t>-15,046,850.55</w:t>
            </w:r>
            <w:r>
              <w:rPr>
                <w:rFonts w:ascii="Arial"/>
                <w:sz w:val="20"/>
              </w:rPr>
            </w:r>
          </w:p>
        </w:tc>
        <w:tc>
          <w:tcPr>
            <w:tcW w:w="134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3"/>
              <w:ind w:right="23"/>
              <w:jc w:val="right"/>
              <w:rPr>
                <w:rFonts w:ascii="Arial" w:hAnsi="Arial" w:cs="Arial" w:eastAsia="Arial" w:hint="default"/>
                <w:sz w:val="20"/>
                <w:szCs w:val="20"/>
              </w:rPr>
            </w:pPr>
            <w:r>
              <w:rPr>
                <w:rFonts w:ascii="Arial"/>
                <w:w w:val="80"/>
                <w:sz w:val="20"/>
              </w:rPr>
              <w:t>833,721,829.25</w:t>
            </w:r>
            <w:r>
              <w:rPr>
                <w:rFonts w:ascii="Arial"/>
                <w:sz w:val="20"/>
              </w:rPr>
            </w:r>
          </w:p>
        </w:tc>
      </w:tr>
      <w:tr>
        <w:trPr>
          <w:trHeight w:val="293" w:hRule="exact"/>
        </w:trPr>
        <w:tc>
          <w:tcPr>
            <w:tcW w:w="2976" w:type="dxa"/>
            <w:tcBorders>
              <w:top w:val="single" w:sz="4" w:space="0" w:color="009EEA"/>
              <w:left w:val="nil" w:sz="6" w:space="0" w:color="auto"/>
              <w:bottom w:val="single" w:sz="4" w:space="0" w:color="009EEA"/>
              <w:right w:val="single" w:sz="4" w:space="0" w:color="009EEA"/>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40" w:type="dxa"/>
            <w:tcBorders>
              <w:top w:val="single" w:sz="4" w:space="0" w:color="009EEA"/>
              <w:left w:val="single" w:sz="4" w:space="0" w:color="009EEA"/>
              <w:bottom w:val="single" w:sz="4" w:space="0" w:color="009EEA"/>
              <w:right w:val="single" w:sz="4" w:space="0" w:color="009EEA"/>
            </w:tcBorders>
          </w:tcPr>
          <w:p>
            <w:pPr/>
          </w:p>
        </w:tc>
        <w:tc>
          <w:tcPr>
            <w:tcW w:w="1339" w:type="dxa"/>
            <w:tcBorders>
              <w:top w:val="single" w:sz="4" w:space="0" w:color="009EEA"/>
              <w:left w:val="single" w:sz="4" w:space="0" w:color="009EEA"/>
              <w:bottom w:val="single" w:sz="4" w:space="0" w:color="009EEA"/>
              <w:right w:val="single" w:sz="4" w:space="0" w:color="009EEA"/>
            </w:tcBorders>
          </w:tcPr>
          <w:p>
            <w:pPr/>
          </w:p>
        </w:tc>
        <w:tc>
          <w:tcPr>
            <w:tcW w:w="972" w:type="dxa"/>
            <w:tcBorders>
              <w:top w:val="single" w:sz="4" w:space="0" w:color="009EEA"/>
              <w:left w:val="single" w:sz="4" w:space="0" w:color="009EEA"/>
              <w:bottom w:val="single" w:sz="4" w:space="0" w:color="009EEA"/>
              <w:right w:val="single" w:sz="4" w:space="0" w:color="009EEA"/>
            </w:tcBorders>
          </w:tcPr>
          <w:p>
            <w:pPr/>
          </w:p>
        </w:tc>
        <w:tc>
          <w:tcPr>
            <w:tcW w:w="506" w:type="dxa"/>
            <w:tcBorders>
              <w:top w:val="single" w:sz="4" w:space="0" w:color="009EEA"/>
              <w:left w:val="single" w:sz="4" w:space="0" w:color="009EEA"/>
              <w:bottom w:val="single" w:sz="4" w:space="0" w:color="009EEA"/>
              <w:right w:val="single" w:sz="4" w:space="0" w:color="009EEA"/>
            </w:tcBorders>
          </w:tcPr>
          <w:p>
            <w:pPr/>
          </w:p>
        </w:tc>
        <w:tc>
          <w:tcPr>
            <w:tcW w:w="1340" w:type="dxa"/>
            <w:tcBorders>
              <w:top w:val="single" w:sz="4" w:space="0" w:color="009EEA"/>
              <w:left w:val="single" w:sz="4" w:space="0" w:color="009EEA"/>
              <w:bottom w:val="single" w:sz="4" w:space="0" w:color="009EEA"/>
              <w:right w:val="single" w:sz="4" w:space="0" w:color="009EEA"/>
            </w:tcBorders>
          </w:tcPr>
          <w:p>
            <w:pPr/>
          </w:p>
        </w:tc>
        <w:tc>
          <w:tcPr>
            <w:tcW w:w="1440" w:type="dxa"/>
            <w:tcBorders>
              <w:top w:val="single" w:sz="4" w:space="0" w:color="009EEA"/>
              <w:left w:val="single" w:sz="4" w:space="0" w:color="009EEA"/>
              <w:bottom w:val="single" w:sz="4" w:space="0" w:color="009EEA"/>
              <w:right w:val="single" w:sz="4" w:space="0" w:color="009EEA"/>
            </w:tcBorders>
          </w:tcPr>
          <w:p>
            <w:pPr/>
          </w:p>
        </w:tc>
        <w:tc>
          <w:tcPr>
            <w:tcW w:w="1340" w:type="dxa"/>
            <w:tcBorders>
              <w:top w:val="single" w:sz="4" w:space="0" w:color="009EEA"/>
              <w:left w:val="single" w:sz="4" w:space="0" w:color="009EEA"/>
              <w:bottom w:val="single" w:sz="4" w:space="0" w:color="009EEA"/>
              <w:right w:val="single" w:sz="4" w:space="0" w:color="009EEA"/>
            </w:tcBorders>
          </w:tcPr>
          <w:p>
            <w:pPr/>
          </w:p>
        </w:tc>
        <w:tc>
          <w:tcPr>
            <w:tcW w:w="1298" w:type="dxa"/>
            <w:tcBorders>
              <w:top w:val="single" w:sz="4" w:space="0" w:color="009EEA"/>
              <w:left w:val="single" w:sz="4" w:space="0" w:color="009EEA"/>
              <w:bottom w:val="single" w:sz="4" w:space="0" w:color="009EEA"/>
              <w:right w:val="single" w:sz="4" w:space="0" w:color="009EEA"/>
            </w:tcBorders>
          </w:tcPr>
          <w:p>
            <w:pPr/>
          </w:p>
        </w:tc>
        <w:tc>
          <w:tcPr>
            <w:tcW w:w="1342" w:type="dxa"/>
            <w:tcBorders>
              <w:top w:val="single" w:sz="4" w:space="0" w:color="009EEA"/>
              <w:left w:val="single" w:sz="4" w:space="0" w:color="009EEA"/>
              <w:bottom w:val="single" w:sz="4" w:space="0" w:color="009EEA"/>
              <w:right w:val="nil" w:sz="6" w:space="0" w:color="auto"/>
            </w:tcBorders>
          </w:tcPr>
          <w:p>
            <w:pPr/>
          </w:p>
        </w:tc>
      </w:tr>
      <w:tr>
        <w:trPr>
          <w:trHeight w:val="295" w:hRule="exact"/>
        </w:trPr>
        <w:tc>
          <w:tcPr>
            <w:tcW w:w="2976" w:type="dxa"/>
            <w:tcBorders>
              <w:top w:val="single" w:sz="4" w:space="0" w:color="009EEA"/>
              <w:left w:val="nil" w:sz="6" w:space="0" w:color="auto"/>
              <w:bottom w:val="single" w:sz="4" w:space="0" w:color="009EEA"/>
              <w:right w:val="single" w:sz="4" w:space="0" w:color="009EEA"/>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40" w:type="dxa"/>
            <w:tcBorders>
              <w:top w:val="single" w:sz="4" w:space="0" w:color="009EEA"/>
              <w:left w:val="single" w:sz="4" w:space="0" w:color="009EEA"/>
              <w:bottom w:val="single" w:sz="4" w:space="0" w:color="009EEA"/>
              <w:right w:val="single" w:sz="4" w:space="0" w:color="009EEA"/>
            </w:tcBorders>
          </w:tcPr>
          <w:p>
            <w:pPr/>
          </w:p>
        </w:tc>
        <w:tc>
          <w:tcPr>
            <w:tcW w:w="1339" w:type="dxa"/>
            <w:tcBorders>
              <w:top w:val="single" w:sz="4" w:space="0" w:color="009EEA"/>
              <w:left w:val="single" w:sz="4" w:space="0" w:color="009EEA"/>
              <w:bottom w:val="single" w:sz="4" w:space="0" w:color="009EEA"/>
              <w:right w:val="single" w:sz="4" w:space="0" w:color="009EEA"/>
            </w:tcBorders>
          </w:tcPr>
          <w:p>
            <w:pPr/>
          </w:p>
        </w:tc>
        <w:tc>
          <w:tcPr>
            <w:tcW w:w="972" w:type="dxa"/>
            <w:tcBorders>
              <w:top w:val="single" w:sz="4" w:space="0" w:color="009EEA"/>
              <w:left w:val="single" w:sz="4" w:space="0" w:color="009EEA"/>
              <w:bottom w:val="single" w:sz="4" w:space="0" w:color="009EEA"/>
              <w:right w:val="single" w:sz="4" w:space="0" w:color="009EEA"/>
            </w:tcBorders>
          </w:tcPr>
          <w:p>
            <w:pPr/>
          </w:p>
        </w:tc>
        <w:tc>
          <w:tcPr>
            <w:tcW w:w="506" w:type="dxa"/>
            <w:tcBorders>
              <w:top w:val="single" w:sz="4" w:space="0" w:color="009EEA"/>
              <w:left w:val="single" w:sz="4" w:space="0" w:color="009EEA"/>
              <w:bottom w:val="single" w:sz="4" w:space="0" w:color="009EEA"/>
              <w:right w:val="single" w:sz="4" w:space="0" w:color="009EEA"/>
            </w:tcBorders>
          </w:tcPr>
          <w:p>
            <w:pPr/>
          </w:p>
        </w:tc>
        <w:tc>
          <w:tcPr>
            <w:tcW w:w="134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3"/>
              <w:ind w:right="19"/>
              <w:jc w:val="right"/>
              <w:rPr>
                <w:rFonts w:ascii="Arial" w:hAnsi="Arial" w:cs="Arial" w:eastAsia="Arial" w:hint="default"/>
                <w:sz w:val="20"/>
                <w:szCs w:val="20"/>
              </w:rPr>
            </w:pPr>
            <w:r>
              <w:rPr>
                <w:rFonts w:ascii="Arial"/>
                <w:w w:val="80"/>
                <w:sz w:val="20"/>
              </w:rPr>
              <w:t>119,480,090.61</w:t>
            </w:r>
            <w:r>
              <w:rPr>
                <w:rFonts w:ascii="Arial"/>
                <w:sz w:val="20"/>
              </w:rPr>
            </w:r>
          </w:p>
        </w:tc>
        <w:tc>
          <w:tcPr>
            <w:tcW w:w="144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3"/>
              <w:ind w:right="21"/>
              <w:jc w:val="right"/>
              <w:rPr>
                <w:rFonts w:ascii="Arial" w:hAnsi="Arial" w:cs="Arial" w:eastAsia="Arial" w:hint="default"/>
                <w:sz w:val="20"/>
                <w:szCs w:val="20"/>
              </w:rPr>
            </w:pPr>
            <w:r>
              <w:rPr>
                <w:rFonts w:ascii="Arial"/>
                <w:w w:val="80"/>
                <w:sz w:val="20"/>
              </w:rPr>
              <w:t>-830,552,054.21</w:t>
            </w:r>
            <w:r>
              <w:rPr>
                <w:rFonts w:ascii="Arial"/>
                <w:sz w:val="20"/>
              </w:rPr>
            </w:r>
          </w:p>
        </w:tc>
        <w:tc>
          <w:tcPr>
            <w:tcW w:w="134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3"/>
              <w:ind w:right="19"/>
              <w:jc w:val="right"/>
              <w:rPr>
                <w:rFonts w:ascii="Arial" w:hAnsi="Arial" w:cs="Arial" w:eastAsia="Arial" w:hint="default"/>
                <w:sz w:val="20"/>
                <w:szCs w:val="20"/>
              </w:rPr>
            </w:pPr>
            <w:r>
              <w:rPr>
                <w:rFonts w:ascii="Arial"/>
                <w:w w:val="80"/>
                <w:sz w:val="20"/>
              </w:rPr>
              <w:t>-711,071,963.60</w:t>
            </w:r>
            <w:r>
              <w:rPr>
                <w:rFonts w:ascii="Arial"/>
                <w:sz w:val="20"/>
              </w:rPr>
            </w:r>
          </w:p>
        </w:tc>
        <w:tc>
          <w:tcPr>
            <w:tcW w:w="1298" w:type="dxa"/>
            <w:tcBorders>
              <w:top w:val="single" w:sz="4" w:space="0" w:color="009EEA"/>
              <w:left w:val="single" w:sz="4" w:space="0" w:color="009EEA"/>
              <w:bottom w:val="single" w:sz="4" w:space="0" w:color="009EEA"/>
              <w:right w:val="single" w:sz="4" w:space="0" w:color="009EEA"/>
            </w:tcBorders>
          </w:tcPr>
          <w:p>
            <w:pPr/>
          </w:p>
        </w:tc>
        <w:tc>
          <w:tcPr>
            <w:tcW w:w="134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3"/>
              <w:ind w:right="23"/>
              <w:jc w:val="right"/>
              <w:rPr>
                <w:rFonts w:ascii="Arial" w:hAnsi="Arial" w:cs="Arial" w:eastAsia="Arial" w:hint="default"/>
                <w:sz w:val="20"/>
                <w:szCs w:val="20"/>
              </w:rPr>
            </w:pPr>
            <w:r>
              <w:rPr>
                <w:rFonts w:ascii="Arial"/>
                <w:w w:val="80"/>
                <w:sz w:val="20"/>
              </w:rPr>
              <w:t>-711,071,963.60</w:t>
            </w:r>
            <w:r>
              <w:rPr>
                <w:rFonts w:ascii="Arial"/>
                <w:sz w:val="20"/>
              </w:rPr>
            </w:r>
          </w:p>
        </w:tc>
      </w:tr>
      <w:tr>
        <w:trPr>
          <w:trHeight w:val="293" w:hRule="exact"/>
        </w:trPr>
        <w:tc>
          <w:tcPr>
            <w:tcW w:w="2976" w:type="dxa"/>
            <w:tcBorders>
              <w:top w:val="single" w:sz="4" w:space="0" w:color="009EEA"/>
              <w:left w:val="nil" w:sz="6" w:space="0" w:color="auto"/>
              <w:bottom w:val="single" w:sz="4" w:space="0" w:color="009EEA"/>
              <w:right w:val="single" w:sz="4" w:space="0" w:color="009EEA"/>
            </w:tcBorders>
          </w:tcPr>
          <w:p>
            <w:pPr>
              <w:pStyle w:val="TableParagraph"/>
              <w:spacing w:line="245" w:lineRule="exact"/>
              <w:ind w:left="28"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1340" w:type="dxa"/>
            <w:tcBorders>
              <w:top w:val="single" w:sz="4" w:space="0" w:color="009EEA"/>
              <w:left w:val="single" w:sz="4" w:space="0" w:color="009EEA"/>
              <w:bottom w:val="single" w:sz="4" w:space="0" w:color="009EEA"/>
              <w:right w:val="single" w:sz="4" w:space="0" w:color="009EEA"/>
            </w:tcBorders>
          </w:tcPr>
          <w:p>
            <w:pPr/>
          </w:p>
        </w:tc>
        <w:tc>
          <w:tcPr>
            <w:tcW w:w="1339" w:type="dxa"/>
            <w:tcBorders>
              <w:top w:val="single" w:sz="4" w:space="0" w:color="009EEA"/>
              <w:left w:val="single" w:sz="4" w:space="0" w:color="009EEA"/>
              <w:bottom w:val="single" w:sz="4" w:space="0" w:color="009EEA"/>
              <w:right w:val="single" w:sz="4" w:space="0" w:color="009EEA"/>
            </w:tcBorders>
          </w:tcPr>
          <w:p>
            <w:pPr/>
          </w:p>
        </w:tc>
        <w:tc>
          <w:tcPr>
            <w:tcW w:w="972" w:type="dxa"/>
            <w:tcBorders>
              <w:top w:val="single" w:sz="4" w:space="0" w:color="009EEA"/>
              <w:left w:val="single" w:sz="4" w:space="0" w:color="009EEA"/>
              <w:bottom w:val="single" w:sz="4" w:space="0" w:color="009EEA"/>
              <w:right w:val="single" w:sz="4" w:space="0" w:color="009EEA"/>
            </w:tcBorders>
          </w:tcPr>
          <w:p>
            <w:pPr/>
          </w:p>
        </w:tc>
        <w:tc>
          <w:tcPr>
            <w:tcW w:w="506" w:type="dxa"/>
            <w:tcBorders>
              <w:top w:val="single" w:sz="4" w:space="0" w:color="009EEA"/>
              <w:left w:val="single" w:sz="4" w:space="0" w:color="009EEA"/>
              <w:bottom w:val="single" w:sz="4" w:space="0" w:color="009EEA"/>
              <w:right w:val="single" w:sz="4" w:space="0" w:color="009EEA"/>
            </w:tcBorders>
          </w:tcPr>
          <w:p>
            <w:pPr/>
          </w:p>
        </w:tc>
        <w:tc>
          <w:tcPr>
            <w:tcW w:w="134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1"/>
              <w:ind w:right="19"/>
              <w:jc w:val="right"/>
              <w:rPr>
                <w:rFonts w:ascii="Arial" w:hAnsi="Arial" w:cs="Arial" w:eastAsia="Arial" w:hint="default"/>
                <w:sz w:val="20"/>
                <w:szCs w:val="20"/>
              </w:rPr>
            </w:pPr>
            <w:r>
              <w:rPr>
                <w:rFonts w:ascii="Arial"/>
                <w:w w:val="80"/>
                <w:sz w:val="20"/>
              </w:rPr>
              <w:t>119,480,090.61</w:t>
            </w:r>
            <w:r>
              <w:rPr>
                <w:rFonts w:ascii="Arial"/>
                <w:sz w:val="20"/>
              </w:rPr>
            </w:r>
          </w:p>
        </w:tc>
        <w:tc>
          <w:tcPr>
            <w:tcW w:w="144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1"/>
              <w:ind w:right="21"/>
              <w:jc w:val="right"/>
              <w:rPr>
                <w:rFonts w:ascii="Arial" w:hAnsi="Arial" w:cs="Arial" w:eastAsia="Arial" w:hint="default"/>
                <w:sz w:val="20"/>
                <w:szCs w:val="20"/>
              </w:rPr>
            </w:pPr>
            <w:r>
              <w:rPr>
                <w:rFonts w:ascii="Arial"/>
                <w:w w:val="80"/>
                <w:sz w:val="20"/>
              </w:rPr>
              <w:t>-119,480,090.61</w:t>
            </w:r>
            <w:r>
              <w:rPr>
                <w:rFonts w:ascii="Arial"/>
                <w:sz w:val="20"/>
              </w:rPr>
            </w:r>
          </w:p>
        </w:tc>
        <w:tc>
          <w:tcPr>
            <w:tcW w:w="1340" w:type="dxa"/>
            <w:tcBorders>
              <w:top w:val="single" w:sz="4" w:space="0" w:color="009EEA"/>
              <w:left w:val="single" w:sz="4" w:space="0" w:color="009EEA"/>
              <w:bottom w:val="single" w:sz="4" w:space="0" w:color="009EEA"/>
              <w:right w:val="single" w:sz="4" w:space="0" w:color="009EEA"/>
            </w:tcBorders>
          </w:tcPr>
          <w:p>
            <w:pPr/>
          </w:p>
        </w:tc>
        <w:tc>
          <w:tcPr>
            <w:tcW w:w="1298" w:type="dxa"/>
            <w:tcBorders>
              <w:top w:val="single" w:sz="4" w:space="0" w:color="009EEA"/>
              <w:left w:val="single" w:sz="4" w:space="0" w:color="009EEA"/>
              <w:bottom w:val="single" w:sz="4" w:space="0" w:color="009EEA"/>
              <w:right w:val="single" w:sz="4" w:space="0" w:color="009EEA"/>
            </w:tcBorders>
          </w:tcPr>
          <w:p>
            <w:pPr/>
          </w:p>
        </w:tc>
        <w:tc>
          <w:tcPr>
            <w:tcW w:w="1342" w:type="dxa"/>
            <w:tcBorders>
              <w:top w:val="single" w:sz="4" w:space="0" w:color="009EEA"/>
              <w:left w:val="single" w:sz="4" w:space="0" w:color="009EEA"/>
              <w:bottom w:val="single" w:sz="4" w:space="0" w:color="009EEA"/>
              <w:right w:val="nil" w:sz="6" w:space="0" w:color="auto"/>
            </w:tcBorders>
          </w:tcPr>
          <w:p>
            <w:pPr/>
          </w:p>
        </w:tc>
      </w:tr>
      <w:tr>
        <w:trPr>
          <w:trHeight w:val="295" w:hRule="exact"/>
        </w:trPr>
        <w:tc>
          <w:tcPr>
            <w:tcW w:w="2976" w:type="dxa"/>
            <w:tcBorders>
              <w:top w:val="single" w:sz="4" w:space="0" w:color="009EEA"/>
              <w:left w:val="nil" w:sz="6" w:space="0" w:color="auto"/>
              <w:bottom w:val="single" w:sz="4" w:space="0" w:color="009EEA"/>
              <w:right w:val="single" w:sz="4" w:space="0" w:color="009EEA"/>
            </w:tcBorders>
          </w:tcPr>
          <w:p>
            <w:pPr>
              <w:pStyle w:val="TableParagraph"/>
              <w:spacing w:line="245" w:lineRule="exact"/>
              <w:ind w:left="28"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．提取一般风险准备</w:t>
            </w:r>
          </w:p>
        </w:tc>
        <w:tc>
          <w:tcPr>
            <w:tcW w:w="1340" w:type="dxa"/>
            <w:tcBorders>
              <w:top w:val="single" w:sz="4" w:space="0" w:color="009EEA"/>
              <w:left w:val="single" w:sz="4" w:space="0" w:color="009EEA"/>
              <w:bottom w:val="single" w:sz="4" w:space="0" w:color="009EEA"/>
              <w:right w:val="single" w:sz="4" w:space="0" w:color="009EEA"/>
            </w:tcBorders>
          </w:tcPr>
          <w:p>
            <w:pPr/>
          </w:p>
        </w:tc>
        <w:tc>
          <w:tcPr>
            <w:tcW w:w="1339" w:type="dxa"/>
            <w:tcBorders>
              <w:top w:val="single" w:sz="4" w:space="0" w:color="009EEA"/>
              <w:left w:val="single" w:sz="4" w:space="0" w:color="009EEA"/>
              <w:bottom w:val="single" w:sz="4" w:space="0" w:color="009EEA"/>
              <w:right w:val="single" w:sz="4" w:space="0" w:color="009EEA"/>
            </w:tcBorders>
          </w:tcPr>
          <w:p>
            <w:pPr/>
          </w:p>
        </w:tc>
        <w:tc>
          <w:tcPr>
            <w:tcW w:w="972" w:type="dxa"/>
            <w:tcBorders>
              <w:top w:val="single" w:sz="4" w:space="0" w:color="009EEA"/>
              <w:left w:val="single" w:sz="4" w:space="0" w:color="009EEA"/>
              <w:bottom w:val="single" w:sz="4" w:space="0" w:color="009EEA"/>
              <w:right w:val="single" w:sz="4" w:space="0" w:color="009EEA"/>
            </w:tcBorders>
          </w:tcPr>
          <w:p>
            <w:pPr/>
          </w:p>
        </w:tc>
        <w:tc>
          <w:tcPr>
            <w:tcW w:w="506" w:type="dxa"/>
            <w:tcBorders>
              <w:top w:val="single" w:sz="4" w:space="0" w:color="009EEA"/>
              <w:left w:val="single" w:sz="4" w:space="0" w:color="009EEA"/>
              <w:bottom w:val="single" w:sz="4" w:space="0" w:color="009EEA"/>
              <w:right w:val="single" w:sz="4" w:space="0" w:color="009EEA"/>
            </w:tcBorders>
          </w:tcPr>
          <w:p>
            <w:pPr/>
          </w:p>
        </w:tc>
        <w:tc>
          <w:tcPr>
            <w:tcW w:w="1340" w:type="dxa"/>
            <w:tcBorders>
              <w:top w:val="single" w:sz="4" w:space="0" w:color="009EEA"/>
              <w:left w:val="single" w:sz="4" w:space="0" w:color="009EEA"/>
              <w:bottom w:val="single" w:sz="4" w:space="0" w:color="009EEA"/>
              <w:right w:val="single" w:sz="4" w:space="0" w:color="009EEA"/>
            </w:tcBorders>
          </w:tcPr>
          <w:p>
            <w:pPr/>
          </w:p>
        </w:tc>
        <w:tc>
          <w:tcPr>
            <w:tcW w:w="1440" w:type="dxa"/>
            <w:tcBorders>
              <w:top w:val="single" w:sz="4" w:space="0" w:color="009EEA"/>
              <w:left w:val="single" w:sz="4" w:space="0" w:color="009EEA"/>
              <w:bottom w:val="single" w:sz="4" w:space="0" w:color="009EEA"/>
              <w:right w:val="single" w:sz="4" w:space="0" w:color="009EEA"/>
            </w:tcBorders>
          </w:tcPr>
          <w:p>
            <w:pPr/>
          </w:p>
        </w:tc>
        <w:tc>
          <w:tcPr>
            <w:tcW w:w="1340" w:type="dxa"/>
            <w:tcBorders>
              <w:top w:val="single" w:sz="4" w:space="0" w:color="009EEA"/>
              <w:left w:val="single" w:sz="4" w:space="0" w:color="009EEA"/>
              <w:bottom w:val="single" w:sz="4" w:space="0" w:color="009EEA"/>
              <w:right w:val="single" w:sz="4" w:space="0" w:color="009EEA"/>
            </w:tcBorders>
          </w:tcPr>
          <w:p>
            <w:pPr/>
          </w:p>
        </w:tc>
        <w:tc>
          <w:tcPr>
            <w:tcW w:w="1298" w:type="dxa"/>
            <w:tcBorders>
              <w:top w:val="single" w:sz="4" w:space="0" w:color="009EEA"/>
              <w:left w:val="single" w:sz="4" w:space="0" w:color="009EEA"/>
              <w:bottom w:val="single" w:sz="4" w:space="0" w:color="009EEA"/>
              <w:right w:val="single" w:sz="4" w:space="0" w:color="009EEA"/>
            </w:tcBorders>
          </w:tcPr>
          <w:p>
            <w:pPr/>
          </w:p>
        </w:tc>
        <w:tc>
          <w:tcPr>
            <w:tcW w:w="1342" w:type="dxa"/>
            <w:tcBorders>
              <w:top w:val="single" w:sz="4" w:space="0" w:color="009EEA"/>
              <w:left w:val="single" w:sz="4" w:space="0" w:color="009EEA"/>
              <w:bottom w:val="single" w:sz="4" w:space="0" w:color="009EEA"/>
              <w:right w:val="nil" w:sz="6" w:space="0" w:color="auto"/>
            </w:tcBorders>
          </w:tcPr>
          <w:p>
            <w:pPr/>
          </w:p>
        </w:tc>
      </w:tr>
      <w:tr>
        <w:trPr>
          <w:trHeight w:val="293" w:hRule="exact"/>
        </w:trPr>
        <w:tc>
          <w:tcPr>
            <w:tcW w:w="2976" w:type="dxa"/>
            <w:tcBorders>
              <w:top w:val="single" w:sz="4" w:space="0" w:color="009EEA"/>
              <w:left w:val="nil" w:sz="6" w:space="0" w:color="auto"/>
              <w:bottom w:val="single" w:sz="4" w:space="0" w:color="009EEA"/>
              <w:right w:val="single" w:sz="4" w:space="0" w:color="009EEA"/>
            </w:tcBorders>
          </w:tcPr>
          <w:p>
            <w:pPr>
              <w:pStyle w:val="TableParagraph"/>
              <w:spacing w:line="245" w:lineRule="exact"/>
              <w:ind w:left="28"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．对所有者（或股东）的分配</w:t>
            </w:r>
          </w:p>
        </w:tc>
        <w:tc>
          <w:tcPr>
            <w:tcW w:w="1340" w:type="dxa"/>
            <w:tcBorders>
              <w:top w:val="single" w:sz="4" w:space="0" w:color="009EEA"/>
              <w:left w:val="single" w:sz="4" w:space="0" w:color="009EEA"/>
              <w:bottom w:val="single" w:sz="4" w:space="0" w:color="009EEA"/>
              <w:right w:val="single" w:sz="4" w:space="0" w:color="009EEA"/>
            </w:tcBorders>
          </w:tcPr>
          <w:p>
            <w:pPr/>
          </w:p>
        </w:tc>
        <w:tc>
          <w:tcPr>
            <w:tcW w:w="1339" w:type="dxa"/>
            <w:tcBorders>
              <w:top w:val="single" w:sz="4" w:space="0" w:color="009EEA"/>
              <w:left w:val="single" w:sz="4" w:space="0" w:color="009EEA"/>
              <w:bottom w:val="single" w:sz="4" w:space="0" w:color="009EEA"/>
              <w:right w:val="single" w:sz="4" w:space="0" w:color="009EEA"/>
            </w:tcBorders>
          </w:tcPr>
          <w:p>
            <w:pPr/>
          </w:p>
        </w:tc>
        <w:tc>
          <w:tcPr>
            <w:tcW w:w="972" w:type="dxa"/>
            <w:tcBorders>
              <w:top w:val="single" w:sz="4" w:space="0" w:color="009EEA"/>
              <w:left w:val="single" w:sz="4" w:space="0" w:color="009EEA"/>
              <w:bottom w:val="single" w:sz="4" w:space="0" w:color="009EEA"/>
              <w:right w:val="single" w:sz="4" w:space="0" w:color="009EEA"/>
            </w:tcBorders>
          </w:tcPr>
          <w:p>
            <w:pPr/>
          </w:p>
        </w:tc>
        <w:tc>
          <w:tcPr>
            <w:tcW w:w="506" w:type="dxa"/>
            <w:tcBorders>
              <w:top w:val="single" w:sz="4" w:space="0" w:color="009EEA"/>
              <w:left w:val="single" w:sz="4" w:space="0" w:color="009EEA"/>
              <w:bottom w:val="single" w:sz="4" w:space="0" w:color="009EEA"/>
              <w:right w:val="single" w:sz="4" w:space="0" w:color="009EEA"/>
            </w:tcBorders>
          </w:tcPr>
          <w:p>
            <w:pPr/>
          </w:p>
        </w:tc>
        <w:tc>
          <w:tcPr>
            <w:tcW w:w="1340" w:type="dxa"/>
            <w:tcBorders>
              <w:top w:val="single" w:sz="4" w:space="0" w:color="009EEA"/>
              <w:left w:val="single" w:sz="4" w:space="0" w:color="009EEA"/>
              <w:bottom w:val="single" w:sz="4" w:space="0" w:color="009EEA"/>
              <w:right w:val="single" w:sz="4" w:space="0" w:color="009EEA"/>
            </w:tcBorders>
          </w:tcPr>
          <w:p>
            <w:pPr/>
          </w:p>
        </w:tc>
        <w:tc>
          <w:tcPr>
            <w:tcW w:w="144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1"/>
              <w:ind w:right="21"/>
              <w:jc w:val="right"/>
              <w:rPr>
                <w:rFonts w:ascii="Arial" w:hAnsi="Arial" w:cs="Arial" w:eastAsia="Arial" w:hint="default"/>
                <w:sz w:val="20"/>
                <w:szCs w:val="20"/>
              </w:rPr>
            </w:pPr>
            <w:r>
              <w:rPr>
                <w:rFonts w:ascii="Arial"/>
                <w:w w:val="80"/>
                <w:sz w:val="20"/>
              </w:rPr>
              <w:t>-711,071,963.60</w:t>
            </w:r>
            <w:r>
              <w:rPr>
                <w:rFonts w:ascii="Arial"/>
                <w:sz w:val="20"/>
              </w:rPr>
            </w:r>
          </w:p>
        </w:tc>
        <w:tc>
          <w:tcPr>
            <w:tcW w:w="134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1"/>
              <w:ind w:right="19"/>
              <w:jc w:val="right"/>
              <w:rPr>
                <w:rFonts w:ascii="Arial" w:hAnsi="Arial" w:cs="Arial" w:eastAsia="Arial" w:hint="default"/>
                <w:sz w:val="20"/>
                <w:szCs w:val="20"/>
              </w:rPr>
            </w:pPr>
            <w:r>
              <w:rPr>
                <w:rFonts w:ascii="Arial"/>
                <w:w w:val="80"/>
                <w:sz w:val="20"/>
              </w:rPr>
              <w:t>-711,071,963.60</w:t>
            </w:r>
            <w:r>
              <w:rPr>
                <w:rFonts w:ascii="Arial"/>
                <w:sz w:val="20"/>
              </w:rPr>
            </w:r>
          </w:p>
        </w:tc>
        <w:tc>
          <w:tcPr>
            <w:tcW w:w="1298" w:type="dxa"/>
            <w:tcBorders>
              <w:top w:val="single" w:sz="4" w:space="0" w:color="009EEA"/>
              <w:left w:val="single" w:sz="4" w:space="0" w:color="009EEA"/>
              <w:bottom w:val="single" w:sz="4" w:space="0" w:color="009EEA"/>
              <w:right w:val="single" w:sz="4" w:space="0" w:color="009EEA"/>
            </w:tcBorders>
          </w:tcPr>
          <w:p>
            <w:pPr/>
          </w:p>
        </w:tc>
        <w:tc>
          <w:tcPr>
            <w:tcW w:w="134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1"/>
              <w:ind w:right="23"/>
              <w:jc w:val="right"/>
              <w:rPr>
                <w:rFonts w:ascii="Arial" w:hAnsi="Arial" w:cs="Arial" w:eastAsia="Arial" w:hint="default"/>
                <w:sz w:val="20"/>
                <w:szCs w:val="20"/>
              </w:rPr>
            </w:pPr>
            <w:r>
              <w:rPr>
                <w:rFonts w:ascii="Arial"/>
                <w:w w:val="80"/>
                <w:sz w:val="20"/>
              </w:rPr>
              <w:t>-711,071,963.60</w:t>
            </w:r>
            <w:r>
              <w:rPr>
                <w:rFonts w:ascii="Arial"/>
                <w:sz w:val="20"/>
              </w:rPr>
            </w:r>
          </w:p>
        </w:tc>
      </w:tr>
      <w:tr>
        <w:trPr>
          <w:trHeight w:val="295" w:hRule="exact"/>
        </w:trPr>
        <w:tc>
          <w:tcPr>
            <w:tcW w:w="2976" w:type="dxa"/>
            <w:tcBorders>
              <w:top w:val="single" w:sz="4" w:space="0" w:color="009EEA"/>
              <w:left w:val="nil" w:sz="6" w:space="0" w:color="auto"/>
              <w:bottom w:val="single" w:sz="4" w:space="0" w:color="009EEA"/>
              <w:right w:val="single" w:sz="4" w:space="0" w:color="009EEA"/>
            </w:tcBorders>
          </w:tcPr>
          <w:p>
            <w:pPr>
              <w:pStyle w:val="TableParagraph"/>
              <w:spacing w:line="245" w:lineRule="exact"/>
              <w:ind w:left="28"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340" w:type="dxa"/>
            <w:tcBorders>
              <w:top w:val="single" w:sz="4" w:space="0" w:color="009EEA"/>
              <w:left w:val="single" w:sz="4" w:space="0" w:color="009EEA"/>
              <w:bottom w:val="single" w:sz="4" w:space="0" w:color="009EEA"/>
              <w:right w:val="single" w:sz="4" w:space="0" w:color="009EEA"/>
            </w:tcBorders>
          </w:tcPr>
          <w:p>
            <w:pPr/>
          </w:p>
        </w:tc>
        <w:tc>
          <w:tcPr>
            <w:tcW w:w="1339" w:type="dxa"/>
            <w:tcBorders>
              <w:top w:val="single" w:sz="4" w:space="0" w:color="009EEA"/>
              <w:left w:val="single" w:sz="4" w:space="0" w:color="009EEA"/>
              <w:bottom w:val="single" w:sz="4" w:space="0" w:color="009EEA"/>
              <w:right w:val="single" w:sz="4" w:space="0" w:color="009EEA"/>
            </w:tcBorders>
          </w:tcPr>
          <w:p>
            <w:pPr/>
          </w:p>
        </w:tc>
        <w:tc>
          <w:tcPr>
            <w:tcW w:w="972" w:type="dxa"/>
            <w:tcBorders>
              <w:top w:val="single" w:sz="4" w:space="0" w:color="009EEA"/>
              <w:left w:val="single" w:sz="4" w:space="0" w:color="009EEA"/>
              <w:bottom w:val="single" w:sz="4" w:space="0" w:color="009EEA"/>
              <w:right w:val="single" w:sz="4" w:space="0" w:color="009EEA"/>
            </w:tcBorders>
          </w:tcPr>
          <w:p>
            <w:pPr/>
          </w:p>
        </w:tc>
        <w:tc>
          <w:tcPr>
            <w:tcW w:w="506" w:type="dxa"/>
            <w:tcBorders>
              <w:top w:val="single" w:sz="4" w:space="0" w:color="009EEA"/>
              <w:left w:val="single" w:sz="4" w:space="0" w:color="009EEA"/>
              <w:bottom w:val="single" w:sz="4" w:space="0" w:color="009EEA"/>
              <w:right w:val="single" w:sz="4" w:space="0" w:color="009EEA"/>
            </w:tcBorders>
          </w:tcPr>
          <w:p>
            <w:pPr/>
          </w:p>
        </w:tc>
        <w:tc>
          <w:tcPr>
            <w:tcW w:w="1340" w:type="dxa"/>
            <w:tcBorders>
              <w:top w:val="single" w:sz="4" w:space="0" w:color="009EEA"/>
              <w:left w:val="single" w:sz="4" w:space="0" w:color="009EEA"/>
              <w:bottom w:val="single" w:sz="4" w:space="0" w:color="009EEA"/>
              <w:right w:val="single" w:sz="4" w:space="0" w:color="009EEA"/>
            </w:tcBorders>
          </w:tcPr>
          <w:p>
            <w:pPr/>
          </w:p>
        </w:tc>
        <w:tc>
          <w:tcPr>
            <w:tcW w:w="1440" w:type="dxa"/>
            <w:tcBorders>
              <w:top w:val="single" w:sz="4" w:space="0" w:color="009EEA"/>
              <w:left w:val="single" w:sz="4" w:space="0" w:color="009EEA"/>
              <w:bottom w:val="single" w:sz="4" w:space="0" w:color="009EEA"/>
              <w:right w:val="single" w:sz="4" w:space="0" w:color="009EEA"/>
            </w:tcBorders>
          </w:tcPr>
          <w:p>
            <w:pPr/>
          </w:p>
        </w:tc>
        <w:tc>
          <w:tcPr>
            <w:tcW w:w="1340" w:type="dxa"/>
            <w:tcBorders>
              <w:top w:val="single" w:sz="4" w:space="0" w:color="009EEA"/>
              <w:left w:val="single" w:sz="4" w:space="0" w:color="009EEA"/>
              <w:bottom w:val="single" w:sz="4" w:space="0" w:color="009EEA"/>
              <w:right w:val="single" w:sz="4" w:space="0" w:color="009EEA"/>
            </w:tcBorders>
          </w:tcPr>
          <w:p>
            <w:pPr/>
          </w:p>
        </w:tc>
        <w:tc>
          <w:tcPr>
            <w:tcW w:w="1298" w:type="dxa"/>
            <w:tcBorders>
              <w:top w:val="single" w:sz="4" w:space="0" w:color="009EEA"/>
              <w:left w:val="single" w:sz="4" w:space="0" w:color="009EEA"/>
              <w:bottom w:val="single" w:sz="4" w:space="0" w:color="009EEA"/>
              <w:right w:val="single" w:sz="4" w:space="0" w:color="009EEA"/>
            </w:tcBorders>
          </w:tcPr>
          <w:p>
            <w:pPr/>
          </w:p>
        </w:tc>
        <w:tc>
          <w:tcPr>
            <w:tcW w:w="1342" w:type="dxa"/>
            <w:tcBorders>
              <w:top w:val="single" w:sz="4" w:space="0" w:color="009EEA"/>
              <w:left w:val="single" w:sz="4" w:space="0" w:color="009EEA"/>
              <w:bottom w:val="single" w:sz="4" w:space="0" w:color="009EEA"/>
              <w:right w:val="nil" w:sz="6" w:space="0" w:color="auto"/>
            </w:tcBorders>
          </w:tcPr>
          <w:p>
            <w:pPr/>
          </w:p>
        </w:tc>
      </w:tr>
      <w:tr>
        <w:trPr>
          <w:trHeight w:val="293" w:hRule="exact"/>
        </w:trPr>
        <w:tc>
          <w:tcPr>
            <w:tcW w:w="2976" w:type="dxa"/>
            <w:tcBorders>
              <w:top w:val="single" w:sz="4" w:space="0" w:color="009EEA"/>
              <w:left w:val="nil" w:sz="6" w:space="0" w:color="auto"/>
              <w:bottom w:val="single" w:sz="4" w:space="0" w:color="009EEA"/>
              <w:right w:val="single" w:sz="4" w:space="0" w:color="009EEA"/>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40" w:type="dxa"/>
            <w:tcBorders>
              <w:top w:val="single" w:sz="4" w:space="0" w:color="009EEA"/>
              <w:left w:val="single" w:sz="4" w:space="0" w:color="009EEA"/>
              <w:bottom w:val="single" w:sz="4" w:space="0" w:color="009EEA"/>
              <w:right w:val="single" w:sz="4" w:space="0" w:color="009EEA"/>
            </w:tcBorders>
          </w:tcPr>
          <w:p>
            <w:pPr/>
          </w:p>
        </w:tc>
        <w:tc>
          <w:tcPr>
            <w:tcW w:w="1339" w:type="dxa"/>
            <w:tcBorders>
              <w:top w:val="single" w:sz="4" w:space="0" w:color="009EEA"/>
              <w:left w:val="single" w:sz="4" w:space="0" w:color="009EEA"/>
              <w:bottom w:val="single" w:sz="4" w:space="0" w:color="009EEA"/>
              <w:right w:val="single" w:sz="4" w:space="0" w:color="009EEA"/>
            </w:tcBorders>
          </w:tcPr>
          <w:p>
            <w:pPr/>
          </w:p>
        </w:tc>
        <w:tc>
          <w:tcPr>
            <w:tcW w:w="97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1"/>
              <w:ind w:left="98" w:right="0"/>
              <w:jc w:val="center"/>
              <w:rPr>
                <w:rFonts w:ascii="Arial" w:hAnsi="Arial" w:cs="Arial" w:eastAsia="Arial" w:hint="default"/>
                <w:sz w:val="20"/>
                <w:szCs w:val="20"/>
              </w:rPr>
            </w:pPr>
            <w:r>
              <w:rPr>
                <w:rFonts w:ascii="Arial"/>
                <w:w w:val="80"/>
                <w:sz w:val="20"/>
              </w:rPr>
              <w:t>741,507.94</w:t>
            </w:r>
            <w:r>
              <w:rPr>
                <w:rFonts w:ascii="Arial"/>
                <w:sz w:val="20"/>
              </w:rPr>
            </w:r>
          </w:p>
        </w:tc>
        <w:tc>
          <w:tcPr>
            <w:tcW w:w="506" w:type="dxa"/>
            <w:tcBorders>
              <w:top w:val="single" w:sz="4" w:space="0" w:color="009EEA"/>
              <w:left w:val="single" w:sz="4" w:space="0" w:color="009EEA"/>
              <w:bottom w:val="single" w:sz="4" w:space="0" w:color="009EEA"/>
              <w:right w:val="single" w:sz="4" w:space="0" w:color="009EEA"/>
            </w:tcBorders>
          </w:tcPr>
          <w:p>
            <w:pPr/>
          </w:p>
        </w:tc>
        <w:tc>
          <w:tcPr>
            <w:tcW w:w="1340" w:type="dxa"/>
            <w:tcBorders>
              <w:top w:val="single" w:sz="4" w:space="0" w:color="009EEA"/>
              <w:left w:val="single" w:sz="4" w:space="0" w:color="009EEA"/>
              <w:bottom w:val="single" w:sz="4" w:space="0" w:color="009EEA"/>
              <w:right w:val="single" w:sz="4" w:space="0" w:color="009EEA"/>
            </w:tcBorders>
          </w:tcPr>
          <w:p>
            <w:pPr/>
          </w:p>
        </w:tc>
        <w:tc>
          <w:tcPr>
            <w:tcW w:w="1440" w:type="dxa"/>
            <w:tcBorders>
              <w:top w:val="single" w:sz="4" w:space="0" w:color="009EEA"/>
              <w:left w:val="single" w:sz="4" w:space="0" w:color="009EEA"/>
              <w:bottom w:val="single" w:sz="4" w:space="0" w:color="009EEA"/>
              <w:right w:val="single" w:sz="4" w:space="0" w:color="009EEA"/>
            </w:tcBorders>
          </w:tcPr>
          <w:p>
            <w:pPr/>
          </w:p>
        </w:tc>
        <w:tc>
          <w:tcPr>
            <w:tcW w:w="134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1"/>
              <w:ind w:right="19"/>
              <w:jc w:val="right"/>
              <w:rPr>
                <w:rFonts w:ascii="Arial" w:hAnsi="Arial" w:cs="Arial" w:eastAsia="Arial" w:hint="default"/>
                <w:sz w:val="20"/>
                <w:szCs w:val="20"/>
              </w:rPr>
            </w:pPr>
            <w:r>
              <w:rPr>
                <w:rFonts w:ascii="Arial"/>
                <w:w w:val="80"/>
                <w:sz w:val="20"/>
              </w:rPr>
              <w:t>741,507.94</w:t>
            </w:r>
            <w:r>
              <w:rPr>
                <w:rFonts w:ascii="Arial"/>
                <w:sz w:val="20"/>
              </w:rPr>
            </w:r>
          </w:p>
        </w:tc>
        <w:tc>
          <w:tcPr>
            <w:tcW w:w="1298" w:type="dxa"/>
            <w:tcBorders>
              <w:top w:val="single" w:sz="4" w:space="0" w:color="009EEA"/>
              <w:left w:val="single" w:sz="4" w:space="0" w:color="009EEA"/>
              <w:bottom w:val="single" w:sz="4" w:space="0" w:color="009EEA"/>
              <w:right w:val="single" w:sz="4" w:space="0" w:color="009EEA"/>
            </w:tcBorders>
          </w:tcPr>
          <w:p>
            <w:pPr/>
          </w:p>
        </w:tc>
        <w:tc>
          <w:tcPr>
            <w:tcW w:w="134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1"/>
              <w:ind w:right="24"/>
              <w:jc w:val="right"/>
              <w:rPr>
                <w:rFonts w:ascii="Arial" w:hAnsi="Arial" w:cs="Arial" w:eastAsia="Arial" w:hint="default"/>
                <w:sz w:val="20"/>
                <w:szCs w:val="20"/>
              </w:rPr>
            </w:pPr>
            <w:r>
              <w:rPr>
                <w:rFonts w:ascii="Arial"/>
                <w:w w:val="80"/>
                <w:sz w:val="20"/>
              </w:rPr>
              <w:t>741,507.94</w:t>
            </w:r>
            <w:r>
              <w:rPr>
                <w:rFonts w:ascii="Arial"/>
                <w:sz w:val="20"/>
              </w:rPr>
            </w:r>
          </w:p>
        </w:tc>
      </w:tr>
      <w:tr>
        <w:trPr>
          <w:trHeight w:val="295" w:hRule="exact"/>
        </w:trPr>
        <w:tc>
          <w:tcPr>
            <w:tcW w:w="2976" w:type="dxa"/>
            <w:tcBorders>
              <w:top w:val="single" w:sz="4" w:space="0" w:color="009EEA"/>
              <w:left w:val="nil" w:sz="6" w:space="0" w:color="auto"/>
              <w:bottom w:val="single" w:sz="4" w:space="0" w:color="009EEA"/>
              <w:right w:val="single" w:sz="4" w:space="0" w:color="009EEA"/>
            </w:tcBorders>
          </w:tcPr>
          <w:p>
            <w:pPr>
              <w:pStyle w:val="TableParagraph"/>
              <w:spacing w:line="245" w:lineRule="exact"/>
              <w:ind w:left="28"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．资本公积转增资本（或股本）</w:t>
            </w:r>
          </w:p>
        </w:tc>
        <w:tc>
          <w:tcPr>
            <w:tcW w:w="1340" w:type="dxa"/>
            <w:tcBorders>
              <w:top w:val="single" w:sz="4" w:space="0" w:color="009EEA"/>
              <w:left w:val="single" w:sz="4" w:space="0" w:color="009EEA"/>
              <w:bottom w:val="single" w:sz="4" w:space="0" w:color="009EEA"/>
              <w:right w:val="single" w:sz="4" w:space="0" w:color="009EEA"/>
            </w:tcBorders>
          </w:tcPr>
          <w:p>
            <w:pPr/>
          </w:p>
        </w:tc>
        <w:tc>
          <w:tcPr>
            <w:tcW w:w="1339" w:type="dxa"/>
            <w:tcBorders>
              <w:top w:val="single" w:sz="4" w:space="0" w:color="009EEA"/>
              <w:left w:val="single" w:sz="4" w:space="0" w:color="009EEA"/>
              <w:bottom w:val="single" w:sz="4" w:space="0" w:color="009EEA"/>
              <w:right w:val="single" w:sz="4" w:space="0" w:color="009EEA"/>
            </w:tcBorders>
          </w:tcPr>
          <w:p>
            <w:pPr/>
          </w:p>
        </w:tc>
        <w:tc>
          <w:tcPr>
            <w:tcW w:w="972" w:type="dxa"/>
            <w:tcBorders>
              <w:top w:val="single" w:sz="4" w:space="0" w:color="009EEA"/>
              <w:left w:val="single" w:sz="4" w:space="0" w:color="009EEA"/>
              <w:bottom w:val="single" w:sz="4" w:space="0" w:color="009EEA"/>
              <w:right w:val="single" w:sz="4" w:space="0" w:color="009EEA"/>
            </w:tcBorders>
          </w:tcPr>
          <w:p>
            <w:pPr/>
          </w:p>
        </w:tc>
        <w:tc>
          <w:tcPr>
            <w:tcW w:w="506" w:type="dxa"/>
            <w:tcBorders>
              <w:top w:val="single" w:sz="4" w:space="0" w:color="009EEA"/>
              <w:left w:val="single" w:sz="4" w:space="0" w:color="009EEA"/>
              <w:bottom w:val="single" w:sz="4" w:space="0" w:color="009EEA"/>
              <w:right w:val="single" w:sz="4" w:space="0" w:color="009EEA"/>
            </w:tcBorders>
          </w:tcPr>
          <w:p>
            <w:pPr/>
          </w:p>
        </w:tc>
        <w:tc>
          <w:tcPr>
            <w:tcW w:w="1340" w:type="dxa"/>
            <w:tcBorders>
              <w:top w:val="single" w:sz="4" w:space="0" w:color="009EEA"/>
              <w:left w:val="single" w:sz="4" w:space="0" w:color="009EEA"/>
              <w:bottom w:val="single" w:sz="4" w:space="0" w:color="009EEA"/>
              <w:right w:val="single" w:sz="4" w:space="0" w:color="009EEA"/>
            </w:tcBorders>
          </w:tcPr>
          <w:p>
            <w:pPr/>
          </w:p>
        </w:tc>
        <w:tc>
          <w:tcPr>
            <w:tcW w:w="1440" w:type="dxa"/>
            <w:tcBorders>
              <w:top w:val="single" w:sz="4" w:space="0" w:color="009EEA"/>
              <w:left w:val="single" w:sz="4" w:space="0" w:color="009EEA"/>
              <w:bottom w:val="single" w:sz="4" w:space="0" w:color="009EEA"/>
              <w:right w:val="single" w:sz="4" w:space="0" w:color="009EEA"/>
            </w:tcBorders>
          </w:tcPr>
          <w:p>
            <w:pPr/>
          </w:p>
        </w:tc>
        <w:tc>
          <w:tcPr>
            <w:tcW w:w="1340" w:type="dxa"/>
            <w:tcBorders>
              <w:top w:val="single" w:sz="4" w:space="0" w:color="009EEA"/>
              <w:left w:val="single" w:sz="4" w:space="0" w:color="009EEA"/>
              <w:bottom w:val="single" w:sz="4" w:space="0" w:color="009EEA"/>
              <w:right w:val="single" w:sz="4" w:space="0" w:color="009EEA"/>
            </w:tcBorders>
          </w:tcPr>
          <w:p>
            <w:pPr/>
          </w:p>
        </w:tc>
        <w:tc>
          <w:tcPr>
            <w:tcW w:w="1298" w:type="dxa"/>
            <w:tcBorders>
              <w:top w:val="single" w:sz="4" w:space="0" w:color="009EEA"/>
              <w:left w:val="single" w:sz="4" w:space="0" w:color="009EEA"/>
              <w:bottom w:val="single" w:sz="4" w:space="0" w:color="009EEA"/>
              <w:right w:val="single" w:sz="4" w:space="0" w:color="009EEA"/>
            </w:tcBorders>
          </w:tcPr>
          <w:p>
            <w:pPr/>
          </w:p>
        </w:tc>
        <w:tc>
          <w:tcPr>
            <w:tcW w:w="1342" w:type="dxa"/>
            <w:tcBorders>
              <w:top w:val="single" w:sz="4" w:space="0" w:color="009EEA"/>
              <w:left w:val="single" w:sz="4" w:space="0" w:color="009EEA"/>
              <w:bottom w:val="single" w:sz="4" w:space="0" w:color="009EEA"/>
              <w:right w:val="nil" w:sz="6" w:space="0" w:color="auto"/>
            </w:tcBorders>
          </w:tcPr>
          <w:p>
            <w:pPr/>
          </w:p>
        </w:tc>
      </w:tr>
      <w:tr>
        <w:trPr>
          <w:trHeight w:val="293" w:hRule="exact"/>
        </w:trPr>
        <w:tc>
          <w:tcPr>
            <w:tcW w:w="2976" w:type="dxa"/>
            <w:tcBorders>
              <w:top w:val="single" w:sz="4" w:space="0" w:color="009EEA"/>
              <w:left w:val="nil" w:sz="6" w:space="0" w:color="auto"/>
              <w:bottom w:val="single" w:sz="4" w:space="0" w:color="009EEA"/>
              <w:right w:val="single" w:sz="4" w:space="0" w:color="009EEA"/>
            </w:tcBorders>
          </w:tcPr>
          <w:p>
            <w:pPr>
              <w:pStyle w:val="TableParagraph"/>
              <w:spacing w:line="245" w:lineRule="exact"/>
              <w:ind w:left="28"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．盈余公积转增资本（或股本）</w:t>
            </w:r>
          </w:p>
        </w:tc>
        <w:tc>
          <w:tcPr>
            <w:tcW w:w="1340" w:type="dxa"/>
            <w:tcBorders>
              <w:top w:val="single" w:sz="4" w:space="0" w:color="009EEA"/>
              <w:left w:val="single" w:sz="4" w:space="0" w:color="009EEA"/>
              <w:bottom w:val="single" w:sz="4" w:space="0" w:color="009EEA"/>
              <w:right w:val="single" w:sz="4" w:space="0" w:color="009EEA"/>
            </w:tcBorders>
          </w:tcPr>
          <w:p>
            <w:pPr/>
          </w:p>
        </w:tc>
        <w:tc>
          <w:tcPr>
            <w:tcW w:w="1339" w:type="dxa"/>
            <w:tcBorders>
              <w:top w:val="single" w:sz="4" w:space="0" w:color="009EEA"/>
              <w:left w:val="single" w:sz="4" w:space="0" w:color="009EEA"/>
              <w:bottom w:val="single" w:sz="4" w:space="0" w:color="009EEA"/>
              <w:right w:val="single" w:sz="4" w:space="0" w:color="009EEA"/>
            </w:tcBorders>
          </w:tcPr>
          <w:p>
            <w:pPr/>
          </w:p>
        </w:tc>
        <w:tc>
          <w:tcPr>
            <w:tcW w:w="972" w:type="dxa"/>
            <w:tcBorders>
              <w:top w:val="single" w:sz="4" w:space="0" w:color="009EEA"/>
              <w:left w:val="single" w:sz="4" w:space="0" w:color="009EEA"/>
              <w:bottom w:val="single" w:sz="4" w:space="0" w:color="009EEA"/>
              <w:right w:val="single" w:sz="4" w:space="0" w:color="009EEA"/>
            </w:tcBorders>
          </w:tcPr>
          <w:p>
            <w:pPr/>
          </w:p>
        </w:tc>
        <w:tc>
          <w:tcPr>
            <w:tcW w:w="506" w:type="dxa"/>
            <w:tcBorders>
              <w:top w:val="single" w:sz="4" w:space="0" w:color="009EEA"/>
              <w:left w:val="single" w:sz="4" w:space="0" w:color="009EEA"/>
              <w:bottom w:val="single" w:sz="4" w:space="0" w:color="009EEA"/>
              <w:right w:val="single" w:sz="4" w:space="0" w:color="009EEA"/>
            </w:tcBorders>
          </w:tcPr>
          <w:p>
            <w:pPr/>
          </w:p>
        </w:tc>
        <w:tc>
          <w:tcPr>
            <w:tcW w:w="1340" w:type="dxa"/>
            <w:tcBorders>
              <w:top w:val="single" w:sz="4" w:space="0" w:color="009EEA"/>
              <w:left w:val="single" w:sz="4" w:space="0" w:color="009EEA"/>
              <w:bottom w:val="single" w:sz="4" w:space="0" w:color="009EEA"/>
              <w:right w:val="single" w:sz="4" w:space="0" w:color="009EEA"/>
            </w:tcBorders>
          </w:tcPr>
          <w:p>
            <w:pPr/>
          </w:p>
        </w:tc>
        <w:tc>
          <w:tcPr>
            <w:tcW w:w="1440" w:type="dxa"/>
            <w:tcBorders>
              <w:top w:val="single" w:sz="4" w:space="0" w:color="009EEA"/>
              <w:left w:val="single" w:sz="4" w:space="0" w:color="009EEA"/>
              <w:bottom w:val="single" w:sz="4" w:space="0" w:color="009EEA"/>
              <w:right w:val="single" w:sz="4" w:space="0" w:color="009EEA"/>
            </w:tcBorders>
          </w:tcPr>
          <w:p>
            <w:pPr/>
          </w:p>
        </w:tc>
        <w:tc>
          <w:tcPr>
            <w:tcW w:w="1340" w:type="dxa"/>
            <w:tcBorders>
              <w:top w:val="single" w:sz="4" w:space="0" w:color="009EEA"/>
              <w:left w:val="single" w:sz="4" w:space="0" w:color="009EEA"/>
              <w:bottom w:val="single" w:sz="4" w:space="0" w:color="009EEA"/>
              <w:right w:val="single" w:sz="4" w:space="0" w:color="009EEA"/>
            </w:tcBorders>
          </w:tcPr>
          <w:p>
            <w:pPr/>
          </w:p>
        </w:tc>
        <w:tc>
          <w:tcPr>
            <w:tcW w:w="1298" w:type="dxa"/>
            <w:tcBorders>
              <w:top w:val="single" w:sz="4" w:space="0" w:color="009EEA"/>
              <w:left w:val="single" w:sz="4" w:space="0" w:color="009EEA"/>
              <w:bottom w:val="single" w:sz="4" w:space="0" w:color="009EEA"/>
              <w:right w:val="single" w:sz="4" w:space="0" w:color="009EEA"/>
            </w:tcBorders>
          </w:tcPr>
          <w:p>
            <w:pPr/>
          </w:p>
        </w:tc>
        <w:tc>
          <w:tcPr>
            <w:tcW w:w="1342" w:type="dxa"/>
            <w:tcBorders>
              <w:top w:val="single" w:sz="4" w:space="0" w:color="009EEA"/>
              <w:left w:val="single" w:sz="4" w:space="0" w:color="009EEA"/>
              <w:bottom w:val="single" w:sz="4" w:space="0" w:color="009EEA"/>
              <w:right w:val="nil" w:sz="6" w:space="0" w:color="auto"/>
            </w:tcBorders>
          </w:tcPr>
          <w:p>
            <w:pPr/>
          </w:p>
        </w:tc>
      </w:tr>
      <w:tr>
        <w:trPr>
          <w:trHeight w:val="295" w:hRule="exact"/>
        </w:trPr>
        <w:tc>
          <w:tcPr>
            <w:tcW w:w="2976" w:type="dxa"/>
            <w:tcBorders>
              <w:top w:val="single" w:sz="4" w:space="0" w:color="009EEA"/>
              <w:left w:val="nil" w:sz="6" w:space="0" w:color="auto"/>
              <w:bottom w:val="single" w:sz="4" w:space="0" w:color="009EEA"/>
              <w:right w:val="single" w:sz="4" w:space="0" w:color="009EEA"/>
            </w:tcBorders>
          </w:tcPr>
          <w:p>
            <w:pPr>
              <w:pStyle w:val="TableParagraph"/>
              <w:spacing w:line="245" w:lineRule="exact"/>
              <w:ind w:left="28"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．盈余公积弥补亏损</w:t>
            </w:r>
          </w:p>
        </w:tc>
        <w:tc>
          <w:tcPr>
            <w:tcW w:w="1340" w:type="dxa"/>
            <w:tcBorders>
              <w:top w:val="single" w:sz="4" w:space="0" w:color="009EEA"/>
              <w:left w:val="single" w:sz="4" w:space="0" w:color="009EEA"/>
              <w:bottom w:val="single" w:sz="4" w:space="0" w:color="009EEA"/>
              <w:right w:val="single" w:sz="4" w:space="0" w:color="009EEA"/>
            </w:tcBorders>
          </w:tcPr>
          <w:p>
            <w:pPr/>
          </w:p>
        </w:tc>
        <w:tc>
          <w:tcPr>
            <w:tcW w:w="1339" w:type="dxa"/>
            <w:tcBorders>
              <w:top w:val="single" w:sz="4" w:space="0" w:color="009EEA"/>
              <w:left w:val="single" w:sz="4" w:space="0" w:color="009EEA"/>
              <w:bottom w:val="single" w:sz="4" w:space="0" w:color="009EEA"/>
              <w:right w:val="single" w:sz="4" w:space="0" w:color="009EEA"/>
            </w:tcBorders>
          </w:tcPr>
          <w:p>
            <w:pPr/>
          </w:p>
        </w:tc>
        <w:tc>
          <w:tcPr>
            <w:tcW w:w="972" w:type="dxa"/>
            <w:tcBorders>
              <w:top w:val="single" w:sz="4" w:space="0" w:color="009EEA"/>
              <w:left w:val="single" w:sz="4" w:space="0" w:color="009EEA"/>
              <w:bottom w:val="single" w:sz="4" w:space="0" w:color="009EEA"/>
              <w:right w:val="single" w:sz="4" w:space="0" w:color="009EEA"/>
            </w:tcBorders>
          </w:tcPr>
          <w:p>
            <w:pPr/>
          </w:p>
        </w:tc>
        <w:tc>
          <w:tcPr>
            <w:tcW w:w="506" w:type="dxa"/>
            <w:tcBorders>
              <w:top w:val="single" w:sz="4" w:space="0" w:color="009EEA"/>
              <w:left w:val="single" w:sz="4" w:space="0" w:color="009EEA"/>
              <w:bottom w:val="single" w:sz="4" w:space="0" w:color="009EEA"/>
              <w:right w:val="single" w:sz="4" w:space="0" w:color="009EEA"/>
            </w:tcBorders>
          </w:tcPr>
          <w:p>
            <w:pPr/>
          </w:p>
        </w:tc>
        <w:tc>
          <w:tcPr>
            <w:tcW w:w="1340" w:type="dxa"/>
            <w:tcBorders>
              <w:top w:val="single" w:sz="4" w:space="0" w:color="009EEA"/>
              <w:left w:val="single" w:sz="4" w:space="0" w:color="009EEA"/>
              <w:bottom w:val="single" w:sz="4" w:space="0" w:color="009EEA"/>
              <w:right w:val="single" w:sz="4" w:space="0" w:color="009EEA"/>
            </w:tcBorders>
          </w:tcPr>
          <w:p>
            <w:pPr/>
          </w:p>
        </w:tc>
        <w:tc>
          <w:tcPr>
            <w:tcW w:w="1440" w:type="dxa"/>
            <w:tcBorders>
              <w:top w:val="single" w:sz="4" w:space="0" w:color="009EEA"/>
              <w:left w:val="single" w:sz="4" w:space="0" w:color="009EEA"/>
              <w:bottom w:val="single" w:sz="4" w:space="0" w:color="009EEA"/>
              <w:right w:val="single" w:sz="4" w:space="0" w:color="009EEA"/>
            </w:tcBorders>
          </w:tcPr>
          <w:p>
            <w:pPr/>
          </w:p>
        </w:tc>
        <w:tc>
          <w:tcPr>
            <w:tcW w:w="1340" w:type="dxa"/>
            <w:tcBorders>
              <w:top w:val="single" w:sz="4" w:space="0" w:color="009EEA"/>
              <w:left w:val="single" w:sz="4" w:space="0" w:color="009EEA"/>
              <w:bottom w:val="single" w:sz="4" w:space="0" w:color="009EEA"/>
              <w:right w:val="single" w:sz="4" w:space="0" w:color="009EEA"/>
            </w:tcBorders>
          </w:tcPr>
          <w:p>
            <w:pPr/>
          </w:p>
        </w:tc>
        <w:tc>
          <w:tcPr>
            <w:tcW w:w="1298" w:type="dxa"/>
            <w:tcBorders>
              <w:top w:val="single" w:sz="4" w:space="0" w:color="009EEA"/>
              <w:left w:val="single" w:sz="4" w:space="0" w:color="009EEA"/>
              <w:bottom w:val="single" w:sz="4" w:space="0" w:color="009EEA"/>
              <w:right w:val="single" w:sz="4" w:space="0" w:color="009EEA"/>
            </w:tcBorders>
          </w:tcPr>
          <w:p>
            <w:pPr/>
          </w:p>
        </w:tc>
        <w:tc>
          <w:tcPr>
            <w:tcW w:w="1342" w:type="dxa"/>
            <w:tcBorders>
              <w:top w:val="single" w:sz="4" w:space="0" w:color="009EEA"/>
              <w:left w:val="single" w:sz="4" w:space="0" w:color="009EEA"/>
              <w:bottom w:val="single" w:sz="4" w:space="0" w:color="009EEA"/>
              <w:right w:val="nil" w:sz="6" w:space="0" w:color="auto"/>
            </w:tcBorders>
          </w:tcPr>
          <w:p>
            <w:pPr/>
          </w:p>
        </w:tc>
      </w:tr>
      <w:tr>
        <w:trPr>
          <w:trHeight w:val="293" w:hRule="exact"/>
        </w:trPr>
        <w:tc>
          <w:tcPr>
            <w:tcW w:w="2976" w:type="dxa"/>
            <w:tcBorders>
              <w:top w:val="single" w:sz="4" w:space="0" w:color="009EEA"/>
              <w:left w:val="nil" w:sz="6" w:space="0" w:color="auto"/>
              <w:bottom w:val="single" w:sz="4" w:space="0" w:color="009EEA"/>
              <w:right w:val="single" w:sz="4" w:space="0" w:color="009EEA"/>
            </w:tcBorders>
          </w:tcPr>
          <w:p>
            <w:pPr>
              <w:pStyle w:val="TableParagraph"/>
              <w:spacing w:line="245" w:lineRule="exact"/>
              <w:ind w:left="28" w:right="0"/>
              <w:jc w:val="left"/>
              <w:rPr>
                <w:rFonts w:ascii="宋体" w:hAnsi="宋体" w:cs="宋体" w:eastAsia="宋体" w:hint="default"/>
                <w:sz w:val="18"/>
                <w:szCs w:val="18"/>
              </w:rPr>
            </w:pPr>
            <w:r>
              <w:rPr>
                <w:rFonts w:ascii="Arial" w:hAnsi="Arial" w:cs="Arial" w:eastAsia="Arial" w:hint="default"/>
                <w:spacing w:val="-9"/>
                <w:sz w:val="18"/>
                <w:szCs w:val="18"/>
              </w:rPr>
              <w:t>4</w:t>
            </w:r>
            <w:r>
              <w:rPr>
                <w:rFonts w:ascii="宋体" w:hAnsi="宋体" w:cs="宋体" w:eastAsia="宋体" w:hint="default"/>
                <w:spacing w:val="-9"/>
                <w:sz w:val="18"/>
                <w:szCs w:val="18"/>
              </w:rPr>
              <w:t>．设定受益计划变动额结转留存收益</w:t>
            </w:r>
          </w:p>
        </w:tc>
        <w:tc>
          <w:tcPr>
            <w:tcW w:w="1340" w:type="dxa"/>
            <w:tcBorders>
              <w:top w:val="single" w:sz="4" w:space="0" w:color="009EEA"/>
              <w:left w:val="single" w:sz="4" w:space="0" w:color="009EEA"/>
              <w:bottom w:val="single" w:sz="4" w:space="0" w:color="009EEA"/>
              <w:right w:val="single" w:sz="4" w:space="0" w:color="009EEA"/>
            </w:tcBorders>
          </w:tcPr>
          <w:p>
            <w:pPr/>
          </w:p>
        </w:tc>
        <w:tc>
          <w:tcPr>
            <w:tcW w:w="1339" w:type="dxa"/>
            <w:tcBorders>
              <w:top w:val="single" w:sz="4" w:space="0" w:color="009EEA"/>
              <w:left w:val="single" w:sz="4" w:space="0" w:color="009EEA"/>
              <w:bottom w:val="single" w:sz="4" w:space="0" w:color="009EEA"/>
              <w:right w:val="single" w:sz="4" w:space="0" w:color="009EEA"/>
            </w:tcBorders>
          </w:tcPr>
          <w:p>
            <w:pPr/>
          </w:p>
        </w:tc>
        <w:tc>
          <w:tcPr>
            <w:tcW w:w="972" w:type="dxa"/>
            <w:tcBorders>
              <w:top w:val="single" w:sz="4" w:space="0" w:color="009EEA"/>
              <w:left w:val="single" w:sz="4" w:space="0" w:color="009EEA"/>
              <w:bottom w:val="single" w:sz="4" w:space="0" w:color="009EEA"/>
              <w:right w:val="single" w:sz="4" w:space="0" w:color="009EEA"/>
            </w:tcBorders>
          </w:tcPr>
          <w:p>
            <w:pPr/>
          </w:p>
        </w:tc>
        <w:tc>
          <w:tcPr>
            <w:tcW w:w="506" w:type="dxa"/>
            <w:tcBorders>
              <w:top w:val="single" w:sz="4" w:space="0" w:color="009EEA"/>
              <w:left w:val="single" w:sz="4" w:space="0" w:color="009EEA"/>
              <w:bottom w:val="single" w:sz="4" w:space="0" w:color="009EEA"/>
              <w:right w:val="single" w:sz="4" w:space="0" w:color="009EEA"/>
            </w:tcBorders>
          </w:tcPr>
          <w:p>
            <w:pPr/>
          </w:p>
        </w:tc>
        <w:tc>
          <w:tcPr>
            <w:tcW w:w="1340" w:type="dxa"/>
            <w:tcBorders>
              <w:top w:val="single" w:sz="4" w:space="0" w:color="009EEA"/>
              <w:left w:val="single" w:sz="4" w:space="0" w:color="009EEA"/>
              <w:bottom w:val="single" w:sz="4" w:space="0" w:color="009EEA"/>
              <w:right w:val="single" w:sz="4" w:space="0" w:color="009EEA"/>
            </w:tcBorders>
          </w:tcPr>
          <w:p>
            <w:pPr/>
          </w:p>
        </w:tc>
        <w:tc>
          <w:tcPr>
            <w:tcW w:w="1440" w:type="dxa"/>
            <w:tcBorders>
              <w:top w:val="single" w:sz="4" w:space="0" w:color="009EEA"/>
              <w:left w:val="single" w:sz="4" w:space="0" w:color="009EEA"/>
              <w:bottom w:val="single" w:sz="4" w:space="0" w:color="009EEA"/>
              <w:right w:val="single" w:sz="4" w:space="0" w:color="009EEA"/>
            </w:tcBorders>
          </w:tcPr>
          <w:p>
            <w:pPr/>
          </w:p>
        </w:tc>
        <w:tc>
          <w:tcPr>
            <w:tcW w:w="1340" w:type="dxa"/>
            <w:tcBorders>
              <w:top w:val="single" w:sz="4" w:space="0" w:color="009EEA"/>
              <w:left w:val="single" w:sz="4" w:space="0" w:color="009EEA"/>
              <w:bottom w:val="single" w:sz="4" w:space="0" w:color="009EEA"/>
              <w:right w:val="single" w:sz="4" w:space="0" w:color="009EEA"/>
            </w:tcBorders>
          </w:tcPr>
          <w:p>
            <w:pPr/>
          </w:p>
        </w:tc>
        <w:tc>
          <w:tcPr>
            <w:tcW w:w="1298" w:type="dxa"/>
            <w:tcBorders>
              <w:top w:val="single" w:sz="4" w:space="0" w:color="009EEA"/>
              <w:left w:val="single" w:sz="4" w:space="0" w:color="009EEA"/>
              <w:bottom w:val="single" w:sz="4" w:space="0" w:color="009EEA"/>
              <w:right w:val="single" w:sz="4" w:space="0" w:color="009EEA"/>
            </w:tcBorders>
          </w:tcPr>
          <w:p>
            <w:pPr/>
          </w:p>
        </w:tc>
        <w:tc>
          <w:tcPr>
            <w:tcW w:w="1342" w:type="dxa"/>
            <w:tcBorders>
              <w:top w:val="single" w:sz="4" w:space="0" w:color="009EEA"/>
              <w:left w:val="single" w:sz="4" w:space="0" w:color="009EEA"/>
              <w:bottom w:val="single" w:sz="4" w:space="0" w:color="009EEA"/>
              <w:right w:val="nil" w:sz="6" w:space="0" w:color="auto"/>
            </w:tcBorders>
          </w:tcPr>
          <w:p>
            <w:pPr/>
          </w:p>
        </w:tc>
      </w:tr>
      <w:tr>
        <w:trPr>
          <w:trHeight w:val="295" w:hRule="exact"/>
        </w:trPr>
        <w:tc>
          <w:tcPr>
            <w:tcW w:w="2976" w:type="dxa"/>
            <w:tcBorders>
              <w:top w:val="single" w:sz="4" w:space="0" w:color="009EEA"/>
              <w:left w:val="nil" w:sz="6" w:space="0" w:color="auto"/>
              <w:bottom w:val="single" w:sz="4" w:space="0" w:color="009EEA"/>
              <w:right w:val="single" w:sz="4" w:space="0" w:color="009EEA"/>
            </w:tcBorders>
          </w:tcPr>
          <w:p>
            <w:pPr>
              <w:pStyle w:val="TableParagraph"/>
              <w:spacing w:line="245" w:lineRule="exact"/>
              <w:ind w:left="28"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．其他综合收益结转留存收益</w:t>
            </w:r>
          </w:p>
        </w:tc>
        <w:tc>
          <w:tcPr>
            <w:tcW w:w="1340" w:type="dxa"/>
            <w:tcBorders>
              <w:top w:val="single" w:sz="4" w:space="0" w:color="009EEA"/>
              <w:left w:val="single" w:sz="4" w:space="0" w:color="009EEA"/>
              <w:bottom w:val="single" w:sz="4" w:space="0" w:color="009EEA"/>
              <w:right w:val="single" w:sz="4" w:space="0" w:color="009EEA"/>
            </w:tcBorders>
          </w:tcPr>
          <w:p>
            <w:pPr/>
          </w:p>
        </w:tc>
        <w:tc>
          <w:tcPr>
            <w:tcW w:w="1339" w:type="dxa"/>
            <w:tcBorders>
              <w:top w:val="single" w:sz="4" w:space="0" w:color="009EEA"/>
              <w:left w:val="single" w:sz="4" w:space="0" w:color="009EEA"/>
              <w:bottom w:val="single" w:sz="4" w:space="0" w:color="009EEA"/>
              <w:right w:val="single" w:sz="4" w:space="0" w:color="009EEA"/>
            </w:tcBorders>
          </w:tcPr>
          <w:p>
            <w:pPr/>
          </w:p>
        </w:tc>
        <w:tc>
          <w:tcPr>
            <w:tcW w:w="97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3"/>
              <w:ind w:left="98" w:right="0"/>
              <w:jc w:val="center"/>
              <w:rPr>
                <w:rFonts w:ascii="Arial" w:hAnsi="Arial" w:cs="Arial" w:eastAsia="Arial" w:hint="default"/>
                <w:sz w:val="20"/>
                <w:szCs w:val="20"/>
              </w:rPr>
            </w:pPr>
            <w:r>
              <w:rPr>
                <w:rFonts w:ascii="Arial"/>
                <w:w w:val="80"/>
                <w:sz w:val="20"/>
              </w:rPr>
              <w:t>741,507.94</w:t>
            </w:r>
            <w:r>
              <w:rPr>
                <w:rFonts w:ascii="Arial"/>
                <w:sz w:val="20"/>
              </w:rPr>
            </w:r>
          </w:p>
        </w:tc>
        <w:tc>
          <w:tcPr>
            <w:tcW w:w="506" w:type="dxa"/>
            <w:tcBorders>
              <w:top w:val="single" w:sz="4" w:space="0" w:color="009EEA"/>
              <w:left w:val="single" w:sz="4" w:space="0" w:color="009EEA"/>
              <w:bottom w:val="single" w:sz="4" w:space="0" w:color="009EEA"/>
              <w:right w:val="single" w:sz="4" w:space="0" w:color="009EEA"/>
            </w:tcBorders>
          </w:tcPr>
          <w:p>
            <w:pPr/>
          </w:p>
        </w:tc>
        <w:tc>
          <w:tcPr>
            <w:tcW w:w="1340" w:type="dxa"/>
            <w:tcBorders>
              <w:top w:val="single" w:sz="4" w:space="0" w:color="009EEA"/>
              <w:left w:val="single" w:sz="4" w:space="0" w:color="009EEA"/>
              <w:bottom w:val="single" w:sz="4" w:space="0" w:color="009EEA"/>
              <w:right w:val="single" w:sz="4" w:space="0" w:color="009EEA"/>
            </w:tcBorders>
          </w:tcPr>
          <w:p>
            <w:pPr/>
          </w:p>
        </w:tc>
        <w:tc>
          <w:tcPr>
            <w:tcW w:w="1440" w:type="dxa"/>
            <w:tcBorders>
              <w:top w:val="single" w:sz="4" w:space="0" w:color="009EEA"/>
              <w:left w:val="single" w:sz="4" w:space="0" w:color="009EEA"/>
              <w:bottom w:val="single" w:sz="4" w:space="0" w:color="009EEA"/>
              <w:right w:val="single" w:sz="4" w:space="0" w:color="009EEA"/>
            </w:tcBorders>
          </w:tcPr>
          <w:p>
            <w:pPr/>
          </w:p>
        </w:tc>
        <w:tc>
          <w:tcPr>
            <w:tcW w:w="134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3"/>
              <w:ind w:right="19"/>
              <w:jc w:val="right"/>
              <w:rPr>
                <w:rFonts w:ascii="Arial" w:hAnsi="Arial" w:cs="Arial" w:eastAsia="Arial" w:hint="default"/>
                <w:sz w:val="20"/>
                <w:szCs w:val="20"/>
              </w:rPr>
            </w:pPr>
            <w:r>
              <w:rPr>
                <w:rFonts w:ascii="Arial"/>
                <w:w w:val="80"/>
                <w:sz w:val="20"/>
              </w:rPr>
              <w:t>741,507.94</w:t>
            </w:r>
            <w:r>
              <w:rPr>
                <w:rFonts w:ascii="Arial"/>
                <w:sz w:val="20"/>
              </w:rPr>
            </w:r>
          </w:p>
        </w:tc>
        <w:tc>
          <w:tcPr>
            <w:tcW w:w="1298" w:type="dxa"/>
            <w:tcBorders>
              <w:top w:val="single" w:sz="4" w:space="0" w:color="009EEA"/>
              <w:left w:val="single" w:sz="4" w:space="0" w:color="009EEA"/>
              <w:bottom w:val="single" w:sz="4" w:space="0" w:color="009EEA"/>
              <w:right w:val="single" w:sz="4" w:space="0" w:color="009EEA"/>
            </w:tcBorders>
          </w:tcPr>
          <w:p>
            <w:pPr/>
          </w:p>
        </w:tc>
        <w:tc>
          <w:tcPr>
            <w:tcW w:w="134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3"/>
              <w:ind w:right="24"/>
              <w:jc w:val="right"/>
              <w:rPr>
                <w:rFonts w:ascii="Arial" w:hAnsi="Arial" w:cs="Arial" w:eastAsia="Arial" w:hint="default"/>
                <w:sz w:val="20"/>
                <w:szCs w:val="20"/>
              </w:rPr>
            </w:pPr>
            <w:r>
              <w:rPr>
                <w:rFonts w:ascii="Arial"/>
                <w:w w:val="80"/>
                <w:sz w:val="20"/>
              </w:rPr>
              <w:t>741,507.94</w:t>
            </w:r>
            <w:r>
              <w:rPr>
                <w:rFonts w:ascii="Arial"/>
                <w:sz w:val="20"/>
              </w:rPr>
            </w:r>
          </w:p>
        </w:tc>
      </w:tr>
      <w:tr>
        <w:trPr>
          <w:trHeight w:val="293" w:hRule="exact"/>
        </w:trPr>
        <w:tc>
          <w:tcPr>
            <w:tcW w:w="2976" w:type="dxa"/>
            <w:tcBorders>
              <w:top w:val="single" w:sz="4" w:space="0" w:color="009EEA"/>
              <w:left w:val="nil" w:sz="6" w:space="0" w:color="auto"/>
              <w:bottom w:val="single" w:sz="4" w:space="0" w:color="009EEA"/>
              <w:right w:val="single" w:sz="4" w:space="0" w:color="009EEA"/>
            </w:tcBorders>
          </w:tcPr>
          <w:p>
            <w:pPr>
              <w:pStyle w:val="TableParagraph"/>
              <w:spacing w:line="245" w:lineRule="exact"/>
              <w:ind w:left="28"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．其他</w:t>
            </w:r>
          </w:p>
        </w:tc>
        <w:tc>
          <w:tcPr>
            <w:tcW w:w="1340" w:type="dxa"/>
            <w:tcBorders>
              <w:top w:val="single" w:sz="4" w:space="0" w:color="009EEA"/>
              <w:left w:val="single" w:sz="4" w:space="0" w:color="009EEA"/>
              <w:bottom w:val="single" w:sz="4" w:space="0" w:color="009EEA"/>
              <w:right w:val="single" w:sz="4" w:space="0" w:color="009EEA"/>
            </w:tcBorders>
          </w:tcPr>
          <w:p>
            <w:pPr/>
          </w:p>
        </w:tc>
        <w:tc>
          <w:tcPr>
            <w:tcW w:w="1339" w:type="dxa"/>
            <w:tcBorders>
              <w:top w:val="single" w:sz="4" w:space="0" w:color="009EEA"/>
              <w:left w:val="single" w:sz="4" w:space="0" w:color="009EEA"/>
              <w:bottom w:val="single" w:sz="4" w:space="0" w:color="009EEA"/>
              <w:right w:val="single" w:sz="4" w:space="0" w:color="009EEA"/>
            </w:tcBorders>
          </w:tcPr>
          <w:p>
            <w:pPr/>
          </w:p>
        </w:tc>
        <w:tc>
          <w:tcPr>
            <w:tcW w:w="972" w:type="dxa"/>
            <w:tcBorders>
              <w:top w:val="single" w:sz="4" w:space="0" w:color="009EEA"/>
              <w:left w:val="single" w:sz="4" w:space="0" w:color="009EEA"/>
              <w:bottom w:val="single" w:sz="4" w:space="0" w:color="009EEA"/>
              <w:right w:val="single" w:sz="4" w:space="0" w:color="009EEA"/>
            </w:tcBorders>
          </w:tcPr>
          <w:p>
            <w:pPr/>
          </w:p>
        </w:tc>
        <w:tc>
          <w:tcPr>
            <w:tcW w:w="506" w:type="dxa"/>
            <w:tcBorders>
              <w:top w:val="single" w:sz="4" w:space="0" w:color="009EEA"/>
              <w:left w:val="single" w:sz="4" w:space="0" w:color="009EEA"/>
              <w:bottom w:val="single" w:sz="4" w:space="0" w:color="009EEA"/>
              <w:right w:val="single" w:sz="4" w:space="0" w:color="009EEA"/>
            </w:tcBorders>
          </w:tcPr>
          <w:p>
            <w:pPr/>
          </w:p>
        </w:tc>
        <w:tc>
          <w:tcPr>
            <w:tcW w:w="1340" w:type="dxa"/>
            <w:tcBorders>
              <w:top w:val="single" w:sz="4" w:space="0" w:color="009EEA"/>
              <w:left w:val="single" w:sz="4" w:space="0" w:color="009EEA"/>
              <w:bottom w:val="single" w:sz="4" w:space="0" w:color="009EEA"/>
              <w:right w:val="single" w:sz="4" w:space="0" w:color="009EEA"/>
            </w:tcBorders>
          </w:tcPr>
          <w:p>
            <w:pPr/>
          </w:p>
        </w:tc>
        <w:tc>
          <w:tcPr>
            <w:tcW w:w="1440" w:type="dxa"/>
            <w:tcBorders>
              <w:top w:val="single" w:sz="4" w:space="0" w:color="009EEA"/>
              <w:left w:val="single" w:sz="4" w:space="0" w:color="009EEA"/>
              <w:bottom w:val="single" w:sz="4" w:space="0" w:color="009EEA"/>
              <w:right w:val="single" w:sz="4" w:space="0" w:color="009EEA"/>
            </w:tcBorders>
          </w:tcPr>
          <w:p>
            <w:pPr/>
          </w:p>
        </w:tc>
        <w:tc>
          <w:tcPr>
            <w:tcW w:w="1340" w:type="dxa"/>
            <w:tcBorders>
              <w:top w:val="single" w:sz="4" w:space="0" w:color="009EEA"/>
              <w:left w:val="single" w:sz="4" w:space="0" w:color="009EEA"/>
              <w:bottom w:val="single" w:sz="4" w:space="0" w:color="009EEA"/>
              <w:right w:val="single" w:sz="4" w:space="0" w:color="009EEA"/>
            </w:tcBorders>
          </w:tcPr>
          <w:p>
            <w:pPr/>
          </w:p>
        </w:tc>
        <w:tc>
          <w:tcPr>
            <w:tcW w:w="1298" w:type="dxa"/>
            <w:tcBorders>
              <w:top w:val="single" w:sz="4" w:space="0" w:color="009EEA"/>
              <w:left w:val="single" w:sz="4" w:space="0" w:color="009EEA"/>
              <w:bottom w:val="single" w:sz="4" w:space="0" w:color="009EEA"/>
              <w:right w:val="single" w:sz="4" w:space="0" w:color="009EEA"/>
            </w:tcBorders>
          </w:tcPr>
          <w:p>
            <w:pPr/>
          </w:p>
        </w:tc>
        <w:tc>
          <w:tcPr>
            <w:tcW w:w="1342" w:type="dxa"/>
            <w:tcBorders>
              <w:top w:val="single" w:sz="4" w:space="0" w:color="009EEA"/>
              <w:left w:val="single" w:sz="4" w:space="0" w:color="009EEA"/>
              <w:bottom w:val="single" w:sz="4" w:space="0" w:color="009EEA"/>
              <w:right w:val="nil" w:sz="6" w:space="0" w:color="auto"/>
            </w:tcBorders>
          </w:tcPr>
          <w:p>
            <w:pPr/>
          </w:p>
        </w:tc>
      </w:tr>
      <w:tr>
        <w:trPr>
          <w:trHeight w:val="295" w:hRule="exact"/>
        </w:trPr>
        <w:tc>
          <w:tcPr>
            <w:tcW w:w="2976" w:type="dxa"/>
            <w:tcBorders>
              <w:top w:val="single" w:sz="4" w:space="0" w:color="009EEA"/>
              <w:left w:val="nil" w:sz="6" w:space="0" w:color="auto"/>
              <w:bottom w:val="single" w:sz="4" w:space="0" w:color="009EEA"/>
              <w:right w:val="single" w:sz="4" w:space="0" w:color="009EEA"/>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40" w:type="dxa"/>
            <w:tcBorders>
              <w:top w:val="single" w:sz="4" w:space="0" w:color="009EEA"/>
              <w:left w:val="single" w:sz="4" w:space="0" w:color="009EEA"/>
              <w:bottom w:val="single" w:sz="4" w:space="0" w:color="009EEA"/>
              <w:right w:val="single" w:sz="4" w:space="0" w:color="009EEA"/>
            </w:tcBorders>
          </w:tcPr>
          <w:p>
            <w:pPr/>
          </w:p>
        </w:tc>
        <w:tc>
          <w:tcPr>
            <w:tcW w:w="1339" w:type="dxa"/>
            <w:tcBorders>
              <w:top w:val="single" w:sz="4" w:space="0" w:color="009EEA"/>
              <w:left w:val="single" w:sz="4" w:space="0" w:color="009EEA"/>
              <w:bottom w:val="single" w:sz="4" w:space="0" w:color="009EEA"/>
              <w:right w:val="single" w:sz="4" w:space="0" w:color="009EEA"/>
            </w:tcBorders>
          </w:tcPr>
          <w:p>
            <w:pPr/>
          </w:p>
        </w:tc>
        <w:tc>
          <w:tcPr>
            <w:tcW w:w="972" w:type="dxa"/>
            <w:tcBorders>
              <w:top w:val="single" w:sz="4" w:space="0" w:color="009EEA"/>
              <w:left w:val="single" w:sz="4" w:space="0" w:color="009EEA"/>
              <w:bottom w:val="single" w:sz="4" w:space="0" w:color="009EEA"/>
              <w:right w:val="single" w:sz="4" w:space="0" w:color="009EEA"/>
            </w:tcBorders>
          </w:tcPr>
          <w:p>
            <w:pPr/>
          </w:p>
        </w:tc>
        <w:tc>
          <w:tcPr>
            <w:tcW w:w="506" w:type="dxa"/>
            <w:tcBorders>
              <w:top w:val="single" w:sz="4" w:space="0" w:color="009EEA"/>
              <w:left w:val="single" w:sz="4" w:space="0" w:color="009EEA"/>
              <w:bottom w:val="single" w:sz="4" w:space="0" w:color="009EEA"/>
              <w:right w:val="single" w:sz="4" w:space="0" w:color="009EEA"/>
            </w:tcBorders>
          </w:tcPr>
          <w:p>
            <w:pPr/>
          </w:p>
        </w:tc>
        <w:tc>
          <w:tcPr>
            <w:tcW w:w="1340" w:type="dxa"/>
            <w:tcBorders>
              <w:top w:val="single" w:sz="4" w:space="0" w:color="009EEA"/>
              <w:left w:val="single" w:sz="4" w:space="0" w:color="009EEA"/>
              <w:bottom w:val="single" w:sz="4" w:space="0" w:color="009EEA"/>
              <w:right w:val="single" w:sz="4" w:space="0" w:color="009EEA"/>
            </w:tcBorders>
          </w:tcPr>
          <w:p>
            <w:pPr/>
          </w:p>
        </w:tc>
        <w:tc>
          <w:tcPr>
            <w:tcW w:w="1440" w:type="dxa"/>
            <w:tcBorders>
              <w:top w:val="single" w:sz="4" w:space="0" w:color="009EEA"/>
              <w:left w:val="single" w:sz="4" w:space="0" w:color="009EEA"/>
              <w:bottom w:val="single" w:sz="4" w:space="0" w:color="009EEA"/>
              <w:right w:val="single" w:sz="4" w:space="0" w:color="009EEA"/>
            </w:tcBorders>
          </w:tcPr>
          <w:p>
            <w:pPr/>
          </w:p>
        </w:tc>
        <w:tc>
          <w:tcPr>
            <w:tcW w:w="1340" w:type="dxa"/>
            <w:tcBorders>
              <w:top w:val="single" w:sz="4" w:space="0" w:color="009EEA"/>
              <w:left w:val="single" w:sz="4" w:space="0" w:color="009EEA"/>
              <w:bottom w:val="single" w:sz="4" w:space="0" w:color="009EEA"/>
              <w:right w:val="single" w:sz="4" w:space="0" w:color="009EEA"/>
            </w:tcBorders>
          </w:tcPr>
          <w:p>
            <w:pPr/>
          </w:p>
        </w:tc>
        <w:tc>
          <w:tcPr>
            <w:tcW w:w="1298" w:type="dxa"/>
            <w:tcBorders>
              <w:top w:val="single" w:sz="4" w:space="0" w:color="009EEA"/>
              <w:left w:val="single" w:sz="4" w:space="0" w:color="009EEA"/>
              <w:bottom w:val="single" w:sz="4" w:space="0" w:color="009EEA"/>
              <w:right w:val="single" w:sz="4" w:space="0" w:color="009EEA"/>
            </w:tcBorders>
          </w:tcPr>
          <w:p>
            <w:pPr/>
          </w:p>
        </w:tc>
        <w:tc>
          <w:tcPr>
            <w:tcW w:w="1342" w:type="dxa"/>
            <w:tcBorders>
              <w:top w:val="single" w:sz="4" w:space="0" w:color="009EEA"/>
              <w:left w:val="single" w:sz="4" w:space="0" w:color="009EEA"/>
              <w:bottom w:val="single" w:sz="4" w:space="0" w:color="009EEA"/>
              <w:right w:val="nil" w:sz="6" w:space="0" w:color="auto"/>
            </w:tcBorders>
          </w:tcPr>
          <w:p>
            <w:pPr/>
          </w:p>
        </w:tc>
      </w:tr>
      <w:tr>
        <w:trPr>
          <w:trHeight w:val="293" w:hRule="exact"/>
        </w:trPr>
        <w:tc>
          <w:tcPr>
            <w:tcW w:w="2976" w:type="dxa"/>
            <w:tcBorders>
              <w:top w:val="single" w:sz="4" w:space="0" w:color="009EEA"/>
              <w:left w:val="nil" w:sz="6" w:space="0" w:color="auto"/>
              <w:bottom w:val="single" w:sz="4" w:space="0" w:color="009EEA"/>
              <w:right w:val="single" w:sz="4" w:space="0" w:color="009EEA"/>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40" w:type="dxa"/>
            <w:tcBorders>
              <w:top w:val="single" w:sz="4" w:space="0" w:color="009EEA"/>
              <w:left w:val="single" w:sz="4" w:space="0" w:color="009EEA"/>
              <w:bottom w:val="single" w:sz="4" w:space="0" w:color="009EEA"/>
              <w:right w:val="single" w:sz="4" w:space="0" w:color="009EEA"/>
            </w:tcBorders>
          </w:tcPr>
          <w:p>
            <w:pPr/>
          </w:p>
        </w:tc>
        <w:tc>
          <w:tcPr>
            <w:tcW w:w="1339" w:type="dxa"/>
            <w:tcBorders>
              <w:top w:val="single" w:sz="4" w:space="0" w:color="009EEA"/>
              <w:left w:val="single" w:sz="4" w:space="0" w:color="009EEA"/>
              <w:bottom w:val="single" w:sz="4" w:space="0" w:color="009EEA"/>
              <w:right w:val="single" w:sz="4" w:space="0" w:color="009EEA"/>
            </w:tcBorders>
          </w:tcPr>
          <w:p>
            <w:pPr/>
          </w:p>
        </w:tc>
        <w:tc>
          <w:tcPr>
            <w:tcW w:w="972" w:type="dxa"/>
            <w:tcBorders>
              <w:top w:val="single" w:sz="4" w:space="0" w:color="009EEA"/>
              <w:left w:val="single" w:sz="4" w:space="0" w:color="009EEA"/>
              <w:bottom w:val="single" w:sz="4" w:space="0" w:color="009EEA"/>
              <w:right w:val="single" w:sz="4" w:space="0" w:color="009EEA"/>
            </w:tcBorders>
          </w:tcPr>
          <w:p>
            <w:pPr/>
          </w:p>
        </w:tc>
        <w:tc>
          <w:tcPr>
            <w:tcW w:w="506" w:type="dxa"/>
            <w:tcBorders>
              <w:top w:val="single" w:sz="4" w:space="0" w:color="009EEA"/>
              <w:left w:val="single" w:sz="4" w:space="0" w:color="009EEA"/>
              <w:bottom w:val="single" w:sz="4" w:space="0" w:color="009EEA"/>
              <w:right w:val="single" w:sz="4" w:space="0" w:color="009EEA"/>
            </w:tcBorders>
          </w:tcPr>
          <w:p>
            <w:pPr/>
          </w:p>
        </w:tc>
        <w:tc>
          <w:tcPr>
            <w:tcW w:w="134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1"/>
              <w:ind w:right="19"/>
              <w:jc w:val="right"/>
              <w:rPr>
                <w:rFonts w:ascii="Arial" w:hAnsi="Arial" w:cs="Arial" w:eastAsia="Arial" w:hint="default"/>
                <w:sz w:val="20"/>
                <w:szCs w:val="20"/>
              </w:rPr>
            </w:pPr>
            <w:r>
              <w:rPr>
                <w:rFonts w:ascii="Arial"/>
                <w:w w:val="80"/>
                <w:sz w:val="20"/>
              </w:rPr>
              <w:t>-111,226.19</w:t>
            </w:r>
            <w:r>
              <w:rPr>
                <w:rFonts w:ascii="Arial"/>
                <w:sz w:val="20"/>
              </w:rPr>
            </w:r>
          </w:p>
        </w:tc>
        <w:tc>
          <w:tcPr>
            <w:tcW w:w="144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1"/>
              <w:ind w:right="21"/>
              <w:jc w:val="right"/>
              <w:rPr>
                <w:rFonts w:ascii="Arial" w:hAnsi="Arial" w:cs="Arial" w:eastAsia="Arial" w:hint="default"/>
                <w:sz w:val="20"/>
                <w:szCs w:val="20"/>
              </w:rPr>
            </w:pPr>
            <w:r>
              <w:rPr>
                <w:rFonts w:ascii="Arial"/>
                <w:w w:val="80"/>
                <w:sz w:val="20"/>
              </w:rPr>
              <w:t>-630,281.75</w:t>
            </w:r>
            <w:r>
              <w:rPr>
                <w:rFonts w:ascii="Arial"/>
                <w:sz w:val="20"/>
              </w:rPr>
            </w:r>
          </w:p>
        </w:tc>
        <w:tc>
          <w:tcPr>
            <w:tcW w:w="134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1"/>
              <w:ind w:right="19"/>
              <w:jc w:val="right"/>
              <w:rPr>
                <w:rFonts w:ascii="Arial" w:hAnsi="Arial" w:cs="Arial" w:eastAsia="Arial" w:hint="default"/>
                <w:sz w:val="20"/>
                <w:szCs w:val="20"/>
              </w:rPr>
            </w:pPr>
            <w:r>
              <w:rPr>
                <w:rFonts w:ascii="Arial"/>
                <w:w w:val="80"/>
                <w:sz w:val="20"/>
              </w:rPr>
              <w:t>-741,507.94</w:t>
            </w:r>
            <w:r>
              <w:rPr>
                <w:rFonts w:ascii="Arial"/>
                <w:sz w:val="20"/>
              </w:rPr>
            </w:r>
          </w:p>
        </w:tc>
        <w:tc>
          <w:tcPr>
            <w:tcW w:w="1298" w:type="dxa"/>
            <w:tcBorders>
              <w:top w:val="single" w:sz="4" w:space="0" w:color="009EEA"/>
              <w:left w:val="single" w:sz="4" w:space="0" w:color="009EEA"/>
              <w:bottom w:val="single" w:sz="4" w:space="0" w:color="009EEA"/>
              <w:right w:val="single" w:sz="4" w:space="0" w:color="009EEA"/>
            </w:tcBorders>
          </w:tcPr>
          <w:p>
            <w:pPr/>
          </w:p>
        </w:tc>
        <w:tc>
          <w:tcPr>
            <w:tcW w:w="134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1"/>
              <w:ind w:right="24"/>
              <w:jc w:val="right"/>
              <w:rPr>
                <w:rFonts w:ascii="Arial" w:hAnsi="Arial" w:cs="Arial" w:eastAsia="Arial" w:hint="default"/>
                <w:sz w:val="20"/>
                <w:szCs w:val="20"/>
              </w:rPr>
            </w:pPr>
            <w:r>
              <w:rPr>
                <w:rFonts w:ascii="Arial"/>
                <w:w w:val="80"/>
                <w:sz w:val="20"/>
              </w:rPr>
              <w:t>-741,507.94</w:t>
            </w:r>
            <w:r>
              <w:rPr>
                <w:rFonts w:ascii="Arial"/>
                <w:sz w:val="20"/>
              </w:rPr>
            </w:r>
          </w:p>
        </w:tc>
      </w:tr>
      <w:tr>
        <w:trPr>
          <w:trHeight w:val="302" w:hRule="exact"/>
        </w:trPr>
        <w:tc>
          <w:tcPr>
            <w:tcW w:w="2976" w:type="dxa"/>
            <w:tcBorders>
              <w:top w:val="single" w:sz="4" w:space="0" w:color="009EEA"/>
              <w:left w:val="nil" w:sz="6" w:space="0" w:color="auto"/>
              <w:bottom w:val="single" w:sz="8" w:space="0" w:color="009EEA"/>
              <w:right w:val="single" w:sz="4" w:space="0" w:color="009EEA"/>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40"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23"/>
              <w:ind w:left="31" w:right="0"/>
              <w:jc w:val="left"/>
              <w:rPr>
                <w:rFonts w:ascii="Arial" w:hAnsi="Arial" w:cs="Arial" w:eastAsia="Arial" w:hint="default"/>
                <w:sz w:val="20"/>
                <w:szCs w:val="20"/>
              </w:rPr>
            </w:pPr>
            <w:r>
              <w:rPr>
                <w:rFonts w:ascii="Arial"/>
                <w:w w:val="80"/>
                <w:sz w:val="20"/>
              </w:rPr>
              <w:t>1,777,679,909.00</w:t>
            </w:r>
            <w:r>
              <w:rPr>
                <w:rFonts w:ascii="Arial"/>
                <w:sz w:val="20"/>
              </w:rPr>
            </w:r>
          </w:p>
        </w:tc>
        <w:tc>
          <w:tcPr>
            <w:tcW w:w="133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23"/>
              <w:ind w:left="9" w:right="0"/>
              <w:jc w:val="center"/>
              <w:rPr>
                <w:rFonts w:ascii="Arial" w:hAnsi="Arial" w:cs="Arial" w:eastAsia="Arial" w:hint="default"/>
                <w:sz w:val="20"/>
                <w:szCs w:val="20"/>
              </w:rPr>
            </w:pPr>
            <w:r>
              <w:rPr>
                <w:rFonts w:ascii="Arial"/>
                <w:w w:val="80"/>
                <w:sz w:val="20"/>
              </w:rPr>
              <w:t>2,420,221,207.29</w:t>
            </w:r>
            <w:r>
              <w:rPr>
                <w:rFonts w:ascii="Arial"/>
                <w:sz w:val="20"/>
              </w:rPr>
            </w:r>
          </w:p>
        </w:tc>
        <w:tc>
          <w:tcPr>
            <w:tcW w:w="97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23"/>
              <w:ind w:left="98" w:right="0"/>
              <w:jc w:val="center"/>
              <w:rPr>
                <w:rFonts w:ascii="Arial" w:hAnsi="Arial" w:cs="Arial" w:eastAsia="Arial" w:hint="default"/>
                <w:sz w:val="20"/>
                <w:szCs w:val="20"/>
              </w:rPr>
            </w:pPr>
            <w:r>
              <w:rPr>
                <w:rFonts w:ascii="Arial"/>
                <w:w w:val="80"/>
                <w:sz w:val="20"/>
              </w:rPr>
              <w:t>153,310.00</w:t>
            </w:r>
            <w:r>
              <w:rPr>
                <w:rFonts w:ascii="Arial"/>
                <w:sz w:val="20"/>
              </w:rPr>
            </w:r>
          </w:p>
        </w:tc>
        <w:tc>
          <w:tcPr>
            <w:tcW w:w="506" w:type="dxa"/>
            <w:tcBorders>
              <w:top w:val="single" w:sz="4" w:space="0" w:color="009EEA"/>
              <w:left w:val="single" w:sz="4" w:space="0" w:color="009EEA"/>
              <w:bottom w:val="single" w:sz="8" w:space="0" w:color="009EEA"/>
              <w:right w:val="single" w:sz="4" w:space="0" w:color="009EEA"/>
            </w:tcBorders>
          </w:tcPr>
          <w:p>
            <w:pPr/>
          </w:p>
        </w:tc>
        <w:tc>
          <w:tcPr>
            <w:tcW w:w="1340"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23"/>
              <w:ind w:right="20"/>
              <w:jc w:val="right"/>
              <w:rPr>
                <w:rFonts w:ascii="Arial" w:hAnsi="Arial" w:cs="Arial" w:eastAsia="Arial" w:hint="default"/>
                <w:sz w:val="20"/>
                <w:szCs w:val="20"/>
              </w:rPr>
            </w:pPr>
            <w:r>
              <w:rPr>
                <w:rFonts w:ascii="Arial"/>
                <w:spacing w:val="-1"/>
                <w:w w:val="80"/>
                <w:sz w:val="20"/>
              </w:rPr>
              <w:t>1,637,812,988.88</w:t>
            </w:r>
            <w:r>
              <w:rPr>
                <w:rFonts w:ascii="Arial"/>
                <w:spacing w:val="-1"/>
                <w:sz w:val="20"/>
              </w:rPr>
            </w:r>
          </w:p>
        </w:tc>
        <w:tc>
          <w:tcPr>
            <w:tcW w:w="1440"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23"/>
              <w:ind w:right="21"/>
              <w:jc w:val="right"/>
              <w:rPr>
                <w:rFonts w:ascii="Arial" w:hAnsi="Arial" w:cs="Arial" w:eastAsia="Arial" w:hint="default"/>
                <w:sz w:val="20"/>
                <w:szCs w:val="20"/>
              </w:rPr>
            </w:pPr>
            <w:r>
              <w:rPr>
                <w:rFonts w:ascii="Arial"/>
                <w:w w:val="80"/>
                <w:sz w:val="20"/>
              </w:rPr>
              <w:t>812,309,782.43</w:t>
            </w:r>
            <w:r>
              <w:rPr>
                <w:rFonts w:ascii="Arial"/>
                <w:sz w:val="20"/>
              </w:rPr>
            </w:r>
          </w:p>
        </w:tc>
        <w:tc>
          <w:tcPr>
            <w:tcW w:w="1340"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23"/>
              <w:ind w:right="20"/>
              <w:jc w:val="right"/>
              <w:rPr>
                <w:rFonts w:ascii="Arial" w:hAnsi="Arial" w:cs="Arial" w:eastAsia="Arial" w:hint="default"/>
                <w:sz w:val="20"/>
                <w:szCs w:val="20"/>
              </w:rPr>
            </w:pPr>
            <w:r>
              <w:rPr>
                <w:rFonts w:ascii="Arial"/>
                <w:spacing w:val="-1"/>
                <w:w w:val="80"/>
                <w:sz w:val="20"/>
              </w:rPr>
              <w:t>6,648,177,197.60</w:t>
            </w:r>
            <w:r>
              <w:rPr>
                <w:rFonts w:ascii="Arial"/>
                <w:spacing w:val="-1"/>
                <w:sz w:val="20"/>
              </w:rPr>
            </w:r>
          </w:p>
        </w:tc>
        <w:tc>
          <w:tcPr>
            <w:tcW w:w="1298"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23"/>
              <w:ind w:left="50" w:right="0"/>
              <w:jc w:val="center"/>
              <w:rPr>
                <w:rFonts w:ascii="Arial" w:hAnsi="Arial" w:cs="Arial" w:eastAsia="Arial" w:hint="default"/>
                <w:sz w:val="20"/>
                <w:szCs w:val="20"/>
              </w:rPr>
            </w:pPr>
            <w:r>
              <w:rPr>
                <w:rFonts w:ascii="Arial"/>
                <w:w w:val="80"/>
                <w:sz w:val="20"/>
              </w:rPr>
              <w:t>-218,363,362.55</w:t>
            </w:r>
            <w:r>
              <w:rPr>
                <w:rFonts w:ascii="Arial"/>
                <w:sz w:val="20"/>
              </w:rPr>
            </w:r>
          </w:p>
        </w:tc>
        <w:tc>
          <w:tcPr>
            <w:tcW w:w="1342"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23"/>
              <w:ind w:right="24"/>
              <w:jc w:val="right"/>
              <w:rPr>
                <w:rFonts w:ascii="Arial" w:hAnsi="Arial" w:cs="Arial" w:eastAsia="Arial" w:hint="default"/>
                <w:sz w:val="20"/>
                <w:szCs w:val="20"/>
              </w:rPr>
            </w:pPr>
            <w:r>
              <w:rPr>
                <w:rFonts w:ascii="Arial"/>
                <w:spacing w:val="-1"/>
                <w:w w:val="80"/>
                <w:sz w:val="20"/>
              </w:rPr>
              <w:t>6,429,813,835.05</w:t>
            </w:r>
            <w:r>
              <w:rPr>
                <w:rFonts w:ascii="Arial"/>
                <w:spacing w:val="-1"/>
                <w:sz w:val="20"/>
              </w:rPr>
            </w:r>
          </w:p>
        </w:tc>
      </w:tr>
    </w:tbl>
    <w:p>
      <w:pPr>
        <w:spacing w:line="240" w:lineRule="auto" w:before="11"/>
        <w:rPr>
          <w:rFonts w:ascii="宋体" w:hAnsi="宋体" w:cs="宋体" w:eastAsia="宋体" w:hint="default"/>
          <w:sz w:val="2"/>
          <w:szCs w:val="2"/>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695.65pt;height:1pt;mso-position-horizontal-relative:char;mso-position-vertical-relative:line" coordorigin="0,0" coordsize="13913,20">
            <v:group style="position:absolute;left:10;top:10;width:2972;height:2" coordorigin="10,10" coordsize="2972,2">
              <v:shape style="position:absolute;left:10;top:10;width:2972;height:2" coordorigin="10,10" coordsize="2972,0" path="m10,10l2981,10e" filled="false" stroked="true" strokeweight=".95999pt" strokecolor="#009eea">
                <v:path arrowok="t"/>
              </v:shape>
            </v:group>
            <v:group style="position:absolute;left:2981;top:10;width:58;height:2" coordorigin="2981,10" coordsize="58,2">
              <v:shape style="position:absolute;left:2981;top:10;width:58;height:2" coordorigin="2981,10" coordsize="58,0" path="m2981,10l3039,10e" filled="false" stroked="true" strokeweight=".95999pt" strokecolor="#009eea">
                <v:path arrowok="t"/>
              </v:shape>
            </v:group>
            <v:group style="position:absolute;left:3039;top:10;width:1283;height:2" coordorigin="3039,10" coordsize="1283,2">
              <v:shape style="position:absolute;left:3039;top:10;width:1283;height:2" coordorigin="3039,10" coordsize="1283,0" path="m3039,10l4321,10e" filled="false" stroked="true" strokeweight=".95999pt" strokecolor="#009eea">
                <v:path arrowok="t"/>
              </v:shape>
            </v:group>
            <v:group style="position:absolute;left:4321;top:10;width:58;height:2" coordorigin="4321,10" coordsize="58,2">
              <v:shape style="position:absolute;left:4321;top:10;width:58;height:2" coordorigin="4321,10" coordsize="58,0" path="m4321,10l4379,10e" filled="false" stroked="true" strokeweight=".95999pt" strokecolor="#009eea">
                <v:path arrowok="t"/>
              </v:shape>
            </v:group>
            <v:group style="position:absolute;left:4379;top:10;width:1282;height:2" coordorigin="4379,10" coordsize="1282,2">
              <v:shape style="position:absolute;left:4379;top:10;width:1282;height:2" coordorigin="4379,10" coordsize="1282,0" path="m4379,10l5660,10e" filled="false" stroked="true" strokeweight=".95999pt" strokecolor="#009eea">
                <v:path arrowok="t"/>
              </v:shape>
            </v:group>
            <v:group style="position:absolute;left:5660;top:10;width:58;height:2" coordorigin="5660,10" coordsize="58,2">
              <v:shape style="position:absolute;left:5660;top:10;width:58;height:2" coordorigin="5660,10" coordsize="58,0" path="m5660,10l5718,10e" filled="false" stroked="true" strokeweight=".95999pt" strokecolor="#009eea">
                <v:path arrowok="t"/>
              </v:shape>
            </v:group>
            <v:group style="position:absolute;left:5718;top:10;width:915;height:2" coordorigin="5718,10" coordsize="915,2">
              <v:shape style="position:absolute;left:5718;top:10;width:915;height:2" coordorigin="5718,10" coordsize="915,0" path="m5718,10l6632,10e" filled="false" stroked="true" strokeweight=".95999pt" strokecolor="#009eea">
                <v:path arrowok="t"/>
              </v:shape>
            </v:group>
            <v:group style="position:absolute;left:6632;top:10;width:58;height:2" coordorigin="6632,10" coordsize="58,2">
              <v:shape style="position:absolute;left:6632;top:10;width:58;height:2" coordorigin="6632,10" coordsize="58,0" path="m6632,10l6690,10e" filled="false" stroked="true" strokeweight=".95999pt" strokecolor="#009eea">
                <v:path arrowok="t"/>
              </v:shape>
            </v:group>
            <v:group style="position:absolute;left:6690;top:10;width:449;height:2" coordorigin="6690,10" coordsize="449,2">
              <v:shape style="position:absolute;left:6690;top:10;width:449;height:2" coordorigin="6690,10" coordsize="449,0" path="m6690,10l7139,10e" filled="false" stroked="true" strokeweight=".95999pt" strokecolor="#009eea">
                <v:path arrowok="t"/>
              </v:shape>
            </v:group>
            <v:group style="position:absolute;left:7139;top:10;width:58;height:2" coordorigin="7139,10" coordsize="58,2">
              <v:shape style="position:absolute;left:7139;top:10;width:58;height:2" coordorigin="7139,10" coordsize="58,0" path="m7139,10l7196,10e" filled="false" stroked="true" strokeweight=".95999pt" strokecolor="#009eea">
                <v:path arrowok="t"/>
              </v:shape>
            </v:group>
            <v:group style="position:absolute;left:7196;top:10;width:1283;height:2" coordorigin="7196,10" coordsize="1283,2">
              <v:shape style="position:absolute;left:7196;top:10;width:1283;height:2" coordorigin="7196,10" coordsize="1283,0" path="m7196,10l8478,10e" filled="false" stroked="true" strokeweight=".95999pt" strokecolor="#009eea">
                <v:path arrowok="t"/>
              </v:shape>
            </v:group>
            <v:group style="position:absolute;left:8478;top:10;width:58;height:2" coordorigin="8478,10" coordsize="58,2">
              <v:shape style="position:absolute;left:8478;top:10;width:58;height:2" coordorigin="8478,10" coordsize="58,0" path="m8478,10l8536,10e" filled="false" stroked="true" strokeweight=".95999pt" strokecolor="#009eea">
                <v:path arrowok="t"/>
              </v:shape>
            </v:group>
            <v:group style="position:absolute;left:8536;top:10;width:1383;height:2" coordorigin="8536,10" coordsize="1383,2">
              <v:shape style="position:absolute;left:8536;top:10;width:1383;height:2" coordorigin="8536,10" coordsize="1383,0" path="m8536,10l9918,10e" filled="false" stroked="true" strokeweight=".95999pt" strokecolor="#009eea">
                <v:path arrowok="t"/>
              </v:shape>
            </v:group>
            <v:group style="position:absolute;left:9918;top:10;width:58;height:2" coordorigin="9918,10" coordsize="58,2">
              <v:shape style="position:absolute;left:9918;top:10;width:58;height:2" coordorigin="9918,10" coordsize="58,0" path="m9918,10l9976,10e" filled="false" stroked="true" strokeweight=".95999pt" strokecolor="#009eea">
                <v:path arrowok="t"/>
              </v:shape>
            </v:group>
            <v:group style="position:absolute;left:9976;top:10;width:1283;height:2" coordorigin="9976,10" coordsize="1283,2">
              <v:shape style="position:absolute;left:9976;top:10;width:1283;height:2" coordorigin="9976,10" coordsize="1283,0" path="m9976,10l11258,10e" filled="false" stroked="true" strokeweight=".95999pt" strokecolor="#009eea">
                <v:path arrowok="t"/>
              </v:shape>
            </v:group>
            <v:group style="position:absolute;left:11258;top:10;width:58;height:2" coordorigin="11258,10" coordsize="58,2">
              <v:shape style="position:absolute;left:11258;top:10;width:58;height:2" coordorigin="11258,10" coordsize="58,0" path="m11258,10l11316,10e" filled="false" stroked="true" strokeweight=".95999pt" strokecolor="#009eea">
                <v:path arrowok="t"/>
              </v:shape>
            </v:group>
            <v:group style="position:absolute;left:11316;top:10;width:1241;height:2" coordorigin="11316,10" coordsize="1241,2">
              <v:shape style="position:absolute;left:11316;top:10;width:1241;height:2" coordorigin="11316,10" coordsize="1241,0" path="m11316,10l12556,10e" filled="false" stroked="true" strokeweight=".95999pt" strokecolor="#009eea">
                <v:path arrowok="t"/>
              </v:shape>
            </v:group>
            <v:group style="position:absolute;left:12556;top:10;width:58;height:2" coordorigin="12556,10" coordsize="58,2">
              <v:shape style="position:absolute;left:12556;top:10;width:58;height:2" coordorigin="12556,10" coordsize="58,0" path="m12556,10l12614,10e" filled="false" stroked="true" strokeweight=".95999pt" strokecolor="#009eea">
                <v:path arrowok="t"/>
              </v:shape>
            </v:group>
            <v:group style="position:absolute;left:12614;top:10;width:1289;height:2" coordorigin="12614,10" coordsize="1289,2">
              <v:shape style="position:absolute;left:12614;top:10;width:1289;height:2" coordorigin="12614,10" coordsize="1289,0" path="m12614,10l13903,10e" filled="false" stroked="true" strokeweight=".95999pt" strokecolor="#009ee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6840" w:h="11910" w:orient="landscape"/>
          <w:pgMar w:top="1360" w:bottom="1380" w:left="1380" w:right="1220"/>
        </w:sectPr>
      </w:pPr>
    </w:p>
    <w:p>
      <w:pPr>
        <w:spacing w:line="240" w:lineRule="auto" w:before="11"/>
        <w:rPr>
          <w:rFonts w:ascii="宋体" w:hAnsi="宋体" w:cs="宋体" w:eastAsia="宋体" w:hint="default"/>
          <w:sz w:val="3"/>
          <w:szCs w:val="3"/>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697.55pt;height:1pt;mso-position-horizontal-relative:char;mso-position-vertical-relative:line" coordorigin="0,0" coordsize="13951,20">
            <v:group style="position:absolute;left:10;top:10;width:2835;height:2" coordorigin="10,10" coordsize="2835,2">
              <v:shape style="position:absolute;left:10;top:10;width:2835;height:2" coordorigin="10,10" coordsize="2835,0" path="m10,10l2844,10e" filled="false" stroked="true" strokeweight=".96pt" strokecolor="#009eea">
                <v:path arrowok="t"/>
              </v:shape>
            </v:group>
            <v:group style="position:absolute;left:2844;top:10;width:58;height:2" coordorigin="2844,10" coordsize="58,2">
              <v:shape style="position:absolute;left:2844;top:10;width:58;height:2" coordorigin="2844,10" coordsize="58,0" path="m2844,10l2902,10e" filled="false" stroked="true" strokeweight=".96pt" strokecolor="#009eea">
                <v:path arrowok="t"/>
              </v:shape>
            </v:group>
            <v:group style="position:absolute;left:2902;top:10;width:11039;height:2" coordorigin="2902,10" coordsize="11039,2">
              <v:shape style="position:absolute;left:2902;top:10;width:11039;height:2" coordorigin="2902,10" coordsize="11039,0" path="m2902,10l13941,10e" filled="false" stroked="true" strokeweight=".96pt" strokecolor="#009eea">
                <v:path arrowok="t"/>
              </v:shape>
            </v:group>
          </v:group>
        </w:pict>
      </w:r>
      <w:r>
        <w:rPr>
          <w:rFonts w:ascii="宋体" w:hAnsi="宋体" w:cs="宋体" w:eastAsia="宋体" w:hint="default"/>
          <w:sz w:val="2"/>
          <w:szCs w:val="2"/>
        </w:rPr>
      </w:r>
    </w:p>
    <w:tbl>
      <w:tblPr>
        <w:tblW w:w="0" w:type="auto"/>
        <w:jc w:val="left"/>
        <w:tblInd w:w="105" w:type="dxa"/>
        <w:tblLayout w:type="fixed"/>
        <w:tblCellMar>
          <w:top w:w="0" w:type="dxa"/>
          <w:left w:w="0" w:type="dxa"/>
          <w:bottom w:w="0" w:type="dxa"/>
          <w:right w:w="0" w:type="dxa"/>
        </w:tblCellMar>
        <w:tblLook w:val="01E0"/>
      </w:tblPr>
      <w:tblGrid>
        <w:gridCol w:w="2840"/>
        <w:gridCol w:w="1333"/>
        <w:gridCol w:w="1334"/>
        <w:gridCol w:w="689"/>
        <w:gridCol w:w="1090"/>
        <w:gridCol w:w="1334"/>
        <w:gridCol w:w="1349"/>
        <w:gridCol w:w="1333"/>
        <w:gridCol w:w="1298"/>
        <w:gridCol w:w="1332"/>
      </w:tblGrid>
      <w:tr>
        <w:trPr>
          <w:trHeight w:val="300" w:hRule="exact"/>
        </w:trPr>
        <w:tc>
          <w:tcPr>
            <w:tcW w:w="2840" w:type="dxa"/>
            <w:vMerge w:val="restart"/>
            <w:tcBorders>
              <w:top w:val="single" w:sz="8" w:space="0" w:color="009EEA"/>
              <w:left w:val="nil" w:sz="6" w:space="0" w:color="auto"/>
              <w:right w:val="single" w:sz="4" w:space="0" w:color="009EEA"/>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092" w:type="dxa"/>
            <w:gridSpan w:val="9"/>
            <w:tcBorders>
              <w:top w:val="single" w:sz="8" w:space="0" w:color="009EEA"/>
              <w:left w:val="single" w:sz="4" w:space="0" w:color="009EEA"/>
              <w:bottom w:val="single" w:sz="4" w:space="0" w:color="009EEA"/>
              <w:right w:val="nil" w:sz="6" w:space="0" w:color="auto"/>
            </w:tcBorders>
          </w:tcPr>
          <w:p>
            <w:pPr>
              <w:pStyle w:val="TableParagraph"/>
              <w:spacing w:line="240" w:lineRule="auto" w:before="1"/>
              <w:ind w:left="1589" w:right="0"/>
              <w:jc w:val="center"/>
              <w:rPr>
                <w:rFonts w:ascii="宋体" w:hAnsi="宋体" w:cs="宋体" w:eastAsia="宋体" w:hint="default"/>
                <w:sz w:val="18"/>
                <w:szCs w:val="18"/>
              </w:rPr>
            </w:pPr>
            <w:r>
              <w:rPr>
                <w:rFonts w:ascii="Arial" w:hAnsi="Arial" w:cs="Arial" w:eastAsia="Arial" w:hint="default"/>
                <w:w w:val="90"/>
                <w:sz w:val="18"/>
                <w:szCs w:val="18"/>
              </w:rPr>
              <w:t>2018</w:t>
            </w:r>
            <w:r>
              <w:rPr>
                <w:rFonts w:ascii="Arial" w:hAnsi="Arial" w:cs="Arial" w:eastAsia="Arial" w:hint="default"/>
                <w:spacing w:val="1"/>
                <w:w w:val="90"/>
                <w:sz w:val="18"/>
                <w:szCs w:val="18"/>
              </w:rPr>
              <w:t> </w:t>
            </w:r>
            <w:r>
              <w:rPr>
                <w:rFonts w:ascii="宋体" w:hAnsi="宋体" w:cs="宋体" w:eastAsia="宋体" w:hint="default"/>
                <w:w w:val="90"/>
                <w:sz w:val="18"/>
                <w:szCs w:val="18"/>
              </w:rPr>
              <w:t>年度</w:t>
            </w:r>
          </w:p>
        </w:tc>
      </w:tr>
      <w:tr>
        <w:trPr>
          <w:trHeight w:val="295" w:hRule="exact"/>
        </w:trPr>
        <w:tc>
          <w:tcPr>
            <w:tcW w:w="2840" w:type="dxa"/>
            <w:vMerge/>
            <w:tcBorders>
              <w:left w:val="nil" w:sz="6" w:space="0" w:color="auto"/>
              <w:right w:val="single" w:sz="4" w:space="0" w:color="009EEA"/>
            </w:tcBorders>
          </w:tcPr>
          <w:p>
            <w:pPr/>
          </w:p>
        </w:tc>
        <w:tc>
          <w:tcPr>
            <w:tcW w:w="8462" w:type="dxa"/>
            <w:gridSpan w:val="7"/>
            <w:tcBorders>
              <w:top w:val="single" w:sz="4" w:space="0" w:color="009EEA"/>
              <w:left w:val="single" w:sz="4" w:space="0" w:color="009EEA"/>
              <w:bottom w:val="single" w:sz="4" w:space="0" w:color="009EEA"/>
              <w:right w:val="single" w:sz="4" w:space="0" w:color="009EEA"/>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98" w:type="dxa"/>
            <w:vMerge w:val="restart"/>
            <w:tcBorders>
              <w:top w:val="single" w:sz="4" w:space="0" w:color="009EEA"/>
              <w:left w:val="single" w:sz="4" w:space="0" w:color="009EEA"/>
              <w:right w:val="single" w:sz="4" w:space="0" w:color="009EEA"/>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32" w:type="dxa"/>
            <w:vMerge w:val="restart"/>
            <w:tcBorders>
              <w:top w:val="single" w:sz="4" w:space="0" w:color="009EEA"/>
              <w:left w:val="single" w:sz="4" w:space="0" w:color="009EEA"/>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2840" w:type="dxa"/>
            <w:vMerge/>
            <w:tcBorders>
              <w:left w:val="nil" w:sz="6" w:space="0" w:color="auto"/>
              <w:bottom w:val="single" w:sz="4" w:space="0" w:color="009EEA"/>
              <w:right w:val="single" w:sz="4" w:space="0" w:color="009EEA"/>
            </w:tcBorders>
          </w:tcPr>
          <w:p>
            <w:pPr/>
          </w:p>
        </w:tc>
        <w:tc>
          <w:tcPr>
            <w:tcW w:w="1333" w:type="dxa"/>
            <w:tcBorders>
              <w:top w:val="single" w:sz="4" w:space="0" w:color="009EEA"/>
              <w:left w:val="single" w:sz="4" w:space="0" w:color="009EEA"/>
              <w:bottom w:val="single" w:sz="4" w:space="0" w:color="009EEA"/>
              <w:right w:val="single" w:sz="4" w:space="0" w:color="009EEA"/>
            </w:tcBorders>
          </w:tcPr>
          <w:p>
            <w:pPr>
              <w:pStyle w:val="TableParagraph"/>
              <w:spacing w:line="213" w:lineRule="exact"/>
              <w:ind w:left="302"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4"/>
              <w:ind w:left="321" w:right="0"/>
              <w:jc w:val="left"/>
              <w:rPr>
                <w:rFonts w:ascii="Arial" w:hAnsi="Arial" w:cs="Arial" w:eastAsia="Arial" w:hint="default"/>
                <w:sz w:val="18"/>
                <w:szCs w:val="18"/>
              </w:rPr>
            </w:pPr>
            <w:r>
              <w:rPr>
                <w:rFonts w:ascii="宋体" w:hAnsi="宋体" w:cs="宋体" w:eastAsia="宋体" w:hint="default"/>
                <w:sz w:val="18"/>
                <w:szCs w:val="18"/>
              </w:rPr>
              <w:t>（或股本</w:t>
            </w:r>
            <w:r>
              <w:rPr>
                <w:rFonts w:ascii="Arial" w:hAnsi="Arial" w:cs="Arial" w:eastAsia="Arial" w:hint="default"/>
                <w:sz w:val="18"/>
                <w:szCs w:val="18"/>
              </w:rPr>
              <w:t>)</w:t>
            </w:r>
          </w:p>
        </w:tc>
        <w:tc>
          <w:tcPr>
            <w:tcW w:w="133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689" w:type="dxa"/>
            <w:tcBorders>
              <w:top w:val="single" w:sz="4" w:space="0" w:color="009EEA"/>
              <w:left w:val="single" w:sz="4" w:space="0" w:color="009EEA"/>
              <w:bottom w:val="single" w:sz="4" w:space="0" w:color="009EEA"/>
              <w:right w:val="single" w:sz="4" w:space="0" w:color="009EEA"/>
            </w:tcBorders>
          </w:tcPr>
          <w:p>
            <w:pPr>
              <w:pStyle w:val="TableParagraph"/>
              <w:spacing w:line="213" w:lineRule="exact"/>
              <w:ind w:left="69" w:right="0"/>
              <w:jc w:val="left"/>
              <w:rPr>
                <w:rFonts w:ascii="宋体" w:hAnsi="宋体" w:cs="宋体" w:eastAsia="宋体" w:hint="default"/>
                <w:sz w:val="18"/>
                <w:szCs w:val="18"/>
              </w:rPr>
            </w:pPr>
            <w:r>
              <w:rPr>
                <w:rFonts w:ascii="宋体" w:hAnsi="宋体" w:cs="宋体" w:eastAsia="宋体" w:hint="default"/>
                <w:sz w:val="18"/>
                <w:szCs w:val="18"/>
              </w:rPr>
              <w:t>其他综</w:t>
            </w:r>
          </w:p>
          <w:p>
            <w:pPr>
              <w:pStyle w:val="TableParagraph"/>
              <w:spacing w:line="240" w:lineRule="auto" w:before="4"/>
              <w:ind w:left="69"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109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专项储备</w:t>
            </w:r>
          </w:p>
        </w:tc>
        <w:tc>
          <w:tcPr>
            <w:tcW w:w="133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34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2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98" w:type="dxa"/>
            <w:vMerge/>
            <w:tcBorders>
              <w:left w:val="single" w:sz="4" w:space="0" w:color="009EEA"/>
              <w:bottom w:val="single" w:sz="4" w:space="0" w:color="009EEA"/>
              <w:right w:val="single" w:sz="4" w:space="0" w:color="009EEA"/>
            </w:tcBorders>
          </w:tcPr>
          <w:p>
            <w:pPr/>
          </w:p>
        </w:tc>
        <w:tc>
          <w:tcPr>
            <w:tcW w:w="1332" w:type="dxa"/>
            <w:vMerge/>
            <w:tcBorders>
              <w:left w:val="single" w:sz="4" w:space="0" w:color="009EEA"/>
              <w:bottom w:val="single" w:sz="4" w:space="0" w:color="009EEA"/>
              <w:right w:val="nil" w:sz="6" w:space="0" w:color="auto"/>
            </w:tcBorders>
          </w:tcPr>
          <w:p>
            <w:pPr/>
          </w:p>
        </w:tc>
      </w:tr>
      <w:tr>
        <w:trPr>
          <w:trHeight w:val="293" w:hRule="exact"/>
        </w:trPr>
        <w:tc>
          <w:tcPr>
            <w:tcW w:w="2840" w:type="dxa"/>
            <w:tcBorders>
              <w:top w:val="single" w:sz="4" w:space="0" w:color="009EEA"/>
              <w:left w:val="nil" w:sz="6" w:space="0" w:color="auto"/>
              <w:bottom w:val="single" w:sz="4" w:space="0" w:color="009EEA"/>
              <w:right w:val="single" w:sz="4" w:space="0" w:color="009EEA"/>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1"/>
              <w:ind w:right="20"/>
              <w:jc w:val="right"/>
              <w:rPr>
                <w:rFonts w:ascii="Arial" w:hAnsi="Arial" w:cs="Arial" w:eastAsia="Arial" w:hint="default"/>
                <w:sz w:val="20"/>
                <w:szCs w:val="20"/>
              </w:rPr>
            </w:pPr>
            <w:r>
              <w:rPr>
                <w:rFonts w:ascii="Arial"/>
                <w:spacing w:val="-1"/>
                <w:w w:val="80"/>
                <w:sz w:val="20"/>
              </w:rPr>
              <w:t>1,777,679,909.00</w:t>
            </w:r>
            <w:r>
              <w:rPr>
                <w:rFonts w:ascii="Arial"/>
                <w:spacing w:val="-1"/>
                <w:sz w:val="20"/>
              </w:rPr>
            </w:r>
          </w:p>
        </w:tc>
        <w:tc>
          <w:tcPr>
            <w:tcW w:w="133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1"/>
              <w:ind w:right="0"/>
              <w:jc w:val="center"/>
              <w:rPr>
                <w:rFonts w:ascii="Arial" w:hAnsi="Arial" w:cs="Arial" w:eastAsia="Arial" w:hint="default"/>
                <w:sz w:val="20"/>
                <w:szCs w:val="20"/>
              </w:rPr>
            </w:pPr>
            <w:r>
              <w:rPr>
                <w:rFonts w:ascii="Arial"/>
                <w:w w:val="80"/>
                <w:sz w:val="20"/>
              </w:rPr>
              <w:t>2,420,221,207.29</w:t>
            </w:r>
            <w:r>
              <w:rPr>
                <w:rFonts w:ascii="Arial"/>
                <w:sz w:val="20"/>
              </w:rPr>
            </w:r>
          </w:p>
        </w:tc>
        <w:tc>
          <w:tcPr>
            <w:tcW w:w="689" w:type="dxa"/>
            <w:tcBorders>
              <w:top w:val="single" w:sz="4" w:space="0" w:color="009EEA"/>
              <w:left w:val="single" w:sz="4" w:space="0" w:color="009EEA"/>
              <w:bottom w:val="single" w:sz="4" w:space="0" w:color="009EEA"/>
              <w:right w:val="single" w:sz="4" w:space="0" w:color="009EEA"/>
            </w:tcBorders>
          </w:tcPr>
          <w:p>
            <w:pPr/>
          </w:p>
        </w:tc>
        <w:tc>
          <w:tcPr>
            <w:tcW w:w="109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1"/>
              <w:ind w:left="79" w:right="0"/>
              <w:jc w:val="center"/>
              <w:rPr>
                <w:rFonts w:ascii="Arial" w:hAnsi="Arial" w:cs="Arial" w:eastAsia="Arial" w:hint="default"/>
                <w:sz w:val="20"/>
                <w:szCs w:val="20"/>
              </w:rPr>
            </w:pPr>
            <w:r>
              <w:rPr>
                <w:rFonts w:ascii="Arial"/>
                <w:w w:val="80"/>
                <w:sz w:val="20"/>
              </w:rPr>
              <w:t>3,063,918.37</w:t>
            </w:r>
            <w:r>
              <w:rPr>
                <w:rFonts w:ascii="Arial"/>
                <w:sz w:val="20"/>
              </w:rPr>
            </w:r>
          </w:p>
        </w:tc>
        <w:tc>
          <w:tcPr>
            <w:tcW w:w="133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1"/>
              <w:ind w:right="0"/>
              <w:jc w:val="center"/>
              <w:rPr>
                <w:rFonts w:ascii="Arial" w:hAnsi="Arial" w:cs="Arial" w:eastAsia="Arial" w:hint="default"/>
                <w:sz w:val="20"/>
                <w:szCs w:val="20"/>
              </w:rPr>
            </w:pPr>
            <w:r>
              <w:rPr>
                <w:rFonts w:ascii="Arial"/>
                <w:w w:val="80"/>
                <w:sz w:val="20"/>
              </w:rPr>
              <w:t>1,375,240,410.99</w:t>
            </w:r>
            <w:r>
              <w:rPr>
                <w:rFonts w:ascii="Arial"/>
                <w:sz w:val="20"/>
              </w:rPr>
            </w:r>
          </w:p>
        </w:tc>
        <w:tc>
          <w:tcPr>
            <w:tcW w:w="134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1"/>
              <w:ind w:right="19"/>
              <w:jc w:val="right"/>
              <w:rPr>
                <w:rFonts w:ascii="Arial" w:hAnsi="Arial" w:cs="Arial" w:eastAsia="Arial" w:hint="default"/>
                <w:sz w:val="20"/>
                <w:szCs w:val="20"/>
              </w:rPr>
            </w:pPr>
            <w:r>
              <w:rPr>
                <w:rFonts w:ascii="Arial"/>
                <w:w w:val="80"/>
                <w:sz w:val="20"/>
              </w:rPr>
              <w:t>441,578,459.58</w:t>
            </w:r>
            <w:r>
              <w:rPr>
                <w:rFonts w:ascii="Arial"/>
                <w:sz w:val="20"/>
              </w:rPr>
            </w:r>
          </w:p>
        </w:tc>
        <w:tc>
          <w:tcPr>
            <w:tcW w:w="13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1"/>
              <w:ind w:right="20"/>
              <w:jc w:val="right"/>
              <w:rPr>
                <w:rFonts w:ascii="Arial" w:hAnsi="Arial" w:cs="Arial" w:eastAsia="Arial" w:hint="default"/>
                <w:sz w:val="20"/>
                <w:szCs w:val="20"/>
              </w:rPr>
            </w:pPr>
            <w:r>
              <w:rPr>
                <w:rFonts w:ascii="Arial"/>
                <w:spacing w:val="-1"/>
                <w:w w:val="80"/>
                <w:sz w:val="20"/>
              </w:rPr>
              <w:t>6,017,783,905.23</w:t>
            </w:r>
            <w:r>
              <w:rPr>
                <w:rFonts w:ascii="Arial"/>
                <w:spacing w:val="-1"/>
                <w:sz w:val="20"/>
              </w:rPr>
            </w:r>
          </w:p>
        </w:tc>
        <w:tc>
          <w:tcPr>
            <w:tcW w:w="12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1"/>
              <w:ind w:right="21"/>
              <w:jc w:val="right"/>
              <w:rPr>
                <w:rFonts w:ascii="Arial" w:hAnsi="Arial" w:cs="Arial" w:eastAsia="Arial" w:hint="default"/>
                <w:sz w:val="20"/>
                <w:szCs w:val="20"/>
              </w:rPr>
            </w:pPr>
            <w:r>
              <w:rPr>
                <w:rFonts w:ascii="Arial"/>
                <w:w w:val="80"/>
                <w:sz w:val="20"/>
              </w:rPr>
              <w:t>-142,137,023.38</w:t>
            </w:r>
            <w:r>
              <w:rPr>
                <w:rFonts w:ascii="Arial"/>
                <w:sz w:val="20"/>
              </w:rPr>
            </w:r>
          </w:p>
        </w:tc>
        <w:tc>
          <w:tcPr>
            <w:tcW w:w="13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1"/>
              <w:ind w:right="24"/>
              <w:jc w:val="right"/>
              <w:rPr>
                <w:rFonts w:ascii="Arial" w:hAnsi="Arial" w:cs="Arial" w:eastAsia="Arial" w:hint="default"/>
                <w:sz w:val="20"/>
                <w:szCs w:val="20"/>
              </w:rPr>
            </w:pPr>
            <w:r>
              <w:rPr>
                <w:rFonts w:ascii="Arial"/>
                <w:spacing w:val="-1"/>
                <w:w w:val="80"/>
                <w:sz w:val="20"/>
              </w:rPr>
              <w:t>5,875,646,881.85</w:t>
            </w:r>
            <w:r>
              <w:rPr>
                <w:rFonts w:ascii="Arial"/>
                <w:spacing w:val="-1"/>
                <w:sz w:val="20"/>
              </w:rPr>
            </w:r>
          </w:p>
        </w:tc>
      </w:tr>
      <w:tr>
        <w:trPr>
          <w:trHeight w:val="295" w:hRule="exact"/>
        </w:trPr>
        <w:tc>
          <w:tcPr>
            <w:tcW w:w="2840" w:type="dxa"/>
            <w:tcBorders>
              <w:top w:val="single" w:sz="4" w:space="0" w:color="009EEA"/>
              <w:left w:val="nil" w:sz="6" w:space="0" w:color="auto"/>
              <w:bottom w:val="single" w:sz="4" w:space="0" w:color="009EEA"/>
              <w:right w:val="single" w:sz="4" w:space="0" w:color="009EEA"/>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33" w:type="dxa"/>
            <w:tcBorders>
              <w:top w:val="single" w:sz="4" w:space="0" w:color="009EEA"/>
              <w:left w:val="single" w:sz="4" w:space="0" w:color="009EEA"/>
              <w:bottom w:val="single" w:sz="4" w:space="0" w:color="009EEA"/>
              <w:right w:val="single" w:sz="4" w:space="0" w:color="009EEA"/>
            </w:tcBorders>
          </w:tcPr>
          <w:p>
            <w:pPr/>
          </w:p>
        </w:tc>
        <w:tc>
          <w:tcPr>
            <w:tcW w:w="1334" w:type="dxa"/>
            <w:tcBorders>
              <w:top w:val="single" w:sz="4" w:space="0" w:color="009EEA"/>
              <w:left w:val="single" w:sz="4" w:space="0" w:color="009EEA"/>
              <w:bottom w:val="single" w:sz="4" w:space="0" w:color="009EEA"/>
              <w:right w:val="single" w:sz="4" w:space="0" w:color="009EEA"/>
            </w:tcBorders>
          </w:tcPr>
          <w:p>
            <w:pPr/>
          </w:p>
        </w:tc>
        <w:tc>
          <w:tcPr>
            <w:tcW w:w="689" w:type="dxa"/>
            <w:tcBorders>
              <w:top w:val="single" w:sz="4" w:space="0" w:color="009EEA"/>
              <w:left w:val="single" w:sz="4" w:space="0" w:color="009EEA"/>
              <w:bottom w:val="single" w:sz="4" w:space="0" w:color="009EEA"/>
              <w:right w:val="single" w:sz="4" w:space="0" w:color="009EEA"/>
            </w:tcBorders>
          </w:tcPr>
          <w:p>
            <w:pPr/>
          </w:p>
        </w:tc>
        <w:tc>
          <w:tcPr>
            <w:tcW w:w="1090" w:type="dxa"/>
            <w:tcBorders>
              <w:top w:val="single" w:sz="4" w:space="0" w:color="009EEA"/>
              <w:left w:val="single" w:sz="4" w:space="0" w:color="009EEA"/>
              <w:bottom w:val="single" w:sz="4" w:space="0" w:color="009EEA"/>
              <w:right w:val="single" w:sz="4" w:space="0" w:color="009EEA"/>
            </w:tcBorders>
          </w:tcPr>
          <w:p>
            <w:pPr/>
          </w:p>
        </w:tc>
        <w:tc>
          <w:tcPr>
            <w:tcW w:w="1334" w:type="dxa"/>
            <w:tcBorders>
              <w:top w:val="single" w:sz="4" w:space="0" w:color="009EEA"/>
              <w:left w:val="single" w:sz="4" w:space="0" w:color="009EEA"/>
              <w:bottom w:val="single" w:sz="4" w:space="0" w:color="009EEA"/>
              <w:right w:val="single" w:sz="4" w:space="0" w:color="009EEA"/>
            </w:tcBorders>
          </w:tcPr>
          <w:p>
            <w:pPr/>
          </w:p>
        </w:tc>
        <w:tc>
          <w:tcPr>
            <w:tcW w:w="1349" w:type="dxa"/>
            <w:tcBorders>
              <w:top w:val="single" w:sz="4" w:space="0" w:color="009EEA"/>
              <w:left w:val="single" w:sz="4" w:space="0" w:color="009EEA"/>
              <w:bottom w:val="single" w:sz="4" w:space="0" w:color="009EEA"/>
              <w:right w:val="single" w:sz="4" w:space="0" w:color="009EEA"/>
            </w:tcBorders>
          </w:tcPr>
          <w:p>
            <w:pPr/>
          </w:p>
        </w:tc>
        <w:tc>
          <w:tcPr>
            <w:tcW w:w="1333" w:type="dxa"/>
            <w:tcBorders>
              <w:top w:val="single" w:sz="4" w:space="0" w:color="009EEA"/>
              <w:left w:val="single" w:sz="4" w:space="0" w:color="009EEA"/>
              <w:bottom w:val="single" w:sz="4" w:space="0" w:color="009EEA"/>
              <w:right w:val="single" w:sz="4" w:space="0" w:color="009EEA"/>
            </w:tcBorders>
          </w:tcPr>
          <w:p>
            <w:pPr/>
          </w:p>
        </w:tc>
        <w:tc>
          <w:tcPr>
            <w:tcW w:w="1298" w:type="dxa"/>
            <w:tcBorders>
              <w:top w:val="single" w:sz="4" w:space="0" w:color="009EEA"/>
              <w:left w:val="single" w:sz="4" w:space="0" w:color="009EEA"/>
              <w:bottom w:val="single" w:sz="4" w:space="0" w:color="009EEA"/>
              <w:right w:val="single" w:sz="4" w:space="0" w:color="009EEA"/>
            </w:tcBorders>
          </w:tcPr>
          <w:p>
            <w:pPr/>
          </w:p>
        </w:tc>
        <w:tc>
          <w:tcPr>
            <w:tcW w:w="1332" w:type="dxa"/>
            <w:tcBorders>
              <w:top w:val="single" w:sz="4" w:space="0" w:color="009EEA"/>
              <w:left w:val="single" w:sz="4" w:space="0" w:color="009EEA"/>
              <w:bottom w:val="single" w:sz="4" w:space="0" w:color="009EEA"/>
              <w:right w:val="nil" w:sz="6" w:space="0" w:color="auto"/>
            </w:tcBorders>
          </w:tcPr>
          <w:p>
            <w:pPr/>
          </w:p>
        </w:tc>
      </w:tr>
      <w:tr>
        <w:trPr>
          <w:trHeight w:val="293" w:hRule="exact"/>
        </w:trPr>
        <w:tc>
          <w:tcPr>
            <w:tcW w:w="2840" w:type="dxa"/>
            <w:tcBorders>
              <w:top w:val="single" w:sz="4" w:space="0" w:color="009EEA"/>
              <w:left w:val="nil" w:sz="6" w:space="0" w:color="auto"/>
              <w:bottom w:val="single" w:sz="4" w:space="0" w:color="009EEA"/>
              <w:right w:val="single" w:sz="4" w:space="0" w:color="009EEA"/>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1"/>
              <w:ind w:right="20"/>
              <w:jc w:val="right"/>
              <w:rPr>
                <w:rFonts w:ascii="Arial" w:hAnsi="Arial" w:cs="Arial" w:eastAsia="Arial" w:hint="default"/>
                <w:sz w:val="20"/>
                <w:szCs w:val="20"/>
              </w:rPr>
            </w:pPr>
            <w:r>
              <w:rPr>
                <w:rFonts w:ascii="Arial"/>
                <w:spacing w:val="-1"/>
                <w:w w:val="80"/>
                <w:sz w:val="20"/>
              </w:rPr>
              <w:t>1,777,679,909.00</w:t>
            </w:r>
            <w:r>
              <w:rPr>
                <w:rFonts w:ascii="Arial"/>
                <w:spacing w:val="-1"/>
                <w:sz w:val="20"/>
              </w:rPr>
            </w:r>
          </w:p>
        </w:tc>
        <w:tc>
          <w:tcPr>
            <w:tcW w:w="133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1"/>
              <w:ind w:right="0"/>
              <w:jc w:val="center"/>
              <w:rPr>
                <w:rFonts w:ascii="Arial" w:hAnsi="Arial" w:cs="Arial" w:eastAsia="Arial" w:hint="default"/>
                <w:sz w:val="20"/>
                <w:szCs w:val="20"/>
              </w:rPr>
            </w:pPr>
            <w:r>
              <w:rPr>
                <w:rFonts w:ascii="Arial"/>
                <w:w w:val="80"/>
                <w:sz w:val="20"/>
              </w:rPr>
              <w:t>2,420,221,207.29</w:t>
            </w:r>
            <w:r>
              <w:rPr>
                <w:rFonts w:ascii="Arial"/>
                <w:sz w:val="20"/>
              </w:rPr>
            </w:r>
          </w:p>
        </w:tc>
        <w:tc>
          <w:tcPr>
            <w:tcW w:w="689" w:type="dxa"/>
            <w:tcBorders>
              <w:top w:val="single" w:sz="4" w:space="0" w:color="009EEA"/>
              <w:left w:val="single" w:sz="4" w:space="0" w:color="009EEA"/>
              <w:bottom w:val="single" w:sz="4" w:space="0" w:color="009EEA"/>
              <w:right w:val="single" w:sz="4" w:space="0" w:color="009EEA"/>
            </w:tcBorders>
          </w:tcPr>
          <w:p>
            <w:pPr/>
          </w:p>
        </w:tc>
        <w:tc>
          <w:tcPr>
            <w:tcW w:w="109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1"/>
              <w:ind w:left="79" w:right="0"/>
              <w:jc w:val="center"/>
              <w:rPr>
                <w:rFonts w:ascii="Arial" w:hAnsi="Arial" w:cs="Arial" w:eastAsia="Arial" w:hint="default"/>
                <w:sz w:val="20"/>
                <w:szCs w:val="20"/>
              </w:rPr>
            </w:pPr>
            <w:r>
              <w:rPr>
                <w:rFonts w:ascii="Arial"/>
                <w:w w:val="80"/>
                <w:sz w:val="20"/>
              </w:rPr>
              <w:t>3,063,918.37</w:t>
            </w:r>
            <w:r>
              <w:rPr>
                <w:rFonts w:ascii="Arial"/>
                <w:sz w:val="20"/>
              </w:rPr>
            </w:r>
          </w:p>
        </w:tc>
        <w:tc>
          <w:tcPr>
            <w:tcW w:w="133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1"/>
              <w:ind w:right="0"/>
              <w:jc w:val="center"/>
              <w:rPr>
                <w:rFonts w:ascii="Arial" w:hAnsi="Arial" w:cs="Arial" w:eastAsia="Arial" w:hint="default"/>
                <w:sz w:val="20"/>
                <w:szCs w:val="20"/>
              </w:rPr>
            </w:pPr>
            <w:r>
              <w:rPr>
                <w:rFonts w:ascii="Arial"/>
                <w:w w:val="80"/>
                <w:sz w:val="20"/>
              </w:rPr>
              <w:t>1,375,240,410.99</w:t>
            </w:r>
            <w:r>
              <w:rPr>
                <w:rFonts w:ascii="Arial"/>
                <w:sz w:val="20"/>
              </w:rPr>
            </w:r>
          </w:p>
        </w:tc>
        <w:tc>
          <w:tcPr>
            <w:tcW w:w="134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1"/>
              <w:ind w:right="19"/>
              <w:jc w:val="right"/>
              <w:rPr>
                <w:rFonts w:ascii="Arial" w:hAnsi="Arial" w:cs="Arial" w:eastAsia="Arial" w:hint="default"/>
                <w:sz w:val="20"/>
                <w:szCs w:val="20"/>
              </w:rPr>
            </w:pPr>
            <w:r>
              <w:rPr>
                <w:rFonts w:ascii="Arial"/>
                <w:w w:val="80"/>
                <w:sz w:val="20"/>
              </w:rPr>
              <w:t>441,578,459.58</w:t>
            </w:r>
            <w:r>
              <w:rPr>
                <w:rFonts w:ascii="Arial"/>
                <w:sz w:val="20"/>
              </w:rPr>
            </w:r>
          </w:p>
        </w:tc>
        <w:tc>
          <w:tcPr>
            <w:tcW w:w="13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1"/>
              <w:ind w:right="20"/>
              <w:jc w:val="right"/>
              <w:rPr>
                <w:rFonts w:ascii="Arial" w:hAnsi="Arial" w:cs="Arial" w:eastAsia="Arial" w:hint="default"/>
                <w:sz w:val="20"/>
                <w:szCs w:val="20"/>
              </w:rPr>
            </w:pPr>
            <w:r>
              <w:rPr>
                <w:rFonts w:ascii="Arial"/>
                <w:spacing w:val="-1"/>
                <w:w w:val="80"/>
                <w:sz w:val="20"/>
              </w:rPr>
              <w:t>6,017,783,905.23</w:t>
            </w:r>
            <w:r>
              <w:rPr>
                <w:rFonts w:ascii="Arial"/>
                <w:spacing w:val="-1"/>
                <w:sz w:val="20"/>
              </w:rPr>
            </w:r>
          </w:p>
        </w:tc>
        <w:tc>
          <w:tcPr>
            <w:tcW w:w="12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1"/>
              <w:ind w:right="21"/>
              <w:jc w:val="right"/>
              <w:rPr>
                <w:rFonts w:ascii="Arial" w:hAnsi="Arial" w:cs="Arial" w:eastAsia="Arial" w:hint="default"/>
                <w:sz w:val="20"/>
                <w:szCs w:val="20"/>
              </w:rPr>
            </w:pPr>
            <w:r>
              <w:rPr>
                <w:rFonts w:ascii="Arial"/>
                <w:w w:val="80"/>
                <w:sz w:val="20"/>
              </w:rPr>
              <w:t>-142,137,023.38</w:t>
            </w:r>
            <w:r>
              <w:rPr>
                <w:rFonts w:ascii="Arial"/>
                <w:sz w:val="20"/>
              </w:rPr>
            </w:r>
          </w:p>
        </w:tc>
        <w:tc>
          <w:tcPr>
            <w:tcW w:w="13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1"/>
              <w:ind w:right="24"/>
              <w:jc w:val="right"/>
              <w:rPr>
                <w:rFonts w:ascii="Arial" w:hAnsi="Arial" w:cs="Arial" w:eastAsia="Arial" w:hint="default"/>
                <w:sz w:val="20"/>
                <w:szCs w:val="20"/>
              </w:rPr>
            </w:pPr>
            <w:r>
              <w:rPr>
                <w:rFonts w:ascii="Arial"/>
                <w:spacing w:val="-1"/>
                <w:w w:val="80"/>
                <w:sz w:val="20"/>
              </w:rPr>
              <w:t>5,875,646,881.85</w:t>
            </w:r>
            <w:r>
              <w:rPr>
                <w:rFonts w:ascii="Arial"/>
                <w:spacing w:val="-1"/>
                <w:sz w:val="20"/>
              </w:rPr>
            </w:r>
          </w:p>
        </w:tc>
      </w:tr>
      <w:tr>
        <w:trPr>
          <w:trHeight w:val="478" w:hRule="exact"/>
        </w:trPr>
        <w:tc>
          <w:tcPr>
            <w:tcW w:w="2840" w:type="dxa"/>
            <w:tcBorders>
              <w:top w:val="single" w:sz="4" w:space="0" w:color="009EEA"/>
              <w:left w:val="nil" w:sz="6" w:space="0" w:color="auto"/>
              <w:bottom w:val="single" w:sz="4" w:space="0" w:color="009EEA"/>
              <w:right w:val="single" w:sz="4" w:space="0" w:color="009EEA"/>
            </w:tcBorders>
          </w:tcPr>
          <w:p>
            <w:pPr>
              <w:pStyle w:val="TableParagraph"/>
              <w:spacing w:line="213" w:lineRule="exact"/>
              <w:ind w:left="28" w:right="0"/>
              <w:jc w:val="left"/>
              <w:rPr>
                <w:rFonts w:ascii="Arial" w:hAnsi="Arial" w:cs="Arial" w:eastAsia="Arial" w:hint="default"/>
                <w:sz w:val="18"/>
                <w:szCs w:val="18"/>
              </w:rPr>
            </w:pPr>
            <w:r>
              <w:rPr>
                <w:rFonts w:ascii="宋体" w:hAnsi="宋体" w:cs="宋体" w:eastAsia="宋体" w:hint="default"/>
                <w:w w:val="95"/>
                <w:sz w:val="18"/>
                <w:szCs w:val="18"/>
              </w:rPr>
              <w:t>三、本期增减变动金额（减少以</w:t>
            </w:r>
            <w:r>
              <w:rPr>
                <w:rFonts w:ascii="Arial" w:hAnsi="Arial" w:cs="Arial" w:eastAsia="Arial" w:hint="default"/>
                <w:w w:val="95"/>
                <w:sz w:val="18"/>
                <w:szCs w:val="18"/>
              </w:rPr>
              <w:t>“</w:t>
            </w:r>
            <w:r>
              <w:rPr>
                <w:rFonts w:ascii="宋体" w:hAnsi="宋体" w:cs="宋体" w:eastAsia="宋体" w:hint="default"/>
                <w:w w:val="95"/>
                <w:sz w:val="18"/>
                <w:szCs w:val="18"/>
              </w:rPr>
              <w:t>－</w:t>
            </w:r>
            <w:r>
              <w:rPr>
                <w:rFonts w:ascii="Arial" w:hAnsi="Arial" w:cs="Arial" w:eastAsia="Arial" w:hint="default"/>
                <w:w w:val="95"/>
                <w:sz w:val="18"/>
                <w:szCs w:val="18"/>
              </w:rPr>
              <w:t>”</w:t>
            </w:r>
            <w:r>
              <w:rPr>
                <w:rFonts w:ascii="Arial" w:hAnsi="Arial" w:cs="Arial" w:eastAsia="Arial" w:hint="default"/>
                <w:sz w:val="18"/>
                <w:szCs w:val="18"/>
              </w:rPr>
            </w:r>
          </w:p>
          <w:p>
            <w:pPr>
              <w:pStyle w:val="TableParagraph"/>
              <w:spacing w:line="228" w:lineRule="exact"/>
              <w:ind w:left="28"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333" w:type="dxa"/>
            <w:tcBorders>
              <w:top w:val="single" w:sz="4" w:space="0" w:color="009EEA"/>
              <w:left w:val="single" w:sz="4" w:space="0" w:color="009EEA"/>
              <w:bottom w:val="single" w:sz="4" w:space="0" w:color="009EEA"/>
              <w:right w:val="single" w:sz="4" w:space="0" w:color="009EEA"/>
            </w:tcBorders>
          </w:tcPr>
          <w:p>
            <w:pPr/>
          </w:p>
        </w:tc>
        <w:tc>
          <w:tcPr>
            <w:tcW w:w="1334" w:type="dxa"/>
            <w:tcBorders>
              <w:top w:val="single" w:sz="4" w:space="0" w:color="009EEA"/>
              <w:left w:val="single" w:sz="4" w:space="0" w:color="009EEA"/>
              <w:bottom w:val="single" w:sz="4" w:space="0" w:color="009EEA"/>
              <w:right w:val="single" w:sz="4" w:space="0" w:color="009EEA"/>
            </w:tcBorders>
          </w:tcPr>
          <w:p>
            <w:pPr/>
          </w:p>
        </w:tc>
        <w:tc>
          <w:tcPr>
            <w:tcW w:w="689" w:type="dxa"/>
            <w:tcBorders>
              <w:top w:val="single" w:sz="4" w:space="0" w:color="009EEA"/>
              <w:left w:val="single" w:sz="4" w:space="0" w:color="009EEA"/>
              <w:bottom w:val="single" w:sz="4" w:space="0" w:color="009EEA"/>
              <w:right w:val="single" w:sz="4" w:space="0" w:color="009EEA"/>
            </w:tcBorders>
          </w:tcPr>
          <w:p>
            <w:pPr/>
          </w:p>
        </w:tc>
        <w:tc>
          <w:tcPr>
            <w:tcW w:w="109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left="24" w:right="0"/>
              <w:jc w:val="center"/>
              <w:rPr>
                <w:rFonts w:ascii="Arial" w:hAnsi="Arial" w:cs="Arial" w:eastAsia="Arial" w:hint="default"/>
                <w:sz w:val="20"/>
                <w:szCs w:val="20"/>
              </w:rPr>
            </w:pPr>
            <w:r>
              <w:rPr>
                <w:rFonts w:ascii="Arial"/>
                <w:w w:val="80"/>
                <w:sz w:val="20"/>
              </w:rPr>
              <w:t>-3,063,918.37</w:t>
            </w:r>
            <w:r>
              <w:rPr>
                <w:rFonts w:ascii="Arial"/>
                <w:sz w:val="20"/>
              </w:rPr>
            </w:r>
          </w:p>
        </w:tc>
        <w:tc>
          <w:tcPr>
            <w:tcW w:w="133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left="137" w:right="0"/>
              <w:jc w:val="center"/>
              <w:rPr>
                <w:rFonts w:ascii="Arial" w:hAnsi="Arial" w:cs="Arial" w:eastAsia="Arial" w:hint="default"/>
                <w:sz w:val="20"/>
                <w:szCs w:val="20"/>
              </w:rPr>
            </w:pPr>
            <w:r>
              <w:rPr>
                <w:rFonts w:ascii="Arial"/>
                <w:w w:val="80"/>
                <w:sz w:val="20"/>
              </w:rPr>
              <w:t>143,203,713.47</w:t>
            </w:r>
            <w:r>
              <w:rPr>
                <w:rFonts w:ascii="Arial"/>
                <w:sz w:val="20"/>
              </w:rPr>
            </w:r>
          </w:p>
        </w:tc>
        <w:tc>
          <w:tcPr>
            <w:tcW w:w="134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19"/>
              <w:jc w:val="right"/>
              <w:rPr>
                <w:rFonts w:ascii="Arial" w:hAnsi="Arial" w:cs="Arial" w:eastAsia="Arial" w:hint="default"/>
                <w:sz w:val="20"/>
                <w:szCs w:val="20"/>
              </w:rPr>
            </w:pPr>
            <w:r>
              <w:rPr>
                <w:rFonts w:ascii="Arial"/>
                <w:w w:val="80"/>
                <w:sz w:val="20"/>
              </w:rPr>
              <w:t>353,298,285.01</w:t>
            </w:r>
            <w:r>
              <w:rPr>
                <w:rFonts w:ascii="Arial"/>
                <w:sz w:val="20"/>
              </w:rPr>
            </w:r>
          </w:p>
        </w:tc>
        <w:tc>
          <w:tcPr>
            <w:tcW w:w="13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19"/>
              <w:jc w:val="right"/>
              <w:rPr>
                <w:rFonts w:ascii="Arial" w:hAnsi="Arial" w:cs="Arial" w:eastAsia="Arial" w:hint="default"/>
                <w:sz w:val="20"/>
                <w:szCs w:val="20"/>
              </w:rPr>
            </w:pPr>
            <w:r>
              <w:rPr>
                <w:rFonts w:ascii="Arial"/>
                <w:w w:val="80"/>
                <w:sz w:val="20"/>
              </w:rPr>
              <w:t>493,438,080.11</w:t>
            </w:r>
            <w:r>
              <w:rPr>
                <w:rFonts w:ascii="Arial"/>
                <w:sz w:val="20"/>
              </w:rPr>
            </w:r>
          </w:p>
        </w:tc>
        <w:tc>
          <w:tcPr>
            <w:tcW w:w="12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1"/>
              <w:jc w:val="right"/>
              <w:rPr>
                <w:rFonts w:ascii="Arial" w:hAnsi="Arial" w:cs="Arial" w:eastAsia="Arial" w:hint="default"/>
                <w:sz w:val="20"/>
                <w:szCs w:val="20"/>
              </w:rPr>
            </w:pPr>
            <w:r>
              <w:rPr>
                <w:rFonts w:ascii="Arial"/>
                <w:w w:val="80"/>
                <w:sz w:val="20"/>
              </w:rPr>
              <w:t>-61,179,488.62</w:t>
            </w:r>
            <w:r>
              <w:rPr>
                <w:rFonts w:ascii="Arial"/>
                <w:sz w:val="20"/>
              </w:rPr>
            </w:r>
          </w:p>
        </w:tc>
        <w:tc>
          <w:tcPr>
            <w:tcW w:w="13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15"/>
              <w:ind w:right="23"/>
              <w:jc w:val="right"/>
              <w:rPr>
                <w:rFonts w:ascii="Arial" w:hAnsi="Arial" w:cs="Arial" w:eastAsia="Arial" w:hint="default"/>
                <w:sz w:val="20"/>
                <w:szCs w:val="20"/>
              </w:rPr>
            </w:pPr>
            <w:r>
              <w:rPr>
                <w:rFonts w:ascii="Arial"/>
                <w:w w:val="80"/>
                <w:sz w:val="20"/>
              </w:rPr>
              <w:t>432,258,591.49</w:t>
            </w:r>
            <w:r>
              <w:rPr>
                <w:rFonts w:ascii="Arial"/>
                <w:sz w:val="20"/>
              </w:rPr>
            </w:r>
          </w:p>
        </w:tc>
      </w:tr>
      <w:tr>
        <w:trPr>
          <w:trHeight w:val="295" w:hRule="exact"/>
        </w:trPr>
        <w:tc>
          <w:tcPr>
            <w:tcW w:w="2840" w:type="dxa"/>
            <w:tcBorders>
              <w:top w:val="single" w:sz="4" w:space="0" w:color="009EEA"/>
              <w:left w:val="nil" w:sz="6" w:space="0" w:color="auto"/>
              <w:bottom w:val="single" w:sz="4" w:space="0" w:color="009EEA"/>
              <w:right w:val="single" w:sz="4" w:space="0" w:color="009EEA"/>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33" w:type="dxa"/>
            <w:tcBorders>
              <w:top w:val="single" w:sz="4" w:space="0" w:color="009EEA"/>
              <w:left w:val="single" w:sz="4" w:space="0" w:color="009EEA"/>
              <w:bottom w:val="single" w:sz="4" w:space="0" w:color="009EEA"/>
              <w:right w:val="single" w:sz="4" w:space="0" w:color="009EEA"/>
            </w:tcBorders>
          </w:tcPr>
          <w:p>
            <w:pPr/>
          </w:p>
        </w:tc>
        <w:tc>
          <w:tcPr>
            <w:tcW w:w="1334" w:type="dxa"/>
            <w:tcBorders>
              <w:top w:val="single" w:sz="4" w:space="0" w:color="009EEA"/>
              <w:left w:val="single" w:sz="4" w:space="0" w:color="009EEA"/>
              <w:bottom w:val="single" w:sz="4" w:space="0" w:color="009EEA"/>
              <w:right w:val="single" w:sz="4" w:space="0" w:color="009EEA"/>
            </w:tcBorders>
          </w:tcPr>
          <w:p>
            <w:pPr/>
          </w:p>
        </w:tc>
        <w:tc>
          <w:tcPr>
            <w:tcW w:w="689" w:type="dxa"/>
            <w:tcBorders>
              <w:top w:val="single" w:sz="4" w:space="0" w:color="009EEA"/>
              <w:left w:val="single" w:sz="4" w:space="0" w:color="009EEA"/>
              <w:bottom w:val="single" w:sz="4" w:space="0" w:color="009EEA"/>
              <w:right w:val="single" w:sz="4" w:space="0" w:color="009EEA"/>
            </w:tcBorders>
          </w:tcPr>
          <w:p>
            <w:pPr/>
          </w:p>
        </w:tc>
        <w:tc>
          <w:tcPr>
            <w:tcW w:w="1090" w:type="dxa"/>
            <w:tcBorders>
              <w:top w:val="single" w:sz="4" w:space="0" w:color="009EEA"/>
              <w:left w:val="single" w:sz="4" w:space="0" w:color="009EEA"/>
              <w:bottom w:val="single" w:sz="4" w:space="0" w:color="009EEA"/>
              <w:right w:val="single" w:sz="4" w:space="0" w:color="009EEA"/>
            </w:tcBorders>
          </w:tcPr>
          <w:p>
            <w:pPr/>
          </w:p>
        </w:tc>
        <w:tc>
          <w:tcPr>
            <w:tcW w:w="1334" w:type="dxa"/>
            <w:tcBorders>
              <w:top w:val="single" w:sz="4" w:space="0" w:color="009EEA"/>
              <w:left w:val="single" w:sz="4" w:space="0" w:color="009EEA"/>
              <w:bottom w:val="single" w:sz="4" w:space="0" w:color="009EEA"/>
              <w:right w:val="single" w:sz="4" w:space="0" w:color="009EEA"/>
            </w:tcBorders>
          </w:tcPr>
          <w:p>
            <w:pPr/>
          </w:p>
        </w:tc>
        <w:tc>
          <w:tcPr>
            <w:tcW w:w="134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3"/>
              <w:ind w:right="19"/>
              <w:jc w:val="right"/>
              <w:rPr>
                <w:rFonts w:ascii="Arial" w:hAnsi="Arial" w:cs="Arial" w:eastAsia="Arial" w:hint="default"/>
                <w:sz w:val="20"/>
                <w:szCs w:val="20"/>
              </w:rPr>
            </w:pPr>
            <w:r>
              <w:rPr>
                <w:rFonts w:ascii="Arial"/>
                <w:w w:val="80"/>
                <w:sz w:val="20"/>
              </w:rPr>
              <w:t>976,475,573.91</w:t>
            </w:r>
            <w:r>
              <w:rPr>
                <w:rFonts w:ascii="Arial"/>
                <w:sz w:val="20"/>
              </w:rPr>
            </w:r>
          </w:p>
        </w:tc>
        <w:tc>
          <w:tcPr>
            <w:tcW w:w="13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3"/>
              <w:ind w:right="19"/>
              <w:jc w:val="right"/>
              <w:rPr>
                <w:rFonts w:ascii="Arial" w:hAnsi="Arial" w:cs="Arial" w:eastAsia="Arial" w:hint="default"/>
                <w:sz w:val="20"/>
                <w:szCs w:val="20"/>
              </w:rPr>
            </w:pPr>
            <w:r>
              <w:rPr>
                <w:rFonts w:ascii="Arial"/>
                <w:w w:val="80"/>
                <w:sz w:val="20"/>
              </w:rPr>
              <w:t>976,475,573.91</w:t>
            </w:r>
            <w:r>
              <w:rPr>
                <w:rFonts w:ascii="Arial"/>
                <w:sz w:val="20"/>
              </w:rPr>
            </w:r>
          </w:p>
        </w:tc>
        <w:tc>
          <w:tcPr>
            <w:tcW w:w="12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3"/>
              <w:ind w:right="21"/>
              <w:jc w:val="right"/>
              <w:rPr>
                <w:rFonts w:ascii="Arial" w:hAnsi="Arial" w:cs="Arial" w:eastAsia="Arial" w:hint="default"/>
                <w:sz w:val="20"/>
                <w:szCs w:val="20"/>
              </w:rPr>
            </w:pPr>
            <w:r>
              <w:rPr>
                <w:rFonts w:ascii="Arial"/>
                <w:w w:val="80"/>
                <w:sz w:val="20"/>
              </w:rPr>
              <w:t>-61,179,488.62</w:t>
            </w:r>
            <w:r>
              <w:rPr>
                <w:rFonts w:ascii="Arial"/>
                <w:sz w:val="20"/>
              </w:rPr>
            </w:r>
          </w:p>
        </w:tc>
        <w:tc>
          <w:tcPr>
            <w:tcW w:w="13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3"/>
              <w:ind w:right="23"/>
              <w:jc w:val="right"/>
              <w:rPr>
                <w:rFonts w:ascii="Arial" w:hAnsi="Arial" w:cs="Arial" w:eastAsia="Arial" w:hint="default"/>
                <w:sz w:val="20"/>
                <w:szCs w:val="20"/>
              </w:rPr>
            </w:pPr>
            <w:r>
              <w:rPr>
                <w:rFonts w:ascii="Arial"/>
                <w:w w:val="80"/>
                <w:sz w:val="20"/>
              </w:rPr>
              <w:t>915,296,085.29</w:t>
            </w:r>
            <w:r>
              <w:rPr>
                <w:rFonts w:ascii="Arial"/>
                <w:sz w:val="20"/>
              </w:rPr>
            </w:r>
          </w:p>
        </w:tc>
      </w:tr>
      <w:tr>
        <w:trPr>
          <w:trHeight w:val="293" w:hRule="exact"/>
        </w:trPr>
        <w:tc>
          <w:tcPr>
            <w:tcW w:w="2840" w:type="dxa"/>
            <w:tcBorders>
              <w:top w:val="single" w:sz="4" w:space="0" w:color="009EEA"/>
              <w:left w:val="nil" w:sz="6" w:space="0" w:color="auto"/>
              <w:bottom w:val="single" w:sz="4" w:space="0" w:color="009EEA"/>
              <w:right w:val="single" w:sz="4" w:space="0" w:color="009EEA"/>
            </w:tcBorders>
          </w:tcPr>
          <w:p>
            <w:pPr>
              <w:pStyle w:val="TableParagraph"/>
              <w:spacing w:line="229" w:lineRule="exact"/>
              <w:ind w:left="28"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33" w:type="dxa"/>
            <w:tcBorders>
              <w:top w:val="single" w:sz="4" w:space="0" w:color="009EEA"/>
              <w:left w:val="single" w:sz="4" w:space="0" w:color="009EEA"/>
              <w:bottom w:val="single" w:sz="4" w:space="0" w:color="009EEA"/>
              <w:right w:val="single" w:sz="4" w:space="0" w:color="009EEA"/>
            </w:tcBorders>
          </w:tcPr>
          <w:p>
            <w:pPr/>
          </w:p>
        </w:tc>
        <w:tc>
          <w:tcPr>
            <w:tcW w:w="1334" w:type="dxa"/>
            <w:tcBorders>
              <w:top w:val="single" w:sz="4" w:space="0" w:color="009EEA"/>
              <w:left w:val="single" w:sz="4" w:space="0" w:color="009EEA"/>
              <w:bottom w:val="single" w:sz="4" w:space="0" w:color="009EEA"/>
              <w:right w:val="single" w:sz="4" w:space="0" w:color="009EEA"/>
            </w:tcBorders>
          </w:tcPr>
          <w:p>
            <w:pPr/>
          </w:p>
        </w:tc>
        <w:tc>
          <w:tcPr>
            <w:tcW w:w="689" w:type="dxa"/>
            <w:tcBorders>
              <w:top w:val="single" w:sz="4" w:space="0" w:color="009EEA"/>
              <w:left w:val="single" w:sz="4" w:space="0" w:color="009EEA"/>
              <w:bottom w:val="single" w:sz="4" w:space="0" w:color="009EEA"/>
              <w:right w:val="single" w:sz="4" w:space="0" w:color="009EEA"/>
            </w:tcBorders>
          </w:tcPr>
          <w:p>
            <w:pPr/>
          </w:p>
        </w:tc>
        <w:tc>
          <w:tcPr>
            <w:tcW w:w="1090" w:type="dxa"/>
            <w:tcBorders>
              <w:top w:val="single" w:sz="4" w:space="0" w:color="009EEA"/>
              <w:left w:val="single" w:sz="4" w:space="0" w:color="009EEA"/>
              <w:bottom w:val="single" w:sz="4" w:space="0" w:color="009EEA"/>
              <w:right w:val="single" w:sz="4" w:space="0" w:color="009EEA"/>
            </w:tcBorders>
          </w:tcPr>
          <w:p>
            <w:pPr/>
          </w:p>
        </w:tc>
        <w:tc>
          <w:tcPr>
            <w:tcW w:w="1334" w:type="dxa"/>
            <w:tcBorders>
              <w:top w:val="single" w:sz="4" w:space="0" w:color="009EEA"/>
              <w:left w:val="single" w:sz="4" w:space="0" w:color="009EEA"/>
              <w:bottom w:val="single" w:sz="4" w:space="0" w:color="009EEA"/>
              <w:right w:val="single" w:sz="4" w:space="0" w:color="009EEA"/>
            </w:tcBorders>
          </w:tcPr>
          <w:p>
            <w:pPr/>
          </w:p>
        </w:tc>
        <w:tc>
          <w:tcPr>
            <w:tcW w:w="1349" w:type="dxa"/>
            <w:tcBorders>
              <w:top w:val="single" w:sz="4" w:space="0" w:color="009EEA"/>
              <w:left w:val="single" w:sz="4" w:space="0" w:color="009EEA"/>
              <w:bottom w:val="single" w:sz="4" w:space="0" w:color="009EEA"/>
              <w:right w:val="single" w:sz="4" w:space="0" w:color="009EEA"/>
            </w:tcBorders>
          </w:tcPr>
          <w:p>
            <w:pPr/>
          </w:p>
        </w:tc>
        <w:tc>
          <w:tcPr>
            <w:tcW w:w="1333" w:type="dxa"/>
            <w:tcBorders>
              <w:top w:val="single" w:sz="4" w:space="0" w:color="009EEA"/>
              <w:left w:val="single" w:sz="4" w:space="0" w:color="009EEA"/>
              <w:bottom w:val="single" w:sz="4" w:space="0" w:color="009EEA"/>
              <w:right w:val="single" w:sz="4" w:space="0" w:color="009EEA"/>
            </w:tcBorders>
          </w:tcPr>
          <w:p>
            <w:pPr/>
          </w:p>
        </w:tc>
        <w:tc>
          <w:tcPr>
            <w:tcW w:w="1298" w:type="dxa"/>
            <w:tcBorders>
              <w:top w:val="single" w:sz="4" w:space="0" w:color="009EEA"/>
              <w:left w:val="single" w:sz="4" w:space="0" w:color="009EEA"/>
              <w:bottom w:val="single" w:sz="4" w:space="0" w:color="009EEA"/>
              <w:right w:val="single" w:sz="4" w:space="0" w:color="009EEA"/>
            </w:tcBorders>
          </w:tcPr>
          <w:p>
            <w:pPr/>
          </w:p>
        </w:tc>
        <w:tc>
          <w:tcPr>
            <w:tcW w:w="1332" w:type="dxa"/>
            <w:tcBorders>
              <w:top w:val="single" w:sz="4" w:space="0" w:color="009EEA"/>
              <w:left w:val="single" w:sz="4" w:space="0" w:color="009EEA"/>
              <w:bottom w:val="single" w:sz="4" w:space="0" w:color="009EEA"/>
              <w:right w:val="nil" w:sz="6" w:space="0" w:color="auto"/>
            </w:tcBorders>
          </w:tcPr>
          <w:p>
            <w:pPr/>
          </w:p>
        </w:tc>
      </w:tr>
      <w:tr>
        <w:trPr>
          <w:trHeight w:val="295" w:hRule="exact"/>
        </w:trPr>
        <w:tc>
          <w:tcPr>
            <w:tcW w:w="2840" w:type="dxa"/>
            <w:tcBorders>
              <w:top w:val="single" w:sz="4" w:space="0" w:color="009EEA"/>
              <w:left w:val="nil" w:sz="6" w:space="0" w:color="auto"/>
              <w:bottom w:val="single" w:sz="4" w:space="0" w:color="009EEA"/>
              <w:right w:val="single" w:sz="4" w:space="0" w:color="009EEA"/>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33" w:type="dxa"/>
            <w:tcBorders>
              <w:top w:val="single" w:sz="4" w:space="0" w:color="009EEA"/>
              <w:left w:val="single" w:sz="4" w:space="0" w:color="009EEA"/>
              <w:bottom w:val="single" w:sz="4" w:space="0" w:color="009EEA"/>
              <w:right w:val="single" w:sz="4" w:space="0" w:color="009EEA"/>
            </w:tcBorders>
          </w:tcPr>
          <w:p>
            <w:pPr/>
          </w:p>
        </w:tc>
        <w:tc>
          <w:tcPr>
            <w:tcW w:w="1334" w:type="dxa"/>
            <w:tcBorders>
              <w:top w:val="single" w:sz="4" w:space="0" w:color="009EEA"/>
              <w:left w:val="single" w:sz="4" w:space="0" w:color="009EEA"/>
              <w:bottom w:val="single" w:sz="4" w:space="0" w:color="009EEA"/>
              <w:right w:val="single" w:sz="4" w:space="0" w:color="009EEA"/>
            </w:tcBorders>
          </w:tcPr>
          <w:p>
            <w:pPr/>
          </w:p>
        </w:tc>
        <w:tc>
          <w:tcPr>
            <w:tcW w:w="689" w:type="dxa"/>
            <w:tcBorders>
              <w:top w:val="single" w:sz="4" w:space="0" w:color="009EEA"/>
              <w:left w:val="single" w:sz="4" w:space="0" w:color="009EEA"/>
              <w:bottom w:val="single" w:sz="4" w:space="0" w:color="009EEA"/>
              <w:right w:val="single" w:sz="4" w:space="0" w:color="009EEA"/>
            </w:tcBorders>
          </w:tcPr>
          <w:p>
            <w:pPr/>
          </w:p>
        </w:tc>
        <w:tc>
          <w:tcPr>
            <w:tcW w:w="1090" w:type="dxa"/>
            <w:tcBorders>
              <w:top w:val="single" w:sz="4" w:space="0" w:color="009EEA"/>
              <w:left w:val="single" w:sz="4" w:space="0" w:color="009EEA"/>
              <w:bottom w:val="single" w:sz="4" w:space="0" w:color="009EEA"/>
              <w:right w:val="single" w:sz="4" w:space="0" w:color="009EEA"/>
            </w:tcBorders>
          </w:tcPr>
          <w:p>
            <w:pPr/>
          </w:p>
        </w:tc>
        <w:tc>
          <w:tcPr>
            <w:tcW w:w="133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3"/>
              <w:ind w:left="137" w:right="0"/>
              <w:jc w:val="center"/>
              <w:rPr>
                <w:rFonts w:ascii="Arial" w:hAnsi="Arial" w:cs="Arial" w:eastAsia="Arial" w:hint="default"/>
                <w:sz w:val="20"/>
                <w:szCs w:val="20"/>
              </w:rPr>
            </w:pPr>
            <w:r>
              <w:rPr>
                <w:rFonts w:ascii="Arial"/>
                <w:w w:val="80"/>
                <w:sz w:val="20"/>
              </w:rPr>
              <w:t>143,203,713.47</w:t>
            </w:r>
            <w:r>
              <w:rPr>
                <w:rFonts w:ascii="Arial"/>
                <w:sz w:val="20"/>
              </w:rPr>
            </w:r>
          </w:p>
        </w:tc>
        <w:tc>
          <w:tcPr>
            <w:tcW w:w="134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3"/>
              <w:ind w:right="19"/>
              <w:jc w:val="right"/>
              <w:rPr>
                <w:rFonts w:ascii="Arial" w:hAnsi="Arial" w:cs="Arial" w:eastAsia="Arial" w:hint="default"/>
                <w:sz w:val="20"/>
                <w:szCs w:val="20"/>
              </w:rPr>
            </w:pPr>
            <w:r>
              <w:rPr>
                <w:rFonts w:ascii="Arial"/>
                <w:w w:val="80"/>
                <w:sz w:val="20"/>
              </w:rPr>
              <w:t>-623,177,288.90</w:t>
            </w:r>
            <w:r>
              <w:rPr>
                <w:rFonts w:ascii="Arial"/>
                <w:sz w:val="20"/>
              </w:rPr>
            </w:r>
          </w:p>
        </w:tc>
        <w:tc>
          <w:tcPr>
            <w:tcW w:w="13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3"/>
              <w:ind w:right="19"/>
              <w:jc w:val="right"/>
              <w:rPr>
                <w:rFonts w:ascii="Arial" w:hAnsi="Arial" w:cs="Arial" w:eastAsia="Arial" w:hint="default"/>
                <w:sz w:val="20"/>
                <w:szCs w:val="20"/>
              </w:rPr>
            </w:pPr>
            <w:r>
              <w:rPr>
                <w:rFonts w:ascii="Arial"/>
                <w:w w:val="80"/>
                <w:sz w:val="20"/>
              </w:rPr>
              <w:t>-479,973,575.43</w:t>
            </w:r>
            <w:r>
              <w:rPr>
                <w:rFonts w:ascii="Arial"/>
                <w:sz w:val="20"/>
              </w:rPr>
            </w:r>
          </w:p>
        </w:tc>
        <w:tc>
          <w:tcPr>
            <w:tcW w:w="1298" w:type="dxa"/>
            <w:tcBorders>
              <w:top w:val="single" w:sz="4" w:space="0" w:color="009EEA"/>
              <w:left w:val="single" w:sz="4" w:space="0" w:color="009EEA"/>
              <w:bottom w:val="single" w:sz="4" w:space="0" w:color="009EEA"/>
              <w:right w:val="single" w:sz="4" w:space="0" w:color="009EEA"/>
            </w:tcBorders>
          </w:tcPr>
          <w:p>
            <w:pPr/>
          </w:p>
        </w:tc>
        <w:tc>
          <w:tcPr>
            <w:tcW w:w="13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3"/>
              <w:ind w:right="23"/>
              <w:jc w:val="right"/>
              <w:rPr>
                <w:rFonts w:ascii="Arial" w:hAnsi="Arial" w:cs="Arial" w:eastAsia="Arial" w:hint="default"/>
                <w:sz w:val="20"/>
                <w:szCs w:val="20"/>
              </w:rPr>
            </w:pPr>
            <w:r>
              <w:rPr>
                <w:rFonts w:ascii="Arial"/>
                <w:w w:val="80"/>
                <w:sz w:val="20"/>
              </w:rPr>
              <w:t>-479,973,575.43</w:t>
            </w:r>
            <w:r>
              <w:rPr>
                <w:rFonts w:ascii="Arial"/>
                <w:sz w:val="20"/>
              </w:rPr>
            </w:r>
          </w:p>
        </w:tc>
      </w:tr>
      <w:tr>
        <w:trPr>
          <w:trHeight w:val="293" w:hRule="exact"/>
        </w:trPr>
        <w:tc>
          <w:tcPr>
            <w:tcW w:w="2840" w:type="dxa"/>
            <w:tcBorders>
              <w:top w:val="single" w:sz="4" w:space="0" w:color="009EEA"/>
              <w:left w:val="nil" w:sz="6" w:space="0" w:color="auto"/>
              <w:bottom w:val="single" w:sz="4" w:space="0" w:color="009EEA"/>
              <w:right w:val="single" w:sz="4" w:space="0" w:color="009EEA"/>
            </w:tcBorders>
          </w:tcPr>
          <w:p>
            <w:pPr>
              <w:pStyle w:val="TableParagraph"/>
              <w:spacing w:line="242" w:lineRule="exact"/>
              <w:ind w:left="28"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1333" w:type="dxa"/>
            <w:tcBorders>
              <w:top w:val="single" w:sz="4" w:space="0" w:color="009EEA"/>
              <w:left w:val="single" w:sz="4" w:space="0" w:color="009EEA"/>
              <w:bottom w:val="single" w:sz="4" w:space="0" w:color="009EEA"/>
              <w:right w:val="single" w:sz="4" w:space="0" w:color="009EEA"/>
            </w:tcBorders>
          </w:tcPr>
          <w:p>
            <w:pPr/>
          </w:p>
        </w:tc>
        <w:tc>
          <w:tcPr>
            <w:tcW w:w="1334" w:type="dxa"/>
            <w:tcBorders>
              <w:top w:val="single" w:sz="4" w:space="0" w:color="009EEA"/>
              <w:left w:val="single" w:sz="4" w:space="0" w:color="009EEA"/>
              <w:bottom w:val="single" w:sz="4" w:space="0" w:color="009EEA"/>
              <w:right w:val="single" w:sz="4" w:space="0" w:color="009EEA"/>
            </w:tcBorders>
          </w:tcPr>
          <w:p>
            <w:pPr/>
          </w:p>
        </w:tc>
        <w:tc>
          <w:tcPr>
            <w:tcW w:w="689" w:type="dxa"/>
            <w:tcBorders>
              <w:top w:val="single" w:sz="4" w:space="0" w:color="009EEA"/>
              <w:left w:val="single" w:sz="4" w:space="0" w:color="009EEA"/>
              <w:bottom w:val="single" w:sz="4" w:space="0" w:color="009EEA"/>
              <w:right w:val="single" w:sz="4" w:space="0" w:color="009EEA"/>
            </w:tcBorders>
          </w:tcPr>
          <w:p>
            <w:pPr/>
          </w:p>
        </w:tc>
        <w:tc>
          <w:tcPr>
            <w:tcW w:w="1090" w:type="dxa"/>
            <w:tcBorders>
              <w:top w:val="single" w:sz="4" w:space="0" w:color="009EEA"/>
              <w:left w:val="single" w:sz="4" w:space="0" w:color="009EEA"/>
              <w:bottom w:val="single" w:sz="4" w:space="0" w:color="009EEA"/>
              <w:right w:val="single" w:sz="4" w:space="0" w:color="009EEA"/>
            </w:tcBorders>
          </w:tcPr>
          <w:p>
            <w:pPr/>
          </w:p>
        </w:tc>
        <w:tc>
          <w:tcPr>
            <w:tcW w:w="133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1"/>
              <w:ind w:left="137" w:right="0"/>
              <w:jc w:val="center"/>
              <w:rPr>
                <w:rFonts w:ascii="Arial" w:hAnsi="Arial" w:cs="Arial" w:eastAsia="Arial" w:hint="default"/>
                <w:sz w:val="20"/>
                <w:szCs w:val="20"/>
              </w:rPr>
            </w:pPr>
            <w:r>
              <w:rPr>
                <w:rFonts w:ascii="Arial"/>
                <w:w w:val="80"/>
                <w:sz w:val="20"/>
              </w:rPr>
              <w:t>143,203,713.47</w:t>
            </w:r>
            <w:r>
              <w:rPr>
                <w:rFonts w:ascii="Arial"/>
                <w:sz w:val="20"/>
              </w:rPr>
            </w:r>
          </w:p>
        </w:tc>
        <w:tc>
          <w:tcPr>
            <w:tcW w:w="134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1"/>
              <w:ind w:right="19"/>
              <w:jc w:val="right"/>
              <w:rPr>
                <w:rFonts w:ascii="Arial" w:hAnsi="Arial" w:cs="Arial" w:eastAsia="Arial" w:hint="default"/>
                <w:sz w:val="20"/>
                <w:szCs w:val="20"/>
              </w:rPr>
            </w:pPr>
            <w:r>
              <w:rPr>
                <w:rFonts w:ascii="Arial"/>
                <w:w w:val="80"/>
                <w:sz w:val="20"/>
              </w:rPr>
              <w:t>-143,203,713.47</w:t>
            </w:r>
            <w:r>
              <w:rPr>
                <w:rFonts w:ascii="Arial"/>
                <w:sz w:val="20"/>
              </w:rPr>
            </w:r>
          </w:p>
        </w:tc>
        <w:tc>
          <w:tcPr>
            <w:tcW w:w="1333" w:type="dxa"/>
            <w:tcBorders>
              <w:top w:val="single" w:sz="4" w:space="0" w:color="009EEA"/>
              <w:left w:val="single" w:sz="4" w:space="0" w:color="009EEA"/>
              <w:bottom w:val="single" w:sz="4" w:space="0" w:color="009EEA"/>
              <w:right w:val="single" w:sz="4" w:space="0" w:color="009EEA"/>
            </w:tcBorders>
          </w:tcPr>
          <w:p>
            <w:pPr/>
          </w:p>
        </w:tc>
        <w:tc>
          <w:tcPr>
            <w:tcW w:w="1298" w:type="dxa"/>
            <w:tcBorders>
              <w:top w:val="single" w:sz="4" w:space="0" w:color="009EEA"/>
              <w:left w:val="single" w:sz="4" w:space="0" w:color="009EEA"/>
              <w:bottom w:val="single" w:sz="4" w:space="0" w:color="009EEA"/>
              <w:right w:val="single" w:sz="4" w:space="0" w:color="009EEA"/>
            </w:tcBorders>
          </w:tcPr>
          <w:p>
            <w:pPr/>
          </w:p>
        </w:tc>
        <w:tc>
          <w:tcPr>
            <w:tcW w:w="1332" w:type="dxa"/>
            <w:tcBorders>
              <w:top w:val="single" w:sz="4" w:space="0" w:color="009EEA"/>
              <w:left w:val="single" w:sz="4" w:space="0" w:color="009EEA"/>
              <w:bottom w:val="single" w:sz="4" w:space="0" w:color="009EEA"/>
              <w:right w:val="nil" w:sz="6" w:space="0" w:color="auto"/>
            </w:tcBorders>
          </w:tcPr>
          <w:p>
            <w:pPr/>
          </w:p>
        </w:tc>
      </w:tr>
      <w:tr>
        <w:trPr>
          <w:trHeight w:val="295" w:hRule="exact"/>
        </w:trPr>
        <w:tc>
          <w:tcPr>
            <w:tcW w:w="2840" w:type="dxa"/>
            <w:tcBorders>
              <w:top w:val="single" w:sz="4" w:space="0" w:color="009EEA"/>
              <w:left w:val="nil" w:sz="6" w:space="0" w:color="auto"/>
              <w:bottom w:val="single" w:sz="4" w:space="0" w:color="009EEA"/>
              <w:right w:val="single" w:sz="4" w:space="0" w:color="009EEA"/>
            </w:tcBorders>
          </w:tcPr>
          <w:p>
            <w:pPr>
              <w:pStyle w:val="TableParagraph"/>
              <w:spacing w:line="245" w:lineRule="exact"/>
              <w:ind w:left="28"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．提取一般风险准备</w:t>
            </w:r>
          </w:p>
        </w:tc>
        <w:tc>
          <w:tcPr>
            <w:tcW w:w="1333" w:type="dxa"/>
            <w:tcBorders>
              <w:top w:val="single" w:sz="4" w:space="0" w:color="009EEA"/>
              <w:left w:val="single" w:sz="4" w:space="0" w:color="009EEA"/>
              <w:bottom w:val="single" w:sz="4" w:space="0" w:color="009EEA"/>
              <w:right w:val="single" w:sz="4" w:space="0" w:color="009EEA"/>
            </w:tcBorders>
          </w:tcPr>
          <w:p>
            <w:pPr/>
          </w:p>
        </w:tc>
        <w:tc>
          <w:tcPr>
            <w:tcW w:w="1334" w:type="dxa"/>
            <w:tcBorders>
              <w:top w:val="single" w:sz="4" w:space="0" w:color="009EEA"/>
              <w:left w:val="single" w:sz="4" w:space="0" w:color="009EEA"/>
              <w:bottom w:val="single" w:sz="4" w:space="0" w:color="009EEA"/>
              <w:right w:val="single" w:sz="4" w:space="0" w:color="009EEA"/>
            </w:tcBorders>
          </w:tcPr>
          <w:p>
            <w:pPr/>
          </w:p>
        </w:tc>
        <w:tc>
          <w:tcPr>
            <w:tcW w:w="689" w:type="dxa"/>
            <w:tcBorders>
              <w:top w:val="single" w:sz="4" w:space="0" w:color="009EEA"/>
              <w:left w:val="single" w:sz="4" w:space="0" w:color="009EEA"/>
              <w:bottom w:val="single" w:sz="4" w:space="0" w:color="009EEA"/>
              <w:right w:val="single" w:sz="4" w:space="0" w:color="009EEA"/>
            </w:tcBorders>
          </w:tcPr>
          <w:p>
            <w:pPr/>
          </w:p>
        </w:tc>
        <w:tc>
          <w:tcPr>
            <w:tcW w:w="1090" w:type="dxa"/>
            <w:tcBorders>
              <w:top w:val="single" w:sz="4" w:space="0" w:color="009EEA"/>
              <w:left w:val="single" w:sz="4" w:space="0" w:color="009EEA"/>
              <w:bottom w:val="single" w:sz="4" w:space="0" w:color="009EEA"/>
              <w:right w:val="single" w:sz="4" w:space="0" w:color="009EEA"/>
            </w:tcBorders>
          </w:tcPr>
          <w:p>
            <w:pPr/>
          </w:p>
        </w:tc>
        <w:tc>
          <w:tcPr>
            <w:tcW w:w="1334" w:type="dxa"/>
            <w:tcBorders>
              <w:top w:val="single" w:sz="4" w:space="0" w:color="009EEA"/>
              <w:left w:val="single" w:sz="4" w:space="0" w:color="009EEA"/>
              <w:bottom w:val="single" w:sz="4" w:space="0" w:color="009EEA"/>
              <w:right w:val="single" w:sz="4" w:space="0" w:color="009EEA"/>
            </w:tcBorders>
          </w:tcPr>
          <w:p>
            <w:pPr/>
          </w:p>
        </w:tc>
        <w:tc>
          <w:tcPr>
            <w:tcW w:w="1349" w:type="dxa"/>
            <w:tcBorders>
              <w:top w:val="single" w:sz="4" w:space="0" w:color="009EEA"/>
              <w:left w:val="single" w:sz="4" w:space="0" w:color="009EEA"/>
              <w:bottom w:val="single" w:sz="4" w:space="0" w:color="009EEA"/>
              <w:right w:val="single" w:sz="4" w:space="0" w:color="009EEA"/>
            </w:tcBorders>
          </w:tcPr>
          <w:p>
            <w:pPr/>
          </w:p>
        </w:tc>
        <w:tc>
          <w:tcPr>
            <w:tcW w:w="1333" w:type="dxa"/>
            <w:tcBorders>
              <w:top w:val="single" w:sz="4" w:space="0" w:color="009EEA"/>
              <w:left w:val="single" w:sz="4" w:space="0" w:color="009EEA"/>
              <w:bottom w:val="single" w:sz="4" w:space="0" w:color="009EEA"/>
              <w:right w:val="single" w:sz="4" w:space="0" w:color="009EEA"/>
            </w:tcBorders>
          </w:tcPr>
          <w:p>
            <w:pPr/>
          </w:p>
        </w:tc>
        <w:tc>
          <w:tcPr>
            <w:tcW w:w="1298" w:type="dxa"/>
            <w:tcBorders>
              <w:top w:val="single" w:sz="4" w:space="0" w:color="009EEA"/>
              <w:left w:val="single" w:sz="4" w:space="0" w:color="009EEA"/>
              <w:bottom w:val="single" w:sz="4" w:space="0" w:color="009EEA"/>
              <w:right w:val="single" w:sz="4" w:space="0" w:color="009EEA"/>
            </w:tcBorders>
          </w:tcPr>
          <w:p>
            <w:pPr/>
          </w:p>
        </w:tc>
        <w:tc>
          <w:tcPr>
            <w:tcW w:w="1332" w:type="dxa"/>
            <w:tcBorders>
              <w:top w:val="single" w:sz="4" w:space="0" w:color="009EEA"/>
              <w:left w:val="single" w:sz="4" w:space="0" w:color="009EEA"/>
              <w:bottom w:val="single" w:sz="4" w:space="0" w:color="009EEA"/>
              <w:right w:val="nil" w:sz="6" w:space="0" w:color="auto"/>
            </w:tcBorders>
          </w:tcPr>
          <w:p>
            <w:pPr/>
          </w:p>
        </w:tc>
      </w:tr>
      <w:tr>
        <w:trPr>
          <w:trHeight w:val="293" w:hRule="exact"/>
        </w:trPr>
        <w:tc>
          <w:tcPr>
            <w:tcW w:w="2840" w:type="dxa"/>
            <w:tcBorders>
              <w:top w:val="single" w:sz="4" w:space="0" w:color="009EEA"/>
              <w:left w:val="nil" w:sz="6" w:space="0" w:color="auto"/>
              <w:bottom w:val="single" w:sz="4" w:space="0" w:color="009EEA"/>
              <w:right w:val="single" w:sz="4" w:space="0" w:color="009EEA"/>
            </w:tcBorders>
          </w:tcPr>
          <w:p>
            <w:pPr>
              <w:pStyle w:val="TableParagraph"/>
              <w:spacing w:line="242" w:lineRule="exact"/>
              <w:ind w:left="28"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．对所有者（或股东）的分配</w:t>
            </w:r>
          </w:p>
        </w:tc>
        <w:tc>
          <w:tcPr>
            <w:tcW w:w="1333" w:type="dxa"/>
            <w:tcBorders>
              <w:top w:val="single" w:sz="4" w:space="0" w:color="009EEA"/>
              <w:left w:val="single" w:sz="4" w:space="0" w:color="009EEA"/>
              <w:bottom w:val="single" w:sz="4" w:space="0" w:color="009EEA"/>
              <w:right w:val="single" w:sz="4" w:space="0" w:color="009EEA"/>
            </w:tcBorders>
          </w:tcPr>
          <w:p>
            <w:pPr/>
          </w:p>
        </w:tc>
        <w:tc>
          <w:tcPr>
            <w:tcW w:w="1334" w:type="dxa"/>
            <w:tcBorders>
              <w:top w:val="single" w:sz="4" w:space="0" w:color="009EEA"/>
              <w:left w:val="single" w:sz="4" w:space="0" w:color="009EEA"/>
              <w:bottom w:val="single" w:sz="4" w:space="0" w:color="009EEA"/>
              <w:right w:val="single" w:sz="4" w:space="0" w:color="009EEA"/>
            </w:tcBorders>
          </w:tcPr>
          <w:p>
            <w:pPr/>
          </w:p>
        </w:tc>
        <w:tc>
          <w:tcPr>
            <w:tcW w:w="689" w:type="dxa"/>
            <w:tcBorders>
              <w:top w:val="single" w:sz="4" w:space="0" w:color="009EEA"/>
              <w:left w:val="single" w:sz="4" w:space="0" w:color="009EEA"/>
              <w:bottom w:val="single" w:sz="4" w:space="0" w:color="009EEA"/>
              <w:right w:val="single" w:sz="4" w:space="0" w:color="009EEA"/>
            </w:tcBorders>
          </w:tcPr>
          <w:p>
            <w:pPr/>
          </w:p>
        </w:tc>
        <w:tc>
          <w:tcPr>
            <w:tcW w:w="1090" w:type="dxa"/>
            <w:tcBorders>
              <w:top w:val="single" w:sz="4" w:space="0" w:color="009EEA"/>
              <w:left w:val="single" w:sz="4" w:space="0" w:color="009EEA"/>
              <w:bottom w:val="single" w:sz="4" w:space="0" w:color="009EEA"/>
              <w:right w:val="single" w:sz="4" w:space="0" w:color="009EEA"/>
            </w:tcBorders>
          </w:tcPr>
          <w:p>
            <w:pPr/>
          </w:p>
        </w:tc>
        <w:tc>
          <w:tcPr>
            <w:tcW w:w="1334" w:type="dxa"/>
            <w:tcBorders>
              <w:top w:val="single" w:sz="4" w:space="0" w:color="009EEA"/>
              <w:left w:val="single" w:sz="4" w:space="0" w:color="009EEA"/>
              <w:bottom w:val="single" w:sz="4" w:space="0" w:color="009EEA"/>
              <w:right w:val="single" w:sz="4" w:space="0" w:color="009EEA"/>
            </w:tcBorders>
          </w:tcPr>
          <w:p>
            <w:pPr/>
          </w:p>
        </w:tc>
        <w:tc>
          <w:tcPr>
            <w:tcW w:w="134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1"/>
              <w:ind w:right="19"/>
              <w:jc w:val="right"/>
              <w:rPr>
                <w:rFonts w:ascii="Arial" w:hAnsi="Arial" w:cs="Arial" w:eastAsia="Arial" w:hint="default"/>
                <w:sz w:val="20"/>
                <w:szCs w:val="20"/>
              </w:rPr>
            </w:pPr>
            <w:r>
              <w:rPr>
                <w:rFonts w:ascii="Arial"/>
                <w:w w:val="80"/>
                <w:sz w:val="20"/>
              </w:rPr>
              <w:t>-479,973,575.43</w:t>
            </w:r>
            <w:r>
              <w:rPr>
                <w:rFonts w:ascii="Arial"/>
                <w:sz w:val="20"/>
              </w:rPr>
            </w:r>
          </w:p>
        </w:tc>
        <w:tc>
          <w:tcPr>
            <w:tcW w:w="13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1"/>
              <w:ind w:right="19"/>
              <w:jc w:val="right"/>
              <w:rPr>
                <w:rFonts w:ascii="Arial" w:hAnsi="Arial" w:cs="Arial" w:eastAsia="Arial" w:hint="default"/>
                <w:sz w:val="20"/>
                <w:szCs w:val="20"/>
              </w:rPr>
            </w:pPr>
            <w:r>
              <w:rPr>
                <w:rFonts w:ascii="Arial"/>
                <w:w w:val="80"/>
                <w:sz w:val="20"/>
              </w:rPr>
              <w:t>-479,973,575.43</w:t>
            </w:r>
            <w:r>
              <w:rPr>
                <w:rFonts w:ascii="Arial"/>
                <w:sz w:val="20"/>
              </w:rPr>
            </w:r>
          </w:p>
        </w:tc>
        <w:tc>
          <w:tcPr>
            <w:tcW w:w="1298" w:type="dxa"/>
            <w:tcBorders>
              <w:top w:val="single" w:sz="4" w:space="0" w:color="009EEA"/>
              <w:left w:val="single" w:sz="4" w:space="0" w:color="009EEA"/>
              <w:bottom w:val="single" w:sz="4" w:space="0" w:color="009EEA"/>
              <w:right w:val="single" w:sz="4" w:space="0" w:color="009EEA"/>
            </w:tcBorders>
          </w:tcPr>
          <w:p>
            <w:pPr/>
          </w:p>
        </w:tc>
        <w:tc>
          <w:tcPr>
            <w:tcW w:w="13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1"/>
              <w:ind w:right="23"/>
              <w:jc w:val="right"/>
              <w:rPr>
                <w:rFonts w:ascii="Arial" w:hAnsi="Arial" w:cs="Arial" w:eastAsia="Arial" w:hint="default"/>
                <w:sz w:val="20"/>
                <w:szCs w:val="20"/>
              </w:rPr>
            </w:pPr>
            <w:r>
              <w:rPr>
                <w:rFonts w:ascii="Arial"/>
                <w:w w:val="80"/>
                <w:sz w:val="20"/>
              </w:rPr>
              <w:t>-479,973,575.43</w:t>
            </w:r>
            <w:r>
              <w:rPr>
                <w:rFonts w:ascii="Arial"/>
                <w:sz w:val="20"/>
              </w:rPr>
            </w:r>
          </w:p>
        </w:tc>
      </w:tr>
      <w:tr>
        <w:trPr>
          <w:trHeight w:val="295" w:hRule="exact"/>
        </w:trPr>
        <w:tc>
          <w:tcPr>
            <w:tcW w:w="2840" w:type="dxa"/>
            <w:tcBorders>
              <w:top w:val="single" w:sz="4" w:space="0" w:color="009EEA"/>
              <w:left w:val="nil" w:sz="6" w:space="0" w:color="auto"/>
              <w:bottom w:val="single" w:sz="4" w:space="0" w:color="009EEA"/>
              <w:right w:val="single" w:sz="4" w:space="0" w:color="009EEA"/>
            </w:tcBorders>
          </w:tcPr>
          <w:p>
            <w:pPr>
              <w:pStyle w:val="TableParagraph"/>
              <w:spacing w:line="245" w:lineRule="exact"/>
              <w:ind w:left="28"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333" w:type="dxa"/>
            <w:tcBorders>
              <w:top w:val="single" w:sz="4" w:space="0" w:color="009EEA"/>
              <w:left w:val="single" w:sz="4" w:space="0" w:color="009EEA"/>
              <w:bottom w:val="single" w:sz="4" w:space="0" w:color="009EEA"/>
              <w:right w:val="single" w:sz="4" w:space="0" w:color="009EEA"/>
            </w:tcBorders>
          </w:tcPr>
          <w:p>
            <w:pPr/>
          </w:p>
        </w:tc>
        <w:tc>
          <w:tcPr>
            <w:tcW w:w="1334" w:type="dxa"/>
            <w:tcBorders>
              <w:top w:val="single" w:sz="4" w:space="0" w:color="009EEA"/>
              <w:left w:val="single" w:sz="4" w:space="0" w:color="009EEA"/>
              <w:bottom w:val="single" w:sz="4" w:space="0" w:color="009EEA"/>
              <w:right w:val="single" w:sz="4" w:space="0" w:color="009EEA"/>
            </w:tcBorders>
          </w:tcPr>
          <w:p>
            <w:pPr/>
          </w:p>
        </w:tc>
        <w:tc>
          <w:tcPr>
            <w:tcW w:w="689" w:type="dxa"/>
            <w:tcBorders>
              <w:top w:val="single" w:sz="4" w:space="0" w:color="009EEA"/>
              <w:left w:val="single" w:sz="4" w:space="0" w:color="009EEA"/>
              <w:bottom w:val="single" w:sz="4" w:space="0" w:color="009EEA"/>
              <w:right w:val="single" w:sz="4" w:space="0" w:color="009EEA"/>
            </w:tcBorders>
          </w:tcPr>
          <w:p>
            <w:pPr/>
          </w:p>
        </w:tc>
        <w:tc>
          <w:tcPr>
            <w:tcW w:w="1090" w:type="dxa"/>
            <w:tcBorders>
              <w:top w:val="single" w:sz="4" w:space="0" w:color="009EEA"/>
              <w:left w:val="single" w:sz="4" w:space="0" w:color="009EEA"/>
              <w:bottom w:val="single" w:sz="4" w:space="0" w:color="009EEA"/>
              <w:right w:val="single" w:sz="4" w:space="0" w:color="009EEA"/>
            </w:tcBorders>
          </w:tcPr>
          <w:p>
            <w:pPr/>
          </w:p>
        </w:tc>
        <w:tc>
          <w:tcPr>
            <w:tcW w:w="1334" w:type="dxa"/>
            <w:tcBorders>
              <w:top w:val="single" w:sz="4" w:space="0" w:color="009EEA"/>
              <w:left w:val="single" w:sz="4" w:space="0" w:color="009EEA"/>
              <w:bottom w:val="single" w:sz="4" w:space="0" w:color="009EEA"/>
              <w:right w:val="single" w:sz="4" w:space="0" w:color="009EEA"/>
            </w:tcBorders>
          </w:tcPr>
          <w:p>
            <w:pPr/>
          </w:p>
        </w:tc>
        <w:tc>
          <w:tcPr>
            <w:tcW w:w="1349" w:type="dxa"/>
            <w:tcBorders>
              <w:top w:val="single" w:sz="4" w:space="0" w:color="009EEA"/>
              <w:left w:val="single" w:sz="4" w:space="0" w:color="009EEA"/>
              <w:bottom w:val="single" w:sz="4" w:space="0" w:color="009EEA"/>
              <w:right w:val="single" w:sz="4" w:space="0" w:color="009EEA"/>
            </w:tcBorders>
          </w:tcPr>
          <w:p>
            <w:pPr/>
          </w:p>
        </w:tc>
        <w:tc>
          <w:tcPr>
            <w:tcW w:w="1333" w:type="dxa"/>
            <w:tcBorders>
              <w:top w:val="single" w:sz="4" w:space="0" w:color="009EEA"/>
              <w:left w:val="single" w:sz="4" w:space="0" w:color="009EEA"/>
              <w:bottom w:val="single" w:sz="4" w:space="0" w:color="009EEA"/>
              <w:right w:val="single" w:sz="4" w:space="0" w:color="009EEA"/>
            </w:tcBorders>
          </w:tcPr>
          <w:p>
            <w:pPr/>
          </w:p>
        </w:tc>
        <w:tc>
          <w:tcPr>
            <w:tcW w:w="1298" w:type="dxa"/>
            <w:tcBorders>
              <w:top w:val="single" w:sz="4" w:space="0" w:color="009EEA"/>
              <w:left w:val="single" w:sz="4" w:space="0" w:color="009EEA"/>
              <w:bottom w:val="single" w:sz="4" w:space="0" w:color="009EEA"/>
              <w:right w:val="single" w:sz="4" w:space="0" w:color="009EEA"/>
            </w:tcBorders>
          </w:tcPr>
          <w:p>
            <w:pPr/>
          </w:p>
        </w:tc>
        <w:tc>
          <w:tcPr>
            <w:tcW w:w="1332" w:type="dxa"/>
            <w:tcBorders>
              <w:top w:val="single" w:sz="4" w:space="0" w:color="009EEA"/>
              <w:left w:val="single" w:sz="4" w:space="0" w:color="009EEA"/>
              <w:bottom w:val="single" w:sz="4" w:space="0" w:color="009EEA"/>
              <w:right w:val="nil" w:sz="6" w:space="0" w:color="auto"/>
            </w:tcBorders>
          </w:tcPr>
          <w:p>
            <w:pPr/>
          </w:p>
        </w:tc>
      </w:tr>
      <w:tr>
        <w:trPr>
          <w:trHeight w:val="293" w:hRule="exact"/>
        </w:trPr>
        <w:tc>
          <w:tcPr>
            <w:tcW w:w="2840" w:type="dxa"/>
            <w:tcBorders>
              <w:top w:val="single" w:sz="4" w:space="0" w:color="009EEA"/>
              <w:left w:val="nil" w:sz="6" w:space="0" w:color="auto"/>
              <w:bottom w:val="single" w:sz="4" w:space="0" w:color="009EEA"/>
              <w:right w:val="single" w:sz="4" w:space="0" w:color="009EEA"/>
            </w:tcBorders>
          </w:tcPr>
          <w:p>
            <w:pPr>
              <w:pStyle w:val="TableParagraph"/>
              <w:spacing w:line="229" w:lineRule="exact"/>
              <w:ind w:left="28"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33" w:type="dxa"/>
            <w:tcBorders>
              <w:top w:val="single" w:sz="4" w:space="0" w:color="009EEA"/>
              <w:left w:val="single" w:sz="4" w:space="0" w:color="009EEA"/>
              <w:bottom w:val="single" w:sz="4" w:space="0" w:color="009EEA"/>
              <w:right w:val="single" w:sz="4" w:space="0" w:color="009EEA"/>
            </w:tcBorders>
          </w:tcPr>
          <w:p>
            <w:pPr/>
          </w:p>
        </w:tc>
        <w:tc>
          <w:tcPr>
            <w:tcW w:w="1334" w:type="dxa"/>
            <w:tcBorders>
              <w:top w:val="single" w:sz="4" w:space="0" w:color="009EEA"/>
              <w:left w:val="single" w:sz="4" w:space="0" w:color="009EEA"/>
              <w:bottom w:val="single" w:sz="4" w:space="0" w:color="009EEA"/>
              <w:right w:val="single" w:sz="4" w:space="0" w:color="009EEA"/>
            </w:tcBorders>
          </w:tcPr>
          <w:p>
            <w:pPr/>
          </w:p>
        </w:tc>
        <w:tc>
          <w:tcPr>
            <w:tcW w:w="689" w:type="dxa"/>
            <w:tcBorders>
              <w:top w:val="single" w:sz="4" w:space="0" w:color="009EEA"/>
              <w:left w:val="single" w:sz="4" w:space="0" w:color="009EEA"/>
              <w:bottom w:val="single" w:sz="4" w:space="0" w:color="009EEA"/>
              <w:right w:val="single" w:sz="4" w:space="0" w:color="009EEA"/>
            </w:tcBorders>
          </w:tcPr>
          <w:p>
            <w:pPr/>
          </w:p>
        </w:tc>
        <w:tc>
          <w:tcPr>
            <w:tcW w:w="1090" w:type="dxa"/>
            <w:tcBorders>
              <w:top w:val="single" w:sz="4" w:space="0" w:color="009EEA"/>
              <w:left w:val="single" w:sz="4" w:space="0" w:color="009EEA"/>
              <w:bottom w:val="single" w:sz="4" w:space="0" w:color="009EEA"/>
              <w:right w:val="single" w:sz="4" w:space="0" w:color="009EEA"/>
            </w:tcBorders>
          </w:tcPr>
          <w:p>
            <w:pPr/>
          </w:p>
        </w:tc>
        <w:tc>
          <w:tcPr>
            <w:tcW w:w="1334" w:type="dxa"/>
            <w:tcBorders>
              <w:top w:val="single" w:sz="4" w:space="0" w:color="009EEA"/>
              <w:left w:val="single" w:sz="4" w:space="0" w:color="009EEA"/>
              <w:bottom w:val="single" w:sz="4" w:space="0" w:color="009EEA"/>
              <w:right w:val="single" w:sz="4" w:space="0" w:color="009EEA"/>
            </w:tcBorders>
          </w:tcPr>
          <w:p>
            <w:pPr/>
          </w:p>
        </w:tc>
        <w:tc>
          <w:tcPr>
            <w:tcW w:w="1349" w:type="dxa"/>
            <w:tcBorders>
              <w:top w:val="single" w:sz="4" w:space="0" w:color="009EEA"/>
              <w:left w:val="single" w:sz="4" w:space="0" w:color="009EEA"/>
              <w:bottom w:val="single" w:sz="4" w:space="0" w:color="009EEA"/>
              <w:right w:val="single" w:sz="4" w:space="0" w:color="009EEA"/>
            </w:tcBorders>
          </w:tcPr>
          <w:p>
            <w:pPr/>
          </w:p>
        </w:tc>
        <w:tc>
          <w:tcPr>
            <w:tcW w:w="1333" w:type="dxa"/>
            <w:tcBorders>
              <w:top w:val="single" w:sz="4" w:space="0" w:color="009EEA"/>
              <w:left w:val="single" w:sz="4" w:space="0" w:color="009EEA"/>
              <w:bottom w:val="single" w:sz="4" w:space="0" w:color="009EEA"/>
              <w:right w:val="single" w:sz="4" w:space="0" w:color="009EEA"/>
            </w:tcBorders>
          </w:tcPr>
          <w:p>
            <w:pPr/>
          </w:p>
        </w:tc>
        <w:tc>
          <w:tcPr>
            <w:tcW w:w="1298" w:type="dxa"/>
            <w:tcBorders>
              <w:top w:val="single" w:sz="4" w:space="0" w:color="009EEA"/>
              <w:left w:val="single" w:sz="4" w:space="0" w:color="009EEA"/>
              <w:bottom w:val="single" w:sz="4" w:space="0" w:color="009EEA"/>
              <w:right w:val="single" w:sz="4" w:space="0" w:color="009EEA"/>
            </w:tcBorders>
          </w:tcPr>
          <w:p>
            <w:pPr/>
          </w:p>
        </w:tc>
        <w:tc>
          <w:tcPr>
            <w:tcW w:w="1332" w:type="dxa"/>
            <w:tcBorders>
              <w:top w:val="single" w:sz="4" w:space="0" w:color="009EEA"/>
              <w:left w:val="single" w:sz="4" w:space="0" w:color="009EEA"/>
              <w:bottom w:val="single" w:sz="4" w:space="0" w:color="009EEA"/>
              <w:right w:val="nil" w:sz="6" w:space="0" w:color="auto"/>
            </w:tcBorders>
          </w:tcPr>
          <w:p>
            <w:pPr/>
          </w:p>
        </w:tc>
      </w:tr>
      <w:tr>
        <w:trPr>
          <w:trHeight w:val="295" w:hRule="exact"/>
        </w:trPr>
        <w:tc>
          <w:tcPr>
            <w:tcW w:w="2840" w:type="dxa"/>
            <w:tcBorders>
              <w:top w:val="single" w:sz="4" w:space="0" w:color="009EEA"/>
              <w:left w:val="nil" w:sz="6" w:space="0" w:color="auto"/>
              <w:bottom w:val="single" w:sz="4" w:space="0" w:color="009EEA"/>
              <w:right w:val="single" w:sz="4" w:space="0" w:color="009EEA"/>
            </w:tcBorders>
          </w:tcPr>
          <w:p>
            <w:pPr>
              <w:pStyle w:val="TableParagraph"/>
              <w:spacing w:line="245" w:lineRule="exact"/>
              <w:ind w:left="28"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．资本公积转增资本（或股本）</w:t>
            </w:r>
          </w:p>
        </w:tc>
        <w:tc>
          <w:tcPr>
            <w:tcW w:w="1333" w:type="dxa"/>
            <w:tcBorders>
              <w:top w:val="single" w:sz="4" w:space="0" w:color="009EEA"/>
              <w:left w:val="single" w:sz="4" w:space="0" w:color="009EEA"/>
              <w:bottom w:val="single" w:sz="4" w:space="0" w:color="009EEA"/>
              <w:right w:val="single" w:sz="4" w:space="0" w:color="009EEA"/>
            </w:tcBorders>
          </w:tcPr>
          <w:p>
            <w:pPr/>
          </w:p>
        </w:tc>
        <w:tc>
          <w:tcPr>
            <w:tcW w:w="1334" w:type="dxa"/>
            <w:tcBorders>
              <w:top w:val="single" w:sz="4" w:space="0" w:color="009EEA"/>
              <w:left w:val="single" w:sz="4" w:space="0" w:color="009EEA"/>
              <w:bottom w:val="single" w:sz="4" w:space="0" w:color="009EEA"/>
              <w:right w:val="single" w:sz="4" w:space="0" w:color="009EEA"/>
            </w:tcBorders>
          </w:tcPr>
          <w:p>
            <w:pPr/>
          </w:p>
        </w:tc>
        <w:tc>
          <w:tcPr>
            <w:tcW w:w="689" w:type="dxa"/>
            <w:tcBorders>
              <w:top w:val="single" w:sz="4" w:space="0" w:color="009EEA"/>
              <w:left w:val="single" w:sz="4" w:space="0" w:color="009EEA"/>
              <w:bottom w:val="single" w:sz="4" w:space="0" w:color="009EEA"/>
              <w:right w:val="single" w:sz="4" w:space="0" w:color="009EEA"/>
            </w:tcBorders>
          </w:tcPr>
          <w:p>
            <w:pPr/>
          </w:p>
        </w:tc>
        <w:tc>
          <w:tcPr>
            <w:tcW w:w="1090" w:type="dxa"/>
            <w:tcBorders>
              <w:top w:val="single" w:sz="4" w:space="0" w:color="009EEA"/>
              <w:left w:val="single" w:sz="4" w:space="0" w:color="009EEA"/>
              <w:bottom w:val="single" w:sz="4" w:space="0" w:color="009EEA"/>
              <w:right w:val="single" w:sz="4" w:space="0" w:color="009EEA"/>
            </w:tcBorders>
          </w:tcPr>
          <w:p>
            <w:pPr/>
          </w:p>
        </w:tc>
        <w:tc>
          <w:tcPr>
            <w:tcW w:w="1334" w:type="dxa"/>
            <w:tcBorders>
              <w:top w:val="single" w:sz="4" w:space="0" w:color="009EEA"/>
              <w:left w:val="single" w:sz="4" w:space="0" w:color="009EEA"/>
              <w:bottom w:val="single" w:sz="4" w:space="0" w:color="009EEA"/>
              <w:right w:val="single" w:sz="4" w:space="0" w:color="009EEA"/>
            </w:tcBorders>
          </w:tcPr>
          <w:p>
            <w:pPr/>
          </w:p>
        </w:tc>
        <w:tc>
          <w:tcPr>
            <w:tcW w:w="1349" w:type="dxa"/>
            <w:tcBorders>
              <w:top w:val="single" w:sz="4" w:space="0" w:color="009EEA"/>
              <w:left w:val="single" w:sz="4" w:space="0" w:color="009EEA"/>
              <w:bottom w:val="single" w:sz="4" w:space="0" w:color="009EEA"/>
              <w:right w:val="single" w:sz="4" w:space="0" w:color="009EEA"/>
            </w:tcBorders>
          </w:tcPr>
          <w:p>
            <w:pPr/>
          </w:p>
        </w:tc>
        <w:tc>
          <w:tcPr>
            <w:tcW w:w="1333" w:type="dxa"/>
            <w:tcBorders>
              <w:top w:val="single" w:sz="4" w:space="0" w:color="009EEA"/>
              <w:left w:val="single" w:sz="4" w:space="0" w:color="009EEA"/>
              <w:bottom w:val="single" w:sz="4" w:space="0" w:color="009EEA"/>
              <w:right w:val="single" w:sz="4" w:space="0" w:color="009EEA"/>
            </w:tcBorders>
          </w:tcPr>
          <w:p>
            <w:pPr/>
          </w:p>
        </w:tc>
        <w:tc>
          <w:tcPr>
            <w:tcW w:w="1298" w:type="dxa"/>
            <w:tcBorders>
              <w:top w:val="single" w:sz="4" w:space="0" w:color="009EEA"/>
              <w:left w:val="single" w:sz="4" w:space="0" w:color="009EEA"/>
              <w:bottom w:val="single" w:sz="4" w:space="0" w:color="009EEA"/>
              <w:right w:val="single" w:sz="4" w:space="0" w:color="009EEA"/>
            </w:tcBorders>
          </w:tcPr>
          <w:p>
            <w:pPr/>
          </w:p>
        </w:tc>
        <w:tc>
          <w:tcPr>
            <w:tcW w:w="1332" w:type="dxa"/>
            <w:tcBorders>
              <w:top w:val="single" w:sz="4" w:space="0" w:color="009EEA"/>
              <w:left w:val="single" w:sz="4" w:space="0" w:color="009EEA"/>
              <w:bottom w:val="single" w:sz="4" w:space="0" w:color="009EEA"/>
              <w:right w:val="nil" w:sz="6" w:space="0" w:color="auto"/>
            </w:tcBorders>
          </w:tcPr>
          <w:p>
            <w:pPr/>
          </w:p>
        </w:tc>
      </w:tr>
      <w:tr>
        <w:trPr>
          <w:trHeight w:val="293" w:hRule="exact"/>
        </w:trPr>
        <w:tc>
          <w:tcPr>
            <w:tcW w:w="2840" w:type="dxa"/>
            <w:tcBorders>
              <w:top w:val="single" w:sz="4" w:space="0" w:color="009EEA"/>
              <w:left w:val="nil" w:sz="6" w:space="0" w:color="auto"/>
              <w:bottom w:val="single" w:sz="4" w:space="0" w:color="009EEA"/>
              <w:right w:val="single" w:sz="4" w:space="0" w:color="009EEA"/>
            </w:tcBorders>
          </w:tcPr>
          <w:p>
            <w:pPr>
              <w:pStyle w:val="TableParagraph"/>
              <w:spacing w:line="242" w:lineRule="exact"/>
              <w:ind w:left="28"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．盈余公积转增资本（或股本）</w:t>
            </w:r>
          </w:p>
        </w:tc>
        <w:tc>
          <w:tcPr>
            <w:tcW w:w="1333" w:type="dxa"/>
            <w:tcBorders>
              <w:top w:val="single" w:sz="4" w:space="0" w:color="009EEA"/>
              <w:left w:val="single" w:sz="4" w:space="0" w:color="009EEA"/>
              <w:bottom w:val="single" w:sz="4" w:space="0" w:color="009EEA"/>
              <w:right w:val="single" w:sz="4" w:space="0" w:color="009EEA"/>
            </w:tcBorders>
          </w:tcPr>
          <w:p>
            <w:pPr/>
          </w:p>
        </w:tc>
        <w:tc>
          <w:tcPr>
            <w:tcW w:w="1334" w:type="dxa"/>
            <w:tcBorders>
              <w:top w:val="single" w:sz="4" w:space="0" w:color="009EEA"/>
              <w:left w:val="single" w:sz="4" w:space="0" w:color="009EEA"/>
              <w:bottom w:val="single" w:sz="4" w:space="0" w:color="009EEA"/>
              <w:right w:val="single" w:sz="4" w:space="0" w:color="009EEA"/>
            </w:tcBorders>
          </w:tcPr>
          <w:p>
            <w:pPr/>
          </w:p>
        </w:tc>
        <w:tc>
          <w:tcPr>
            <w:tcW w:w="689" w:type="dxa"/>
            <w:tcBorders>
              <w:top w:val="single" w:sz="4" w:space="0" w:color="009EEA"/>
              <w:left w:val="single" w:sz="4" w:space="0" w:color="009EEA"/>
              <w:bottom w:val="single" w:sz="4" w:space="0" w:color="009EEA"/>
              <w:right w:val="single" w:sz="4" w:space="0" w:color="009EEA"/>
            </w:tcBorders>
          </w:tcPr>
          <w:p>
            <w:pPr/>
          </w:p>
        </w:tc>
        <w:tc>
          <w:tcPr>
            <w:tcW w:w="1090" w:type="dxa"/>
            <w:tcBorders>
              <w:top w:val="single" w:sz="4" w:space="0" w:color="009EEA"/>
              <w:left w:val="single" w:sz="4" w:space="0" w:color="009EEA"/>
              <w:bottom w:val="single" w:sz="4" w:space="0" w:color="009EEA"/>
              <w:right w:val="single" w:sz="4" w:space="0" w:color="009EEA"/>
            </w:tcBorders>
          </w:tcPr>
          <w:p>
            <w:pPr/>
          </w:p>
        </w:tc>
        <w:tc>
          <w:tcPr>
            <w:tcW w:w="1334" w:type="dxa"/>
            <w:tcBorders>
              <w:top w:val="single" w:sz="4" w:space="0" w:color="009EEA"/>
              <w:left w:val="single" w:sz="4" w:space="0" w:color="009EEA"/>
              <w:bottom w:val="single" w:sz="4" w:space="0" w:color="009EEA"/>
              <w:right w:val="single" w:sz="4" w:space="0" w:color="009EEA"/>
            </w:tcBorders>
          </w:tcPr>
          <w:p>
            <w:pPr/>
          </w:p>
        </w:tc>
        <w:tc>
          <w:tcPr>
            <w:tcW w:w="1349" w:type="dxa"/>
            <w:tcBorders>
              <w:top w:val="single" w:sz="4" w:space="0" w:color="009EEA"/>
              <w:left w:val="single" w:sz="4" w:space="0" w:color="009EEA"/>
              <w:bottom w:val="single" w:sz="4" w:space="0" w:color="009EEA"/>
              <w:right w:val="single" w:sz="4" w:space="0" w:color="009EEA"/>
            </w:tcBorders>
          </w:tcPr>
          <w:p>
            <w:pPr/>
          </w:p>
        </w:tc>
        <w:tc>
          <w:tcPr>
            <w:tcW w:w="1333" w:type="dxa"/>
            <w:tcBorders>
              <w:top w:val="single" w:sz="4" w:space="0" w:color="009EEA"/>
              <w:left w:val="single" w:sz="4" w:space="0" w:color="009EEA"/>
              <w:bottom w:val="single" w:sz="4" w:space="0" w:color="009EEA"/>
              <w:right w:val="single" w:sz="4" w:space="0" w:color="009EEA"/>
            </w:tcBorders>
          </w:tcPr>
          <w:p>
            <w:pPr/>
          </w:p>
        </w:tc>
        <w:tc>
          <w:tcPr>
            <w:tcW w:w="1298" w:type="dxa"/>
            <w:tcBorders>
              <w:top w:val="single" w:sz="4" w:space="0" w:color="009EEA"/>
              <w:left w:val="single" w:sz="4" w:space="0" w:color="009EEA"/>
              <w:bottom w:val="single" w:sz="4" w:space="0" w:color="009EEA"/>
              <w:right w:val="single" w:sz="4" w:space="0" w:color="009EEA"/>
            </w:tcBorders>
          </w:tcPr>
          <w:p>
            <w:pPr/>
          </w:p>
        </w:tc>
        <w:tc>
          <w:tcPr>
            <w:tcW w:w="1332" w:type="dxa"/>
            <w:tcBorders>
              <w:top w:val="single" w:sz="4" w:space="0" w:color="009EEA"/>
              <w:left w:val="single" w:sz="4" w:space="0" w:color="009EEA"/>
              <w:bottom w:val="single" w:sz="4" w:space="0" w:color="009EEA"/>
              <w:right w:val="nil" w:sz="6" w:space="0" w:color="auto"/>
            </w:tcBorders>
          </w:tcPr>
          <w:p>
            <w:pPr/>
          </w:p>
        </w:tc>
      </w:tr>
      <w:tr>
        <w:trPr>
          <w:trHeight w:val="295" w:hRule="exact"/>
        </w:trPr>
        <w:tc>
          <w:tcPr>
            <w:tcW w:w="2840" w:type="dxa"/>
            <w:tcBorders>
              <w:top w:val="single" w:sz="4" w:space="0" w:color="009EEA"/>
              <w:left w:val="nil" w:sz="6" w:space="0" w:color="auto"/>
              <w:bottom w:val="single" w:sz="4" w:space="0" w:color="009EEA"/>
              <w:right w:val="single" w:sz="4" w:space="0" w:color="009EEA"/>
            </w:tcBorders>
          </w:tcPr>
          <w:p>
            <w:pPr>
              <w:pStyle w:val="TableParagraph"/>
              <w:spacing w:line="245" w:lineRule="exact"/>
              <w:ind w:left="28"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．盈余公积弥补亏损</w:t>
            </w:r>
          </w:p>
        </w:tc>
        <w:tc>
          <w:tcPr>
            <w:tcW w:w="1333" w:type="dxa"/>
            <w:tcBorders>
              <w:top w:val="single" w:sz="4" w:space="0" w:color="009EEA"/>
              <w:left w:val="single" w:sz="4" w:space="0" w:color="009EEA"/>
              <w:bottom w:val="single" w:sz="4" w:space="0" w:color="009EEA"/>
              <w:right w:val="single" w:sz="4" w:space="0" w:color="009EEA"/>
            </w:tcBorders>
          </w:tcPr>
          <w:p>
            <w:pPr/>
          </w:p>
        </w:tc>
        <w:tc>
          <w:tcPr>
            <w:tcW w:w="1334" w:type="dxa"/>
            <w:tcBorders>
              <w:top w:val="single" w:sz="4" w:space="0" w:color="009EEA"/>
              <w:left w:val="single" w:sz="4" w:space="0" w:color="009EEA"/>
              <w:bottom w:val="single" w:sz="4" w:space="0" w:color="009EEA"/>
              <w:right w:val="single" w:sz="4" w:space="0" w:color="009EEA"/>
            </w:tcBorders>
          </w:tcPr>
          <w:p>
            <w:pPr/>
          </w:p>
        </w:tc>
        <w:tc>
          <w:tcPr>
            <w:tcW w:w="689" w:type="dxa"/>
            <w:tcBorders>
              <w:top w:val="single" w:sz="4" w:space="0" w:color="009EEA"/>
              <w:left w:val="single" w:sz="4" w:space="0" w:color="009EEA"/>
              <w:bottom w:val="single" w:sz="4" w:space="0" w:color="009EEA"/>
              <w:right w:val="single" w:sz="4" w:space="0" w:color="009EEA"/>
            </w:tcBorders>
          </w:tcPr>
          <w:p>
            <w:pPr/>
          </w:p>
        </w:tc>
        <w:tc>
          <w:tcPr>
            <w:tcW w:w="1090" w:type="dxa"/>
            <w:tcBorders>
              <w:top w:val="single" w:sz="4" w:space="0" w:color="009EEA"/>
              <w:left w:val="single" w:sz="4" w:space="0" w:color="009EEA"/>
              <w:bottom w:val="single" w:sz="4" w:space="0" w:color="009EEA"/>
              <w:right w:val="single" w:sz="4" w:space="0" w:color="009EEA"/>
            </w:tcBorders>
          </w:tcPr>
          <w:p>
            <w:pPr/>
          </w:p>
        </w:tc>
        <w:tc>
          <w:tcPr>
            <w:tcW w:w="1334" w:type="dxa"/>
            <w:tcBorders>
              <w:top w:val="single" w:sz="4" w:space="0" w:color="009EEA"/>
              <w:left w:val="single" w:sz="4" w:space="0" w:color="009EEA"/>
              <w:bottom w:val="single" w:sz="4" w:space="0" w:color="009EEA"/>
              <w:right w:val="single" w:sz="4" w:space="0" w:color="009EEA"/>
            </w:tcBorders>
          </w:tcPr>
          <w:p>
            <w:pPr/>
          </w:p>
        </w:tc>
        <w:tc>
          <w:tcPr>
            <w:tcW w:w="1349" w:type="dxa"/>
            <w:tcBorders>
              <w:top w:val="single" w:sz="4" w:space="0" w:color="009EEA"/>
              <w:left w:val="single" w:sz="4" w:space="0" w:color="009EEA"/>
              <w:bottom w:val="single" w:sz="4" w:space="0" w:color="009EEA"/>
              <w:right w:val="single" w:sz="4" w:space="0" w:color="009EEA"/>
            </w:tcBorders>
          </w:tcPr>
          <w:p>
            <w:pPr/>
          </w:p>
        </w:tc>
        <w:tc>
          <w:tcPr>
            <w:tcW w:w="1333" w:type="dxa"/>
            <w:tcBorders>
              <w:top w:val="single" w:sz="4" w:space="0" w:color="009EEA"/>
              <w:left w:val="single" w:sz="4" w:space="0" w:color="009EEA"/>
              <w:bottom w:val="single" w:sz="4" w:space="0" w:color="009EEA"/>
              <w:right w:val="single" w:sz="4" w:space="0" w:color="009EEA"/>
            </w:tcBorders>
          </w:tcPr>
          <w:p>
            <w:pPr/>
          </w:p>
        </w:tc>
        <w:tc>
          <w:tcPr>
            <w:tcW w:w="1298" w:type="dxa"/>
            <w:tcBorders>
              <w:top w:val="single" w:sz="4" w:space="0" w:color="009EEA"/>
              <w:left w:val="single" w:sz="4" w:space="0" w:color="009EEA"/>
              <w:bottom w:val="single" w:sz="4" w:space="0" w:color="009EEA"/>
              <w:right w:val="single" w:sz="4" w:space="0" w:color="009EEA"/>
            </w:tcBorders>
          </w:tcPr>
          <w:p>
            <w:pPr/>
          </w:p>
        </w:tc>
        <w:tc>
          <w:tcPr>
            <w:tcW w:w="1332" w:type="dxa"/>
            <w:tcBorders>
              <w:top w:val="single" w:sz="4" w:space="0" w:color="009EEA"/>
              <w:left w:val="single" w:sz="4" w:space="0" w:color="009EEA"/>
              <w:bottom w:val="single" w:sz="4" w:space="0" w:color="009EEA"/>
              <w:right w:val="nil" w:sz="6" w:space="0" w:color="auto"/>
            </w:tcBorders>
          </w:tcPr>
          <w:p>
            <w:pPr/>
          </w:p>
        </w:tc>
      </w:tr>
      <w:tr>
        <w:trPr>
          <w:trHeight w:val="293" w:hRule="exact"/>
        </w:trPr>
        <w:tc>
          <w:tcPr>
            <w:tcW w:w="2840" w:type="dxa"/>
            <w:tcBorders>
              <w:top w:val="single" w:sz="4" w:space="0" w:color="009EEA"/>
              <w:left w:val="nil" w:sz="6" w:space="0" w:color="auto"/>
              <w:bottom w:val="single" w:sz="4" w:space="0" w:color="009EEA"/>
              <w:right w:val="single" w:sz="4" w:space="0" w:color="009EEA"/>
            </w:tcBorders>
          </w:tcPr>
          <w:p>
            <w:pPr>
              <w:pStyle w:val="TableParagraph"/>
              <w:spacing w:line="242" w:lineRule="exact"/>
              <w:ind w:left="28" w:right="0"/>
              <w:jc w:val="left"/>
              <w:rPr>
                <w:rFonts w:ascii="宋体" w:hAnsi="宋体" w:cs="宋体" w:eastAsia="宋体" w:hint="default"/>
                <w:sz w:val="18"/>
                <w:szCs w:val="18"/>
              </w:rPr>
            </w:pPr>
            <w:r>
              <w:rPr>
                <w:rFonts w:ascii="Arial" w:hAnsi="Arial" w:cs="Arial" w:eastAsia="Arial" w:hint="default"/>
                <w:spacing w:val="-15"/>
                <w:sz w:val="18"/>
                <w:szCs w:val="18"/>
              </w:rPr>
              <w:t>4</w:t>
            </w:r>
            <w:r>
              <w:rPr>
                <w:rFonts w:ascii="宋体" w:hAnsi="宋体" w:cs="宋体" w:eastAsia="宋体" w:hint="default"/>
                <w:spacing w:val="-15"/>
                <w:sz w:val="18"/>
                <w:szCs w:val="18"/>
              </w:rPr>
              <w:t>．设定受益计划变动额结转留存收益</w:t>
            </w:r>
          </w:p>
        </w:tc>
        <w:tc>
          <w:tcPr>
            <w:tcW w:w="1333" w:type="dxa"/>
            <w:tcBorders>
              <w:top w:val="single" w:sz="4" w:space="0" w:color="009EEA"/>
              <w:left w:val="single" w:sz="4" w:space="0" w:color="009EEA"/>
              <w:bottom w:val="single" w:sz="4" w:space="0" w:color="009EEA"/>
              <w:right w:val="single" w:sz="4" w:space="0" w:color="009EEA"/>
            </w:tcBorders>
          </w:tcPr>
          <w:p>
            <w:pPr/>
          </w:p>
        </w:tc>
        <w:tc>
          <w:tcPr>
            <w:tcW w:w="1334" w:type="dxa"/>
            <w:tcBorders>
              <w:top w:val="single" w:sz="4" w:space="0" w:color="009EEA"/>
              <w:left w:val="single" w:sz="4" w:space="0" w:color="009EEA"/>
              <w:bottom w:val="single" w:sz="4" w:space="0" w:color="009EEA"/>
              <w:right w:val="single" w:sz="4" w:space="0" w:color="009EEA"/>
            </w:tcBorders>
          </w:tcPr>
          <w:p>
            <w:pPr/>
          </w:p>
        </w:tc>
        <w:tc>
          <w:tcPr>
            <w:tcW w:w="689" w:type="dxa"/>
            <w:tcBorders>
              <w:top w:val="single" w:sz="4" w:space="0" w:color="009EEA"/>
              <w:left w:val="single" w:sz="4" w:space="0" w:color="009EEA"/>
              <w:bottom w:val="single" w:sz="4" w:space="0" w:color="009EEA"/>
              <w:right w:val="single" w:sz="4" w:space="0" w:color="009EEA"/>
            </w:tcBorders>
          </w:tcPr>
          <w:p>
            <w:pPr/>
          </w:p>
        </w:tc>
        <w:tc>
          <w:tcPr>
            <w:tcW w:w="1090" w:type="dxa"/>
            <w:tcBorders>
              <w:top w:val="single" w:sz="4" w:space="0" w:color="009EEA"/>
              <w:left w:val="single" w:sz="4" w:space="0" w:color="009EEA"/>
              <w:bottom w:val="single" w:sz="4" w:space="0" w:color="009EEA"/>
              <w:right w:val="single" w:sz="4" w:space="0" w:color="009EEA"/>
            </w:tcBorders>
          </w:tcPr>
          <w:p>
            <w:pPr/>
          </w:p>
        </w:tc>
        <w:tc>
          <w:tcPr>
            <w:tcW w:w="1334" w:type="dxa"/>
            <w:tcBorders>
              <w:top w:val="single" w:sz="4" w:space="0" w:color="009EEA"/>
              <w:left w:val="single" w:sz="4" w:space="0" w:color="009EEA"/>
              <w:bottom w:val="single" w:sz="4" w:space="0" w:color="009EEA"/>
              <w:right w:val="single" w:sz="4" w:space="0" w:color="009EEA"/>
            </w:tcBorders>
          </w:tcPr>
          <w:p>
            <w:pPr/>
          </w:p>
        </w:tc>
        <w:tc>
          <w:tcPr>
            <w:tcW w:w="1349" w:type="dxa"/>
            <w:tcBorders>
              <w:top w:val="single" w:sz="4" w:space="0" w:color="009EEA"/>
              <w:left w:val="single" w:sz="4" w:space="0" w:color="009EEA"/>
              <w:bottom w:val="single" w:sz="4" w:space="0" w:color="009EEA"/>
              <w:right w:val="single" w:sz="4" w:space="0" w:color="009EEA"/>
            </w:tcBorders>
          </w:tcPr>
          <w:p>
            <w:pPr/>
          </w:p>
        </w:tc>
        <w:tc>
          <w:tcPr>
            <w:tcW w:w="1333" w:type="dxa"/>
            <w:tcBorders>
              <w:top w:val="single" w:sz="4" w:space="0" w:color="009EEA"/>
              <w:left w:val="single" w:sz="4" w:space="0" w:color="009EEA"/>
              <w:bottom w:val="single" w:sz="4" w:space="0" w:color="009EEA"/>
              <w:right w:val="single" w:sz="4" w:space="0" w:color="009EEA"/>
            </w:tcBorders>
          </w:tcPr>
          <w:p>
            <w:pPr/>
          </w:p>
        </w:tc>
        <w:tc>
          <w:tcPr>
            <w:tcW w:w="1298" w:type="dxa"/>
            <w:tcBorders>
              <w:top w:val="single" w:sz="4" w:space="0" w:color="009EEA"/>
              <w:left w:val="single" w:sz="4" w:space="0" w:color="009EEA"/>
              <w:bottom w:val="single" w:sz="4" w:space="0" w:color="009EEA"/>
              <w:right w:val="single" w:sz="4" w:space="0" w:color="009EEA"/>
            </w:tcBorders>
          </w:tcPr>
          <w:p>
            <w:pPr/>
          </w:p>
        </w:tc>
        <w:tc>
          <w:tcPr>
            <w:tcW w:w="1332" w:type="dxa"/>
            <w:tcBorders>
              <w:top w:val="single" w:sz="4" w:space="0" w:color="009EEA"/>
              <w:left w:val="single" w:sz="4" w:space="0" w:color="009EEA"/>
              <w:bottom w:val="single" w:sz="4" w:space="0" w:color="009EEA"/>
              <w:right w:val="nil" w:sz="6" w:space="0" w:color="auto"/>
            </w:tcBorders>
          </w:tcPr>
          <w:p>
            <w:pPr/>
          </w:p>
        </w:tc>
      </w:tr>
      <w:tr>
        <w:trPr>
          <w:trHeight w:val="295" w:hRule="exact"/>
        </w:trPr>
        <w:tc>
          <w:tcPr>
            <w:tcW w:w="2840" w:type="dxa"/>
            <w:tcBorders>
              <w:top w:val="single" w:sz="4" w:space="0" w:color="009EEA"/>
              <w:left w:val="nil" w:sz="6" w:space="0" w:color="auto"/>
              <w:bottom w:val="single" w:sz="4" w:space="0" w:color="009EEA"/>
              <w:right w:val="single" w:sz="4" w:space="0" w:color="009EEA"/>
            </w:tcBorders>
          </w:tcPr>
          <w:p>
            <w:pPr>
              <w:pStyle w:val="TableParagraph"/>
              <w:spacing w:line="245" w:lineRule="exact"/>
              <w:ind w:left="28"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．其他综合收益结转留存收益</w:t>
            </w:r>
          </w:p>
        </w:tc>
        <w:tc>
          <w:tcPr>
            <w:tcW w:w="1333" w:type="dxa"/>
            <w:tcBorders>
              <w:top w:val="single" w:sz="4" w:space="0" w:color="009EEA"/>
              <w:left w:val="single" w:sz="4" w:space="0" w:color="009EEA"/>
              <w:bottom w:val="single" w:sz="4" w:space="0" w:color="009EEA"/>
              <w:right w:val="single" w:sz="4" w:space="0" w:color="009EEA"/>
            </w:tcBorders>
          </w:tcPr>
          <w:p>
            <w:pPr/>
          </w:p>
        </w:tc>
        <w:tc>
          <w:tcPr>
            <w:tcW w:w="1334" w:type="dxa"/>
            <w:tcBorders>
              <w:top w:val="single" w:sz="4" w:space="0" w:color="009EEA"/>
              <w:left w:val="single" w:sz="4" w:space="0" w:color="009EEA"/>
              <w:bottom w:val="single" w:sz="4" w:space="0" w:color="009EEA"/>
              <w:right w:val="single" w:sz="4" w:space="0" w:color="009EEA"/>
            </w:tcBorders>
          </w:tcPr>
          <w:p>
            <w:pPr/>
          </w:p>
        </w:tc>
        <w:tc>
          <w:tcPr>
            <w:tcW w:w="689" w:type="dxa"/>
            <w:tcBorders>
              <w:top w:val="single" w:sz="4" w:space="0" w:color="009EEA"/>
              <w:left w:val="single" w:sz="4" w:space="0" w:color="009EEA"/>
              <w:bottom w:val="single" w:sz="4" w:space="0" w:color="009EEA"/>
              <w:right w:val="single" w:sz="4" w:space="0" w:color="009EEA"/>
            </w:tcBorders>
          </w:tcPr>
          <w:p>
            <w:pPr/>
          </w:p>
        </w:tc>
        <w:tc>
          <w:tcPr>
            <w:tcW w:w="1090" w:type="dxa"/>
            <w:tcBorders>
              <w:top w:val="single" w:sz="4" w:space="0" w:color="009EEA"/>
              <w:left w:val="single" w:sz="4" w:space="0" w:color="009EEA"/>
              <w:bottom w:val="single" w:sz="4" w:space="0" w:color="009EEA"/>
              <w:right w:val="single" w:sz="4" w:space="0" w:color="009EEA"/>
            </w:tcBorders>
          </w:tcPr>
          <w:p>
            <w:pPr/>
          </w:p>
        </w:tc>
        <w:tc>
          <w:tcPr>
            <w:tcW w:w="1334" w:type="dxa"/>
            <w:tcBorders>
              <w:top w:val="single" w:sz="4" w:space="0" w:color="009EEA"/>
              <w:left w:val="single" w:sz="4" w:space="0" w:color="009EEA"/>
              <w:bottom w:val="single" w:sz="4" w:space="0" w:color="009EEA"/>
              <w:right w:val="single" w:sz="4" w:space="0" w:color="009EEA"/>
            </w:tcBorders>
          </w:tcPr>
          <w:p>
            <w:pPr/>
          </w:p>
        </w:tc>
        <w:tc>
          <w:tcPr>
            <w:tcW w:w="1349" w:type="dxa"/>
            <w:tcBorders>
              <w:top w:val="single" w:sz="4" w:space="0" w:color="009EEA"/>
              <w:left w:val="single" w:sz="4" w:space="0" w:color="009EEA"/>
              <w:bottom w:val="single" w:sz="4" w:space="0" w:color="009EEA"/>
              <w:right w:val="single" w:sz="4" w:space="0" w:color="009EEA"/>
            </w:tcBorders>
          </w:tcPr>
          <w:p>
            <w:pPr/>
          </w:p>
        </w:tc>
        <w:tc>
          <w:tcPr>
            <w:tcW w:w="1333" w:type="dxa"/>
            <w:tcBorders>
              <w:top w:val="single" w:sz="4" w:space="0" w:color="009EEA"/>
              <w:left w:val="single" w:sz="4" w:space="0" w:color="009EEA"/>
              <w:bottom w:val="single" w:sz="4" w:space="0" w:color="009EEA"/>
              <w:right w:val="single" w:sz="4" w:space="0" w:color="009EEA"/>
            </w:tcBorders>
          </w:tcPr>
          <w:p>
            <w:pPr/>
          </w:p>
        </w:tc>
        <w:tc>
          <w:tcPr>
            <w:tcW w:w="1298" w:type="dxa"/>
            <w:tcBorders>
              <w:top w:val="single" w:sz="4" w:space="0" w:color="009EEA"/>
              <w:left w:val="single" w:sz="4" w:space="0" w:color="009EEA"/>
              <w:bottom w:val="single" w:sz="4" w:space="0" w:color="009EEA"/>
              <w:right w:val="single" w:sz="4" w:space="0" w:color="009EEA"/>
            </w:tcBorders>
          </w:tcPr>
          <w:p>
            <w:pPr/>
          </w:p>
        </w:tc>
        <w:tc>
          <w:tcPr>
            <w:tcW w:w="1332" w:type="dxa"/>
            <w:tcBorders>
              <w:top w:val="single" w:sz="4" w:space="0" w:color="009EEA"/>
              <w:left w:val="single" w:sz="4" w:space="0" w:color="009EEA"/>
              <w:bottom w:val="single" w:sz="4" w:space="0" w:color="009EEA"/>
              <w:right w:val="nil" w:sz="6" w:space="0" w:color="auto"/>
            </w:tcBorders>
          </w:tcPr>
          <w:p>
            <w:pPr/>
          </w:p>
        </w:tc>
      </w:tr>
      <w:tr>
        <w:trPr>
          <w:trHeight w:val="293" w:hRule="exact"/>
        </w:trPr>
        <w:tc>
          <w:tcPr>
            <w:tcW w:w="2840" w:type="dxa"/>
            <w:tcBorders>
              <w:top w:val="single" w:sz="4" w:space="0" w:color="009EEA"/>
              <w:left w:val="nil" w:sz="6" w:space="0" w:color="auto"/>
              <w:bottom w:val="single" w:sz="4" w:space="0" w:color="009EEA"/>
              <w:right w:val="single" w:sz="4" w:space="0" w:color="009EEA"/>
            </w:tcBorders>
          </w:tcPr>
          <w:p>
            <w:pPr>
              <w:pStyle w:val="TableParagraph"/>
              <w:spacing w:line="242" w:lineRule="exact"/>
              <w:ind w:left="28"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．其他</w:t>
            </w:r>
          </w:p>
        </w:tc>
        <w:tc>
          <w:tcPr>
            <w:tcW w:w="1333" w:type="dxa"/>
            <w:tcBorders>
              <w:top w:val="single" w:sz="4" w:space="0" w:color="009EEA"/>
              <w:left w:val="single" w:sz="4" w:space="0" w:color="009EEA"/>
              <w:bottom w:val="single" w:sz="4" w:space="0" w:color="009EEA"/>
              <w:right w:val="single" w:sz="4" w:space="0" w:color="009EEA"/>
            </w:tcBorders>
          </w:tcPr>
          <w:p>
            <w:pPr/>
          </w:p>
        </w:tc>
        <w:tc>
          <w:tcPr>
            <w:tcW w:w="1334" w:type="dxa"/>
            <w:tcBorders>
              <w:top w:val="single" w:sz="4" w:space="0" w:color="009EEA"/>
              <w:left w:val="single" w:sz="4" w:space="0" w:color="009EEA"/>
              <w:bottom w:val="single" w:sz="4" w:space="0" w:color="009EEA"/>
              <w:right w:val="single" w:sz="4" w:space="0" w:color="009EEA"/>
            </w:tcBorders>
          </w:tcPr>
          <w:p>
            <w:pPr/>
          </w:p>
        </w:tc>
        <w:tc>
          <w:tcPr>
            <w:tcW w:w="689" w:type="dxa"/>
            <w:tcBorders>
              <w:top w:val="single" w:sz="4" w:space="0" w:color="009EEA"/>
              <w:left w:val="single" w:sz="4" w:space="0" w:color="009EEA"/>
              <w:bottom w:val="single" w:sz="4" w:space="0" w:color="009EEA"/>
              <w:right w:val="single" w:sz="4" w:space="0" w:color="009EEA"/>
            </w:tcBorders>
          </w:tcPr>
          <w:p>
            <w:pPr/>
          </w:p>
        </w:tc>
        <w:tc>
          <w:tcPr>
            <w:tcW w:w="1090" w:type="dxa"/>
            <w:tcBorders>
              <w:top w:val="single" w:sz="4" w:space="0" w:color="009EEA"/>
              <w:left w:val="single" w:sz="4" w:space="0" w:color="009EEA"/>
              <w:bottom w:val="single" w:sz="4" w:space="0" w:color="009EEA"/>
              <w:right w:val="single" w:sz="4" w:space="0" w:color="009EEA"/>
            </w:tcBorders>
          </w:tcPr>
          <w:p>
            <w:pPr/>
          </w:p>
        </w:tc>
        <w:tc>
          <w:tcPr>
            <w:tcW w:w="1334" w:type="dxa"/>
            <w:tcBorders>
              <w:top w:val="single" w:sz="4" w:space="0" w:color="009EEA"/>
              <w:left w:val="single" w:sz="4" w:space="0" w:color="009EEA"/>
              <w:bottom w:val="single" w:sz="4" w:space="0" w:color="009EEA"/>
              <w:right w:val="single" w:sz="4" w:space="0" w:color="009EEA"/>
            </w:tcBorders>
          </w:tcPr>
          <w:p>
            <w:pPr/>
          </w:p>
        </w:tc>
        <w:tc>
          <w:tcPr>
            <w:tcW w:w="1349" w:type="dxa"/>
            <w:tcBorders>
              <w:top w:val="single" w:sz="4" w:space="0" w:color="009EEA"/>
              <w:left w:val="single" w:sz="4" w:space="0" w:color="009EEA"/>
              <w:bottom w:val="single" w:sz="4" w:space="0" w:color="009EEA"/>
              <w:right w:val="single" w:sz="4" w:space="0" w:color="009EEA"/>
            </w:tcBorders>
          </w:tcPr>
          <w:p>
            <w:pPr/>
          </w:p>
        </w:tc>
        <w:tc>
          <w:tcPr>
            <w:tcW w:w="1333" w:type="dxa"/>
            <w:tcBorders>
              <w:top w:val="single" w:sz="4" w:space="0" w:color="009EEA"/>
              <w:left w:val="single" w:sz="4" w:space="0" w:color="009EEA"/>
              <w:bottom w:val="single" w:sz="4" w:space="0" w:color="009EEA"/>
              <w:right w:val="single" w:sz="4" w:space="0" w:color="009EEA"/>
            </w:tcBorders>
          </w:tcPr>
          <w:p>
            <w:pPr/>
          </w:p>
        </w:tc>
        <w:tc>
          <w:tcPr>
            <w:tcW w:w="1298" w:type="dxa"/>
            <w:tcBorders>
              <w:top w:val="single" w:sz="4" w:space="0" w:color="009EEA"/>
              <w:left w:val="single" w:sz="4" w:space="0" w:color="009EEA"/>
              <w:bottom w:val="single" w:sz="4" w:space="0" w:color="009EEA"/>
              <w:right w:val="single" w:sz="4" w:space="0" w:color="009EEA"/>
            </w:tcBorders>
          </w:tcPr>
          <w:p>
            <w:pPr/>
          </w:p>
        </w:tc>
        <w:tc>
          <w:tcPr>
            <w:tcW w:w="1332" w:type="dxa"/>
            <w:tcBorders>
              <w:top w:val="single" w:sz="4" w:space="0" w:color="009EEA"/>
              <w:left w:val="single" w:sz="4" w:space="0" w:color="009EEA"/>
              <w:bottom w:val="single" w:sz="4" w:space="0" w:color="009EEA"/>
              <w:right w:val="nil" w:sz="6" w:space="0" w:color="auto"/>
            </w:tcBorders>
          </w:tcPr>
          <w:p>
            <w:pPr/>
          </w:p>
        </w:tc>
      </w:tr>
      <w:tr>
        <w:trPr>
          <w:trHeight w:val="295" w:hRule="exact"/>
        </w:trPr>
        <w:tc>
          <w:tcPr>
            <w:tcW w:w="2840" w:type="dxa"/>
            <w:tcBorders>
              <w:top w:val="single" w:sz="4" w:space="0" w:color="009EEA"/>
              <w:left w:val="nil" w:sz="6" w:space="0" w:color="auto"/>
              <w:bottom w:val="single" w:sz="4" w:space="0" w:color="009EEA"/>
              <w:right w:val="single" w:sz="4" w:space="0" w:color="009EEA"/>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33" w:type="dxa"/>
            <w:tcBorders>
              <w:top w:val="single" w:sz="4" w:space="0" w:color="009EEA"/>
              <w:left w:val="single" w:sz="4" w:space="0" w:color="009EEA"/>
              <w:bottom w:val="single" w:sz="4" w:space="0" w:color="009EEA"/>
              <w:right w:val="single" w:sz="4" w:space="0" w:color="009EEA"/>
            </w:tcBorders>
          </w:tcPr>
          <w:p>
            <w:pPr/>
          </w:p>
        </w:tc>
        <w:tc>
          <w:tcPr>
            <w:tcW w:w="1334" w:type="dxa"/>
            <w:tcBorders>
              <w:top w:val="single" w:sz="4" w:space="0" w:color="009EEA"/>
              <w:left w:val="single" w:sz="4" w:space="0" w:color="009EEA"/>
              <w:bottom w:val="single" w:sz="4" w:space="0" w:color="009EEA"/>
              <w:right w:val="single" w:sz="4" w:space="0" w:color="009EEA"/>
            </w:tcBorders>
          </w:tcPr>
          <w:p>
            <w:pPr/>
          </w:p>
        </w:tc>
        <w:tc>
          <w:tcPr>
            <w:tcW w:w="689" w:type="dxa"/>
            <w:tcBorders>
              <w:top w:val="single" w:sz="4" w:space="0" w:color="009EEA"/>
              <w:left w:val="single" w:sz="4" w:space="0" w:color="009EEA"/>
              <w:bottom w:val="single" w:sz="4" w:space="0" w:color="009EEA"/>
              <w:right w:val="single" w:sz="4" w:space="0" w:color="009EEA"/>
            </w:tcBorders>
          </w:tcPr>
          <w:p>
            <w:pPr/>
          </w:p>
        </w:tc>
        <w:tc>
          <w:tcPr>
            <w:tcW w:w="1090" w:type="dxa"/>
            <w:tcBorders>
              <w:top w:val="single" w:sz="4" w:space="0" w:color="009EEA"/>
              <w:left w:val="single" w:sz="4" w:space="0" w:color="009EEA"/>
              <w:bottom w:val="single" w:sz="4" w:space="0" w:color="009EEA"/>
              <w:right w:val="single" w:sz="4" w:space="0" w:color="009EEA"/>
            </w:tcBorders>
          </w:tcPr>
          <w:p>
            <w:pPr/>
          </w:p>
        </w:tc>
        <w:tc>
          <w:tcPr>
            <w:tcW w:w="1334" w:type="dxa"/>
            <w:tcBorders>
              <w:top w:val="single" w:sz="4" w:space="0" w:color="009EEA"/>
              <w:left w:val="single" w:sz="4" w:space="0" w:color="009EEA"/>
              <w:bottom w:val="single" w:sz="4" w:space="0" w:color="009EEA"/>
              <w:right w:val="single" w:sz="4" w:space="0" w:color="009EEA"/>
            </w:tcBorders>
          </w:tcPr>
          <w:p>
            <w:pPr/>
          </w:p>
        </w:tc>
        <w:tc>
          <w:tcPr>
            <w:tcW w:w="1349" w:type="dxa"/>
            <w:tcBorders>
              <w:top w:val="single" w:sz="4" w:space="0" w:color="009EEA"/>
              <w:left w:val="single" w:sz="4" w:space="0" w:color="009EEA"/>
              <w:bottom w:val="single" w:sz="4" w:space="0" w:color="009EEA"/>
              <w:right w:val="single" w:sz="4" w:space="0" w:color="009EEA"/>
            </w:tcBorders>
          </w:tcPr>
          <w:p>
            <w:pPr/>
          </w:p>
        </w:tc>
        <w:tc>
          <w:tcPr>
            <w:tcW w:w="1333" w:type="dxa"/>
            <w:tcBorders>
              <w:top w:val="single" w:sz="4" w:space="0" w:color="009EEA"/>
              <w:left w:val="single" w:sz="4" w:space="0" w:color="009EEA"/>
              <w:bottom w:val="single" w:sz="4" w:space="0" w:color="009EEA"/>
              <w:right w:val="single" w:sz="4" w:space="0" w:color="009EEA"/>
            </w:tcBorders>
          </w:tcPr>
          <w:p>
            <w:pPr/>
          </w:p>
        </w:tc>
        <w:tc>
          <w:tcPr>
            <w:tcW w:w="1298" w:type="dxa"/>
            <w:tcBorders>
              <w:top w:val="single" w:sz="4" w:space="0" w:color="009EEA"/>
              <w:left w:val="single" w:sz="4" w:space="0" w:color="009EEA"/>
              <w:bottom w:val="single" w:sz="4" w:space="0" w:color="009EEA"/>
              <w:right w:val="single" w:sz="4" w:space="0" w:color="009EEA"/>
            </w:tcBorders>
          </w:tcPr>
          <w:p>
            <w:pPr/>
          </w:p>
        </w:tc>
        <w:tc>
          <w:tcPr>
            <w:tcW w:w="1332" w:type="dxa"/>
            <w:tcBorders>
              <w:top w:val="single" w:sz="4" w:space="0" w:color="009EEA"/>
              <w:left w:val="single" w:sz="4" w:space="0" w:color="009EEA"/>
              <w:bottom w:val="single" w:sz="4" w:space="0" w:color="009EEA"/>
              <w:right w:val="nil" w:sz="6" w:space="0" w:color="auto"/>
            </w:tcBorders>
          </w:tcPr>
          <w:p>
            <w:pPr/>
          </w:p>
        </w:tc>
      </w:tr>
      <w:tr>
        <w:trPr>
          <w:trHeight w:val="293" w:hRule="exact"/>
        </w:trPr>
        <w:tc>
          <w:tcPr>
            <w:tcW w:w="2840" w:type="dxa"/>
            <w:tcBorders>
              <w:top w:val="single" w:sz="4" w:space="0" w:color="009EEA"/>
              <w:left w:val="nil" w:sz="6" w:space="0" w:color="auto"/>
              <w:bottom w:val="single" w:sz="4" w:space="0" w:color="009EEA"/>
              <w:right w:val="single" w:sz="4" w:space="0" w:color="009EEA"/>
            </w:tcBorders>
          </w:tcPr>
          <w:p>
            <w:pPr>
              <w:pStyle w:val="TableParagraph"/>
              <w:spacing w:line="229" w:lineRule="exact"/>
              <w:ind w:left="28"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33" w:type="dxa"/>
            <w:tcBorders>
              <w:top w:val="single" w:sz="4" w:space="0" w:color="009EEA"/>
              <w:left w:val="single" w:sz="4" w:space="0" w:color="009EEA"/>
              <w:bottom w:val="single" w:sz="4" w:space="0" w:color="009EEA"/>
              <w:right w:val="single" w:sz="4" w:space="0" w:color="009EEA"/>
            </w:tcBorders>
          </w:tcPr>
          <w:p>
            <w:pPr/>
          </w:p>
        </w:tc>
        <w:tc>
          <w:tcPr>
            <w:tcW w:w="1334" w:type="dxa"/>
            <w:tcBorders>
              <w:top w:val="single" w:sz="4" w:space="0" w:color="009EEA"/>
              <w:left w:val="single" w:sz="4" w:space="0" w:color="009EEA"/>
              <w:bottom w:val="single" w:sz="4" w:space="0" w:color="009EEA"/>
              <w:right w:val="single" w:sz="4" w:space="0" w:color="009EEA"/>
            </w:tcBorders>
          </w:tcPr>
          <w:p>
            <w:pPr/>
          </w:p>
        </w:tc>
        <w:tc>
          <w:tcPr>
            <w:tcW w:w="689" w:type="dxa"/>
            <w:tcBorders>
              <w:top w:val="single" w:sz="4" w:space="0" w:color="009EEA"/>
              <w:left w:val="single" w:sz="4" w:space="0" w:color="009EEA"/>
              <w:bottom w:val="single" w:sz="4" w:space="0" w:color="009EEA"/>
              <w:right w:val="single" w:sz="4" w:space="0" w:color="009EEA"/>
            </w:tcBorders>
          </w:tcPr>
          <w:p>
            <w:pPr/>
          </w:p>
        </w:tc>
        <w:tc>
          <w:tcPr>
            <w:tcW w:w="109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1"/>
              <w:ind w:left="24" w:right="0"/>
              <w:jc w:val="center"/>
              <w:rPr>
                <w:rFonts w:ascii="Arial" w:hAnsi="Arial" w:cs="Arial" w:eastAsia="Arial" w:hint="default"/>
                <w:sz w:val="20"/>
                <w:szCs w:val="20"/>
              </w:rPr>
            </w:pPr>
            <w:r>
              <w:rPr>
                <w:rFonts w:ascii="Arial"/>
                <w:w w:val="80"/>
                <w:sz w:val="20"/>
              </w:rPr>
              <w:t>-3,063,918.37</w:t>
            </w:r>
            <w:r>
              <w:rPr>
                <w:rFonts w:ascii="Arial"/>
                <w:sz w:val="20"/>
              </w:rPr>
            </w:r>
          </w:p>
        </w:tc>
        <w:tc>
          <w:tcPr>
            <w:tcW w:w="1334" w:type="dxa"/>
            <w:tcBorders>
              <w:top w:val="single" w:sz="4" w:space="0" w:color="009EEA"/>
              <w:left w:val="single" w:sz="4" w:space="0" w:color="009EEA"/>
              <w:bottom w:val="single" w:sz="4" w:space="0" w:color="009EEA"/>
              <w:right w:val="single" w:sz="4" w:space="0" w:color="009EEA"/>
            </w:tcBorders>
          </w:tcPr>
          <w:p>
            <w:pPr/>
          </w:p>
        </w:tc>
        <w:tc>
          <w:tcPr>
            <w:tcW w:w="1349" w:type="dxa"/>
            <w:tcBorders>
              <w:top w:val="single" w:sz="4" w:space="0" w:color="009EEA"/>
              <w:left w:val="single" w:sz="4" w:space="0" w:color="009EEA"/>
              <w:bottom w:val="single" w:sz="4" w:space="0" w:color="009EEA"/>
              <w:right w:val="single" w:sz="4" w:space="0" w:color="009EEA"/>
            </w:tcBorders>
          </w:tcPr>
          <w:p>
            <w:pPr/>
          </w:p>
        </w:tc>
        <w:tc>
          <w:tcPr>
            <w:tcW w:w="13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1"/>
              <w:ind w:right="19"/>
              <w:jc w:val="right"/>
              <w:rPr>
                <w:rFonts w:ascii="Arial" w:hAnsi="Arial" w:cs="Arial" w:eastAsia="Arial" w:hint="default"/>
                <w:sz w:val="20"/>
                <w:szCs w:val="20"/>
              </w:rPr>
            </w:pPr>
            <w:r>
              <w:rPr>
                <w:rFonts w:ascii="Arial"/>
                <w:w w:val="80"/>
                <w:sz w:val="20"/>
              </w:rPr>
              <w:t>-3,063,918.37</w:t>
            </w:r>
            <w:r>
              <w:rPr>
                <w:rFonts w:ascii="Arial"/>
                <w:sz w:val="20"/>
              </w:rPr>
            </w:r>
          </w:p>
        </w:tc>
        <w:tc>
          <w:tcPr>
            <w:tcW w:w="1298" w:type="dxa"/>
            <w:tcBorders>
              <w:top w:val="single" w:sz="4" w:space="0" w:color="009EEA"/>
              <w:left w:val="single" w:sz="4" w:space="0" w:color="009EEA"/>
              <w:bottom w:val="single" w:sz="4" w:space="0" w:color="009EEA"/>
              <w:right w:val="single" w:sz="4" w:space="0" w:color="009EEA"/>
            </w:tcBorders>
          </w:tcPr>
          <w:p>
            <w:pPr/>
          </w:p>
        </w:tc>
        <w:tc>
          <w:tcPr>
            <w:tcW w:w="13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1"/>
              <w:ind w:right="23"/>
              <w:jc w:val="right"/>
              <w:rPr>
                <w:rFonts w:ascii="Arial" w:hAnsi="Arial" w:cs="Arial" w:eastAsia="Arial" w:hint="default"/>
                <w:sz w:val="20"/>
                <w:szCs w:val="20"/>
              </w:rPr>
            </w:pPr>
            <w:r>
              <w:rPr>
                <w:rFonts w:ascii="Arial"/>
                <w:w w:val="80"/>
                <w:sz w:val="20"/>
              </w:rPr>
              <w:t>-3,063,918.37</w:t>
            </w:r>
            <w:r>
              <w:rPr>
                <w:rFonts w:ascii="Arial"/>
                <w:sz w:val="20"/>
              </w:rPr>
            </w:r>
          </w:p>
        </w:tc>
      </w:tr>
      <w:tr>
        <w:trPr>
          <w:trHeight w:val="303" w:hRule="exact"/>
        </w:trPr>
        <w:tc>
          <w:tcPr>
            <w:tcW w:w="2840" w:type="dxa"/>
            <w:tcBorders>
              <w:top w:val="single" w:sz="4" w:space="0" w:color="009EEA"/>
              <w:left w:val="nil" w:sz="6" w:space="0" w:color="auto"/>
              <w:bottom w:val="single" w:sz="8" w:space="0" w:color="009EEA"/>
              <w:right w:val="single" w:sz="4" w:space="0" w:color="009EEA"/>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33"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24"/>
              <w:ind w:right="20"/>
              <w:jc w:val="right"/>
              <w:rPr>
                <w:rFonts w:ascii="Arial" w:hAnsi="Arial" w:cs="Arial" w:eastAsia="Arial" w:hint="default"/>
                <w:sz w:val="20"/>
                <w:szCs w:val="20"/>
              </w:rPr>
            </w:pPr>
            <w:r>
              <w:rPr>
                <w:rFonts w:ascii="Arial"/>
                <w:spacing w:val="-1"/>
                <w:w w:val="80"/>
                <w:sz w:val="20"/>
              </w:rPr>
              <w:t>1,777,679,909.00</w:t>
            </w:r>
            <w:r>
              <w:rPr>
                <w:rFonts w:ascii="Arial"/>
                <w:spacing w:val="-1"/>
                <w:sz w:val="20"/>
              </w:rPr>
            </w:r>
          </w:p>
        </w:tc>
        <w:tc>
          <w:tcPr>
            <w:tcW w:w="133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24"/>
              <w:ind w:right="0"/>
              <w:jc w:val="center"/>
              <w:rPr>
                <w:rFonts w:ascii="Arial" w:hAnsi="Arial" w:cs="Arial" w:eastAsia="Arial" w:hint="default"/>
                <w:sz w:val="20"/>
                <w:szCs w:val="20"/>
              </w:rPr>
            </w:pPr>
            <w:r>
              <w:rPr>
                <w:rFonts w:ascii="Arial"/>
                <w:w w:val="80"/>
                <w:sz w:val="20"/>
              </w:rPr>
              <w:t>2,420,221,207.29</w:t>
            </w:r>
            <w:r>
              <w:rPr>
                <w:rFonts w:ascii="Arial"/>
                <w:sz w:val="20"/>
              </w:rPr>
            </w:r>
          </w:p>
        </w:tc>
        <w:tc>
          <w:tcPr>
            <w:tcW w:w="689" w:type="dxa"/>
            <w:tcBorders>
              <w:top w:val="single" w:sz="4" w:space="0" w:color="009EEA"/>
              <w:left w:val="single" w:sz="4" w:space="0" w:color="009EEA"/>
              <w:bottom w:val="single" w:sz="8" w:space="0" w:color="009EEA"/>
              <w:right w:val="single" w:sz="4" w:space="0" w:color="009EEA"/>
            </w:tcBorders>
          </w:tcPr>
          <w:p>
            <w:pPr/>
          </w:p>
        </w:tc>
        <w:tc>
          <w:tcPr>
            <w:tcW w:w="1090" w:type="dxa"/>
            <w:tcBorders>
              <w:top w:val="single" w:sz="4" w:space="0" w:color="009EEA"/>
              <w:left w:val="single" w:sz="4" w:space="0" w:color="009EEA"/>
              <w:bottom w:val="single" w:sz="8" w:space="0" w:color="009EEA"/>
              <w:right w:val="single" w:sz="4" w:space="0" w:color="009EEA"/>
            </w:tcBorders>
          </w:tcPr>
          <w:p>
            <w:pPr/>
          </w:p>
        </w:tc>
        <w:tc>
          <w:tcPr>
            <w:tcW w:w="133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24"/>
              <w:ind w:right="0"/>
              <w:jc w:val="center"/>
              <w:rPr>
                <w:rFonts w:ascii="Arial" w:hAnsi="Arial" w:cs="Arial" w:eastAsia="Arial" w:hint="default"/>
                <w:sz w:val="20"/>
                <w:szCs w:val="20"/>
              </w:rPr>
            </w:pPr>
            <w:r>
              <w:rPr>
                <w:rFonts w:ascii="Arial"/>
                <w:w w:val="80"/>
                <w:sz w:val="20"/>
              </w:rPr>
              <w:t>1,518,444,124.46</w:t>
            </w:r>
            <w:r>
              <w:rPr>
                <w:rFonts w:ascii="Arial"/>
                <w:sz w:val="20"/>
              </w:rPr>
            </w:r>
          </w:p>
        </w:tc>
        <w:tc>
          <w:tcPr>
            <w:tcW w:w="134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24"/>
              <w:ind w:right="19"/>
              <w:jc w:val="right"/>
              <w:rPr>
                <w:rFonts w:ascii="Arial" w:hAnsi="Arial" w:cs="Arial" w:eastAsia="Arial" w:hint="default"/>
                <w:sz w:val="20"/>
                <w:szCs w:val="20"/>
              </w:rPr>
            </w:pPr>
            <w:r>
              <w:rPr>
                <w:rFonts w:ascii="Arial"/>
                <w:w w:val="80"/>
                <w:sz w:val="20"/>
              </w:rPr>
              <w:t>794,876,744.59</w:t>
            </w:r>
            <w:r>
              <w:rPr>
                <w:rFonts w:ascii="Arial"/>
                <w:sz w:val="20"/>
              </w:rPr>
            </w:r>
          </w:p>
        </w:tc>
        <w:tc>
          <w:tcPr>
            <w:tcW w:w="1333"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24"/>
              <w:ind w:right="20"/>
              <w:jc w:val="right"/>
              <w:rPr>
                <w:rFonts w:ascii="Arial" w:hAnsi="Arial" w:cs="Arial" w:eastAsia="Arial" w:hint="default"/>
                <w:sz w:val="20"/>
                <w:szCs w:val="20"/>
              </w:rPr>
            </w:pPr>
            <w:r>
              <w:rPr>
                <w:rFonts w:ascii="Arial"/>
                <w:spacing w:val="-1"/>
                <w:w w:val="80"/>
                <w:sz w:val="20"/>
              </w:rPr>
              <w:t>6,511,221,985.34</w:t>
            </w:r>
            <w:r>
              <w:rPr>
                <w:rFonts w:ascii="Arial"/>
                <w:spacing w:val="-1"/>
                <w:sz w:val="20"/>
              </w:rPr>
            </w:r>
          </w:p>
        </w:tc>
        <w:tc>
          <w:tcPr>
            <w:tcW w:w="1298"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24"/>
              <w:ind w:right="21"/>
              <w:jc w:val="right"/>
              <w:rPr>
                <w:rFonts w:ascii="Arial" w:hAnsi="Arial" w:cs="Arial" w:eastAsia="Arial" w:hint="default"/>
                <w:sz w:val="20"/>
                <w:szCs w:val="20"/>
              </w:rPr>
            </w:pPr>
            <w:r>
              <w:rPr>
                <w:rFonts w:ascii="Arial"/>
                <w:w w:val="80"/>
                <w:sz w:val="20"/>
              </w:rPr>
              <w:t>-203,316,512.00</w:t>
            </w:r>
            <w:r>
              <w:rPr>
                <w:rFonts w:ascii="Arial"/>
                <w:sz w:val="20"/>
              </w:rPr>
            </w:r>
          </w:p>
        </w:tc>
        <w:tc>
          <w:tcPr>
            <w:tcW w:w="1332"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24"/>
              <w:ind w:right="24"/>
              <w:jc w:val="right"/>
              <w:rPr>
                <w:rFonts w:ascii="Arial" w:hAnsi="Arial" w:cs="Arial" w:eastAsia="Arial" w:hint="default"/>
                <w:sz w:val="20"/>
                <w:szCs w:val="20"/>
              </w:rPr>
            </w:pPr>
            <w:r>
              <w:rPr>
                <w:rFonts w:ascii="Arial"/>
                <w:spacing w:val="-1"/>
                <w:w w:val="80"/>
                <w:sz w:val="20"/>
              </w:rPr>
              <w:t>6,307,905,473.34</w:t>
            </w:r>
            <w:r>
              <w:rPr>
                <w:rFonts w:ascii="Arial"/>
                <w:spacing w:val="-1"/>
                <w:sz w:val="20"/>
              </w:rPr>
            </w:r>
          </w:p>
        </w:tc>
      </w:tr>
    </w:tbl>
    <w:p>
      <w:pPr>
        <w:spacing w:line="240" w:lineRule="auto" w:before="11"/>
        <w:rPr>
          <w:rFonts w:ascii="宋体" w:hAnsi="宋体" w:cs="宋体" w:eastAsia="宋体" w:hint="default"/>
          <w:sz w:val="2"/>
          <w:szCs w:val="2"/>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697.55pt;height:1pt;mso-position-horizontal-relative:char;mso-position-vertical-relative:line" coordorigin="0,0" coordsize="13951,20">
            <v:group style="position:absolute;left:10;top:10;width:2835;height:2" coordorigin="10,10" coordsize="2835,2">
              <v:shape style="position:absolute;left:10;top:10;width:2835;height:2" coordorigin="10,10" coordsize="2835,0" path="m10,10l2844,10e" filled="false" stroked="true" strokeweight=".95999pt" strokecolor="#009eea">
                <v:path arrowok="t"/>
              </v:shape>
            </v:group>
            <v:group style="position:absolute;left:2844;top:10;width:58;height:2" coordorigin="2844,10" coordsize="58,2">
              <v:shape style="position:absolute;left:2844;top:10;width:58;height:2" coordorigin="2844,10" coordsize="58,0" path="m2844,10l2902,10e" filled="false" stroked="true" strokeweight=".95999pt" strokecolor="#009eea">
                <v:path arrowok="t"/>
              </v:shape>
            </v:group>
            <v:group style="position:absolute;left:2902;top:10;width:1275;height:2" coordorigin="2902,10" coordsize="1275,2">
              <v:shape style="position:absolute;left:2902;top:10;width:1275;height:2" coordorigin="2902,10" coordsize="1275,0" path="m2902,10l4177,10e" filled="false" stroked="true" strokeweight=".95999pt" strokecolor="#009eea">
                <v:path arrowok="t"/>
              </v:shape>
            </v:group>
            <v:group style="position:absolute;left:4177;top:10;width:58;height:2" coordorigin="4177,10" coordsize="58,2">
              <v:shape style="position:absolute;left:4177;top:10;width:58;height:2" coordorigin="4177,10" coordsize="58,0" path="m4177,10l4235,10e" filled="false" stroked="true" strokeweight=".95999pt" strokecolor="#009eea">
                <v:path arrowok="t"/>
              </v:shape>
            </v:group>
            <v:group style="position:absolute;left:4235;top:10;width:1277;height:2" coordorigin="4235,10" coordsize="1277,2">
              <v:shape style="position:absolute;left:4235;top:10;width:1277;height:2" coordorigin="4235,10" coordsize="1277,0" path="m4235,10l5511,10e" filled="false" stroked="true" strokeweight=".95999pt" strokecolor="#009eea">
                <v:path arrowok="t"/>
              </v:shape>
            </v:group>
            <v:group style="position:absolute;left:5511;top:10;width:58;height:2" coordorigin="5511,10" coordsize="58,2">
              <v:shape style="position:absolute;left:5511;top:10;width:58;height:2" coordorigin="5511,10" coordsize="58,0" path="m5511,10l5569,10e" filled="false" stroked="true" strokeweight=".95999pt" strokecolor="#009eea">
                <v:path arrowok="t"/>
              </v:shape>
            </v:group>
            <v:group style="position:absolute;left:5569;top:10;width:632;height:2" coordorigin="5569,10" coordsize="632,2">
              <v:shape style="position:absolute;left:5569;top:10;width:632;height:2" coordorigin="5569,10" coordsize="632,0" path="m5569,10l6200,10e" filled="false" stroked="true" strokeweight=".95999pt" strokecolor="#009eea">
                <v:path arrowok="t"/>
              </v:shape>
            </v:group>
            <v:group style="position:absolute;left:6200;top:10;width:58;height:2" coordorigin="6200,10" coordsize="58,2">
              <v:shape style="position:absolute;left:6200;top:10;width:58;height:2" coordorigin="6200,10" coordsize="58,0" path="m6200,10l6258,10e" filled="false" stroked="true" strokeweight=".95999pt" strokecolor="#009eea">
                <v:path arrowok="t"/>
              </v:shape>
            </v:group>
            <v:group style="position:absolute;left:6258;top:10;width:1033;height:2" coordorigin="6258,10" coordsize="1033,2">
              <v:shape style="position:absolute;left:6258;top:10;width:1033;height:2" coordorigin="6258,10" coordsize="1033,0" path="m6258,10l7290,10e" filled="false" stroked="true" strokeweight=".95999pt" strokecolor="#009eea">
                <v:path arrowok="t"/>
              </v:shape>
            </v:group>
            <v:group style="position:absolute;left:7290;top:10;width:58;height:2" coordorigin="7290,10" coordsize="58,2">
              <v:shape style="position:absolute;left:7290;top:10;width:58;height:2" coordorigin="7290,10" coordsize="58,0" path="m7290,10l7348,10e" filled="false" stroked="true" strokeweight=".95999pt" strokecolor="#009eea">
                <v:path arrowok="t"/>
              </v:shape>
            </v:group>
            <v:group style="position:absolute;left:7348;top:10;width:1277;height:2" coordorigin="7348,10" coordsize="1277,2">
              <v:shape style="position:absolute;left:7348;top:10;width:1277;height:2" coordorigin="7348,10" coordsize="1277,0" path="m7348,10l8625,10e" filled="false" stroked="true" strokeweight=".95999pt" strokecolor="#009eea">
                <v:path arrowok="t"/>
              </v:shape>
            </v:group>
            <v:group style="position:absolute;left:8625;top:10;width:58;height:2" coordorigin="8625,10" coordsize="58,2">
              <v:shape style="position:absolute;left:8625;top:10;width:58;height:2" coordorigin="8625,10" coordsize="58,0" path="m8625,10l8682,10e" filled="false" stroked="true" strokeweight=".95999pt" strokecolor="#009eea">
                <v:path arrowok="t"/>
              </v:shape>
            </v:group>
            <v:group style="position:absolute;left:8682;top:10;width:1292;height:2" coordorigin="8682,10" coordsize="1292,2">
              <v:shape style="position:absolute;left:8682;top:10;width:1292;height:2" coordorigin="8682,10" coordsize="1292,0" path="m8682,10l9973,10e" filled="false" stroked="true" strokeweight=".95999pt" strokecolor="#009eea">
                <v:path arrowok="t"/>
              </v:shape>
            </v:group>
            <v:group style="position:absolute;left:9973;top:10;width:58;height:2" coordorigin="9973,10" coordsize="58,2">
              <v:shape style="position:absolute;left:9973;top:10;width:58;height:2" coordorigin="9973,10" coordsize="58,0" path="m9973,10l10031,10e" filled="false" stroked="true" strokeweight=".95999pt" strokecolor="#009eea">
                <v:path arrowok="t"/>
              </v:shape>
            </v:group>
            <v:group style="position:absolute;left:10031;top:10;width:1275;height:2" coordorigin="10031,10" coordsize="1275,2">
              <v:shape style="position:absolute;left:10031;top:10;width:1275;height:2" coordorigin="10031,10" coordsize="1275,0" path="m10031,10l11306,10e" filled="false" stroked="true" strokeweight=".95999pt" strokecolor="#009eea">
                <v:path arrowok="t"/>
              </v:shape>
            </v:group>
            <v:group style="position:absolute;left:11306;top:10;width:58;height:2" coordorigin="11306,10" coordsize="58,2">
              <v:shape style="position:absolute;left:11306;top:10;width:58;height:2" coordorigin="11306,10" coordsize="58,0" path="m11306,10l11364,10e" filled="false" stroked="true" strokeweight=".95999pt" strokecolor="#009eea">
                <v:path arrowok="t"/>
              </v:shape>
            </v:group>
            <v:group style="position:absolute;left:11364;top:10;width:1241;height:2" coordorigin="11364,10" coordsize="1241,2">
              <v:shape style="position:absolute;left:11364;top:10;width:1241;height:2" coordorigin="11364,10" coordsize="1241,0" path="m11364,10l12604,10e" filled="false" stroked="true" strokeweight=".95999pt" strokecolor="#009eea">
                <v:path arrowok="t"/>
              </v:shape>
            </v:group>
            <v:group style="position:absolute;left:12604;top:10;width:58;height:2" coordorigin="12604,10" coordsize="58,2">
              <v:shape style="position:absolute;left:12604;top:10;width:58;height:2" coordorigin="12604,10" coordsize="58,0" path="m12604,10l12662,10e" filled="false" stroked="true" strokeweight=".95999pt" strokecolor="#009eea">
                <v:path arrowok="t"/>
              </v:shape>
            </v:group>
            <v:group style="position:absolute;left:12662;top:10;width:1280;height:2" coordorigin="12662,10" coordsize="1280,2">
              <v:shape style="position:absolute;left:12662;top:10;width:1280;height:2" coordorigin="12662,10" coordsize="1280,0" path="m12662,10l13941,10e" filled="false" stroked="true" strokeweight=".95999pt" strokecolor="#009eea">
                <v:path arrowok="t"/>
              </v:shape>
            </v:group>
          </v:group>
        </w:pict>
      </w:r>
      <w:r>
        <w:rPr>
          <w:rFonts w:ascii="宋体" w:hAnsi="宋体" w:cs="宋体" w:eastAsia="宋体" w:hint="default"/>
          <w:sz w:val="2"/>
          <w:szCs w:val="2"/>
        </w:rPr>
      </w:r>
    </w:p>
    <w:p>
      <w:pPr>
        <w:pStyle w:val="BodyText"/>
        <w:spacing w:line="238" w:lineRule="exact"/>
        <w:ind w:left="144" w:right="0"/>
        <w:jc w:val="left"/>
        <w:rPr>
          <w:rFonts w:ascii="宋体" w:hAnsi="宋体" w:cs="宋体" w:eastAsia="宋体" w:hint="default"/>
        </w:rPr>
      </w:pPr>
      <w:r>
        <w:rPr>
          <w:rFonts w:ascii="宋体"/>
          <w:w w:val="100"/>
        </w:rPr>
        <w:t> </w:t>
      </w:r>
    </w:p>
    <w:p>
      <w:pPr>
        <w:pStyle w:val="BodyText"/>
        <w:spacing w:line="271" w:lineRule="exact"/>
        <w:ind w:left="144" w:right="0"/>
        <w:jc w:val="left"/>
        <w:rPr>
          <w:rFonts w:ascii="宋体" w:hAnsi="宋体" w:cs="宋体" w:eastAsia="宋体" w:hint="default"/>
        </w:rPr>
      </w:pPr>
      <w:r>
        <w:rPr/>
        <w:t>法定代表人：刘长友主管会计工作负责人：贺天元、总会计师及会计机构负责人：葛树峰</w:t>
      </w:r>
      <w:r>
        <w:rPr>
          <w:rFonts w:ascii="宋体" w:hAnsi="宋体" w:cs="宋体" w:eastAsia="宋体" w:hint="default"/>
          <w:b/>
          <w:bCs/>
          <w:color w:val="FF0000"/>
          <w:w w:val="99"/>
        </w:rPr>
        <w:t> </w:t>
      </w:r>
      <w:r>
        <w:rPr>
          <w:rFonts w:ascii="宋体" w:hAnsi="宋体" w:cs="宋体" w:eastAsia="宋体" w:hint="default"/>
        </w:rPr>
      </w:r>
    </w:p>
    <w:p>
      <w:pPr>
        <w:pStyle w:val="BodyText"/>
        <w:spacing w:line="273" w:lineRule="exact"/>
        <w:ind w:left="144"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6840" w:h="11910" w:orient="landscape"/>
          <w:pgMar w:header="826" w:footer="1195" w:top="1300" w:bottom="1380" w:left="1380" w:right="1280"/>
        </w:sectPr>
      </w:pPr>
    </w:p>
    <w:p>
      <w:pPr>
        <w:spacing w:line="240" w:lineRule="auto" w:before="11"/>
        <w:rPr>
          <w:rFonts w:ascii="宋体" w:hAnsi="宋体" w:cs="宋体" w:eastAsia="宋体" w:hint="default"/>
          <w:sz w:val="3"/>
          <w:szCs w:val="3"/>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6840" w:h="11910" w:orient="landscape"/>
          <w:pgMar w:header="826" w:footer="1195" w:top="1300" w:bottom="1380" w:left="1380" w:right="1200"/>
        </w:sectPr>
      </w:pPr>
    </w:p>
    <w:p>
      <w:pPr>
        <w:spacing w:line="272" w:lineRule="exact" w:before="64"/>
        <w:ind w:left="6308" w:right="0" w:hanging="399"/>
        <w:jc w:val="left"/>
        <w:rPr>
          <w:rFonts w:ascii="宋体" w:hAnsi="宋体" w:cs="宋体" w:eastAsia="宋体" w:hint="default"/>
          <w:sz w:val="21"/>
          <w:szCs w:val="21"/>
        </w:rPr>
      </w:pPr>
      <w:r>
        <w:rPr>
          <w:rFonts w:ascii="宋体" w:hAnsi="宋体" w:cs="宋体" w:eastAsia="宋体" w:hint="default"/>
          <w:b/>
          <w:bCs/>
          <w:sz w:val="21"/>
          <w:szCs w:val="21"/>
        </w:rPr>
        <w:t>母公司所有者权益变动表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24"/>
          <w:szCs w:val="24"/>
        </w:rPr>
      </w:pPr>
    </w:p>
    <w:p>
      <w:pPr>
        <w:pStyle w:val="BodyText"/>
        <w:spacing w:line="240" w:lineRule="auto"/>
        <w:ind w:left="3543"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360" w:bottom="1380" w:left="1380" w:right="1200"/>
          <w:cols w:num="2" w:equalWidth="0">
            <w:col w:w="8335" w:space="40"/>
            <w:col w:w="5885"/>
          </w:cols>
        </w:sectPr>
      </w:pPr>
    </w:p>
    <w:p>
      <w:pPr>
        <w:spacing w:line="240" w:lineRule="auto" w:before="4"/>
        <w:rPr>
          <w:rFonts w:ascii="宋体" w:hAnsi="宋体" w:cs="宋体" w:eastAsia="宋体" w:hint="default"/>
          <w:sz w:val="2"/>
          <w:szCs w:val="2"/>
        </w:rPr>
      </w:pPr>
    </w:p>
    <w:p>
      <w:pPr>
        <w:spacing w:line="20" w:lineRule="exact"/>
        <w:ind w:left="158" w:right="0" w:firstLine="0"/>
        <w:rPr>
          <w:rFonts w:ascii="宋体" w:hAnsi="宋体" w:cs="宋体" w:eastAsia="宋体" w:hint="default"/>
          <w:sz w:val="2"/>
          <w:szCs w:val="2"/>
        </w:rPr>
      </w:pPr>
      <w:r>
        <w:rPr>
          <w:rFonts w:ascii="宋体" w:hAnsi="宋体" w:cs="宋体" w:eastAsia="宋体" w:hint="default"/>
          <w:sz w:val="2"/>
          <w:szCs w:val="2"/>
        </w:rPr>
        <w:pict>
          <v:group style="width:699.1pt;height:1pt;mso-position-horizontal-relative:char;mso-position-vertical-relative:line" coordorigin="0,0" coordsize="13982,20">
            <v:group style="position:absolute;left:10;top:10;width:3063;height:2" coordorigin="10,10" coordsize="3063,2">
              <v:shape style="position:absolute;left:10;top:10;width:3063;height:2" coordorigin="10,10" coordsize="3063,0" path="m10,10l3072,10e" filled="false" stroked="true" strokeweight=".96pt" strokecolor="#009eea">
                <v:path arrowok="t"/>
              </v:shape>
            </v:group>
            <v:group style="position:absolute;left:3072;top:10;width:58;height:2" coordorigin="3072,10" coordsize="58,2">
              <v:shape style="position:absolute;left:3072;top:10;width:58;height:2" coordorigin="3072,10" coordsize="58,0" path="m3072,10l3130,10e" filled="false" stroked="true" strokeweight=".96pt" strokecolor="#009eea">
                <v:path arrowok="t"/>
              </v:shape>
            </v:group>
            <v:group style="position:absolute;left:3130;top:10;width:10843;height:2" coordorigin="3130,10" coordsize="10843,2">
              <v:shape style="position:absolute;left:3130;top:10;width:10843;height:2" coordorigin="3130,10" coordsize="10843,0" path="m3130,10l13972,10e" filled="false" stroked="true" strokeweight=".96pt" strokecolor="#009eea">
                <v:path arrowok="t"/>
              </v:shape>
            </v:group>
          </v:group>
        </w:pict>
      </w:r>
      <w:r>
        <w:rPr>
          <w:rFonts w:ascii="宋体" w:hAnsi="宋体" w:cs="宋体" w:eastAsia="宋体" w:hint="default"/>
          <w:sz w:val="2"/>
          <w:szCs w:val="2"/>
        </w:rPr>
      </w:r>
    </w:p>
    <w:tbl>
      <w:tblPr>
        <w:tblW w:w="0" w:type="auto"/>
        <w:jc w:val="left"/>
        <w:tblInd w:w="158" w:type="dxa"/>
        <w:tblLayout w:type="fixed"/>
        <w:tblCellMar>
          <w:top w:w="0" w:type="dxa"/>
          <w:left w:w="0" w:type="dxa"/>
          <w:bottom w:w="0" w:type="dxa"/>
          <w:right w:w="0" w:type="dxa"/>
        </w:tblCellMar>
        <w:tblLook w:val="01E0"/>
      </w:tblPr>
      <w:tblGrid>
        <w:gridCol w:w="3068"/>
        <w:gridCol w:w="1702"/>
        <w:gridCol w:w="1699"/>
        <w:gridCol w:w="1277"/>
        <w:gridCol w:w="991"/>
        <w:gridCol w:w="1702"/>
        <w:gridCol w:w="1702"/>
        <w:gridCol w:w="1822"/>
      </w:tblGrid>
      <w:tr>
        <w:trPr>
          <w:trHeight w:val="329" w:hRule="exact"/>
        </w:trPr>
        <w:tc>
          <w:tcPr>
            <w:tcW w:w="3068" w:type="dxa"/>
            <w:vMerge w:val="restart"/>
            <w:tcBorders>
              <w:top w:val="single" w:sz="8" w:space="0" w:color="009EEA"/>
              <w:left w:val="nil" w:sz="6" w:space="0" w:color="auto"/>
              <w:right w:val="single" w:sz="4" w:space="0" w:color="009EEA"/>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95"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0895" w:type="dxa"/>
            <w:gridSpan w:val="7"/>
            <w:tcBorders>
              <w:top w:val="single" w:sz="8" w:space="0" w:color="009EEA"/>
              <w:left w:val="single" w:sz="4" w:space="0" w:color="009EEA"/>
              <w:bottom w:val="single" w:sz="4" w:space="0" w:color="009EEA"/>
              <w:right w:val="nil" w:sz="6" w:space="0" w:color="auto"/>
            </w:tcBorders>
          </w:tcPr>
          <w:p>
            <w:pPr>
              <w:pStyle w:val="TableParagraph"/>
              <w:spacing w:line="240" w:lineRule="auto" w:before="13"/>
              <w:ind w:left="101" w:right="0"/>
              <w:jc w:val="center"/>
              <w:rPr>
                <w:rFonts w:ascii="宋体" w:hAnsi="宋体" w:cs="宋体" w:eastAsia="宋体" w:hint="default"/>
                <w:sz w:val="21"/>
                <w:szCs w:val="21"/>
              </w:rPr>
            </w:pP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322" w:hRule="exact"/>
        </w:trPr>
        <w:tc>
          <w:tcPr>
            <w:tcW w:w="3068" w:type="dxa"/>
            <w:vMerge/>
            <w:tcBorders>
              <w:left w:val="nil" w:sz="6" w:space="0" w:color="auto"/>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
              <w:ind w:right="32"/>
              <w:jc w:val="righ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（或股本</w:t>
            </w:r>
            <w:r>
              <w:rPr>
                <w:rFonts w:ascii="宋体" w:hAnsi="宋体" w:cs="宋体" w:eastAsia="宋体" w:hint="default"/>
                <w:sz w:val="18"/>
                <w:szCs w:val="18"/>
              </w:rPr>
              <w:t>)</w:t>
            </w:r>
          </w:p>
        </w:tc>
        <w:tc>
          <w:tcPr>
            <w:tcW w:w="169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2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99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
              <w:ind w:left="132" w:right="0"/>
              <w:jc w:val="left"/>
              <w:rPr>
                <w:rFonts w:ascii="宋体" w:hAnsi="宋体" w:cs="宋体" w:eastAsia="宋体" w:hint="default"/>
                <w:sz w:val="18"/>
                <w:szCs w:val="18"/>
              </w:rPr>
            </w:pPr>
            <w:r>
              <w:rPr>
                <w:rFonts w:ascii="宋体" w:hAnsi="宋体" w:cs="宋体" w:eastAsia="宋体" w:hint="default"/>
                <w:sz w:val="18"/>
                <w:szCs w:val="18"/>
              </w:rPr>
              <w:t>专项储备</w:t>
            </w:r>
            <w:r>
              <w:rPr>
                <w:rFonts w:ascii="宋体" w:hAnsi="宋体" w:cs="宋体" w:eastAsia="宋体" w:hint="default"/>
                <w:sz w:val="18"/>
                <w:szCs w:val="18"/>
              </w:rPr>
              <w:t> </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
              <w:ind w:left="484"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
              <w:ind w:left="396"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82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
              <w:ind w:left="276"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324"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0"/>
              <w:ind w:right="25"/>
              <w:jc w:val="right"/>
              <w:rPr>
                <w:rFonts w:ascii="Arial" w:hAnsi="Arial" w:cs="Arial" w:eastAsia="Arial" w:hint="default"/>
                <w:sz w:val="20"/>
                <w:szCs w:val="20"/>
              </w:rPr>
            </w:pPr>
            <w:r>
              <w:rPr>
                <w:rFonts w:ascii="Arial"/>
                <w:w w:val="95"/>
                <w:sz w:val="20"/>
              </w:rPr>
              <w:t>1,777,679,909.00</w:t>
            </w:r>
            <w:r>
              <w:rPr>
                <w:rFonts w:ascii="Arial"/>
                <w:sz w:val="20"/>
              </w:rPr>
            </w:r>
          </w:p>
        </w:tc>
        <w:tc>
          <w:tcPr>
            <w:tcW w:w="169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0"/>
              <w:ind w:left="85" w:right="0"/>
              <w:jc w:val="center"/>
              <w:rPr>
                <w:rFonts w:ascii="Arial" w:hAnsi="Arial" w:cs="Arial" w:eastAsia="Arial" w:hint="default"/>
                <w:sz w:val="20"/>
                <w:szCs w:val="20"/>
              </w:rPr>
            </w:pPr>
            <w:r>
              <w:rPr>
                <w:rFonts w:ascii="Arial"/>
                <w:sz w:val="20"/>
              </w:rPr>
              <w:t>2,422,095,180.79</w:t>
            </w:r>
          </w:p>
        </w:tc>
        <w:tc>
          <w:tcPr>
            <w:tcW w:w="1277" w:type="dxa"/>
            <w:tcBorders>
              <w:top w:val="single" w:sz="4" w:space="0" w:color="009EEA"/>
              <w:left w:val="single" w:sz="4" w:space="0" w:color="009EEA"/>
              <w:bottom w:val="single" w:sz="4" w:space="0" w:color="009EEA"/>
              <w:right w:val="single" w:sz="4" w:space="0" w:color="009EEA"/>
            </w:tcBorders>
          </w:tcPr>
          <w:p>
            <w:pPr/>
          </w:p>
        </w:tc>
        <w:tc>
          <w:tcPr>
            <w:tcW w:w="991"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0"/>
              <w:ind w:right="24"/>
              <w:jc w:val="right"/>
              <w:rPr>
                <w:rFonts w:ascii="Arial" w:hAnsi="Arial" w:cs="Arial" w:eastAsia="Arial" w:hint="default"/>
                <w:sz w:val="20"/>
                <w:szCs w:val="20"/>
              </w:rPr>
            </w:pPr>
            <w:r>
              <w:rPr>
                <w:rFonts w:ascii="Arial"/>
                <w:w w:val="95"/>
                <w:sz w:val="20"/>
              </w:rPr>
              <w:t>1,518,444,124.46</w:t>
            </w:r>
            <w:r>
              <w:rPr>
                <w:rFonts w:ascii="Arial"/>
                <w:sz w:val="20"/>
              </w:rPr>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0"/>
              <w:ind w:right="24"/>
              <w:jc w:val="right"/>
              <w:rPr>
                <w:rFonts w:ascii="Arial" w:hAnsi="Arial" w:cs="Arial" w:eastAsia="Arial" w:hint="default"/>
                <w:sz w:val="20"/>
                <w:szCs w:val="20"/>
              </w:rPr>
            </w:pPr>
            <w:r>
              <w:rPr>
                <w:rFonts w:ascii="Arial"/>
                <w:w w:val="95"/>
                <w:sz w:val="20"/>
              </w:rPr>
              <w:t>839,914,259.29</w:t>
            </w:r>
            <w:r>
              <w:rPr>
                <w:rFonts w:ascii="Arial"/>
                <w:sz w:val="20"/>
              </w:rPr>
            </w:r>
          </w:p>
        </w:tc>
        <w:tc>
          <w:tcPr>
            <w:tcW w:w="182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0"/>
              <w:ind w:right="29"/>
              <w:jc w:val="right"/>
              <w:rPr>
                <w:rFonts w:ascii="Arial" w:hAnsi="Arial" w:cs="Arial" w:eastAsia="Arial" w:hint="default"/>
                <w:sz w:val="20"/>
                <w:szCs w:val="20"/>
              </w:rPr>
            </w:pPr>
            <w:r>
              <w:rPr>
                <w:rFonts w:ascii="Arial"/>
                <w:w w:val="95"/>
                <w:sz w:val="20"/>
              </w:rPr>
              <w:t>6,558,133,473.54</w:t>
            </w:r>
            <w:r>
              <w:rPr>
                <w:rFonts w:ascii="Arial"/>
                <w:sz w:val="20"/>
              </w:rPr>
            </w:r>
          </w:p>
        </w:tc>
      </w:tr>
      <w:tr>
        <w:trPr>
          <w:trHeight w:val="322"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02" w:type="dxa"/>
            <w:tcBorders>
              <w:top w:val="single" w:sz="4" w:space="0" w:color="009EEA"/>
              <w:left w:val="single" w:sz="4" w:space="0" w:color="009EEA"/>
              <w:bottom w:val="single" w:sz="4" w:space="0" w:color="009EEA"/>
              <w:right w:val="single" w:sz="4" w:space="0" w:color="009EEA"/>
            </w:tcBorders>
          </w:tcPr>
          <w:p>
            <w:pPr/>
          </w:p>
        </w:tc>
        <w:tc>
          <w:tcPr>
            <w:tcW w:w="1699"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8"/>
              <w:ind w:right="24"/>
              <w:jc w:val="right"/>
              <w:rPr>
                <w:rFonts w:ascii="Arial" w:hAnsi="Arial" w:cs="Arial" w:eastAsia="Arial" w:hint="default"/>
                <w:sz w:val="20"/>
                <w:szCs w:val="20"/>
              </w:rPr>
            </w:pPr>
            <w:r>
              <w:rPr>
                <w:rFonts w:ascii="Arial"/>
                <w:w w:val="95"/>
                <w:sz w:val="20"/>
              </w:rPr>
              <w:t>-741,506.94</w:t>
            </w:r>
            <w:r>
              <w:rPr>
                <w:rFonts w:ascii="Arial"/>
                <w:sz w:val="20"/>
              </w:rPr>
            </w:r>
          </w:p>
        </w:tc>
        <w:tc>
          <w:tcPr>
            <w:tcW w:w="991"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82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38"/>
              <w:ind w:right="29"/>
              <w:jc w:val="right"/>
              <w:rPr>
                <w:rFonts w:ascii="Arial" w:hAnsi="Arial" w:cs="Arial" w:eastAsia="Arial" w:hint="default"/>
                <w:sz w:val="20"/>
                <w:szCs w:val="20"/>
              </w:rPr>
            </w:pPr>
            <w:r>
              <w:rPr>
                <w:rFonts w:ascii="Arial"/>
                <w:w w:val="95"/>
                <w:sz w:val="20"/>
              </w:rPr>
              <w:t>-741,506.94</w:t>
            </w:r>
            <w:r>
              <w:rPr>
                <w:rFonts w:ascii="Arial"/>
                <w:sz w:val="20"/>
              </w:rPr>
            </w:r>
          </w:p>
        </w:tc>
      </w:tr>
      <w:tr>
        <w:trPr>
          <w:trHeight w:val="322"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8"/>
              <w:ind w:right="25"/>
              <w:jc w:val="right"/>
              <w:rPr>
                <w:rFonts w:ascii="Arial" w:hAnsi="Arial" w:cs="Arial" w:eastAsia="Arial" w:hint="default"/>
                <w:sz w:val="20"/>
                <w:szCs w:val="20"/>
              </w:rPr>
            </w:pPr>
            <w:r>
              <w:rPr>
                <w:rFonts w:ascii="Arial"/>
                <w:w w:val="95"/>
                <w:sz w:val="20"/>
              </w:rPr>
              <w:t>1,777,679,909.00</w:t>
            </w:r>
            <w:r>
              <w:rPr>
                <w:rFonts w:ascii="Arial"/>
                <w:sz w:val="20"/>
              </w:rPr>
            </w:r>
          </w:p>
        </w:tc>
        <w:tc>
          <w:tcPr>
            <w:tcW w:w="169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8"/>
              <w:ind w:left="85" w:right="0"/>
              <w:jc w:val="center"/>
              <w:rPr>
                <w:rFonts w:ascii="Arial" w:hAnsi="Arial" w:cs="Arial" w:eastAsia="Arial" w:hint="default"/>
                <w:sz w:val="20"/>
                <w:szCs w:val="20"/>
              </w:rPr>
            </w:pPr>
            <w:r>
              <w:rPr>
                <w:rFonts w:ascii="Arial"/>
                <w:sz w:val="20"/>
              </w:rPr>
              <w:t>2,422,095,180.79</w:t>
            </w:r>
          </w:p>
        </w:tc>
        <w:tc>
          <w:tcPr>
            <w:tcW w:w="12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8"/>
              <w:ind w:right="24"/>
              <w:jc w:val="right"/>
              <w:rPr>
                <w:rFonts w:ascii="Arial" w:hAnsi="Arial" w:cs="Arial" w:eastAsia="Arial" w:hint="default"/>
                <w:sz w:val="20"/>
                <w:szCs w:val="20"/>
              </w:rPr>
            </w:pPr>
            <w:r>
              <w:rPr>
                <w:rFonts w:ascii="Arial"/>
                <w:w w:val="95"/>
                <w:sz w:val="20"/>
              </w:rPr>
              <w:t>-741,506.94</w:t>
            </w:r>
            <w:r>
              <w:rPr>
                <w:rFonts w:ascii="Arial"/>
                <w:sz w:val="20"/>
              </w:rPr>
            </w:r>
          </w:p>
        </w:tc>
        <w:tc>
          <w:tcPr>
            <w:tcW w:w="991"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8"/>
              <w:ind w:right="24"/>
              <w:jc w:val="right"/>
              <w:rPr>
                <w:rFonts w:ascii="Arial" w:hAnsi="Arial" w:cs="Arial" w:eastAsia="Arial" w:hint="default"/>
                <w:sz w:val="20"/>
                <w:szCs w:val="20"/>
              </w:rPr>
            </w:pPr>
            <w:r>
              <w:rPr>
                <w:rFonts w:ascii="Arial"/>
                <w:w w:val="95"/>
                <w:sz w:val="20"/>
              </w:rPr>
              <w:t>1,518,444,124.46</w:t>
            </w:r>
            <w:r>
              <w:rPr>
                <w:rFonts w:ascii="Arial"/>
                <w:sz w:val="20"/>
              </w:rPr>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8"/>
              <w:ind w:right="24"/>
              <w:jc w:val="right"/>
              <w:rPr>
                <w:rFonts w:ascii="Arial" w:hAnsi="Arial" w:cs="Arial" w:eastAsia="Arial" w:hint="default"/>
                <w:sz w:val="20"/>
                <w:szCs w:val="20"/>
              </w:rPr>
            </w:pPr>
            <w:r>
              <w:rPr>
                <w:rFonts w:ascii="Arial"/>
                <w:w w:val="95"/>
                <w:sz w:val="20"/>
              </w:rPr>
              <w:t>839,914,259.29</w:t>
            </w:r>
            <w:r>
              <w:rPr>
                <w:rFonts w:ascii="Arial"/>
                <w:sz w:val="20"/>
              </w:rPr>
            </w:r>
          </w:p>
        </w:tc>
        <w:tc>
          <w:tcPr>
            <w:tcW w:w="182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38"/>
              <w:ind w:right="29"/>
              <w:jc w:val="right"/>
              <w:rPr>
                <w:rFonts w:ascii="Arial" w:hAnsi="Arial" w:cs="Arial" w:eastAsia="Arial" w:hint="default"/>
                <w:sz w:val="20"/>
                <w:szCs w:val="20"/>
              </w:rPr>
            </w:pPr>
            <w:r>
              <w:rPr>
                <w:rFonts w:ascii="Arial"/>
                <w:w w:val="95"/>
                <w:sz w:val="20"/>
              </w:rPr>
              <w:t>6,557,391,966.60</w:t>
            </w:r>
            <w:r>
              <w:rPr>
                <w:rFonts w:ascii="Arial"/>
                <w:sz w:val="20"/>
              </w:rPr>
            </w:r>
          </w:p>
        </w:tc>
      </w:tr>
      <w:tr>
        <w:trPr>
          <w:trHeight w:val="478"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10" w:lineRule="exact"/>
              <w:ind w:left="28"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w:t>
            </w:r>
          </w:p>
          <w:p>
            <w:pPr>
              <w:pStyle w:val="TableParagraph"/>
              <w:spacing w:line="228" w:lineRule="exact"/>
              <w:ind w:left="28"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1702" w:type="dxa"/>
            <w:tcBorders>
              <w:top w:val="single" w:sz="4" w:space="0" w:color="009EEA"/>
              <w:left w:val="single" w:sz="4" w:space="0" w:color="009EEA"/>
              <w:bottom w:val="single" w:sz="4" w:space="0" w:color="009EEA"/>
              <w:right w:val="single" w:sz="4" w:space="0" w:color="009EEA"/>
            </w:tcBorders>
          </w:tcPr>
          <w:p>
            <w:pPr/>
          </w:p>
        </w:tc>
        <w:tc>
          <w:tcPr>
            <w:tcW w:w="1699"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4"/>
              <w:jc w:val="right"/>
              <w:rPr>
                <w:rFonts w:ascii="Arial" w:hAnsi="Arial" w:cs="Arial" w:eastAsia="Arial" w:hint="default"/>
                <w:sz w:val="20"/>
                <w:szCs w:val="20"/>
              </w:rPr>
            </w:pPr>
            <w:r>
              <w:rPr>
                <w:rFonts w:ascii="Arial"/>
                <w:w w:val="95"/>
                <w:sz w:val="20"/>
              </w:rPr>
              <w:t>741,507.94</w:t>
            </w:r>
            <w:r>
              <w:rPr>
                <w:rFonts w:ascii="Arial"/>
                <w:sz w:val="20"/>
              </w:rPr>
            </w:r>
          </w:p>
        </w:tc>
        <w:tc>
          <w:tcPr>
            <w:tcW w:w="991"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4"/>
              <w:jc w:val="right"/>
              <w:rPr>
                <w:rFonts w:ascii="Arial" w:hAnsi="Arial" w:cs="Arial" w:eastAsia="Arial" w:hint="default"/>
                <w:sz w:val="20"/>
                <w:szCs w:val="20"/>
              </w:rPr>
            </w:pPr>
            <w:r>
              <w:rPr>
                <w:rFonts w:ascii="Arial"/>
                <w:w w:val="95"/>
                <w:sz w:val="20"/>
              </w:rPr>
              <w:t>119,368,864.42</w:t>
            </w:r>
            <w:r>
              <w:rPr>
                <w:rFonts w:ascii="Arial"/>
                <w:sz w:val="20"/>
              </w:rPr>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4"/>
              <w:jc w:val="right"/>
              <w:rPr>
                <w:rFonts w:ascii="Arial" w:hAnsi="Arial" w:cs="Arial" w:eastAsia="Arial" w:hint="default"/>
                <w:sz w:val="20"/>
                <w:szCs w:val="20"/>
              </w:rPr>
            </w:pPr>
            <w:r>
              <w:rPr>
                <w:rFonts w:ascii="Arial"/>
                <w:w w:val="95"/>
                <w:sz w:val="20"/>
              </w:rPr>
              <w:t>-34,648,398.58</w:t>
            </w:r>
            <w:r>
              <w:rPr>
                <w:rFonts w:ascii="Arial"/>
                <w:sz w:val="20"/>
              </w:rPr>
            </w:r>
          </w:p>
        </w:tc>
        <w:tc>
          <w:tcPr>
            <w:tcW w:w="182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15"/>
              <w:ind w:right="29"/>
              <w:jc w:val="right"/>
              <w:rPr>
                <w:rFonts w:ascii="Arial" w:hAnsi="Arial" w:cs="Arial" w:eastAsia="Arial" w:hint="default"/>
                <w:sz w:val="20"/>
                <w:szCs w:val="20"/>
              </w:rPr>
            </w:pPr>
            <w:r>
              <w:rPr>
                <w:rFonts w:ascii="Arial"/>
                <w:w w:val="95"/>
                <w:sz w:val="20"/>
              </w:rPr>
              <w:t>85,461,973.78</w:t>
            </w:r>
            <w:r>
              <w:rPr>
                <w:rFonts w:ascii="Arial"/>
                <w:sz w:val="20"/>
              </w:rPr>
            </w:r>
          </w:p>
        </w:tc>
      </w:tr>
      <w:tr>
        <w:trPr>
          <w:trHeight w:val="322"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702" w:type="dxa"/>
            <w:tcBorders>
              <w:top w:val="single" w:sz="4" w:space="0" w:color="009EEA"/>
              <w:left w:val="single" w:sz="4" w:space="0" w:color="009EEA"/>
              <w:bottom w:val="single" w:sz="4" w:space="0" w:color="009EEA"/>
              <w:right w:val="single" w:sz="4" w:space="0" w:color="009EEA"/>
            </w:tcBorders>
          </w:tcPr>
          <w:p>
            <w:pPr/>
          </w:p>
        </w:tc>
        <w:tc>
          <w:tcPr>
            <w:tcW w:w="1699"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991"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8"/>
              <w:ind w:right="24"/>
              <w:jc w:val="right"/>
              <w:rPr>
                <w:rFonts w:ascii="Arial" w:hAnsi="Arial" w:cs="Arial" w:eastAsia="Arial" w:hint="default"/>
                <w:sz w:val="20"/>
                <w:szCs w:val="20"/>
              </w:rPr>
            </w:pPr>
            <w:r>
              <w:rPr>
                <w:rFonts w:ascii="Arial"/>
                <w:w w:val="95"/>
                <w:sz w:val="20"/>
              </w:rPr>
              <w:t>796,533,937.38</w:t>
            </w:r>
            <w:r>
              <w:rPr>
                <w:rFonts w:ascii="Arial"/>
                <w:sz w:val="20"/>
              </w:rPr>
            </w:r>
          </w:p>
        </w:tc>
        <w:tc>
          <w:tcPr>
            <w:tcW w:w="182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38"/>
              <w:ind w:right="29"/>
              <w:jc w:val="right"/>
              <w:rPr>
                <w:rFonts w:ascii="Arial" w:hAnsi="Arial" w:cs="Arial" w:eastAsia="Arial" w:hint="default"/>
                <w:sz w:val="20"/>
                <w:szCs w:val="20"/>
              </w:rPr>
            </w:pPr>
            <w:r>
              <w:rPr>
                <w:rFonts w:ascii="Arial"/>
                <w:w w:val="95"/>
                <w:sz w:val="20"/>
              </w:rPr>
              <w:t>796,533,937.38</w:t>
            </w:r>
            <w:r>
              <w:rPr>
                <w:rFonts w:ascii="Arial"/>
                <w:sz w:val="20"/>
              </w:rPr>
            </w:r>
          </w:p>
        </w:tc>
      </w:tr>
      <w:tr>
        <w:trPr>
          <w:trHeight w:val="322"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702" w:type="dxa"/>
            <w:tcBorders>
              <w:top w:val="single" w:sz="4" w:space="0" w:color="009EEA"/>
              <w:left w:val="single" w:sz="4" w:space="0" w:color="009EEA"/>
              <w:bottom w:val="single" w:sz="4" w:space="0" w:color="009EEA"/>
              <w:right w:val="single" w:sz="4" w:space="0" w:color="009EEA"/>
            </w:tcBorders>
          </w:tcPr>
          <w:p>
            <w:pPr/>
          </w:p>
        </w:tc>
        <w:tc>
          <w:tcPr>
            <w:tcW w:w="1699"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991"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822" w:type="dxa"/>
            <w:tcBorders>
              <w:top w:val="single" w:sz="4" w:space="0" w:color="009EEA"/>
              <w:left w:val="single" w:sz="4" w:space="0" w:color="009EEA"/>
              <w:bottom w:val="single" w:sz="4" w:space="0" w:color="009EEA"/>
              <w:right w:val="nil" w:sz="6" w:space="0" w:color="auto"/>
            </w:tcBorders>
          </w:tcPr>
          <w:p>
            <w:pPr/>
          </w:p>
        </w:tc>
      </w:tr>
      <w:tr>
        <w:trPr>
          <w:trHeight w:val="322"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702" w:type="dxa"/>
            <w:tcBorders>
              <w:top w:val="single" w:sz="4" w:space="0" w:color="009EEA"/>
              <w:left w:val="single" w:sz="4" w:space="0" w:color="009EEA"/>
              <w:bottom w:val="single" w:sz="4" w:space="0" w:color="009EEA"/>
              <w:right w:val="single" w:sz="4" w:space="0" w:color="009EEA"/>
            </w:tcBorders>
          </w:tcPr>
          <w:p>
            <w:pPr/>
          </w:p>
        </w:tc>
        <w:tc>
          <w:tcPr>
            <w:tcW w:w="1699"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991"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8"/>
              <w:ind w:right="24"/>
              <w:jc w:val="right"/>
              <w:rPr>
                <w:rFonts w:ascii="Arial" w:hAnsi="Arial" w:cs="Arial" w:eastAsia="Arial" w:hint="default"/>
                <w:sz w:val="20"/>
                <w:szCs w:val="20"/>
              </w:rPr>
            </w:pPr>
            <w:r>
              <w:rPr>
                <w:rFonts w:ascii="Arial"/>
                <w:w w:val="95"/>
                <w:sz w:val="20"/>
              </w:rPr>
              <w:t>119,480,090.61</w:t>
            </w:r>
            <w:r>
              <w:rPr>
                <w:rFonts w:ascii="Arial"/>
                <w:sz w:val="20"/>
              </w:rPr>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8"/>
              <w:ind w:right="24"/>
              <w:jc w:val="right"/>
              <w:rPr>
                <w:rFonts w:ascii="Arial" w:hAnsi="Arial" w:cs="Arial" w:eastAsia="Arial" w:hint="default"/>
                <w:sz w:val="20"/>
                <w:szCs w:val="20"/>
              </w:rPr>
            </w:pPr>
            <w:r>
              <w:rPr>
                <w:rFonts w:ascii="Arial"/>
                <w:w w:val="95"/>
                <w:sz w:val="20"/>
              </w:rPr>
              <w:t>-830,552,054.21</w:t>
            </w:r>
            <w:r>
              <w:rPr>
                <w:rFonts w:ascii="Arial"/>
                <w:sz w:val="20"/>
              </w:rPr>
            </w:r>
          </w:p>
        </w:tc>
        <w:tc>
          <w:tcPr>
            <w:tcW w:w="182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38"/>
              <w:ind w:right="29"/>
              <w:jc w:val="right"/>
              <w:rPr>
                <w:rFonts w:ascii="Arial" w:hAnsi="Arial" w:cs="Arial" w:eastAsia="Arial" w:hint="default"/>
                <w:sz w:val="20"/>
                <w:szCs w:val="20"/>
              </w:rPr>
            </w:pPr>
            <w:r>
              <w:rPr>
                <w:rFonts w:ascii="Arial"/>
                <w:w w:val="95"/>
                <w:sz w:val="20"/>
              </w:rPr>
              <w:t>-711,071,963.60</w:t>
            </w:r>
            <w:r>
              <w:rPr>
                <w:rFonts w:ascii="Arial"/>
                <w:sz w:val="20"/>
              </w:rPr>
            </w:r>
          </w:p>
        </w:tc>
      </w:tr>
      <w:tr>
        <w:trPr>
          <w:trHeight w:val="322"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0"/>
              <w:ind w:left="28"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1702" w:type="dxa"/>
            <w:tcBorders>
              <w:top w:val="single" w:sz="4" w:space="0" w:color="009EEA"/>
              <w:left w:val="single" w:sz="4" w:space="0" w:color="009EEA"/>
              <w:bottom w:val="single" w:sz="4" w:space="0" w:color="009EEA"/>
              <w:right w:val="single" w:sz="4" w:space="0" w:color="009EEA"/>
            </w:tcBorders>
          </w:tcPr>
          <w:p>
            <w:pPr/>
          </w:p>
        </w:tc>
        <w:tc>
          <w:tcPr>
            <w:tcW w:w="1699"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991"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8"/>
              <w:ind w:right="24"/>
              <w:jc w:val="right"/>
              <w:rPr>
                <w:rFonts w:ascii="Arial" w:hAnsi="Arial" w:cs="Arial" w:eastAsia="Arial" w:hint="default"/>
                <w:sz w:val="20"/>
                <w:szCs w:val="20"/>
              </w:rPr>
            </w:pPr>
            <w:r>
              <w:rPr>
                <w:rFonts w:ascii="Arial"/>
                <w:w w:val="95"/>
                <w:sz w:val="20"/>
              </w:rPr>
              <w:t>119,480,090.61</w:t>
            </w:r>
            <w:r>
              <w:rPr>
                <w:rFonts w:ascii="Arial"/>
                <w:sz w:val="20"/>
              </w:rPr>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8"/>
              <w:ind w:right="24"/>
              <w:jc w:val="right"/>
              <w:rPr>
                <w:rFonts w:ascii="Arial" w:hAnsi="Arial" w:cs="Arial" w:eastAsia="Arial" w:hint="default"/>
                <w:sz w:val="20"/>
                <w:szCs w:val="20"/>
              </w:rPr>
            </w:pPr>
            <w:r>
              <w:rPr>
                <w:rFonts w:ascii="Arial"/>
                <w:w w:val="95"/>
                <w:sz w:val="20"/>
              </w:rPr>
              <w:t>-119,480,090.61</w:t>
            </w:r>
            <w:r>
              <w:rPr>
                <w:rFonts w:ascii="Arial"/>
                <w:sz w:val="20"/>
              </w:rPr>
            </w:r>
          </w:p>
        </w:tc>
        <w:tc>
          <w:tcPr>
            <w:tcW w:w="1822" w:type="dxa"/>
            <w:tcBorders>
              <w:top w:val="single" w:sz="4" w:space="0" w:color="009EEA"/>
              <w:left w:val="single" w:sz="4" w:space="0" w:color="009EEA"/>
              <w:bottom w:val="single" w:sz="4" w:space="0" w:color="009EEA"/>
              <w:right w:val="nil" w:sz="6" w:space="0" w:color="auto"/>
            </w:tcBorders>
          </w:tcPr>
          <w:p>
            <w:pPr/>
          </w:p>
        </w:tc>
      </w:tr>
      <w:tr>
        <w:trPr>
          <w:trHeight w:val="322"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0"/>
              <w:ind w:left="28"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．对所有者（或股东）的分配</w:t>
            </w:r>
          </w:p>
        </w:tc>
        <w:tc>
          <w:tcPr>
            <w:tcW w:w="1702" w:type="dxa"/>
            <w:tcBorders>
              <w:top w:val="single" w:sz="4" w:space="0" w:color="009EEA"/>
              <w:left w:val="single" w:sz="4" w:space="0" w:color="009EEA"/>
              <w:bottom w:val="single" w:sz="4" w:space="0" w:color="009EEA"/>
              <w:right w:val="single" w:sz="4" w:space="0" w:color="009EEA"/>
            </w:tcBorders>
          </w:tcPr>
          <w:p>
            <w:pPr/>
          </w:p>
        </w:tc>
        <w:tc>
          <w:tcPr>
            <w:tcW w:w="1699"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991"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0"/>
              <w:ind w:right="24"/>
              <w:jc w:val="right"/>
              <w:rPr>
                <w:rFonts w:ascii="Arial" w:hAnsi="Arial" w:cs="Arial" w:eastAsia="Arial" w:hint="default"/>
                <w:sz w:val="20"/>
                <w:szCs w:val="20"/>
              </w:rPr>
            </w:pPr>
            <w:r>
              <w:rPr>
                <w:rFonts w:ascii="Arial"/>
                <w:w w:val="95"/>
                <w:sz w:val="20"/>
              </w:rPr>
              <w:t>-711,071,963.60</w:t>
            </w:r>
            <w:r>
              <w:rPr>
                <w:rFonts w:ascii="Arial"/>
                <w:sz w:val="20"/>
              </w:rPr>
            </w:r>
          </w:p>
        </w:tc>
        <w:tc>
          <w:tcPr>
            <w:tcW w:w="182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0"/>
              <w:ind w:right="29"/>
              <w:jc w:val="right"/>
              <w:rPr>
                <w:rFonts w:ascii="Arial" w:hAnsi="Arial" w:cs="Arial" w:eastAsia="Arial" w:hint="default"/>
                <w:sz w:val="20"/>
                <w:szCs w:val="20"/>
              </w:rPr>
            </w:pPr>
            <w:r>
              <w:rPr>
                <w:rFonts w:ascii="Arial"/>
                <w:w w:val="95"/>
                <w:sz w:val="20"/>
              </w:rPr>
              <w:t>-711,071,963.60</w:t>
            </w:r>
            <w:r>
              <w:rPr>
                <w:rFonts w:ascii="Arial"/>
                <w:sz w:val="20"/>
              </w:rPr>
            </w:r>
          </w:p>
        </w:tc>
      </w:tr>
      <w:tr>
        <w:trPr>
          <w:trHeight w:val="324"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0"/>
              <w:ind w:left="28"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1702" w:type="dxa"/>
            <w:tcBorders>
              <w:top w:val="single" w:sz="4" w:space="0" w:color="009EEA"/>
              <w:left w:val="single" w:sz="4" w:space="0" w:color="009EEA"/>
              <w:bottom w:val="single" w:sz="4" w:space="0" w:color="009EEA"/>
              <w:right w:val="single" w:sz="4" w:space="0" w:color="009EEA"/>
            </w:tcBorders>
          </w:tcPr>
          <w:p>
            <w:pPr/>
          </w:p>
        </w:tc>
        <w:tc>
          <w:tcPr>
            <w:tcW w:w="1699"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991"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822" w:type="dxa"/>
            <w:tcBorders>
              <w:top w:val="single" w:sz="4" w:space="0" w:color="009EEA"/>
              <w:left w:val="single" w:sz="4" w:space="0" w:color="009EEA"/>
              <w:bottom w:val="single" w:sz="4" w:space="0" w:color="009EEA"/>
              <w:right w:val="nil" w:sz="6" w:space="0" w:color="auto"/>
            </w:tcBorders>
          </w:tcPr>
          <w:p>
            <w:pPr/>
          </w:p>
        </w:tc>
      </w:tr>
      <w:tr>
        <w:trPr>
          <w:trHeight w:val="322"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702" w:type="dxa"/>
            <w:tcBorders>
              <w:top w:val="single" w:sz="4" w:space="0" w:color="009EEA"/>
              <w:left w:val="single" w:sz="4" w:space="0" w:color="009EEA"/>
              <w:bottom w:val="single" w:sz="4" w:space="0" w:color="009EEA"/>
              <w:right w:val="single" w:sz="4" w:space="0" w:color="009EEA"/>
            </w:tcBorders>
          </w:tcPr>
          <w:p>
            <w:pPr/>
          </w:p>
        </w:tc>
        <w:tc>
          <w:tcPr>
            <w:tcW w:w="1699"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8"/>
              <w:ind w:right="24"/>
              <w:jc w:val="right"/>
              <w:rPr>
                <w:rFonts w:ascii="Arial" w:hAnsi="Arial" w:cs="Arial" w:eastAsia="Arial" w:hint="default"/>
                <w:sz w:val="20"/>
                <w:szCs w:val="20"/>
              </w:rPr>
            </w:pPr>
            <w:r>
              <w:rPr>
                <w:rFonts w:ascii="Arial"/>
                <w:w w:val="95"/>
                <w:sz w:val="20"/>
              </w:rPr>
              <w:t>741,507.94</w:t>
            </w:r>
            <w:r>
              <w:rPr>
                <w:rFonts w:ascii="Arial"/>
                <w:sz w:val="20"/>
              </w:rPr>
            </w:r>
          </w:p>
        </w:tc>
        <w:tc>
          <w:tcPr>
            <w:tcW w:w="991"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82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38"/>
              <w:ind w:right="29"/>
              <w:jc w:val="right"/>
              <w:rPr>
                <w:rFonts w:ascii="Arial" w:hAnsi="Arial" w:cs="Arial" w:eastAsia="Arial" w:hint="default"/>
                <w:sz w:val="20"/>
                <w:szCs w:val="20"/>
              </w:rPr>
            </w:pPr>
            <w:r>
              <w:rPr>
                <w:rFonts w:ascii="Arial"/>
                <w:w w:val="95"/>
                <w:sz w:val="20"/>
              </w:rPr>
              <w:t>741,507.94</w:t>
            </w:r>
            <w:r>
              <w:rPr>
                <w:rFonts w:ascii="Arial"/>
                <w:sz w:val="20"/>
              </w:rPr>
            </w:r>
          </w:p>
        </w:tc>
      </w:tr>
      <w:tr>
        <w:trPr>
          <w:trHeight w:val="322"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8"/>
              <w:ind w:left="28"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．资本公积转增资本（或股本）</w:t>
            </w:r>
          </w:p>
        </w:tc>
        <w:tc>
          <w:tcPr>
            <w:tcW w:w="1702" w:type="dxa"/>
            <w:tcBorders>
              <w:top w:val="single" w:sz="4" w:space="0" w:color="009EEA"/>
              <w:left w:val="single" w:sz="4" w:space="0" w:color="009EEA"/>
              <w:bottom w:val="single" w:sz="4" w:space="0" w:color="009EEA"/>
              <w:right w:val="single" w:sz="4" w:space="0" w:color="009EEA"/>
            </w:tcBorders>
          </w:tcPr>
          <w:p>
            <w:pPr/>
          </w:p>
        </w:tc>
        <w:tc>
          <w:tcPr>
            <w:tcW w:w="1699"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991"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822" w:type="dxa"/>
            <w:tcBorders>
              <w:top w:val="single" w:sz="4" w:space="0" w:color="009EEA"/>
              <w:left w:val="single" w:sz="4" w:space="0" w:color="009EEA"/>
              <w:bottom w:val="single" w:sz="4" w:space="0" w:color="009EEA"/>
              <w:right w:val="nil" w:sz="6" w:space="0" w:color="auto"/>
            </w:tcBorders>
          </w:tcPr>
          <w:p>
            <w:pPr/>
          </w:p>
        </w:tc>
      </w:tr>
      <w:tr>
        <w:trPr>
          <w:trHeight w:val="322"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0"/>
              <w:ind w:left="28"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．盈余公积转增资本（或股本）</w:t>
            </w:r>
          </w:p>
        </w:tc>
        <w:tc>
          <w:tcPr>
            <w:tcW w:w="1702" w:type="dxa"/>
            <w:tcBorders>
              <w:top w:val="single" w:sz="4" w:space="0" w:color="009EEA"/>
              <w:left w:val="single" w:sz="4" w:space="0" w:color="009EEA"/>
              <w:bottom w:val="single" w:sz="4" w:space="0" w:color="009EEA"/>
              <w:right w:val="single" w:sz="4" w:space="0" w:color="009EEA"/>
            </w:tcBorders>
          </w:tcPr>
          <w:p>
            <w:pPr/>
          </w:p>
        </w:tc>
        <w:tc>
          <w:tcPr>
            <w:tcW w:w="1699"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991"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822" w:type="dxa"/>
            <w:tcBorders>
              <w:top w:val="single" w:sz="4" w:space="0" w:color="009EEA"/>
              <w:left w:val="single" w:sz="4" w:space="0" w:color="009EEA"/>
              <w:bottom w:val="single" w:sz="4" w:space="0" w:color="009EEA"/>
              <w:right w:val="nil" w:sz="6" w:space="0" w:color="auto"/>
            </w:tcBorders>
          </w:tcPr>
          <w:p>
            <w:pPr/>
          </w:p>
        </w:tc>
      </w:tr>
      <w:tr>
        <w:trPr>
          <w:trHeight w:val="322"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0"/>
              <w:ind w:left="28"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．盈余公积弥补亏损</w:t>
            </w:r>
          </w:p>
        </w:tc>
        <w:tc>
          <w:tcPr>
            <w:tcW w:w="1702" w:type="dxa"/>
            <w:tcBorders>
              <w:top w:val="single" w:sz="4" w:space="0" w:color="009EEA"/>
              <w:left w:val="single" w:sz="4" w:space="0" w:color="009EEA"/>
              <w:bottom w:val="single" w:sz="4" w:space="0" w:color="009EEA"/>
              <w:right w:val="single" w:sz="4" w:space="0" w:color="009EEA"/>
            </w:tcBorders>
          </w:tcPr>
          <w:p>
            <w:pPr/>
          </w:p>
        </w:tc>
        <w:tc>
          <w:tcPr>
            <w:tcW w:w="1699"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991"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822" w:type="dxa"/>
            <w:tcBorders>
              <w:top w:val="single" w:sz="4" w:space="0" w:color="009EEA"/>
              <w:left w:val="single" w:sz="4" w:space="0" w:color="009EEA"/>
              <w:bottom w:val="single" w:sz="4" w:space="0" w:color="009EEA"/>
              <w:right w:val="nil" w:sz="6" w:space="0" w:color="auto"/>
            </w:tcBorders>
          </w:tcPr>
          <w:p>
            <w:pPr/>
          </w:p>
        </w:tc>
      </w:tr>
      <w:tr>
        <w:trPr>
          <w:trHeight w:val="322"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0"/>
              <w:ind w:left="28"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．设定受益计划变动额结转留存收益</w:t>
            </w:r>
          </w:p>
        </w:tc>
        <w:tc>
          <w:tcPr>
            <w:tcW w:w="1702" w:type="dxa"/>
            <w:tcBorders>
              <w:top w:val="single" w:sz="4" w:space="0" w:color="009EEA"/>
              <w:left w:val="single" w:sz="4" w:space="0" w:color="009EEA"/>
              <w:bottom w:val="single" w:sz="4" w:space="0" w:color="009EEA"/>
              <w:right w:val="single" w:sz="4" w:space="0" w:color="009EEA"/>
            </w:tcBorders>
          </w:tcPr>
          <w:p>
            <w:pPr/>
          </w:p>
        </w:tc>
        <w:tc>
          <w:tcPr>
            <w:tcW w:w="1699"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991"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822" w:type="dxa"/>
            <w:tcBorders>
              <w:top w:val="single" w:sz="4" w:space="0" w:color="009EEA"/>
              <w:left w:val="single" w:sz="4" w:space="0" w:color="009EEA"/>
              <w:bottom w:val="single" w:sz="4" w:space="0" w:color="009EEA"/>
              <w:right w:val="nil" w:sz="6" w:space="0" w:color="auto"/>
            </w:tcBorders>
          </w:tcPr>
          <w:p>
            <w:pPr/>
          </w:p>
        </w:tc>
      </w:tr>
      <w:tr>
        <w:trPr>
          <w:trHeight w:val="324"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0"/>
              <w:ind w:left="28"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．其他综合收益结转留存收益</w:t>
            </w:r>
          </w:p>
        </w:tc>
        <w:tc>
          <w:tcPr>
            <w:tcW w:w="1702" w:type="dxa"/>
            <w:tcBorders>
              <w:top w:val="single" w:sz="4" w:space="0" w:color="009EEA"/>
              <w:left w:val="single" w:sz="4" w:space="0" w:color="009EEA"/>
              <w:bottom w:val="single" w:sz="4" w:space="0" w:color="009EEA"/>
              <w:right w:val="single" w:sz="4" w:space="0" w:color="009EEA"/>
            </w:tcBorders>
          </w:tcPr>
          <w:p>
            <w:pPr/>
          </w:p>
        </w:tc>
        <w:tc>
          <w:tcPr>
            <w:tcW w:w="1699"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0"/>
              <w:ind w:right="24"/>
              <w:jc w:val="right"/>
              <w:rPr>
                <w:rFonts w:ascii="Arial" w:hAnsi="Arial" w:cs="Arial" w:eastAsia="Arial" w:hint="default"/>
                <w:sz w:val="20"/>
                <w:szCs w:val="20"/>
              </w:rPr>
            </w:pPr>
            <w:r>
              <w:rPr>
                <w:rFonts w:ascii="Arial"/>
                <w:w w:val="95"/>
                <w:sz w:val="20"/>
              </w:rPr>
              <w:t>741,507.94</w:t>
            </w:r>
            <w:r>
              <w:rPr>
                <w:rFonts w:ascii="Arial"/>
                <w:sz w:val="20"/>
              </w:rPr>
            </w:r>
          </w:p>
        </w:tc>
        <w:tc>
          <w:tcPr>
            <w:tcW w:w="991"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82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0"/>
              <w:ind w:right="29"/>
              <w:jc w:val="right"/>
              <w:rPr>
                <w:rFonts w:ascii="Arial" w:hAnsi="Arial" w:cs="Arial" w:eastAsia="Arial" w:hint="default"/>
                <w:sz w:val="20"/>
                <w:szCs w:val="20"/>
              </w:rPr>
            </w:pPr>
            <w:r>
              <w:rPr>
                <w:rFonts w:ascii="Arial"/>
                <w:w w:val="95"/>
                <w:sz w:val="20"/>
              </w:rPr>
              <w:t>741,507.94</w:t>
            </w:r>
            <w:r>
              <w:rPr>
                <w:rFonts w:ascii="Arial"/>
                <w:sz w:val="20"/>
              </w:rPr>
            </w:r>
          </w:p>
        </w:tc>
      </w:tr>
      <w:tr>
        <w:trPr>
          <w:trHeight w:val="322"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8"/>
              <w:ind w:left="28"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．其他</w:t>
            </w:r>
          </w:p>
        </w:tc>
        <w:tc>
          <w:tcPr>
            <w:tcW w:w="1702" w:type="dxa"/>
            <w:tcBorders>
              <w:top w:val="single" w:sz="4" w:space="0" w:color="009EEA"/>
              <w:left w:val="single" w:sz="4" w:space="0" w:color="009EEA"/>
              <w:bottom w:val="single" w:sz="4" w:space="0" w:color="009EEA"/>
              <w:right w:val="single" w:sz="4" w:space="0" w:color="009EEA"/>
            </w:tcBorders>
          </w:tcPr>
          <w:p>
            <w:pPr/>
          </w:p>
        </w:tc>
        <w:tc>
          <w:tcPr>
            <w:tcW w:w="1699"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991"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822" w:type="dxa"/>
            <w:tcBorders>
              <w:top w:val="single" w:sz="4" w:space="0" w:color="009EEA"/>
              <w:left w:val="single" w:sz="4" w:space="0" w:color="009EEA"/>
              <w:bottom w:val="single" w:sz="4" w:space="0" w:color="009EEA"/>
              <w:right w:val="nil" w:sz="6" w:space="0" w:color="auto"/>
            </w:tcBorders>
          </w:tcPr>
          <w:p>
            <w:pPr/>
          </w:p>
        </w:tc>
      </w:tr>
      <w:tr>
        <w:trPr>
          <w:trHeight w:val="322"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702" w:type="dxa"/>
            <w:tcBorders>
              <w:top w:val="single" w:sz="4" w:space="0" w:color="009EEA"/>
              <w:left w:val="single" w:sz="4" w:space="0" w:color="009EEA"/>
              <w:bottom w:val="single" w:sz="4" w:space="0" w:color="009EEA"/>
              <w:right w:val="single" w:sz="4" w:space="0" w:color="009EEA"/>
            </w:tcBorders>
          </w:tcPr>
          <w:p>
            <w:pPr/>
          </w:p>
        </w:tc>
        <w:tc>
          <w:tcPr>
            <w:tcW w:w="1699"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991"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822" w:type="dxa"/>
            <w:tcBorders>
              <w:top w:val="single" w:sz="4" w:space="0" w:color="009EEA"/>
              <w:left w:val="single" w:sz="4" w:space="0" w:color="009EEA"/>
              <w:bottom w:val="single" w:sz="4" w:space="0" w:color="009EEA"/>
              <w:right w:val="nil" w:sz="6" w:space="0" w:color="auto"/>
            </w:tcBorders>
          </w:tcPr>
          <w:p>
            <w:pPr/>
          </w:p>
        </w:tc>
      </w:tr>
      <w:tr>
        <w:trPr>
          <w:trHeight w:val="322"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702" w:type="dxa"/>
            <w:tcBorders>
              <w:top w:val="single" w:sz="4" w:space="0" w:color="009EEA"/>
              <w:left w:val="single" w:sz="4" w:space="0" w:color="009EEA"/>
              <w:bottom w:val="single" w:sz="4" w:space="0" w:color="009EEA"/>
              <w:right w:val="single" w:sz="4" w:space="0" w:color="009EEA"/>
            </w:tcBorders>
          </w:tcPr>
          <w:p>
            <w:pPr/>
          </w:p>
        </w:tc>
        <w:tc>
          <w:tcPr>
            <w:tcW w:w="1699"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991"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8"/>
              <w:ind w:right="24"/>
              <w:jc w:val="right"/>
              <w:rPr>
                <w:rFonts w:ascii="Arial" w:hAnsi="Arial" w:cs="Arial" w:eastAsia="Arial" w:hint="default"/>
                <w:sz w:val="20"/>
                <w:szCs w:val="20"/>
              </w:rPr>
            </w:pPr>
            <w:r>
              <w:rPr>
                <w:rFonts w:ascii="Arial"/>
                <w:w w:val="95"/>
                <w:sz w:val="20"/>
              </w:rPr>
              <w:t>-111,226.19</w:t>
            </w:r>
            <w:r>
              <w:rPr>
                <w:rFonts w:ascii="Arial"/>
                <w:sz w:val="20"/>
              </w:rPr>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8"/>
              <w:ind w:right="24"/>
              <w:jc w:val="right"/>
              <w:rPr>
                <w:rFonts w:ascii="Arial" w:hAnsi="Arial" w:cs="Arial" w:eastAsia="Arial" w:hint="default"/>
                <w:sz w:val="20"/>
                <w:szCs w:val="20"/>
              </w:rPr>
            </w:pPr>
            <w:r>
              <w:rPr>
                <w:rFonts w:ascii="Arial"/>
                <w:w w:val="95"/>
                <w:sz w:val="20"/>
              </w:rPr>
              <w:t>-630,281.75</w:t>
            </w:r>
            <w:r>
              <w:rPr>
                <w:rFonts w:ascii="Arial"/>
                <w:sz w:val="20"/>
              </w:rPr>
            </w:r>
          </w:p>
        </w:tc>
        <w:tc>
          <w:tcPr>
            <w:tcW w:w="182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38"/>
              <w:ind w:right="29"/>
              <w:jc w:val="right"/>
              <w:rPr>
                <w:rFonts w:ascii="Arial" w:hAnsi="Arial" w:cs="Arial" w:eastAsia="Arial" w:hint="default"/>
                <w:sz w:val="20"/>
                <w:szCs w:val="20"/>
              </w:rPr>
            </w:pPr>
            <w:r>
              <w:rPr>
                <w:rFonts w:ascii="Arial"/>
                <w:w w:val="95"/>
                <w:sz w:val="20"/>
              </w:rPr>
              <w:t>-741,507.94</w:t>
            </w:r>
            <w:r>
              <w:rPr>
                <w:rFonts w:ascii="Arial"/>
                <w:sz w:val="20"/>
              </w:rPr>
            </w:r>
          </w:p>
        </w:tc>
      </w:tr>
      <w:tr>
        <w:trPr>
          <w:trHeight w:val="329" w:hRule="exact"/>
        </w:trPr>
        <w:tc>
          <w:tcPr>
            <w:tcW w:w="3068"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0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38"/>
              <w:ind w:right="25"/>
              <w:jc w:val="right"/>
              <w:rPr>
                <w:rFonts w:ascii="Arial" w:hAnsi="Arial" w:cs="Arial" w:eastAsia="Arial" w:hint="default"/>
                <w:sz w:val="20"/>
                <w:szCs w:val="20"/>
              </w:rPr>
            </w:pPr>
            <w:r>
              <w:rPr>
                <w:rFonts w:ascii="Arial"/>
                <w:w w:val="95"/>
                <w:sz w:val="20"/>
              </w:rPr>
              <w:t>1,777,679,909.00</w:t>
            </w:r>
            <w:r>
              <w:rPr>
                <w:rFonts w:ascii="Arial"/>
                <w:sz w:val="20"/>
              </w:rPr>
            </w:r>
          </w:p>
        </w:tc>
        <w:tc>
          <w:tcPr>
            <w:tcW w:w="169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38"/>
              <w:ind w:left="85" w:right="0"/>
              <w:jc w:val="center"/>
              <w:rPr>
                <w:rFonts w:ascii="Arial" w:hAnsi="Arial" w:cs="Arial" w:eastAsia="Arial" w:hint="default"/>
                <w:sz w:val="20"/>
                <w:szCs w:val="20"/>
              </w:rPr>
            </w:pPr>
            <w:r>
              <w:rPr>
                <w:rFonts w:ascii="Arial"/>
                <w:sz w:val="20"/>
              </w:rPr>
              <w:t>2,422,095,180.79</w:t>
            </w:r>
          </w:p>
        </w:tc>
        <w:tc>
          <w:tcPr>
            <w:tcW w:w="1277"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38"/>
              <w:ind w:right="24"/>
              <w:jc w:val="right"/>
              <w:rPr>
                <w:rFonts w:ascii="Arial" w:hAnsi="Arial" w:cs="Arial" w:eastAsia="Arial" w:hint="default"/>
                <w:sz w:val="20"/>
                <w:szCs w:val="20"/>
              </w:rPr>
            </w:pPr>
            <w:r>
              <w:rPr>
                <w:rFonts w:ascii="Arial"/>
                <w:spacing w:val="-1"/>
                <w:w w:val="95"/>
                <w:sz w:val="20"/>
              </w:rPr>
              <w:t>1.00</w:t>
            </w:r>
            <w:r>
              <w:rPr>
                <w:rFonts w:ascii="Arial"/>
                <w:sz w:val="20"/>
              </w:rPr>
            </w:r>
          </w:p>
        </w:tc>
        <w:tc>
          <w:tcPr>
            <w:tcW w:w="991" w:type="dxa"/>
            <w:tcBorders>
              <w:top w:val="single" w:sz="4" w:space="0" w:color="009EEA"/>
              <w:left w:val="single" w:sz="4" w:space="0" w:color="009EEA"/>
              <w:bottom w:val="single" w:sz="8" w:space="0" w:color="009EEA"/>
              <w:right w:val="single" w:sz="4" w:space="0" w:color="009EEA"/>
            </w:tcBorders>
          </w:tcPr>
          <w:p>
            <w:pPr/>
          </w:p>
        </w:tc>
        <w:tc>
          <w:tcPr>
            <w:tcW w:w="170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38"/>
              <w:ind w:right="24"/>
              <w:jc w:val="right"/>
              <w:rPr>
                <w:rFonts w:ascii="Arial" w:hAnsi="Arial" w:cs="Arial" w:eastAsia="Arial" w:hint="default"/>
                <w:sz w:val="20"/>
                <w:szCs w:val="20"/>
              </w:rPr>
            </w:pPr>
            <w:r>
              <w:rPr>
                <w:rFonts w:ascii="Arial"/>
                <w:w w:val="95"/>
                <w:sz w:val="20"/>
              </w:rPr>
              <w:t>1,637,812,988.88</w:t>
            </w:r>
            <w:r>
              <w:rPr>
                <w:rFonts w:ascii="Arial"/>
                <w:sz w:val="20"/>
              </w:rPr>
            </w:r>
          </w:p>
        </w:tc>
        <w:tc>
          <w:tcPr>
            <w:tcW w:w="170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38"/>
              <w:ind w:right="24"/>
              <w:jc w:val="right"/>
              <w:rPr>
                <w:rFonts w:ascii="Arial" w:hAnsi="Arial" w:cs="Arial" w:eastAsia="Arial" w:hint="default"/>
                <w:sz w:val="20"/>
                <w:szCs w:val="20"/>
              </w:rPr>
            </w:pPr>
            <w:r>
              <w:rPr>
                <w:rFonts w:ascii="Arial"/>
                <w:w w:val="95"/>
                <w:sz w:val="20"/>
              </w:rPr>
              <w:t>805,265,860.71</w:t>
            </w:r>
            <w:r>
              <w:rPr>
                <w:rFonts w:ascii="Arial"/>
                <w:sz w:val="20"/>
              </w:rPr>
            </w:r>
          </w:p>
        </w:tc>
        <w:tc>
          <w:tcPr>
            <w:tcW w:w="1822"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38"/>
              <w:ind w:right="29"/>
              <w:jc w:val="right"/>
              <w:rPr>
                <w:rFonts w:ascii="Arial" w:hAnsi="Arial" w:cs="Arial" w:eastAsia="Arial" w:hint="default"/>
                <w:sz w:val="20"/>
                <w:szCs w:val="20"/>
              </w:rPr>
            </w:pPr>
            <w:r>
              <w:rPr>
                <w:rFonts w:ascii="Arial"/>
                <w:w w:val="95"/>
                <w:sz w:val="20"/>
              </w:rPr>
              <w:t>6,642,853,940.38</w:t>
            </w:r>
            <w:r>
              <w:rPr>
                <w:rFonts w:ascii="Arial"/>
                <w:sz w:val="20"/>
              </w:rPr>
            </w:r>
          </w:p>
        </w:tc>
      </w:tr>
    </w:tbl>
    <w:p>
      <w:pPr>
        <w:spacing w:line="240" w:lineRule="auto" w:before="11"/>
        <w:rPr>
          <w:rFonts w:ascii="宋体" w:hAnsi="宋体" w:cs="宋体" w:eastAsia="宋体" w:hint="default"/>
          <w:sz w:val="2"/>
          <w:szCs w:val="2"/>
        </w:rPr>
      </w:pPr>
    </w:p>
    <w:p>
      <w:pPr>
        <w:spacing w:line="20" w:lineRule="exact"/>
        <w:ind w:left="158" w:right="0" w:firstLine="0"/>
        <w:rPr>
          <w:rFonts w:ascii="宋体" w:hAnsi="宋体" w:cs="宋体" w:eastAsia="宋体" w:hint="default"/>
          <w:sz w:val="2"/>
          <w:szCs w:val="2"/>
        </w:rPr>
      </w:pPr>
      <w:r>
        <w:rPr>
          <w:rFonts w:ascii="宋体" w:hAnsi="宋体" w:cs="宋体" w:eastAsia="宋体" w:hint="default"/>
          <w:sz w:val="2"/>
          <w:szCs w:val="2"/>
        </w:rPr>
        <w:pict>
          <v:group style="width:699.1pt;height:1pt;mso-position-horizontal-relative:char;mso-position-vertical-relative:line" coordorigin="0,0" coordsize="13982,20">
            <v:group style="position:absolute;left:10;top:10;width:3063;height:2" coordorigin="10,10" coordsize="3063,2">
              <v:shape style="position:absolute;left:10;top:10;width:3063;height:2" coordorigin="10,10" coordsize="3063,0" path="m10,10l3072,10e" filled="false" stroked="true" strokeweight=".95999pt" strokecolor="#009eea">
                <v:path arrowok="t"/>
              </v:shape>
            </v:group>
            <v:group style="position:absolute;left:3072;top:10;width:58;height:2" coordorigin="3072,10" coordsize="58,2">
              <v:shape style="position:absolute;left:3072;top:10;width:58;height:2" coordorigin="3072,10" coordsize="58,0" path="m3072,10l3130,10e" filled="false" stroked="true" strokeweight=".95999pt" strokecolor="#009eea">
                <v:path arrowok="t"/>
              </v:shape>
            </v:group>
            <v:group style="position:absolute;left:3130;top:10;width:1645;height:2" coordorigin="3130,10" coordsize="1645,2">
              <v:shape style="position:absolute;left:3130;top:10;width:1645;height:2" coordorigin="3130,10" coordsize="1645,0" path="m3130,10l4774,10e" filled="false" stroked="true" strokeweight=".95999pt" strokecolor="#009eea">
                <v:path arrowok="t"/>
              </v:shape>
            </v:group>
            <v:group style="position:absolute;left:4775;top:10;width:58;height:2" coordorigin="4775,10" coordsize="58,2">
              <v:shape style="position:absolute;left:4775;top:10;width:58;height:2" coordorigin="4775,10" coordsize="58,0" path="m4775,10l4832,10e" filled="false" stroked="true" strokeweight=".95999pt" strokecolor="#009eea">
                <v:path arrowok="t"/>
              </v:shape>
            </v:group>
            <v:group style="position:absolute;left:4832;top:10;width:1642;height:2" coordorigin="4832,10" coordsize="1642,2">
              <v:shape style="position:absolute;left:4832;top:10;width:1642;height:2" coordorigin="4832,10" coordsize="1642,0" path="m4832,10l6474,10e" filled="false" stroked="true" strokeweight=".95999pt" strokecolor="#009eea">
                <v:path arrowok="t"/>
              </v:shape>
            </v:group>
            <v:group style="position:absolute;left:6474;top:10;width:58;height:2" coordorigin="6474,10" coordsize="58,2">
              <v:shape style="position:absolute;left:6474;top:10;width:58;height:2" coordorigin="6474,10" coordsize="58,0" path="m6474,10l6531,10e" filled="false" stroked="true" strokeweight=".95999pt" strokecolor="#009eea">
                <v:path arrowok="t"/>
              </v:shape>
            </v:group>
            <v:group style="position:absolute;left:6531;top:10;width:1220;height:2" coordorigin="6531,10" coordsize="1220,2">
              <v:shape style="position:absolute;left:6531;top:10;width:1220;height:2" coordorigin="6531,10" coordsize="1220,0" path="m6531,10l7751,10e" filled="false" stroked="true" strokeweight=".95999pt" strokecolor="#009eea">
                <v:path arrowok="t"/>
              </v:shape>
            </v:group>
            <v:group style="position:absolute;left:7751;top:10;width:58;height:2" coordorigin="7751,10" coordsize="58,2">
              <v:shape style="position:absolute;left:7751;top:10;width:58;height:2" coordorigin="7751,10" coordsize="58,0" path="m7751,10l7809,10e" filled="false" stroked="true" strokeweight=".95999pt" strokecolor="#009eea">
                <v:path arrowok="t"/>
              </v:shape>
            </v:group>
            <v:group style="position:absolute;left:7809;top:10;width:934;height:2" coordorigin="7809,10" coordsize="934,2">
              <v:shape style="position:absolute;left:7809;top:10;width:934;height:2" coordorigin="7809,10" coordsize="934,0" path="m7809,10l8742,10e" filled="false" stroked="true" strokeweight=".95999pt" strokecolor="#009eea">
                <v:path arrowok="t"/>
              </v:shape>
            </v:group>
            <v:group style="position:absolute;left:8742;top:10;width:58;height:2" coordorigin="8742,10" coordsize="58,2">
              <v:shape style="position:absolute;left:8742;top:10;width:58;height:2" coordorigin="8742,10" coordsize="58,0" path="m8742,10l8800,10e" filled="false" stroked="true" strokeweight=".95999pt" strokecolor="#009eea">
                <v:path arrowok="t"/>
              </v:shape>
            </v:group>
            <v:group style="position:absolute;left:8800;top:10;width:1644;height:2" coordorigin="8800,10" coordsize="1644,2">
              <v:shape style="position:absolute;left:8800;top:10;width:1644;height:2" coordorigin="8800,10" coordsize="1644,0" path="m8800,10l10444,10e" filled="false" stroked="true" strokeweight=".95999pt" strokecolor="#009eea">
                <v:path arrowok="t"/>
              </v:shape>
            </v:group>
            <v:group style="position:absolute;left:10444;top:10;width:58;height:2" coordorigin="10444,10" coordsize="58,2">
              <v:shape style="position:absolute;left:10444;top:10;width:58;height:2" coordorigin="10444,10" coordsize="58,0" path="m10444,10l10501,10e" filled="false" stroked="true" strokeweight=".95999pt" strokecolor="#009eea">
                <v:path arrowok="t"/>
              </v:shape>
            </v:group>
            <v:group style="position:absolute;left:10501;top:10;width:1645;height:2" coordorigin="10501,10" coordsize="1645,2">
              <v:shape style="position:absolute;left:10501;top:10;width:1645;height:2" coordorigin="10501,10" coordsize="1645,0" path="m10501,10l12146,10e" filled="false" stroked="true" strokeweight=".95999pt" strokecolor="#009eea">
                <v:path arrowok="t"/>
              </v:shape>
            </v:group>
            <v:group style="position:absolute;left:12146;top:10;width:58;height:2" coordorigin="12146,10" coordsize="58,2">
              <v:shape style="position:absolute;left:12146;top:10;width:58;height:2" coordorigin="12146,10" coordsize="58,0" path="m12146,10l12204,10e" filled="false" stroked="true" strokeweight=".95999pt" strokecolor="#009eea">
                <v:path arrowok="t"/>
              </v:shape>
            </v:group>
            <v:group style="position:absolute;left:12204;top:10;width:1769;height:2" coordorigin="12204,10" coordsize="1769,2">
              <v:shape style="position:absolute;left:12204;top:10;width:1769;height:2" coordorigin="12204,10" coordsize="1769,0" path="m12204,10l13972,10e" filled="false" stroked="true" strokeweight=".95999pt" strokecolor="#009eea">
                <v:path arrowok="t"/>
              </v:shape>
            </v:group>
          </v:group>
        </w:pict>
      </w:r>
      <w:r>
        <w:rPr>
          <w:rFonts w:ascii="宋体" w:hAnsi="宋体" w:cs="宋体" w:eastAsia="宋体" w:hint="default"/>
          <w:sz w:val="2"/>
          <w:szCs w:val="2"/>
        </w:rPr>
      </w:r>
    </w:p>
    <w:p>
      <w:pPr>
        <w:pStyle w:val="BodyText"/>
        <w:spacing w:line="240" w:lineRule="exact"/>
        <w:ind w:left="144" w:right="0"/>
        <w:jc w:val="left"/>
        <w:rPr>
          <w:rFonts w:ascii="宋体" w:hAnsi="宋体" w:cs="宋体" w:eastAsia="宋体" w:hint="default"/>
        </w:rPr>
      </w:pPr>
      <w:r>
        <w:rPr>
          <w:rFonts w:ascii="宋体"/>
          <w:w w:val="100"/>
        </w:rPr>
        <w:t> </w:t>
      </w:r>
    </w:p>
    <w:p>
      <w:pPr>
        <w:spacing w:after="0" w:line="240" w:lineRule="exact"/>
        <w:jc w:val="left"/>
        <w:rPr>
          <w:rFonts w:ascii="宋体" w:hAnsi="宋体" w:cs="宋体" w:eastAsia="宋体" w:hint="default"/>
        </w:rPr>
        <w:sectPr>
          <w:type w:val="continuous"/>
          <w:pgSz w:w="16840" w:h="11910" w:orient="landscape"/>
          <w:pgMar w:top="1360" w:bottom="1380" w:left="1380" w:right="1200"/>
        </w:sectPr>
      </w:pPr>
    </w:p>
    <w:p>
      <w:pPr>
        <w:spacing w:line="240" w:lineRule="auto" w:before="11"/>
        <w:rPr>
          <w:rFonts w:ascii="宋体" w:hAnsi="宋体" w:cs="宋体" w:eastAsia="宋体" w:hint="default"/>
          <w:sz w:val="3"/>
          <w:szCs w:val="3"/>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spacing w:line="20" w:lineRule="exact"/>
        <w:ind w:left="213" w:right="0" w:firstLine="0"/>
        <w:rPr>
          <w:rFonts w:ascii="宋体" w:hAnsi="宋体" w:cs="宋体" w:eastAsia="宋体" w:hint="default"/>
          <w:sz w:val="2"/>
          <w:szCs w:val="2"/>
        </w:rPr>
      </w:pPr>
      <w:r>
        <w:rPr>
          <w:rFonts w:ascii="宋体" w:hAnsi="宋体" w:cs="宋体" w:eastAsia="宋体" w:hint="default"/>
          <w:sz w:val="2"/>
          <w:szCs w:val="2"/>
        </w:rPr>
        <w:pict>
          <v:group style="width:696.35pt;height:1pt;mso-position-horizontal-relative:char;mso-position-vertical-relative:line" coordorigin="0,0" coordsize="13927,20">
            <v:group style="position:absolute;left:10;top:10;width:3003;height:2" coordorigin="10,10" coordsize="3003,2">
              <v:shape style="position:absolute;left:10;top:10;width:3003;height:2" coordorigin="10,10" coordsize="3003,0" path="m10,10l3012,10e" filled="false" stroked="true" strokeweight=".96pt" strokecolor="#009eea">
                <v:path arrowok="t"/>
              </v:shape>
            </v:group>
            <v:group style="position:absolute;left:3012;top:10;width:58;height:2" coordorigin="3012,10" coordsize="58,2">
              <v:shape style="position:absolute;left:3012;top:10;width:58;height:2" coordorigin="3012,10" coordsize="58,0" path="m3012,10l3070,10e" filled="false" stroked="true" strokeweight=".96pt" strokecolor="#009eea">
                <v:path arrowok="t"/>
              </v:shape>
            </v:group>
            <v:group style="position:absolute;left:3070;top:10;width:10847;height:2" coordorigin="3070,10" coordsize="10847,2">
              <v:shape style="position:absolute;left:3070;top:10;width:10847;height:2" coordorigin="3070,10" coordsize="10847,0" path="m3070,10l13917,10e" filled="false" stroked="true" strokeweight=".96pt" strokecolor="#009eea">
                <v:path arrowok="t"/>
              </v:shape>
            </v:group>
          </v:group>
        </w:pict>
      </w:r>
      <w:r>
        <w:rPr>
          <w:rFonts w:ascii="宋体" w:hAnsi="宋体" w:cs="宋体" w:eastAsia="宋体" w:hint="default"/>
          <w:sz w:val="2"/>
          <w:szCs w:val="2"/>
        </w:rPr>
      </w:r>
    </w:p>
    <w:tbl>
      <w:tblPr>
        <w:tblW w:w="0" w:type="auto"/>
        <w:jc w:val="left"/>
        <w:tblInd w:w="213" w:type="dxa"/>
        <w:tblLayout w:type="fixed"/>
        <w:tblCellMar>
          <w:top w:w="0" w:type="dxa"/>
          <w:left w:w="0" w:type="dxa"/>
          <w:bottom w:w="0" w:type="dxa"/>
          <w:right w:w="0" w:type="dxa"/>
        </w:tblCellMar>
        <w:tblLook w:val="01E0"/>
      </w:tblPr>
      <w:tblGrid>
        <w:gridCol w:w="3008"/>
        <w:gridCol w:w="1707"/>
        <w:gridCol w:w="1752"/>
        <w:gridCol w:w="800"/>
        <w:gridCol w:w="1416"/>
        <w:gridCol w:w="1702"/>
        <w:gridCol w:w="1702"/>
        <w:gridCol w:w="1822"/>
      </w:tblGrid>
      <w:tr>
        <w:trPr>
          <w:trHeight w:val="329" w:hRule="exact"/>
        </w:trPr>
        <w:tc>
          <w:tcPr>
            <w:tcW w:w="3008" w:type="dxa"/>
            <w:vMerge w:val="restart"/>
            <w:tcBorders>
              <w:top w:val="single" w:sz="8" w:space="0" w:color="009EEA"/>
              <w:left w:val="nil" w:sz="6" w:space="0" w:color="auto"/>
              <w:right w:val="single" w:sz="4" w:space="0" w:color="009EEA"/>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7"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0900" w:type="dxa"/>
            <w:gridSpan w:val="7"/>
            <w:tcBorders>
              <w:top w:val="single" w:sz="8" w:space="0" w:color="009EEA"/>
              <w:left w:val="single" w:sz="4" w:space="0" w:color="009EEA"/>
              <w:bottom w:val="single" w:sz="4" w:space="0" w:color="009EEA"/>
              <w:right w:val="nil" w:sz="6" w:space="0" w:color="auto"/>
            </w:tcBorders>
          </w:tcPr>
          <w:p>
            <w:pPr>
              <w:pStyle w:val="TableParagraph"/>
              <w:spacing w:line="240" w:lineRule="auto" w:before="10"/>
              <w:ind w:left="85"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478" w:hRule="exact"/>
        </w:trPr>
        <w:tc>
          <w:tcPr>
            <w:tcW w:w="3008" w:type="dxa"/>
            <w:vMerge/>
            <w:tcBorders>
              <w:left w:val="nil" w:sz="6" w:space="0" w:color="auto"/>
              <w:bottom w:val="single" w:sz="4" w:space="0" w:color="009EEA"/>
              <w:right w:val="single" w:sz="4" w:space="0" w:color="009EEA"/>
            </w:tcBorders>
          </w:tcPr>
          <w:p>
            <w:pPr/>
          </w:p>
        </w:tc>
        <w:tc>
          <w:tcPr>
            <w:tcW w:w="170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7"/>
              <w:ind w:right="35"/>
              <w:jc w:val="righ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（或股本</w:t>
            </w:r>
            <w:r>
              <w:rPr>
                <w:rFonts w:ascii="宋体" w:hAnsi="宋体" w:cs="宋体" w:eastAsia="宋体" w:hint="default"/>
                <w:sz w:val="18"/>
                <w:szCs w:val="18"/>
              </w:rPr>
              <w:t>)</w:t>
            </w:r>
          </w:p>
        </w:tc>
        <w:tc>
          <w:tcPr>
            <w:tcW w:w="17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7"/>
              <w:ind w:left="90" w:right="0"/>
              <w:jc w:val="center"/>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800" w:type="dxa"/>
            <w:tcBorders>
              <w:top w:val="single" w:sz="4" w:space="0" w:color="009EEA"/>
              <w:left w:val="single" w:sz="4" w:space="0" w:color="009EEA"/>
              <w:bottom w:val="single" w:sz="4" w:space="0" w:color="009EEA"/>
              <w:right w:val="single" w:sz="4" w:space="0" w:color="009EEA"/>
            </w:tcBorders>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sz w:val="18"/>
                <w:szCs w:val="18"/>
              </w:rPr>
              <w:t>其他综合</w:t>
            </w:r>
          </w:p>
          <w:p>
            <w:pPr>
              <w:pStyle w:val="TableParagraph"/>
              <w:spacing w:line="234" w:lineRule="exact"/>
              <w:ind w:left="92" w:right="0"/>
              <w:jc w:val="center"/>
              <w:rPr>
                <w:rFonts w:ascii="宋体" w:hAnsi="宋体" w:cs="宋体" w:eastAsia="宋体" w:hint="default"/>
                <w:sz w:val="18"/>
                <w:szCs w:val="18"/>
              </w:rPr>
            </w:pPr>
            <w:r>
              <w:rPr>
                <w:rFonts w:ascii="宋体" w:hAnsi="宋体" w:cs="宋体" w:eastAsia="宋体" w:hint="default"/>
                <w:sz w:val="18"/>
                <w:szCs w:val="18"/>
              </w:rPr>
              <w:t>收益</w:t>
            </w:r>
            <w:r>
              <w:rPr>
                <w:rFonts w:ascii="宋体" w:hAnsi="宋体" w:cs="宋体" w:eastAsia="宋体" w:hint="default"/>
                <w:sz w:val="18"/>
                <w:szCs w:val="18"/>
              </w:rPr>
              <w:t> </w:t>
            </w:r>
          </w:p>
        </w:tc>
        <w:tc>
          <w:tcPr>
            <w:tcW w:w="141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7"/>
              <w:ind w:left="345" w:right="0"/>
              <w:jc w:val="left"/>
              <w:rPr>
                <w:rFonts w:ascii="宋体" w:hAnsi="宋体" w:cs="宋体" w:eastAsia="宋体" w:hint="default"/>
                <w:sz w:val="18"/>
                <w:szCs w:val="18"/>
              </w:rPr>
            </w:pPr>
            <w:r>
              <w:rPr>
                <w:rFonts w:ascii="宋体" w:hAnsi="宋体" w:cs="宋体" w:eastAsia="宋体" w:hint="default"/>
                <w:sz w:val="18"/>
                <w:szCs w:val="18"/>
              </w:rPr>
              <w:t>专项储备</w:t>
            </w:r>
            <w:r>
              <w:rPr>
                <w:rFonts w:ascii="宋体" w:hAnsi="宋体" w:cs="宋体" w:eastAsia="宋体" w:hint="default"/>
                <w:sz w:val="18"/>
                <w:szCs w:val="18"/>
              </w:rPr>
              <w:t> </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7"/>
              <w:ind w:left="484"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7"/>
              <w:ind w:left="396"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82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87"/>
              <w:ind w:left="276"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322" w:hRule="exact"/>
        </w:trPr>
        <w:tc>
          <w:tcPr>
            <w:tcW w:w="30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70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8"/>
              <w:ind w:right="25"/>
              <w:jc w:val="right"/>
              <w:rPr>
                <w:rFonts w:ascii="Arial" w:hAnsi="Arial" w:cs="Arial" w:eastAsia="Arial" w:hint="default"/>
                <w:sz w:val="20"/>
                <w:szCs w:val="20"/>
              </w:rPr>
            </w:pPr>
            <w:r>
              <w:rPr>
                <w:rFonts w:ascii="Arial"/>
                <w:w w:val="95"/>
                <w:sz w:val="20"/>
              </w:rPr>
              <w:t>1,777,679,909.00</w:t>
            </w:r>
            <w:r>
              <w:rPr>
                <w:rFonts w:ascii="Arial"/>
                <w:sz w:val="20"/>
              </w:rPr>
            </w:r>
          </w:p>
        </w:tc>
        <w:tc>
          <w:tcPr>
            <w:tcW w:w="17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8"/>
              <w:ind w:left="138" w:right="0"/>
              <w:jc w:val="center"/>
              <w:rPr>
                <w:rFonts w:ascii="Arial" w:hAnsi="Arial" w:cs="Arial" w:eastAsia="Arial" w:hint="default"/>
                <w:sz w:val="20"/>
                <w:szCs w:val="20"/>
              </w:rPr>
            </w:pPr>
            <w:r>
              <w:rPr>
                <w:rFonts w:ascii="Arial"/>
                <w:sz w:val="20"/>
              </w:rPr>
              <w:t>2,422,095,180.79</w:t>
            </w:r>
          </w:p>
        </w:tc>
        <w:tc>
          <w:tcPr>
            <w:tcW w:w="800"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8"/>
              <w:ind w:right="19"/>
              <w:jc w:val="right"/>
              <w:rPr>
                <w:rFonts w:ascii="Arial" w:hAnsi="Arial" w:cs="Arial" w:eastAsia="Arial" w:hint="default"/>
                <w:sz w:val="20"/>
                <w:szCs w:val="20"/>
              </w:rPr>
            </w:pPr>
            <w:r>
              <w:rPr>
                <w:rFonts w:ascii="Arial"/>
                <w:w w:val="95"/>
                <w:sz w:val="20"/>
              </w:rPr>
              <w:t>3,063,918.37</w:t>
            </w:r>
            <w:r>
              <w:rPr>
                <w:rFonts w:ascii="Arial"/>
                <w:sz w:val="20"/>
              </w:rPr>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8"/>
              <w:ind w:right="24"/>
              <w:jc w:val="right"/>
              <w:rPr>
                <w:rFonts w:ascii="Arial" w:hAnsi="Arial" w:cs="Arial" w:eastAsia="Arial" w:hint="default"/>
                <w:sz w:val="20"/>
                <w:szCs w:val="20"/>
              </w:rPr>
            </w:pPr>
            <w:r>
              <w:rPr>
                <w:rFonts w:ascii="Arial"/>
                <w:w w:val="95"/>
                <w:sz w:val="20"/>
              </w:rPr>
              <w:t>1,375,240,410.99</w:t>
            </w:r>
            <w:r>
              <w:rPr>
                <w:rFonts w:ascii="Arial"/>
                <w:sz w:val="20"/>
              </w:rPr>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8"/>
              <w:ind w:right="24"/>
              <w:jc w:val="right"/>
              <w:rPr>
                <w:rFonts w:ascii="Arial" w:hAnsi="Arial" w:cs="Arial" w:eastAsia="Arial" w:hint="default"/>
                <w:sz w:val="20"/>
                <w:szCs w:val="20"/>
              </w:rPr>
            </w:pPr>
            <w:r>
              <w:rPr>
                <w:rFonts w:ascii="Arial"/>
                <w:w w:val="95"/>
                <w:sz w:val="20"/>
              </w:rPr>
              <w:t>508,400,125.07</w:t>
            </w:r>
            <w:r>
              <w:rPr>
                <w:rFonts w:ascii="Arial"/>
                <w:sz w:val="20"/>
              </w:rPr>
            </w:r>
          </w:p>
        </w:tc>
        <w:tc>
          <w:tcPr>
            <w:tcW w:w="182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38"/>
              <w:ind w:right="29"/>
              <w:jc w:val="right"/>
              <w:rPr>
                <w:rFonts w:ascii="Arial" w:hAnsi="Arial" w:cs="Arial" w:eastAsia="Arial" w:hint="default"/>
                <w:sz w:val="20"/>
                <w:szCs w:val="20"/>
              </w:rPr>
            </w:pPr>
            <w:r>
              <w:rPr>
                <w:rFonts w:ascii="Arial"/>
                <w:w w:val="95"/>
                <w:sz w:val="20"/>
              </w:rPr>
              <w:t>6,086,479,544.22</w:t>
            </w:r>
            <w:r>
              <w:rPr>
                <w:rFonts w:ascii="Arial"/>
                <w:sz w:val="20"/>
              </w:rPr>
            </w:r>
          </w:p>
        </w:tc>
      </w:tr>
      <w:tr>
        <w:trPr>
          <w:trHeight w:val="322" w:hRule="exact"/>
        </w:trPr>
        <w:tc>
          <w:tcPr>
            <w:tcW w:w="30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707" w:type="dxa"/>
            <w:tcBorders>
              <w:top w:val="single" w:sz="4" w:space="0" w:color="009EEA"/>
              <w:left w:val="single" w:sz="4" w:space="0" w:color="009EEA"/>
              <w:bottom w:val="single" w:sz="4" w:space="0" w:color="009EEA"/>
              <w:right w:val="single" w:sz="4" w:space="0" w:color="009EEA"/>
            </w:tcBorders>
          </w:tcPr>
          <w:p>
            <w:pPr/>
          </w:p>
        </w:tc>
        <w:tc>
          <w:tcPr>
            <w:tcW w:w="1752" w:type="dxa"/>
            <w:tcBorders>
              <w:top w:val="single" w:sz="4" w:space="0" w:color="009EEA"/>
              <w:left w:val="single" w:sz="4" w:space="0" w:color="009EEA"/>
              <w:bottom w:val="single" w:sz="4" w:space="0" w:color="009EEA"/>
              <w:right w:val="single" w:sz="4" w:space="0" w:color="009EEA"/>
            </w:tcBorders>
          </w:tcPr>
          <w:p>
            <w:pPr/>
          </w:p>
        </w:tc>
        <w:tc>
          <w:tcPr>
            <w:tcW w:w="800"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822" w:type="dxa"/>
            <w:tcBorders>
              <w:top w:val="single" w:sz="4" w:space="0" w:color="009EEA"/>
              <w:left w:val="single" w:sz="4" w:space="0" w:color="009EEA"/>
              <w:bottom w:val="single" w:sz="4" w:space="0" w:color="009EEA"/>
              <w:right w:val="nil" w:sz="6" w:space="0" w:color="auto"/>
            </w:tcBorders>
          </w:tcPr>
          <w:p>
            <w:pPr/>
          </w:p>
        </w:tc>
      </w:tr>
      <w:tr>
        <w:trPr>
          <w:trHeight w:val="322" w:hRule="exact"/>
        </w:trPr>
        <w:tc>
          <w:tcPr>
            <w:tcW w:w="30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70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8"/>
              <w:ind w:right="25"/>
              <w:jc w:val="right"/>
              <w:rPr>
                <w:rFonts w:ascii="Arial" w:hAnsi="Arial" w:cs="Arial" w:eastAsia="Arial" w:hint="default"/>
                <w:sz w:val="20"/>
                <w:szCs w:val="20"/>
              </w:rPr>
            </w:pPr>
            <w:r>
              <w:rPr>
                <w:rFonts w:ascii="Arial"/>
                <w:w w:val="95"/>
                <w:sz w:val="20"/>
              </w:rPr>
              <w:t>1,777,679,909.00</w:t>
            </w:r>
            <w:r>
              <w:rPr>
                <w:rFonts w:ascii="Arial"/>
                <w:sz w:val="20"/>
              </w:rPr>
            </w:r>
          </w:p>
        </w:tc>
        <w:tc>
          <w:tcPr>
            <w:tcW w:w="17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8"/>
              <w:ind w:left="138" w:right="0"/>
              <w:jc w:val="center"/>
              <w:rPr>
                <w:rFonts w:ascii="Arial" w:hAnsi="Arial" w:cs="Arial" w:eastAsia="Arial" w:hint="default"/>
                <w:sz w:val="20"/>
                <w:szCs w:val="20"/>
              </w:rPr>
            </w:pPr>
            <w:r>
              <w:rPr>
                <w:rFonts w:ascii="Arial"/>
                <w:sz w:val="20"/>
              </w:rPr>
              <w:t>2,422,095,180.79</w:t>
            </w:r>
          </w:p>
        </w:tc>
        <w:tc>
          <w:tcPr>
            <w:tcW w:w="800"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8"/>
              <w:ind w:right="19"/>
              <w:jc w:val="right"/>
              <w:rPr>
                <w:rFonts w:ascii="Arial" w:hAnsi="Arial" w:cs="Arial" w:eastAsia="Arial" w:hint="default"/>
                <w:sz w:val="20"/>
                <w:szCs w:val="20"/>
              </w:rPr>
            </w:pPr>
            <w:r>
              <w:rPr>
                <w:rFonts w:ascii="Arial"/>
                <w:w w:val="95"/>
                <w:sz w:val="20"/>
              </w:rPr>
              <w:t>3,063,918.37</w:t>
            </w:r>
            <w:r>
              <w:rPr>
                <w:rFonts w:ascii="Arial"/>
                <w:sz w:val="20"/>
              </w:rPr>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8"/>
              <w:ind w:right="24"/>
              <w:jc w:val="right"/>
              <w:rPr>
                <w:rFonts w:ascii="Arial" w:hAnsi="Arial" w:cs="Arial" w:eastAsia="Arial" w:hint="default"/>
                <w:sz w:val="20"/>
                <w:szCs w:val="20"/>
              </w:rPr>
            </w:pPr>
            <w:r>
              <w:rPr>
                <w:rFonts w:ascii="Arial"/>
                <w:w w:val="95"/>
                <w:sz w:val="20"/>
              </w:rPr>
              <w:t>1,375,240,410.99</w:t>
            </w:r>
            <w:r>
              <w:rPr>
                <w:rFonts w:ascii="Arial"/>
                <w:sz w:val="20"/>
              </w:rPr>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8"/>
              <w:ind w:right="24"/>
              <w:jc w:val="right"/>
              <w:rPr>
                <w:rFonts w:ascii="Arial" w:hAnsi="Arial" w:cs="Arial" w:eastAsia="Arial" w:hint="default"/>
                <w:sz w:val="20"/>
                <w:szCs w:val="20"/>
              </w:rPr>
            </w:pPr>
            <w:r>
              <w:rPr>
                <w:rFonts w:ascii="Arial"/>
                <w:w w:val="95"/>
                <w:sz w:val="20"/>
              </w:rPr>
              <w:t>508,400,125.07</w:t>
            </w:r>
            <w:r>
              <w:rPr>
                <w:rFonts w:ascii="Arial"/>
                <w:sz w:val="20"/>
              </w:rPr>
            </w:r>
          </w:p>
        </w:tc>
        <w:tc>
          <w:tcPr>
            <w:tcW w:w="182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38"/>
              <w:ind w:right="29"/>
              <w:jc w:val="right"/>
              <w:rPr>
                <w:rFonts w:ascii="Arial" w:hAnsi="Arial" w:cs="Arial" w:eastAsia="Arial" w:hint="default"/>
                <w:sz w:val="20"/>
                <w:szCs w:val="20"/>
              </w:rPr>
            </w:pPr>
            <w:r>
              <w:rPr>
                <w:rFonts w:ascii="Arial"/>
                <w:w w:val="95"/>
                <w:sz w:val="20"/>
              </w:rPr>
              <w:t>6,086,479,544.22</w:t>
            </w:r>
            <w:r>
              <w:rPr>
                <w:rFonts w:ascii="Arial"/>
                <w:sz w:val="20"/>
              </w:rPr>
            </w:r>
          </w:p>
        </w:tc>
      </w:tr>
      <w:tr>
        <w:trPr>
          <w:trHeight w:val="478" w:hRule="exact"/>
        </w:trPr>
        <w:tc>
          <w:tcPr>
            <w:tcW w:w="3008" w:type="dxa"/>
            <w:tcBorders>
              <w:top w:val="single" w:sz="4" w:space="0" w:color="009EEA"/>
              <w:left w:val="nil" w:sz="6" w:space="0" w:color="auto"/>
              <w:bottom w:val="single" w:sz="4" w:space="0" w:color="009EEA"/>
              <w:right w:val="single" w:sz="4" w:space="0" w:color="009EEA"/>
            </w:tcBorders>
          </w:tcPr>
          <w:p>
            <w:pPr>
              <w:pStyle w:val="TableParagraph"/>
              <w:spacing w:line="204" w:lineRule="exact"/>
              <w:ind w:left="28" w:right="0"/>
              <w:jc w:val="left"/>
              <w:rPr>
                <w:rFonts w:ascii="宋体" w:hAnsi="宋体" w:cs="宋体" w:eastAsia="宋体" w:hint="default"/>
                <w:sz w:val="18"/>
                <w:szCs w:val="18"/>
              </w:rPr>
            </w:pPr>
            <w:r>
              <w:rPr>
                <w:rFonts w:ascii="宋体" w:hAnsi="宋体" w:cs="宋体" w:eastAsia="宋体" w:hint="default"/>
                <w:spacing w:val="-7"/>
                <w:sz w:val="18"/>
                <w:szCs w:val="18"/>
              </w:rPr>
              <w:t>三、本期增减变动金额（减少以“－”</w:t>
            </w:r>
          </w:p>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sz w:val="18"/>
                <w:szCs w:val="18"/>
              </w:rPr>
              <w:t>号填列）</w:t>
            </w:r>
            <w:r>
              <w:rPr>
                <w:rFonts w:ascii="宋体" w:hAnsi="宋体" w:cs="宋体" w:eastAsia="宋体" w:hint="default"/>
                <w:sz w:val="18"/>
                <w:szCs w:val="18"/>
              </w:rPr>
              <w:t> </w:t>
            </w:r>
          </w:p>
        </w:tc>
        <w:tc>
          <w:tcPr>
            <w:tcW w:w="1707" w:type="dxa"/>
            <w:tcBorders>
              <w:top w:val="single" w:sz="4" w:space="0" w:color="009EEA"/>
              <w:left w:val="single" w:sz="4" w:space="0" w:color="009EEA"/>
              <w:bottom w:val="single" w:sz="4" w:space="0" w:color="009EEA"/>
              <w:right w:val="single" w:sz="4" w:space="0" w:color="009EEA"/>
            </w:tcBorders>
          </w:tcPr>
          <w:p>
            <w:pPr/>
          </w:p>
        </w:tc>
        <w:tc>
          <w:tcPr>
            <w:tcW w:w="1752" w:type="dxa"/>
            <w:tcBorders>
              <w:top w:val="single" w:sz="4" w:space="0" w:color="009EEA"/>
              <w:left w:val="single" w:sz="4" w:space="0" w:color="009EEA"/>
              <w:bottom w:val="single" w:sz="4" w:space="0" w:color="009EEA"/>
              <w:right w:val="single" w:sz="4" w:space="0" w:color="009EEA"/>
            </w:tcBorders>
          </w:tcPr>
          <w:p>
            <w:pPr/>
          </w:p>
        </w:tc>
        <w:tc>
          <w:tcPr>
            <w:tcW w:w="800"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7"/>
              <w:ind w:right="19"/>
              <w:jc w:val="right"/>
              <w:rPr>
                <w:rFonts w:ascii="Arial" w:hAnsi="Arial" w:cs="Arial" w:eastAsia="Arial" w:hint="default"/>
                <w:sz w:val="20"/>
                <w:szCs w:val="20"/>
              </w:rPr>
            </w:pPr>
            <w:r>
              <w:rPr>
                <w:rFonts w:ascii="Arial"/>
                <w:w w:val="95"/>
                <w:sz w:val="20"/>
              </w:rPr>
              <w:t>-3,063,918.37</w:t>
            </w:r>
            <w:r>
              <w:rPr>
                <w:rFonts w:ascii="Arial"/>
                <w:sz w:val="20"/>
              </w:rPr>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7"/>
              <w:ind w:right="24"/>
              <w:jc w:val="right"/>
              <w:rPr>
                <w:rFonts w:ascii="Arial" w:hAnsi="Arial" w:cs="Arial" w:eastAsia="Arial" w:hint="default"/>
                <w:sz w:val="20"/>
                <w:szCs w:val="20"/>
              </w:rPr>
            </w:pPr>
            <w:r>
              <w:rPr>
                <w:rFonts w:ascii="Arial"/>
                <w:w w:val="95"/>
                <w:sz w:val="20"/>
              </w:rPr>
              <w:t>143,203,713.47</w:t>
            </w:r>
            <w:r>
              <w:rPr>
                <w:rFonts w:ascii="Arial"/>
                <w:sz w:val="20"/>
              </w:rPr>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7"/>
              <w:ind w:right="24"/>
              <w:jc w:val="right"/>
              <w:rPr>
                <w:rFonts w:ascii="Arial" w:hAnsi="Arial" w:cs="Arial" w:eastAsia="Arial" w:hint="default"/>
                <w:sz w:val="20"/>
                <w:szCs w:val="20"/>
              </w:rPr>
            </w:pPr>
            <w:r>
              <w:rPr>
                <w:rFonts w:ascii="Arial"/>
                <w:w w:val="95"/>
                <w:sz w:val="20"/>
              </w:rPr>
              <w:t>331,514,134.22</w:t>
            </w:r>
            <w:r>
              <w:rPr>
                <w:rFonts w:ascii="Arial"/>
                <w:sz w:val="20"/>
              </w:rPr>
            </w:r>
          </w:p>
        </w:tc>
        <w:tc>
          <w:tcPr>
            <w:tcW w:w="182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17"/>
              <w:ind w:right="29"/>
              <w:jc w:val="right"/>
              <w:rPr>
                <w:rFonts w:ascii="Arial" w:hAnsi="Arial" w:cs="Arial" w:eastAsia="Arial" w:hint="default"/>
                <w:sz w:val="20"/>
                <w:szCs w:val="20"/>
              </w:rPr>
            </w:pPr>
            <w:r>
              <w:rPr>
                <w:rFonts w:ascii="Arial"/>
                <w:w w:val="95"/>
                <w:sz w:val="20"/>
              </w:rPr>
              <w:t>471,653,929.32</w:t>
            </w:r>
            <w:r>
              <w:rPr>
                <w:rFonts w:ascii="Arial"/>
                <w:sz w:val="20"/>
              </w:rPr>
            </w:r>
          </w:p>
        </w:tc>
      </w:tr>
      <w:tr>
        <w:trPr>
          <w:trHeight w:val="322" w:hRule="exact"/>
        </w:trPr>
        <w:tc>
          <w:tcPr>
            <w:tcW w:w="30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707" w:type="dxa"/>
            <w:tcBorders>
              <w:top w:val="single" w:sz="4" w:space="0" w:color="009EEA"/>
              <w:left w:val="single" w:sz="4" w:space="0" w:color="009EEA"/>
              <w:bottom w:val="single" w:sz="4" w:space="0" w:color="009EEA"/>
              <w:right w:val="single" w:sz="4" w:space="0" w:color="009EEA"/>
            </w:tcBorders>
          </w:tcPr>
          <w:p>
            <w:pPr/>
          </w:p>
        </w:tc>
        <w:tc>
          <w:tcPr>
            <w:tcW w:w="1752" w:type="dxa"/>
            <w:tcBorders>
              <w:top w:val="single" w:sz="4" w:space="0" w:color="009EEA"/>
              <w:left w:val="single" w:sz="4" w:space="0" w:color="009EEA"/>
              <w:bottom w:val="single" w:sz="4" w:space="0" w:color="009EEA"/>
              <w:right w:val="single" w:sz="4" w:space="0" w:color="009EEA"/>
            </w:tcBorders>
          </w:tcPr>
          <w:p>
            <w:pPr/>
          </w:p>
        </w:tc>
        <w:tc>
          <w:tcPr>
            <w:tcW w:w="800"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8"/>
              <w:ind w:right="24"/>
              <w:jc w:val="right"/>
              <w:rPr>
                <w:rFonts w:ascii="Arial" w:hAnsi="Arial" w:cs="Arial" w:eastAsia="Arial" w:hint="default"/>
                <w:sz w:val="20"/>
                <w:szCs w:val="20"/>
              </w:rPr>
            </w:pPr>
            <w:r>
              <w:rPr>
                <w:rFonts w:ascii="Arial"/>
                <w:w w:val="95"/>
                <w:sz w:val="20"/>
              </w:rPr>
              <w:t>954,691,423.12</w:t>
            </w:r>
            <w:r>
              <w:rPr>
                <w:rFonts w:ascii="Arial"/>
                <w:sz w:val="20"/>
              </w:rPr>
            </w:r>
          </w:p>
        </w:tc>
        <w:tc>
          <w:tcPr>
            <w:tcW w:w="182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38"/>
              <w:ind w:right="29"/>
              <w:jc w:val="right"/>
              <w:rPr>
                <w:rFonts w:ascii="Arial" w:hAnsi="Arial" w:cs="Arial" w:eastAsia="Arial" w:hint="default"/>
                <w:sz w:val="20"/>
                <w:szCs w:val="20"/>
              </w:rPr>
            </w:pPr>
            <w:r>
              <w:rPr>
                <w:rFonts w:ascii="Arial"/>
                <w:w w:val="95"/>
                <w:sz w:val="20"/>
              </w:rPr>
              <w:t>954,691,423.12</w:t>
            </w:r>
            <w:r>
              <w:rPr>
                <w:rFonts w:ascii="Arial"/>
                <w:sz w:val="20"/>
              </w:rPr>
            </w:r>
          </w:p>
        </w:tc>
      </w:tr>
      <w:tr>
        <w:trPr>
          <w:trHeight w:val="322" w:hRule="exact"/>
        </w:trPr>
        <w:tc>
          <w:tcPr>
            <w:tcW w:w="30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r>
              <w:rPr>
                <w:rFonts w:ascii="宋体" w:hAnsi="宋体" w:cs="宋体" w:eastAsia="宋体" w:hint="default"/>
                <w:sz w:val="18"/>
                <w:szCs w:val="18"/>
              </w:rPr>
              <w:t> </w:t>
            </w:r>
          </w:p>
        </w:tc>
        <w:tc>
          <w:tcPr>
            <w:tcW w:w="1707" w:type="dxa"/>
            <w:tcBorders>
              <w:top w:val="single" w:sz="4" w:space="0" w:color="009EEA"/>
              <w:left w:val="single" w:sz="4" w:space="0" w:color="009EEA"/>
              <w:bottom w:val="single" w:sz="4" w:space="0" w:color="009EEA"/>
              <w:right w:val="single" w:sz="4" w:space="0" w:color="009EEA"/>
            </w:tcBorders>
          </w:tcPr>
          <w:p>
            <w:pPr/>
          </w:p>
        </w:tc>
        <w:tc>
          <w:tcPr>
            <w:tcW w:w="1752" w:type="dxa"/>
            <w:tcBorders>
              <w:top w:val="single" w:sz="4" w:space="0" w:color="009EEA"/>
              <w:left w:val="single" w:sz="4" w:space="0" w:color="009EEA"/>
              <w:bottom w:val="single" w:sz="4" w:space="0" w:color="009EEA"/>
              <w:right w:val="single" w:sz="4" w:space="0" w:color="009EEA"/>
            </w:tcBorders>
          </w:tcPr>
          <w:p>
            <w:pPr/>
          </w:p>
        </w:tc>
        <w:tc>
          <w:tcPr>
            <w:tcW w:w="800"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822" w:type="dxa"/>
            <w:tcBorders>
              <w:top w:val="single" w:sz="4" w:space="0" w:color="009EEA"/>
              <w:left w:val="single" w:sz="4" w:space="0" w:color="009EEA"/>
              <w:bottom w:val="single" w:sz="4" w:space="0" w:color="009EEA"/>
              <w:right w:val="nil" w:sz="6" w:space="0" w:color="auto"/>
            </w:tcBorders>
          </w:tcPr>
          <w:p>
            <w:pPr/>
          </w:p>
        </w:tc>
      </w:tr>
      <w:tr>
        <w:trPr>
          <w:trHeight w:val="322" w:hRule="exact"/>
        </w:trPr>
        <w:tc>
          <w:tcPr>
            <w:tcW w:w="30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707" w:type="dxa"/>
            <w:tcBorders>
              <w:top w:val="single" w:sz="4" w:space="0" w:color="009EEA"/>
              <w:left w:val="single" w:sz="4" w:space="0" w:color="009EEA"/>
              <w:bottom w:val="single" w:sz="4" w:space="0" w:color="009EEA"/>
              <w:right w:val="single" w:sz="4" w:space="0" w:color="009EEA"/>
            </w:tcBorders>
          </w:tcPr>
          <w:p>
            <w:pPr/>
          </w:p>
        </w:tc>
        <w:tc>
          <w:tcPr>
            <w:tcW w:w="1752" w:type="dxa"/>
            <w:tcBorders>
              <w:top w:val="single" w:sz="4" w:space="0" w:color="009EEA"/>
              <w:left w:val="single" w:sz="4" w:space="0" w:color="009EEA"/>
              <w:bottom w:val="single" w:sz="4" w:space="0" w:color="009EEA"/>
              <w:right w:val="single" w:sz="4" w:space="0" w:color="009EEA"/>
            </w:tcBorders>
          </w:tcPr>
          <w:p>
            <w:pPr/>
          </w:p>
        </w:tc>
        <w:tc>
          <w:tcPr>
            <w:tcW w:w="800"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8"/>
              <w:ind w:right="24"/>
              <w:jc w:val="right"/>
              <w:rPr>
                <w:rFonts w:ascii="Arial" w:hAnsi="Arial" w:cs="Arial" w:eastAsia="Arial" w:hint="default"/>
                <w:sz w:val="20"/>
                <w:szCs w:val="20"/>
              </w:rPr>
            </w:pPr>
            <w:r>
              <w:rPr>
                <w:rFonts w:ascii="Arial"/>
                <w:w w:val="95"/>
                <w:sz w:val="20"/>
              </w:rPr>
              <w:t>143,203,713.47</w:t>
            </w:r>
            <w:r>
              <w:rPr>
                <w:rFonts w:ascii="Arial"/>
                <w:sz w:val="20"/>
              </w:rPr>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8"/>
              <w:ind w:right="24"/>
              <w:jc w:val="right"/>
              <w:rPr>
                <w:rFonts w:ascii="Arial" w:hAnsi="Arial" w:cs="Arial" w:eastAsia="Arial" w:hint="default"/>
                <w:sz w:val="20"/>
                <w:szCs w:val="20"/>
              </w:rPr>
            </w:pPr>
            <w:r>
              <w:rPr>
                <w:rFonts w:ascii="Arial"/>
                <w:w w:val="95"/>
                <w:sz w:val="20"/>
              </w:rPr>
              <w:t>-623,177,288.90</w:t>
            </w:r>
            <w:r>
              <w:rPr>
                <w:rFonts w:ascii="Arial"/>
                <w:sz w:val="20"/>
              </w:rPr>
            </w:r>
          </w:p>
        </w:tc>
        <w:tc>
          <w:tcPr>
            <w:tcW w:w="182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38"/>
              <w:ind w:right="29"/>
              <w:jc w:val="right"/>
              <w:rPr>
                <w:rFonts w:ascii="Arial" w:hAnsi="Arial" w:cs="Arial" w:eastAsia="Arial" w:hint="default"/>
                <w:sz w:val="20"/>
                <w:szCs w:val="20"/>
              </w:rPr>
            </w:pPr>
            <w:r>
              <w:rPr>
                <w:rFonts w:ascii="Arial"/>
                <w:w w:val="95"/>
                <w:sz w:val="20"/>
              </w:rPr>
              <w:t>-479,973,575.43</w:t>
            </w:r>
            <w:r>
              <w:rPr>
                <w:rFonts w:ascii="Arial"/>
                <w:sz w:val="20"/>
              </w:rPr>
            </w:r>
          </w:p>
        </w:tc>
      </w:tr>
      <w:tr>
        <w:trPr>
          <w:trHeight w:val="322" w:hRule="exact"/>
        </w:trPr>
        <w:tc>
          <w:tcPr>
            <w:tcW w:w="30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707" w:type="dxa"/>
            <w:tcBorders>
              <w:top w:val="single" w:sz="4" w:space="0" w:color="009EEA"/>
              <w:left w:val="single" w:sz="4" w:space="0" w:color="009EEA"/>
              <w:bottom w:val="single" w:sz="4" w:space="0" w:color="009EEA"/>
              <w:right w:val="single" w:sz="4" w:space="0" w:color="009EEA"/>
            </w:tcBorders>
          </w:tcPr>
          <w:p>
            <w:pPr/>
          </w:p>
        </w:tc>
        <w:tc>
          <w:tcPr>
            <w:tcW w:w="1752" w:type="dxa"/>
            <w:tcBorders>
              <w:top w:val="single" w:sz="4" w:space="0" w:color="009EEA"/>
              <w:left w:val="single" w:sz="4" w:space="0" w:color="009EEA"/>
              <w:bottom w:val="single" w:sz="4" w:space="0" w:color="009EEA"/>
              <w:right w:val="single" w:sz="4" w:space="0" w:color="009EEA"/>
            </w:tcBorders>
          </w:tcPr>
          <w:p>
            <w:pPr/>
          </w:p>
        </w:tc>
        <w:tc>
          <w:tcPr>
            <w:tcW w:w="800"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0"/>
              <w:ind w:right="24"/>
              <w:jc w:val="right"/>
              <w:rPr>
                <w:rFonts w:ascii="Arial" w:hAnsi="Arial" w:cs="Arial" w:eastAsia="Arial" w:hint="default"/>
                <w:sz w:val="20"/>
                <w:szCs w:val="20"/>
              </w:rPr>
            </w:pPr>
            <w:r>
              <w:rPr>
                <w:rFonts w:ascii="Arial"/>
                <w:w w:val="95"/>
                <w:sz w:val="20"/>
              </w:rPr>
              <w:t>143,203,713.47</w:t>
            </w:r>
            <w:r>
              <w:rPr>
                <w:rFonts w:ascii="Arial"/>
                <w:sz w:val="20"/>
              </w:rPr>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0"/>
              <w:ind w:right="24"/>
              <w:jc w:val="right"/>
              <w:rPr>
                <w:rFonts w:ascii="Arial" w:hAnsi="Arial" w:cs="Arial" w:eastAsia="Arial" w:hint="default"/>
                <w:sz w:val="20"/>
                <w:szCs w:val="20"/>
              </w:rPr>
            </w:pPr>
            <w:r>
              <w:rPr>
                <w:rFonts w:ascii="Arial"/>
                <w:w w:val="95"/>
                <w:sz w:val="20"/>
              </w:rPr>
              <w:t>-143,203,713.47</w:t>
            </w:r>
            <w:r>
              <w:rPr>
                <w:rFonts w:ascii="Arial"/>
                <w:sz w:val="20"/>
              </w:rPr>
            </w:r>
          </w:p>
        </w:tc>
        <w:tc>
          <w:tcPr>
            <w:tcW w:w="1822" w:type="dxa"/>
            <w:tcBorders>
              <w:top w:val="single" w:sz="4" w:space="0" w:color="009EEA"/>
              <w:left w:val="single" w:sz="4" w:space="0" w:color="009EEA"/>
              <w:bottom w:val="single" w:sz="4" w:space="0" w:color="009EEA"/>
              <w:right w:val="nil" w:sz="6" w:space="0" w:color="auto"/>
            </w:tcBorders>
          </w:tcPr>
          <w:p>
            <w:pPr/>
          </w:p>
        </w:tc>
      </w:tr>
      <w:tr>
        <w:trPr>
          <w:trHeight w:val="324" w:hRule="exact"/>
        </w:trPr>
        <w:tc>
          <w:tcPr>
            <w:tcW w:w="30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r>
              <w:rPr>
                <w:rFonts w:ascii="宋体" w:hAnsi="宋体" w:cs="宋体" w:eastAsia="宋体" w:hint="default"/>
                <w:sz w:val="18"/>
                <w:szCs w:val="18"/>
              </w:rPr>
              <w:t> </w:t>
            </w:r>
          </w:p>
        </w:tc>
        <w:tc>
          <w:tcPr>
            <w:tcW w:w="1707" w:type="dxa"/>
            <w:tcBorders>
              <w:top w:val="single" w:sz="4" w:space="0" w:color="009EEA"/>
              <w:left w:val="single" w:sz="4" w:space="0" w:color="009EEA"/>
              <w:bottom w:val="single" w:sz="4" w:space="0" w:color="009EEA"/>
              <w:right w:val="single" w:sz="4" w:space="0" w:color="009EEA"/>
            </w:tcBorders>
          </w:tcPr>
          <w:p>
            <w:pPr/>
          </w:p>
        </w:tc>
        <w:tc>
          <w:tcPr>
            <w:tcW w:w="1752" w:type="dxa"/>
            <w:tcBorders>
              <w:top w:val="single" w:sz="4" w:space="0" w:color="009EEA"/>
              <w:left w:val="single" w:sz="4" w:space="0" w:color="009EEA"/>
              <w:bottom w:val="single" w:sz="4" w:space="0" w:color="009EEA"/>
              <w:right w:val="single" w:sz="4" w:space="0" w:color="009EEA"/>
            </w:tcBorders>
          </w:tcPr>
          <w:p>
            <w:pPr/>
          </w:p>
        </w:tc>
        <w:tc>
          <w:tcPr>
            <w:tcW w:w="800"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0"/>
              <w:ind w:right="24"/>
              <w:jc w:val="right"/>
              <w:rPr>
                <w:rFonts w:ascii="Arial" w:hAnsi="Arial" w:cs="Arial" w:eastAsia="Arial" w:hint="default"/>
                <w:sz w:val="20"/>
                <w:szCs w:val="20"/>
              </w:rPr>
            </w:pPr>
            <w:r>
              <w:rPr>
                <w:rFonts w:ascii="Arial"/>
                <w:w w:val="95"/>
                <w:sz w:val="20"/>
              </w:rPr>
              <w:t>-479,973,575.43</w:t>
            </w:r>
            <w:r>
              <w:rPr>
                <w:rFonts w:ascii="Arial"/>
                <w:sz w:val="20"/>
              </w:rPr>
            </w:r>
          </w:p>
        </w:tc>
        <w:tc>
          <w:tcPr>
            <w:tcW w:w="182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0"/>
              <w:ind w:right="29"/>
              <w:jc w:val="right"/>
              <w:rPr>
                <w:rFonts w:ascii="Arial" w:hAnsi="Arial" w:cs="Arial" w:eastAsia="Arial" w:hint="default"/>
                <w:sz w:val="20"/>
                <w:szCs w:val="20"/>
              </w:rPr>
            </w:pPr>
            <w:r>
              <w:rPr>
                <w:rFonts w:ascii="Arial"/>
                <w:w w:val="95"/>
                <w:sz w:val="20"/>
              </w:rPr>
              <w:t>-479,973,575.43</w:t>
            </w:r>
            <w:r>
              <w:rPr>
                <w:rFonts w:ascii="Arial"/>
                <w:sz w:val="20"/>
              </w:rPr>
            </w:r>
          </w:p>
        </w:tc>
      </w:tr>
      <w:tr>
        <w:trPr>
          <w:trHeight w:val="322" w:hRule="exact"/>
        </w:trPr>
        <w:tc>
          <w:tcPr>
            <w:tcW w:w="30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707" w:type="dxa"/>
            <w:tcBorders>
              <w:top w:val="single" w:sz="4" w:space="0" w:color="009EEA"/>
              <w:left w:val="single" w:sz="4" w:space="0" w:color="009EEA"/>
              <w:bottom w:val="single" w:sz="4" w:space="0" w:color="009EEA"/>
              <w:right w:val="single" w:sz="4" w:space="0" w:color="009EEA"/>
            </w:tcBorders>
          </w:tcPr>
          <w:p>
            <w:pPr/>
          </w:p>
        </w:tc>
        <w:tc>
          <w:tcPr>
            <w:tcW w:w="1752" w:type="dxa"/>
            <w:tcBorders>
              <w:top w:val="single" w:sz="4" w:space="0" w:color="009EEA"/>
              <w:left w:val="single" w:sz="4" w:space="0" w:color="009EEA"/>
              <w:bottom w:val="single" w:sz="4" w:space="0" w:color="009EEA"/>
              <w:right w:val="single" w:sz="4" w:space="0" w:color="009EEA"/>
            </w:tcBorders>
          </w:tcPr>
          <w:p>
            <w:pPr/>
          </w:p>
        </w:tc>
        <w:tc>
          <w:tcPr>
            <w:tcW w:w="800"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822" w:type="dxa"/>
            <w:tcBorders>
              <w:top w:val="single" w:sz="4" w:space="0" w:color="009EEA"/>
              <w:left w:val="single" w:sz="4" w:space="0" w:color="009EEA"/>
              <w:bottom w:val="single" w:sz="4" w:space="0" w:color="009EEA"/>
              <w:right w:val="nil" w:sz="6" w:space="0" w:color="auto"/>
            </w:tcBorders>
          </w:tcPr>
          <w:p>
            <w:pPr/>
          </w:p>
        </w:tc>
      </w:tr>
      <w:tr>
        <w:trPr>
          <w:trHeight w:val="322" w:hRule="exact"/>
        </w:trPr>
        <w:tc>
          <w:tcPr>
            <w:tcW w:w="30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r>
              <w:rPr>
                <w:rFonts w:ascii="宋体" w:hAnsi="宋体" w:cs="宋体" w:eastAsia="宋体" w:hint="default"/>
                <w:sz w:val="18"/>
                <w:szCs w:val="18"/>
              </w:rPr>
              <w:t> </w:t>
            </w:r>
          </w:p>
        </w:tc>
        <w:tc>
          <w:tcPr>
            <w:tcW w:w="1707" w:type="dxa"/>
            <w:tcBorders>
              <w:top w:val="single" w:sz="4" w:space="0" w:color="009EEA"/>
              <w:left w:val="single" w:sz="4" w:space="0" w:color="009EEA"/>
              <w:bottom w:val="single" w:sz="4" w:space="0" w:color="009EEA"/>
              <w:right w:val="single" w:sz="4" w:space="0" w:color="009EEA"/>
            </w:tcBorders>
          </w:tcPr>
          <w:p>
            <w:pPr/>
          </w:p>
        </w:tc>
        <w:tc>
          <w:tcPr>
            <w:tcW w:w="1752" w:type="dxa"/>
            <w:tcBorders>
              <w:top w:val="single" w:sz="4" w:space="0" w:color="009EEA"/>
              <w:left w:val="single" w:sz="4" w:space="0" w:color="009EEA"/>
              <w:bottom w:val="single" w:sz="4" w:space="0" w:color="009EEA"/>
              <w:right w:val="single" w:sz="4" w:space="0" w:color="009EEA"/>
            </w:tcBorders>
          </w:tcPr>
          <w:p>
            <w:pPr/>
          </w:p>
        </w:tc>
        <w:tc>
          <w:tcPr>
            <w:tcW w:w="800"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822" w:type="dxa"/>
            <w:tcBorders>
              <w:top w:val="single" w:sz="4" w:space="0" w:color="009EEA"/>
              <w:left w:val="single" w:sz="4" w:space="0" w:color="009EEA"/>
              <w:bottom w:val="single" w:sz="4" w:space="0" w:color="009EEA"/>
              <w:right w:val="nil" w:sz="6" w:space="0" w:color="auto"/>
            </w:tcBorders>
          </w:tcPr>
          <w:p>
            <w:pPr/>
          </w:p>
        </w:tc>
      </w:tr>
      <w:tr>
        <w:trPr>
          <w:trHeight w:val="322" w:hRule="exact"/>
        </w:trPr>
        <w:tc>
          <w:tcPr>
            <w:tcW w:w="30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r>
              <w:rPr>
                <w:rFonts w:ascii="宋体" w:hAnsi="宋体" w:cs="宋体" w:eastAsia="宋体" w:hint="default"/>
                <w:sz w:val="18"/>
                <w:szCs w:val="18"/>
              </w:rPr>
              <w:t> </w:t>
            </w:r>
          </w:p>
        </w:tc>
        <w:tc>
          <w:tcPr>
            <w:tcW w:w="1707" w:type="dxa"/>
            <w:tcBorders>
              <w:top w:val="single" w:sz="4" w:space="0" w:color="009EEA"/>
              <w:left w:val="single" w:sz="4" w:space="0" w:color="009EEA"/>
              <w:bottom w:val="single" w:sz="4" w:space="0" w:color="009EEA"/>
              <w:right w:val="single" w:sz="4" w:space="0" w:color="009EEA"/>
            </w:tcBorders>
          </w:tcPr>
          <w:p>
            <w:pPr/>
          </w:p>
        </w:tc>
        <w:tc>
          <w:tcPr>
            <w:tcW w:w="1752" w:type="dxa"/>
            <w:tcBorders>
              <w:top w:val="single" w:sz="4" w:space="0" w:color="009EEA"/>
              <w:left w:val="single" w:sz="4" w:space="0" w:color="009EEA"/>
              <w:bottom w:val="single" w:sz="4" w:space="0" w:color="009EEA"/>
              <w:right w:val="single" w:sz="4" w:space="0" w:color="009EEA"/>
            </w:tcBorders>
          </w:tcPr>
          <w:p>
            <w:pPr/>
          </w:p>
        </w:tc>
        <w:tc>
          <w:tcPr>
            <w:tcW w:w="800"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822" w:type="dxa"/>
            <w:tcBorders>
              <w:top w:val="single" w:sz="4" w:space="0" w:color="009EEA"/>
              <w:left w:val="single" w:sz="4" w:space="0" w:color="009EEA"/>
              <w:bottom w:val="single" w:sz="4" w:space="0" w:color="009EEA"/>
              <w:right w:val="nil" w:sz="6" w:space="0" w:color="auto"/>
            </w:tcBorders>
          </w:tcPr>
          <w:p>
            <w:pPr/>
          </w:p>
        </w:tc>
      </w:tr>
      <w:tr>
        <w:trPr>
          <w:trHeight w:val="322" w:hRule="exact"/>
        </w:trPr>
        <w:tc>
          <w:tcPr>
            <w:tcW w:w="30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r>
              <w:rPr>
                <w:rFonts w:ascii="宋体" w:hAnsi="宋体" w:cs="宋体" w:eastAsia="宋体" w:hint="default"/>
                <w:sz w:val="18"/>
                <w:szCs w:val="18"/>
              </w:rPr>
              <w:t> </w:t>
            </w:r>
          </w:p>
        </w:tc>
        <w:tc>
          <w:tcPr>
            <w:tcW w:w="1707" w:type="dxa"/>
            <w:tcBorders>
              <w:top w:val="single" w:sz="4" w:space="0" w:color="009EEA"/>
              <w:left w:val="single" w:sz="4" w:space="0" w:color="009EEA"/>
              <w:bottom w:val="single" w:sz="4" w:space="0" w:color="009EEA"/>
              <w:right w:val="single" w:sz="4" w:space="0" w:color="009EEA"/>
            </w:tcBorders>
          </w:tcPr>
          <w:p>
            <w:pPr/>
          </w:p>
        </w:tc>
        <w:tc>
          <w:tcPr>
            <w:tcW w:w="1752" w:type="dxa"/>
            <w:tcBorders>
              <w:top w:val="single" w:sz="4" w:space="0" w:color="009EEA"/>
              <w:left w:val="single" w:sz="4" w:space="0" w:color="009EEA"/>
              <w:bottom w:val="single" w:sz="4" w:space="0" w:color="009EEA"/>
              <w:right w:val="single" w:sz="4" w:space="0" w:color="009EEA"/>
            </w:tcBorders>
          </w:tcPr>
          <w:p>
            <w:pPr/>
          </w:p>
        </w:tc>
        <w:tc>
          <w:tcPr>
            <w:tcW w:w="800"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822" w:type="dxa"/>
            <w:tcBorders>
              <w:top w:val="single" w:sz="4" w:space="0" w:color="009EEA"/>
              <w:left w:val="single" w:sz="4" w:space="0" w:color="009EEA"/>
              <w:bottom w:val="single" w:sz="4" w:space="0" w:color="009EEA"/>
              <w:right w:val="nil" w:sz="6" w:space="0" w:color="auto"/>
            </w:tcBorders>
          </w:tcPr>
          <w:p>
            <w:pPr/>
          </w:p>
        </w:tc>
      </w:tr>
      <w:tr>
        <w:trPr>
          <w:trHeight w:val="322" w:hRule="exact"/>
        </w:trPr>
        <w:tc>
          <w:tcPr>
            <w:tcW w:w="30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707" w:type="dxa"/>
            <w:tcBorders>
              <w:top w:val="single" w:sz="4" w:space="0" w:color="009EEA"/>
              <w:left w:val="single" w:sz="4" w:space="0" w:color="009EEA"/>
              <w:bottom w:val="single" w:sz="4" w:space="0" w:color="009EEA"/>
              <w:right w:val="single" w:sz="4" w:space="0" w:color="009EEA"/>
            </w:tcBorders>
          </w:tcPr>
          <w:p>
            <w:pPr/>
          </w:p>
        </w:tc>
        <w:tc>
          <w:tcPr>
            <w:tcW w:w="1752" w:type="dxa"/>
            <w:tcBorders>
              <w:top w:val="single" w:sz="4" w:space="0" w:color="009EEA"/>
              <w:left w:val="single" w:sz="4" w:space="0" w:color="009EEA"/>
              <w:bottom w:val="single" w:sz="4" w:space="0" w:color="009EEA"/>
              <w:right w:val="single" w:sz="4" w:space="0" w:color="009EEA"/>
            </w:tcBorders>
          </w:tcPr>
          <w:p>
            <w:pPr/>
          </w:p>
        </w:tc>
        <w:tc>
          <w:tcPr>
            <w:tcW w:w="800"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822" w:type="dxa"/>
            <w:tcBorders>
              <w:top w:val="single" w:sz="4" w:space="0" w:color="009EEA"/>
              <w:left w:val="single" w:sz="4" w:space="0" w:color="009EEA"/>
              <w:bottom w:val="single" w:sz="4" w:space="0" w:color="009EEA"/>
              <w:right w:val="nil" w:sz="6" w:space="0" w:color="auto"/>
            </w:tcBorders>
          </w:tcPr>
          <w:p>
            <w:pPr/>
          </w:p>
        </w:tc>
      </w:tr>
      <w:tr>
        <w:trPr>
          <w:trHeight w:val="324" w:hRule="exact"/>
        </w:trPr>
        <w:tc>
          <w:tcPr>
            <w:tcW w:w="30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0"/>
              <w:ind w:left="28" w:right="0"/>
              <w:jc w:val="left"/>
              <w:rPr>
                <w:rFonts w:ascii="宋体" w:hAnsi="宋体" w:cs="宋体" w:eastAsia="宋体" w:hint="default"/>
                <w:sz w:val="21"/>
                <w:szCs w:val="21"/>
              </w:rPr>
            </w:pPr>
            <w:r>
              <w:rPr>
                <w:rFonts w:ascii="宋体" w:hAnsi="宋体" w:cs="宋体" w:eastAsia="宋体" w:hint="default"/>
                <w:spacing w:val="-9"/>
                <w:sz w:val="18"/>
                <w:szCs w:val="18"/>
              </w:rPr>
              <w:t>4</w:t>
            </w:r>
            <w:r>
              <w:rPr>
                <w:rFonts w:ascii="宋体" w:hAnsi="宋体" w:cs="宋体" w:eastAsia="宋体" w:hint="default"/>
                <w:spacing w:val="-9"/>
                <w:sz w:val="18"/>
                <w:szCs w:val="18"/>
              </w:rPr>
              <w:t>．设定受益计划变动额结转留存收益</w:t>
            </w:r>
            <w:r>
              <w:rPr>
                <w:rFonts w:ascii="宋体" w:hAnsi="宋体" w:cs="宋体" w:eastAsia="宋体" w:hint="default"/>
                <w:w w:val="100"/>
                <w:sz w:val="21"/>
                <w:szCs w:val="21"/>
              </w:rPr>
              <w:t> </w:t>
            </w:r>
          </w:p>
        </w:tc>
        <w:tc>
          <w:tcPr>
            <w:tcW w:w="1707" w:type="dxa"/>
            <w:tcBorders>
              <w:top w:val="single" w:sz="4" w:space="0" w:color="009EEA"/>
              <w:left w:val="single" w:sz="4" w:space="0" w:color="009EEA"/>
              <w:bottom w:val="single" w:sz="4" w:space="0" w:color="009EEA"/>
              <w:right w:val="single" w:sz="4" w:space="0" w:color="009EEA"/>
            </w:tcBorders>
          </w:tcPr>
          <w:p>
            <w:pPr/>
          </w:p>
        </w:tc>
        <w:tc>
          <w:tcPr>
            <w:tcW w:w="1752" w:type="dxa"/>
            <w:tcBorders>
              <w:top w:val="single" w:sz="4" w:space="0" w:color="009EEA"/>
              <w:left w:val="single" w:sz="4" w:space="0" w:color="009EEA"/>
              <w:bottom w:val="single" w:sz="4" w:space="0" w:color="009EEA"/>
              <w:right w:val="single" w:sz="4" w:space="0" w:color="009EEA"/>
            </w:tcBorders>
          </w:tcPr>
          <w:p>
            <w:pPr/>
          </w:p>
        </w:tc>
        <w:tc>
          <w:tcPr>
            <w:tcW w:w="800"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822" w:type="dxa"/>
            <w:tcBorders>
              <w:top w:val="single" w:sz="4" w:space="0" w:color="009EEA"/>
              <w:left w:val="single" w:sz="4" w:space="0" w:color="009EEA"/>
              <w:bottom w:val="single" w:sz="4" w:space="0" w:color="009EEA"/>
              <w:right w:val="nil" w:sz="6" w:space="0" w:color="auto"/>
            </w:tcBorders>
          </w:tcPr>
          <w:p>
            <w:pPr/>
          </w:p>
        </w:tc>
      </w:tr>
      <w:tr>
        <w:trPr>
          <w:trHeight w:val="322" w:hRule="exact"/>
        </w:trPr>
        <w:tc>
          <w:tcPr>
            <w:tcW w:w="30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．其他综合收益结转留存收益</w:t>
            </w:r>
            <w:r>
              <w:rPr>
                <w:rFonts w:ascii="宋体" w:hAnsi="宋体" w:cs="宋体" w:eastAsia="宋体" w:hint="default"/>
                <w:sz w:val="18"/>
                <w:szCs w:val="18"/>
              </w:rPr>
              <w:t> </w:t>
            </w:r>
          </w:p>
        </w:tc>
        <w:tc>
          <w:tcPr>
            <w:tcW w:w="1707" w:type="dxa"/>
            <w:tcBorders>
              <w:top w:val="single" w:sz="4" w:space="0" w:color="009EEA"/>
              <w:left w:val="single" w:sz="4" w:space="0" w:color="009EEA"/>
              <w:bottom w:val="single" w:sz="4" w:space="0" w:color="009EEA"/>
              <w:right w:val="single" w:sz="4" w:space="0" w:color="009EEA"/>
            </w:tcBorders>
          </w:tcPr>
          <w:p>
            <w:pPr/>
          </w:p>
        </w:tc>
        <w:tc>
          <w:tcPr>
            <w:tcW w:w="1752" w:type="dxa"/>
            <w:tcBorders>
              <w:top w:val="single" w:sz="4" w:space="0" w:color="009EEA"/>
              <w:left w:val="single" w:sz="4" w:space="0" w:color="009EEA"/>
              <w:bottom w:val="single" w:sz="4" w:space="0" w:color="009EEA"/>
              <w:right w:val="single" w:sz="4" w:space="0" w:color="009EEA"/>
            </w:tcBorders>
          </w:tcPr>
          <w:p>
            <w:pPr/>
          </w:p>
        </w:tc>
        <w:tc>
          <w:tcPr>
            <w:tcW w:w="800"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822" w:type="dxa"/>
            <w:tcBorders>
              <w:top w:val="single" w:sz="4" w:space="0" w:color="009EEA"/>
              <w:left w:val="single" w:sz="4" w:space="0" w:color="009EEA"/>
              <w:bottom w:val="single" w:sz="4" w:space="0" w:color="009EEA"/>
              <w:right w:val="nil" w:sz="6" w:space="0" w:color="auto"/>
            </w:tcBorders>
          </w:tcPr>
          <w:p>
            <w:pPr/>
          </w:p>
        </w:tc>
      </w:tr>
      <w:tr>
        <w:trPr>
          <w:trHeight w:val="322" w:hRule="exact"/>
        </w:trPr>
        <w:tc>
          <w:tcPr>
            <w:tcW w:w="30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8"/>
              <w:ind w:left="28" w:right="0"/>
              <w:jc w:val="left"/>
              <w:rPr>
                <w:rFonts w:ascii="宋体" w:hAnsi="宋体" w:cs="宋体" w:eastAsia="宋体" w:hint="default"/>
                <w:sz w:val="21"/>
                <w:szCs w:val="21"/>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w w:val="100"/>
                <w:sz w:val="21"/>
                <w:szCs w:val="21"/>
              </w:rPr>
              <w:t> </w:t>
            </w:r>
          </w:p>
        </w:tc>
        <w:tc>
          <w:tcPr>
            <w:tcW w:w="1707" w:type="dxa"/>
            <w:tcBorders>
              <w:top w:val="single" w:sz="4" w:space="0" w:color="009EEA"/>
              <w:left w:val="single" w:sz="4" w:space="0" w:color="009EEA"/>
              <w:bottom w:val="single" w:sz="4" w:space="0" w:color="009EEA"/>
              <w:right w:val="single" w:sz="4" w:space="0" w:color="009EEA"/>
            </w:tcBorders>
          </w:tcPr>
          <w:p>
            <w:pPr/>
          </w:p>
        </w:tc>
        <w:tc>
          <w:tcPr>
            <w:tcW w:w="1752" w:type="dxa"/>
            <w:tcBorders>
              <w:top w:val="single" w:sz="4" w:space="0" w:color="009EEA"/>
              <w:left w:val="single" w:sz="4" w:space="0" w:color="009EEA"/>
              <w:bottom w:val="single" w:sz="4" w:space="0" w:color="009EEA"/>
              <w:right w:val="single" w:sz="4" w:space="0" w:color="009EEA"/>
            </w:tcBorders>
          </w:tcPr>
          <w:p>
            <w:pPr/>
          </w:p>
        </w:tc>
        <w:tc>
          <w:tcPr>
            <w:tcW w:w="800"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822" w:type="dxa"/>
            <w:tcBorders>
              <w:top w:val="single" w:sz="4" w:space="0" w:color="009EEA"/>
              <w:left w:val="single" w:sz="4" w:space="0" w:color="009EEA"/>
              <w:bottom w:val="single" w:sz="4" w:space="0" w:color="009EEA"/>
              <w:right w:val="nil" w:sz="6" w:space="0" w:color="auto"/>
            </w:tcBorders>
          </w:tcPr>
          <w:p>
            <w:pPr/>
          </w:p>
        </w:tc>
      </w:tr>
      <w:tr>
        <w:trPr>
          <w:trHeight w:val="322" w:hRule="exact"/>
        </w:trPr>
        <w:tc>
          <w:tcPr>
            <w:tcW w:w="30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707" w:type="dxa"/>
            <w:tcBorders>
              <w:top w:val="single" w:sz="4" w:space="0" w:color="009EEA"/>
              <w:left w:val="single" w:sz="4" w:space="0" w:color="009EEA"/>
              <w:bottom w:val="single" w:sz="4" w:space="0" w:color="009EEA"/>
              <w:right w:val="single" w:sz="4" w:space="0" w:color="009EEA"/>
            </w:tcBorders>
          </w:tcPr>
          <w:p>
            <w:pPr/>
          </w:p>
        </w:tc>
        <w:tc>
          <w:tcPr>
            <w:tcW w:w="1752" w:type="dxa"/>
            <w:tcBorders>
              <w:top w:val="single" w:sz="4" w:space="0" w:color="009EEA"/>
              <w:left w:val="single" w:sz="4" w:space="0" w:color="009EEA"/>
              <w:bottom w:val="single" w:sz="4" w:space="0" w:color="009EEA"/>
              <w:right w:val="single" w:sz="4" w:space="0" w:color="009EEA"/>
            </w:tcBorders>
          </w:tcPr>
          <w:p>
            <w:pPr/>
          </w:p>
        </w:tc>
        <w:tc>
          <w:tcPr>
            <w:tcW w:w="800"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822" w:type="dxa"/>
            <w:tcBorders>
              <w:top w:val="single" w:sz="4" w:space="0" w:color="009EEA"/>
              <w:left w:val="single" w:sz="4" w:space="0" w:color="009EEA"/>
              <w:bottom w:val="single" w:sz="4" w:space="0" w:color="009EEA"/>
              <w:right w:val="nil" w:sz="6" w:space="0" w:color="auto"/>
            </w:tcBorders>
          </w:tcPr>
          <w:p>
            <w:pPr/>
          </w:p>
        </w:tc>
      </w:tr>
      <w:tr>
        <w:trPr>
          <w:trHeight w:val="322" w:hRule="exact"/>
        </w:trPr>
        <w:tc>
          <w:tcPr>
            <w:tcW w:w="30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707" w:type="dxa"/>
            <w:tcBorders>
              <w:top w:val="single" w:sz="4" w:space="0" w:color="009EEA"/>
              <w:left w:val="single" w:sz="4" w:space="0" w:color="009EEA"/>
              <w:bottom w:val="single" w:sz="4" w:space="0" w:color="009EEA"/>
              <w:right w:val="single" w:sz="4" w:space="0" w:color="009EEA"/>
            </w:tcBorders>
          </w:tcPr>
          <w:p>
            <w:pPr/>
          </w:p>
        </w:tc>
        <w:tc>
          <w:tcPr>
            <w:tcW w:w="1752" w:type="dxa"/>
            <w:tcBorders>
              <w:top w:val="single" w:sz="4" w:space="0" w:color="009EEA"/>
              <w:left w:val="single" w:sz="4" w:space="0" w:color="009EEA"/>
              <w:bottom w:val="single" w:sz="4" w:space="0" w:color="009EEA"/>
              <w:right w:val="single" w:sz="4" w:space="0" w:color="009EEA"/>
            </w:tcBorders>
          </w:tcPr>
          <w:p>
            <w:pPr/>
          </w:p>
        </w:tc>
        <w:tc>
          <w:tcPr>
            <w:tcW w:w="800"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8"/>
              <w:ind w:right="19"/>
              <w:jc w:val="right"/>
              <w:rPr>
                <w:rFonts w:ascii="Arial" w:hAnsi="Arial" w:cs="Arial" w:eastAsia="Arial" w:hint="default"/>
                <w:sz w:val="20"/>
                <w:szCs w:val="20"/>
              </w:rPr>
            </w:pPr>
            <w:r>
              <w:rPr>
                <w:rFonts w:ascii="Arial"/>
                <w:w w:val="95"/>
                <w:sz w:val="20"/>
              </w:rPr>
              <w:t>-3,063,918.37</w:t>
            </w:r>
            <w:r>
              <w:rPr>
                <w:rFonts w:ascii="Arial"/>
                <w:sz w:val="20"/>
              </w:rPr>
            </w:r>
          </w:p>
        </w:tc>
        <w:tc>
          <w:tcPr>
            <w:tcW w:w="1702"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82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38"/>
              <w:ind w:right="29"/>
              <w:jc w:val="right"/>
              <w:rPr>
                <w:rFonts w:ascii="Arial" w:hAnsi="Arial" w:cs="Arial" w:eastAsia="Arial" w:hint="default"/>
                <w:sz w:val="20"/>
                <w:szCs w:val="20"/>
              </w:rPr>
            </w:pPr>
            <w:r>
              <w:rPr>
                <w:rFonts w:ascii="Arial"/>
                <w:w w:val="95"/>
                <w:sz w:val="20"/>
              </w:rPr>
              <w:t>-3,063,918.37</w:t>
            </w:r>
            <w:r>
              <w:rPr>
                <w:rFonts w:ascii="Arial"/>
                <w:sz w:val="20"/>
              </w:rPr>
            </w:r>
          </w:p>
        </w:tc>
      </w:tr>
      <w:tr>
        <w:trPr>
          <w:trHeight w:val="329" w:hRule="exact"/>
        </w:trPr>
        <w:tc>
          <w:tcPr>
            <w:tcW w:w="3008"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707"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0"/>
              <w:ind w:right="25"/>
              <w:jc w:val="right"/>
              <w:rPr>
                <w:rFonts w:ascii="Arial" w:hAnsi="Arial" w:cs="Arial" w:eastAsia="Arial" w:hint="default"/>
                <w:sz w:val="20"/>
                <w:szCs w:val="20"/>
              </w:rPr>
            </w:pPr>
            <w:r>
              <w:rPr>
                <w:rFonts w:ascii="Arial"/>
                <w:w w:val="95"/>
                <w:sz w:val="20"/>
              </w:rPr>
              <w:t>1,777,679,909.00</w:t>
            </w:r>
            <w:r>
              <w:rPr>
                <w:rFonts w:ascii="Arial"/>
                <w:sz w:val="20"/>
              </w:rPr>
            </w:r>
          </w:p>
        </w:tc>
        <w:tc>
          <w:tcPr>
            <w:tcW w:w="175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0"/>
              <w:ind w:left="138" w:right="0"/>
              <w:jc w:val="center"/>
              <w:rPr>
                <w:rFonts w:ascii="Arial" w:hAnsi="Arial" w:cs="Arial" w:eastAsia="Arial" w:hint="default"/>
                <w:sz w:val="20"/>
                <w:szCs w:val="20"/>
              </w:rPr>
            </w:pPr>
            <w:r>
              <w:rPr>
                <w:rFonts w:ascii="Arial"/>
                <w:sz w:val="20"/>
              </w:rPr>
              <w:t>2,422,095,180.79</w:t>
            </w:r>
          </w:p>
        </w:tc>
        <w:tc>
          <w:tcPr>
            <w:tcW w:w="800" w:type="dxa"/>
            <w:tcBorders>
              <w:top w:val="single" w:sz="4" w:space="0" w:color="009EEA"/>
              <w:left w:val="single" w:sz="4" w:space="0" w:color="009EEA"/>
              <w:bottom w:val="single" w:sz="8" w:space="0" w:color="009EEA"/>
              <w:right w:val="single" w:sz="4" w:space="0" w:color="009EEA"/>
            </w:tcBorders>
          </w:tcPr>
          <w:p>
            <w:pPr/>
          </w:p>
        </w:tc>
        <w:tc>
          <w:tcPr>
            <w:tcW w:w="1416" w:type="dxa"/>
            <w:tcBorders>
              <w:top w:val="single" w:sz="4" w:space="0" w:color="009EEA"/>
              <w:left w:val="single" w:sz="4" w:space="0" w:color="009EEA"/>
              <w:bottom w:val="single" w:sz="8" w:space="0" w:color="009EEA"/>
              <w:right w:val="single" w:sz="4" w:space="0" w:color="009EEA"/>
            </w:tcBorders>
          </w:tcPr>
          <w:p>
            <w:pPr/>
          </w:p>
        </w:tc>
        <w:tc>
          <w:tcPr>
            <w:tcW w:w="170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0"/>
              <w:ind w:right="24"/>
              <w:jc w:val="right"/>
              <w:rPr>
                <w:rFonts w:ascii="Arial" w:hAnsi="Arial" w:cs="Arial" w:eastAsia="Arial" w:hint="default"/>
                <w:sz w:val="20"/>
                <w:szCs w:val="20"/>
              </w:rPr>
            </w:pPr>
            <w:r>
              <w:rPr>
                <w:rFonts w:ascii="Arial"/>
                <w:w w:val="95"/>
                <w:sz w:val="20"/>
              </w:rPr>
              <w:t>1,518,444,124.46</w:t>
            </w:r>
            <w:r>
              <w:rPr>
                <w:rFonts w:ascii="Arial"/>
                <w:sz w:val="20"/>
              </w:rPr>
            </w:r>
          </w:p>
        </w:tc>
        <w:tc>
          <w:tcPr>
            <w:tcW w:w="170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0"/>
              <w:ind w:right="24"/>
              <w:jc w:val="right"/>
              <w:rPr>
                <w:rFonts w:ascii="Arial" w:hAnsi="Arial" w:cs="Arial" w:eastAsia="Arial" w:hint="default"/>
                <w:sz w:val="20"/>
                <w:szCs w:val="20"/>
              </w:rPr>
            </w:pPr>
            <w:r>
              <w:rPr>
                <w:rFonts w:ascii="Arial"/>
                <w:w w:val="95"/>
                <w:sz w:val="20"/>
              </w:rPr>
              <w:t>839,914,259.29</w:t>
            </w:r>
            <w:r>
              <w:rPr>
                <w:rFonts w:ascii="Arial"/>
                <w:sz w:val="20"/>
              </w:rPr>
            </w:r>
          </w:p>
        </w:tc>
        <w:tc>
          <w:tcPr>
            <w:tcW w:w="1822"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0"/>
              <w:ind w:right="29"/>
              <w:jc w:val="right"/>
              <w:rPr>
                <w:rFonts w:ascii="Arial" w:hAnsi="Arial" w:cs="Arial" w:eastAsia="Arial" w:hint="default"/>
                <w:sz w:val="20"/>
                <w:szCs w:val="20"/>
              </w:rPr>
            </w:pPr>
            <w:r>
              <w:rPr>
                <w:rFonts w:ascii="Arial"/>
                <w:w w:val="95"/>
                <w:sz w:val="20"/>
              </w:rPr>
              <w:t>6,558,133,473.54</w:t>
            </w:r>
            <w:r>
              <w:rPr>
                <w:rFonts w:ascii="Arial"/>
                <w:sz w:val="20"/>
              </w:rPr>
            </w:r>
          </w:p>
        </w:tc>
      </w:tr>
    </w:tbl>
    <w:p>
      <w:pPr>
        <w:spacing w:line="240" w:lineRule="auto" w:before="11"/>
        <w:rPr>
          <w:rFonts w:ascii="宋体" w:hAnsi="宋体" w:cs="宋体" w:eastAsia="宋体" w:hint="default"/>
          <w:sz w:val="2"/>
          <w:szCs w:val="2"/>
        </w:rPr>
      </w:pPr>
    </w:p>
    <w:p>
      <w:pPr>
        <w:spacing w:line="20" w:lineRule="exact"/>
        <w:ind w:left="213" w:right="0" w:firstLine="0"/>
        <w:rPr>
          <w:rFonts w:ascii="宋体" w:hAnsi="宋体" w:cs="宋体" w:eastAsia="宋体" w:hint="default"/>
          <w:sz w:val="2"/>
          <w:szCs w:val="2"/>
        </w:rPr>
      </w:pPr>
      <w:r>
        <w:rPr>
          <w:rFonts w:ascii="宋体" w:hAnsi="宋体" w:cs="宋体" w:eastAsia="宋体" w:hint="default"/>
          <w:sz w:val="2"/>
          <w:szCs w:val="2"/>
        </w:rPr>
        <w:pict>
          <v:group style="width:696.35pt;height:1pt;mso-position-horizontal-relative:char;mso-position-vertical-relative:line" coordorigin="0,0" coordsize="13927,20">
            <v:group style="position:absolute;left:10;top:10;width:3003;height:2" coordorigin="10,10" coordsize="3003,2">
              <v:shape style="position:absolute;left:10;top:10;width:3003;height:2" coordorigin="10,10" coordsize="3003,0" path="m10,10l3012,10e" filled="false" stroked="true" strokeweight=".96002pt" strokecolor="#009eea">
                <v:path arrowok="t"/>
              </v:shape>
            </v:group>
            <v:group style="position:absolute;left:3012;top:10;width:58;height:2" coordorigin="3012,10" coordsize="58,2">
              <v:shape style="position:absolute;left:3012;top:10;width:58;height:2" coordorigin="3012,10" coordsize="58,0" path="m3012,10l3070,10e" filled="false" stroked="true" strokeweight=".96002pt" strokecolor="#009eea">
                <v:path arrowok="t"/>
              </v:shape>
            </v:group>
            <v:group style="position:absolute;left:3070;top:10;width:1650;height:2" coordorigin="3070,10" coordsize="1650,2">
              <v:shape style="position:absolute;left:3070;top:10;width:1650;height:2" coordorigin="3070,10" coordsize="1650,0" path="m3070,10l4719,10e" filled="false" stroked="true" strokeweight=".96002pt" strokecolor="#009eea">
                <v:path arrowok="t"/>
              </v:shape>
            </v:group>
            <v:group style="position:absolute;left:4719;top:10;width:58;height:2" coordorigin="4719,10" coordsize="58,2">
              <v:shape style="position:absolute;left:4719;top:10;width:58;height:2" coordorigin="4719,10" coordsize="58,0" path="m4719,10l4777,10e" filled="false" stroked="true" strokeweight=".96002pt" strokecolor="#009eea">
                <v:path arrowok="t"/>
              </v:shape>
            </v:group>
            <v:group style="position:absolute;left:4777;top:10;width:1695;height:2" coordorigin="4777,10" coordsize="1695,2">
              <v:shape style="position:absolute;left:4777;top:10;width:1695;height:2" coordorigin="4777,10" coordsize="1695,0" path="m4777,10l6471,10e" filled="false" stroked="true" strokeweight=".96002pt" strokecolor="#009eea">
                <v:path arrowok="t"/>
              </v:shape>
            </v:group>
            <v:group style="position:absolute;left:6471;top:10;width:58;height:2" coordorigin="6471,10" coordsize="58,2">
              <v:shape style="position:absolute;left:6471;top:10;width:58;height:2" coordorigin="6471,10" coordsize="58,0" path="m6471,10l6529,10e" filled="false" stroked="true" strokeweight=".96002pt" strokecolor="#009eea">
                <v:path arrowok="t"/>
              </v:shape>
            </v:group>
            <v:group style="position:absolute;left:6529;top:10;width:743;height:2" coordorigin="6529,10" coordsize="743,2">
              <v:shape style="position:absolute;left:6529;top:10;width:743;height:2" coordorigin="6529,10" coordsize="743,0" path="m6529,10l7271,10e" filled="false" stroked="true" strokeweight=".96002pt" strokecolor="#009eea">
                <v:path arrowok="t"/>
              </v:shape>
            </v:group>
            <v:group style="position:absolute;left:7271;top:10;width:58;height:2" coordorigin="7271,10" coordsize="58,2">
              <v:shape style="position:absolute;left:7271;top:10;width:58;height:2" coordorigin="7271,10" coordsize="58,0" path="m7271,10l7329,10e" filled="false" stroked="true" strokeweight=".96002pt" strokecolor="#009eea">
                <v:path arrowok="t"/>
              </v:shape>
            </v:group>
            <v:group style="position:absolute;left:7329;top:10;width:1359;height:2" coordorigin="7329,10" coordsize="1359,2">
              <v:shape style="position:absolute;left:7329;top:10;width:1359;height:2" coordorigin="7329,10" coordsize="1359,0" path="m7329,10l8687,10e" filled="false" stroked="true" strokeweight=".96002pt" strokecolor="#009eea">
                <v:path arrowok="t"/>
              </v:shape>
            </v:group>
            <v:group style="position:absolute;left:8687;top:10;width:58;height:2" coordorigin="8687,10" coordsize="58,2">
              <v:shape style="position:absolute;left:8687;top:10;width:58;height:2" coordorigin="8687,10" coordsize="58,0" path="m8687,10l8745,10e" filled="false" stroked="true" strokeweight=".96002pt" strokecolor="#009eea">
                <v:path arrowok="t"/>
              </v:shape>
            </v:group>
            <v:group style="position:absolute;left:8745;top:10;width:1644;height:2" coordorigin="8745,10" coordsize="1644,2">
              <v:shape style="position:absolute;left:8745;top:10;width:1644;height:2" coordorigin="8745,10" coordsize="1644,0" path="m8745,10l10389,10e" filled="false" stroked="true" strokeweight=".96002pt" strokecolor="#009eea">
                <v:path arrowok="t"/>
              </v:shape>
            </v:group>
            <v:group style="position:absolute;left:10389;top:10;width:58;height:2" coordorigin="10389,10" coordsize="58,2">
              <v:shape style="position:absolute;left:10389;top:10;width:58;height:2" coordorigin="10389,10" coordsize="58,0" path="m10389,10l10446,10e" filled="false" stroked="true" strokeweight=".96002pt" strokecolor="#009eea">
                <v:path arrowok="t"/>
              </v:shape>
            </v:group>
            <v:group style="position:absolute;left:10446;top:10;width:1645;height:2" coordorigin="10446,10" coordsize="1645,2">
              <v:shape style="position:absolute;left:10446;top:10;width:1645;height:2" coordorigin="10446,10" coordsize="1645,0" path="m10446,10l12091,10e" filled="false" stroked="true" strokeweight=".96002pt" strokecolor="#009eea">
                <v:path arrowok="t"/>
              </v:shape>
            </v:group>
            <v:group style="position:absolute;left:12091;top:10;width:58;height:2" coordorigin="12091,10" coordsize="58,2">
              <v:shape style="position:absolute;left:12091;top:10;width:58;height:2" coordorigin="12091,10" coordsize="58,0" path="m12091,10l12148,10e" filled="false" stroked="true" strokeweight=".96002pt" strokecolor="#009eea">
                <v:path arrowok="t"/>
              </v:shape>
            </v:group>
            <v:group style="position:absolute;left:12148;top:10;width:1769;height:2" coordorigin="12148,10" coordsize="1769,2">
              <v:shape style="position:absolute;left:12148;top:10;width:1769;height:2" coordorigin="12148,10" coordsize="1769,0" path="m12148,10l13917,10e" filled="false" stroked="true" strokeweight=".96002pt" strokecolor="#009eea">
                <v:path arrowok="t"/>
              </v:shape>
            </v:group>
          </v:group>
        </w:pict>
      </w:r>
      <w:r>
        <w:rPr>
          <w:rFonts w:ascii="宋体" w:hAnsi="宋体" w:cs="宋体" w:eastAsia="宋体" w:hint="default"/>
          <w:sz w:val="2"/>
          <w:szCs w:val="2"/>
        </w:rPr>
      </w:r>
    </w:p>
    <w:p>
      <w:pPr>
        <w:pStyle w:val="BodyText"/>
        <w:spacing w:line="239" w:lineRule="exact"/>
        <w:ind w:left="144" w:right="0"/>
        <w:jc w:val="left"/>
        <w:rPr>
          <w:rFonts w:ascii="宋体" w:hAnsi="宋体" w:cs="宋体" w:eastAsia="宋体" w:hint="default"/>
        </w:rPr>
      </w:pPr>
      <w:r>
        <w:rPr>
          <w:rFonts w:ascii="宋体"/>
          <w:w w:val="100"/>
        </w:rPr>
        <w:t> </w:t>
      </w:r>
    </w:p>
    <w:p>
      <w:pPr>
        <w:pStyle w:val="BodyText"/>
        <w:spacing w:line="272" w:lineRule="exact"/>
        <w:ind w:left="144" w:right="0"/>
        <w:jc w:val="left"/>
        <w:rPr>
          <w:rFonts w:ascii="宋体" w:hAnsi="宋体" w:cs="宋体" w:eastAsia="宋体" w:hint="default"/>
        </w:rPr>
      </w:pPr>
      <w:r>
        <w:rPr/>
        <w:t>法定代表人：刘长友主管会计工作负责人：贺天元、总会计师及会计机构负责人：葛树峰</w:t>
      </w:r>
      <w:r>
        <w:rPr>
          <w:rFonts w:ascii="宋体" w:hAnsi="宋体" w:cs="宋体" w:eastAsia="宋体" w:hint="default"/>
          <w:b/>
          <w:bCs/>
          <w:color w:val="FF0000"/>
          <w:w w:val="99"/>
        </w:rPr>
        <w:t> </w:t>
      </w:r>
      <w:r>
        <w:rPr>
          <w:rFonts w:ascii="宋体" w:hAnsi="宋体" w:cs="宋体" w:eastAsia="宋体" w:hint="default"/>
        </w:rPr>
      </w:r>
    </w:p>
    <w:p>
      <w:pPr>
        <w:pStyle w:val="Heading2"/>
        <w:spacing w:line="273" w:lineRule="exact" w:before="0"/>
        <w:ind w:left="144" w:right="0"/>
        <w:jc w:val="left"/>
        <w:rPr>
          <w:rFonts w:ascii="宋体" w:hAnsi="宋体" w:cs="宋体" w:eastAsia="宋体" w:hint="default"/>
          <w:b w:val="0"/>
          <w:bCs w:val="0"/>
        </w:rPr>
      </w:pPr>
      <w:r>
        <w:rPr>
          <w:rFonts w:ascii="宋体"/>
          <w:color w:val="FF0000"/>
          <w:w w:val="99"/>
        </w:rPr>
        <w:t> </w:t>
      </w:r>
      <w:r>
        <w:rPr>
          <w:rFonts w:ascii="宋体"/>
          <w:b w:val="0"/>
        </w:rPr>
      </w:r>
    </w:p>
    <w:p>
      <w:pPr>
        <w:spacing w:after="0" w:line="273" w:lineRule="exact"/>
        <w:jc w:val="left"/>
        <w:rPr>
          <w:rFonts w:ascii="宋体" w:hAnsi="宋体" w:cs="宋体" w:eastAsia="宋体" w:hint="default"/>
        </w:rPr>
        <w:sectPr>
          <w:pgSz w:w="16840" w:h="11910" w:orient="landscape"/>
          <w:pgMar w:header="826" w:footer="1195" w:top="1300" w:bottom="1380" w:left="1380" w:right="1200"/>
        </w:sectPr>
      </w:pPr>
    </w:p>
    <w:p>
      <w:pPr>
        <w:spacing w:line="240" w:lineRule="auto" w:before="11"/>
        <w:rPr>
          <w:rFonts w:ascii="宋体" w:hAnsi="宋体" w:cs="宋体" w:eastAsia="宋体" w:hint="default"/>
          <w:b/>
          <w:bCs/>
          <w:sz w:val="3"/>
          <w:szCs w:val="3"/>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pStyle w:val="Heading2"/>
        <w:tabs>
          <w:tab w:pos="557" w:val="left" w:leader="none"/>
        </w:tabs>
        <w:spacing w:line="290" w:lineRule="auto" w:before="90"/>
        <w:ind w:left="136" w:right="7280"/>
        <w:jc w:val="left"/>
        <w:rPr>
          <w:b w:val="0"/>
          <w:bCs w:val="0"/>
        </w:rPr>
      </w:pPr>
      <w:r>
        <w:rPr/>
        <w:t>三、</w:t>
      </w:r>
      <w:r>
        <w:rPr>
          <w:spacing w:val="-105"/>
        </w:rPr>
        <w:t> </w:t>
      </w:r>
      <w:r>
        <w:rPr>
          <w:rFonts w:ascii="宋体" w:hAnsi="宋体" w:cs="宋体" w:eastAsia="宋体" w:hint="default"/>
          <w:spacing w:val="-105"/>
        </w:rPr>
      </w:r>
      <w:r>
        <w:rPr/>
        <w:t>公司基本情况</w:t>
      </w:r>
      <w:r>
        <w:rPr>
          <w:rFonts w:ascii="宋体" w:hAnsi="宋体" w:cs="宋体" w:eastAsia="宋体" w:hint="default"/>
          <w:w w:val="99"/>
        </w:rPr>
        <w:t> </w:t>
      </w:r>
      <w:r>
        <w:rPr>
          <w:rFonts w:ascii="宋体" w:hAnsi="宋体" w:cs="宋体" w:eastAsia="宋体" w:hint="default"/>
          <w:w w:val="95"/>
        </w:rPr>
        <w:t>1.</w:t>
        <w:tab/>
      </w:r>
      <w:r>
        <w:rPr/>
        <w:t>公司概况</w:t>
      </w:r>
      <w:r>
        <w:rPr>
          <w:b w:val="0"/>
          <w:bCs w:val="0"/>
        </w:rPr>
      </w:r>
    </w:p>
    <w:p>
      <w:pPr>
        <w:pStyle w:val="BodyText"/>
        <w:spacing w:line="240" w:lineRule="auto" w:before="14"/>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42"/>
        <w:ind w:right="208" w:firstLine="420"/>
        <w:jc w:val="both"/>
      </w:pPr>
      <w:r>
        <w:rPr>
          <w:spacing w:val="-4"/>
        </w:rPr>
        <w:t>黑龙江北大荒农业股份有限公司（以下简称“本公司”或“公司”）于</w:t>
      </w:r>
      <w:r>
        <w:rPr>
          <w:spacing w:val="-40"/>
        </w:rPr>
        <w:t> </w:t>
      </w:r>
      <w:r>
        <w:rPr>
          <w:rFonts w:ascii="Arial" w:hAnsi="Arial" w:cs="Arial" w:eastAsia="Arial" w:hint="default"/>
        </w:rPr>
        <w:t>1998</w:t>
      </w:r>
      <w:r>
        <w:rPr>
          <w:rFonts w:ascii="Arial" w:hAnsi="Arial" w:cs="Arial" w:eastAsia="Arial" w:hint="default"/>
          <w:spacing w:val="5"/>
        </w:rPr>
        <w:t> </w:t>
      </w:r>
      <w:r>
        <w:rPr/>
        <w:t>年</w:t>
      </w:r>
      <w:r>
        <w:rPr>
          <w:spacing w:val="-40"/>
        </w:rPr>
        <w:t> </w:t>
      </w:r>
      <w:r>
        <w:rPr>
          <w:rFonts w:ascii="Arial" w:hAnsi="Arial" w:cs="Arial" w:eastAsia="Arial" w:hint="default"/>
        </w:rPr>
        <w:t>11</w:t>
      </w:r>
      <w:r>
        <w:rPr>
          <w:rFonts w:ascii="Arial" w:hAnsi="Arial" w:cs="Arial" w:eastAsia="Arial" w:hint="default"/>
          <w:spacing w:val="5"/>
        </w:rPr>
        <w:t> </w:t>
      </w:r>
      <w:r>
        <w:rPr/>
        <w:t>月在黑龙</w:t>
      </w:r>
      <w:r>
        <w:rPr>
          <w:w w:val="100"/>
        </w:rPr>
        <w:t> </w:t>
      </w:r>
      <w:r>
        <w:rPr>
          <w:spacing w:val="-2"/>
        </w:rPr>
        <w:t>江省工商行政管理局注册成立，登记机关哈尔滨市市场监督管理局开发区分局。现公司总部位于</w:t>
      </w:r>
      <w:r>
        <w:rPr>
          <w:spacing w:val="-25"/>
        </w:rPr>
        <w:t> </w:t>
      </w:r>
      <w:r>
        <w:rPr>
          <w:spacing w:val="-25"/>
        </w:rPr>
      </w:r>
      <w:r>
        <w:rPr/>
        <w:t>黑龙江省哈尔滨市南岗区汉水路</w:t>
      </w:r>
      <w:r>
        <w:rPr>
          <w:spacing w:val="-54"/>
        </w:rPr>
        <w:t> </w:t>
      </w:r>
      <w:r>
        <w:rPr>
          <w:rFonts w:ascii="Arial" w:hAnsi="Arial" w:cs="Arial" w:eastAsia="Arial" w:hint="default"/>
        </w:rPr>
        <w:t>263</w:t>
      </w:r>
      <w:r>
        <w:rPr>
          <w:rFonts w:ascii="Arial" w:hAnsi="Arial" w:cs="Arial" w:eastAsia="Arial" w:hint="default"/>
          <w:spacing w:val="-8"/>
        </w:rPr>
        <w:t> </w:t>
      </w:r>
      <w:r>
        <w:rPr/>
        <w:t>号。统一社会信用代码</w:t>
      </w:r>
      <w:r>
        <w:rPr>
          <w:spacing w:val="-55"/>
        </w:rPr>
        <w:t> </w:t>
      </w:r>
      <w:r>
        <w:rPr>
          <w:rFonts w:ascii="Arial" w:hAnsi="Arial" w:cs="Arial" w:eastAsia="Arial" w:hint="default"/>
        </w:rPr>
        <w:t>9123000070283865X0</w:t>
      </w:r>
      <w:r>
        <w:rPr/>
        <w:t>。</w:t>
      </w:r>
    </w:p>
    <w:p>
      <w:pPr>
        <w:pStyle w:val="BodyText"/>
        <w:spacing w:line="266" w:lineRule="auto"/>
        <w:ind w:left="557" w:right="98"/>
        <w:jc w:val="left"/>
      </w:pPr>
      <w:r>
        <w:rPr/>
        <w:t>本财务报表已经公司董事会于</w:t>
      </w:r>
      <w:r>
        <w:rPr>
          <w:spacing w:val="-53"/>
        </w:rPr>
        <w:t> </w:t>
      </w:r>
      <w:r>
        <w:rPr>
          <w:rFonts w:ascii="Arial" w:hAnsi="Arial" w:cs="Arial" w:eastAsia="Arial" w:hint="default"/>
        </w:rPr>
        <w:t>2020</w:t>
      </w:r>
      <w:r>
        <w:rPr>
          <w:rFonts w:ascii="Arial" w:hAnsi="Arial" w:cs="Arial" w:eastAsia="Arial" w:hint="default"/>
          <w:spacing w:val="-6"/>
        </w:rPr>
        <w:t> </w:t>
      </w:r>
      <w:r>
        <w:rPr/>
        <w:t>年</w:t>
      </w:r>
      <w:r>
        <w:rPr>
          <w:spacing w:val="-55"/>
        </w:rPr>
        <w:t> </w:t>
      </w:r>
      <w:r>
        <w:rPr>
          <w:rFonts w:ascii="Arial" w:hAnsi="Arial" w:cs="Arial" w:eastAsia="Arial" w:hint="default"/>
        </w:rPr>
        <w:t>3</w:t>
      </w:r>
      <w:r>
        <w:rPr>
          <w:rFonts w:ascii="Arial" w:hAnsi="Arial" w:cs="Arial" w:eastAsia="Arial" w:hint="default"/>
          <w:spacing w:val="-6"/>
        </w:rPr>
        <w:t> </w:t>
      </w:r>
      <w:r>
        <w:rPr/>
        <w:t>月</w:t>
      </w:r>
      <w:r>
        <w:rPr>
          <w:spacing w:val="-55"/>
        </w:rPr>
        <w:t> </w:t>
      </w:r>
      <w:r>
        <w:rPr>
          <w:rFonts w:ascii="Arial" w:hAnsi="Arial" w:cs="Arial" w:eastAsia="Arial" w:hint="default"/>
        </w:rPr>
        <w:t>27</w:t>
      </w:r>
      <w:r>
        <w:rPr>
          <w:rFonts w:ascii="Arial" w:hAnsi="Arial" w:cs="Arial" w:eastAsia="Arial" w:hint="default"/>
          <w:spacing w:val="-8"/>
        </w:rPr>
        <w:t> </w:t>
      </w:r>
      <w:r>
        <w:rPr/>
        <w:t>日决议批准报出。</w:t>
      </w:r>
      <w:r>
        <w:rPr>
          <w:w w:val="100"/>
        </w:rPr>
        <w:t> </w:t>
      </w:r>
      <w:r>
        <w:rPr>
          <w:spacing w:val="-2"/>
        </w:rPr>
        <w:t>本公司及各子公司（统称“本集团”）主要从事业务包括农业、化肥、麦芽、纸业、投资、</w:t>
      </w:r>
    </w:p>
    <w:p>
      <w:pPr>
        <w:pStyle w:val="BodyText"/>
        <w:spacing w:line="276" w:lineRule="auto" w:before="21"/>
        <w:ind w:right="98"/>
        <w:jc w:val="left"/>
      </w:pPr>
      <w:r>
        <w:rPr/>
        <w:t>矿产等，分公司主要包括</w:t>
      </w:r>
      <w:r>
        <w:rPr>
          <w:spacing w:val="-57"/>
        </w:rPr>
        <w:t> </w:t>
      </w:r>
      <w:r>
        <w:rPr>
          <w:rFonts w:ascii="Arial" w:hAnsi="Arial" w:cs="Arial" w:eastAsia="Arial" w:hint="default"/>
        </w:rPr>
        <w:t>16</w:t>
      </w:r>
      <w:r>
        <w:rPr>
          <w:rFonts w:ascii="Arial" w:hAnsi="Arial" w:cs="Arial" w:eastAsia="Arial" w:hint="default"/>
          <w:spacing w:val="-7"/>
        </w:rPr>
        <w:t> </w:t>
      </w:r>
      <w:r>
        <w:rPr/>
        <w:t>家农业分公司、浩良河化肥分公司等，子公司主要包括北大荒龙垦</w:t>
      </w:r>
      <w:r>
        <w:rPr>
          <w:w w:val="100"/>
        </w:rPr>
        <w:t> </w:t>
      </w:r>
      <w:r>
        <w:rPr>
          <w:spacing w:val="-2"/>
        </w:rPr>
        <w:t>麦芽有限公司（以下简称“麦芽公司”）、黑龙江北大荒纸业有限责任公司（以下简称“纸业公</w:t>
      </w:r>
      <w:r>
        <w:rPr>
          <w:spacing w:val="-25"/>
        </w:rPr>
        <w:t> </w:t>
      </w:r>
      <w:r>
        <w:rPr>
          <w:spacing w:val="-25"/>
        </w:rPr>
      </w:r>
      <w:r>
        <w:rPr>
          <w:spacing w:val="-2"/>
        </w:rPr>
        <w:t>司”）、黑龙江省宝泉岭农垦四方山石墨产业有限公司（以下简称“四方山石墨公司”）、北大</w:t>
      </w:r>
      <w:r>
        <w:rPr>
          <w:spacing w:val="-25"/>
        </w:rPr>
        <w:t> </w:t>
      </w:r>
      <w:r>
        <w:rPr>
          <w:spacing w:val="-25"/>
        </w:rPr>
      </w:r>
      <w:r>
        <w:rPr>
          <w:spacing w:val="-2"/>
        </w:rPr>
        <w:t>荒鑫都建筑工程有限公司（以下简称“鑫都建筑公司”）、北大荒鑫都房地产开发有限公司（以</w:t>
      </w:r>
      <w:r>
        <w:rPr>
          <w:spacing w:val="-25"/>
        </w:rPr>
        <w:t> </w:t>
      </w:r>
      <w:r>
        <w:rPr>
          <w:spacing w:val="-25"/>
        </w:rPr>
      </w:r>
      <w:r>
        <w:rPr>
          <w:spacing w:val="-2"/>
        </w:rPr>
        <w:t>下简称“鑫都公司”）、黑龙江北大荒投资管理有限公司（以下简称“投资管理公司”）、北大</w:t>
      </w:r>
      <w:r>
        <w:rPr>
          <w:spacing w:val="-26"/>
        </w:rPr>
        <w:t> </w:t>
      </w:r>
      <w:r>
        <w:rPr>
          <w:spacing w:val="-26"/>
        </w:rPr>
      </w:r>
      <w:r>
        <w:rPr/>
        <w:t>荒鑫亚经贸有限责任公司（以下简称“鑫亚公司”）等。</w:t>
      </w:r>
    </w:p>
    <w:p>
      <w:pPr>
        <w:pStyle w:val="BodyText"/>
        <w:spacing w:line="280" w:lineRule="auto" w:before="13"/>
        <w:ind w:right="218" w:firstLine="420"/>
        <w:jc w:val="both"/>
      </w:pPr>
      <w:r>
        <w:rPr>
          <w:spacing w:val="-2"/>
        </w:rPr>
        <w:t>本集团所属行业为农业。本集团的经营范围：谷物、豆类、油料、薯类、蔬菜、食用菌、园</w:t>
      </w:r>
      <w:r>
        <w:rPr>
          <w:w w:val="100"/>
        </w:rPr>
        <w:t> </w:t>
      </w:r>
      <w:r>
        <w:rPr>
          <w:spacing w:val="-2"/>
        </w:rPr>
        <w:t>艺作物、水果、中药材（不含麻醉类）、草的种植及销售；烟草的种植；农业技术开发、技术咨</w:t>
      </w:r>
      <w:r>
        <w:rPr>
          <w:spacing w:val="-25"/>
        </w:rPr>
        <w:t> </w:t>
      </w:r>
      <w:r>
        <w:rPr>
          <w:spacing w:val="-25"/>
        </w:rPr>
      </w:r>
      <w:r>
        <w:rPr>
          <w:spacing w:val="-2"/>
        </w:rPr>
        <w:t>询、技术服务、技术转让；信息处理和存储服务；仓储服务（不含危险化学品）；房地产开发经</w:t>
      </w:r>
      <w:r>
        <w:rPr>
          <w:spacing w:val="-25"/>
        </w:rPr>
        <w:t> </w:t>
      </w:r>
      <w:r>
        <w:rPr>
          <w:spacing w:val="-25"/>
        </w:rPr>
      </w:r>
      <w:r>
        <w:rPr>
          <w:spacing w:val="-2"/>
        </w:rPr>
        <w:t>营；机械设备租赁；货物进出口、技术进出口；水源及供水设施工程、市政工程、水利工程、机</w:t>
      </w:r>
      <w:r>
        <w:rPr>
          <w:spacing w:val="-25"/>
        </w:rPr>
        <w:t> </w:t>
      </w:r>
      <w:r>
        <w:rPr>
          <w:spacing w:val="-25"/>
        </w:rPr>
      </w:r>
      <w:r>
        <w:rPr>
          <w:spacing w:val="-2"/>
        </w:rPr>
        <w:t>电设备工程（不含电力设施）、金属门窗工程、建筑幕墙工程、钢结构工程设计、施工。食品生</w:t>
      </w:r>
      <w:r>
        <w:rPr>
          <w:spacing w:val="-25"/>
        </w:rPr>
        <w:t> </w:t>
      </w:r>
      <w:r>
        <w:rPr>
          <w:spacing w:val="-25"/>
        </w:rPr>
      </w:r>
      <w:r>
        <w:rPr/>
        <w:t>产经营。以下仅限分支机构使用：肥料制造及销售。</w:t>
      </w:r>
    </w:p>
    <w:p>
      <w:pPr>
        <w:pStyle w:val="BodyText"/>
        <w:spacing w:line="264" w:lineRule="auto" w:before="8"/>
        <w:ind w:right="214" w:firstLine="420"/>
        <w:jc w:val="both"/>
        <w:rPr>
          <w:rFonts w:ascii="Arial" w:hAnsi="Arial" w:cs="Arial" w:eastAsia="Arial" w:hint="default"/>
        </w:rPr>
      </w:pPr>
      <w:r>
        <w:rPr/>
        <w:t>经中国证券监督管理委员会证监发行字〔</w:t>
      </w:r>
      <w:r>
        <w:rPr>
          <w:rFonts w:ascii="Arial" w:hAnsi="Arial" w:cs="Arial" w:eastAsia="Arial" w:hint="default"/>
        </w:rPr>
        <w:t>2002</w:t>
      </w:r>
      <w:r>
        <w:rPr/>
        <w:t>〕</w:t>
      </w:r>
      <w:r>
        <w:rPr>
          <w:rFonts w:ascii="Arial" w:hAnsi="Arial" w:cs="Arial" w:eastAsia="Arial" w:hint="default"/>
        </w:rPr>
        <w:t>19</w:t>
      </w:r>
      <w:r>
        <w:rPr>
          <w:rFonts w:ascii="Arial" w:hAnsi="Arial" w:cs="Arial" w:eastAsia="Arial" w:hint="default"/>
          <w:spacing w:val="-10"/>
        </w:rPr>
        <w:t> </w:t>
      </w:r>
      <w:r>
        <w:rPr/>
        <w:t>号文核准，同意本公司利用上海证券交</w:t>
      </w:r>
      <w:r>
        <w:rPr>
          <w:w w:val="100"/>
        </w:rPr>
        <w:t> </w:t>
      </w:r>
      <w:r>
        <w:rPr/>
        <w:t>易系统，采用上网定价发行方式向社会公开发行人民币普通股股票</w:t>
      </w:r>
      <w:r>
        <w:rPr>
          <w:spacing w:val="-54"/>
        </w:rPr>
        <w:t> </w:t>
      </w:r>
      <w:r>
        <w:rPr>
          <w:rFonts w:ascii="Arial" w:hAnsi="Arial" w:cs="Arial" w:eastAsia="Arial" w:hint="default"/>
        </w:rPr>
        <w:t>30,000</w:t>
      </w:r>
      <w:r>
        <w:rPr>
          <w:rFonts w:ascii="Arial" w:hAnsi="Arial" w:cs="Arial" w:eastAsia="Arial" w:hint="default"/>
          <w:spacing w:val="-10"/>
        </w:rPr>
        <w:t> </w:t>
      </w:r>
      <w:r>
        <w:rPr/>
        <w:t>万股；本公司于</w:t>
      </w:r>
      <w:r>
        <w:rPr>
          <w:spacing w:val="-54"/>
        </w:rPr>
        <w:t> </w:t>
      </w:r>
      <w:r>
        <w:rPr>
          <w:rFonts w:ascii="Arial" w:hAnsi="Arial" w:cs="Arial" w:eastAsia="Arial" w:hint="default"/>
        </w:rPr>
        <w:t>2002</w:t>
      </w:r>
    </w:p>
    <w:p>
      <w:pPr>
        <w:pStyle w:val="BodyText"/>
        <w:spacing w:line="240" w:lineRule="auto" w:before="8"/>
        <w:ind w:right="0"/>
        <w:jc w:val="both"/>
      </w:pPr>
      <w:r>
        <w:rPr/>
        <w:t>年</w:t>
      </w:r>
      <w:r>
        <w:rPr>
          <w:spacing w:val="-46"/>
        </w:rPr>
        <w:t> </w:t>
      </w:r>
      <w:r>
        <w:rPr>
          <w:rFonts w:ascii="Arial" w:hAnsi="Arial" w:cs="Arial" w:eastAsia="Arial" w:hint="default"/>
        </w:rPr>
        <w:t>3</w:t>
      </w:r>
      <w:r>
        <w:rPr>
          <w:rFonts w:ascii="Arial" w:hAnsi="Arial" w:cs="Arial" w:eastAsia="Arial" w:hint="default"/>
          <w:spacing w:val="-2"/>
        </w:rPr>
        <w:t> </w:t>
      </w:r>
      <w:r>
        <w:rPr/>
        <w:t>月</w:t>
      </w:r>
      <w:r>
        <w:rPr>
          <w:spacing w:val="-47"/>
        </w:rPr>
        <w:t> </w:t>
      </w:r>
      <w:r>
        <w:rPr>
          <w:rFonts w:ascii="Arial" w:hAnsi="Arial" w:cs="Arial" w:eastAsia="Arial" w:hint="default"/>
        </w:rPr>
        <w:t>19</w:t>
      </w:r>
      <w:r>
        <w:rPr>
          <w:rFonts w:ascii="Arial" w:hAnsi="Arial" w:cs="Arial" w:eastAsia="Arial" w:hint="default"/>
          <w:spacing w:val="-2"/>
        </w:rPr>
        <w:t> </w:t>
      </w:r>
      <w:r>
        <w:rPr/>
        <w:t>日以每股发行价格人民币</w:t>
      </w:r>
      <w:r>
        <w:rPr>
          <w:spacing w:val="-42"/>
        </w:rPr>
        <w:t> </w:t>
      </w:r>
      <w:r>
        <w:rPr>
          <w:rFonts w:ascii="Arial" w:hAnsi="Arial" w:cs="Arial" w:eastAsia="Arial" w:hint="default"/>
        </w:rPr>
        <w:t>5.38</w:t>
      </w:r>
      <w:r>
        <w:rPr>
          <w:rFonts w:ascii="Arial" w:hAnsi="Arial" w:cs="Arial" w:eastAsia="Arial" w:hint="default"/>
          <w:spacing w:val="4"/>
        </w:rPr>
        <w:t> </w:t>
      </w:r>
      <w:r>
        <w:rPr/>
        <w:t>元，发行每股面值</w:t>
      </w:r>
      <w:r>
        <w:rPr>
          <w:spacing w:val="-42"/>
        </w:rPr>
        <w:t> </w:t>
      </w:r>
      <w:r>
        <w:rPr>
          <w:rFonts w:ascii="Arial" w:hAnsi="Arial" w:cs="Arial" w:eastAsia="Arial" w:hint="default"/>
        </w:rPr>
        <w:t>1.00</w:t>
      </w:r>
      <w:r>
        <w:rPr>
          <w:rFonts w:ascii="Arial" w:hAnsi="Arial" w:cs="Arial" w:eastAsia="Arial" w:hint="default"/>
          <w:spacing w:val="1"/>
        </w:rPr>
        <w:t> </w:t>
      </w:r>
      <w:r>
        <w:rPr/>
        <w:t>元的社会公众股</w:t>
      </w:r>
      <w:r>
        <w:rPr>
          <w:spacing w:val="-42"/>
        </w:rPr>
        <w:t> </w:t>
      </w:r>
      <w:r>
        <w:rPr>
          <w:rFonts w:ascii="Arial" w:hAnsi="Arial" w:cs="Arial" w:eastAsia="Arial" w:hint="default"/>
        </w:rPr>
        <w:t>30,000</w:t>
      </w:r>
      <w:r>
        <w:rPr>
          <w:rFonts w:ascii="Arial" w:hAnsi="Arial" w:cs="Arial" w:eastAsia="Arial" w:hint="default"/>
          <w:spacing w:val="3"/>
        </w:rPr>
        <w:t> </w:t>
      </w:r>
      <w:r>
        <w:rPr>
          <w:spacing w:val="2"/>
        </w:rPr>
        <w:t>万股，</w:t>
      </w:r>
      <w:r>
        <w:rPr/>
      </w:r>
    </w:p>
    <w:p>
      <w:pPr>
        <w:pStyle w:val="BodyText"/>
        <w:spacing w:line="240" w:lineRule="auto" w:before="29"/>
        <w:ind w:right="0"/>
        <w:jc w:val="both"/>
      </w:pPr>
      <w:r>
        <w:rPr>
          <w:rFonts w:ascii="Arial" w:hAnsi="Arial" w:cs="Arial" w:eastAsia="Arial" w:hint="default"/>
        </w:rPr>
        <w:t>2002</w:t>
      </w:r>
      <w:r>
        <w:rPr>
          <w:rFonts w:ascii="Arial" w:hAnsi="Arial" w:cs="Arial" w:eastAsia="Arial" w:hint="default"/>
          <w:spacing w:val="-9"/>
        </w:rPr>
        <w:t> </w:t>
      </w:r>
      <w:r>
        <w:rPr/>
        <w:t>年</w:t>
      </w:r>
      <w:r>
        <w:rPr>
          <w:spacing w:val="-56"/>
        </w:rPr>
        <w:t> </w:t>
      </w:r>
      <w:r>
        <w:rPr>
          <w:rFonts w:ascii="Arial" w:hAnsi="Arial" w:cs="Arial" w:eastAsia="Arial" w:hint="default"/>
        </w:rPr>
        <w:t>3</w:t>
      </w:r>
      <w:r>
        <w:rPr>
          <w:rFonts w:ascii="Arial" w:hAnsi="Arial" w:cs="Arial" w:eastAsia="Arial" w:hint="default"/>
          <w:spacing w:val="-7"/>
        </w:rPr>
        <w:t> </w:t>
      </w:r>
      <w:r>
        <w:rPr/>
        <w:t>月</w:t>
      </w:r>
      <w:r>
        <w:rPr>
          <w:spacing w:val="-54"/>
        </w:rPr>
        <w:t> </w:t>
      </w:r>
      <w:r>
        <w:rPr>
          <w:rFonts w:ascii="Arial" w:hAnsi="Arial" w:cs="Arial" w:eastAsia="Arial" w:hint="default"/>
        </w:rPr>
        <w:t>29</w:t>
      </w:r>
      <w:r>
        <w:rPr>
          <w:rFonts w:ascii="Arial" w:hAnsi="Arial" w:cs="Arial" w:eastAsia="Arial" w:hint="default"/>
          <w:spacing w:val="-7"/>
        </w:rPr>
        <w:t> </w:t>
      </w:r>
      <w:r>
        <w:rPr/>
        <w:t>日在上海证券交易所挂牌交易。</w:t>
      </w:r>
    </w:p>
    <w:p>
      <w:pPr>
        <w:pStyle w:val="BodyText"/>
        <w:spacing w:line="240" w:lineRule="auto" w:before="29"/>
        <w:ind w:left="557" w:right="98"/>
        <w:jc w:val="left"/>
      </w:pPr>
      <w:r>
        <w:rPr/>
        <w:t>根据本公司</w:t>
      </w:r>
      <w:r>
        <w:rPr>
          <w:spacing w:val="-54"/>
        </w:rPr>
        <w:t> </w:t>
      </w:r>
      <w:r>
        <w:rPr>
          <w:rFonts w:ascii="Arial" w:hAnsi="Arial" w:cs="Arial" w:eastAsia="Arial" w:hint="default"/>
        </w:rPr>
        <w:t>2004</w:t>
      </w:r>
      <w:r>
        <w:rPr>
          <w:rFonts w:ascii="Arial" w:hAnsi="Arial" w:cs="Arial" w:eastAsia="Arial" w:hint="default"/>
          <w:spacing w:val="-9"/>
        </w:rPr>
        <w:t> </w:t>
      </w:r>
      <w:r>
        <w:rPr/>
        <w:t>年度股东大会决议，</w:t>
      </w:r>
      <w:r>
        <w:rPr>
          <w:rFonts w:ascii="Arial" w:hAnsi="Arial" w:cs="Arial" w:eastAsia="Arial" w:hint="default"/>
        </w:rPr>
        <w:t>2005</w:t>
      </w:r>
      <w:r>
        <w:rPr>
          <w:rFonts w:ascii="Arial" w:hAnsi="Arial" w:cs="Arial" w:eastAsia="Arial" w:hint="default"/>
          <w:spacing w:val="-9"/>
        </w:rPr>
        <w:t> </w:t>
      </w:r>
      <w:r>
        <w:rPr/>
        <w:t>年</w:t>
      </w:r>
      <w:r>
        <w:rPr>
          <w:spacing w:val="-54"/>
        </w:rPr>
        <w:t> </w:t>
      </w:r>
      <w:r>
        <w:rPr>
          <w:rFonts w:ascii="Arial" w:hAnsi="Arial" w:cs="Arial" w:eastAsia="Arial" w:hint="default"/>
        </w:rPr>
        <w:t>6</w:t>
      </w:r>
      <w:r>
        <w:rPr>
          <w:rFonts w:ascii="Arial" w:hAnsi="Arial" w:cs="Arial" w:eastAsia="Arial" w:hint="default"/>
          <w:spacing w:val="-9"/>
        </w:rPr>
        <w:t> </w:t>
      </w:r>
      <w:r>
        <w:rPr/>
        <w:t>月本公司实施资本公积转增股本，每</w:t>
      </w:r>
      <w:r>
        <w:rPr>
          <w:spacing w:val="-53"/>
        </w:rPr>
        <w:t> </w:t>
      </w:r>
      <w:r>
        <w:rPr>
          <w:rFonts w:ascii="Arial" w:hAnsi="Arial" w:cs="Arial" w:eastAsia="Arial" w:hint="default"/>
        </w:rPr>
        <w:t>10</w:t>
      </w:r>
      <w:r>
        <w:rPr>
          <w:rFonts w:ascii="Arial" w:hAnsi="Arial" w:cs="Arial" w:eastAsia="Arial" w:hint="default"/>
          <w:spacing w:val="-7"/>
        </w:rPr>
        <w:t> </w:t>
      </w:r>
      <w:r>
        <w:rPr/>
        <w:t>股</w:t>
      </w:r>
    </w:p>
    <w:p>
      <w:pPr>
        <w:pStyle w:val="BodyText"/>
        <w:spacing w:line="264" w:lineRule="auto" w:before="32"/>
        <w:ind w:right="209"/>
        <w:jc w:val="both"/>
      </w:pPr>
      <w:r>
        <w:rPr/>
        <w:t>转增</w:t>
      </w:r>
      <w:r>
        <w:rPr>
          <w:spacing w:val="-58"/>
        </w:rPr>
        <w:t> </w:t>
      </w:r>
      <w:r>
        <w:rPr>
          <w:rFonts w:ascii="Arial" w:hAnsi="Arial" w:cs="Arial" w:eastAsia="Arial" w:hint="default"/>
        </w:rPr>
        <w:t>2</w:t>
      </w:r>
      <w:r>
        <w:rPr>
          <w:rFonts w:ascii="Arial" w:hAnsi="Arial" w:cs="Arial" w:eastAsia="Arial" w:hint="default"/>
          <w:spacing w:val="-9"/>
        </w:rPr>
        <w:t> </w:t>
      </w:r>
      <w:r>
        <w:rPr/>
        <w:t>股，共计转增股本</w:t>
      </w:r>
      <w:r>
        <w:rPr>
          <w:spacing w:val="-58"/>
        </w:rPr>
        <w:t> </w:t>
      </w:r>
      <w:r>
        <w:rPr>
          <w:rFonts w:ascii="Arial" w:hAnsi="Arial" w:cs="Arial" w:eastAsia="Arial" w:hint="default"/>
        </w:rPr>
        <w:t>293,992,000</w:t>
      </w:r>
      <w:r>
        <w:rPr>
          <w:rFonts w:ascii="Arial" w:hAnsi="Arial" w:cs="Arial" w:eastAsia="Arial" w:hint="default"/>
          <w:spacing w:val="-10"/>
        </w:rPr>
        <w:t> </w:t>
      </w:r>
      <w:r>
        <w:rPr/>
        <w:t>股。根据农业部《关于黑龙江北大荒农业股份有限公司进</w:t>
      </w:r>
      <w:r>
        <w:rPr>
          <w:w w:val="100"/>
        </w:rPr>
        <w:t> </w:t>
      </w:r>
      <w:r>
        <w:rPr>
          <w:spacing w:val="-3"/>
        </w:rPr>
        <w:t>行股权分置改革及定向回购方案的批复》（农财发〔</w:t>
      </w:r>
      <w:r>
        <w:rPr>
          <w:rFonts w:ascii="Arial" w:hAnsi="Arial" w:cs="Arial" w:eastAsia="Arial" w:hint="default"/>
          <w:spacing w:val="-3"/>
        </w:rPr>
        <w:t>2005</w:t>
      </w:r>
      <w:r>
        <w:rPr>
          <w:spacing w:val="-3"/>
        </w:rPr>
        <w:t>〕</w:t>
      </w:r>
      <w:r>
        <w:rPr>
          <w:rFonts w:ascii="Arial" w:hAnsi="Arial" w:cs="Arial" w:eastAsia="Arial" w:hint="default"/>
          <w:spacing w:val="-3"/>
        </w:rPr>
        <w:t>98 </w:t>
      </w:r>
      <w:r>
        <w:rPr>
          <w:spacing w:val="-4"/>
        </w:rPr>
        <w:t>号）的批准，经本公司 </w:t>
      </w:r>
      <w:r>
        <w:rPr>
          <w:rFonts w:ascii="Arial" w:hAnsi="Arial" w:cs="Arial" w:eastAsia="Arial" w:hint="default"/>
        </w:rPr>
        <w:t>2005 </w:t>
      </w:r>
      <w:r>
        <w:rPr>
          <w:spacing w:val="-3"/>
        </w:rPr>
        <w:t>年第</w:t>
      </w:r>
      <w:r>
        <w:rPr>
          <w:spacing w:val="-94"/>
        </w:rPr>
        <w:t> </w:t>
      </w:r>
      <w:r>
        <w:rPr>
          <w:spacing w:val="-9"/>
          <w:w w:val="100"/>
        </w:rPr>
        <w:t>三次临时股东大会决议，</w:t>
      </w:r>
      <w:r>
        <w:rPr>
          <w:rFonts w:ascii="Arial" w:hAnsi="Arial" w:cs="Arial" w:eastAsia="Arial" w:hint="default"/>
          <w:spacing w:val="-9"/>
          <w:w w:val="100"/>
        </w:rPr>
        <w:t>2006</w:t>
      </w:r>
      <w:r>
        <w:rPr>
          <w:rFonts w:ascii="Arial" w:hAnsi="Arial" w:cs="Arial" w:eastAsia="Arial" w:hint="default"/>
          <w:spacing w:val="-15"/>
          <w:w w:val="100"/>
        </w:rPr>
        <w:t> </w:t>
      </w:r>
      <w:r>
        <w:rPr>
          <w:w w:val="100"/>
        </w:rPr>
        <w:t>年</w:t>
      </w:r>
      <w:r>
        <w:rPr>
          <w:spacing w:val="-63"/>
          <w:w w:val="100"/>
        </w:rPr>
        <w:t> </w:t>
      </w:r>
      <w:r>
        <w:rPr>
          <w:rFonts w:ascii="Arial" w:hAnsi="Arial" w:cs="Arial" w:eastAsia="Arial" w:hint="default"/>
          <w:w w:val="100"/>
        </w:rPr>
        <w:t>3</w:t>
      </w:r>
      <w:r>
        <w:rPr>
          <w:rFonts w:ascii="Arial" w:hAnsi="Arial" w:cs="Arial" w:eastAsia="Arial" w:hint="default"/>
          <w:spacing w:val="-16"/>
          <w:w w:val="100"/>
        </w:rPr>
        <w:t> </w:t>
      </w:r>
      <w:r>
        <w:rPr>
          <w:w w:val="100"/>
        </w:rPr>
        <w:t>月</w:t>
      </w:r>
      <w:r>
        <w:rPr>
          <w:spacing w:val="-66"/>
          <w:w w:val="100"/>
        </w:rPr>
        <w:t> </w:t>
      </w:r>
      <w:r>
        <w:rPr>
          <w:rFonts w:ascii="Arial" w:hAnsi="Arial" w:cs="Arial" w:eastAsia="Arial" w:hint="default"/>
          <w:w w:val="100"/>
        </w:rPr>
        <w:t>17</w:t>
      </w:r>
      <w:r>
        <w:rPr>
          <w:rFonts w:ascii="Arial" w:hAnsi="Arial" w:cs="Arial" w:eastAsia="Arial" w:hint="default"/>
          <w:spacing w:val="-16"/>
          <w:w w:val="100"/>
        </w:rPr>
        <w:t> </w:t>
      </w:r>
      <w:r>
        <w:rPr>
          <w:spacing w:val="-2"/>
          <w:w w:val="100"/>
        </w:rPr>
        <w:t>日本公司定向回购农垦集团所持本公司股份</w:t>
      </w:r>
      <w:r>
        <w:rPr>
          <w:spacing w:val="-67"/>
          <w:w w:val="100"/>
        </w:rPr>
        <w:t> </w:t>
      </w:r>
      <w:r>
        <w:rPr>
          <w:rFonts w:ascii="Arial" w:hAnsi="Arial" w:cs="Arial" w:eastAsia="Arial" w:hint="default"/>
          <w:spacing w:val="-1"/>
          <w:w w:val="100"/>
        </w:rPr>
        <w:t>129,660,000</w:t>
      </w:r>
      <w:r>
        <w:rPr>
          <w:rFonts w:ascii="Arial" w:hAnsi="Arial" w:cs="Arial" w:eastAsia="Arial" w:hint="default"/>
          <w:spacing w:val="-57"/>
          <w:w w:val="100"/>
        </w:rPr>
        <w:t> </w:t>
      </w:r>
      <w:r>
        <w:rPr>
          <w:rFonts w:ascii="Arial" w:hAnsi="Arial" w:cs="Arial" w:eastAsia="Arial" w:hint="default"/>
          <w:spacing w:val="-57"/>
          <w:w w:val="100"/>
        </w:rPr>
      </w:r>
      <w:r>
        <w:rPr/>
        <w:t>股。</w:t>
      </w:r>
    </w:p>
    <w:p>
      <w:pPr>
        <w:pStyle w:val="BodyText"/>
        <w:spacing w:line="266" w:lineRule="auto" w:before="23"/>
        <w:ind w:right="278" w:firstLine="420"/>
        <w:jc w:val="both"/>
      </w:pPr>
      <w:r>
        <w:rPr/>
        <w:t>根据本公司</w:t>
      </w:r>
      <w:r>
        <w:rPr>
          <w:spacing w:val="-55"/>
        </w:rPr>
        <w:t> </w:t>
      </w:r>
      <w:r>
        <w:rPr>
          <w:rFonts w:ascii="Arial" w:hAnsi="Arial" w:cs="Arial" w:eastAsia="Arial" w:hint="default"/>
        </w:rPr>
        <w:t>2007</w:t>
      </w:r>
      <w:r>
        <w:rPr>
          <w:rFonts w:ascii="Arial" w:hAnsi="Arial" w:cs="Arial" w:eastAsia="Arial" w:hint="default"/>
          <w:spacing w:val="-10"/>
        </w:rPr>
        <w:t> </w:t>
      </w:r>
      <w:r>
        <w:rPr/>
        <w:t>年度第二次临时股东大会通过的发行可转换公司债券决议，以及中国证券</w:t>
      </w:r>
      <w:r>
        <w:rPr>
          <w:w w:val="100"/>
        </w:rPr>
        <w:t> </w:t>
      </w:r>
      <w:r>
        <w:rPr/>
        <w:t>监督管理委员会证监发行字〔</w:t>
      </w:r>
      <w:r>
        <w:rPr>
          <w:rFonts w:ascii="Arial" w:hAnsi="Arial" w:cs="Arial" w:eastAsia="Arial" w:hint="default"/>
        </w:rPr>
        <w:t>2007</w:t>
      </w:r>
      <w:r>
        <w:rPr/>
        <w:t>〕</w:t>
      </w:r>
      <w:r>
        <w:rPr>
          <w:rFonts w:ascii="Arial" w:hAnsi="Arial" w:cs="Arial" w:eastAsia="Arial" w:hint="default"/>
        </w:rPr>
        <w:t>451</w:t>
      </w:r>
      <w:r>
        <w:rPr>
          <w:rFonts w:ascii="Arial" w:hAnsi="Arial" w:cs="Arial" w:eastAsia="Arial" w:hint="default"/>
          <w:spacing w:val="-7"/>
        </w:rPr>
        <w:t> </w:t>
      </w:r>
      <w:r>
        <w:rPr/>
        <w:t>号文的核准，</w:t>
      </w:r>
      <w:r>
        <w:rPr>
          <w:rFonts w:ascii="Arial" w:hAnsi="Arial" w:cs="Arial" w:eastAsia="Arial" w:hint="default"/>
        </w:rPr>
        <w:t>2007</w:t>
      </w:r>
      <w:r>
        <w:rPr>
          <w:rFonts w:ascii="Arial" w:hAnsi="Arial" w:cs="Arial" w:eastAsia="Arial" w:hint="default"/>
          <w:spacing w:val="-8"/>
        </w:rPr>
        <w:t> </w:t>
      </w:r>
      <w:r>
        <w:rPr/>
        <w:t>年</w:t>
      </w:r>
      <w:r>
        <w:rPr>
          <w:spacing w:val="-54"/>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19</w:t>
      </w:r>
      <w:r>
        <w:rPr>
          <w:rFonts w:ascii="Arial" w:hAnsi="Arial" w:cs="Arial" w:eastAsia="Arial" w:hint="default"/>
          <w:spacing w:val="-9"/>
        </w:rPr>
        <w:t> </w:t>
      </w:r>
      <w:r>
        <w:rPr/>
        <w:t>日本公司以面值（</w:t>
      </w:r>
      <w:r>
        <w:rPr>
          <w:rFonts w:ascii="Arial" w:hAnsi="Arial" w:cs="Arial" w:eastAsia="Arial" w:hint="default"/>
        </w:rPr>
        <w:t>100</w:t>
      </w:r>
      <w:r>
        <w:rPr>
          <w:rFonts w:ascii="Arial" w:hAnsi="Arial" w:cs="Arial" w:eastAsia="Arial" w:hint="default"/>
          <w:w w:val="100"/>
        </w:rPr>
        <w:t> </w:t>
      </w:r>
      <w:r>
        <w:rPr/>
        <w:t>元）为发行价格，公开发行可转换公司债券</w:t>
      </w:r>
      <w:r>
        <w:rPr>
          <w:spacing w:val="-53"/>
        </w:rPr>
        <w:t> </w:t>
      </w:r>
      <w:r>
        <w:rPr>
          <w:rFonts w:ascii="Arial" w:hAnsi="Arial" w:cs="Arial" w:eastAsia="Arial" w:hint="default"/>
        </w:rPr>
        <w:t>1,500</w:t>
      </w:r>
      <w:r>
        <w:rPr>
          <w:rFonts w:ascii="Arial" w:hAnsi="Arial" w:cs="Arial" w:eastAsia="Arial" w:hint="default"/>
          <w:spacing w:val="-9"/>
        </w:rPr>
        <w:t> </w:t>
      </w:r>
      <w:r>
        <w:rPr/>
        <w:t>万张，募集资金总额</w:t>
      </w:r>
      <w:r>
        <w:rPr>
          <w:spacing w:val="-54"/>
        </w:rPr>
        <w:t> </w:t>
      </w:r>
      <w:r>
        <w:rPr>
          <w:rFonts w:ascii="Arial" w:hAnsi="Arial" w:cs="Arial" w:eastAsia="Arial" w:hint="default"/>
        </w:rPr>
        <w:t>15</w:t>
      </w:r>
      <w:r>
        <w:rPr>
          <w:rFonts w:ascii="Arial" w:hAnsi="Arial" w:cs="Arial" w:eastAsia="Arial" w:hint="default"/>
          <w:spacing w:val="-9"/>
        </w:rPr>
        <w:t> </w:t>
      </w:r>
      <w:r>
        <w:rPr/>
        <w:t>亿元，根据《发行可</w:t>
      </w:r>
    </w:p>
    <w:p>
      <w:pPr>
        <w:pStyle w:val="BodyText"/>
        <w:spacing w:line="240" w:lineRule="auto" w:before="3"/>
        <w:ind w:right="0"/>
        <w:jc w:val="both"/>
      </w:pPr>
      <w:r>
        <w:rPr/>
        <w:t>转换公司债券募集说明书》的约定，可转换公司债券的转股期自其发行结束之日起满</w:t>
      </w:r>
      <w:r>
        <w:rPr>
          <w:spacing w:val="-56"/>
        </w:rPr>
        <w:t> </w:t>
      </w:r>
      <w:r>
        <w:rPr>
          <w:rFonts w:ascii="Arial" w:hAnsi="Arial" w:cs="Arial" w:eastAsia="Arial" w:hint="default"/>
        </w:rPr>
        <w:t>6</w:t>
      </w:r>
      <w:r>
        <w:rPr>
          <w:rFonts w:ascii="Arial" w:hAnsi="Arial" w:cs="Arial" w:eastAsia="Arial" w:hint="default"/>
          <w:spacing w:val="-8"/>
        </w:rPr>
        <w:t> </w:t>
      </w:r>
      <w:r>
        <w:rPr/>
        <w:t>个月后的</w:t>
      </w:r>
    </w:p>
    <w:p>
      <w:pPr>
        <w:pStyle w:val="BodyText"/>
        <w:spacing w:line="266" w:lineRule="auto" w:before="30"/>
        <w:ind w:right="98"/>
        <w:jc w:val="left"/>
      </w:pPr>
      <w:r>
        <w:rPr>
          <w:spacing w:val="-4"/>
        </w:rPr>
        <w:t>第一个交易日起至其到期日止，即</w:t>
      </w:r>
      <w:r>
        <w:rPr>
          <w:spacing w:val="-51"/>
        </w:rPr>
        <w:t> </w:t>
      </w:r>
      <w:r>
        <w:rPr>
          <w:rFonts w:ascii="Arial" w:hAnsi="Arial" w:cs="Arial" w:eastAsia="Arial" w:hint="default"/>
        </w:rPr>
        <w:t>2008</w:t>
      </w:r>
      <w:r>
        <w:rPr>
          <w:rFonts w:ascii="Arial" w:hAnsi="Arial" w:cs="Arial" w:eastAsia="Arial" w:hint="default"/>
          <w:spacing w:val="-2"/>
        </w:rPr>
        <w:t> </w:t>
      </w:r>
      <w:r>
        <w:rPr/>
        <w:t>年</w:t>
      </w:r>
      <w:r>
        <w:rPr>
          <w:spacing w:val="-51"/>
        </w:rPr>
        <w:t> </w:t>
      </w:r>
      <w:r>
        <w:rPr>
          <w:rFonts w:ascii="Arial" w:hAnsi="Arial" w:cs="Arial" w:eastAsia="Arial" w:hint="default"/>
        </w:rPr>
        <w:t>6</w:t>
      </w:r>
      <w:r>
        <w:rPr>
          <w:rFonts w:ascii="Arial" w:hAnsi="Arial" w:cs="Arial" w:eastAsia="Arial" w:hint="default"/>
          <w:spacing w:val="-4"/>
        </w:rPr>
        <w:t> </w:t>
      </w:r>
      <w:r>
        <w:rPr/>
        <w:t>月</w:t>
      </w:r>
      <w:r>
        <w:rPr>
          <w:spacing w:val="-49"/>
        </w:rPr>
        <w:t> </w:t>
      </w:r>
      <w:r>
        <w:rPr>
          <w:rFonts w:ascii="Arial" w:hAnsi="Arial" w:cs="Arial" w:eastAsia="Arial" w:hint="default"/>
        </w:rPr>
        <w:t>19</w:t>
      </w:r>
      <w:r>
        <w:rPr>
          <w:rFonts w:ascii="Arial" w:hAnsi="Arial" w:cs="Arial" w:eastAsia="Arial" w:hint="default"/>
          <w:spacing w:val="-4"/>
        </w:rPr>
        <w:t> </w:t>
      </w:r>
      <w:r>
        <w:rPr/>
        <w:t>日至</w:t>
      </w:r>
      <w:r>
        <w:rPr>
          <w:spacing w:val="-49"/>
        </w:rPr>
        <w:t> </w:t>
      </w:r>
      <w:r>
        <w:rPr>
          <w:rFonts w:ascii="Arial" w:hAnsi="Arial" w:cs="Arial" w:eastAsia="Arial" w:hint="default"/>
        </w:rPr>
        <w:t>2012</w:t>
      </w:r>
      <w:r>
        <w:rPr>
          <w:rFonts w:ascii="Arial" w:hAnsi="Arial" w:cs="Arial" w:eastAsia="Arial" w:hint="default"/>
          <w:spacing w:val="-1"/>
        </w:rPr>
        <w:t> </w:t>
      </w:r>
      <w:r>
        <w:rPr/>
        <w:t>年</w:t>
      </w:r>
      <w:r>
        <w:rPr>
          <w:spacing w:val="-51"/>
        </w:rPr>
        <w:t> </w:t>
      </w:r>
      <w:r>
        <w:rPr>
          <w:rFonts w:ascii="Arial" w:hAnsi="Arial" w:cs="Arial" w:eastAsia="Arial" w:hint="default"/>
        </w:rPr>
        <w:t>12</w:t>
      </w:r>
      <w:r>
        <w:rPr>
          <w:rFonts w:ascii="Arial" w:hAnsi="Arial" w:cs="Arial" w:eastAsia="Arial" w:hint="default"/>
          <w:spacing w:val="-4"/>
        </w:rPr>
        <w:t> </w:t>
      </w:r>
      <w:r>
        <w:rPr/>
        <w:t>月</w:t>
      </w:r>
      <w:r>
        <w:rPr>
          <w:spacing w:val="-49"/>
        </w:rPr>
        <w:t> </w:t>
      </w:r>
      <w:r>
        <w:rPr>
          <w:rFonts w:ascii="Arial" w:hAnsi="Arial" w:cs="Arial" w:eastAsia="Arial" w:hint="default"/>
        </w:rPr>
        <w:t>19</w:t>
      </w:r>
      <w:r>
        <w:rPr>
          <w:rFonts w:ascii="Arial" w:hAnsi="Arial" w:cs="Arial" w:eastAsia="Arial" w:hint="default"/>
          <w:spacing w:val="-4"/>
        </w:rPr>
        <w:t> </w:t>
      </w:r>
      <w:r>
        <w:rPr>
          <w:spacing w:val="-5"/>
        </w:rPr>
        <w:t>日止，持有人可以在转</w:t>
      </w:r>
      <w:r>
        <w:rPr>
          <w:spacing w:val="-103"/>
        </w:rPr>
        <w:t> </w:t>
      </w:r>
      <w:r>
        <w:rPr>
          <w:spacing w:val="-103"/>
        </w:rPr>
      </w:r>
      <w:r>
        <w:rPr/>
        <w:t>股期内的转股申请时间内申请转股。</w:t>
      </w:r>
    </w:p>
    <w:p>
      <w:pPr>
        <w:pStyle w:val="BodyText"/>
        <w:spacing w:line="240" w:lineRule="auto" w:before="21"/>
        <w:ind w:left="557" w:right="98"/>
        <w:jc w:val="left"/>
      </w:pPr>
      <w:r>
        <w:rPr/>
        <w:t>截至</w:t>
      </w:r>
      <w:r>
        <w:rPr>
          <w:spacing w:val="-50"/>
        </w:rPr>
        <w:t> </w:t>
      </w:r>
      <w:r>
        <w:rPr>
          <w:rFonts w:ascii="Arial" w:hAnsi="Arial" w:cs="Arial" w:eastAsia="Arial" w:hint="default"/>
        </w:rPr>
        <w:t>2010</w:t>
      </w:r>
      <w:r>
        <w:rPr>
          <w:rFonts w:ascii="Arial" w:hAnsi="Arial" w:cs="Arial" w:eastAsia="Arial" w:hint="default"/>
          <w:spacing w:val="-3"/>
        </w:rPr>
        <w:t> </w:t>
      </w:r>
      <w:r>
        <w:rPr/>
        <w:t>年</w:t>
      </w:r>
      <w:r>
        <w:rPr>
          <w:spacing w:val="-52"/>
        </w:rPr>
        <w:t> </w:t>
      </w:r>
      <w:r>
        <w:rPr>
          <w:rFonts w:ascii="Arial" w:hAnsi="Arial" w:cs="Arial" w:eastAsia="Arial" w:hint="default"/>
        </w:rPr>
        <w:t>12</w:t>
      </w:r>
      <w:r>
        <w:rPr>
          <w:rFonts w:ascii="Arial" w:hAnsi="Arial" w:cs="Arial" w:eastAsia="Arial" w:hint="default"/>
          <w:spacing w:val="-5"/>
        </w:rPr>
        <w:t> </w:t>
      </w:r>
      <w:r>
        <w:rPr/>
        <w:t>月</w:t>
      </w:r>
      <w:r>
        <w:rPr>
          <w:spacing w:val="-50"/>
        </w:rPr>
        <w:t> </w:t>
      </w:r>
      <w:r>
        <w:rPr>
          <w:rFonts w:ascii="Arial" w:hAnsi="Arial" w:cs="Arial" w:eastAsia="Arial" w:hint="default"/>
        </w:rPr>
        <w:t>31</w:t>
      </w:r>
      <w:r>
        <w:rPr>
          <w:rFonts w:ascii="Arial" w:hAnsi="Arial" w:cs="Arial" w:eastAsia="Arial" w:hint="default"/>
          <w:spacing w:val="-5"/>
        </w:rPr>
        <w:t> </w:t>
      </w:r>
      <w:r>
        <w:rPr>
          <w:spacing w:val="-4"/>
        </w:rPr>
        <w:t>日，上述可转债已有</w:t>
      </w:r>
      <w:r>
        <w:rPr>
          <w:spacing w:val="-49"/>
        </w:rPr>
        <w:t> </w:t>
      </w:r>
      <w:r>
        <w:rPr>
          <w:rFonts w:ascii="Arial" w:hAnsi="Arial" w:cs="Arial" w:eastAsia="Arial" w:hint="default"/>
        </w:rPr>
        <w:t>1,496,544,000.00</w:t>
      </w:r>
      <w:r>
        <w:rPr>
          <w:rFonts w:ascii="Arial" w:hAnsi="Arial" w:cs="Arial" w:eastAsia="Arial" w:hint="default"/>
          <w:spacing w:val="-3"/>
        </w:rPr>
        <w:t> </w:t>
      </w:r>
      <w:r>
        <w:rPr>
          <w:spacing w:val="-3"/>
        </w:rPr>
        <w:t>元转成本公司发行的股票，自</w:t>
      </w:r>
    </w:p>
    <w:p>
      <w:pPr>
        <w:pStyle w:val="BodyText"/>
        <w:spacing w:line="240" w:lineRule="auto" w:before="29"/>
        <w:ind w:right="0"/>
        <w:jc w:val="both"/>
      </w:pPr>
      <w:r>
        <w:rPr/>
        <w:t>进入转股期以来累计转股股数为</w:t>
      </w:r>
      <w:r>
        <w:rPr>
          <w:spacing w:val="-52"/>
        </w:rPr>
        <w:t> </w:t>
      </w:r>
      <w:r>
        <w:rPr>
          <w:rFonts w:ascii="Arial" w:hAnsi="Arial" w:cs="Arial" w:eastAsia="Arial" w:hint="default"/>
        </w:rPr>
        <w:t>143,387,909</w:t>
      </w:r>
      <w:r>
        <w:rPr>
          <w:rFonts w:ascii="Arial" w:hAnsi="Arial" w:cs="Arial" w:eastAsia="Arial" w:hint="default"/>
          <w:spacing w:val="-8"/>
        </w:rPr>
        <w:t> </w:t>
      </w:r>
      <w:r>
        <w:rPr>
          <w:spacing w:val="-13"/>
        </w:rPr>
        <w:t>股；剩余余额</w:t>
      </w:r>
      <w:r>
        <w:rPr>
          <w:spacing w:val="-52"/>
        </w:rPr>
        <w:t> </w:t>
      </w:r>
      <w:r>
        <w:rPr>
          <w:rFonts w:ascii="Arial" w:hAnsi="Arial" w:cs="Arial" w:eastAsia="Arial" w:hint="default"/>
        </w:rPr>
        <w:t>3,446,000.00</w:t>
      </w:r>
      <w:r>
        <w:rPr>
          <w:rFonts w:ascii="Arial" w:hAnsi="Arial" w:cs="Arial" w:eastAsia="Arial" w:hint="default"/>
          <w:spacing w:val="-8"/>
        </w:rPr>
        <w:t> </w:t>
      </w:r>
      <w:r>
        <w:rPr/>
        <w:t>元因已触发可转债的提</w:t>
      </w:r>
    </w:p>
    <w:p>
      <w:pPr>
        <w:pStyle w:val="BodyText"/>
        <w:spacing w:line="240" w:lineRule="auto" w:before="32"/>
        <w:ind w:right="0"/>
        <w:jc w:val="both"/>
      </w:pPr>
      <w:r>
        <w:rPr/>
        <w:t>前赎回条款，于</w:t>
      </w:r>
      <w:r>
        <w:rPr>
          <w:spacing w:val="-53"/>
        </w:rPr>
        <w:t> </w:t>
      </w:r>
      <w:r>
        <w:rPr>
          <w:rFonts w:ascii="Arial" w:hAnsi="Arial" w:cs="Arial" w:eastAsia="Arial" w:hint="default"/>
        </w:rPr>
        <w:t>2010</w:t>
      </w:r>
      <w:r>
        <w:rPr>
          <w:rFonts w:ascii="Arial" w:hAnsi="Arial" w:cs="Arial" w:eastAsia="Arial" w:hint="default"/>
          <w:spacing w:val="-8"/>
        </w:rPr>
        <w:t> </w:t>
      </w:r>
      <w:r>
        <w:rPr/>
        <w:t>年</w:t>
      </w:r>
      <w:r>
        <w:rPr>
          <w:spacing w:val="-55"/>
        </w:rPr>
        <w:t> </w:t>
      </w:r>
      <w:r>
        <w:rPr>
          <w:rFonts w:ascii="Arial" w:hAnsi="Arial" w:cs="Arial" w:eastAsia="Arial" w:hint="default"/>
        </w:rPr>
        <w:t>3</w:t>
      </w:r>
      <w:r>
        <w:rPr>
          <w:rFonts w:ascii="Arial" w:hAnsi="Arial" w:cs="Arial" w:eastAsia="Arial" w:hint="default"/>
          <w:spacing w:val="-6"/>
        </w:rPr>
        <w:t> </w:t>
      </w:r>
      <w:r>
        <w:rPr/>
        <w:t>月</w:t>
      </w:r>
      <w:r>
        <w:rPr>
          <w:spacing w:val="-54"/>
        </w:rPr>
        <w:t> </w:t>
      </w:r>
      <w:r>
        <w:rPr>
          <w:rFonts w:ascii="Arial" w:hAnsi="Arial" w:cs="Arial" w:eastAsia="Arial" w:hint="default"/>
        </w:rPr>
        <w:t>5</w:t>
      </w:r>
      <w:r>
        <w:rPr>
          <w:rFonts w:ascii="Arial" w:hAnsi="Arial" w:cs="Arial" w:eastAsia="Arial" w:hint="default"/>
          <w:spacing w:val="-6"/>
        </w:rPr>
        <w:t> </w:t>
      </w:r>
      <w:r>
        <w:rPr/>
        <w:t>日收市后全部赎回。</w:t>
      </w:r>
    </w:p>
    <w:p>
      <w:pPr>
        <w:pStyle w:val="BodyText"/>
        <w:spacing w:line="264" w:lineRule="auto" w:before="29"/>
        <w:ind w:left="557" w:right="98"/>
        <w:jc w:val="left"/>
      </w:pPr>
      <w:r>
        <w:rPr/>
        <w:t>截至</w:t>
      </w:r>
      <w:r>
        <w:rPr>
          <w:spacing w:val="-54"/>
        </w:rPr>
        <w:t> </w:t>
      </w:r>
      <w:r>
        <w:rPr>
          <w:rFonts w:ascii="Arial" w:hAnsi="Arial" w:cs="Arial" w:eastAsia="Arial" w:hint="default"/>
        </w:rPr>
        <w:t>2019</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9"/>
        </w:rPr>
        <w:t> </w:t>
      </w:r>
      <w:r>
        <w:rPr/>
        <w:t>月</w:t>
      </w:r>
      <w:r>
        <w:rPr>
          <w:spacing w:val="-54"/>
        </w:rPr>
        <w:t> </w:t>
      </w:r>
      <w:r>
        <w:rPr>
          <w:rFonts w:ascii="Arial" w:hAnsi="Arial" w:cs="Arial" w:eastAsia="Arial" w:hint="default"/>
        </w:rPr>
        <w:t>31</w:t>
      </w:r>
      <w:r>
        <w:rPr>
          <w:rFonts w:ascii="Arial" w:hAnsi="Arial" w:cs="Arial" w:eastAsia="Arial" w:hint="default"/>
          <w:spacing w:val="-9"/>
        </w:rPr>
        <w:t> </w:t>
      </w:r>
      <w:r>
        <w:rPr/>
        <w:t>日，本公司累计发行股本总数</w:t>
      </w:r>
      <w:r>
        <w:rPr>
          <w:spacing w:val="-54"/>
        </w:rPr>
        <w:t> </w:t>
      </w:r>
      <w:r>
        <w:rPr>
          <w:rFonts w:ascii="Arial" w:hAnsi="Arial" w:cs="Arial" w:eastAsia="Arial" w:hint="default"/>
        </w:rPr>
        <w:t>177,768</w:t>
      </w:r>
      <w:r>
        <w:rPr>
          <w:rFonts w:ascii="Arial" w:hAnsi="Arial" w:cs="Arial" w:eastAsia="Arial" w:hint="default"/>
          <w:spacing w:val="-9"/>
        </w:rPr>
        <w:t> </w:t>
      </w:r>
      <w:r>
        <w:rPr/>
        <w:t>万股，详见附注七、</w:t>
      </w:r>
      <w:r>
        <w:rPr>
          <w:rFonts w:ascii="Arial" w:hAnsi="Arial" w:cs="Arial" w:eastAsia="Arial" w:hint="default"/>
        </w:rPr>
        <w:t>51</w:t>
      </w:r>
      <w:r>
        <w:rPr/>
        <w:t>。</w:t>
      </w:r>
      <w:r>
        <w:rPr>
          <w:w w:val="100"/>
        </w:rPr>
        <w:t> </w:t>
      </w:r>
      <w:r>
        <w:rPr>
          <w:spacing w:val="-2"/>
        </w:rPr>
        <w:t>本公司的控股股东为黑龙江北大荒农垦集团总公司（以下简称“农垦集团”），最终控制人</w:t>
      </w:r>
    </w:p>
    <w:p>
      <w:pPr>
        <w:pStyle w:val="BodyText"/>
        <w:spacing w:line="278" w:lineRule="auto" w:before="25"/>
        <w:ind w:right="219"/>
        <w:jc w:val="both"/>
        <w:rPr>
          <w:rFonts w:ascii="宋体" w:hAnsi="宋体" w:cs="宋体" w:eastAsia="宋体" w:hint="default"/>
        </w:rPr>
      </w:pPr>
      <w:r>
        <w:rPr>
          <w:spacing w:val="-2"/>
        </w:rPr>
        <w:t>为中华人民共和国农业农村部。股东大会是本公司的最高权力机构，依法行使公司经营方针、筹</w:t>
      </w:r>
      <w:r>
        <w:rPr>
          <w:spacing w:val="-25"/>
        </w:rPr>
        <w:t> </w:t>
      </w:r>
      <w:r>
        <w:rPr>
          <w:spacing w:val="-25"/>
        </w:rPr>
      </w:r>
      <w:r>
        <w:rPr>
          <w:spacing w:val="-2"/>
        </w:rPr>
        <w:t>资、投资、利润分配等重大事项决议权。董事会对股东大会负责，依法行使公司的经营决策权；</w:t>
      </w:r>
      <w:r>
        <w:rPr>
          <w:spacing w:val="-25"/>
        </w:rPr>
        <w:t> </w:t>
      </w:r>
      <w:r>
        <w:rPr>
          <w:spacing w:val="-25"/>
        </w:rPr>
      </w:r>
      <w:r>
        <w:rPr/>
        <w:t>经理层负责组织实施股东大会、董事会决议事项，主持公司的生产经营管理工作。</w:t>
      </w:r>
      <w:r>
        <w:rPr>
          <w:rFonts w:ascii="宋体" w:hAnsi="宋体" w:cs="宋体" w:eastAsia="宋体" w:hint="default"/>
        </w:rPr>
        <w:t> </w:t>
      </w:r>
    </w:p>
    <w:p>
      <w:pPr>
        <w:spacing w:after="0" w:line="278" w:lineRule="auto"/>
        <w:jc w:val="both"/>
        <w:rPr>
          <w:rFonts w:ascii="宋体" w:hAnsi="宋体" w:cs="宋体" w:eastAsia="宋体" w:hint="default"/>
        </w:rPr>
        <w:sectPr>
          <w:headerReference w:type="default" r:id="rId48"/>
          <w:footerReference w:type="default" r:id="rId49"/>
          <w:pgSz w:w="11910" w:h="16840"/>
          <w:pgMar w:header="826" w:footer="1195" w:top="1300" w:bottom="1380" w:left="1140" w:right="1580"/>
          <w:pgNumType w:start="80"/>
        </w:sectPr>
      </w:pPr>
    </w:p>
    <w:p>
      <w:pPr>
        <w:spacing w:line="240" w:lineRule="auto" w:before="11"/>
        <w:rPr>
          <w:rFonts w:ascii="宋体" w:hAnsi="宋体" w:cs="宋体" w:eastAsia="宋体" w:hint="default"/>
          <w:sz w:val="3"/>
          <w:szCs w:val="3"/>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pStyle w:val="Heading2"/>
        <w:tabs>
          <w:tab w:pos="557" w:val="left" w:leader="none"/>
        </w:tabs>
        <w:spacing w:line="240" w:lineRule="auto" w:before="30"/>
        <w:ind w:left="136" w:right="98"/>
        <w:jc w:val="left"/>
        <w:rPr>
          <w:b w:val="0"/>
          <w:bCs w:val="0"/>
        </w:rPr>
      </w:pPr>
      <w:r>
        <w:rPr>
          <w:rFonts w:ascii="宋体" w:hAnsi="宋体" w:cs="宋体" w:eastAsia="宋体" w:hint="default"/>
          <w:w w:val="95"/>
        </w:rPr>
        <w:t>2.</w:t>
        <w:tab/>
      </w:r>
      <w:r>
        <w:rPr/>
        <w:t>合并财务报表范围</w:t>
      </w:r>
      <w:r>
        <w:rPr>
          <w:b w:val="0"/>
          <w:bCs w:val="0"/>
        </w:rPr>
      </w:r>
    </w:p>
    <w:p>
      <w:pPr>
        <w:pStyle w:val="BodyText"/>
        <w:spacing w:line="240" w:lineRule="auto" w:before="56"/>
        <w:ind w:right="9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64" w:lineRule="auto" w:before="44"/>
        <w:ind w:right="266" w:firstLine="420"/>
        <w:jc w:val="left"/>
        <w:rPr>
          <w:rFonts w:ascii="宋体" w:hAnsi="宋体" w:cs="宋体" w:eastAsia="宋体" w:hint="default"/>
        </w:rPr>
      </w:pPr>
      <w:r>
        <w:rPr/>
        <w:t>本公司</w:t>
      </w:r>
      <w:r>
        <w:rPr>
          <w:spacing w:val="-54"/>
        </w:rPr>
        <w:t> </w:t>
      </w:r>
      <w:r>
        <w:rPr>
          <w:rFonts w:ascii="Arial" w:hAnsi="Arial" w:cs="Arial" w:eastAsia="Arial" w:hint="default"/>
        </w:rPr>
        <w:t>2019</w:t>
      </w:r>
      <w:r>
        <w:rPr>
          <w:rFonts w:ascii="Arial" w:hAnsi="Arial" w:cs="Arial" w:eastAsia="Arial" w:hint="default"/>
          <w:spacing w:val="-9"/>
        </w:rPr>
        <w:t> </w:t>
      </w:r>
      <w:r>
        <w:rPr/>
        <w:t>年度纳入合并范围的子公司共</w:t>
      </w:r>
      <w:r>
        <w:rPr>
          <w:spacing w:val="-56"/>
        </w:rPr>
        <w:t> </w:t>
      </w:r>
      <w:r>
        <w:rPr>
          <w:rFonts w:ascii="Arial" w:hAnsi="Arial" w:cs="Arial" w:eastAsia="Arial" w:hint="default"/>
        </w:rPr>
        <w:t>7</w:t>
      </w:r>
      <w:r>
        <w:rPr>
          <w:rFonts w:ascii="Arial" w:hAnsi="Arial" w:cs="Arial" w:eastAsia="Arial" w:hint="default"/>
          <w:spacing w:val="-8"/>
        </w:rPr>
        <w:t> </w:t>
      </w:r>
      <w:r>
        <w:rPr/>
        <w:t>户，详见本附注九“在其他主体中的权益”。</w:t>
      </w:r>
      <w:r>
        <w:rPr>
          <w:w w:val="100"/>
        </w:rPr>
        <w:t> </w:t>
      </w:r>
      <w:r>
        <w:rPr/>
        <w:t>本公司本年度合并范围与上年度相比未发生变化。</w:t>
      </w:r>
      <w:r>
        <w:rPr>
          <w:rFonts w:ascii="宋体" w:hAnsi="宋体" w:cs="宋体" w:eastAsia="宋体" w:hint="default"/>
        </w:rPr>
        <w:t> </w:t>
      </w:r>
    </w:p>
    <w:p>
      <w:pPr>
        <w:pStyle w:val="Heading2"/>
        <w:tabs>
          <w:tab w:pos="562" w:val="left" w:leader="none"/>
        </w:tabs>
        <w:spacing w:line="290" w:lineRule="auto" w:before="40"/>
        <w:ind w:left="136" w:right="6618"/>
        <w:jc w:val="left"/>
        <w:rPr>
          <w:b w:val="0"/>
          <w:bCs w:val="0"/>
        </w:rPr>
      </w:pPr>
      <w:r>
        <w:rPr/>
        <w:t>四、</w:t>
      </w:r>
      <w:r>
        <w:rPr>
          <w:spacing w:val="-105"/>
        </w:rPr>
        <w:t> </w:t>
      </w:r>
      <w:r>
        <w:rPr>
          <w:rFonts w:ascii="宋体" w:hAnsi="宋体" w:cs="宋体" w:eastAsia="宋体" w:hint="default"/>
          <w:spacing w:val="-105"/>
        </w:rPr>
      </w:r>
      <w:r>
        <w:rPr/>
        <w:t>财务报表的编制基础</w:t>
      </w:r>
      <w:r>
        <w:rPr>
          <w:rFonts w:ascii="宋体" w:hAnsi="宋体" w:cs="宋体" w:eastAsia="宋体" w:hint="default"/>
          <w:w w:val="99"/>
        </w:rPr>
        <w:t> </w:t>
      </w:r>
      <w:r>
        <w:rPr>
          <w:rFonts w:ascii="宋体" w:hAnsi="宋体" w:cs="宋体" w:eastAsia="宋体" w:hint="default"/>
          <w:w w:val="95"/>
        </w:rPr>
        <w:t>1.</w:t>
        <w:tab/>
      </w:r>
      <w:r>
        <w:rPr/>
        <w:t>编制基础</w:t>
      </w:r>
      <w:r>
        <w:rPr>
          <w:b w:val="0"/>
          <w:bCs w:val="0"/>
        </w:rPr>
      </w:r>
    </w:p>
    <w:p>
      <w:pPr>
        <w:pStyle w:val="BodyText"/>
        <w:spacing w:line="278" w:lineRule="auto" w:before="60"/>
        <w:ind w:right="98" w:firstLine="420"/>
        <w:jc w:val="left"/>
      </w:pPr>
      <w:r>
        <w:rPr>
          <w:spacing w:val="-7"/>
        </w:rPr>
        <w:t>本集团财务报表以持续经营假设为基础，根据实际发生的交易和事项，按照财政部发布的《企</w:t>
      </w:r>
      <w:r>
        <w:rPr>
          <w:w w:val="100"/>
        </w:rPr>
        <w:t> </w:t>
      </w:r>
      <w:r>
        <w:rPr/>
        <w:t>业会计准则</w:t>
      </w:r>
      <w:r>
        <w:rPr>
          <w:rFonts w:ascii="Arial" w:hAnsi="Arial" w:cs="Arial" w:eastAsia="Arial" w:hint="default"/>
        </w:rPr>
        <w:t>——</w:t>
      </w:r>
      <w:r>
        <w:rPr/>
        <w:t>基本准则》（财政部令第</w:t>
      </w:r>
      <w:r>
        <w:rPr>
          <w:spacing w:val="-53"/>
        </w:rPr>
        <w:t> </w:t>
      </w:r>
      <w:r>
        <w:rPr>
          <w:rFonts w:ascii="Arial" w:hAnsi="Arial" w:cs="Arial" w:eastAsia="Arial" w:hint="default"/>
        </w:rPr>
        <w:t>33</w:t>
      </w:r>
      <w:r>
        <w:rPr>
          <w:rFonts w:ascii="Arial" w:hAnsi="Arial" w:cs="Arial" w:eastAsia="Arial" w:hint="default"/>
          <w:spacing w:val="-9"/>
        </w:rPr>
        <w:t> </w:t>
      </w:r>
      <w:r>
        <w:rPr/>
        <w:t>号发布、财政部令第</w:t>
      </w:r>
      <w:r>
        <w:rPr>
          <w:spacing w:val="-54"/>
        </w:rPr>
        <w:t> </w:t>
      </w:r>
      <w:r>
        <w:rPr>
          <w:rFonts w:ascii="Arial" w:hAnsi="Arial" w:cs="Arial" w:eastAsia="Arial" w:hint="default"/>
        </w:rPr>
        <w:t>76</w:t>
      </w:r>
      <w:r>
        <w:rPr>
          <w:rFonts w:ascii="Arial" w:hAnsi="Arial" w:cs="Arial" w:eastAsia="Arial" w:hint="default"/>
          <w:spacing w:val="-7"/>
        </w:rPr>
        <w:t> </w:t>
      </w:r>
      <w:r>
        <w:rPr/>
        <w:t>号修订）、于</w:t>
      </w:r>
      <w:r>
        <w:rPr>
          <w:spacing w:val="-54"/>
        </w:rPr>
        <w:t> </w:t>
      </w:r>
      <w:r>
        <w:rPr>
          <w:rFonts w:ascii="Arial" w:hAnsi="Arial" w:cs="Arial" w:eastAsia="Arial" w:hint="default"/>
        </w:rPr>
        <w:t>2006</w:t>
      </w:r>
      <w:r>
        <w:rPr>
          <w:rFonts w:ascii="Arial" w:hAnsi="Arial" w:cs="Arial" w:eastAsia="Arial" w:hint="default"/>
          <w:spacing w:val="-6"/>
        </w:rPr>
        <w:t> </w:t>
      </w:r>
      <w:r>
        <w:rPr/>
        <w:t>年</w:t>
      </w:r>
      <w:r>
        <w:rPr>
          <w:spacing w:val="-56"/>
        </w:rPr>
        <w:t> </w:t>
      </w:r>
      <w:r>
        <w:rPr>
          <w:rFonts w:ascii="Arial" w:hAnsi="Arial" w:cs="Arial" w:eastAsia="Arial" w:hint="default"/>
        </w:rPr>
        <w:t>2</w:t>
      </w:r>
      <w:r>
        <w:rPr>
          <w:rFonts w:ascii="Arial" w:hAnsi="Arial" w:cs="Arial" w:eastAsia="Arial" w:hint="default"/>
          <w:spacing w:val="-7"/>
        </w:rPr>
        <w:t> </w:t>
      </w:r>
      <w:r>
        <w:rPr/>
        <w:t>月</w:t>
      </w:r>
    </w:p>
    <w:p>
      <w:pPr>
        <w:pStyle w:val="BodyText"/>
        <w:spacing w:line="273" w:lineRule="auto"/>
        <w:ind w:right="219"/>
        <w:jc w:val="both"/>
      </w:pPr>
      <w:r>
        <w:rPr>
          <w:rFonts w:ascii="Arial" w:hAnsi="Arial" w:cs="Arial" w:eastAsia="Arial" w:hint="default"/>
        </w:rPr>
        <w:t>15</w:t>
      </w:r>
      <w:r>
        <w:rPr>
          <w:rFonts w:ascii="Arial" w:hAnsi="Arial" w:cs="Arial" w:eastAsia="Arial" w:hint="default"/>
          <w:spacing w:val="-8"/>
        </w:rPr>
        <w:t> </w:t>
      </w:r>
      <w:r>
        <w:rPr/>
        <w:t>日及其后颁布和修订的</w:t>
      </w:r>
      <w:r>
        <w:rPr>
          <w:spacing w:val="-58"/>
        </w:rPr>
        <w:t> </w:t>
      </w:r>
      <w:r>
        <w:rPr>
          <w:rFonts w:ascii="Arial" w:hAnsi="Arial" w:cs="Arial" w:eastAsia="Arial" w:hint="default"/>
        </w:rPr>
        <w:t>42</w:t>
      </w:r>
      <w:r>
        <w:rPr>
          <w:rFonts w:ascii="Arial" w:hAnsi="Arial" w:cs="Arial" w:eastAsia="Arial" w:hint="default"/>
          <w:spacing w:val="-8"/>
        </w:rPr>
        <w:t> </w:t>
      </w:r>
      <w:r>
        <w:rPr/>
        <w:t>项具体会计准则、企业会计准则应用指南、企业会计准则解释及其</w:t>
      </w:r>
      <w:r>
        <w:rPr>
          <w:w w:val="100"/>
        </w:rPr>
        <w:t> </w:t>
      </w:r>
      <w:r>
        <w:rPr>
          <w:spacing w:val="-2"/>
        </w:rPr>
        <w:t>他相关规定（以下合称“企业会计准则”），以及中国证券监督管理委员会《公开发行证券的公</w:t>
      </w:r>
      <w:r>
        <w:rPr>
          <w:spacing w:val="-25"/>
        </w:rPr>
        <w:t> </w:t>
      </w:r>
      <w:r>
        <w:rPr>
          <w:spacing w:val="-25"/>
        </w:rPr>
      </w:r>
      <w:r>
        <w:rPr/>
        <w:t>司信息披露编报规则第</w:t>
      </w:r>
      <w:r>
        <w:rPr>
          <w:spacing w:val="-55"/>
        </w:rPr>
        <w:t> </w:t>
      </w:r>
      <w:r>
        <w:rPr>
          <w:rFonts w:ascii="Arial" w:hAnsi="Arial" w:cs="Arial" w:eastAsia="Arial" w:hint="default"/>
        </w:rPr>
        <w:t>15</w:t>
      </w:r>
      <w:r>
        <w:rPr>
          <w:rFonts w:ascii="Arial" w:hAnsi="Arial" w:cs="Arial" w:eastAsia="Arial" w:hint="default"/>
          <w:spacing w:val="-10"/>
        </w:rPr>
        <w:t> </w:t>
      </w:r>
      <w:r>
        <w:rPr/>
        <w:t>号</w:t>
      </w:r>
      <w:r>
        <w:rPr>
          <w:rFonts w:ascii="Arial" w:hAnsi="Arial" w:cs="Arial" w:eastAsia="Arial" w:hint="default"/>
        </w:rPr>
        <w:t>——</w:t>
      </w:r>
      <w:r>
        <w:rPr/>
        <w:t>财务报告的一般规定（</w:t>
      </w:r>
      <w:r>
        <w:rPr>
          <w:rFonts w:ascii="Arial" w:hAnsi="Arial" w:cs="Arial" w:eastAsia="Arial" w:hint="default"/>
        </w:rPr>
        <w:t>2014</w:t>
      </w:r>
      <w:r>
        <w:rPr>
          <w:rFonts w:ascii="Arial" w:hAnsi="Arial" w:cs="Arial" w:eastAsia="Arial" w:hint="default"/>
          <w:spacing w:val="-9"/>
        </w:rPr>
        <w:t> </w:t>
      </w:r>
      <w:r>
        <w:rPr/>
        <w:t>年修订）》的披露规定编制。</w:t>
      </w:r>
    </w:p>
    <w:p>
      <w:pPr>
        <w:pStyle w:val="BodyText"/>
        <w:tabs>
          <w:tab w:pos="562" w:val="left" w:leader="none"/>
        </w:tabs>
        <w:spacing w:line="285" w:lineRule="auto"/>
        <w:ind w:right="108" w:firstLine="420"/>
        <w:jc w:val="left"/>
        <w:rPr>
          <w:rFonts w:ascii="宋体" w:hAnsi="宋体" w:cs="宋体" w:eastAsia="宋体" w:hint="default"/>
        </w:rPr>
      </w:pPr>
      <w:r>
        <w:rPr/>
        <w:t>根据企业会计准则的相关规定，本集团会计核算以权责发生制为基础。除某些金融工具外，</w:t>
      </w:r>
      <w:r>
        <w:rPr>
          <w:w w:val="100"/>
        </w:rPr>
        <w:t> </w:t>
      </w:r>
      <w:r>
        <w:rPr>
          <w:spacing w:val="-7"/>
          <w:w w:val="100"/>
        </w:rPr>
        <w:t>本财务报表均以历史成本为计量基础。资产如果发生减值，则按照相关规定计提相应的减值准备。</w:t>
      </w:r>
      <w:r>
        <w:rPr>
          <w:spacing w:val="-68"/>
          <w:w w:val="100"/>
        </w:rPr>
        <w:t> </w:t>
      </w:r>
      <w:r>
        <w:rPr>
          <w:rFonts w:ascii="宋体" w:hAnsi="宋体" w:cs="宋体" w:eastAsia="宋体" w:hint="default"/>
          <w:spacing w:val="-68"/>
          <w:w w:val="100"/>
        </w:rPr>
      </w:r>
      <w:r>
        <w:rPr>
          <w:rFonts w:ascii="宋体" w:hAnsi="宋体" w:cs="宋体" w:eastAsia="宋体" w:hint="default"/>
          <w:b/>
          <w:bCs/>
          <w:w w:val="95"/>
        </w:rPr>
        <w:t>2.</w:t>
        <w:tab/>
      </w:r>
      <w:r>
        <w:rPr>
          <w:rFonts w:ascii="宋体" w:hAnsi="宋体" w:cs="宋体" w:eastAsia="宋体" w:hint="default"/>
          <w:b/>
          <w:bCs/>
        </w:rPr>
        <w:t>持续经营</w:t>
      </w:r>
      <w:r>
        <w:rPr>
          <w:rFonts w:ascii="宋体" w:hAnsi="宋体" w:cs="宋体" w:eastAsia="宋体" w:hint="default"/>
        </w:rPr>
      </w:r>
    </w:p>
    <w:p>
      <w:pPr>
        <w:pStyle w:val="BodyText"/>
        <w:spacing w:line="240" w:lineRule="auto" w:before="16"/>
        <w:ind w:right="9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76" w:lineRule="auto" w:before="44"/>
        <w:ind w:left="136" w:right="263" w:firstLine="420"/>
        <w:jc w:val="left"/>
        <w:rPr>
          <w:rFonts w:ascii="宋体" w:hAnsi="宋体" w:cs="宋体" w:eastAsia="宋体" w:hint="default"/>
          <w:sz w:val="21"/>
          <w:szCs w:val="21"/>
        </w:rPr>
      </w:pPr>
      <w:r>
        <w:rPr>
          <w:rFonts w:ascii="宋体" w:hAnsi="宋体" w:cs="宋体" w:eastAsia="宋体" w:hint="default"/>
          <w:sz w:val="21"/>
          <w:szCs w:val="21"/>
        </w:rPr>
        <w:t>公司自本报告期末至少</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10"/>
          <w:sz w:val="21"/>
          <w:szCs w:val="21"/>
        </w:rPr>
        <w:t> </w:t>
      </w:r>
      <w:r>
        <w:rPr>
          <w:rFonts w:ascii="宋体" w:hAnsi="宋体" w:cs="宋体" w:eastAsia="宋体" w:hint="default"/>
          <w:sz w:val="21"/>
          <w:szCs w:val="21"/>
        </w:rPr>
        <w:t>个月内具备持续经营能力，无影响持续经营能力的重大事项。</w:t>
      </w:r>
      <w:r>
        <w:rPr>
          <w:rFonts w:ascii="宋体" w:hAnsi="宋体" w:cs="宋体" w:eastAsia="宋体" w:hint="default"/>
          <w:w w:val="100"/>
          <w:sz w:val="21"/>
          <w:szCs w:val="21"/>
        </w:rPr>
        <w:t> </w:t>
      </w:r>
      <w:r>
        <w:rPr>
          <w:rFonts w:ascii="宋体" w:hAnsi="宋体" w:cs="宋体" w:eastAsia="宋体" w:hint="default"/>
          <w:b/>
          <w:bCs/>
          <w:sz w:val="21"/>
          <w:szCs w:val="21"/>
        </w:rPr>
        <w:t>五、</w:t>
      </w:r>
      <w:r>
        <w:rPr>
          <w:rFonts w:ascii="宋体" w:hAnsi="宋体" w:cs="宋体" w:eastAsia="宋体" w:hint="default"/>
          <w:b/>
          <w:bCs/>
          <w:spacing w:val="-95"/>
          <w:sz w:val="21"/>
          <w:szCs w:val="21"/>
        </w:rPr>
        <w:t> </w:t>
      </w:r>
      <w:r>
        <w:rPr>
          <w:rFonts w:ascii="宋体" w:hAnsi="宋体" w:cs="宋体" w:eastAsia="宋体" w:hint="default"/>
          <w:b/>
          <w:bCs/>
          <w:spacing w:val="-95"/>
          <w:sz w:val="21"/>
          <w:szCs w:val="21"/>
        </w:rPr>
      </w:r>
      <w:r>
        <w:rPr>
          <w:rFonts w:ascii="宋体" w:hAnsi="宋体" w:cs="宋体" w:eastAsia="宋体" w:hint="default"/>
          <w:b/>
          <w:bCs/>
          <w:spacing w:val="-1"/>
          <w:sz w:val="21"/>
          <w:szCs w:val="21"/>
        </w:rPr>
        <w:t>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27"/>
        <w:ind w:right="98"/>
        <w:jc w:val="left"/>
        <w:rPr>
          <w:rFonts w:ascii="宋体" w:hAnsi="宋体" w:cs="宋体" w:eastAsia="宋体" w:hint="default"/>
        </w:rPr>
      </w:pPr>
      <w:r>
        <w:rPr/>
        <w:t>具体会计政策和会计估计提示：</w:t>
      </w:r>
      <w:r>
        <w:rPr>
          <w:rFonts w:ascii="宋体" w:hAnsi="宋体" w:cs="宋体" w:eastAsia="宋体" w:hint="default"/>
        </w:rPr>
        <w:t> </w:t>
      </w:r>
    </w:p>
    <w:p>
      <w:pPr>
        <w:pStyle w:val="BodyText"/>
        <w:spacing w:line="278" w:lineRule="auto"/>
        <w:ind w:left="557" w:right="98"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本集团从事农业经营。本集团根据实际生产经营特点，依据相关企业会计准则的规定，对收</w:t>
      </w:r>
    </w:p>
    <w:p>
      <w:pPr>
        <w:pStyle w:val="BodyText"/>
        <w:spacing w:line="266" w:lineRule="auto" w:before="10"/>
        <w:ind w:right="208"/>
        <w:jc w:val="both"/>
        <w:rPr>
          <w:rFonts w:ascii="宋体" w:hAnsi="宋体" w:cs="宋体" w:eastAsia="宋体" w:hint="default"/>
        </w:rPr>
      </w:pPr>
      <w:r>
        <w:rPr>
          <w:spacing w:val="-2"/>
        </w:rPr>
        <w:t>入确认等交易和事项制定了若干项具体会计政策和会计估计，详见本附注五、</w:t>
      </w:r>
      <w:r>
        <w:rPr>
          <w:rFonts w:ascii="Arial" w:hAnsi="Arial" w:cs="Arial" w:eastAsia="Arial" w:hint="default"/>
          <w:spacing w:val="-2"/>
        </w:rPr>
        <w:t>36</w:t>
      </w:r>
      <w:r>
        <w:rPr>
          <w:spacing w:val="-2"/>
        </w:rPr>
        <w:t>“收入”等各项</w:t>
      </w:r>
      <w:r>
        <w:rPr>
          <w:spacing w:val="-38"/>
        </w:rPr>
        <w:t> </w:t>
      </w:r>
      <w:r>
        <w:rPr>
          <w:spacing w:val="-38"/>
        </w:rPr>
      </w:r>
      <w:r>
        <w:rPr>
          <w:spacing w:val="-2"/>
        </w:rPr>
        <w:t>描述。关于管理层所作出的重大会计判断和估计的说明，请参阅附注五、</w:t>
      </w:r>
      <w:r>
        <w:rPr>
          <w:rFonts w:ascii="Arial" w:hAnsi="Arial" w:cs="Arial" w:eastAsia="Arial" w:hint="default"/>
          <w:spacing w:val="-2"/>
        </w:rPr>
        <w:t>40</w:t>
      </w:r>
      <w:r>
        <w:rPr>
          <w:spacing w:val="-2"/>
        </w:rPr>
        <w:t>“其他重要的会计政</w:t>
      </w:r>
      <w:r>
        <w:rPr>
          <w:spacing w:val="-41"/>
        </w:rPr>
        <w:t> </w:t>
      </w:r>
      <w:r>
        <w:rPr>
          <w:spacing w:val="-41"/>
        </w:rPr>
      </w:r>
      <w:r>
        <w:rPr/>
        <w:t>策和会计估计”。</w:t>
      </w:r>
      <w:r>
        <w:rPr>
          <w:rFonts w:ascii="宋体" w:hAnsi="宋体" w:cs="宋体" w:eastAsia="宋体" w:hint="default"/>
        </w:rPr>
        <w:t> </w:t>
      </w:r>
    </w:p>
    <w:p>
      <w:pPr>
        <w:tabs>
          <w:tab w:pos="562" w:val="left" w:leader="none"/>
        </w:tabs>
        <w:spacing w:line="328" w:lineRule="auto" w:before="35"/>
        <w:ind w:left="451" w:right="108" w:hanging="315"/>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本集团所编制的财务报表符合企业会计准则的要求，真实、完整地反映了本集团的财务状况、</w:t>
      </w:r>
    </w:p>
    <w:p>
      <w:pPr>
        <w:pStyle w:val="BodyText"/>
        <w:spacing w:line="244" w:lineRule="exact"/>
        <w:ind w:right="98"/>
        <w:jc w:val="left"/>
      </w:pPr>
      <w:r>
        <w:rPr/>
        <w:t>经营成果、股东权益变动和现金流量等有关信息。此外，本公司及本集团的财务报表在所有重大</w:t>
      </w:r>
    </w:p>
    <w:p>
      <w:pPr>
        <w:pStyle w:val="BodyText"/>
        <w:spacing w:line="240" w:lineRule="auto" w:before="44"/>
        <w:ind w:right="98"/>
        <w:jc w:val="left"/>
        <w:rPr>
          <w:rFonts w:ascii="Arial" w:hAnsi="Arial" w:cs="Arial" w:eastAsia="Arial" w:hint="default"/>
        </w:rPr>
      </w:pPr>
      <w:r>
        <w:rPr/>
        <w:t>方面符合中国证券监督管理委员会</w:t>
      </w:r>
      <w:r>
        <w:rPr>
          <w:spacing w:val="-58"/>
        </w:rPr>
        <w:t> </w:t>
      </w:r>
      <w:r>
        <w:rPr>
          <w:rFonts w:ascii="Arial" w:hAnsi="Arial" w:cs="Arial" w:eastAsia="Arial" w:hint="default"/>
        </w:rPr>
        <w:t>2014</w:t>
      </w:r>
      <w:r>
        <w:rPr>
          <w:rFonts w:ascii="Arial" w:hAnsi="Arial" w:cs="Arial" w:eastAsia="Arial" w:hint="default"/>
          <w:spacing w:val="-12"/>
        </w:rPr>
        <w:t> </w:t>
      </w:r>
      <w:r>
        <w:rPr/>
        <w:t>年修订的《公开发行证券的公司信息披露编报规则第</w:t>
      </w:r>
      <w:r>
        <w:rPr>
          <w:spacing w:val="-58"/>
        </w:rPr>
        <w:t> </w:t>
      </w:r>
      <w:r>
        <w:rPr>
          <w:rFonts w:ascii="Arial" w:hAnsi="Arial" w:cs="Arial" w:eastAsia="Arial" w:hint="default"/>
          <w:spacing w:val="-3"/>
        </w:rPr>
        <w:t>15</w:t>
      </w:r>
      <w:r>
        <w:rPr>
          <w:rFonts w:ascii="Arial" w:hAnsi="Arial" w:cs="Arial" w:eastAsia="Arial" w:hint="default"/>
        </w:rPr>
      </w:r>
    </w:p>
    <w:p>
      <w:pPr>
        <w:pStyle w:val="BodyText"/>
        <w:tabs>
          <w:tab w:pos="562" w:val="left" w:leader="none"/>
        </w:tabs>
        <w:spacing w:line="292" w:lineRule="auto" w:before="29"/>
        <w:ind w:right="3064"/>
        <w:jc w:val="left"/>
        <w:rPr>
          <w:rFonts w:ascii="宋体" w:hAnsi="宋体" w:cs="宋体" w:eastAsia="宋体" w:hint="default"/>
        </w:rPr>
      </w:pPr>
      <w:r>
        <w:rPr/>
        <w:t>号－财务报告的一般规定》有关财务报表及其附注的披露要求。</w:t>
      </w:r>
      <w:r>
        <w:rPr>
          <w:rFonts w:ascii="宋体" w:hAnsi="宋体" w:cs="宋体" w:eastAsia="宋体" w:hint="default"/>
          <w:w w:val="100"/>
        </w:rPr>
        <w:t> </w:t>
      </w:r>
      <w:r>
        <w:rPr>
          <w:rFonts w:ascii="宋体" w:hAnsi="宋体" w:cs="宋体" w:eastAsia="宋体" w:hint="default"/>
          <w:b/>
          <w:bCs/>
          <w:w w:val="95"/>
        </w:rPr>
        <w:t>2.</w:t>
        <w:tab/>
      </w:r>
      <w:r>
        <w:rPr>
          <w:rFonts w:ascii="宋体" w:hAnsi="宋体" w:cs="宋体" w:eastAsia="宋体" w:hint="default"/>
          <w:b/>
          <w:bCs/>
        </w:rPr>
        <w:t>会计期间</w:t>
      </w:r>
      <w:r>
        <w:rPr>
          <w:rFonts w:ascii="宋体" w:hAnsi="宋体" w:cs="宋体" w:eastAsia="宋体" w:hint="default"/>
        </w:rPr>
      </w:r>
    </w:p>
    <w:p>
      <w:pPr>
        <w:pStyle w:val="BodyText"/>
        <w:spacing w:line="280" w:lineRule="auto" w:before="55"/>
        <w:ind w:right="98" w:firstLine="420"/>
        <w:jc w:val="left"/>
      </w:pPr>
      <w:r>
        <w:rPr>
          <w:spacing w:val="-2"/>
        </w:rPr>
        <w:t>本集团的会计期间分为年度和中期，会计中期指短于一个完整的会计年度的报告期间。本集</w:t>
      </w:r>
      <w:r>
        <w:rPr>
          <w:w w:val="100"/>
        </w:rPr>
        <w:t> </w:t>
      </w:r>
      <w:r>
        <w:rPr/>
        <w:t>团会计年度采用公历年度，即每年自</w:t>
      </w:r>
      <w:r>
        <w:rPr>
          <w:spacing w:val="-52"/>
        </w:rPr>
        <w:t> </w:t>
      </w:r>
      <w:r>
        <w:rPr>
          <w:rFonts w:ascii="Arial" w:hAnsi="Arial" w:cs="Arial" w:eastAsia="Arial" w:hint="default"/>
        </w:rPr>
        <w:t>1</w:t>
      </w:r>
      <w:r>
        <w:rPr>
          <w:rFonts w:ascii="Arial" w:hAnsi="Arial" w:cs="Arial" w:eastAsia="Arial" w:hint="default"/>
          <w:spacing w:val="-8"/>
        </w:rPr>
        <w:t> </w:t>
      </w:r>
      <w:r>
        <w:rPr/>
        <w:t>月</w:t>
      </w:r>
      <w:r>
        <w:rPr>
          <w:spacing w:val="-53"/>
        </w:rPr>
        <w:t> </w:t>
      </w:r>
      <w:r>
        <w:rPr>
          <w:rFonts w:ascii="Arial" w:hAnsi="Arial" w:cs="Arial" w:eastAsia="Arial" w:hint="default"/>
        </w:rPr>
        <w:t>1</w:t>
      </w:r>
      <w:r>
        <w:rPr>
          <w:rFonts w:ascii="Arial" w:hAnsi="Arial" w:cs="Arial" w:eastAsia="Arial" w:hint="default"/>
          <w:spacing w:val="-8"/>
        </w:rPr>
        <w:t> </w:t>
      </w:r>
      <w:r>
        <w:rPr/>
        <w:t>日起至</w:t>
      </w:r>
      <w:r>
        <w:rPr>
          <w:spacing w:val="-55"/>
        </w:rPr>
        <w:t> </w:t>
      </w:r>
      <w:r>
        <w:rPr>
          <w:rFonts w:ascii="Arial" w:hAnsi="Arial" w:cs="Arial" w:eastAsia="Arial" w:hint="default"/>
        </w:rPr>
        <w:t>12</w:t>
      </w:r>
      <w:r>
        <w:rPr>
          <w:rFonts w:ascii="Arial" w:hAnsi="Arial" w:cs="Arial" w:eastAsia="Arial" w:hint="default"/>
          <w:spacing w:val="-6"/>
        </w:rPr>
        <w:t> </w:t>
      </w:r>
      <w:r>
        <w:rPr/>
        <w:t>月</w:t>
      </w:r>
      <w:r>
        <w:rPr>
          <w:spacing w:val="-55"/>
        </w:rPr>
        <w:t> </w:t>
      </w:r>
      <w:r>
        <w:rPr>
          <w:rFonts w:ascii="Arial" w:hAnsi="Arial" w:cs="Arial" w:eastAsia="Arial" w:hint="default"/>
        </w:rPr>
        <w:t>31</w:t>
      </w:r>
      <w:r>
        <w:rPr>
          <w:rFonts w:ascii="Arial" w:hAnsi="Arial" w:cs="Arial" w:eastAsia="Arial" w:hint="default"/>
          <w:spacing w:val="-8"/>
        </w:rPr>
        <w:t> </w:t>
      </w:r>
      <w:r>
        <w:rPr/>
        <w:t>日止。</w:t>
      </w:r>
    </w:p>
    <w:p>
      <w:pPr>
        <w:pStyle w:val="Heading2"/>
        <w:tabs>
          <w:tab w:pos="562" w:val="left" w:leader="none"/>
        </w:tabs>
        <w:spacing w:line="240" w:lineRule="auto" w:before="4"/>
        <w:ind w:left="136" w:right="98"/>
        <w:jc w:val="left"/>
        <w:rPr>
          <w:b w:val="0"/>
          <w:bCs w:val="0"/>
        </w:rPr>
      </w:pPr>
      <w:r>
        <w:rPr>
          <w:rFonts w:ascii="宋体" w:hAnsi="宋体" w:cs="宋体" w:eastAsia="宋体" w:hint="default"/>
          <w:w w:val="95"/>
        </w:rPr>
        <w:t>3.</w:t>
        <w:tab/>
      </w:r>
      <w:r>
        <w:rPr/>
        <w:t>营业周期</w:t>
      </w:r>
      <w:r>
        <w:rPr>
          <w:b w:val="0"/>
          <w:bCs w:val="0"/>
        </w:rPr>
      </w:r>
    </w:p>
    <w:p>
      <w:pPr>
        <w:pStyle w:val="BodyText"/>
        <w:spacing w:line="278" w:lineRule="auto" w:before="56"/>
        <w:ind w:left="557" w:right="98"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正常营业周期是指本集团从购买用于加工的资产起至实现现金或现金等价物的期间。本集团</w:t>
      </w:r>
    </w:p>
    <w:p>
      <w:pPr>
        <w:pStyle w:val="BodyText"/>
        <w:spacing w:line="240" w:lineRule="auto" w:before="10"/>
        <w:ind w:right="98"/>
        <w:jc w:val="left"/>
      </w:pPr>
      <w:r>
        <w:rPr/>
        <w:t>以</w:t>
      </w:r>
      <w:r>
        <w:rPr>
          <w:spacing w:val="-54"/>
        </w:rPr>
        <w:t> </w:t>
      </w:r>
      <w:r>
        <w:rPr>
          <w:rFonts w:ascii="Arial" w:hAnsi="Arial" w:cs="Arial" w:eastAsia="Arial" w:hint="default"/>
        </w:rPr>
        <w:t>12</w:t>
      </w:r>
      <w:r>
        <w:rPr>
          <w:rFonts w:ascii="Arial" w:hAnsi="Arial" w:cs="Arial" w:eastAsia="Arial" w:hint="default"/>
          <w:spacing w:val="-10"/>
        </w:rPr>
        <w:t> </w:t>
      </w:r>
      <w:r>
        <w:rPr/>
        <w:t>个月作为一个营业周期，并以其作为资产和负债的流动性划分标准。</w:t>
      </w:r>
    </w:p>
    <w:p>
      <w:pPr>
        <w:pStyle w:val="BodyText"/>
        <w:tabs>
          <w:tab w:pos="562" w:val="left" w:leader="none"/>
        </w:tabs>
        <w:spacing w:line="328" w:lineRule="auto" w:before="46"/>
        <w:ind w:left="557" w:right="263" w:hanging="421"/>
        <w:jc w:val="left"/>
      </w:pPr>
      <w:r>
        <w:rPr>
          <w:rFonts w:ascii="宋体" w:hAnsi="宋体" w:cs="宋体" w:eastAsia="宋体" w:hint="default"/>
          <w:b/>
          <w:bCs/>
          <w:w w:val="95"/>
        </w:rPr>
        <w:t>4.</w:t>
        <w:tab/>
        <w:tab/>
      </w:r>
      <w:r>
        <w:rPr>
          <w:rFonts w:ascii="宋体" w:hAnsi="宋体" w:cs="宋体" w:eastAsia="宋体" w:hint="default"/>
          <w:b/>
          <w:bCs/>
        </w:rPr>
        <w:t>记账本位币</w:t>
      </w:r>
      <w:r>
        <w:rPr>
          <w:rFonts w:ascii="宋体" w:hAnsi="宋体" w:cs="宋体" w:eastAsia="宋体" w:hint="default"/>
          <w:b/>
          <w:bCs/>
          <w:w w:val="100"/>
        </w:rPr>
        <w:t> </w:t>
      </w:r>
      <w:r>
        <w:rPr>
          <w:spacing w:val="-2"/>
        </w:rPr>
        <w:t>人民币为本公司及境内子公司经营所处的主要经济环境中的货币，本公司及境内子公司以人</w:t>
      </w:r>
    </w:p>
    <w:p>
      <w:pPr>
        <w:pStyle w:val="BodyText"/>
        <w:spacing w:line="241" w:lineRule="exact"/>
        <w:ind w:right="98"/>
        <w:jc w:val="left"/>
      </w:pPr>
      <w:r>
        <w:rPr/>
        <w:t>民币为记账本位币。本集团编制本财务报表时所采用的货币为人民币。</w:t>
      </w:r>
    </w:p>
    <w:p>
      <w:pPr>
        <w:pStyle w:val="Heading2"/>
        <w:tabs>
          <w:tab w:pos="562" w:val="left" w:leader="none"/>
        </w:tabs>
        <w:spacing w:line="240" w:lineRule="auto" w:before="61"/>
        <w:ind w:left="136" w:right="98"/>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spacing w:line="278" w:lineRule="auto" w:before="56"/>
        <w:ind w:left="557" w:right="98"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企业合并，是指将两个或两个以上单独的企业合并形成一个报告主体的交易或事项。企业合</w:t>
      </w:r>
    </w:p>
    <w:p>
      <w:pPr>
        <w:pStyle w:val="BodyText"/>
        <w:spacing w:line="240" w:lineRule="auto" w:before="10"/>
        <w:ind w:right="98"/>
        <w:jc w:val="left"/>
      </w:pPr>
      <w:r>
        <w:rPr/>
        <w:t>并分为同一控制下企业合并和非同一控制下企业合并。</w:t>
      </w:r>
    </w:p>
    <w:p>
      <w:pPr>
        <w:spacing w:after="0" w:line="240" w:lineRule="auto"/>
        <w:jc w:val="left"/>
        <w:sectPr>
          <w:footerReference w:type="default" r:id="rId50"/>
          <w:pgSz w:w="11910" w:h="16840"/>
          <w:pgMar w:footer="1195" w:header="826" w:top="1300" w:bottom="1380" w:left="1140" w:right="1580"/>
          <w:pgNumType w:start="81"/>
        </w:sectPr>
      </w:pPr>
    </w:p>
    <w:p>
      <w:pPr>
        <w:spacing w:line="240" w:lineRule="auto" w:before="11"/>
        <w:rPr>
          <w:rFonts w:ascii="宋体" w:hAnsi="宋体" w:cs="宋体" w:eastAsia="宋体" w:hint="default"/>
          <w:sz w:val="3"/>
          <w:szCs w:val="3"/>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64" w:lineRule="auto" w:before="75"/>
        <w:ind w:left="557" w:right="9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参与合并的企业在合并前后均受同一方或相同的多方最终控制，且该控制并非暂时性的，为</w:t>
      </w:r>
    </w:p>
    <w:p>
      <w:pPr>
        <w:pStyle w:val="BodyText"/>
        <w:spacing w:line="278" w:lineRule="auto" w:before="25"/>
        <w:ind w:right="219"/>
        <w:jc w:val="both"/>
      </w:pPr>
      <w:r>
        <w:rPr>
          <w:spacing w:val="-2"/>
        </w:rPr>
        <w:t>同一控制下的企业合并。同一控制下的企业合并，在合并日取得对其他参与合并企业控制权的一</w:t>
      </w:r>
      <w:r>
        <w:rPr>
          <w:spacing w:val="-25"/>
        </w:rPr>
        <w:t> </w:t>
      </w:r>
      <w:r>
        <w:rPr>
          <w:spacing w:val="-25"/>
        </w:rPr>
      </w:r>
      <w:r>
        <w:rPr>
          <w:spacing w:val="-2"/>
        </w:rPr>
        <w:t>方为合并方，参与合并的其他企业为被合并方。合并日，是指合并方实际取得对被合并方控制权</w:t>
      </w:r>
      <w:r>
        <w:rPr>
          <w:spacing w:val="-25"/>
        </w:rPr>
        <w:t> </w:t>
      </w:r>
      <w:r>
        <w:rPr>
          <w:spacing w:val="-25"/>
        </w:rPr>
      </w:r>
      <w:r>
        <w:rPr/>
        <w:t>的日期。</w:t>
      </w:r>
    </w:p>
    <w:p>
      <w:pPr>
        <w:pStyle w:val="BodyText"/>
        <w:spacing w:line="278" w:lineRule="auto" w:before="13"/>
        <w:ind w:right="218" w:firstLine="420"/>
        <w:jc w:val="both"/>
      </w:pPr>
      <w:r>
        <w:rPr>
          <w:spacing w:val="-2"/>
        </w:rPr>
        <w:t>合并方取得的资产和负债均按合并日在被合并方的账面价值计量。合并方取得的净资产账面</w:t>
      </w:r>
      <w:r>
        <w:rPr>
          <w:w w:val="100"/>
        </w:rPr>
        <w:t> </w:t>
      </w:r>
      <w:r>
        <w:rPr>
          <w:spacing w:val="-2"/>
        </w:rPr>
        <w:t>价值与支付的合并对价账面价值（或发行股份面值总额）的差额，调整资本公积（股本溢价）；</w:t>
      </w:r>
      <w:r>
        <w:rPr>
          <w:spacing w:val="-25"/>
        </w:rPr>
        <w:t> </w:t>
      </w:r>
      <w:r>
        <w:rPr>
          <w:spacing w:val="-25"/>
        </w:rPr>
      </w:r>
      <w:r>
        <w:rPr/>
        <w:t>资本公积（股本溢价）不足以冲减的，调整留存收益。</w:t>
      </w:r>
    </w:p>
    <w:p>
      <w:pPr>
        <w:pStyle w:val="BodyText"/>
        <w:spacing w:line="240" w:lineRule="auto" w:before="13"/>
        <w:ind w:left="557" w:right="98"/>
        <w:jc w:val="left"/>
      </w:pPr>
      <w:r>
        <w:rPr/>
        <w:t>合并方为进行企业合并发生的各项直接费用，于发生时计入当期损益。</w:t>
      </w:r>
    </w:p>
    <w:p>
      <w:pPr>
        <w:spacing w:line="264" w:lineRule="auto" w:before="44"/>
        <w:ind w:left="557" w:right="9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）非同一控制下企业合并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参与合并的企业在合并前后不受同一方或相同的多方最终控制的，为非同一控制下的企业合</w:t>
      </w:r>
    </w:p>
    <w:p>
      <w:pPr>
        <w:pStyle w:val="BodyText"/>
        <w:spacing w:line="278" w:lineRule="auto" w:before="25"/>
        <w:ind w:right="219"/>
        <w:jc w:val="both"/>
      </w:pPr>
      <w:r>
        <w:rPr>
          <w:spacing w:val="-2"/>
        </w:rPr>
        <w:t>并。非同一控制下的企业合并，在购买日取得对其他参与合并企业控制权的一方为购买方，参与</w:t>
      </w:r>
      <w:r>
        <w:rPr>
          <w:spacing w:val="-25"/>
        </w:rPr>
        <w:t> </w:t>
      </w:r>
      <w:r>
        <w:rPr>
          <w:spacing w:val="-25"/>
        </w:rPr>
      </w:r>
      <w:r>
        <w:rPr/>
        <w:t>合并的其他企业为被购买方。购买日，是指为购买方实际取得对被购买方控制权的日期。</w:t>
      </w:r>
    </w:p>
    <w:p>
      <w:pPr>
        <w:pStyle w:val="BodyText"/>
        <w:spacing w:line="278" w:lineRule="auto" w:before="10"/>
        <w:ind w:right="98" w:firstLine="420"/>
        <w:jc w:val="left"/>
      </w:pPr>
      <w:r>
        <w:rPr>
          <w:spacing w:val="-2"/>
        </w:rPr>
        <w:t>对于非同一控制下的企业合并，合并成本包含购买日购买方为取得对被购买方的控制权而付</w:t>
      </w:r>
      <w:r>
        <w:rPr>
          <w:w w:val="100"/>
        </w:rPr>
        <w:t> </w:t>
      </w:r>
      <w:r>
        <w:rPr>
          <w:spacing w:val="-2"/>
        </w:rPr>
        <w:t>出的资产、发生或承担的负债以及发行的权益性证券的公允价值，为企业合并发生的审计、法律</w:t>
      </w:r>
      <w:r>
        <w:rPr>
          <w:spacing w:val="-25"/>
        </w:rPr>
        <w:t> </w:t>
      </w:r>
      <w:r>
        <w:rPr>
          <w:spacing w:val="-25"/>
        </w:rPr>
      </w:r>
      <w:r>
        <w:rPr>
          <w:spacing w:val="-2"/>
        </w:rPr>
        <w:t>服务、评估咨询等中介费用以及其他管理费用于发生时计入当期损益。购买方作为合并对价发行</w:t>
      </w:r>
      <w:r>
        <w:rPr>
          <w:spacing w:val="-25"/>
        </w:rPr>
        <w:t> </w:t>
      </w:r>
      <w:r>
        <w:rPr>
          <w:spacing w:val="-25"/>
        </w:rPr>
      </w:r>
      <w:r>
        <w:rPr>
          <w:spacing w:val="-2"/>
        </w:rPr>
        <w:t>的权益性证券或债务性证券的交易费用，计入权益性证券或债务性证券的初始确认金额。所涉及</w:t>
      </w:r>
      <w:r>
        <w:rPr>
          <w:spacing w:val="-25"/>
        </w:rPr>
        <w:t> </w:t>
      </w:r>
      <w:r>
        <w:rPr>
          <w:spacing w:val="-25"/>
        </w:rPr>
      </w:r>
      <w:r>
        <w:rPr/>
        <w:t>的或有对价按其在购买日的公允价值计入合并成本，购买日后</w:t>
      </w:r>
      <w:r>
        <w:rPr>
          <w:spacing w:val="-54"/>
        </w:rPr>
        <w:t> </w:t>
      </w:r>
      <w:r>
        <w:rPr>
          <w:rFonts w:ascii="Arial" w:hAnsi="Arial" w:cs="Arial" w:eastAsia="Arial" w:hint="default"/>
        </w:rPr>
        <w:t>12</w:t>
      </w:r>
      <w:r>
        <w:rPr>
          <w:rFonts w:ascii="Arial" w:hAnsi="Arial" w:cs="Arial" w:eastAsia="Arial" w:hint="default"/>
          <w:spacing w:val="-10"/>
        </w:rPr>
        <w:t> </w:t>
      </w:r>
      <w:r>
        <w:rPr/>
        <w:t>个月内出现对购买日已存在情</w:t>
      </w:r>
      <w:r>
        <w:rPr>
          <w:w w:val="100"/>
        </w:rPr>
        <w:t> </w:t>
      </w:r>
      <w:r>
        <w:rPr>
          <w:spacing w:val="-2"/>
        </w:rPr>
        <w:t>况的新的或进一步证据而需要调整或有对价的，相应调整合并商誉。购买方发生的合并成本及在</w:t>
      </w:r>
      <w:r>
        <w:rPr>
          <w:spacing w:val="-24"/>
        </w:rPr>
        <w:t> </w:t>
      </w:r>
      <w:r>
        <w:rPr>
          <w:spacing w:val="-24"/>
        </w:rPr>
      </w:r>
      <w:r>
        <w:rPr>
          <w:spacing w:val="-2"/>
        </w:rPr>
        <w:t>合并中取得的可辨认净资产按购买日的公允价值计量。合并成本大于合并中取得的被购买方于购</w:t>
      </w:r>
      <w:r>
        <w:rPr>
          <w:spacing w:val="-25"/>
        </w:rPr>
        <w:t> </w:t>
      </w:r>
      <w:r>
        <w:rPr>
          <w:spacing w:val="-25"/>
        </w:rPr>
      </w:r>
      <w:r>
        <w:rPr>
          <w:spacing w:val="-2"/>
        </w:rPr>
        <w:t>买日可辨认净资产公允价值份额的差额，确认为商誉。合并成本小于合并中取得的被购买方可辨</w:t>
      </w:r>
      <w:r>
        <w:rPr>
          <w:spacing w:val="-25"/>
        </w:rPr>
        <w:t> </w:t>
      </w:r>
      <w:r>
        <w:rPr>
          <w:spacing w:val="-25"/>
        </w:rPr>
      </w:r>
      <w:r>
        <w:rPr>
          <w:spacing w:val="-2"/>
        </w:rPr>
        <w:t>认净资产公允价值份额的，首先对取得的被购买方各项可辨认资产、负债及或有负债的公允价值</w:t>
      </w:r>
      <w:r>
        <w:rPr>
          <w:spacing w:val="-25"/>
        </w:rPr>
        <w:t> </w:t>
      </w:r>
      <w:r>
        <w:rPr>
          <w:spacing w:val="-25"/>
        </w:rPr>
      </w:r>
      <w:r>
        <w:rPr>
          <w:spacing w:val="-2"/>
        </w:rPr>
        <w:t>以及合并成本的计量进行复核，复核后合并成本仍小于合并中取得的被购买方可辨认净资产公允</w:t>
      </w:r>
      <w:r>
        <w:rPr>
          <w:spacing w:val="-25"/>
        </w:rPr>
        <w:t> </w:t>
      </w:r>
      <w:r>
        <w:rPr>
          <w:spacing w:val="-25"/>
        </w:rPr>
      </w:r>
      <w:r>
        <w:rPr/>
        <w:t>价值份额的，其差额计入当期损益。</w:t>
      </w:r>
    </w:p>
    <w:p>
      <w:pPr>
        <w:pStyle w:val="BodyText"/>
        <w:spacing w:line="276" w:lineRule="auto" w:before="10"/>
        <w:ind w:right="209" w:firstLine="420"/>
        <w:jc w:val="both"/>
      </w:pPr>
      <w:r>
        <w:rPr>
          <w:spacing w:val="-2"/>
        </w:rPr>
        <w:t>购买方取得被购买方的可抵扣暂时性差异，在购买日因不符合递延所得税资产确认条件而未</w:t>
      </w:r>
      <w:r>
        <w:rPr>
          <w:w w:val="100"/>
        </w:rPr>
        <w:t> </w:t>
      </w:r>
      <w:r>
        <w:rPr>
          <w:spacing w:val="-7"/>
        </w:rPr>
        <w:t>予确认的，在购买日后 </w:t>
      </w:r>
      <w:r>
        <w:rPr>
          <w:rFonts w:ascii="Arial" w:hAnsi="Arial" w:cs="Arial" w:eastAsia="Arial" w:hint="default"/>
        </w:rPr>
        <w:t>12 </w:t>
      </w:r>
      <w:r>
        <w:rPr>
          <w:spacing w:val="-4"/>
        </w:rPr>
        <w:t>个月内，如取得新的或进一步的信息表明购买日的相关情况已经存在，</w:t>
      </w:r>
      <w:r>
        <w:rPr>
          <w:spacing w:val="-87"/>
        </w:rPr>
        <w:t> </w:t>
      </w:r>
      <w:r>
        <w:rPr>
          <w:spacing w:val="-87"/>
        </w:rPr>
      </w:r>
      <w:r>
        <w:rPr>
          <w:spacing w:val="-2"/>
        </w:rPr>
        <w:t>预期被购买方在购买日可抵扣暂时性差异带来的经济利益能够实现的，则确认相关的递延所得税</w:t>
      </w:r>
      <w:r>
        <w:rPr>
          <w:spacing w:val="-25"/>
        </w:rPr>
        <w:t> </w:t>
      </w:r>
      <w:r>
        <w:rPr>
          <w:spacing w:val="-25"/>
        </w:rPr>
      </w:r>
      <w:r>
        <w:rPr>
          <w:spacing w:val="-2"/>
        </w:rPr>
        <w:t>资产，同时减少商誉，商誉不足冲减的，差额部分确认为当期损益；除上述情况以外，确认与企</w:t>
      </w:r>
      <w:r>
        <w:rPr>
          <w:spacing w:val="-25"/>
        </w:rPr>
        <w:t> </w:t>
      </w:r>
      <w:r>
        <w:rPr>
          <w:spacing w:val="-25"/>
        </w:rPr>
      </w:r>
      <w:r>
        <w:rPr/>
        <w:t>业合并相关的递延所得税资产的，计入当期损益。</w:t>
      </w:r>
    </w:p>
    <w:p>
      <w:pPr>
        <w:pStyle w:val="BodyText"/>
        <w:spacing w:line="268" w:lineRule="auto" w:before="15"/>
        <w:ind w:right="98" w:firstLine="420"/>
        <w:jc w:val="left"/>
      </w:pPr>
      <w:r>
        <w:rPr/>
        <w:t>通过多次交易分步实现的非同一控制下企业合并，根据《财政部关于印发企业会计准则解释</w:t>
      </w:r>
      <w:r>
        <w:rPr>
          <w:w w:val="100"/>
        </w:rPr>
        <w:t> </w:t>
      </w:r>
      <w:r>
        <w:rPr/>
        <w:t>第</w:t>
      </w:r>
      <w:r>
        <w:rPr>
          <w:spacing w:val="-48"/>
        </w:rPr>
        <w:t> </w:t>
      </w:r>
      <w:r>
        <w:rPr>
          <w:rFonts w:ascii="Arial" w:hAnsi="Arial" w:cs="Arial" w:eastAsia="Arial" w:hint="default"/>
        </w:rPr>
        <w:t>5</w:t>
      </w:r>
      <w:r>
        <w:rPr>
          <w:rFonts w:ascii="Arial" w:hAnsi="Arial" w:cs="Arial" w:eastAsia="Arial" w:hint="default"/>
          <w:spacing w:val="-5"/>
        </w:rPr>
        <w:t> </w:t>
      </w:r>
      <w:r>
        <w:rPr>
          <w:spacing w:val="-3"/>
        </w:rPr>
        <w:t>号的通知》（财会〔</w:t>
      </w:r>
      <w:r>
        <w:rPr>
          <w:rFonts w:ascii="Arial" w:hAnsi="Arial" w:cs="Arial" w:eastAsia="Arial" w:hint="default"/>
          <w:spacing w:val="-3"/>
        </w:rPr>
        <w:t>2012</w:t>
      </w:r>
      <w:r>
        <w:rPr>
          <w:spacing w:val="-3"/>
        </w:rPr>
        <w:t>〕</w:t>
      </w:r>
      <w:r>
        <w:rPr>
          <w:rFonts w:ascii="Arial" w:hAnsi="Arial" w:cs="Arial" w:eastAsia="Arial" w:hint="default"/>
          <w:spacing w:val="-3"/>
        </w:rPr>
        <w:t>19 </w:t>
      </w:r>
      <w:r>
        <w:rPr>
          <w:spacing w:val="-3"/>
        </w:rPr>
        <w:t>号）和《企业会计准则第</w:t>
      </w:r>
      <w:r>
        <w:rPr>
          <w:spacing w:val="-50"/>
        </w:rPr>
        <w:t> </w:t>
      </w:r>
      <w:r>
        <w:rPr>
          <w:rFonts w:ascii="Arial" w:hAnsi="Arial" w:cs="Arial" w:eastAsia="Arial" w:hint="default"/>
        </w:rPr>
        <w:t>33</w:t>
      </w:r>
      <w:r>
        <w:rPr>
          <w:rFonts w:ascii="Arial" w:hAnsi="Arial" w:cs="Arial" w:eastAsia="Arial" w:hint="default"/>
          <w:spacing w:val="-3"/>
        </w:rPr>
        <w:t> </w:t>
      </w:r>
      <w:r>
        <w:rPr/>
        <w:t>号</w:t>
      </w:r>
      <w:r>
        <w:rPr>
          <w:rFonts w:ascii="Arial" w:hAnsi="Arial" w:cs="Arial" w:eastAsia="Arial" w:hint="default"/>
        </w:rPr>
        <w:t>——</w:t>
      </w:r>
      <w:r>
        <w:rPr/>
        <w:t>合并财务报表》第五十一</w:t>
      </w:r>
      <w:r>
        <w:rPr>
          <w:spacing w:val="-96"/>
        </w:rPr>
        <w:t> </w:t>
      </w:r>
      <w:r>
        <w:rPr>
          <w:spacing w:val="-96"/>
        </w:rPr>
      </w:r>
      <w:r>
        <w:rPr/>
        <w:t>条关于“一揽子交易”的判断标准（参见本附注五、</w:t>
      </w:r>
      <w:r>
        <w:rPr>
          <w:rFonts w:ascii="Arial" w:hAnsi="Arial" w:cs="Arial" w:eastAsia="Arial" w:hint="default"/>
        </w:rPr>
        <w:t>6</w:t>
      </w:r>
      <w:r>
        <w:rPr/>
        <w:t>（</w:t>
      </w:r>
      <w:r>
        <w:rPr>
          <w:rFonts w:ascii="Arial" w:hAnsi="Arial" w:cs="Arial" w:eastAsia="Arial" w:hint="default"/>
        </w:rPr>
        <w:t>2</w:t>
      </w:r>
      <w:r>
        <w:rPr/>
        <w:t>）），判断该多次交易是否属于“一揽</w:t>
      </w:r>
      <w:r>
        <w:rPr>
          <w:w w:val="100"/>
        </w:rPr>
        <w:t> </w:t>
      </w:r>
      <w:r>
        <w:rPr/>
        <w:t>子交易”。属于“一揽子交易”的，参考本部分前面各段描述及本附注五、</w:t>
      </w:r>
      <w:r>
        <w:rPr>
          <w:rFonts w:ascii="Arial" w:hAnsi="Arial" w:cs="Arial" w:eastAsia="Arial" w:hint="default"/>
        </w:rPr>
        <w:t>20</w:t>
      </w:r>
      <w:r>
        <w:rPr/>
        <w:t>“长期股权投资”</w:t>
      </w:r>
      <w:r>
        <w:rPr>
          <w:spacing w:val="-16"/>
        </w:rPr>
        <w:t> </w:t>
      </w:r>
      <w:r>
        <w:rPr>
          <w:spacing w:val="-16"/>
        </w:rPr>
      </w:r>
      <w:r>
        <w:rPr>
          <w:spacing w:val="-7"/>
        </w:rPr>
        <w:t>进行会计处理；不属于“一揽子交易”的，区分个别财务报表和合并财务报表进行相关会计处理：</w:t>
      </w:r>
    </w:p>
    <w:p>
      <w:pPr>
        <w:pStyle w:val="BodyText"/>
        <w:spacing w:line="280" w:lineRule="auto" w:before="19"/>
        <w:ind w:right="209" w:firstLine="420"/>
        <w:jc w:val="both"/>
      </w:pPr>
      <w:r>
        <w:rPr>
          <w:spacing w:val="-2"/>
        </w:rPr>
        <w:t>在个别财务报表中，以购买日之前所持被购买方的股权投资的账面价值与购买日新增投资成</w:t>
      </w:r>
      <w:r>
        <w:rPr>
          <w:w w:val="100"/>
        </w:rPr>
        <w:t> </w:t>
      </w:r>
      <w:r>
        <w:rPr>
          <w:spacing w:val="-6"/>
          <w:w w:val="100"/>
        </w:rPr>
        <w:t>本之和，作为该项投资的初始投资成本；购买日之前持有的被购买方的股权涉及其他综合收益的，</w:t>
      </w:r>
      <w:r>
        <w:rPr>
          <w:w w:val="100"/>
        </w:rPr>
        <w:t> </w:t>
      </w:r>
      <w:r>
        <w:rPr>
          <w:spacing w:val="-2"/>
        </w:rPr>
        <w:t>在处置该项投资时将与其相关的其他综合收益采用与被购买方直接处置相关资产或负债相同的基</w:t>
      </w:r>
      <w:r>
        <w:rPr>
          <w:spacing w:val="-25"/>
        </w:rPr>
        <w:t> </w:t>
      </w:r>
      <w:r>
        <w:rPr>
          <w:spacing w:val="-25"/>
        </w:rPr>
      </w:r>
      <w:r>
        <w:rPr>
          <w:spacing w:val="-2"/>
        </w:rPr>
        <w:t>础进行会计处理（即，除了按照权益法核算的在被购买方重新计量设定受益计划净负债或净资产</w:t>
      </w:r>
      <w:r>
        <w:rPr>
          <w:spacing w:val="-25"/>
        </w:rPr>
        <w:t> </w:t>
      </w:r>
      <w:r>
        <w:rPr>
          <w:spacing w:val="-25"/>
        </w:rPr>
      </w:r>
      <w:r>
        <w:rPr/>
        <w:t>导致的变动中的相应份额以外，其余转入当期投资收益）。</w:t>
      </w:r>
    </w:p>
    <w:p>
      <w:pPr>
        <w:pStyle w:val="BodyText"/>
        <w:spacing w:line="280" w:lineRule="auto" w:before="8"/>
        <w:ind w:right="218" w:firstLine="420"/>
        <w:jc w:val="both"/>
      </w:pPr>
      <w:r>
        <w:rPr>
          <w:spacing w:val="-2"/>
        </w:rPr>
        <w:t>在合并财务报表中，对于购买日之前持有的被购买方的股权，按照该股权在购买日的公允价</w:t>
      </w:r>
      <w:r>
        <w:rPr>
          <w:w w:val="100"/>
        </w:rPr>
        <w:t> </w:t>
      </w:r>
      <w:r>
        <w:rPr>
          <w:spacing w:val="-2"/>
        </w:rPr>
        <w:t>值进行重新计量，公允价值与其账面价值的差额计入当期投资收益；购买日之前持有的被购买方</w:t>
      </w:r>
      <w:r>
        <w:rPr>
          <w:spacing w:val="-25"/>
        </w:rPr>
        <w:t> </w:t>
      </w:r>
      <w:r>
        <w:rPr>
          <w:spacing w:val="-25"/>
        </w:rPr>
      </w:r>
      <w:r>
        <w:rPr>
          <w:spacing w:val="-2"/>
        </w:rPr>
        <w:t>的股权涉及其他综合收益的，与其相关的其他综合收益应当采用与被购买方直接处置相关资产或</w:t>
      </w:r>
    </w:p>
    <w:p>
      <w:pPr>
        <w:spacing w:after="0" w:line="280" w:lineRule="auto"/>
        <w:jc w:val="both"/>
        <w:sectPr>
          <w:pgSz w:w="11910" w:h="16840"/>
          <w:pgMar w:header="826" w:footer="1195" w:top="1300" w:bottom="1380" w:left="1140" w:right="1580"/>
        </w:sectPr>
      </w:pPr>
    </w:p>
    <w:p>
      <w:pPr>
        <w:spacing w:line="240" w:lineRule="auto" w:before="5"/>
        <w:rPr>
          <w:rFonts w:ascii="宋体" w:hAnsi="宋体" w:cs="宋体" w:eastAsia="宋体" w:hint="default"/>
          <w:sz w:val="8"/>
          <w:szCs w:val="8"/>
        </w:rPr>
      </w:pPr>
    </w:p>
    <w:p>
      <w:pPr>
        <w:pStyle w:val="BodyText"/>
        <w:spacing w:line="278" w:lineRule="auto" w:before="36"/>
        <w:ind w:right="219"/>
        <w:jc w:val="both"/>
        <w:rPr>
          <w:rFonts w:ascii="宋体" w:hAnsi="宋体" w:cs="宋体" w:eastAsia="宋体" w:hint="default"/>
        </w:rPr>
      </w:pPr>
      <w:r>
        <w:rPr>
          <w:spacing w:val="-2"/>
        </w:rPr>
        <w:t>负债相同的基础进行会计处理（即，除了按照权益法核算的在被购买方重新计量设定受益计划净</w:t>
      </w:r>
      <w:r>
        <w:rPr>
          <w:spacing w:val="-25"/>
        </w:rPr>
        <w:t> </w:t>
      </w:r>
      <w:r>
        <w:rPr>
          <w:spacing w:val="-25"/>
        </w:rPr>
      </w:r>
      <w:r>
        <w:rPr/>
        <w:t>负债或净资产导致的变动中的相应份额以外，其余转为购买日所属当期投资收益）。</w:t>
      </w:r>
      <w:r>
        <w:rPr>
          <w:rFonts w:ascii="宋体" w:hAnsi="宋体" w:cs="宋体" w:eastAsia="宋体" w:hint="default"/>
        </w:rPr>
        <w:t> </w:t>
      </w:r>
    </w:p>
    <w:p>
      <w:pPr>
        <w:pStyle w:val="Heading2"/>
        <w:spacing w:line="240" w:lineRule="auto" w:before="27"/>
        <w:ind w:left="136" w:right="0"/>
        <w:jc w:val="both"/>
        <w:rPr>
          <w:b w:val="0"/>
          <w:bCs w:val="0"/>
        </w:rPr>
      </w:pPr>
      <w:r>
        <w:rPr>
          <w:rFonts w:ascii="宋体" w:hAnsi="宋体" w:cs="宋体" w:eastAsia="宋体" w:hint="default"/>
        </w:rPr>
        <w:t>6. </w:t>
      </w:r>
      <w:r>
        <w:rPr>
          <w:rFonts w:ascii="宋体" w:hAnsi="宋体" w:cs="宋体" w:eastAsia="宋体" w:hint="default"/>
          <w:spacing w:val="2"/>
        </w:rPr>
        <w:t> </w:t>
      </w:r>
      <w:r>
        <w:rPr/>
        <w:t>合并财务报表的编制方法</w:t>
      </w:r>
      <w:r>
        <w:rPr>
          <w:b w:val="0"/>
          <w:bCs w:val="0"/>
        </w:rPr>
      </w:r>
    </w:p>
    <w:p>
      <w:pPr>
        <w:pStyle w:val="BodyText"/>
        <w:spacing w:line="240" w:lineRule="auto" w:before="56"/>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64" w:lineRule="auto" w:before="44"/>
        <w:ind w:left="557" w:right="9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1</w:t>
      </w:r>
      <w:r>
        <w:rPr>
          <w:rFonts w:ascii="宋体" w:hAnsi="宋体" w:cs="宋体" w:eastAsia="宋体" w:hint="default"/>
          <w:b/>
          <w:bCs/>
          <w:sz w:val="21"/>
          <w:szCs w:val="21"/>
        </w:rPr>
        <w:t>）合并财务报表范围的确定原则</w:t>
      </w:r>
      <w:r>
        <w:rPr>
          <w:rFonts w:ascii="宋体" w:hAnsi="宋体" w:cs="宋体" w:eastAsia="宋体" w:hint="default"/>
          <w:b/>
          <w:bCs/>
          <w:w w:val="100"/>
          <w:sz w:val="21"/>
          <w:szCs w:val="21"/>
        </w:rPr>
        <w:t> </w:t>
      </w:r>
      <w:r>
        <w:rPr>
          <w:rFonts w:ascii="宋体" w:hAnsi="宋体" w:cs="宋体" w:eastAsia="宋体" w:hint="default"/>
          <w:spacing w:val="-2"/>
          <w:sz w:val="21"/>
          <w:szCs w:val="21"/>
        </w:rPr>
        <w:t>合并财务报表的合并范围以控制为基础予以确定。控制是指本集团拥有对被投资方的权力，</w:t>
      </w:r>
    </w:p>
    <w:p>
      <w:pPr>
        <w:pStyle w:val="BodyText"/>
        <w:spacing w:line="280" w:lineRule="auto" w:before="23"/>
        <w:ind w:right="219"/>
        <w:jc w:val="both"/>
      </w:pPr>
      <w:r>
        <w:rPr>
          <w:spacing w:val="-2"/>
        </w:rPr>
        <w:t>通过参与被投资方的相关活动而享有可变回报，并且有能力运用对被投资方的权力影响该回报金</w:t>
      </w:r>
      <w:r>
        <w:rPr>
          <w:spacing w:val="-25"/>
        </w:rPr>
        <w:t> </w:t>
      </w:r>
      <w:r>
        <w:rPr>
          <w:spacing w:val="-25"/>
        </w:rPr>
      </w:r>
      <w:r>
        <w:rPr/>
        <w:t>额。合并范围包括本公司及全部子公司。子公司，是指被本集团控制的主体。</w:t>
      </w:r>
    </w:p>
    <w:p>
      <w:pPr>
        <w:pStyle w:val="BodyText"/>
        <w:spacing w:line="278" w:lineRule="auto" w:before="8"/>
        <w:ind w:right="218" w:firstLine="420"/>
        <w:jc w:val="both"/>
      </w:pPr>
      <w:r>
        <w:rPr>
          <w:spacing w:val="-2"/>
        </w:rPr>
        <w:t>一旦相关事实和情况的变化导致上述控制定义涉及的相关要素发生了变化，本集团将进行重</w:t>
      </w:r>
      <w:r>
        <w:rPr>
          <w:w w:val="100"/>
        </w:rPr>
        <w:t> </w:t>
      </w:r>
      <w:r>
        <w:rPr/>
        <w:t>新评估。</w:t>
      </w:r>
    </w:p>
    <w:p>
      <w:pPr>
        <w:spacing w:line="264" w:lineRule="auto" w:before="13"/>
        <w:ind w:left="557" w:right="9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）合并财务报表编制的方法</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从取得子公司的净资产和生产经营决策的实际控制权之日起，本集团开始将其纳入合并范围；</w:t>
      </w:r>
    </w:p>
    <w:p>
      <w:pPr>
        <w:pStyle w:val="BodyText"/>
        <w:spacing w:line="280" w:lineRule="auto" w:before="24"/>
        <w:ind w:right="106"/>
        <w:jc w:val="both"/>
      </w:pPr>
      <w:r>
        <w:rPr/>
        <w:t>从丧失实际控制权之日起停止纳入合并范围。对于处置的子公司，处置日前的经营成果和现金流</w:t>
      </w:r>
      <w:r>
        <w:rPr>
          <w:w w:val="100"/>
        </w:rPr>
        <w:t> </w:t>
      </w:r>
      <w:r>
        <w:rPr/>
        <w:t>量已经适当地包括在合并利润表和合并现金流量表中；当期处置的子公司，不调整合并资产负债</w:t>
      </w:r>
      <w:r>
        <w:rPr>
          <w:w w:val="100"/>
        </w:rPr>
        <w:t> </w:t>
      </w:r>
      <w:r>
        <w:rPr/>
        <w:t>表的期初数。非同一控制下企业合并增加的子公司，其购买日后的经营成果及现金流量已经适当</w:t>
      </w:r>
      <w:r>
        <w:rPr>
          <w:w w:val="100"/>
        </w:rPr>
        <w:t> </w:t>
      </w:r>
      <w:r>
        <w:rPr/>
        <w:t>地包括在合并利润表和合并现金流量表中，且不调整合并财务报表的期初数和对比数。同一控制</w:t>
      </w:r>
      <w:r>
        <w:rPr>
          <w:w w:val="100"/>
        </w:rPr>
        <w:t> </w:t>
      </w:r>
      <w:r>
        <w:rPr/>
        <w:t>下企业合并增加的子公司及吸收合并下的被合并方，其自合并当期期初至合并日的经营成果和现</w:t>
      </w:r>
      <w:r>
        <w:rPr>
          <w:w w:val="100"/>
        </w:rPr>
        <w:t> </w:t>
      </w:r>
      <w:r>
        <w:rPr>
          <w:spacing w:val="-4"/>
          <w:w w:val="100"/>
        </w:rPr>
        <w:t>金流量已经适当地包括在合并利润表和合并现金流量表中，并且同时调整合并财务报表的对比数。</w:t>
      </w:r>
    </w:p>
    <w:p>
      <w:pPr>
        <w:pStyle w:val="BodyText"/>
        <w:spacing w:line="280" w:lineRule="auto" w:before="8"/>
        <w:ind w:right="218" w:firstLine="420"/>
        <w:jc w:val="both"/>
      </w:pPr>
      <w:r>
        <w:rPr>
          <w:spacing w:val="-2"/>
        </w:rPr>
        <w:t>在编制合并财务报表时，子公司与本公司采用的会计政策或会计期间不一致的，按照本公司</w:t>
      </w:r>
      <w:r>
        <w:rPr>
          <w:w w:val="100"/>
        </w:rPr>
        <w:t> </w:t>
      </w:r>
      <w:r>
        <w:rPr>
          <w:spacing w:val="-2"/>
        </w:rPr>
        <w:t>的会计政策和会计期间对子公司财务报表进行必要的调整。对于非同一控制下企业合并取得的子</w:t>
      </w:r>
      <w:r>
        <w:rPr>
          <w:spacing w:val="-25"/>
        </w:rPr>
        <w:t> </w:t>
      </w:r>
      <w:r>
        <w:rPr>
          <w:spacing w:val="-25"/>
        </w:rPr>
      </w:r>
      <w:r>
        <w:rPr/>
        <w:t>公司，以购买日可辨认净资产公允价值为基础对其财务报表进行调整。</w:t>
      </w:r>
    </w:p>
    <w:p>
      <w:pPr>
        <w:pStyle w:val="BodyText"/>
        <w:spacing w:line="280" w:lineRule="auto" w:before="8"/>
        <w:ind w:left="557" w:right="98"/>
        <w:jc w:val="left"/>
      </w:pPr>
      <w:r>
        <w:rPr/>
        <w:t>集团内所有重大往来余额、交易及未实现利润在合并财务报表编制时予以抵销。</w:t>
      </w:r>
      <w:r>
        <w:rPr>
          <w:w w:val="100"/>
        </w:rPr>
        <w:t> </w:t>
      </w:r>
      <w:r>
        <w:rPr>
          <w:spacing w:val="-2"/>
        </w:rPr>
        <w:t>子公司的股东权益及当期净损益中不属于本公司所拥有的部分分别作为少数股东权益及少数</w:t>
      </w:r>
    </w:p>
    <w:p>
      <w:pPr>
        <w:pStyle w:val="BodyText"/>
        <w:spacing w:line="280" w:lineRule="auto" w:before="8"/>
        <w:ind w:right="219"/>
        <w:jc w:val="both"/>
      </w:pPr>
      <w:r>
        <w:rPr>
          <w:spacing w:val="-2"/>
        </w:rPr>
        <w:t>股东损益在合并财务报表中股东权益及净利润项下单独列示。子公司当期净损益中属于少数股东</w:t>
      </w:r>
      <w:r>
        <w:rPr>
          <w:spacing w:val="-25"/>
        </w:rPr>
        <w:t> </w:t>
      </w:r>
      <w:r>
        <w:rPr>
          <w:spacing w:val="-25"/>
        </w:rPr>
      </w:r>
      <w:r>
        <w:rPr>
          <w:spacing w:val="-2"/>
        </w:rPr>
        <w:t>权益的份额，在合并利润表中净利润项目下以“少数股东损益”项目列示。少数股东分担的子公</w:t>
      </w:r>
      <w:r>
        <w:rPr>
          <w:spacing w:val="-25"/>
        </w:rPr>
        <w:t> </w:t>
      </w:r>
      <w:r>
        <w:rPr>
          <w:spacing w:val="-25"/>
        </w:rPr>
      </w:r>
      <w:r>
        <w:rPr/>
        <w:t>司的亏损超过了少数股东在该子公司期初股东权益中所享有的份额，仍冲减少数股东权益。</w:t>
      </w:r>
    </w:p>
    <w:p>
      <w:pPr>
        <w:pStyle w:val="BodyText"/>
        <w:spacing w:line="276" w:lineRule="auto" w:before="8"/>
        <w:ind w:right="208" w:firstLine="420"/>
        <w:jc w:val="both"/>
      </w:pPr>
      <w:r>
        <w:rPr>
          <w:spacing w:val="-2"/>
        </w:rPr>
        <w:t>当因处置部分股权投资或其他原因丧失了对原有子公司的控制权时，对于剩余股权，按照其</w:t>
      </w:r>
      <w:r>
        <w:rPr>
          <w:w w:val="100"/>
        </w:rPr>
        <w:t> </w:t>
      </w:r>
      <w:r>
        <w:rPr>
          <w:spacing w:val="-2"/>
        </w:rPr>
        <w:t>在丧失控制权日的公允价值进行重新计量。处置股权取得的对价与剩余股权公允价值之和，减去</w:t>
      </w:r>
      <w:r>
        <w:rPr>
          <w:spacing w:val="-25"/>
        </w:rPr>
        <w:t> </w:t>
      </w:r>
      <w:r>
        <w:rPr>
          <w:spacing w:val="-25"/>
        </w:rPr>
      </w:r>
      <w:r>
        <w:rPr>
          <w:spacing w:val="-2"/>
        </w:rPr>
        <w:t>按原持股比例计算应享有原有子公司自购买日开始持续计算的净资产的份额之间的差额，计入丧</w:t>
      </w:r>
      <w:r>
        <w:rPr>
          <w:spacing w:val="-25"/>
        </w:rPr>
        <w:t> </w:t>
      </w:r>
      <w:r>
        <w:rPr>
          <w:spacing w:val="-25"/>
        </w:rPr>
      </w:r>
      <w:r>
        <w:rPr>
          <w:spacing w:val="-2"/>
        </w:rPr>
        <w:t>失控制权当期的投资收益。与原有子公司股权投资相关的其他综合收益，在丧失控制权时采用与</w:t>
      </w:r>
      <w:r>
        <w:rPr>
          <w:spacing w:val="-25"/>
        </w:rPr>
        <w:t> </w:t>
      </w:r>
      <w:r>
        <w:rPr>
          <w:spacing w:val="-25"/>
        </w:rPr>
      </w:r>
      <w:r>
        <w:rPr>
          <w:spacing w:val="-2"/>
        </w:rPr>
        <w:t>被购买方直接处置相关资产或负债相同的基础进行会计处理（即，除了在该原有子公司重新计量</w:t>
      </w:r>
      <w:r>
        <w:rPr>
          <w:spacing w:val="-25"/>
        </w:rPr>
        <w:t> </w:t>
      </w:r>
      <w:r>
        <w:rPr>
          <w:spacing w:val="-25"/>
        </w:rPr>
      </w:r>
      <w:r>
        <w:rPr>
          <w:spacing w:val="-2"/>
        </w:rPr>
        <w:t>设定受益计划净负债或净资产导致的变动以外，其余一并转为当期投资收益）。其后，对该部分</w:t>
      </w:r>
      <w:r>
        <w:rPr>
          <w:spacing w:val="-25"/>
        </w:rPr>
        <w:t> </w:t>
      </w:r>
      <w:r>
        <w:rPr>
          <w:spacing w:val="-25"/>
        </w:rPr>
      </w:r>
      <w:r>
        <w:rPr/>
        <w:t>剩余股权按照《企业会计准则第</w:t>
      </w:r>
      <w:r>
        <w:rPr>
          <w:spacing w:val="-53"/>
        </w:rPr>
        <w:t> </w:t>
      </w:r>
      <w:r>
        <w:rPr>
          <w:rFonts w:ascii="Arial" w:hAnsi="Arial" w:cs="Arial" w:eastAsia="Arial" w:hint="default"/>
        </w:rPr>
        <w:t>2</w:t>
      </w:r>
      <w:r>
        <w:rPr>
          <w:rFonts w:ascii="Arial" w:hAnsi="Arial" w:cs="Arial" w:eastAsia="Arial" w:hint="default"/>
          <w:spacing w:val="-9"/>
        </w:rPr>
        <w:t> </w:t>
      </w:r>
      <w:r>
        <w:rPr/>
        <w:t>号</w:t>
      </w:r>
      <w:r>
        <w:rPr>
          <w:rFonts w:ascii="Arial" w:hAnsi="Arial" w:cs="Arial" w:eastAsia="Arial" w:hint="default"/>
        </w:rPr>
        <w:t>——</w:t>
      </w:r>
      <w:r>
        <w:rPr/>
        <w:t>长期股权投资》或《企业会计准则第</w:t>
      </w:r>
      <w:r>
        <w:rPr>
          <w:spacing w:val="-54"/>
        </w:rPr>
        <w:t> </w:t>
      </w:r>
      <w:r>
        <w:rPr>
          <w:rFonts w:ascii="Arial" w:hAnsi="Arial" w:cs="Arial" w:eastAsia="Arial" w:hint="default"/>
        </w:rPr>
        <w:t>22</w:t>
      </w:r>
      <w:r>
        <w:rPr>
          <w:rFonts w:ascii="Arial" w:hAnsi="Arial" w:cs="Arial" w:eastAsia="Arial" w:hint="default"/>
          <w:spacing w:val="-9"/>
        </w:rPr>
        <w:t> </w:t>
      </w:r>
      <w:r>
        <w:rPr/>
        <w:t>号</w:t>
      </w:r>
      <w:r>
        <w:rPr>
          <w:rFonts w:ascii="Arial" w:hAnsi="Arial" w:cs="Arial" w:eastAsia="Arial" w:hint="default"/>
        </w:rPr>
        <w:t>——</w:t>
      </w:r>
      <w:r>
        <w:rPr/>
        <w:t>金融工</w:t>
      </w:r>
      <w:r>
        <w:rPr>
          <w:w w:val="100"/>
        </w:rPr>
        <w:t> </w:t>
      </w:r>
      <w:r>
        <w:rPr>
          <w:spacing w:val="-3"/>
        </w:rPr>
        <w:t>具确认和计量》等相关规定进行后续计量，详见本附注五、</w:t>
      </w:r>
      <w:r>
        <w:rPr>
          <w:rFonts w:ascii="Arial" w:hAnsi="Arial" w:cs="Arial" w:eastAsia="Arial" w:hint="default"/>
          <w:spacing w:val="-3"/>
        </w:rPr>
        <w:t>20</w:t>
      </w:r>
      <w:r>
        <w:rPr>
          <w:spacing w:val="-3"/>
        </w:rPr>
        <w:t>“长期股权投资”或本附注五、</w:t>
      </w:r>
      <w:r>
        <w:rPr>
          <w:rFonts w:ascii="Arial" w:hAnsi="Arial" w:cs="Arial" w:eastAsia="Arial" w:hint="default"/>
          <w:spacing w:val="-3"/>
        </w:rPr>
        <w:t>10</w:t>
      </w:r>
      <w:r>
        <w:rPr>
          <w:rFonts w:ascii="Arial" w:hAnsi="Arial" w:cs="Arial" w:eastAsia="Arial" w:hint="default"/>
          <w:spacing w:val="29"/>
        </w:rPr>
        <w:t> </w:t>
      </w:r>
      <w:r>
        <w:rPr/>
        <w:t>“金融工具”。</w:t>
      </w:r>
    </w:p>
    <w:p>
      <w:pPr>
        <w:pStyle w:val="BodyText"/>
        <w:spacing w:line="278" w:lineRule="auto" w:before="13"/>
        <w:ind w:right="209" w:firstLine="420"/>
        <w:jc w:val="both"/>
      </w:pPr>
      <w:r>
        <w:rPr>
          <w:spacing w:val="-2"/>
        </w:rPr>
        <w:t>本公司通过多次交易分步处置对子公司股权投资直至丧失控制权的，需区分处置对子公司股</w:t>
      </w:r>
      <w:r>
        <w:rPr>
          <w:w w:val="100"/>
        </w:rPr>
        <w:t> </w:t>
      </w:r>
      <w:r>
        <w:rPr>
          <w:spacing w:val="-2"/>
        </w:rPr>
        <w:t>权投资直至丧失控制权的各项交易是否属于一揽子交易。处置对子公司股权投资的各项交易的条</w:t>
      </w:r>
      <w:r>
        <w:rPr>
          <w:spacing w:val="-25"/>
        </w:rPr>
        <w:t> </w:t>
      </w:r>
      <w:r>
        <w:rPr>
          <w:spacing w:val="-25"/>
        </w:rPr>
      </w:r>
      <w:r>
        <w:rPr>
          <w:spacing w:val="-2"/>
        </w:rPr>
        <w:t>款、条件以及经济影响符合以下一种或多种情况，通常表明应将多次交易事项作为一揽子交易进</w:t>
      </w:r>
      <w:r>
        <w:rPr>
          <w:spacing w:val="-25"/>
        </w:rPr>
        <w:t> </w:t>
      </w:r>
      <w:r>
        <w:rPr>
          <w:spacing w:val="-25"/>
        </w:rPr>
      </w:r>
      <w:r>
        <w:rPr>
          <w:spacing w:val="-2"/>
        </w:rPr>
        <w:t>行会计处理：①这些交易是同时或者在考虑了彼此影响的情况下订立的；②这些交易整体才能达</w:t>
      </w:r>
      <w:r>
        <w:rPr>
          <w:spacing w:val="-25"/>
        </w:rPr>
        <w:t> </w:t>
      </w:r>
      <w:r>
        <w:rPr>
          <w:spacing w:val="-25"/>
        </w:rPr>
      </w:r>
      <w:r>
        <w:rPr>
          <w:spacing w:val="-2"/>
        </w:rPr>
        <w:t>成一项完整的商业结果；③一项交易的发生取决于其他至少一项交易的发生；④一项交易单独看</w:t>
      </w:r>
      <w:r>
        <w:rPr>
          <w:spacing w:val="-25"/>
        </w:rPr>
        <w:t> </w:t>
      </w:r>
      <w:r>
        <w:rPr>
          <w:spacing w:val="-25"/>
        </w:rPr>
      </w:r>
      <w:r>
        <w:rPr>
          <w:spacing w:val="-2"/>
        </w:rPr>
        <w:t>是不经济的，但是和其他交易一并考虑时是经济的。不属于一揽子交易的，对其中的每一项交易</w:t>
      </w:r>
      <w:r>
        <w:rPr>
          <w:spacing w:val="-25"/>
        </w:rPr>
        <w:t> </w:t>
      </w:r>
      <w:r>
        <w:rPr>
          <w:spacing w:val="-25"/>
        </w:rPr>
      </w:r>
      <w:r>
        <w:rPr>
          <w:spacing w:val="-2"/>
        </w:rPr>
        <w:t>视情况分别按照“不丧失控制权的情况下部分处置对子公司的长期股权投资”（详见本附注五、</w:t>
      </w:r>
      <w:r>
        <w:rPr>
          <w:spacing w:val="-25"/>
        </w:rPr>
        <w:t> </w:t>
      </w:r>
      <w:r>
        <w:rPr>
          <w:spacing w:val="-25"/>
        </w:rPr>
      </w:r>
      <w:r>
        <w:rPr>
          <w:rFonts w:ascii="Arial" w:hAnsi="Arial" w:cs="Arial" w:eastAsia="Arial" w:hint="default"/>
          <w:spacing w:val="-5"/>
        </w:rPr>
        <w:t>20</w:t>
      </w:r>
      <w:r>
        <w:rPr>
          <w:spacing w:val="-5"/>
        </w:rPr>
        <w:t>、（</w:t>
      </w:r>
      <w:r>
        <w:rPr>
          <w:rFonts w:ascii="Arial" w:hAnsi="Arial" w:cs="Arial" w:eastAsia="Arial" w:hint="default"/>
          <w:spacing w:val="-5"/>
        </w:rPr>
        <w:t>2</w:t>
      </w:r>
      <w:r>
        <w:rPr>
          <w:spacing w:val="-5"/>
        </w:rPr>
        <w:t>）④）和“因处置部分股权投资或其他原因丧失了对原有子公司的控制权”（详见前段）</w:t>
      </w:r>
    </w:p>
    <w:p>
      <w:pPr>
        <w:spacing w:after="0" w:line="278" w:lineRule="auto"/>
        <w:jc w:val="both"/>
        <w:sectPr>
          <w:pgSz w:w="11910" w:h="16840"/>
          <w:pgMar w:header="826" w:footer="1195" w:top="1300" w:bottom="1380" w:left="1140" w:right="1580"/>
        </w:sectPr>
      </w:pPr>
    </w:p>
    <w:p>
      <w:pPr>
        <w:spacing w:line="240" w:lineRule="auto" w:before="5"/>
        <w:rPr>
          <w:rFonts w:ascii="宋体" w:hAnsi="宋体" w:cs="宋体" w:eastAsia="宋体" w:hint="default"/>
          <w:sz w:val="8"/>
          <w:szCs w:val="8"/>
        </w:rPr>
      </w:pPr>
    </w:p>
    <w:p>
      <w:pPr>
        <w:pStyle w:val="BodyText"/>
        <w:spacing w:line="278" w:lineRule="auto" w:before="36"/>
        <w:ind w:right="98"/>
        <w:jc w:val="left"/>
        <w:rPr>
          <w:rFonts w:ascii="宋体" w:hAnsi="宋体" w:cs="宋体" w:eastAsia="宋体" w:hint="default"/>
        </w:rPr>
      </w:pPr>
      <w:r>
        <w:rPr>
          <w:spacing w:val="-4"/>
          <w:w w:val="100"/>
        </w:rPr>
        <w:t>适用的原则进行会计处理。处置对子公司股权投资直至丧失控制权的各项交易属于一揽子交易的，</w:t>
      </w:r>
      <w:r>
        <w:rPr>
          <w:spacing w:val="-85"/>
          <w:w w:val="100"/>
        </w:rPr>
        <w:t> </w:t>
      </w:r>
      <w:r>
        <w:rPr>
          <w:spacing w:val="-85"/>
          <w:w w:val="100"/>
        </w:rPr>
      </w:r>
      <w:r>
        <w:rPr/>
        <w:t>将各项交易作为一项处置子公司并丧失控制权的交易进行会计处理；但是，在丧失控制权之前每</w:t>
      </w:r>
      <w:r>
        <w:rPr>
          <w:w w:val="100"/>
        </w:rPr>
        <w:t> </w:t>
      </w:r>
      <w:r>
        <w:rPr/>
        <w:t>一次处置价款与处置投资对应的享有该子公司净资产份额的差额，在合并财务报表中确认为其他</w:t>
      </w:r>
      <w:r>
        <w:rPr>
          <w:w w:val="100"/>
        </w:rPr>
        <w:t> </w:t>
      </w:r>
      <w:r>
        <w:rPr/>
        <w:t>综合收益，在丧失控制权时一并转入丧失控制权当期的损益。</w:t>
      </w:r>
      <w:r>
        <w:rPr>
          <w:rFonts w:ascii="宋体" w:hAnsi="宋体" w:cs="宋体" w:eastAsia="宋体" w:hint="default"/>
        </w:rPr>
        <w:t> </w:t>
      </w:r>
    </w:p>
    <w:p>
      <w:pPr>
        <w:pStyle w:val="Heading2"/>
        <w:tabs>
          <w:tab w:pos="562" w:val="left" w:leader="none"/>
        </w:tabs>
        <w:spacing w:line="240" w:lineRule="auto" w:before="25"/>
        <w:ind w:left="136" w:right="98"/>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BodyText"/>
        <w:spacing w:line="276" w:lineRule="auto" w:before="58"/>
        <w:ind w:left="557" w:right="98"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合营安排，是指一项由两个或两个以上的参与方共同控制的安排。本集团根据在合营安排中</w:t>
      </w:r>
    </w:p>
    <w:p>
      <w:pPr>
        <w:pStyle w:val="BodyText"/>
        <w:spacing w:line="278" w:lineRule="auto" w:before="15"/>
        <w:ind w:right="219"/>
        <w:jc w:val="both"/>
      </w:pPr>
      <w:r>
        <w:rPr>
          <w:spacing w:val="-2"/>
        </w:rPr>
        <w:t>享有的权利和承担的义务，将合营安排分为共同经营和合营企业。共同经营，是指本集团享有该</w:t>
      </w:r>
      <w:r>
        <w:rPr>
          <w:spacing w:val="-25"/>
        </w:rPr>
        <w:t> </w:t>
      </w:r>
      <w:r>
        <w:rPr>
          <w:spacing w:val="-25"/>
        </w:rPr>
      </w:r>
      <w:r>
        <w:rPr>
          <w:spacing w:val="-2"/>
        </w:rPr>
        <w:t>安排相关资产且承担该安排相关负债的合营安排。合营企业，是指本集团仅对该安排的净资产享</w:t>
      </w:r>
      <w:r>
        <w:rPr>
          <w:spacing w:val="-25"/>
        </w:rPr>
        <w:t> </w:t>
      </w:r>
      <w:r>
        <w:rPr>
          <w:spacing w:val="-25"/>
        </w:rPr>
      </w:r>
      <w:r>
        <w:rPr/>
        <w:t>有权利的合营安排。</w:t>
      </w:r>
    </w:p>
    <w:p>
      <w:pPr>
        <w:pStyle w:val="BodyText"/>
        <w:spacing w:line="264" w:lineRule="auto" w:before="13"/>
        <w:ind w:right="290" w:firstLine="420"/>
        <w:jc w:val="both"/>
      </w:pPr>
      <w:r>
        <w:rPr>
          <w:spacing w:val="-2"/>
        </w:rPr>
        <w:t>本集团对合营企业的投资采用权益法核算，按照本附注五、</w:t>
      </w:r>
      <w:r>
        <w:rPr>
          <w:rFonts w:ascii="Arial" w:hAnsi="Arial" w:cs="Arial" w:eastAsia="Arial" w:hint="default"/>
          <w:spacing w:val="-2"/>
        </w:rPr>
        <w:t>20</w:t>
      </w:r>
      <w:r>
        <w:rPr>
          <w:spacing w:val="-2"/>
        </w:rPr>
        <w:t>（</w:t>
      </w:r>
      <w:r>
        <w:rPr>
          <w:rFonts w:ascii="Arial" w:hAnsi="Arial" w:cs="Arial" w:eastAsia="Arial" w:hint="default"/>
          <w:spacing w:val="-2"/>
        </w:rPr>
        <w:t>2</w:t>
      </w:r>
      <w:r>
        <w:rPr>
          <w:spacing w:val="-2"/>
        </w:rPr>
        <w:t>）②“权益法核算的长期</w:t>
      </w:r>
      <w:r>
        <w:rPr>
          <w:w w:val="100"/>
        </w:rPr>
        <w:t> </w:t>
      </w:r>
      <w:r>
        <w:rPr/>
        <w:t>股权投资”中所述的会计政策处理。</w:t>
      </w:r>
    </w:p>
    <w:p>
      <w:pPr>
        <w:pStyle w:val="BodyText"/>
        <w:spacing w:line="278" w:lineRule="auto" w:before="24"/>
        <w:ind w:right="209" w:firstLine="420"/>
        <w:jc w:val="both"/>
      </w:pPr>
      <w:r>
        <w:rPr>
          <w:spacing w:val="-2"/>
        </w:rPr>
        <w:t>本集团作为合营方对共同经营，确认本集团单独持有的资产、单独所承担的负债，以及按本</w:t>
      </w:r>
      <w:r>
        <w:rPr>
          <w:w w:val="100"/>
        </w:rPr>
        <w:t> </w:t>
      </w:r>
      <w:r>
        <w:rPr>
          <w:spacing w:val="-2"/>
        </w:rPr>
        <w:t>集团份额确认共同持有的资产和共同承担的负债；确认出售本集团享有的共同经营产出份额所产</w:t>
      </w:r>
      <w:r>
        <w:rPr>
          <w:spacing w:val="-25"/>
        </w:rPr>
        <w:t> </w:t>
      </w:r>
      <w:r>
        <w:rPr>
          <w:spacing w:val="-25"/>
        </w:rPr>
      </w:r>
      <w:r>
        <w:rPr>
          <w:spacing w:val="-6"/>
          <w:w w:val="100"/>
        </w:rPr>
        <w:t>生的收入；按本集团份额确认共同经营因出售产出所产生的收入；确认本集团单独所发生的费用，</w:t>
      </w:r>
      <w:r>
        <w:rPr>
          <w:w w:val="100"/>
        </w:rPr>
        <w:t> </w:t>
      </w:r>
      <w:r>
        <w:rPr/>
        <w:t>以及按本集团份额确认共同经营发生的费用。</w:t>
      </w:r>
    </w:p>
    <w:p>
      <w:pPr>
        <w:pStyle w:val="BodyText"/>
        <w:spacing w:line="276" w:lineRule="auto" w:before="13"/>
        <w:ind w:right="209" w:firstLine="420"/>
        <w:jc w:val="both"/>
        <w:rPr>
          <w:rFonts w:ascii="宋体" w:hAnsi="宋体" w:cs="宋体" w:eastAsia="宋体" w:hint="default"/>
        </w:rPr>
      </w:pPr>
      <w:r>
        <w:rPr>
          <w:spacing w:val="-2"/>
        </w:rPr>
        <w:t>当本集团作为合营方向共同经营投出或出售资产（该资产不构成业务，下同）、或者自共同</w:t>
      </w:r>
      <w:r>
        <w:rPr>
          <w:w w:val="100"/>
        </w:rPr>
        <w:t> </w:t>
      </w:r>
      <w:r>
        <w:rPr>
          <w:spacing w:val="-2"/>
        </w:rPr>
        <w:t>经营购买资产时，在该等资产出售给第三方之前，本集团仅确认因该交易产生的损益中归属于共</w:t>
      </w:r>
      <w:r>
        <w:rPr>
          <w:spacing w:val="-25"/>
        </w:rPr>
        <w:t> </w:t>
      </w:r>
      <w:r>
        <w:rPr>
          <w:spacing w:val="-25"/>
        </w:rPr>
      </w:r>
      <w:r>
        <w:rPr/>
        <w:t>同经营其他参与方的部分。该等资产发生符合《企业会计准则第</w:t>
      </w:r>
      <w:r>
        <w:rPr>
          <w:spacing w:val="-57"/>
        </w:rPr>
        <w:t> </w:t>
      </w:r>
      <w:r>
        <w:rPr>
          <w:rFonts w:ascii="Arial" w:hAnsi="Arial" w:cs="Arial" w:eastAsia="Arial" w:hint="default"/>
        </w:rPr>
        <w:t>8</w:t>
      </w:r>
      <w:r>
        <w:rPr>
          <w:rFonts w:ascii="Arial" w:hAnsi="Arial" w:cs="Arial" w:eastAsia="Arial" w:hint="default"/>
          <w:spacing w:val="-8"/>
        </w:rPr>
        <w:t> </w:t>
      </w:r>
      <w:r>
        <w:rPr/>
        <w:t>号</w:t>
      </w:r>
      <w:r>
        <w:rPr>
          <w:rFonts w:ascii="Arial" w:hAnsi="Arial" w:cs="Arial" w:eastAsia="Arial" w:hint="default"/>
        </w:rPr>
        <w:t>——</w:t>
      </w:r>
      <w:r>
        <w:rPr/>
        <w:t>资产减值》等规定的资</w:t>
      </w:r>
      <w:r>
        <w:rPr>
          <w:w w:val="100"/>
        </w:rPr>
        <w:t> </w:t>
      </w:r>
      <w:r>
        <w:rPr>
          <w:spacing w:val="-2"/>
        </w:rPr>
        <w:t>产减值损失的，对于由本集团向共同经营投出或出售资产的情况，本集团全额确认该损失；对于</w:t>
      </w:r>
      <w:r>
        <w:rPr>
          <w:spacing w:val="-25"/>
        </w:rPr>
        <w:t> </w:t>
      </w:r>
      <w:r>
        <w:rPr>
          <w:spacing w:val="-25"/>
        </w:rPr>
      </w:r>
      <w:r>
        <w:rPr/>
        <w:t>本集团自共同经营购买资产的情况，本集团按承担的份额确认该损失。</w:t>
      </w:r>
      <w:r>
        <w:rPr>
          <w:rFonts w:ascii="宋体" w:hAnsi="宋体" w:cs="宋体" w:eastAsia="宋体" w:hint="default"/>
          <w:b/>
          <w:bCs/>
          <w:w w:val="99"/>
        </w:rPr>
        <w:t> </w:t>
      </w:r>
      <w:r>
        <w:rPr>
          <w:rFonts w:ascii="宋体" w:hAnsi="宋体" w:cs="宋体" w:eastAsia="宋体" w:hint="default"/>
        </w:rPr>
      </w:r>
    </w:p>
    <w:p>
      <w:pPr>
        <w:tabs>
          <w:tab w:pos="562" w:val="left" w:leader="none"/>
        </w:tabs>
        <w:spacing w:line="331" w:lineRule="auto" w:before="27"/>
        <w:ind w:left="557" w:right="263" w:hanging="421"/>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本集团现金及现金等价物包括库存现金、可以随时用于支付的存款以及本集团持有的期限短</w:t>
      </w:r>
    </w:p>
    <w:p>
      <w:pPr>
        <w:pStyle w:val="BodyText"/>
        <w:spacing w:line="239" w:lineRule="exact"/>
        <w:ind w:right="98"/>
        <w:jc w:val="left"/>
      </w:pPr>
      <w:r>
        <w:rPr/>
        <w:t>（一般指从购买日起三个月内到期）、流动性强、易于转换为已知金额现金、价值变动风险很小</w:t>
      </w:r>
    </w:p>
    <w:p>
      <w:pPr>
        <w:pStyle w:val="BodyText"/>
        <w:spacing w:line="240" w:lineRule="auto" w:before="44"/>
        <w:ind w:right="98"/>
        <w:jc w:val="left"/>
        <w:rPr>
          <w:rFonts w:ascii="宋体" w:hAnsi="宋体" w:cs="宋体" w:eastAsia="宋体" w:hint="default"/>
        </w:rPr>
      </w:pPr>
      <w:r>
        <w:rPr/>
        <w:t>的投资。</w:t>
      </w:r>
      <w:r>
        <w:rPr>
          <w:rFonts w:ascii="宋体" w:hAnsi="宋体" w:cs="宋体" w:eastAsia="宋体" w:hint="default"/>
        </w:rPr>
        <w:t> </w:t>
      </w:r>
    </w:p>
    <w:p>
      <w:pPr>
        <w:pStyle w:val="Heading2"/>
        <w:tabs>
          <w:tab w:pos="562" w:val="left" w:leader="none"/>
        </w:tabs>
        <w:spacing w:line="240" w:lineRule="auto" w:before="61"/>
        <w:ind w:left="136" w:right="98"/>
        <w:jc w:val="left"/>
        <w:rPr>
          <w:b w:val="0"/>
          <w:bCs w:val="0"/>
        </w:rPr>
      </w:pPr>
      <w:r>
        <w:rPr>
          <w:rFonts w:ascii="宋体" w:hAnsi="宋体" w:cs="宋体" w:eastAsia="宋体" w:hint="default"/>
          <w:w w:val="95"/>
        </w:rPr>
        <w:t>9.</w:t>
        <w:tab/>
      </w:r>
      <w:r>
        <w:rPr/>
        <w:t>外币业务和外币报表折算</w:t>
      </w:r>
      <w:r>
        <w:rPr>
          <w:b w:val="0"/>
          <w:bCs w:val="0"/>
        </w:rPr>
      </w:r>
    </w:p>
    <w:p>
      <w:pPr>
        <w:spacing w:line="290" w:lineRule="auto" w:before="56"/>
        <w:ind w:left="136" w:right="72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10.</w:t>
      </w:r>
      <w:r>
        <w:rPr>
          <w:rFonts w:ascii="宋体" w:hAnsi="宋体" w:cs="宋体" w:eastAsia="宋体" w:hint="default"/>
          <w:b/>
          <w:bCs/>
          <w:spacing w:val="2"/>
          <w:sz w:val="21"/>
          <w:szCs w:val="21"/>
        </w:rPr>
        <w:t> </w:t>
      </w:r>
      <w:r>
        <w:rPr>
          <w:rFonts w:ascii="宋体" w:hAnsi="宋体" w:cs="宋体" w:eastAsia="宋体" w:hint="default"/>
          <w:b/>
          <w:bCs/>
          <w:sz w:val="21"/>
          <w:szCs w:val="21"/>
        </w:rPr>
        <w:t>金融工具</w:t>
      </w:r>
      <w:r>
        <w:rPr>
          <w:rFonts w:ascii="宋体" w:hAnsi="宋体" w:cs="宋体" w:eastAsia="宋体" w:hint="default"/>
          <w:sz w:val="21"/>
          <w:szCs w:val="21"/>
        </w:rPr>
      </w:r>
    </w:p>
    <w:p>
      <w:pPr>
        <w:pStyle w:val="BodyText"/>
        <w:spacing w:line="278" w:lineRule="auto" w:before="12"/>
        <w:ind w:left="557" w:right="1822"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在本集团成为金融工具合同的一方时确认一项金融资产或金融负债。</w:t>
      </w:r>
    </w:p>
    <w:p>
      <w:pPr>
        <w:spacing w:line="264" w:lineRule="auto" w:before="10"/>
        <w:ind w:left="557" w:right="9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1</w:t>
      </w:r>
      <w:r>
        <w:rPr>
          <w:rFonts w:ascii="宋体" w:hAnsi="宋体" w:cs="宋体" w:eastAsia="宋体" w:hint="default"/>
          <w:b/>
          <w:bCs/>
          <w:sz w:val="21"/>
          <w:szCs w:val="21"/>
        </w:rPr>
        <w:t>）金融资产的分类、确认和计量</w:t>
      </w:r>
      <w:r>
        <w:rPr>
          <w:rFonts w:ascii="宋体" w:hAnsi="宋体" w:cs="宋体" w:eastAsia="宋体" w:hint="default"/>
          <w:b/>
          <w:bCs/>
          <w:w w:val="100"/>
          <w:sz w:val="21"/>
          <w:szCs w:val="21"/>
        </w:rPr>
        <w:t> </w:t>
      </w:r>
      <w:r>
        <w:rPr>
          <w:rFonts w:ascii="宋体" w:hAnsi="宋体" w:cs="宋体" w:eastAsia="宋体" w:hint="default"/>
          <w:spacing w:val="-2"/>
          <w:sz w:val="21"/>
          <w:szCs w:val="21"/>
        </w:rPr>
        <w:t>本集团根据管理金融资产的业务模式和金融资产的合同现金流量特征，将金融资产划分为：</w:t>
      </w:r>
    </w:p>
    <w:p>
      <w:pPr>
        <w:pStyle w:val="BodyText"/>
        <w:spacing w:line="278" w:lineRule="auto" w:before="25"/>
        <w:ind w:right="98"/>
        <w:jc w:val="left"/>
      </w:pPr>
      <w:r>
        <w:rPr>
          <w:spacing w:val="-2"/>
        </w:rPr>
        <w:t>以摊余成本计量的金融资产；以公允价值计量且其变动计入其他综合收益的金融资产；以公允价</w:t>
      </w:r>
      <w:r>
        <w:rPr>
          <w:spacing w:val="-25"/>
        </w:rPr>
        <w:t> </w:t>
      </w:r>
      <w:r>
        <w:rPr>
          <w:spacing w:val="-25"/>
        </w:rPr>
      </w:r>
      <w:r>
        <w:rPr/>
        <w:t>值计量且其变动计入当期损益的金融资产。</w:t>
      </w:r>
    </w:p>
    <w:p>
      <w:pPr>
        <w:pStyle w:val="BodyText"/>
        <w:spacing w:line="278" w:lineRule="auto" w:before="10"/>
        <w:ind w:right="218" w:firstLine="420"/>
        <w:jc w:val="both"/>
      </w:pPr>
      <w:r>
        <w:rPr>
          <w:spacing w:val="-2"/>
        </w:rPr>
        <w:t>金融资产在初始确认时以公允价值计量。对于以公允价值计量且其变动计入当期损益的金融</w:t>
      </w:r>
      <w:r>
        <w:rPr>
          <w:w w:val="100"/>
        </w:rPr>
        <w:t> </w:t>
      </w:r>
      <w:r>
        <w:rPr>
          <w:spacing w:val="-2"/>
        </w:rPr>
        <w:t>资产，相关交易费用直接计入当期损益；对于其他类别的金融资产，相关交易费用计入初始确认</w:t>
      </w:r>
      <w:r>
        <w:rPr>
          <w:spacing w:val="-25"/>
        </w:rPr>
        <w:t> </w:t>
      </w:r>
      <w:r>
        <w:rPr>
          <w:spacing w:val="-25"/>
        </w:rPr>
      </w:r>
      <w:r>
        <w:rPr>
          <w:spacing w:val="-2"/>
        </w:rPr>
        <w:t>金额。因销售产品或提供劳务而产生的、未包含或不考虑重大融资成分的应收账款或应收票据，</w:t>
      </w:r>
      <w:r>
        <w:rPr>
          <w:spacing w:val="-25"/>
        </w:rPr>
        <w:t> </w:t>
      </w:r>
      <w:r>
        <w:rPr>
          <w:spacing w:val="-25"/>
        </w:rPr>
      </w:r>
      <w:r>
        <w:rPr/>
        <w:t>本集团按照预期有权收取的对价金额作为初始确认金额。</w:t>
      </w:r>
    </w:p>
    <w:p>
      <w:pPr>
        <w:pStyle w:val="BodyText"/>
        <w:spacing w:line="278" w:lineRule="auto" w:before="13"/>
        <w:ind w:left="557" w:right="98"/>
        <w:jc w:val="left"/>
      </w:pPr>
      <w:r>
        <w:rPr/>
        <w:t>①以摊余成本计量的金融资产</w:t>
      </w:r>
      <w:r>
        <w:rPr>
          <w:w w:val="100"/>
        </w:rPr>
        <w:t> </w:t>
      </w:r>
      <w:r>
        <w:rPr>
          <w:spacing w:val="-2"/>
        </w:rPr>
        <w:t>本集团管理以摊余成本计量的金融资产的业务模式为以收取合同现金流量为目标，且此类金</w:t>
      </w:r>
    </w:p>
    <w:p>
      <w:pPr>
        <w:pStyle w:val="BodyText"/>
        <w:spacing w:line="240" w:lineRule="auto" w:before="10"/>
        <w:ind w:right="98"/>
        <w:jc w:val="left"/>
      </w:pPr>
      <w:r>
        <w:rPr/>
        <w:t>融资产的合同现金流量特征与基本借贷安排相一致，即在特定日期产生的现金流量，仅为对本金</w:t>
      </w:r>
    </w:p>
    <w:p>
      <w:pPr>
        <w:spacing w:after="0" w:line="240" w:lineRule="auto"/>
        <w:jc w:val="left"/>
        <w:sectPr>
          <w:pgSz w:w="11910" w:h="16840"/>
          <w:pgMar w:header="826" w:footer="1195" w:top="1300" w:bottom="1380" w:left="1140" w:right="1580"/>
        </w:sectPr>
      </w:pPr>
    </w:p>
    <w:p>
      <w:pPr>
        <w:spacing w:line="240" w:lineRule="auto" w:before="5"/>
        <w:rPr>
          <w:rFonts w:ascii="宋体" w:hAnsi="宋体" w:cs="宋体" w:eastAsia="宋体" w:hint="default"/>
          <w:sz w:val="8"/>
          <w:szCs w:val="8"/>
        </w:rPr>
      </w:pPr>
    </w:p>
    <w:p>
      <w:pPr>
        <w:pStyle w:val="BodyText"/>
        <w:spacing w:line="278" w:lineRule="auto" w:before="36"/>
        <w:ind w:right="319"/>
        <w:jc w:val="both"/>
      </w:pPr>
      <w:r>
        <w:rPr>
          <w:spacing w:val="-2"/>
        </w:rPr>
        <w:t>和以未偿付本金金额为基础的利息的支付。本集团对于此类金融资产，采用实际利率法，按照摊</w:t>
      </w:r>
      <w:r>
        <w:rPr>
          <w:spacing w:val="-25"/>
        </w:rPr>
        <w:t> </w:t>
      </w:r>
      <w:r>
        <w:rPr>
          <w:spacing w:val="-25"/>
        </w:rPr>
      </w:r>
      <w:r>
        <w:rPr/>
        <w:t>余成本进行后续计量，其摊销或减值产生的利得或损失，计入当期损益。</w:t>
      </w:r>
    </w:p>
    <w:p>
      <w:pPr>
        <w:pStyle w:val="BodyText"/>
        <w:spacing w:line="278" w:lineRule="auto" w:before="13"/>
        <w:ind w:left="557" w:right="0"/>
        <w:jc w:val="left"/>
      </w:pPr>
      <w:r>
        <w:rPr/>
        <w:t>②以公允价值计量且其变动计入其他综合收益的金融资产</w:t>
      </w:r>
      <w:r>
        <w:rPr>
          <w:w w:val="100"/>
        </w:rPr>
        <w:t> </w:t>
      </w:r>
      <w:r>
        <w:rPr>
          <w:spacing w:val="-2"/>
        </w:rPr>
        <w:t>本集团管理此类金融资产的业务模式为既以收取合同现金流量为目标又以出售为目标，且此</w:t>
      </w:r>
    </w:p>
    <w:p>
      <w:pPr>
        <w:pStyle w:val="BodyText"/>
        <w:spacing w:line="280" w:lineRule="auto" w:before="10"/>
        <w:ind w:right="319"/>
        <w:jc w:val="both"/>
      </w:pPr>
      <w:r>
        <w:rPr>
          <w:spacing w:val="-2"/>
        </w:rPr>
        <w:t>类金融资产的合同现金流量特征与基本借贷安排相一致。本集团对此类金融资产按照公允价值计</w:t>
      </w:r>
      <w:r>
        <w:rPr>
          <w:spacing w:val="-25"/>
        </w:rPr>
        <w:t> </w:t>
      </w:r>
      <w:r>
        <w:rPr>
          <w:spacing w:val="-25"/>
        </w:rPr>
      </w:r>
      <w:r>
        <w:rPr>
          <w:spacing w:val="-2"/>
        </w:rPr>
        <w:t>量且其变动计入其他综合收益，但减值损失或利得、汇兑损益和按照实际利率法计算的利息收入</w:t>
      </w:r>
      <w:r>
        <w:rPr>
          <w:spacing w:val="-25"/>
        </w:rPr>
        <w:t> </w:t>
      </w:r>
      <w:r>
        <w:rPr>
          <w:spacing w:val="-25"/>
        </w:rPr>
      </w:r>
      <w:r>
        <w:rPr/>
        <w:t>计入当期损益。</w:t>
      </w:r>
    </w:p>
    <w:p>
      <w:pPr>
        <w:pStyle w:val="BodyText"/>
        <w:spacing w:line="278" w:lineRule="auto" w:before="8"/>
        <w:ind w:right="318" w:firstLine="420"/>
        <w:jc w:val="both"/>
      </w:pPr>
      <w:r>
        <w:rPr>
          <w:spacing w:val="-2"/>
        </w:rPr>
        <w:t>此外，本集团将部分非交易性权益工具投资指定为以公允价值计量且其变动计入其他综合收</w:t>
      </w:r>
      <w:r>
        <w:rPr>
          <w:w w:val="100"/>
        </w:rPr>
        <w:t> </w:t>
      </w:r>
      <w:r>
        <w:rPr>
          <w:spacing w:val="-2"/>
        </w:rPr>
        <w:t>益的金融资产。本集团将该类金融资产的相关股利收入计入当期损益，公允价值变动计入其他综</w:t>
      </w:r>
      <w:r>
        <w:rPr>
          <w:spacing w:val="-25"/>
        </w:rPr>
        <w:t> </w:t>
      </w:r>
      <w:r>
        <w:rPr>
          <w:spacing w:val="-25"/>
        </w:rPr>
      </w:r>
      <w:r>
        <w:rPr>
          <w:spacing w:val="-2"/>
        </w:rPr>
        <w:t>合收益。当该金融资产终止确认时，之前计入其他综合收益的累计利得或损失将从其他综合收益</w:t>
      </w:r>
      <w:r>
        <w:rPr>
          <w:spacing w:val="-25"/>
        </w:rPr>
        <w:t> </w:t>
      </w:r>
      <w:r>
        <w:rPr>
          <w:spacing w:val="-25"/>
        </w:rPr>
      </w:r>
      <w:r>
        <w:rPr/>
        <w:t>转入留存收益，不计入当期损益。</w:t>
      </w:r>
    </w:p>
    <w:p>
      <w:pPr>
        <w:pStyle w:val="BodyText"/>
        <w:spacing w:line="278" w:lineRule="auto" w:before="13"/>
        <w:ind w:left="557" w:right="0"/>
        <w:jc w:val="left"/>
      </w:pPr>
      <w:r>
        <w:rPr/>
        <w:t>③以公允价值计量且其变动计入当期损益的金融资产</w:t>
      </w:r>
      <w:r>
        <w:rPr>
          <w:w w:val="100"/>
        </w:rPr>
        <w:t> </w:t>
      </w:r>
      <w:r>
        <w:rPr>
          <w:spacing w:val="-2"/>
        </w:rPr>
        <w:t>本集团将上述以摊余成本计量的金融资产和以公允价值计量且其变动计入其他综合收益的金</w:t>
      </w:r>
    </w:p>
    <w:p>
      <w:pPr>
        <w:pStyle w:val="BodyText"/>
        <w:spacing w:line="278" w:lineRule="auto" w:before="10"/>
        <w:ind w:right="319"/>
        <w:jc w:val="both"/>
      </w:pPr>
      <w:r>
        <w:rPr>
          <w:spacing w:val="-2"/>
        </w:rPr>
        <w:t>融资产之外的金融资产，分类为以公允价值计量且其变动计入当期损益的金融资产。此外，在初</w:t>
      </w:r>
      <w:r>
        <w:rPr>
          <w:spacing w:val="-25"/>
        </w:rPr>
        <w:t> </w:t>
      </w:r>
      <w:r>
        <w:rPr>
          <w:spacing w:val="-25"/>
        </w:rPr>
      </w:r>
      <w:r>
        <w:rPr>
          <w:spacing w:val="-2"/>
        </w:rPr>
        <w:t>始确认时，本集团为了消除或显著减少会计错配，将部分金融资产指定为以公允价值计量且其变</w:t>
      </w:r>
      <w:r>
        <w:rPr>
          <w:spacing w:val="-25"/>
        </w:rPr>
        <w:t> </w:t>
      </w:r>
      <w:r>
        <w:rPr>
          <w:spacing w:val="-25"/>
        </w:rPr>
      </w:r>
      <w:r>
        <w:rPr>
          <w:spacing w:val="-2"/>
        </w:rPr>
        <w:t>动计入当期损益的金融资产。对于此类金融资产，本集团采用公允价值进行后续计量，公允价值</w:t>
      </w:r>
      <w:r>
        <w:rPr>
          <w:spacing w:val="-25"/>
        </w:rPr>
        <w:t> </w:t>
      </w:r>
      <w:r>
        <w:rPr>
          <w:spacing w:val="-25"/>
        </w:rPr>
      </w:r>
      <w:r>
        <w:rPr/>
        <w:t>变动计入当期损益。</w:t>
      </w:r>
    </w:p>
    <w:p>
      <w:pPr>
        <w:spacing w:line="264" w:lineRule="auto" w:before="13"/>
        <w:ind w:left="557"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）金融负债的分类、确认和计量</w:t>
      </w:r>
      <w:r>
        <w:rPr>
          <w:rFonts w:ascii="宋体" w:hAnsi="宋体" w:cs="宋体" w:eastAsia="宋体" w:hint="default"/>
          <w:b/>
          <w:bCs/>
          <w:w w:val="100"/>
          <w:sz w:val="21"/>
          <w:szCs w:val="21"/>
        </w:rPr>
        <w:t> </w:t>
      </w:r>
      <w:r>
        <w:rPr>
          <w:rFonts w:ascii="宋体" w:hAnsi="宋体" w:cs="宋体" w:eastAsia="宋体" w:hint="default"/>
          <w:spacing w:val="-2"/>
          <w:sz w:val="21"/>
          <w:szCs w:val="21"/>
        </w:rPr>
        <w:t>金融负债于初始确认时分类为以公允价值计量且其变动计入当期损益的金融负债和其他金融</w:t>
      </w:r>
    </w:p>
    <w:p>
      <w:pPr>
        <w:pStyle w:val="BodyText"/>
        <w:spacing w:line="280" w:lineRule="auto" w:before="23"/>
        <w:ind w:right="309"/>
        <w:jc w:val="both"/>
      </w:pPr>
      <w:r>
        <w:rPr>
          <w:spacing w:val="-6"/>
          <w:w w:val="100"/>
        </w:rPr>
        <w:t>负债。对于以公允价值计量且其变动计入当期损益的金融负债，相关交易费用直接计入当期损益，</w:t>
      </w:r>
      <w:r>
        <w:rPr>
          <w:w w:val="100"/>
        </w:rPr>
        <w:t> </w:t>
      </w:r>
      <w:r>
        <w:rPr/>
        <w:t>其他金融负债的相关交易费用计入其初始确认金额。</w:t>
      </w:r>
    </w:p>
    <w:p>
      <w:pPr>
        <w:pStyle w:val="BodyText"/>
        <w:spacing w:line="278" w:lineRule="auto" w:before="8"/>
        <w:ind w:left="557" w:right="0"/>
        <w:jc w:val="left"/>
      </w:pPr>
      <w:r>
        <w:rPr/>
        <w:t>①以公允价值计量且其变动计入当期损益的金融负债</w:t>
      </w:r>
      <w:r>
        <w:rPr>
          <w:w w:val="100"/>
        </w:rPr>
        <w:t> </w:t>
      </w:r>
      <w:r>
        <w:rPr>
          <w:spacing w:val="-2"/>
        </w:rPr>
        <w:t>以公允价值计量且其变动计入当期损益的金融负债，包括交易性金融负债（含属于金融负债</w:t>
      </w:r>
    </w:p>
    <w:p>
      <w:pPr>
        <w:pStyle w:val="BodyText"/>
        <w:spacing w:line="278" w:lineRule="auto" w:before="13"/>
        <w:ind w:left="557" w:right="0" w:hanging="421"/>
        <w:jc w:val="left"/>
      </w:pPr>
      <w:r>
        <w:rPr/>
        <w:t>的衍生工具）和初始确认时指定为以公允价值计量且其变动计入当期损益的金融负债。</w:t>
      </w:r>
      <w:r>
        <w:rPr>
          <w:w w:val="100"/>
        </w:rPr>
        <w:t> </w:t>
      </w:r>
      <w:r>
        <w:rPr>
          <w:spacing w:val="-2"/>
        </w:rPr>
        <w:t>交易性金融负债（含属于金融负债的衍生工具），按照公允价值进行后续计量，除与套期会</w:t>
      </w:r>
    </w:p>
    <w:p>
      <w:pPr>
        <w:pStyle w:val="BodyText"/>
        <w:spacing w:line="280" w:lineRule="auto" w:before="10"/>
        <w:ind w:left="557" w:right="0" w:hanging="421"/>
        <w:jc w:val="left"/>
      </w:pPr>
      <w:r>
        <w:rPr/>
        <w:t>计有关外，公允价值变动计入当期损益。</w:t>
      </w:r>
      <w:r>
        <w:rPr>
          <w:w w:val="100"/>
        </w:rPr>
        <w:t> </w:t>
      </w:r>
      <w:r>
        <w:rPr>
          <w:spacing w:val="-2"/>
        </w:rPr>
        <w:t>被指定为以公允价值计量且其变动计入当期损益的金融负债，该负债由本集团自身信用风险</w:t>
      </w:r>
    </w:p>
    <w:p>
      <w:pPr>
        <w:pStyle w:val="BodyText"/>
        <w:spacing w:line="278" w:lineRule="auto" w:before="8"/>
        <w:ind w:right="0"/>
        <w:jc w:val="left"/>
      </w:pPr>
      <w:r>
        <w:rPr/>
        <w:t>变动引起的公允价值变动计入其他综合收益，且终止确认该负债时，计入其他综合收益的自身信</w:t>
      </w:r>
      <w:r>
        <w:rPr>
          <w:w w:val="100"/>
        </w:rPr>
        <w:t> </w:t>
      </w:r>
      <w:r>
        <w:rPr/>
        <w:t>用风险变动引起的其公允价值累计变动额转入留存收益。其余公允价值变动计入当期损益。若按</w:t>
      </w:r>
      <w:r>
        <w:rPr>
          <w:w w:val="100"/>
        </w:rPr>
        <w:t> </w:t>
      </w:r>
      <w:r>
        <w:rPr>
          <w:spacing w:val="-2"/>
        </w:rPr>
        <w:t>上述方式对该等金融负债的自身信用风险变动的影响进行处理会造成或扩大损益中的会计错配的，</w:t>
      </w:r>
      <w:r>
        <w:rPr>
          <w:spacing w:val="-13"/>
        </w:rPr>
        <w:t> </w:t>
      </w:r>
      <w:r>
        <w:rPr>
          <w:spacing w:val="-13"/>
        </w:rPr>
      </w:r>
      <w:r>
        <w:rPr>
          <w:spacing w:val="-6"/>
          <w:w w:val="100"/>
        </w:rPr>
        <w:t>本集团将该金融负债的全部利得或损失（包括企业自身信用风险变动的影响金额）计入当期损益。</w:t>
      </w:r>
    </w:p>
    <w:p>
      <w:pPr>
        <w:pStyle w:val="BodyText"/>
        <w:spacing w:line="280" w:lineRule="auto" w:before="10"/>
        <w:ind w:left="557" w:right="0"/>
        <w:jc w:val="left"/>
      </w:pPr>
      <w:r>
        <w:rPr/>
        <w:t>②其他金融负债</w:t>
      </w:r>
      <w:r>
        <w:rPr>
          <w:w w:val="100"/>
        </w:rPr>
        <w:t> </w:t>
      </w:r>
      <w:r>
        <w:rPr>
          <w:spacing w:val="-2"/>
        </w:rPr>
        <w:t>除金融资产转移不符合终止确认条件或继续涉入被转移金融资产所形成的金融负债、财务担</w:t>
      </w:r>
    </w:p>
    <w:p>
      <w:pPr>
        <w:pStyle w:val="BodyText"/>
        <w:spacing w:line="278" w:lineRule="auto" w:before="9"/>
        <w:ind w:right="319"/>
        <w:jc w:val="both"/>
      </w:pPr>
      <w:r>
        <w:rPr>
          <w:spacing w:val="-2"/>
        </w:rPr>
        <w:t>保合同外的其他金融负债分类为以摊余成本计量的金融负债，按摊余成本进行后续计量，终止确</w:t>
      </w:r>
      <w:r>
        <w:rPr>
          <w:spacing w:val="-25"/>
        </w:rPr>
        <w:t> </w:t>
      </w:r>
      <w:r>
        <w:rPr>
          <w:spacing w:val="-25"/>
        </w:rPr>
      </w:r>
      <w:r>
        <w:rPr/>
        <w:t>认或摊销产生的利得或损失计入当期损益。</w:t>
      </w:r>
    </w:p>
    <w:p>
      <w:pPr>
        <w:spacing w:line="264" w:lineRule="auto" w:before="13"/>
        <w:ind w:left="557"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b/>
          <w:bCs/>
          <w:w w:val="100"/>
          <w:sz w:val="21"/>
          <w:szCs w:val="21"/>
        </w:rPr>
        <w:t> </w:t>
      </w:r>
      <w:r>
        <w:rPr>
          <w:rFonts w:ascii="宋体" w:hAnsi="宋体" w:cs="宋体" w:eastAsia="宋体" w:hint="default"/>
          <w:spacing w:val="-7"/>
          <w:w w:val="100"/>
          <w:sz w:val="21"/>
          <w:szCs w:val="21"/>
        </w:rPr>
        <w:t>满足下列条件之一的金融资产，予以终止确认：①收取该金融资产现金流量的合同权利终止；</w:t>
      </w:r>
    </w:p>
    <w:p>
      <w:pPr>
        <w:pStyle w:val="BodyText"/>
        <w:spacing w:line="280" w:lineRule="auto" w:before="23"/>
        <w:ind w:right="318"/>
        <w:jc w:val="both"/>
      </w:pPr>
      <w:r>
        <w:rPr>
          <w:spacing w:val="-2"/>
        </w:rPr>
        <w:t>②该金融资产已转移，且将金融资产所有权上几乎所有的风险和报酬转移给转入方；③该金融资</w:t>
      </w:r>
      <w:r>
        <w:rPr>
          <w:spacing w:val="-25"/>
        </w:rPr>
        <w:t> </w:t>
      </w:r>
      <w:r>
        <w:rPr>
          <w:spacing w:val="-25"/>
        </w:rPr>
      </w:r>
      <w:r>
        <w:rPr>
          <w:spacing w:val="-2"/>
        </w:rPr>
        <w:t>产已转移，虽然企业既没有转移也没有保留金融资产所有权上几乎所有的风险和报酬，但是放弃</w:t>
      </w:r>
      <w:r>
        <w:rPr>
          <w:spacing w:val="-25"/>
        </w:rPr>
        <w:t> </w:t>
      </w:r>
      <w:r>
        <w:rPr>
          <w:spacing w:val="-25"/>
        </w:rPr>
      </w:r>
      <w:r>
        <w:rPr/>
        <w:t>了对该金融资产的控制。</w:t>
      </w:r>
    </w:p>
    <w:p>
      <w:pPr>
        <w:pStyle w:val="BodyText"/>
        <w:spacing w:line="280" w:lineRule="auto" w:before="8"/>
        <w:ind w:right="309" w:firstLine="420"/>
        <w:jc w:val="both"/>
      </w:pPr>
      <w:r>
        <w:rPr>
          <w:spacing w:val="-2"/>
        </w:rPr>
        <w:t>若企业既没有转移也没有保留金融资产所有权上几乎所有的风险和报酬，且未放弃对该金融</w:t>
      </w:r>
      <w:r>
        <w:rPr>
          <w:w w:val="100"/>
        </w:rPr>
        <w:t> </w:t>
      </w:r>
      <w:r>
        <w:rPr>
          <w:spacing w:val="-6"/>
          <w:w w:val="100"/>
        </w:rPr>
        <w:t>资产的控制的，则按照继续涉入所转移金融资产的程度确认有关金融资产，并相应确认有关负债。</w:t>
      </w:r>
      <w:r>
        <w:rPr>
          <w:w w:val="100"/>
        </w:rPr>
        <w:t> </w:t>
      </w:r>
      <w:r>
        <w:rPr/>
        <w:t>继续涉入所转移金融资产的程度，是指该金融资产价值变动使企业面临的风险水平。</w:t>
      </w:r>
    </w:p>
    <w:p>
      <w:pPr>
        <w:spacing w:after="0" w:line="280" w:lineRule="auto"/>
        <w:jc w:val="both"/>
        <w:sectPr>
          <w:pgSz w:w="11910" w:h="16840"/>
          <w:pgMar w:header="826" w:footer="1195" w:top="1300" w:bottom="1380" w:left="1140" w:right="1480"/>
        </w:sectPr>
      </w:pPr>
    </w:p>
    <w:p>
      <w:pPr>
        <w:spacing w:line="240" w:lineRule="auto" w:before="5"/>
        <w:rPr>
          <w:rFonts w:ascii="宋体" w:hAnsi="宋体" w:cs="宋体" w:eastAsia="宋体" w:hint="default"/>
          <w:sz w:val="8"/>
          <w:szCs w:val="8"/>
        </w:rPr>
      </w:pPr>
    </w:p>
    <w:p>
      <w:pPr>
        <w:pStyle w:val="BodyText"/>
        <w:spacing w:line="278" w:lineRule="auto" w:before="36"/>
        <w:ind w:right="0" w:firstLine="420"/>
        <w:jc w:val="left"/>
      </w:pPr>
      <w:r>
        <w:rPr>
          <w:spacing w:val="-2"/>
        </w:rPr>
        <w:t>金融资产整体转移满足终止确认条件的，将所转移金融资产的账面价值及因转移而收到的对</w:t>
      </w:r>
      <w:r>
        <w:rPr>
          <w:w w:val="100"/>
        </w:rPr>
        <w:t> </w:t>
      </w:r>
      <w:r>
        <w:rPr/>
        <w:t>价与原计入其他综合收益的公允价值变动累计额之和的差额计入当期损益。</w:t>
      </w:r>
    </w:p>
    <w:p>
      <w:pPr>
        <w:pStyle w:val="BodyText"/>
        <w:spacing w:line="278" w:lineRule="auto" w:before="13"/>
        <w:ind w:right="128" w:firstLine="420"/>
        <w:jc w:val="right"/>
      </w:pPr>
      <w:r>
        <w:rPr>
          <w:spacing w:val="-2"/>
        </w:rPr>
        <w:t>金融资产部分转移满足终止确认条件的，将所转移金融资产的账面价值在终止确认及未终止</w:t>
      </w:r>
      <w:r>
        <w:rPr>
          <w:w w:val="100"/>
        </w:rPr>
        <w:t> </w:t>
      </w:r>
      <w:r>
        <w:rPr>
          <w:spacing w:val="-2"/>
        </w:rPr>
        <w:t>确认部分之间按其相对的公允价值进行分摊，并将因转移而收到的对价与应分摊至终止确认部分</w:t>
      </w:r>
      <w:r>
        <w:rPr>
          <w:spacing w:val="-54"/>
        </w:rPr>
        <w:t> </w:t>
      </w:r>
      <w:r>
        <w:rPr>
          <w:spacing w:val="-54"/>
        </w:rPr>
      </w:r>
      <w:r>
        <w:rPr>
          <w:spacing w:val="-2"/>
        </w:rPr>
        <w:t>的原计入其他综合收益的公允价值变动累计额之和与分摊的前述账面金额之差额计入当期损益。</w:t>
      </w:r>
      <w:r>
        <w:rPr>
          <w:spacing w:val="-54"/>
        </w:rPr>
        <w:t> </w:t>
      </w:r>
      <w:r>
        <w:rPr>
          <w:spacing w:val="-54"/>
        </w:rPr>
      </w:r>
      <w:r>
        <w:rPr>
          <w:spacing w:val="-2"/>
        </w:rPr>
        <w:t>本集团对采用附追索权方式出售的金融资产，或将持有的金融资产背书转让，需确定该金融</w:t>
      </w:r>
      <w:r>
        <w:rPr>
          <w:w w:val="100"/>
        </w:rPr>
        <w:t> </w:t>
      </w:r>
      <w:r>
        <w:rPr>
          <w:spacing w:val="-2"/>
        </w:rPr>
        <w:t>资产所有权上几乎所有的风险和报酬是否已经转移。已将该金融资产所有权上几乎所有的风险和</w:t>
      </w:r>
      <w:r>
        <w:rPr>
          <w:spacing w:val="-54"/>
        </w:rPr>
        <w:t> </w:t>
      </w:r>
      <w:r>
        <w:rPr>
          <w:spacing w:val="-54"/>
        </w:rPr>
      </w:r>
      <w:r>
        <w:rPr>
          <w:spacing w:val="-6"/>
          <w:w w:val="100"/>
        </w:rPr>
        <w:t>报酬转移给转入方的，终止确认该金融资产；保留了金融资产所有权上几乎所有的风险和报酬的，</w:t>
      </w:r>
      <w:r>
        <w:rPr>
          <w:w w:val="100"/>
        </w:rPr>
        <w:t> </w:t>
      </w:r>
      <w:r>
        <w:rPr>
          <w:spacing w:val="-2"/>
        </w:rPr>
        <w:t>不终止确认该金融资产；既没有转移也没有保留金融资产所有权上几乎所有的风险和报酬的，则</w:t>
      </w:r>
    </w:p>
    <w:p>
      <w:pPr>
        <w:pStyle w:val="BodyText"/>
        <w:spacing w:line="240" w:lineRule="auto" w:before="10"/>
        <w:ind w:right="0"/>
        <w:jc w:val="both"/>
      </w:pPr>
      <w:r>
        <w:rPr/>
        <w:t>继续判断企业是否对该资产保留了控制，并根据前面各段所述的原则进行会计处理。</w:t>
      </w:r>
    </w:p>
    <w:p>
      <w:pPr>
        <w:spacing w:line="266" w:lineRule="auto" w:before="44"/>
        <w:ind w:left="557"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4</w:t>
      </w:r>
      <w:r>
        <w:rPr>
          <w:rFonts w:ascii="宋体" w:hAnsi="宋体" w:cs="宋体" w:eastAsia="宋体" w:hint="default"/>
          <w:b/>
          <w:bCs/>
          <w:sz w:val="21"/>
          <w:szCs w:val="21"/>
        </w:rPr>
        <w:t>）金融负债的终止确认</w:t>
      </w:r>
      <w:r>
        <w:rPr>
          <w:rFonts w:ascii="宋体" w:hAnsi="宋体" w:cs="宋体" w:eastAsia="宋体" w:hint="default"/>
          <w:b/>
          <w:bCs/>
          <w:w w:val="100"/>
          <w:sz w:val="21"/>
          <w:szCs w:val="21"/>
        </w:rPr>
        <w:t> </w:t>
      </w:r>
      <w:r>
        <w:rPr>
          <w:rFonts w:ascii="宋体" w:hAnsi="宋体" w:cs="宋体" w:eastAsia="宋体" w:hint="default"/>
          <w:spacing w:val="-2"/>
          <w:sz w:val="21"/>
          <w:szCs w:val="21"/>
        </w:rPr>
        <w:t>金融负债（或其一部分）的现时义务已经解除的，本集团终止确认该金融负债（或该部分金</w:t>
      </w:r>
    </w:p>
    <w:p>
      <w:pPr>
        <w:pStyle w:val="BodyText"/>
        <w:spacing w:line="278" w:lineRule="auto" w:before="22"/>
        <w:ind w:right="129"/>
        <w:jc w:val="both"/>
      </w:pPr>
      <w:r>
        <w:rPr>
          <w:spacing w:val="-2"/>
        </w:rPr>
        <w:t>融负债）。本集团（借入方）与借出方签订协议，以承担新金融负债的方式替换原金融负债，且</w:t>
      </w:r>
      <w:r>
        <w:rPr>
          <w:spacing w:val="-25"/>
        </w:rPr>
        <w:t> </w:t>
      </w:r>
      <w:r>
        <w:rPr>
          <w:spacing w:val="-25"/>
        </w:rPr>
      </w:r>
      <w:r>
        <w:rPr>
          <w:spacing w:val="-2"/>
        </w:rPr>
        <w:t>新金融负债与原金融负债的合同条款实质上不同的，终止确认原金融负债，同时确认一项新金融</w:t>
      </w:r>
      <w:r>
        <w:rPr>
          <w:spacing w:val="-25"/>
        </w:rPr>
        <w:t> </w:t>
      </w:r>
      <w:r>
        <w:rPr>
          <w:spacing w:val="-25"/>
        </w:rPr>
      </w:r>
      <w:r>
        <w:rPr>
          <w:spacing w:val="-6"/>
        </w:rPr>
        <w:t>负债。本集团对原金融负债（或其一部分）的合同条款作出实质性修改的，终止确认原金融负债，</w:t>
      </w:r>
      <w:r>
        <w:rPr>
          <w:spacing w:val="-53"/>
        </w:rPr>
        <w:t> </w:t>
      </w:r>
      <w:r>
        <w:rPr>
          <w:spacing w:val="-53"/>
        </w:rPr>
      </w:r>
      <w:r>
        <w:rPr/>
        <w:t>同时按照修改后的条款确认一项新金融负债。</w:t>
      </w:r>
    </w:p>
    <w:p>
      <w:pPr>
        <w:pStyle w:val="BodyText"/>
        <w:spacing w:line="280" w:lineRule="auto" w:before="10"/>
        <w:ind w:right="0" w:firstLine="420"/>
        <w:jc w:val="left"/>
      </w:pPr>
      <w:r>
        <w:rPr>
          <w:spacing w:val="-2"/>
        </w:rPr>
        <w:t>金融负债（或其一部分）终止确认的，本集团将其账面价值与支付的对价（包括转出的非现</w:t>
      </w:r>
      <w:r>
        <w:rPr>
          <w:w w:val="100"/>
        </w:rPr>
        <w:t> </w:t>
      </w:r>
      <w:r>
        <w:rPr/>
        <w:t>金资产或承担的负债）之间的差额，计入当期损益。</w:t>
      </w:r>
    </w:p>
    <w:p>
      <w:pPr>
        <w:spacing w:line="264" w:lineRule="auto" w:before="8"/>
        <w:ind w:left="557"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5</w:t>
      </w:r>
      <w:r>
        <w:rPr>
          <w:rFonts w:ascii="宋体" w:hAnsi="宋体" w:cs="宋体" w:eastAsia="宋体" w:hint="default"/>
          <w:b/>
          <w:bCs/>
          <w:sz w:val="21"/>
          <w:szCs w:val="21"/>
        </w:rPr>
        <w:t>）金融资产和金融负债的抵销</w:t>
      </w:r>
      <w:r>
        <w:rPr>
          <w:rFonts w:ascii="宋体" w:hAnsi="宋体" w:cs="宋体" w:eastAsia="宋体" w:hint="default"/>
          <w:b/>
          <w:bCs/>
          <w:w w:val="100"/>
          <w:sz w:val="21"/>
          <w:szCs w:val="21"/>
        </w:rPr>
        <w:t> </w:t>
      </w:r>
      <w:r>
        <w:rPr>
          <w:rFonts w:ascii="宋体" w:hAnsi="宋体" w:cs="宋体" w:eastAsia="宋体" w:hint="default"/>
          <w:spacing w:val="-2"/>
          <w:sz w:val="21"/>
          <w:szCs w:val="21"/>
        </w:rPr>
        <w:t>当本集团具有抵销已确认金额的金融资产和金融负债的法定权利，且该种法定权利是当前可</w:t>
      </w:r>
    </w:p>
    <w:p>
      <w:pPr>
        <w:pStyle w:val="BodyText"/>
        <w:spacing w:line="278" w:lineRule="auto" w:before="25"/>
        <w:ind w:right="138"/>
        <w:jc w:val="both"/>
      </w:pPr>
      <w:r>
        <w:rPr>
          <w:spacing w:val="-2"/>
        </w:rPr>
        <w:t>执行的，同时本集团计划以净额结算或同时变现该金融资产和清偿该金融负债时，金融资产和金</w:t>
      </w:r>
      <w:r>
        <w:rPr>
          <w:spacing w:val="-25"/>
        </w:rPr>
        <w:t> </w:t>
      </w:r>
      <w:r>
        <w:rPr>
          <w:spacing w:val="-25"/>
        </w:rPr>
      </w:r>
      <w:r>
        <w:rPr>
          <w:spacing w:val="-2"/>
        </w:rPr>
        <w:t>融负债以相互抵销后的净额在资产负债表内列示。除此以外，金融资产和金融负债在资产负债表</w:t>
      </w:r>
      <w:r>
        <w:rPr>
          <w:spacing w:val="-25"/>
        </w:rPr>
        <w:t> </w:t>
      </w:r>
      <w:r>
        <w:rPr>
          <w:spacing w:val="-25"/>
        </w:rPr>
      </w:r>
      <w:r>
        <w:rPr/>
        <w:t>内分别列示，不予相互抵销。</w:t>
      </w:r>
    </w:p>
    <w:p>
      <w:pPr>
        <w:spacing w:line="264" w:lineRule="auto" w:before="13"/>
        <w:ind w:left="557"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6</w:t>
      </w:r>
      <w:r>
        <w:rPr>
          <w:rFonts w:ascii="宋体" w:hAnsi="宋体" w:cs="宋体" w:eastAsia="宋体" w:hint="default"/>
          <w:b/>
          <w:bCs/>
          <w:sz w:val="21"/>
          <w:szCs w:val="21"/>
        </w:rPr>
        <w:t>）金融资产和金融负债的公允价值确定方法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公允价值，是指市场参与者在计量日发生的有序交易中，出售一项资产所能收到或者转移一</w:t>
      </w:r>
    </w:p>
    <w:p>
      <w:pPr>
        <w:pStyle w:val="BodyText"/>
        <w:spacing w:line="280" w:lineRule="auto" w:before="23"/>
        <w:ind w:right="129"/>
        <w:jc w:val="both"/>
        <w:rPr>
          <w:rFonts w:ascii="宋体" w:hAnsi="宋体" w:cs="宋体" w:eastAsia="宋体" w:hint="default"/>
        </w:rPr>
      </w:pPr>
      <w:r>
        <w:rPr>
          <w:spacing w:val="-2"/>
        </w:rPr>
        <w:t>项负债所需支付的价格。金融工具存在活跃市场的，本集团采用活跃市场中的报价确定其公允价</w:t>
      </w:r>
      <w:r>
        <w:rPr>
          <w:spacing w:val="-25"/>
        </w:rPr>
        <w:t> </w:t>
      </w:r>
      <w:r>
        <w:rPr>
          <w:spacing w:val="-25"/>
        </w:rPr>
      </w:r>
      <w:r>
        <w:rPr>
          <w:spacing w:val="-6"/>
        </w:rPr>
        <w:t>值。活跃市场中的报价是指易于定期从交易所、经纪商、行业协会、定价服务机构等获得的价格，</w:t>
      </w:r>
      <w:r>
        <w:rPr>
          <w:spacing w:val="-53"/>
        </w:rPr>
        <w:t> </w:t>
      </w:r>
      <w:r>
        <w:rPr>
          <w:spacing w:val="-53"/>
        </w:rPr>
      </w:r>
      <w:r>
        <w:rPr>
          <w:spacing w:val="-2"/>
        </w:rPr>
        <w:t>且代表了在公平交易中实际发生的市场交易的价格。金融工具不存在活跃市场的，本集团采用估</w:t>
      </w:r>
      <w:r>
        <w:rPr>
          <w:spacing w:val="-25"/>
        </w:rPr>
        <w:t> </w:t>
      </w:r>
      <w:r>
        <w:rPr>
          <w:spacing w:val="-25"/>
        </w:rPr>
      </w:r>
      <w:r>
        <w:rPr>
          <w:spacing w:val="-2"/>
        </w:rPr>
        <w:t>值技术确定其公允价值。估值技术包括参考熟悉情况并自愿交易的各方最近进行的市场交易中使</w:t>
      </w:r>
      <w:r>
        <w:rPr>
          <w:spacing w:val="-25"/>
        </w:rPr>
        <w:t> </w:t>
      </w:r>
      <w:r>
        <w:rPr>
          <w:spacing w:val="-25"/>
        </w:rPr>
      </w:r>
      <w:r>
        <w:rPr>
          <w:spacing w:val="-6"/>
          <w:w w:val="100"/>
        </w:rPr>
        <w:t>用的价格、参照实质上相同的其他金融工具当前的公允价值、现金流量折现法和期权定价模型等。</w:t>
      </w:r>
      <w:r>
        <w:rPr>
          <w:w w:val="100"/>
        </w:rPr>
        <w:t> </w:t>
      </w:r>
      <w:r>
        <w:rPr>
          <w:spacing w:val="-2"/>
        </w:rPr>
        <w:t>在估值时，本集团采用在当前情况下适用并且有足够可利用数据和其他信息支持的估值技术，选</w:t>
      </w:r>
      <w:r>
        <w:rPr>
          <w:spacing w:val="-25"/>
        </w:rPr>
        <w:t> </w:t>
      </w:r>
      <w:r>
        <w:rPr>
          <w:spacing w:val="-25"/>
        </w:rPr>
      </w:r>
      <w:r>
        <w:rPr>
          <w:spacing w:val="-2"/>
        </w:rPr>
        <w:t>择与市场参与者在相关资产或负债的交易中所考虑的资产或负债特征相一致的输入值，并尽可能</w:t>
      </w:r>
      <w:r>
        <w:rPr>
          <w:spacing w:val="-25"/>
        </w:rPr>
        <w:t> </w:t>
      </w:r>
      <w:r>
        <w:rPr>
          <w:spacing w:val="-25"/>
        </w:rPr>
      </w:r>
      <w:r>
        <w:rPr>
          <w:spacing w:val="-2"/>
        </w:rPr>
        <w:t>优先使用相关可观察输入值。在相关可观察输入值无法取得或取得不切实可行的情况下，使用不</w:t>
      </w:r>
      <w:r>
        <w:rPr>
          <w:spacing w:val="-25"/>
        </w:rPr>
        <w:t> </w:t>
      </w:r>
      <w:r>
        <w:rPr>
          <w:spacing w:val="-25"/>
        </w:rPr>
      </w:r>
      <w:r>
        <w:rPr/>
        <w:t>可输入值。</w:t>
      </w:r>
      <w:r>
        <w:rPr>
          <w:rFonts w:ascii="宋体" w:hAnsi="宋体" w:cs="宋体" w:eastAsia="宋体" w:hint="default"/>
        </w:rPr>
        <w:t> </w:t>
      </w:r>
    </w:p>
    <w:p>
      <w:pPr>
        <w:pStyle w:val="BodyText"/>
        <w:spacing w:line="266" w:lineRule="auto" w:before="8"/>
        <w:ind w:left="557" w:right="0"/>
        <w:jc w:val="left"/>
      </w:pPr>
      <w:r>
        <w:rPr>
          <w:rFonts w:ascii="宋体" w:hAnsi="宋体" w:cs="宋体" w:eastAsia="宋体" w:hint="default"/>
          <w:b/>
          <w:bCs/>
        </w:rPr>
        <w:t>（</w:t>
      </w:r>
      <w:r>
        <w:rPr>
          <w:rFonts w:ascii="Arial" w:hAnsi="Arial" w:cs="Arial" w:eastAsia="Arial" w:hint="default"/>
          <w:b/>
          <w:bCs/>
        </w:rPr>
        <w:t>7</w:t>
      </w:r>
      <w:r>
        <w:rPr>
          <w:rFonts w:ascii="宋体" w:hAnsi="宋体" w:cs="宋体" w:eastAsia="宋体" w:hint="default"/>
          <w:b/>
          <w:bCs/>
        </w:rPr>
        <w:t>）权益工具</w:t>
      </w:r>
      <w:r>
        <w:rPr>
          <w:rFonts w:ascii="宋体" w:hAnsi="宋体" w:cs="宋体" w:eastAsia="宋体" w:hint="default"/>
          <w:b/>
          <w:bCs/>
          <w:w w:val="100"/>
        </w:rPr>
        <w:t> </w:t>
      </w:r>
      <w:r>
        <w:rPr>
          <w:spacing w:val="-2"/>
        </w:rPr>
        <w:t>权益工具是指能证明拥有本集团在扣除所有负债后的资产中的剩余权益的合同。本集团发行</w:t>
      </w:r>
    </w:p>
    <w:p>
      <w:pPr>
        <w:pStyle w:val="BodyText"/>
        <w:spacing w:line="278" w:lineRule="auto" w:before="21"/>
        <w:ind w:right="139"/>
        <w:jc w:val="both"/>
      </w:pPr>
      <w:r>
        <w:rPr>
          <w:spacing w:val="-2"/>
        </w:rPr>
        <w:t>（含再融资）、回购、出售或注销权益工具作为权益的变动处理，与权益性交易相关的交易费用</w:t>
      </w:r>
      <w:r>
        <w:rPr>
          <w:spacing w:val="-25"/>
        </w:rPr>
        <w:t> </w:t>
      </w:r>
      <w:r>
        <w:rPr>
          <w:spacing w:val="-25"/>
        </w:rPr>
      </w:r>
      <w:r>
        <w:rPr/>
        <w:t>从权益中扣减。本集团不确认权益工具的公允价值变动。</w:t>
      </w:r>
    </w:p>
    <w:p>
      <w:pPr>
        <w:pStyle w:val="BodyText"/>
        <w:spacing w:line="278" w:lineRule="auto" w:before="13"/>
        <w:ind w:right="0" w:firstLine="420"/>
        <w:jc w:val="left"/>
      </w:pPr>
      <w:r>
        <w:rPr>
          <w:spacing w:val="-2"/>
        </w:rPr>
        <w:t>本集团权益工具在存续期间分派股利（含分类为权益工具的工具所产生的“利息”）的，作</w:t>
      </w:r>
      <w:r>
        <w:rPr>
          <w:w w:val="100"/>
        </w:rPr>
        <w:t> </w:t>
      </w:r>
      <w:r>
        <w:rPr/>
        <w:t>为利润分配处理。</w:t>
      </w:r>
    </w:p>
    <w:p>
      <w:pPr>
        <w:pStyle w:val="Heading2"/>
        <w:spacing w:line="240" w:lineRule="auto" w:before="10"/>
        <w:ind w:left="559" w:right="0"/>
        <w:jc w:val="left"/>
        <w:rPr>
          <w:b w:val="0"/>
          <w:bCs w:val="0"/>
        </w:rPr>
      </w:pPr>
      <w:r>
        <w:rPr/>
        <w:t>（</w:t>
      </w:r>
      <w:r>
        <w:rPr>
          <w:rFonts w:ascii="Arial" w:hAnsi="Arial" w:cs="Arial" w:eastAsia="Arial" w:hint="default"/>
        </w:rPr>
        <w:t>8</w:t>
      </w:r>
      <w:r>
        <w:rPr/>
        <w:t>）金融资产减值</w:t>
      </w:r>
      <w:r>
        <w:rPr>
          <w:b w:val="0"/>
          <w:bCs w:val="0"/>
        </w:rPr>
      </w:r>
    </w:p>
    <w:p>
      <w:pPr>
        <w:spacing w:after="0" w:line="240" w:lineRule="auto"/>
        <w:jc w:val="left"/>
        <w:sectPr>
          <w:pgSz w:w="11910" w:h="16840"/>
          <w:pgMar w:header="826" w:footer="1195" w:top="1300" w:bottom="1380" w:left="1140" w:right="1660"/>
        </w:sectPr>
      </w:pPr>
    </w:p>
    <w:p>
      <w:pPr>
        <w:spacing w:line="240" w:lineRule="auto" w:before="5"/>
        <w:rPr>
          <w:rFonts w:ascii="宋体" w:hAnsi="宋体" w:cs="宋体" w:eastAsia="宋体" w:hint="default"/>
          <w:b/>
          <w:bCs/>
          <w:sz w:val="8"/>
          <w:szCs w:val="8"/>
        </w:rPr>
      </w:pPr>
    </w:p>
    <w:p>
      <w:pPr>
        <w:pStyle w:val="BodyText"/>
        <w:spacing w:line="280" w:lineRule="auto" w:before="36"/>
        <w:ind w:left="236" w:right="138" w:firstLine="420"/>
        <w:jc w:val="both"/>
      </w:pPr>
      <w:r>
        <w:rPr>
          <w:spacing w:val="-2"/>
        </w:rPr>
        <w:t>本集团需确认减值损失的金融资产系以摊余成本计量的金融资产、以公允价值计量且其变动</w:t>
      </w:r>
      <w:r>
        <w:rPr>
          <w:w w:val="100"/>
        </w:rPr>
        <w:t> </w:t>
      </w:r>
      <w:r>
        <w:rPr>
          <w:spacing w:val="-2"/>
        </w:rPr>
        <w:t>计入其他综合收益的债务工具投资、租赁应收款，主要包括应收票据、应收账款、其他应收款、</w:t>
      </w:r>
      <w:r>
        <w:rPr>
          <w:spacing w:val="-25"/>
        </w:rPr>
        <w:t> </w:t>
      </w:r>
      <w:r>
        <w:rPr>
          <w:spacing w:val="-25"/>
        </w:rPr>
      </w:r>
      <w:r>
        <w:rPr/>
        <w:t>债权投资、其他债权投资、长期应收款等。</w:t>
      </w:r>
    </w:p>
    <w:p>
      <w:pPr>
        <w:pStyle w:val="BodyText"/>
        <w:spacing w:line="278" w:lineRule="auto" w:before="8"/>
        <w:ind w:left="657" w:right="0"/>
        <w:jc w:val="left"/>
      </w:pPr>
      <w:r>
        <w:rPr/>
        <w:t>①减值准备的确认方法</w:t>
      </w:r>
      <w:r>
        <w:rPr>
          <w:w w:val="100"/>
        </w:rPr>
        <w:t> </w:t>
      </w:r>
      <w:r>
        <w:rPr>
          <w:spacing w:val="-2"/>
        </w:rPr>
        <w:t>本集团以预期信用损失为基础，对上述各项目按照其适用的预期信用损失计量方法（一般方</w:t>
      </w:r>
    </w:p>
    <w:p>
      <w:pPr>
        <w:pStyle w:val="BodyText"/>
        <w:spacing w:line="278" w:lineRule="auto" w:before="13"/>
        <w:ind w:left="657" w:right="0" w:hanging="421"/>
        <w:jc w:val="left"/>
      </w:pPr>
      <w:r>
        <w:rPr/>
        <w:t>法或简化方法）计提减值准备并确认信用减值损失。</w:t>
      </w:r>
      <w:r>
        <w:rPr>
          <w:w w:val="100"/>
        </w:rPr>
        <w:t> </w:t>
      </w:r>
      <w:r>
        <w:rPr>
          <w:spacing w:val="-2"/>
        </w:rPr>
        <w:t>信用损失，是指本集团按照原实际利率折现的、根据合同应收的所有合同现金流量与预期收</w:t>
      </w:r>
    </w:p>
    <w:p>
      <w:pPr>
        <w:pStyle w:val="BodyText"/>
        <w:spacing w:line="280" w:lineRule="auto" w:before="10"/>
        <w:ind w:left="236" w:right="0"/>
        <w:jc w:val="left"/>
      </w:pPr>
      <w:r>
        <w:rPr>
          <w:spacing w:val="-2"/>
        </w:rPr>
        <w:t>取的所有现金流量之间的差额，即全部现金短缺的现值。其中，对于购买或源生的已发生信用减</w:t>
      </w:r>
      <w:r>
        <w:rPr>
          <w:spacing w:val="-25"/>
        </w:rPr>
        <w:t> </w:t>
      </w:r>
      <w:r>
        <w:rPr>
          <w:spacing w:val="-25"/>
        </w:rPr>
      </w:r>
      <w:r>
        <w:rPr/>
        <w:t>值的金融资产，本集团按照该金融资产经信用调整的实际利率折现。</w:t>
      </w:r>
    </w:p>
    <w:p>
      <w:pPr>
        <w:pStyle w:val="BodyText"/>
        <w:spacing w:line="276" w:lineRule="auto" w:before="8"/>
        <w:ind w:left="236" w:right="0" w:firstLine="420"/>
        <w:jc w:val="left"/>
      </w:pPr>
      <w:r>
        <w:rPr>
          <w:spacing w:val="-2"/>
        </w:rPr>
        <w:t>预期信用损失计量的一般方法是指，本集团在每个资产负债表日评估金融资产（含其他适用</w:t>
      </w:r>
      <w:r>
        <w:rPr>
          <w:w w:val="100"/>
        </w:rPr>
        <w:t> </w:t>
      </w:r>
      <w:r>
        <w:rPr>
          <w:spacing w:val="-2"/>
        </w:rPr>
        <w:t>项目，下同）的信用风险自初始确认后是否已经显著增加，如果信用风险自初始确认后已显著增</w:t>
      </w:r>
      <w:r>
        <w:rPr>
          <w:spacing w:val="-25"/>
        </w:rPr>
        <w:t> </w:t>
      </w:r>
      <w:r>
        <w:rPr>
          <w:spacing w:val="-25"/>
        </w:rPr>
      </w:r>
      <w:r>
        <w:rPr>
          <w:spacing w:val="-2"/>
        </w:rPr>
        <w:t>加，本集团按照相当于整个存续期内预期信用损失的金额计量损失准备；如果信用风险自初始确</w:t>
      </w:r>
      <w:r>
        <w:rPr>
          <w:spacing w:val="-25"/>
        </w:rPr>
        <w:t> </w:t>
      </w:r>
      <w:r>
        <w:rPr>
          <w:spacing w:val="-25"/>
        </w:rPr>
      </w:r>
      <w:r>
        <w:rPr/>
        <w:t>认后未显著增加，本集团按照相当于未来</w:t>
      </w:r>
      <w:r>
        <w:rPr>
          <w:spacing w:val="-54"/>
        </w:rPr>
        <w:t> </w:t>
      </w:r>
      <w:r>
        <w:rPr>
          <w:rFonts w:ascii="Arial" w:hAnsi="Arial" w:cs="Arial" w:eastAsia="Arial" w:hint="default"/>
        </w:rPr>
        <w:t>12</w:t>
      </w:r>
      <w:r>
        <w:rPr>
          <w:rFonts w:ascii="Arial" w:hAnsi="Arial" w:cs="Arial" w:eastAsia="Arial" w:hint="default"/>
          <w:spacing w:val="-10"/>
        </w:rPr>
        <w:t> </w:t>
      </w:r>
      <w:r>
        <w:rPr/>
        <w:t>个月内预期信用损失的金额计量损失准备。本集团</w:t>
      </w:r>
      <w:r>
        <w:rPr>
          <w:w w:val="100"/>
        </w:rPr>
        <w:t> </w:t>
      </w:r>
      <w:r>
        <w:rPr/>
        <w:t>在评估预期信用损失时，考虑所有合理且有依据的信息，包括前瞻性信息。</w:t>
      </w:r>
    </w:p>
    <w:p>
      <w:pPr>
        <w:pStyle w:val="BodyText"/>
        <w:spacing w:line="278" w:lineRule="auto" w:before="15"/>
        <w:ind w:left="236" w:right="0" w:firstLine="420"/>
        <w:jc w:val="left"/>
      </w:pPr>
      <w:r>
        <w:rPr>
          <w:spacing w:val="-2"/>
        </w:rPr>
        <w:t>对于在资产负债表日具有较低信用风险的金融工具，本集团假设其信用风险自初始确认后并</w:t>
      </w:r>
      <w:r>
        <w:rPr>
          <w:w w:val="100"/>
        </w:rPr>
        <w:t> </w:t>
      </w:r>
      <w:r>
        <w:rPr/>
        <w:t>未显著增加，选择按照未来 </w:t>
      </w:r>
      <w:r>
        <w:rPr>
          <w:rFonts w:ascii="Arial" w:hAnsi="Arial" w:cs="Arial" w:eastAsia="Arial" w:hint="default"/>
        </w:rPr>
        <w:t>12</w:t>
      </w:r>
      <w:r>
        <w:rPr>
          <w:rFonts w:ascii="Arial" w:hAnsi="Arial" w:cs="Arial" w:eastAsia="Arial" w:hint="default"/>
          <w:spacing w:val="42"/>
        </w:rPr>
        <w:t> </w:t>
      </w:r>
      <w:r>
        <w:rPr/>
        <w:t>个月内的预期信用损失计量损失准备。</w:t>
      </w:r>
    </w:p>
    <w:p>
      <w:pPr>
        <w:pStyle w:val="BodyText"/>
        <w:spacing w:line="280" w:lineRule="auto"/>
        <w:ind w:left="657" w:right="0"/>
        <w:jc w:val="left"/>
      </w:pPr>
      <w:r>
        <w:rPr/>
        <w:t>②信用风险自初始确认后是否显著增加的判断标准</w:t>
      </w:r>
      <w:r>
        <w:rPr>
          <w:w w:val="100"/>
        </w:rPr>
        <w:t> </w:t>
      </w:r>
      <w:r>
        <w:rPr>
          <w:spacing w:val="-2"/>
        </w:rPr>
        <w:t>如果某项金融资产在资产负债表日确定的预计存续期内的违约概率显著高于在初始确认时确</w:t>
      </w:r>
    </w:p>
    <w:p>
      <w:pPr>
        <w:pStyle w:val="BodyText"/>
        <w:spacing w:line="273" w:lineRule="auto" w:before="8"/>
        <w:ind w:left="236" w:right="0"/>
        <w:jc w:val="left"/>
      </w:pPr>
      <w:r>
        <w:rPr>
          <w:spacing w:val="-2"/>
        </w:rPr>
        <w:t>定的预计存续期内的违约概率，则表明该项金融资产的信用风险显著增加。除特殊情况外，本集</w:t>
      </w:r>
      <w:r>
        <w:rPr>
          <w:spacing w:val="-25"/>
        </w:rPr>
        <w:t> </w:t>
      </w:r>
      <w:r>
        <w:rPr>
          <w:spacing w:val="-25"/>
        </w:rPr>
      </w:r>
      <w:r>
        <w:rPr/>
        <w:t>团采用未来</w:t>
      </w:r>
      <w:r>
        <w:rPr>
          <w:spacing w:val="-54"/>
        </w:rPr>
        <w:t> </w:t>
      </w:r>
      <w:r>
        <w:rPr>
          <w:rFonts w:ascii="Arial" w:hAnsi="Arial" w:cs="Arial" w:eastAsia="Arial" w:hint="default"/>
        </w:rPr>
        <w:t>12</w:t>
      </w:r>
      <w:r>
        <w:rPr>
          <w:rFonts w:ascii="Arial" w:hAnsi="Arial" w:cs="Arial" w:eastAsia="Arial" w:hint="default"/>
          <w:spacing w:val="-10"/>
        </w:rPr>
        <w:t> </w:t>
      </w:r>
      <w:r>
        <w:rPr/>
        <w:t>个月内发生的违约风险的变化作为整个存续期内发生违约风险变化的合理估计，</w:t>
      </w:r>
      <w:r>
        <w:rPr>
          <w:w w:val="100"/>
        </w:rPr>
        <w:t> </w:t>
      </w:r>
      <w:r>
        <w:rPr/>
        <w:t>来确定自初始确认后信用风险是否显著增加。</w:t>
      </w:r>
    </w:p>
    <w:p>
      <w:pPr>
        <w:pStyle w:val="BodyText"/>
        <w:spacing w:line="278" w:lineRule="auto" w:before="15"/>
        <w:ind w:left="657" w:right="0"/>
        <w:jc w:val="left"/>
      </w:pPr>
      <w:r>
        <w:rPr/>
        <w:t>④以组合为基础评估预期信用风险的组合方法</w:t>
      </w:r>
      <w:r>
        <w:rPr>
          <w:w w:val="100"/>
        </w:rPr>
        <w:t> </w:t>
      </w:r>
      <w:r>
        <w:rPr>
          <w:spacing w:val="-2"/>
        </w:rPr>
        <w:t>本集团对信用风险显著不同的金融资产单项评价信用风险，如：应收关联方款项；与对方存</w:t>
      </w:r>
    </w:p>
    <w:p>
      <w:pPr>
        <w:pStyle w:val="BodyText"/>
        <w:spacing w:line="278" w:lineRule="auto" w:before="13"/>
        <w:ind w:left="236" w:right="0"/>
        <w:jc w:val="left"/>
      </w:pPr>
      <w:r>
        <w:rPr>
          <w:spacing w:val="-2"/>
        </w:rPr>
        <w:t>在争议或涉及诉讼、仲裁的应收款项；已有明显迹象表明债务人很可能无法履行还款义务的应收</w:t>
      </w:r>
      <w:r>
        <w:rPr>
          <w:spacing w:val="-25"/>
        </w:rPr>
        <w:t> </w:t>
      </w:r>
      <w:r>
        <w:rPr>
          <w:spacing w:val="-25"/>
        </w:rPr>
      </w:r>
      <w:r>
        <w:rPr/>
        <w:t>款项等。</w:t>
      </w:r>
    </w:p>
    <w:p>
      <w:pPr>
        <w:pStyle w:val="BodyText"/>
        <w:spacing w:line="280" w:lineRule="auto" w:before="10"/>
        <w:ind w:left="236" w:right="0" w:firstLine="420"/>
        <w:jc w:val="left"/>
      </w:pPr>
      <w:r>
        <w:rPr>
          <w:spacing w:val="-2"/>
        </w:rPr>
        <w:t>除了单项评估信用风险的金融资产外，本集团基于共同风险特征将金融资产划分为不同的组</w:t>
      </w:r>
      <w:r>
        <w:rPr>
          <w:w w:val="100"/>
        </w:rPr>
        <w:t> </w:t>
      </w:r>
      <w:r>
        <w:rPr/>
        <w:t>别，在组合的基础上评估信用风险。</w:t>
      </w:r>
    </w:p>
    <w:p>
      <w:pPr>
        <w:pStyle w:val="BodyText"/>
        <w:spacing w:line="278" w:lineRule="auto" w:before="8"/>
        <w:ind w:left="657" w:right="0"/>
        <w:jc w:val="left"/>
      </w:pPr>
      <w:r>
        <w:rPr/>
        <w:t>⑤金融资产减值的会计处理方法</w:t>
      </w:r>
      <w:r>
        <w:rPr>
          <w:w w:val="100"/>
        </w:rPr>
        <w:t> </w:t>
      </w:r>
      <w:r>
        <w:rPr>
          <w:spacing w:val="-2"/>
        </w:rPr>
        <w:t>期末，本集团计算各类金融资产的预计信用损失，如果该预计信用损失大于其当前减值准备</w:t>
      </w:r>
    </w:p>
    <w:p>
      <w:pPr>
        <w:pStyle w:val="BodyText"/>
        <w:spacing w:line="278" w:lineRule="auto" w:before="13"/>
        <w:ind w:left="236" w:right="0"/>
        <w:jc w:val="left"/>
        <w:rPr>
          <w:rFonts w:ascii="宋体" w:hAnsi="宋体" w:cs="宋体" w:eastAsia="宋体" w:hint="default"/>
        </w:rPr>
      </w:pPr>
      <w:r>
        <w:rPr>
          <w:spacing w:val="-2"/>
        </w:rPr>
        <w:t>的账面金额，将其差额确认为减值损失；如果小于当前减值准备的账面金额，则将差额确认为减</w:t>
      </w:r>
      <w:r>
        <w:rPr>
          <w:spacing w:val="-25"/>
        </w:rPr>
        <w:t> </w:t>
      </w:r>
      <w:r>
        <w:rPr>
          <w:spacing w:val="-25"/>
        </w:rPr>
      </w:r>
      <w:r>
        <w:rPr/>
        <w:t>值利得。</w:t>
      </w:r>
      <w:r>
        <w:rPr>
          <w:rFonts w:ascii="宋体" w:hAnsi="宋体" w:cs="宋体" w:eastAsia="宋体" w:hint="default"/>
        </w:rPr>
        <w:t> </w:t>
      </w:r>
    </w:p>
    <w:p>
      <w:pPr>
        <w:pStyle w:val="Heading2"/>
        <w:spacing w:line="290" w:lineRule="auto" w:before="25"/>
        <w:ind w:left="236" w:right="3128"/>
        <w:jc w:val="left"/>
        <w:rPr>
          <w:rFonts w:ascii="宋体" w:hAnsi="宋体" w:cs="宋体" w:eastAsia="宋体" w:hint="default"/>
          <w:b w:val="0"/>
          <w:bCs w:val="0"/>
        </w:rPr>
      </w:pPr>
      <w:r>
        <w:rPr>
          <w:rFonts w:ascii="宋体" w:hAnsi="宋体" w:cs="宋体" w:eastAsia="宋体" w:hint="default"/>
        </w:rPr>
        <w:t>11.</w:t>
      </w:r>
      <w:r>
        <w:rPr>
          <w:rFonts w:ascii="宋体" w:hAnsi="宋体" w:cs="宋体" w:eastAsia="宋体" w:hint="default"/>
          <w:spacing w:val="1"/>
        </w:rPr>
        <w:t> </w:t>
      </w:r>
      <w:r>
        <w:rPr/>
        <w:t>应收票据</w:t>
      </w:r>
      <w:r>
        <w:rPr>
          <w:rFonts w:ascii="宋体" w:hAnsi="宋体" w:cs="宋体" w:eastAsia="宋体" w:hint="default"/>
          <w:w w:val="99"/>
        </w:rPr>
        <w:t> </w:t>
      </w:r>
      <w:r>
        <w:rPr/>
        <w:t>应收票据的预期信用损失的确定方法及会计处理方法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8" w:lineRule="auto" w:before="13"/>
        <w:ind w:left="65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本集团对于应收票据按照相当于整个存续期内的预期信用损失金额计量损失准备。基于应收</w:t>
      </w:r>
    </w:p>
    <w:p>
      <w:pPr>
        <w:pStyle w:val="BodyText"/>
        <w:spacing w:line="240" w:lineRule="auto" w:before="10"/>
        <w:ind w:left="236" w:right="0"/>
        <w:jc w:val="left"/>
      </w:pPr>
      <w:r>
        <w:rPr/>
        <w:t>票据的信用风险特征，将其划分为不同组合：</w:t>
      </w:r>
    </w:p>
    <w:p>
      <w:pPr>
        <w:spacing w:line="240" w:lineRule="auto" w:before="7"/>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2.2pt;height:1pt;mso-position-horizontal-relative:char;mso-position-vertical-relative:line" coordorigin="0,0" coordsize="8844,20">
            <v:group style="position:absolute;left:10;top:10;width:3054;height:2" coordorigin="10,10" coordsize="3054,2">
              <v:shape style="position:absolute;left:10;top:10;width:3054;height:2" coordorigin="10,10" coordsize="3054,0" path="m10,10l3063,10e" filled="false" stroked="true" strokeweight=".96002pt" strokecolor="#41b7ee">
                <v:path arrowok="t"/>
              </v:shape>
            </v:group>
            <v:group style="position:absolute;left:3063;top:10;width:58;height:2" coordorigin="3063,10" coordsize="58,2">
              <v:shape style="position:absolute;left:3063;top:10;width:58;height:2" coordorigin="3063,10" coordsize="58,0" path="m3063,10l3121,10e" filled="false" stroked="true" strokeweight=".96002pt" strokecolor="#41b7ee">
                <v:path arrowok="t"/>
              </v:shape>
            </v:group>
            <v:group style="position:absolute;left:3121;top:10;width:5713;height:2" coordorigin="3121,10" coordsize="5713,2">
              <v:shape style="position:absolute;left:3121;top:10;width:5713;height:2" coordorigin="3121,10" coordsize="5713,0" path="m3121,10l8834,10e" filled="false" stroked="true" strokeweight=".96002pt" strokecolor="#41b7ee">
                <v:path arrowok="t"/>
              </v:shape>
            </v:group>
          </v:group>
        </w:pict>
      </w:r>
      <w:r>
        <w:rPr>
          <w:rFonts w:ascii="宋体" w:hAnsi="宋体" w:cs="宋体" w:eastAsia="宋体" w:hint="default"/>
          <w:sz w:val="2"/>
          <w:szCs w:val="2"/>
        </w:rPr>
      </w:r>
    </w:p>
    <w:tbl>
      <w:tblPr>
        <w:tblW w:w="0" w:type="auto"/>
        <w:jc w:val="left"/>
        <w:tblInd w:w="119" w:type="dxa"/>
        <w:tblLayout w:type="fixed"/>
        <w:tblCellMar>
          <w:top w:w="0" w:type="dxa"/>
          <w:left w:w="0" w:type="dxa"/>
          <w:bottom w:w="0" w:type="dxa"/>
          <w:right w:w="0" w:type="dxa"/>
        </w:tblCellMar>
        <w:tblLook w:val="01E0"/>
      </w:tblPr>
      <w:tblGrid>
        <w:gridCol w:w="3059"/>
        <w:gridCol w:w="5766"/>
      </w:tblGrid>
      <w:tr>
        <w:trPr>
          <w:trHeight w:val="365" w:hRule="exact"/>
        </w:trPr>
        <w:tc>
          <w:tcPr>
            <w:tcW w:w="3059"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766"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28"/>
              <w:ind w:left="520"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358" w:hRule="exact"/>
        </w:trPr>
        <w:tc>
          <w:tcPr>
            <w:tcW w:w="305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6"/>
              <w:ind w:left="108"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576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承兑人为信用风险较小的银行</w:t>
            </w:r>
          </w:p>
        </w:tc>
      </w:tr>
      <w:tr>
        <w:trPr>
          <w:trHeight w:val="365" w:hRule="exact"/>
        </w:trPr>
        <w:tc>
          <w:tcPr>
            <w:tcW w:w="3059"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26"/>
              <w:ind w:left="108"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5766"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以商业承兑汇票的账龄作为信用风险特征</w:t>
            </w:r>
          </w:p>
        </w:tc>
      </w:tr>
    </w:tbl>
    <w:p>
      <w:pPr>
        <w:spacing w:line="240" w:lineRule="auto" w:before="11"/>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2.2pt;height:1pt;mso-position-horizontal-relative:char;mso-position-vertical-relative:line" coordorigin="0,0" coordsize="8844,20">
            <v:group style="position:absolute;left:10;top:10;width:3054;height:2" coordorigin="10,10" coordsize="3054,2">
              <v:shape style="position:absolute;left:10;top:10;width:3054;height:2" coordorigin="10,10" coordsize="3054,0" path="m10,10l3063,10e" filled="false" stroked="true" strokeweight=".96002pt" strokecolor="#41b7ee">
                <v:path arrowok="t"/>
              </v:shape>
            </v:group>
            <v:group style="position:absolute;left:3063;top:10;width:58;height:2" coordorigin="3063,10" coordsize="58,2">
              <v:shape style="position:absolute;left:3063;top:10;width:58;height:2" coordorigin="3063,10" coordsize="58,0" path="m3063,10l3121,10e" filled="false" stroked="true" strokeweight=".96002pt" strokecolor="#41b7ee">
                <v:path arrowok="t"/>
              </v:shape>
            </v:group>
            <v:group style="position:absolute;left:3121;top:10;width:5713;height:2" coordorigin="3121,10" coordsize="5713,2">
              <v:shape style="position:absolute;left:3121;top:10;width:5713;height:2" coordorigin="3121,10" coordsize="5713,0" path="m3121,10l8834,10e" filled="false" stroked="true" strokeweight=".96002pt" strokecolor="#41b7ee">
                <v:path arrowok="t"/>
              </v:shape>
            </v:group>
          </v:group>
        </w:pict>
      </w:r>
      <w:r>
        <w:rPr>
          <w:rFonts w:ascii="宋体" w:hAnsi="宋体" w:cs="宋体" w:eastAsia="宋体" w:hint="default"/>
          <w:sz w:val="2"/>
          <w:szCs w:val="2"/>
        </w:rPr>
      </w:r>
    </w:p>
    <w:p>
      <w:pPr>
        <w:pStyle w:val="Heading2"/>
        <w:spacing w:line="290" w:lineRule="auto" w:before="25"/>
        <w:ind w:left="236" w:right="3128"/>
        <w:jc w:val="left"/>
        <w:rPr>
          <w:rFonts w:ascii="宋体" w:hAnsi="宋体" w:cs="宋体" w:eastAsia="宋体" w:hint="default"/>
          <w:b w:val="0"/>
          <w:bCs w:val="0"/>
        </w:rPr>
      </w:pPr>
      <w:r>
        <w:rPr>
          <w:rFonts w:ascii="宋体" w:hAnsi="宋体" w:cs="宋体" w:eastAsia="宋体" w:hint="default"/>
        </w:rPr>
        <w:t>12.</w:t>
      </w:r>
      <w:r>
        <w:rPr>
          <w:rFonts w:ascii="宋体" w:hAnsi="宋体" w:cs="宋体" w:eastAsia="宋体" w:hint="default"/>
          <w:spacing w:val="1"/>
        </w:rPr>
        <w:t> </w:t>
      </w:r>
      <w:r>
        <w:rPr/>
        <w:t>应收账款</w:t>
      </w:r>
      <w:r>
        <w:rPr>
          <w:rFonts w:ascii="宋体" w:hAnsi="宋体" w:cs="宋体" w:eastAsia="宋体" w:hint="default"/>
          <w:w w:val="99"/>
        </w:rPr>
        <w:t> </w:t>
      </w:r>
      <w:r>
        <w:rPr/>
        <w:t>应收账款的预期信用损失的确定方法及会计处理方法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26" w:footer="1195" w:top="1300" w:bottom="1380" w:left="1040" w:right="1660"/>
        </w:sectPr>
      </w:pPr>
    </w:p>
    <w:p>
      <w:pPr>
        <w:spacing w:line="240" w:lineRule="auto" w:before="5"/>
        <w:rPr>
          <w:rFonts w:ascii="宋体" w:hAnsi="宋体" w:cs="宋体" w:eastAsia="宋体" w:hint="default"/>
          <w:sz w:val="8"/>
          <w:szCs w:val="8"/>
        </w:rPr>
      </w:pPr>
    </w:p>
    <w:p>
      <w:pPr>
        <w:pStyle w:val="BodyText"/>
        <w:spacing w:line="278" w:lineRule="auto" w:before="36"/>
        <w:ind w:left="236" w:right="0" w:firstLine="420"/>
        <w:jc w:val="left"/>
        <w:rPr>
          <w:rFonts w:ascii="宋体" w:hAnsi="宋体" w:cs="宋体" w:eastAsia="宋体" w:hint="default"/>
        </w:rPr>
      </w:pPr>
      <w:r>
        <w:rPr>
          <w:spacing w:val="-2"/>
        </w:rPr>
        <w:t>对于不含重大融资成分的应收款项，本集团按照相当于整个存续期内的预期信用损失金额计</w:t>
      </w:r>
      <w:r>
        <w:rPr>
          <w:w w:val="100"/>
        </w:rPr>
        <w:t> </w:t>
      </w:r>
      <w:r>
        <w:rPr/>
        <w:t>量损失准备。</w:t>
      </w:r>
      <w:r>
        <w:rPr>
          <w:rFonts w:ascii="宋体" w:hAnsi="宋体" w:cs="宋体" w:eastAsia="宋体" w:hint="default"/>
        </w:rPr>
        <w:t> </w:t>
      </w:r>
    </w:p>
    <w:p>
      <w:pPr>
        <w:pStyle w:val="BodyText"/>
        <w:spacing w:line="278" w:lineRule="auto" w:before="13"/>
        <w:ind w:left="236" w:right="0" w:firstLine="420"/>
        <w:jc w:val="left"/>
        <w:rPr>
          <w:rFonts w:ascii="宋体" w:hAnsi="宋体" w:cs="宋体" w:eastAsia="宋体" w:hint="default"/>
        </w:rPr>
      </w:pPr>
      <w:r>
        <w:rPr>
          <w:spacing w:val="-2"/>
        </w:rPr>
        <w:t>对于包含重大融资成分的应收款项和租赁应收款，本集团选择始终按照相当于存续期内预期</w:t>
      </w:r>
      <w:r>
        <w:rPr>
          <w:w w:val="100"/>
        </w:rPr>
        <w:t> </w:t>
      </w:r>
      <w:r>
        <w:rPr/>
        <w:t>信用损失的金额计量损失准备。</w:t>
      </w:r>
      <w:r>
        <w:rPr>
          <w:rFonts w:ascii="宋体" w:hAnsi="宋体" w:cs="宋体" w:eastAsia="宋体" w:hint="default"/>
        </w:rPr>
        <w:t> </w:t>
      </w:r>
    </w:p>
    <w:p>
      <w:pPr>
        <w:pStyle w:val="BodyText"/>
        <w:spacing w:line="240" w:lineRule="auto" w:before="10"/>
        <w:ind w:left="657" w:right="0"/>
        <w:jc w:val="left"/>
        <w:rPr>
          <w:rFonts w:ascii="宋体" w:hAnsi="宋体" w:cs="宋体" w:eastAsia="宋体" w:hint="default"/>
        </w:rPr>
      </w:pPr>
      <w:r>
        <w:rPr/>
        <w:t>除了单项评估信用风险的应收账款外，基于其信用风险特征，将其划分为不同组合：</w:t>
      </w:r>
      <w:r>
        <w:rPr>
          <w:rFonts w:ascii="宋体" w:hAnsi="宋体" w:cs="宋体" w:eastAsia="宋体" w:hint="default"/>
        </w:rPr>
        <w:t> </w:t>
      </w:r>
    </w:p>
    <w:p>
      <w:pPr>
        <w:spacing w:line="240" w:lineRule="auto" w:before="9"/>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2.2pt;height:1pt;mso-position-horizontal-relative:char;mso-position-vertical-relative:line" coordorigin="0,0" coordsize="8844,20">
            <v:group style="position:absolute;left:10;top:10;width:3054;height:2" coordorigin="10,10" coordsize="3054,2">
              <v:shape style="position:absolute;left:10;top:10;width:3054;height:2" coordorigin="10,10" coordsize="3054,0" path="m10,10l3063,10e" filled="false" stroked="true" strokeweight=".96001pt" strokecolor="#41b7ee">
                <v:path arrowok="t"/>
              </v:shape>
            </v:group>
            <v:group style="position:absolute;left:3063;top:10;width:58;height:2" coordorigin="3063,10" coordsize="58,2">
              <v:shape style="position:absolute;left:3063;top:10;width:58;height:2" coordorigin="3063,10" coordsize="58,0" path="m3063,10l3121,10e" filled="false" stroked="true" strokeweight=".96001pt" strokecolor="#41b7ee">
                <v:path arrowok="t"/>
              </v:shape>
            </v:group>
            <v:group style="position:absolute;left:3121;top:10;width:5713;height:2" coordorigin="3121,10" coordsize="5713,2">
              <v:shape style="position:absolute;left:3121;top:10;width:5713;height:2" coordorigin="3121,10" coordsize="5713,0" path="m3121,10l8834,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3059"/>
        <w:gridCol w:w="5766"/>
      </w:tblGrid>
      <w:tr>
        <w:trPr>
          <w:trHeight w:val="362" w:hRule="exact"/>
        </w:trPr>
        <w:tc>
          <w:tcPr>
            <w:tcW w:w="3059"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26"/>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5766"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26"/>
              <w:ind w:left="97" w:right="0"/>
              <w:jc w:val="center"/>
              <w:rPr>
                <w:rFonts w:ascii="宋体" w:hAnsi="宋体" w:cs="宋体" w:eastAsia="宋体" w:hint="default"/>
                <w:sz w:val="21"/>
                <w:szCs w:val="21"/>
              </w:rPr>
            </w:pPr>
            <w:r>
              <w:rPr>
                <w:rFonts w:ascii="宋体" w:hAnsi="宋体" w:cs="宋体" w:eastAsia="宋体" w:hint="default"/>
                <w:sz w:val="21"/>
                <w:szCs w:val="21"/>
              </w:rPr>
              <w:t>确定组合的依据</w:t>
            </w:r>
            <w:r>
              <w:rPr>
                <w:rFonts w:ascii="宋体" w:hAnsi="宋体" w:cs="宋体" w:eastAsia="宋体" w:hint="default"/>
                <w:sz w:val="21"/>
                <w:szCs w:val="21"/>
              </w:rPr>
              <w:t> </w:t>
            </w:r>
          </w:p>
        </w:tc>
      </w:tr>
      <w:tr>
        <w:trPr>
          <w:trHeight w:val="358" w:hRule="exact"/>
        </w:trPr>
        <w:tc>
          <w:tcPr>
            <w:tcW w:w="305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6"/>
              <w:ind w:left="108" w:right="0"/>
              <w:jc w:val="left"/>
              <w:rPr>
                <w:rFonts w:ascii="宋体" w:hAnsi="宋体" w:cs="宋体" w:eastAsia="宋体" w:hint="default"/>
                <w:sz w:val="21"/>
                <w:szCs w:val="21"/>
              </w:rPr>
            </w:pPr>
            <w:r>
              <w:rPr>
                <w:rFonts w:ascii="宋体" w:hAnsi="宋体" w:cs="宋体" w:eastAsia="宋体" w:hint="default"/>
                <w:sz w:val="21"/>
                <w:szCs w:val="21"/>
              </w:rPr>
              <w:t>账龄组合</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576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以应收款项的账龄为信用风险特征划分组合</w:t>
            </w:r>
            <w:r>
              <w:rPr>
                <w:rFonts w:ascii="宋体" w:hAnsi="宋体" w:cs="宋体" w:eastAsia="宋体" w:hint="default"/>
                <w:sz w:val="21"/>
                <w:szCs w:val="21"/>
              </w:rPr>
              <w:t> </w:t>
            </w:r>
          </w:p>
        </w:tc>
      </w:tr>
      <w:tr>
        <w:trPr>
          <w:trHeight w:val="358" w:hRule="exact"/>
        </w:trPr>
        <w:tc>
          <w:tcPr>
            <w:tcW w:w="305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6"/>
              <w:ind w:left="108" w:right="0"/>
              <w:jc w:val="left"/>
              <w:rPr>
                <w:rFonts w:ascii="宋体" w:hAnsi="宋体" w:cs="宋体" w:eastAsia="宋体" w:hint="default"/>
                <w:sz w:val="21"/>
                <w:szCs w:val="21"/>
              </w:rPr>
            </w:pPr>
            <w:r>
              <w:rPr>
                <w:rFonts w:ascii="宋体" w:hAnsi="宋体" w:cs="宋体" w:eastAsia="宋体" w:hint="default"/>
                <w:sz w:val="21"/>
                <w:szCs w:val="21"/>
              </w:rPr>
              <w:t>与交易对象关系组合</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576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以关联方关系划分组合</w:t>
            </w:r>
            <w:r>
              <w:rPr>
                <w:rFonts w:ascii="宋体" w:hAnsi="宋体" w:cs="宋体" w:eastAsia="宋体" w:hint="default"/>
                <w:sz w:val="21"/>
                <w:szCs w:val="21"/>
              </w:rPr>
              <w:t> </w:t>
            </w:r>
          </w:p>
        </w:tc>
      </w:tr>
      <w:tr>
        <w:trPr>
          <w:trHeight w:val="384" w:hRule="exact"/>
        </w:trPr>
        <w:tc>
          <w:tcPr>
            <w:tcW w:w="3059"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26"/>
              <w:ind w:left="108" w:right="0"/>
              <w:jc w:val="left"/>
              <w:rPr>
                <w:rFonts w:ascii="宋体" w:hAnsi="宋体" w:cs="宋体" w:eastAsia="宋体" w:hint="default"/>
                <w:sz w:val="21"/>
                <w:szCs w:val="21"/>
              </w:rPr>
            </w:pPr>
            <w:r>
              <w:rPr>
                <w:rFonts w:ascii="宋体" w:hAnsi="宋体" w:cs="宋体" w:eastAsia="宋体" w:hint="default"/>
                <w:sz w:val="21"/>
                <w:szCs w:val="21"/>
              </w:rPr>
              <w:t>款项性质组合</w:t>
            </w:r>
            <w:r>
              <w:rPr>
                <w:rFonts w:ascii="宋体" w:hAnsi="宋体" w:cs="宋体" w:eastAsia="宋体" w:hint="default"/>
                <w:sz w:val="21"/>
                <w:szCs w:val="21"/>
              </w:rPr>
              <w:t> </w:t>
            </w:r>
          </w:p>
        </w:tc>
        <w:tc>
          <w:tcPr>
            <w:tcW w:w="5766"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以保证金、押金、备用金等划分组合</w:t>
            </w:r>
            <w:r>
              <w:rPr>
                <w:rFonts w:ascii="宋体" w:hAnsi="宋体" w:cs="宋体" w:eastAsia="宋体" w:hint="default"/>
                <w:sz w:val="21"/>
                <w:szCs w:val="21"/>
              </w:rPr>
              <w:t> </w:t>
            </w:r>
          </w:p>
        </w:tc>
      </w:tr>
    </w:tbl>
    <w:p>
      <w:pPr>
        <w:pStyle w:val="Heading2"/>
        <w:spacing w:line="240" w:lineRule="auto" w:before="44"/>
        <w:ind w:left="236" w:right="2410"/>
        <w:jc w:val="left"/>
        <w:rPr>
          <w:b w:val="0"/>
          <w:bCs w:val="0"/>
        </w:rPr>
      </w:pPr>
      <w:r>
        <w:rPr>
          <w:rFonts w:ascii="宋体" w:hAnsi="宋体" w:cs="宋体" w:eastAsia="宋体" w:hint="default"/>
        </w:rPr>
        <w:t>13.</w:t>
      </w:r>
      <w:r>
        <w:rPr>
          <w:rFonts w:ascii="宋体" w:hAnsi="宋体" w:cs="宋体" w:eastAsia="宋体" w:hint="default"/>
          <w:spacing w:val="3"/>
        </w:rPr>
        <w:t> </w:t>
      </w:r>
      <w:r>
        <w:rPr/>
        <w:t>应收款项融资</w:t>
      </w:r>
      <w:r>
        <w:rPr>
          <w:b w:val="0"/>
          <w:bCs w:val="0"/>
        </w:rPr>
      </w:r>
    </w:p>
    <w:p>
      <w:pPr>
        <w:spacing w:line="290" w:lineRule="auto" w:before="56"/>
        <w:ind w:left="236" w:right="719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14.</w:t>
      </w:r>
      <w:r>
        <w:rPr>
          <w:rFonts w:ascii="宋体" w:hAnsi="宋体" w:cs="宋体" w:eastAsia="宋体" w:hint="default"/>
          <w:b/>
          <w:bCs/>
          <w:spacing w:val="3"/>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Heading2"/>
        <w:spacing w:line="240" w:lineRule="auto" w:before="14"/>
        <w:ind w:left="236" w:right="2410"/>
        <w:jc w:val="left"/>
        <w:rPr>
          <w:rFonts w:ascii="宋体" w:hAnsi="宋体" w:cs="宋体" w:eastAsia="宋体" w:hint="default"/>
          <w:b w:val="0"/>
          <w:bCs w:val="0"/>
        </w:rPr>
      </w:pPr>
      <w:r>
        <w:rPr/>
        <w:t>其他应收款预期信用损失的确定方法及会计处理方法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8" w:lineRule="auto" w:before="56"/>
        <w:ind w:left="657" w:right="294"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本集团依据其他应收款信用风险自初始确认后是否已经显著增加，采用相当于未来</w:t>
      </w:r>
      <w:r>
        <w:rPr>
          <w:spacing w:val="-53"/>
        </w:rPr>
        <w:t> </w:t>
      </w:r>
      <w:r>
        <w:rPr>
          <w:rFonts w:ascii="Arial" w:hAnsi="Arial" w:cs="Arial" w:eastAsia="Arial" w:hint="default"/>
        </w:rPr>
        <w:t>12</w:t>
      </w:r>
      <w:r>
        <w:rPr>
          <w:rFonts w:ascii="Arial" w:hAnsi="Arial" w:cs="Arial" w:eastAsia="Arial" w:hint="default"/>
          <w:spacing w:val="-9"/>
        </w:rPr>
        <w:t> </w:t>
      </w:r>
      <w:r>
        <w:rPr/>
        <w:t>个月</w:t>
      </w:r>
    </w:p>
    <w:p>
      <w:pPr>
        <w:pStyle w:val="BodyText"/>
        <w:spacing w:line="280" w:lineRule="auto"/>
        <w:ind w:left="236" w:right="0"/>
        <w:jc w:val="left"/>
        <w:rPr>
          <w:rFonts w:ascii="宋体" w:hAnsi="宋体" w:cs="宋体" w:eastAsia="宋体" w:hint="default"/>
        </w:rPr>
      </w:pPr>
      <w:r>
        <w:rPr>
          <w:spacing w:val="-4"/>
        </w:rPr>
        <w:t>内、或整个存续期的预期信用损失的金额计量减值损失。除了单项评估信用风险的其他应收款外，</w:t>
      </w:r>
      <w:r>
        <w:rPr>
          <w:spacing w:val="-36"/>
        </w:rPr>
        <w:t> </w:t>
      </w:r>
      <w:r>
        <w:rPr>
          <w:spacing w:val="-36"/>
        </w:rPr>
      </w:r>
      <w:r>
        <w:rPr/>
        <w:t>基于其信用风险特征，将其划分为不同组合：</w:t>
      </w:r>
      <w:r>
        <w:rPr>
          <w:rFonts w:ascii="宋体" w:hAnsi="宋体" w:cs="宋体" w:eastAsia="宋体" w:hint="default"/>
        </w:rPr>
        <w:t> </w:t>
      </w:r>
    </w:p>
    <w:tbl>
      <w:tblPr>
        <w:tblW w:w="0" w:type="auto"/>
        <w:jc w:val="left"/>
        <w:tblInd w:w="100" w:type="dxa"/>
        <w:tblLayout w:type="fixed"/>
        <w:tblCellMar>
          <w:top w:w="0" w:type="dxa"/>
          <w:left w:w="0" w:type="dxa"/>
          <w:bottom w:w="0" w:type="dxa"/>
          <w:right w:w="0" w:type="dxa"/>
        </w:tblCellMar>
        <w:tblLook w:val="01E0"/>
      </w:tblPr>
      <w:tblGrid>
        <w:gridCol w:w="3059"/>
        <w:gridCol w:w="5624"/>
      </w:tblGrid>
      <w:tr>
        <w:trPr>
          <w:trHeight w:val="382" w:hRule="exact"/>
        </w:trPr>
        <w:tc>
          <w:tcPr>
            <w:tcW w:w="3059"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25"/>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5624"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25"/>
              <w:ind w:left="95" w:right="0"/>
              <w:jc w:val="center"/>
              <w:rPr>
                <w:rFonts w:ascii="宋体" w:hAnsi="宋体" w:cs="宋体" w:eastAsia="宋体" w:hint="default"/>
                <w:sz w:val="21"/>
                <w:szCs w:val="21"/>
              </w:rPr>
            </w:pPr>
            <w:r>
              <w:rPr>
                <w:rFonts w:ascii="宋体" w:hAnsi="宋体" w:cs="宋体" w:eastAsia="宋体" w:hint="default"/>
                <w:sz w:val="21"/>
                <w:szCs w:val="21"/>
              </w:rPr>
              <w:t>确定组合的依据</w:t>
            </w:r>
            <w:r>
              <w:rPr>
                <w:rFonts w:ascii="宋体" w:hAnsi="宋体" w:cs="宋体" w:eastAsia="宋体" w:hint="default"/>
                <w:sz w:val="21"/>
                <w:szCs w:val="21"/>
              </w:rPr>
              <w:t> </w:t>
            </w:r>
          </w:p>
        </w:tc>
      </w:tr>
      <w:tr>
        <w:trPr>
          <w:trHeight w:val="358" w:hRule="exact"/>
        </w:trPr>
        <w:tc>
          <w:tcPr>
            <w:tcW w:w="305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3"/>
              <w:ind w:left="108" w:right="0"/>
              <w:jc w:val="left"/>
              <w:rPr>
                <w:rFonts w:ascii="宋体" w:hAnsi="宋体" w:cs="宋体" w:eastAsia="宋体" w:hint="default"/>
                <w:sz w:val="21"/>
                <w:szCs w:val="21"/>
              </w:rPr>
            </w:pPr>
            <w:r>
              <w:rPr>
                <w:rFonts w:ascii="宋体" w:hAnsi="宋体" w:cs="宋体" w:eastAsia="宋体" w:hint="default"/>
                <w:sz w:val="21"/>
                <w:szCs w:val="21"/>
              </w:rPr>
              <w:t>账龄组合</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562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3"/>
              <w:ind w:left="100" w:right="0"/>
              <w:jc w:val="left"/>
              <w:rPr>
                <w:rFonts w:ascii="宋体" w:hAnsi="宋体" w:cs="宋体" w:eastAsia="宋体" w:hint="default"/>
                <w:sz w:val="21"/>
                <w:szCs w:val="21"/>
              </w:rPr>
            </w:pPr>
            <w:r>
              <w:rPr>
                <w:rFonts w:ascii="宋体" w:hAnsi="宋体" w:cs="宋体" w:eastAsia="宋体" w:hint="default"/>
                <w:sz w:val="21"/>
                <w:szCs w:val="21"/>
              </w:rPr>
              <w:t>以应收款项的账龄为信用风险特征划分组合</w:t>
            </w:r>
            <w:r>
              <w:rPr>
                <w:rFonts w:ascii="宋体" w:hAnsi="宋体" w:cs="宋体" w:eastAsia="宋体" w:hint="default"/>
                <w:sz w:val="21"/>
                <w:szCs w:val="21"/>
              </w:rPr>
              <w:t> </w:t>
            </w:r>
          </w:p>
        </w:tc>
      </w:tr>
      <w:tr>
        <w:trPr>
          <w:trHeight w:val="358" w:hRule="exact"/>
        </w:trPr>
        <w:tc>
          <w:tcPr>
            <w:tcW w:w="305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3"/>
              <w:ind w:left="108" w:right="0"/>
              <w:jc w:val="left"/>
              <w:rPr>
                <w:rFonts w:ascii="宋体" w:hAnsi="宋体" w:cs="宋体" w:eastAsia="宋体" w:hint="default"/>
                <w:sz w:val="21"/>
                <w:szCs w:val="21"/>
              </w:rPr>
            </w:pPr>
            <w:r>
              <w:rPr>
                <w:rFonts w:ascii="宋体" w:hAnsi="宋体" w:cs="宋体" w:eastAsia="宋体" w:hint="default"/>
                <w:sz w:val="21"/>
                <w:szCs w:val="21"/>
              </w:rPr>
              <w:t>与交易对象关系组合</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562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3"/>
              <w:ind w:left="100" w:right="0"/>
              <w:jc w:val="left"/>
              <w:rPr>
                <w:rFonts w:ascii="宋体" w:hAnsi="宋体" w:cs="宋体" w:eastAsia="宋体" w:hint="default"/>
                <w:sz w:val="21"/>
                <w:szCs w:val="21"/>
              </w:rPr>
            </w:pPr>
            <w:r>
              <w:rPr>
                <w:rFonts w:ascii="宋体" w:hAnsi="宋体" w:cs="宋体" w:eastAsia="宋体" w:hint="default"/>
                <w:sz w:val="21"/>
                <w:szCs w:val="21"/>
              </w:rPr>
              <w:t>以关联方关系划分组合</w:t>
            </w:r>
            <w:r>
              <w:rPr>
                <w:rFonts w:ascii="宋体" w:hAnsi="宋体" w:cs="宋体" w:eastAsia="宋体" w:hint="default"/>
                <w:sz w:val="21"/>
                <w:szCs w:val="21"/>
              </w:rPr>
              <w:t> </w:t>
            </w:r>
          </w:p>
        </w:tc>
      </w:tr>
      <w:tr>
        <w:trPr>
          <w:trHeight w:val="365" w:hRule="exact"/>
        </w:trPr>
        <w:tc>
          <w:tcPr>
            <w:tcW w:w="3059"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23"/>
              <w:ind w:left="108" w:right="0"/>
              <w:jc w:val="left"/>
              <w:rPr>
                <w:rFonts w:ascii="宋体" w:hAnsi="宋体" w:cs="宋体" w:eastAsia="宋体" w:hint="default"/>
                <w:sz w:val="21"/>
                <w:szCs w:val="21"/>
              </w:rPr>
            </w:pPr>
            <w:r>
              <w:rPr>
                <w:rFonts w:ascii="宋体" w:hAnsi="宋体" w:cs="宋体" w:eastAsia="宋体" w:hint="default"/>
                <w:sz w:val="21"/>
                <w:szCs w:val="21"/>
              </w:rPr>
              <w:t>款项性质组合</w:t>
            </w:r>
            <w:r>
              <w:rPr>
                <w:rFonts w:ascii="宋体" w:hAnsi="宋体" w:cs="宋体" w:eastAsia="宋体" w:hint="default"/>
                <w:sz w:val="21"/>
                <w:szCs w:val="21"/>
              </w:rPr>
              <w:t> </w:t>
            </w:r>
          </w:p>
        </w:tc>
        <w:tc>
          <w:tcPr>
            <w:tcW w:w="5624"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23"/>
              <w:ind w:left="100" w:right="0"/>
              <w:jc w:val="left"/>
              <w:rPr>
                <w:rFonts w:ascii="宋体" w:hAnsi="宋体" w:cs="宋体" w:eastAsia="宋体" w:hint="default"/>
                <w:sz w:val="21"/>
                <w:szCs w:val="21"/>
              </w:rPr>
            </w:pPr>
            <w:r>
              <w:rPr>
                <w:rFonts w:ascii="宋体" w:hAnsi="宋体" w:cs="宋体" w:eastAsia="宋体" w:hint="default"/>
                <w:sz w:val="21"/>
                <w:szCs w:val="21"/>
              </w:rPr>
              <w:t>以保证金、押金、备用金等划分组合</w:t>
            </w:r>
            <w:r>
              <w:rPr>
                <w:rFonts w:ascii="宋体" w:hAnsi="宋体" w:cs="宋体" w:eastAsia="宋体" w:hint="default"/>
                <w:sz w:val="21"/>
                <w:szCs w:val="21"/>
              </w:rPr>
              <w:t> </w:t>
            </w:r>
          </w:p>
        </w:tc>
      </w:tr>
    </w:tbl>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35.1pt;height:1pt;mso-position-horizontal-relative:char;mso-position-vertical-relative:line" coordorigin="0,0" coordsize="8702,20">
            <v:group style="position:absolute;left:10;top:10;width:3054;height:2" coordorigin="10,10" coordsize="3054,2">
              <v:shape style="position:absolute;left:10;top:10;width:3054;height:2" coordorigin="10,10" coordsize="3054,0" path="m10,10l3063,10e" filled="false" stroked="true" strokeweight=".96002pt" strokecolor="#41b7ee">
                <v:path arrowok="t"/>
              </v:shape>
            </v:group>
            <v:group style="position:absolute;left:3063;top:10;width:58;height:2" coordorigin="3063,10" coordsize="58,2">
              <v:shape style="position:absolute;left:3063;top:10;width:58;height:2" coordorigin="3063,10" coordsize="58,0" path="m3063,10l3121,10e" filled="false" stroked="true" strokeweight=".96002pt" strokecolor="#41b7ee">
                <v:path arrowok="t"/>
              </v:shape>
            </v:group>
            <v:group style="position:absolute;left:3121;top:10;width:5572;height:2" coordorigin="3121,10" coordsize="5572,2">
              <v:shape style="position:absolute;left:3121;top:10;width:5572;height:2" coordorigin="3121,10" coordsize="5572,0" path="m3121,10l8692,10e" filled="false" stroked="true" strokeweight=".96002pt" strokecolor="#41b7ee">
                <v:path arrowok="t"/>
              </v:shape>
            </v:group>
          </v:group>
        </w:pict>
      </w:r>
      <w:r>
        <w:rPr>
          <w:rFonts w:ascii="宋体" w:hAnsi="宋体" w:cs="宋体" w:eastAsia="宋体" w:hint="default"/>
          <w:sz w:val="2"/>
          <w:szCs w:val="2"/>
        </w:rPr>
      </w:r>
    </w:p>
    <w:p>
      <w:pPr>
        <w:pStyle w:val="Heading2"/>
        <w:spacing w:line="240" w:lineRule="auto" w:before="42"/>
        <w:ind w:left="236" w:right="2410"/>
        <w:jc w:val="left"/>
        <w:rPr>
          <w:b w:val="0"/>
          <w:bCs w:val="0"/>
        </w:rPr>
      </w:pPr>
      <w:r>
        <w:rPr>
          <w:rFonts w:ascii="宋体" w:hAnsi="宋体" w:cs="宋体" w:eastAsia="宋体" w:hint="default"/>
        </w:rPr>
        <w:t>15.</w:t>
      </w:r>
      <w:r>
        <w:rPr>
          <w:rFonts w:ascii="宋体" w:hAnsi="宋体" w:cs="宋体" w:eastAsia="宋体" w:hint="default"/>
          <w:spacing w:val="2"/>
        </w:rPr>
        <w:t> </w:t>
      </w:r>
      <w:r>
        <w:rPr/>
        <w:t>存货</w:t>
      </w:r>
      <w:r>
        <w:rPr>
          <w:b w:val="0"/>
          <w:bCs w:val="0"/>
        </w:rPr>
      </w:r>
    </w:p>
    <w:p>
      <w:pPr>
        <w:pStyle w:val="BodyText"/>
        <w:spacing w:line="240" w:lineRule="auto" w:before="56"/>
        <w:ind w:left="236" w:right="241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64" w:lineRule="auto" w:before="44"/>
        <w:ind w:left="657"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w w:val="99"/>
          <w:sz w:val="21"/>
          <w:szCs w:val="21"/>
        </w:rPr>
        <w:t> </w:t>
      </w:r>
      <w:r>
        <w:rPr>
          <w:rFonts w:ascii="宋体" w:hAnsi="宋体" w:cs="宋体" w:eastAsia="宋体" w:hint="default"/>
          <w:sz w:val="21"/>
          <w:szCs w:val="21"/>
        </w:rPr>
        <w:t>存货主要包括原材料、库存商品、周转材料、消耗性生物资产、发出商品等。</w:t>
      </w:r>
      <w:r>
        <w:rPr>
          <w:rFonts w:ascii="宋体" w:hAnsi="宋体" w:cs="宋体" w:eastAsia="宋体" w:hint="default"/>
          <w:sz w:val="21"/>
          <w:szCs w:val="21"/>
        </w:rPr>
        <w:t> </w:t>
      </w:r>
    </w:p>
    <w:p>
      <w:pPr>
        <w:spacing w:line="266" w:lineRule="auto" w:before="23"/>
        <w:ind w:left="657"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）存货取得和发出的计价方法</w:t>
      </w:r>
      <w:r>
        <w:rPr>
          <w:rFonts w:ascii="宋体" w:hAnsi="宋体" w:cs="宋体" w:eastAsia="宋体" w:hint="default"/>
          <w:b/>
          <w:bCs/>
          <w:w w:val="99"/>
          <w:sz w:val="21"/>
          <w:szCs w:val="21"/>
        </w:rPr>
        <w:t> </w:t>
      </w:r>
      <w:r>
        <w:rPr>
          <w:rFonts w:ascii="宋体" w:hAnsi="宋体" w:cs="宋体" w:eastAsia="宋体" w:hint="default"/>
          <w:spacing w:val="-2"/>
          <w:sz w:val="21"/>
          <w:szCs w:val="21"/>
        </w:rPr>
        <w:t>存货在取得时按实际成本计价，存货成本包括采购成本、加工成本和其他成本。领用和发出</w:t>
      </w:r>
    </w:p>
    <w:p>
      <w:pPr>
        <w:pStyle w:val="BodyText"/>
        <w:spacing w:line="240" w:lineRule="auto" w:before="21"/>
        <w:ind w:left="236" w:right="2410"/>
        <w:jc w:val="left"/>
        <w:rPr>
          <w:rFonts w:ascii="宋体" w:hAnsi="宋体" w:cs="宋体" w:eastAsia="宋体" w:hint="default"/>
        </w:rPr>
      </w:pPr>
      <w:r>
        <w:rPr/>
        <w:t>时按加权平均法计价。其中：</w:t>
      </w:r>
      <w:r>
        <w:rPr>
          <w:rFonts w:ascii="宋体" w:hAnsi="宋体" w:cs="宋体" w:eastAsia="宋体" w:hint="default"/>
        </w:rPr>
        <w:t> </w:t>
      </w:r>
    </w:p>
    <w:p>
      <w:pPr>
        <w:pStyle w:val="BodyText"/>
        <w:spacing w:line="278" w:lineRule="auto" w:before="44"/>
        <w:ind w:left="236" w:right="0" w:firstLine="420"/>
        <w:jc w:val="left"/>
        <w:rPr>
          <w:rFonts w:ascii="宋体" w:hAnsi="宋体" w:cs="宋体" w:eastAsia="宋体" w:hint="default"/>
        </w:rPr>
      </w:pPr>
      <w:r>
        <w:rPr/>
        <w:t>①房地产开发企业存货按成本进行初始计量。存货主要包括库存材料、在建开发产品（开发</w:t>
      </w:r>
      <w:r>
        <w:rPr>
          <w:w w:val="100"/>
        </w:rPr>
        <w:t> </w:t>
      </w:r>
      <w:r>
        <w:rPr>
          <w:spacing w:val="-4"/>
        </w:rPr>
        <w:t>成本）、已完工开发产品和意图出售而暂时出租的开发产品等。开发产品的成本包括土地出让金、</w:t>
      </w:r>
      <w:r>
        <w:rPr>
          <w:spacing w:val="-34"/>
        </w:rPr>
        <w:t> </w:t>
      </w:r>
      <w:r>
        <w:rPr>
          <w:spacing w:val="-34"/>
        </w:rPr>
      </w:r>
      <w:r>
        <w:rPr/>
        <w:t>基础配套设施支出、建筑安装工程支出、开发项目完工之前所发生的借款费用及开发过程中的其</w:t>
      </w:r>
      <w:r>
        <w:rPr>
          <w:w w:val="100"/>
        </w:rPr>
        <w:t> </w:t>
      </w:r>
      <w:r>
        <w:rPr/>
        <w:t>他相关费用。存货发出时，采用个别计价法确定其实际成本。</w:t>
      </w:r>
      <w:r>
        <w:rPr>
          <w:rFonts w:ascii="宋体" w:hAnsi="宋体" w:cs="宋体" w:eastAsia="宋体" w:hint="default"/>
        </w:rPr>
        <w:t> </w:t>
      </w:r>
    </w:p>
    <w:p>
      <w:pPr>
        <w:pStyle w:val="BodyText"/>
        <w:spacing w:line="278" w:lineRule="auto" w:before="13"/>
        <w:ind w:left="236" w:right="218" w:firstLine="420"/>
        <w:jc w:val="both"/>
        <w:rPr>
          <w:rFonts w:ascii="宋体" w:hAnsi="宋体" w:cs="宋体" w:eastAsia="宋体" w:hint="default"/>
        </w:rPr>
      </w:pPr>
      <w:r>
        <w:rPr>
          <w:spacing w:val="-2"/>
        </w:rPr>
        <w:t>②建造合同按实际成本计量，包括从合同签订开始至合同完成止所发生的、与执行合同有关</w:t>
      </w:r>
      <w:r>
        <w:rPr>
          <w:w w:val="100"/>
        </w:rPr>
        <w:t> </w:t>
      </w:r>
      <w:r>
        <w:rPr>
          <w:spacing w:val="-2"/>
        </w:rPr>
        <w:t>的直接费用和间接费用。为订立合同而发生的差旅费、投标费等，能够单独区分和可靠计量且合</w:t>
      </w:r>
      <w:r>
        <w:rPr>
          <w:spacing w:val="-25"/>
        </w:rPr>
        <w:t> </w:t>
      </w:r>
      <w:r>
        <w:rPr>
          <w:spacing w:val="-25"/>
        </w:rPr>
      </w:r>
      <w:r>
        <w:rPr/>
        <w:t>同很可能订立的，在取得合同时计入合同成本；未满足上述条件的，则计入当期损益。</w:t>
      </w:r>
      <w:r>
        <w:rPr>
          <w:rFonts w:ascii="宋体" w:hAnsi="宋体" w:cs="宋体" w:eastAsia="宋体" w:hint="default"/>
        </w:rPr>
        <w:t> </w:t>
      </w:r>
    </w:p>
    <w:p>
      <w:pPr>
        <w:pStyle w:val="BodyText"/>
        <w:spacing w:line="278" w:lineRule="auto" w:before="13"/>
        <w:ind w:left="236" w:right="218" w:firstLine="420"/>
        <w:jc w:val="both"/>
        <w:rPr>
          <w:rFonts w:ascii="宋体" w:hAnsi="宋体" w:cs="宋体" w:eastAsia="宋体" w:hint="default"/>
        </w:rPr>
      </w:pPr>
      <w:r>
        <w:rPr>
          <w:spacing w:val="-2"/>
        </w:rPr>
        <w:t>在建合同累计已发生的成本和累计已确认的毛利（亏损）与已结算的价款在资产负债表中以</w:t>
      </w:r>
      <w:r>
        <w:rPr>
          <w:w w:val="100"/>
        </w:rPr>
        <w:t> </w:t>
      </w:r>
      <w:r>
        <w:rPr>
          <w:spacing w:val="-2"/>
        </w:rPr>
        <w:t>抵销后的净额列示。在建合同累计已发生的成本和累计已确认的毛利（亏损）之和超过已结算价</w:t>
      </w:r>
      <w:r>
        <w:rPr>
          <w:spacing w:val="-25"/>
        </w:rPr>
        <w:t> </w:t>
      </w:r>
      <w:r>
        <w:rPr>
          <w:spacing w:val="-25"/>
        </w:rPr>
      </w:r>
      <w:r>
        <w:rPr>
          <w:spacing w:val="-2"/>
        </w:rPr>
        <w:t>款的部分作为存货列示；在建合同已结算的价款超过累计已发生的成本与累计已确认的毛利（亏</w:t>
      </w:r>
      <w:r>
        <w:rPr>
          <w:spacing w:val="-25"/>
        </w:rPr>
        <w:t> </w:t>
      </w:r>
      <w:r>
        <w:rPr>
          <w:spacing w:val="-25"/>
        </w:rPr>
      </w:r>
      <w:r>
        <w:rPr/>
        <w:t>损）之和的部分作为预收款项列示。</w:t>
      </w:r>
      <w:r>
        <w:rPr>
          <w:rFonts w:ascii="宋体" w:hAnsi="宋体" w:cs="宋体" w:eastAsia="宋体" w:hint="default"/>
        </w:rPr>
        <w:t> </w:t>
      </w:r>
    </w:p>
    <w:p>
      <w:pPr>
        <w:pStyle w:val="BodyText"/>
        <w:spacing w:line="240" w:lineRule="auto" w:before="10"/>
        <w:ind w:left="657" w:right="2410"/>
        <w:jc w:val="left"/>
        <w:rPr>
          <w:rFonts w:ascii="宋体" w:hAnsi="宋体" w:cs="宋体" w:eastAsia="宋体" w:hint="default"/>
        </w:rPr>
      </w:pPr>
      <w:r>
        <w:rPr/>
        <w:t>③消耗性生物资产按照成本进行初始计量。</w:t>
      </w:r>
      <w:r>
        <w:rPr>
          <w:rFonts w:ascii="宋体" w:hAnsi="宋体" w:cs="宋体" w:eastAsia="宋体" w:hint="default"/>
        </w:rPr>
        <w:t> </w:t>
      </w:r>
    </w:p>
    <w:p>
      <w:pPr>
        <w:pStyle w:val="Heading2"/>
        <w:spacing w:line="240" w:lineRule="auto" w:before="44"/>
        <w:ind w:left="659" w:right="2410"/>
        <w:jc w:val="left"/>
        <w:rPr>
          <w:rFonts w:ascii="宋体" w:hAnsi="宋体" w:cs="宋体" w:eastAsia="宋体" w:hint="default"/>
          <w:b w:val="0"/>
          <w:bCs w:val="0"/>
        </w:rPr>
      </w:pPr>
      <w:r>
        <w:rPr/>
        <w:t>（</w:t>
      </w:r>
      <w:r>
        <w:rPr>
          <w:rFonts w:ascii="Arial" w:hAnsi="Arial" w:cs="Arial" w:eastAsia="Arial" w:hint="default"/>
        </w:rPr>
        <w:t>3</w:t>
      </w:r>
      <w:r>
        <w:rPr/>
        <w:t>）存货可变现净值的确认和跌价准备的计提方法</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10" w:h="16840"/>
          <w:pgMar w:header="826" w:footer="1195" w:top="1300" w:bottom="1380" w:left="1040" w:right="1580"/>
        </w:sectPr>
      </w:pPr>
    </w:p>
    <w:p>
      <w:pPr>
        <w:spacing w:line="240" w:lineRule="auto" w:before="5"/>
        <w:rPr>
          <w:rFonts w:ascii="宋体" w:hAnsi="宋体" w:cs="宋体" w:eastAsia="宋体" w:hint="default"/>
          <w:b/>
          <w:bCs/>
          <w:sz w:val="8"/>
          <w:szCs w:val="8"/>
        </w:rPr>
      </w:pPr>
    </w:p>
    <w:p>
      <w:pPr>
        <w:pStyle w:val="BodyText"/>
        <w:spacing w:line="280" w:lineRule="auto" w:before="36"/>
        <w:ind w:right="138" w:firstLine="420"/>
        <w:jc w:val="both"/>
        <w:rPr>
          <w:rFonts w:ascii="宋体" w:hAnsi="宋体" w:cs="宋体" w:eastAsia="宋体" w:hint="default"/>
        </w:rPr>
      </w:pPr>
      <w:r>
        <w:rPr>
          <w:spacing w:val="-2"/>
        </w:rPr>
        <w:t>可变现净值是指在日常活动中，存货的估计售价减去至完工时估计将要发生的成本、估计的</w:t>
      </w:r>
      <w:r>
        <w:rPr>
          <w:w w:val="100"/>
        </w:rPr>
        <w:t> </w:t>
      </w:r>
      <w:r>
        <w:rPr>
          <w:spacing w:val="-2"/>
        </w:rPr>
        <w:t>销售费用以及相关税费后的金额。在确定存货的可变现净值时，以取得的确凿证据为基础，同时</w:t>
      </w:r>
      <w:r>
        <w:rPr>
          <w:spacing w:val="-25"/>
        </w:rPr>
        <w:t> </w:t>
      </w:r>
      <w:r>
        <w:rPr>
          <w:spacing w:val="-25"/>
        </w:rPr>
      </w:r>
      <w:r>
        <w:rPr/>
        <w:t>考虑持有存货的目的以及资产负债表日后事项的影响。</w:t>
      </w:r>
      <w:r>
        <w:rPr>
          <w:rFonts w:ascii="宋体" w:hAnsi="宋体" w:cs="宋体" w:eastAsia="宋体" w:hint="default"/>
          <w:b/>
          <w:bCs/>
          <w:w w:val="99"/>
        </w:rPr>
        <w:t> </w:t>
      </w:r>
      <w:r>
        <w:rPr>
          <w:rFonts w:ascii="宋体" w:hAnsi="宋体" w:cs="宋体" w:eastAsia="宋体" w:hint="default"/>
        </w:rPr>
      </w:r>
    </w:p>
    <w:p>
      <w:pPr>
        <w:pStyle w:val="BodyText"/>
        <w:spacing w:line="278" w:lineRule="auto" w:before="8"/>
        <w:ind w:right="138" w:firstLine="420"/>
        <w:jc w:val="both"/>
        <w:rPr>
          <w:rFonts w:ascii="宋体" w:hAnsi="宋体" w:cs="宋体" w:eastAsia="宋体" w:hint="default"/>
        </w:rPr>
      </w:pPr>
      <w:r>
        <w:rPr>
          <w:spacing w:val="-2"/>
        </w:rPr>
        <w:t>在资产负债表日，存货按照成本与可变现净值孰低计量。当其可变现净值低于成本时，提取</w:t>
      </w:r>
      <w:r>
        <w:rPr>
          <w:w w:val="100"/>
        </w:rPr>
        <w:t> </w:t>
      </w:r>
      <w:r>
        <w:rPr/>
        <w:t>存货跌价准备。存货跌价准备通常按单个存货项目的成本高于其可变现净值的差额提取。</w:t>
      </w:r>
      <w:r>
        <w:rPr>
          <w:rFonts w:ascii="宋体" w:hAnsi="宋体" w:cs="宋体" w:eastAsia="宋体" w:hint="default"/>
        </w:rPr>
        <w:t> </w:t>
      </w:r>
    </w:p>
    <w:p>
      <w:pPr>
        <w:pStyle w:val="BodyText"/>
        <w:spacing w:line="278" w:lineRule="auto" w:before="13"/>
        <w:ind w:right="138" w:firstLine="420"/>
        <w:jc w:val="both"/>
        <w:rPr>
          <w:rFonts w:ascii="宋体" w:hAnsi="宋体" w:cs="宋体" w:eastAsia="宋体" w:hint="default"/>
        </w:rPr>
      </w:pPr>
      <w:r>
        <w:rPr>
          <w:spacing w:val="-2"/>
        </w:rPr>
        <w:t>计提存货跌价准备后，如果以前减记存货价值的影响因素已经消失，导致存货的可变现净值</w:t>
      </w:r>
      <w:r>
        <w:rPr>
          <w:w w:val="100"/>
        </w:rPr>
        <w:t> </w:t>
      </w:r>
      <w:r>
        <w:rPr/>
        <w:t>高于其账面价值的，在原已计提的存货跌价准备金额内予以转回，转回的金额计入当期损益。</w:t>
      </w:r>
      <w:r>
        <w:rPr>
          <w:rFonts w:ascii="宋体" w:hAnsi="宋体" w:cs="宋体" w:eastAsia="宋体" w:hint="default"/>
        </w:rPr>
        <w:t> </w:t>
      </w:r>
    </w:p>
    <w:p>
      <w:pPr>
        <w:pStyle w:val="Heading2"/>
        <w:spacing w:line="240" w:lineRule="auto" w:before="10"/>
        <w:ind w:left="559" w:right="0"/>
        <w:jc w:val="left"/>
        <w:rPr>
          <w:b w:val="0"/>
          <w:bCs w:val="0"/>
        </w:rPr>
      </w:pPr>
      <w:r>
        <w:rPr/>
        <w:t>（</w:t>
      </w:r>
      <w:r>
        <w:rPr>
          <w:rFonts w:ascii="Arial" w:hAnsi="Arial" w:cs="Arial" w:eastAsia="Arial" w:hint="default"/>
        </w:rPr>
        <w:t>4</w:t>
      </w:r>
      <w:r>
        <w:rPr/>
        <w:t>）存货的盘存制度为永续盘存制</w:t>
      </w:r>
      <w:r>
        <w:rPr>
          <w:b w:val="0"/>
          <w:bCs w:val="0"/>
        </w:rPr>
      </w:r>
    </w:p>
    <w:p>
      <w:pPr>
        <w:spacing w:line="264" w:lineRule="auto" w:before="32"/>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5</w:t>
      </w:r>
      <w:r>
        <w:rPr>
          <w:rFonts w:ascii="宋体" w:hAnsi="宋体" w:cs="宋体" w:eastAsia="宋体" w:hint="default"/>
          <w:b/>
          <w:bCs/>
          <w:sz w:val="21"/>
          <w:szCs w:val="21"/>
        </w:rPr>
        <w:t>）低值易耗品和包装物的摊销方法</w:t>
      </w:r>
      <w:r>
        <w:rPr>
          <w:rFonts w:ascii="宋体" w:hAnsi="宋体" w:cs="宋体" w:eastAsia="宋体" w:hint="default"/>
          <w:b/>
          <w:bCs/>
          <w:w w:val="99"/>
          <w:sz w:val="21"/>
          <w:szCs w:val="21"/>
        </w:rPr>
        <w:t> </w:t>
      </w:r>
      <w:r>
        <w:rPr>
          <w:rFonts w:ascii="宋体" w:hAnsi="宋体" w:cs="宋体" w:eastAsia="宋体" w:hint="default"/>
          <w:sz w:val="21"/>
          <w:szCs w:val="21"/>
        </w:rPr>
        <w:t>低值易耗品于领用时按一次摊销法摊销；包装物于领用时按一次摊销法摊销。</w:t>
      </w:r>
      <w:r>
        <w:rPr>
          <w:rFonts w:ascii="宋体" w:hAnsi="宋体" w:cs="宋体" w:eastAsia="宋体" w:hint="default"/>
          <w:sz w:val="21"/>
          <w:szCs w:val="21"/>
        </w:rPr>
        <w:t> </w:t>
      </w:r>
    </w:p>
    <w:p>
      <w:pPr>
        <w:pStyle w:val="Heading2"/>
        <w:spacing w:line="240" w:lineRule="auto" w:before="37"/>
        <w:ind w:left="136" w:right="0"/>
        <w:jc w:val="both"/>
        <w:rPr>
          <w:b w:val="0"/>
          <w:bCs w:val="0"/>
        </w:rPr>
      </w:pPr>
      <w:r>
        <w:rPr>
          <w:rFonts w:ascii="宋体" w:hAnsi="宋体" w:cs="宋体" w:eastAsia="宋体" w:hint="default"/>
        </w:rPr>
        <w:t>16.</w:t>
      </w:r>
      <w:r>
        <w:rPr>
          <w:rFonts w:ascii="宋体" w:hAnsi="宋体" w:cs="宋体" w:eastAsia="宋体" w:hint="default"/>
          <w:spacing w:val="2"/>
        </w:rPr>
        <w:t> </w:t>
      </w:r>
      <w:r>
        <w:rPr/>
        <w:t>持有待售资产</w:t>
      </w:r>
      <w:r>
        <w:rPr>
          <w:b w:val="0"/>
          <w:bCs w:val="0"/>
        </w:rPr>
      </w:r>
    </w:p>
    <w:p>
      <w:pPr>
        <w:spacing w:line="290" w:lineRule="auto" w:before="58"/>
        <w:ind w:left="136" w:right="71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17.</w:t>
      </w:r>
      <w:r>
        <w:rPr>
          <w:rFonts w:ascii="宋体" w:hAnsi="宋体" w:cs="宋体" w:eastAsia="宋体" w:hint="default"/>
          <w:b/>
          <w:bCs/>
          <w:spacing w:val="2"/>
          <w:sz w:val="21"/>
          <w:szCs w:val="21"/>
        </w:rPr>
        <w:t> </w:t>
      </w:r>
      <w:r>
        <w:rPr>
          <w:rFonts w:ascii="宋体" w:hAnsi="宋体" w:cs="宋体" w:eastAsia="宋体" w:hint="default"/>
          <w:b/>
          <w:bCs/>
          <w:sz w:val="21"/>
          <w:szCs w:val="21"/>
        </w:rPr>
        <w:t>债权投资</w:t>
      </w:r>
      <w:r>
        <w:rPr>
          <w:rFonts w:ascii="宋体" w:hAnsi="宋体" w:cs="宋体" w:eastAsia="宋体" w:hint="default"/>
          <w:sz w:val="21"/>
          <w:szCs w:val="21"/>
        </w:rPr>
      </w:r>
    </w:p>
    <w:p>
      <w:pPr>
        <w:pStyle w:val="Heading2"/>
        <w:spacing w:line="240" w:lineRule="auto" w:before="14"/>
        <w:ind w:left="136" w:right="0"/>
        <w:jc w:val="both"/>
        <w:rPr>
          <w:rFonts w:ascii="宋体" w:hAnsi="宋体" w:cs="宋体" w:eastAsia="宋体" w:hint="default"/>
          <w:b w:val="0"/>
          <w:bCs w:val="0"/>
        </w:rPr>
      </w:pPr>
      <w:r>
        <w:rPr>
          <w:rFonts w:ascii="宋体" w:hAnsi="宋体" w:cs="宋体" w:eastAsia="宋体" w:hint="default"/>
        </w:rPr>
        <w:t>(1).</w:t>
      </w:r>
      <w:r>
        <w:rPr/>
        <w:t>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136" w:right="71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18.</w:t>
      </w:r>
      <w:r>
        <w:rPr>
          <w:rFonts w:ascii="宋体" w:hAnsi="宋体" w:cs="宋体" w:eastAsia="宋体" w:hint="default"/>
          <w:b/>
          <w:bCs/>
          <w:spacing w:val="3"/>
          <w:sz w:val="21"/>
          <w:szCs w:val="21"/>
        </w:rPr>
        <w:t> </w:t>
      </w:r>
      <w:r>
        <w:rPr>
          <w:rFonts w:ascii="宋体" w:hAnsi="宋体" w:cs="宋体" w:eastAsia="宋体" w:hint="default"/>
          <w:b/>
          <w:bCs/>
          <w:sz w:val="21"/>
          <w:szCs w:val="21"/>
        </w:rPr>
        <w:t>其他债权投资</w:t>
      </w:r>
      <w:r>
        <w:rPr>
          <w:rFonts w:ascii="宋体" w:hAnsi="宋体" w:cs="宋体" w:eastAsia="宋体" w:hint="default"/>
          <w:sz w:val="21"/>
          <w:szCs w:val="21"/>
        </w:rPr>
      </w:r>
    </w:p>
    <w:p>
      <w:pPr>
        <w:pStyle w:val="Heading2"/>
        <w:spacing w:line="240" w:lineRule="auto" w:before="12"/>
        <w:ind w:left="136" w:right="0"/>
        <w:jc w:val="both"/>
        <w:rPr>
          <w:rFonts w:ascii="宋体" w:hAnsi="宋体" w:cs="宋体" w:eastAsia="宋体" w:hint="default"/>
          <w:b w:val="0"/>
          <w:bCs w:val="0"/>
        </w:rPr>
      </w:pPr>
      <w:r>
        <w:rPr>
          <w:rFonts w:ascii="宋体" w:hAnsi="宋体" w:cs="宋体" w:eastAsia="宋体" w:hint="default"/>
        </w:rPr>
        <w:t>(1).</w:t>
      </w:r>
      <w:r>
        <w:rPr/>
        <w:t>其他债权投资预期信用损失的确定方法及会计处理方法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136" w:right="71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19.</w:t>
      </w:r>
      <w:r>
        <w:rPr>
          <w:rFonts w:ascii="宋体" w:hAnsi="宋体" w:cs="宋体" w:eastAsia="宋体" w:hint="default"/>
          <w:b/>
          <w:bCs/>
          <w:spacing w:val="3"/>
          <w:sz w:val="21"/>
          <w:szCs w:val="21"/>
        </w:rPr>
        <w:t> </w:t>
      </w:r>
      <w:r>
        <w:rPr>
          <w:rFonts w:ascii="宋体" w:hAnsi="宋体" w:cs="宋体" w:eastAsia="宋体" w:hint="default"/>
          <w:b/>
          <w:bCs/>
          <w:sz w:val="21"/>
          <w:szCs w:val="21"/>
        </w:rPr>
        <w:t>长期应收款</w:t>
      </w:r>
      <w:r>
        <w:rPr>
          <w:rFonts w:ascii="宋体" w:hAnsi="宋体" w:cs="宋体" w:eastAsia="宋体" w:hint="default"/>
          <w:sz w:val="21"/>
          <w:szCs w:val="21"/>
        </w:rPr>
      </w:r>
    </w:p>
    <w:p>
      <w:pPr>
        <w:pStyle w:val="Heading2"/>
        <w:spacing w:line="240" w:lineRule="auto" w:before="14"/>
        <w:ind w:left="136" w:right="0"/>
        <w:jc w:val="both"/>
        <w:rPr>
          <w:rFonts w:ascii="宋体" w:hAnsi="宋体" w:cs="宋体" w:eastAsia="宋体" w:hint="default"/>
          <w:b w:val="0"/>
          <w:bCs w:val="0"/>
        </w:rPr>
      </w:pPr>
      <w:r>
        <w:rPr>
          <w:rFonts w:ascii="宋体" w:hAnsi="宋体" w:cs="宋体" w:eastAsia="宋体" w:hint="default"/>
        </w:rPr>
        <w:t>(1).</w:t>
      </w:r>
      <w:r>
        <w:rPr/>
        <w:t>长期应收款预期信用损失的确定方法及会计处理方法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136" w:right="71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20.</w:t>
      </w:r>
      <w:r>
        <w:rPr>
          <w:rFonts w:ascii="宋体" w:hAnsi="宋体" w:cs="宋体" w:eastAsia="宋体" w:hint="default"/>
          <w:b/>
          <w:bCs/>
          <w:spacing w:val="3"/>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pStyle w:val="BodyText"/>
        <w:spacing w:line="278" w:lineRule="auto" w:before="12"/>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本部分所指的长期股权投资是指本集团对被投资单位具有控制、共同控制或重大影响的长期</w:t>
      </w:r>
    </w:p>
    <w:p>
      <w:pPr>
        <w:pStyle w:val="BodyText"/>
        <w:spacing w:line="278" w:lineRule="auto" w:before="10"/>
        <w:ind w:right="138"/>
        <w:jc w:val="both"/>
        <w:rPr>
          <w:rFonts w:ascii="宋体" w:hAnsi="宋体" w:cs="宋体" w:eastAsia="宋体" w:hint="default"/>
        </w:rPr>
      </w:pPr>
      <w:r>
        <w:rPr>
          <w:spacing w:val="-2"/>
        </w:rPr>
        <w:t>股权投资。本集团对被投资单位不具有控制、共同控制或重大影响的长期股权投资，作为以公允</w:t>
      </w:r>
      <w:r>
        <w:rPr>
          <w:spacing w:val="-25"/>
        </w:rPr>
        <w:t> </w:t>
      </w:r>
      <w:r>
        <w:rPr>
          <w:spacing w:val="-25"/>
        </w:rPr>
      </w:r>
      <w:r>
        <w:rPr>
          <w:spacing w:val="-2"/>
        </w:rPr>
        <w:t>价值计量且其变动计入当期损益的金融资产核算，其中如果属于非交易性的，本集团在初始确认</w:t>
      </w:r>
      <w:r>
        <w:rPr>
          <w:spacing w:val="-25"/>
        </w:rPr>
        <w:t> </w:t>
      </w:r>
      <w:r>
        <w:rPr>
          <w:spacing w:val="-25"/>
        </w:rPr>
      </w:r>
      <w:r>
        <w:rPr>
          <w:spacing w:val="-2"/>
        </w:rPr>
        <w:t>时可选择将其指定为以公允价值计量且其变动计入其他综合收益的金融资产核算，其会计政策详</w:t>
      </w:r>
      <w:r>
        <w:rPr>
          <w:spacing w:val="-25"/>
        </w:rPr>
        <w:t> </w:t>
      </w:r>
      <w:r>
        <w:rPr>
          <w:spacing w:val="-25"/>
        </w:rPr>
      </w:r>
      <w:r>
        <w:rPr/>
        <w:t>见附注五、</w:t>
      </w:r>
      <w:r>
        <w:rPr>
          <w:rFonts w:ascii="Arial" w:hAnsi="Arial" w:cs="Arial" w:eastAsia="Arial" w:hint="default"/>
        </w:rPr>
        <w:t>10</w:t>
      </w:r>
      <w:r>
        <w:rPr/>
        <w:t>“金融工具”。</w:t>
      </w:r>
      <w:r>
        <w:rPr>
          <w:rFonts w:ascii="宋体" w:hAnsi="宋体" w:cs="宋体" w:eastAsia="宋体" w:hint="default"/>
        </w:rPr>
        <w:t> </w:t>
      </w:r>
    </w:p>
    <w:p>
      <w:pPr>
        <w:pStyle w:val="BodyText"/>
        <w:spacing w:line="280" w:lineRule="auto"/>
        <w:ind w:right="138" w:firstLine="420"/>
        <w:jc w:val="both"/>
        <w:rPr>
          <w:rFonts w:ascii="宋体" w:hAnsi="宋体" w:cs="宋体" w:eastAsia="宋体" w:hint="default"/>
        </w:rPr>
      </w:pPr>
      <w:r>
        <w:rPr>
          <w:spacing w:val="-2"/>
        </w:rPr>
        <w:t>共同控制，是指本集团按照相关约定对某项安排所共有的控制，并且该安排的相关活动必须</w:t>
      </w:r>
      <w:r>
        <w:rPr>
          <w:w w:val="100"/>
        </w:rPr>
        <w:t> </w:t>
      </w:r>
      <w:r>
        <w:rPr>
          <w:spacing w:val="-2"/>
        </w:rPr>
        <w:t>经过分享控制权的参与方一致同意后才能决策。重大影响，是指本集团对被投资单位的财务和经</w:t>
      </w:r>
      <w:r>
        <w:rPr>
          <w:spacing w:val="-25"/>
        </w:rPr>
        <w:t> </w:t>
      </w:r>
      <w:r>
        <w:rPr>
          <w:spacing w:val="-25"/>
        </w:rPr>
      </w:r>
      <w:r>
        <w:rPr/>
        <w:t>营政策有参与决策的权力，但并不能够控制或者与其他方一起共同控制这些政策的制定。</w:t>
      </w:r>
      <w:r>
        <w:rPr>
          <w:rFonts w:ascii="宋体" w:hAnsi="宋体" w:cs="宋体" w:eastAsia="宋体" w:hint="default"/>
        </w:rPr>
        <w:t> </w:t>
      </w:r>
    </w:p>
    <w:p>
      <w:pPr>
        <w:spacing w:line="266" w:lineRule="auto" w:before="8"/>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1</w:t>
      </w:r>
      <w:r>
        <w:rPr>
          <w:rFonts w:ascii="宋体" w:hAnsi="宋体" w:cs="宋体" w:eastAsia="宋体" w:hint="default"/>
          <w:b/>
          <w:bCs/>
          <w:sz w:val="21"/>
          <w:szCs w:val="21"/>
        </w:rPr>
        <w:t>）投资成本的确定</w:t>
      </w:r>
      <w:r>
        <w:rPr>
          <w:rFonts w:ascii="宋体" w:hAnsi="宋体" w:cs="宋体" w:eastAsia="宋体" w:hint="default"/>
          <w:b/>
          <w:bCs/>
          <w:w w:val="99"/>
          <w:sz w:val="21"/>
          <w:szCs w:val="21"/>
        </w:rPr>
        <w:t> </w:t>
      </w:r>
      <w:r>
        <w:rPr>
          <w:rFonts w:ascii="宋体" w:hAnsi="宋体" w:cs="宋体" w:eastAsia="宋体" w:hint="default"/>
          <w:spacing w:val="-2"/>
          <w:sz w:val="21"/>
          <w:szCs w:val="21"/>
        </w:rPr>
        <w:t>对于同一控制下的企业合并取得的长期股权投资，在合并日按照被合并方股东权益在最终控</w:t>
      </w:r>
    </w:p>
    <w:p>
      <w:pPr>
        <w:pStyle w:val="BodyText"/>
        <w:spacing w:line="278" w:lineRule="auto" w:before="22"/>
        <w:ind w:right="138"/>
        <w:jc w:val="both"/>
      </w:pPr>
      <w:r>
        <w:rPr>
          <w:spacing w:val="-2"/>
        </w:rPr>
        <w:t>制方合并财务报表中的账面价值的份额作为长期股权投资的初始投资成本。长期股权投资初始投</w:t>
      </w:r>
      <w:r>
        <w:rPr>
          <w:spacing w:val="-25"/>
        </w:rPr>
        <w:t> </w:t>
      </w:r>
      <w:r>
        <w:rPr>
          <w:spacing w:val="-25"/>
        </w:rPr>
      </w:r>
      <w:r>
        <w:rPr>
          <w:spacing w:val="-2"/>
        </w:rPr>
        <w:t>资成本与支付的现金、转让的非现金资产以及所承担债务账面价值之间的差额，调整资本公积；</w:t>
      </w:r>
      <w:r>
        <w:rPr>
          <w:spacing w:val="-25"/>
        </w:rPr>
        <w:t> </w:t>
      </w:r>
      <w:r>
        <w:rPr>
          <w:spacing w:val="-25"/>
        </w:rPr>
      </w:r>
      <w:r>
        <w:rPr>
          <w:spacing w:val="-2"/>
        </w:rPr>
        <w:t>资本公积不足冲减的，调整留存收益。以发行权益性证券作为合并对价的，在合并日按照被合并</w:t>
      </w:r>
      <w:r>
        <w:rPr>
          <w:spacing w:val="-25"/>
        </w:rPr>
        <w:t> </w:t>
      </w:r>
      <w:r>
        <w:rPr>
          <w:spacing w:val="-25"/>
        </w:rPr>
      </w:r>
      <w:r>
        <w:rPr>
          <w:spacing w:val="-2"/>
        </w:rPr>
        <w:t>方股东权益在最终控制方合并财务报表中的账面价值的份额作为长期股权投资的初始投资成本，</w:t>
      </w:r>
      <w:r>
        <w:rPr>
          <w:spacing w:val="-25"/>
        </w:rPr>
        <w:t> </w:t>
      </w:r>
      <w:r>
        <w:rPr>
          <w:spacing w:val="-25"/>
        </w:rPr>
      </w:r>
      <w:r>
        <w:rPr>
          <w:spacing w:val="-2"/>
        </w:rPr>
        <w:t>按照发行股份的面值总额作为股本，长期股权投资初始投资成本与所发行股份面值总额之间的差</w:t>
      </w:r>
      <w:r>
        <w:rPr>
          <w:spacing w:val="-25"/>
        </w:rPr>
        <w:t> </w:t>
      </w:r>
      <w:r>
        <w:rPr>
          <w:spacing w:val="-25"/>
        </w:rPr>
      </w:r>
      <w:r>
        <w:rPr>
          <w:spacing w:val="-2"/>
        </w:rPr>
        <w:t>额，调整资本公积；资本公积不足冲减的，调整留存收益。通过多次交易分步取得同一控制下被</w:t>
      </w:r>
      <w:r>
        <w:rPr>
          <w:spacing w:val="-25"/>
        </w:rPr>
        <w:t> </w:t>
      </w:r>
      <w:r>
        <w:rPr>
          <w:spacing w:val="-25"/>
        </w:rPr>
      </w:r>
      <w:r>
        <w:rPr>
          <w:spacing w:val="-2"/>
        </w:rPr>
        <w:t>合并方的股权，最终形成同一控制下企业合并的，应分别是否属于“一揽子交易”进行处理：属</w:t>
      </w:r>
      <w:r>
        <w:rPr>
          <w:spacing w:val="-25"/>
        </w:rPr>
        <w:t> </w:t>
      </w:r>
      <w:r>
        <w:rPr>
          <w:spacing w:val="-25"/>
        </w:rPr>
      </w:r>
      <w:r>
        <w:rPr>
          <w:spacing w:val="-2"/>
        </w:rPr>
        <w:t>于“一揽子交易”的，将各项交易作为一项取得控制权的交易进行会计处理。不属于“一揽子交</w:t>
      </w:r>
      <w:r>
        <w:rPr>
          <w:spacing w:val="-25"/>
        </w:rPr>
        <w:t> </w:t>
      </w:r>
      <w:r>
        <w:rPr>
          <w:spacing w:val="-25"/>
        </w:rPr>
      </w:r>
      <w:r>
        <w:rPr>
          <w:spacing w:val="-2"/>
        </w:rPr>
        <w:t>易”的，在合并日按照应享有被合并方股东权益在最终控制方合并财务报表中的账面价值的份额</w:t>
      </w:r>
    </w:p>
    <w:p>
      <w:pPr>
        <w:spacing w:after="0" w:line="278" w:lineRule="auto"/>
        <w:jc w:val="both"/>
        <w:sectPr>
          <w:pgSz w:w="11910" w:h="16840"/>
          <w:pgMar w:header="826" w:footer="1195" w:top="1300" w:bottom="1380" w:left="1140" w:right="1660"/>
        </w:sectPr>
      </w:pPr>
    </w:p>
    <w:p>
      <w:pPr>
        <w:spacing w:line="240" w:lineRule="auto" w:before="5"/>
        <w:rPr>
          <w:rFonts w:ascii="宋体" w:hAnsi="宋体" w:cs="宋体" w:eastAsia="宋体" w:hint="default"/>
          <w:sz w:val="8"/>
          <w:szCs w:val="8"/>
        </w:rPr>
      </w:pPr>
    </w:p>
    <w:p>
      <w:pPr>
        <w:pStyle w:val="BodyText"/>
        <w:spacing w:line="278" w:lineRule="auto" w:before="36"/>
        <w:ind w:right="218"/>
        <w:jc w:val="both"/>
        <w:rPr>
          <w:rFonts w:ascii="宋体" w:hAnsi="宋体" w:cs="宋体" w:eastAsia="宋体" w:hint="default"/>
        </w:rPr>
      </w:pPr>
      <w:r>
        <w:rPr>
          <w:spacing w:val="-2"/>
        </w:rPr>
        <w:t>作为长期股权投资的初始投资成本，长期股权投资初始投资成本与达到合并前的长期股权投资账</w:t>
      </w:r>
      <w:r>
        <w:rPr>
          <w:spacing w:val="-25"/>
        </w:rPr>
        <w:t> </w:t>
      </w:r>
      <w:r>
        <w:rPr>
          <w:spacing w:val="-25"/>
        </w:rPr>
      </w:r>
      <w:r>
        <w:rPr>
          <w:spacing w:val="-2"/>
        </w:rPr>
        <w:t>面价值加上合并日进一步取得股份新支付对价的账面价值之和的差额，调整资本公积；资本公积</w:t>
      </w:r>
      <w:r>
        <w:rPr>
          <w:spacing w:val="-25"/>
        </w:rPr>
        <w:t> </w:t>
      </w:r>
      <w:r>
        <w:rPr>
          <w:spacing w:val="-25"/>
        </w:rPr>
      </w:r>
      <w:r>
        <w:rPr>
          <w:spacing w:val="-2"/>
        </w:rPr>
        <w:t>不足冲减的，调整留存收益。合并日之前持有的股权投资因采用权益法核算或作为以公允价值计</w:t>
      </w:r>
      <w:r>
        <w:rPr>
          <w:spacing w:val="-25"/>
        </w:rPr>
        <w:t> </w:t>
      </w:r>
      <w:r>
        <w:rPr>
          <w:spacing w:val="-25"/>
        </w:rPr>
      </w:r>
      <w:r>
        <w:rPr/>
        <w:t>量且其变动计入其他综合收益的金融资产而确认的其他综合收益，暂不进行会计处理。</w:t>
      </w:r>
      <w:r>
        <w:rPr>
          <w:rFonts w:ascii="宋体" w:hAnsi="宋体" w:cs="宋体" w:eastAsia="宋体" w:hint="default"/>
        </w:rPr>
        <w:t> </w:t>
      </w:r>
    </w:p>
    <w:p>
      <w:pPr>
        <w:pStyle w:val="BodyText"/>
        <w:spacing w:line="280" w:lineRule="auto" w:before="10"/>
        <w:ind w:right="218" w:firstLine="420"/>
        <w:jc w:val="both"/>
        <w:rPr>
          <w:rFonts w:ascii="宋体" w:hAnsi="宋体" w:cs="宋体" w:eastAsia="宋体" w:hint="default"/>
        </w:rPr>
      </w:pPr>
      <w:r>
        <w:rPr>
          <w:spacing w:val="-2"/>
        </w:rPr>
        <w:t>对于非同一控制下的企业合并取得的长期股权投资，在购买日按照合并成本作为长期股权投</w:t>
      </w:r>
      <w:r>
        <w:rPr>
          <w:w w:val="100"/>
        </w:rPr>
        <w:t> </w:t>
      </w:r>
      <w:r>
        <w:rPr>
          <w:spacing w:val="-2"/>
        </w:rPr>
        <w:t>资的初始投资成本，合并成本包括购买方付出的资产、发生或承担的负债、发行的权益性证券的</w:t>
      </w:r>
      <w:r>
        <w:rPr>
          <w:spacing w:val="-25"/>
        </w:rPr>
        <w:t> </w:t>
      </w:r>
      <w:r>
        <w:rPr>
          <w:spacing w:val="-25"/>
        </w:rPr>
      </w:r>
      <w:r>
        <w:rPr>
          <w:spacing w:val="-2"/>
        </w:rPr>
        <w:t>公允价值之和。通过多次交易分步取得被购买方的股权，最终形成非同一控制下的企业合并的，</w:t>
      </w:r>
      <w:r>
        <w:rPr>
          <w:spacing w:val="-25"/>
        </w:rPr>
        <w:t> </w:t>
      </w:r>
      <w:r>
        <w:rPr>
          <w:spacing w:val="-25"/>
        </w:rPr>
      </w:r>
      <w:r>
        <w:rPr>
          <w:spacing w:val="-2"/>
        </w:rPr>
        <w:t>应分别是否属于“一揽子交易”进行处理：属于“一揽子交易”的，将各项交易作为一项取得控</w:t>
      </w:r>
      <w:r>
        <w:rPr>
          <w:spacing w:val="-25"/>
        </w:rPr>
        <w:t> </w:t>
      </w:r>
      <w:r>
        <w:rPr>
          <w:spacing w:val="-25"/>
        </w:rPr>
      </w:r>
      <w:r>
        <w:rPr>
          <w:spacing w:val="-2"/>
        </w:rPr>
        <w:t>制权的交易进行会计处理。不属于“一揽子交易”的，按照原持有被购买方的股权投资账面价值</w:t>
      </w:r>
      <w:r>
        <w:rPr>
          <w:spacing w:val="-25"/>
        </w:rPr>
        <w:t> </w:t>
      </w:r>
      <w:r>
        <w:rPr>
          <w:spacing w:val="-25"/>
        </w:rPr>
      </w:r>
      <w:r>
        <w:rPr>
          <w:spacing w:val="-2"/>
        </w:rPr>
        <w:t>加上新增投资成本之和，作为改按成本法核算的长期股权投资的初始投资成本。原持有的股权采</w:t>
      </w:r>
      <w:r>
        <w:rPr>
          <w:spacing w:val="-25"/>
        </w:rPr>
        <w:t> </w:t>
      </w:r>
      <w:r>
        <w:rPr>
          <w:spacing w:val="-25"/>
        </w:rPr>
      </w:r>
      <w:r>
        <w:rPr>
          <w:spacing w:val="-2"/>
        </w:rPr>
        <w:t>用权益法核算的，相关其他综合收益暂不进行会计处理。原持有的股权采用权益法核算的，相关</w:t>
      </w:r>
      <w:r>
        <w:rPr>
          <w:spacing w:val="-24"/>
        </w:rPr>
        <w:t> </w:t>
      </w:r>
      <w:r>
        <w:rPr>
          <w:spacing w:val="-24"/>
        </w:rPr>
      </w:r>
      <w:r>
        <w:rPr/>
        <w:t>其他综合收益暂不进行会计处理。</w:t>
      </w:r>
      <w:r>
        <w:rPr>
          <w:rFonts w:ascii="宋体" w:hAnsi="宋体" w:cs="宋体" w:eastAsia="宋体" w:hint="default"/>
        </w:rPr>
        <w:t> </w:t>
      </w:r>
    </w:p>
    <w:p>
      <w:pPr>
        <w:pStyle w:val="BodyText"/>
        <w:spacing w:line="278" w:lineRule="auto" w:before="9"/>
        <w:ind w:right="98" w:firstLine="420"/>
        <w:jc w:val="left"/>
        <w:rPr>
          <w:rFonts w:ascii="宋体" w:hAnsi="宋体" w:cs="宋体" w:eastAsia="宋体" w:hint="default"/>
        </w:rPr>
      </w:pPr>
      <w:r>
        <w:rPr>
          <w:spacing w:val="-2"/>
        </w:rPr>
        <w:t>合并方或购买方为企业合并发生的审计、法律服务、评估咨询等中介费用以及其他相关管理</w:t>
      </w:r>
      <w:r>
        <w:rPr>
          <w:w w:val="100"/>
        </w:rPr>
        <w:t> </w:t>
      </w:r>
      <w:r>
        <w:rPr/>
        <w:t>费用，于发生时计入当期损益。</w:t>
      </w:r>
      <w:r>
        <w:rPr>
          <w:rFonts w:ascii="宋体" w:hAnsi="宋体" w:cs="宋体" w:eastAsia="宋体" w:hint="default"/>
        </w:rPr>
        <w:t> </w:t>
      </w:r>
    </w:p>
    <w:p>
      <w:pPr>
        <w:pStyle w:val="BodyText"/>
        <w:spacing w:line="276" w:lineRule="auto" w:before="13"/>
        <w:ind w:right="98" w:firstLine="420"/>
        <w:jc w:val="left"/>
        <w:rPr>
          <w:rFonts w:ascii="宋体" w:hAnsi="宋体" w:cs="宋体" w:eastAsia="宋体" w:hint="default"/>
        </w:rPr>
      </w:pPr>
      <w:r>
        <w:rPr>
          <w:spacing w:val="-2"/>
        </w:rPr>
        <w:t>除企业合并形成的长期股权投资外的其他股权投资，按成本进行初始计量，该成本视长期股</w:t>
      </w:r>
      <w:r>
        <w:rPr>
          <w:w w:val="100"/>
        </w:rPr>
        <w:t> </w:t>
      </w:r>
      <w:r>
        <w:rPr>
          <w:spacing w:val="-2"/>
        </w:rPr>
        <w:t>权投资取得方式的不同，分别按照本集团实际支付的现金购买价款、本集团发行的权益性证券的</w:t>
      </w:r>
      <w:r>
        <w:rPr>
          <w:spacing w:val="-24"/>
        </w:rPr>
        <w:t> </w:t>
      </w:r>
      <w:r>
        <w:rPr>
          <w:spacing w:val="-24"/>
        </w:rPr>
      </w:r>
      <w:r>
        <w:rPr>
          <w:spacing w:val="-2"/>
        </w:rPr>
        <w:t>公允价值、投资合同或协议约定的价值、非货币性资产交换交易中换出资产的公允价值或原账面</w:t>
      </w:r>
      <w:r>
        <w:rPr>
          <w:spacing w:val="-25"/>
        </w:rPr>
        <w:t> </w:t>
      </w:r>
      <w:r>
        <w:rPr>
          <w:spacing w:val="-25"/>
        </w:rPr>
      </w:r>
      <w:r>
        <w:rPr>
          <w:spacing w:val="-2"/>
        </w:rPr>
        <w:t>价值、该项长期股权投资自身的公允价值等方式确定。与取得长期股权投资直接相关的费用、税</w:t>
      </w:r>
      <w:r>
        <w:rPr>
          <w:spacing w:val="-25"/>
        </w:rPr>
        <w:t> </w:t>
      </w:r>
      <w:r>
        <w:rPr>
          <w:spacing w:val="-25"/>
        </w:rPr>
      </w:r>
      <w:r>
        <w:rPr>
          <w:spacing w:val="-2"/>
        </w:rPr>
        <w:t>金及其他必要支出也计入投资成本。对于因追加投资能够对被投资单位实施重大影响或实施共同</w:t>
      </w:r>
      <w:r>
        <w:rPr>
          <w:spacing w:val="-25"/>
        </w:rPr>
        <w:t> </w:t>
      </w:r>
      <w:r>
        <w:rPr>
          <w:spacing w:val="-25"/>
        </w:rPr>
      </w:r>
      <w:r>
        <w:rPr/>
        <w:t>控制但不构成控制的，长期股权投资成本为按照《企业会计准则第</w:t>
      </w:r>
      <w:r>
        <w:rPr>
          <w:spacing w:val="-54"/>
        </w:rPr>
        <w:t> </w:t>
      </w:r>
      <w:r>
        <w:rPr>
          <w:rFonts w:ascii="Arial" w:hAnsi="Arial" w:cs="Arial" w:eastAsia="Arial" w:hint="default"/>
        </w:rPr>
        <w:t>22</w:t>
      </w:r>
      <w:r>
        <w:rPr>
          <w:rFonts w:ascii="Arial" w:hAnsi="Arial" w:cs="Arial" w:eastAsia="Arial" w:hint="default"/>
          <w:spacing w:val="-10"/>
        </w:rPr>
        <w:t> </w:t>
      </w:r>
      <w:r>
        <w:rPr/>
        <w:t>号</w:t>
      </w:r>
      <w:r>
        <w:rPr>
          <w:rFonts w:ascii="Arial" w:hAnsi="Arial" w:cs="Arial" w:eastAsia="Arial" w:hint="default"/>
        </w:rPr>
        <w:t>——</w:t>
      </w:r>
      <w:r>
        <w:rPr/>
        <w:t>金融工具确认和计</w:t>
      </w:r>
      <w:r>
        <w:rPr>
          <w:w w:val="100"/>
        </w:rPr>
        <w:t> </w:t>
      </w:r>
      <w:r>
        <w:rPr/>
        <w:t>量》确定的原持有股权投资的公允价值加上新增投资成本之和。</w:t>
      </w:r>
      <w:r>
        <w:rPr>
          <w:rFonts w:ascii="宋体" w:hAnsi="宋体" w:cs="宋体" w:eastAsia="宋体" w:hint="default"/>
        </w:rPr>
        <w:t> </w:t>
      </w:r>
    </w:p>
    <w:p>
      <w:pPr>
        <w:spacing w:line="264" w:lineRule="auto" w:before="13"/>
        <w:ind w:left="557" w:right="9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）后续计量及损益确认方法</w:t>
      </w:r>
      <w:r>
        <w:rPr>
          <w:rFonts w:ascii="宋体" w:hAnsi="宋体" w:cs="宋体" w:eastAsia="宋体" w:hint="default"/>
          <w:b/>
          <w:bCs/>
          <w:w w:val="99"/>
          <w:sz w:val="21"/>
          <w:szCs w:val="21"/>
        </w:rPr>
        <w:t> </w:t>
      </w:r>
      <w:r>
        <w:rPr>
          <w:rFonts w:ascii="宋体" w:hAnsi="宋体" w:cs="宋体" w:eastAsia="宋体" w:hint="default"/>
          <w:spacing w:val="-2"/>
          <w:sz w:val="21"/>
          <w:szCs w:val="21"/>
        </w:rPr>
        <w:t>对被投资单位具有共同控制（构成共同经营者除外）或重大影响的长期股权投资，采用权益</w:t>
      </w:r>
    </w:p>
    <w:p>
      <w:pPr>
        <w:pStyle w:val="BodyText"/>
        <w:spacing w:line="240" w:lineRule="auto" w:before="26"/>
        <w:ind w:right="0"/>
        <w:jc w:val="both"/>
        <w:rPr>
          <w:rFonts w:ascii="宋体" w:hAnsi="宋体" w:cs="宋体" w:eastAsia="宋体" w:hint="default"/>
        </w:rPr>
      </w:pPr>
      <w:r>
        <w:rPr/>
        <w:t>法核算。此外，公司财务报表采用成本法核算能够对被投资单位实施控制的长期股权投资。</w:t>
      </w:r>
      <w:r>
        <w:rPr>
          <w:rFonts w:ascii="宋体" w:hAnsi="宋体" w:cs="宋体" w:eastAsia="宋体" w:hint="default"/>
        </w:rPr>
        <w:t> </w:t>
      </w:r>
    </w:p>
    <w:p>
      <w:pPr>
        <w:pStyle w:val="BodyText"/>
        <w:spacing w:line="278" w:lineRule="auto" w:before="44"/>
        <w:ind w:left="557" w:right="98"/>
        <w:jc w:val="left"/>
      </w:pPr>
      <w:r>
        <w:rPr/>
        <w:t>①</w:t>
      </w:r>
      <w:r>
        <w:rPr>
          <w:spacing w:val="-1"/>
        </w:rPr>
        <w:t> </w:t>
      </w:r>
      <w:r>
        <w:rPr>
          <w:rFonts w:ascii="宋体" w:hAnsi="宋体" w:cs="宋体" w:eastAsia="宋体" w:hint="default"/>
          <w:spacing w:val="-1"/>
        </w:rPr>
      </w:r>
      <w:r>
        <w:rPr/>
        <w:t>成本法核算的长期股权投资</w:t>
      </w:r>
      <w:r>
        <w:rPr>
          <w:rFonts w:ascii="宋体" w:hAnsi="宋体" w:cs="宋体" w:eastAsia="宋体" w:hint="default"/>
          <w:w w:val="100"/>
        </w:rPr>
        <w:t> </w:t>
      </w:r>
      <w:r>
        <w:rPr>
          <w:spacing w:val="-2"/>
        </w:rPr>
        <w:t>采用成本法核算时，长期股权投资按初始投资成本计价，追加或收回投资调整长期股权投资</w:t>
      </w:r>
    </w:p>
    <w:p>
      <w:pPr>
        <w:pStyle w:val="BodyText"/>
        <w:spacing w:line="278" w:lineRule="auto" w:before="13"/>
        <w:ind w:right="219"/>
        <w:jc w:val="both"/>
        <w:rPr>
          <w:rFonts w:ascii="宋体" w:hAnsi="宋体" w:cs="宋体" w:eastAsia="宋体" w:hint="default"/>
        </w:rPr>
      </w:pPr>
      <w:r>
        <w:rPr>
          <w:spacing w:val="-2"/>
        </w:rPr>
        <w:t>的成本。除取得投资时实际支付的价款或者对价中包含的已宣告但尚未发放的现金股利或者利润</w:t>
      </w:r>
      <w:r>
        <w:rPr>
          <w:spacing w:val="-25"/>
        </w:rPr>
        <w:t> </w:t>
      </w:r>
      <w:r>
        <w:rPr>
          <w:spacing w:val="-25"/>
        </w:rPr>
      </w:r>
      <w:r>
        <w:rPr/>
        <w:t>外，当期投资收益按照享有被投资单位宣告发放的现金股利或利润确认。</w:t>
      </w:r>
      <w:r>
        <w:rPr>
          <w:rFonts w:ascii="宋体" w:hAnsi="宋体" w:cs="宋体" w:eastAsia="宋体" w:hint="default"/>
        </w:rPr>
        <w:t> </w:t>
      </w:r>
    </w:p>
    <w:p>
      <w:pPr>
        <w:pStyle w:val="BodyText"/>
        <w:spacing w:line="280" w:lineRule="auto" w:before="10"/>
        <w:ind w:left="557" w:right="98"/>
        <w:jc w:val="left"/>
      </w:pPr>
      <w:r>
        <w:rPr/>
        <w:t>②</w:t>
      </w:r>
      <w:r>
        <w:rPr>
          <w:spacing w:val="-1"/>
        </w:rPr>
        <w:t> </w:t>
      </w:r>
      <w:r>
        <w:rPr>
          <w:rFonts w:ascii="宋体" w:hAnsi="宋体" w:cs="宋体" w:eastAsia="宋体" w:hint="default"/>
          <w:spacing w:val="-1"/>
        </w:rPr>
      </w:r>
      <w:r>
        <w:rPr/>
        <w:t>权益法核算的长期股权投资</w:t>
      </w:r>
      <w:r>
        <w:rPr>
          <w:rFonts w:ascii="宋体" w:hAnsi="宋体" w:cs="宋体" w:eastAsia="宋体" w:hint="default"/>
          <w:w w:val="100"/>
        </w:rPr>
        <w:t> </w:t>
      </w:r>
      <w:r>
        <w:rPr>
          <w:spacing w:val="-2"/>
        </w:rPr>
        <w:t>采用权益法核算时，长期股权投资的初始投资成本大于投资时应享有被投资单位可辨认净资</w:t>
      </w:r>
    </w:p>
    <w:p>
      <w:pPr>
        <w:pStyle w:val="BodyText"/>
        <w:spacing w:line="278" w:lineRule="auto" w:before="8"/>
        <w:ind w:right="218"/>
        <w:jc w:val="both"/>
        <w:rPr>
          <w:rFonts w:ascii="宋体" w:hAnsi="宋体" w:cs="宋体" w:eastAsia="宋体" w:hint="default"/>
        </w:rPr>
      </w:pPr>
      <w:r>
        <w:rPr>
          <w:spacing w:val="-2"/>
        </w:rPr>
        <w:t>产公允价值份额的，不调整长期股权投资的初始投资成本；初始投资成本小于投资时应享有被投</w:t>
      </w:r>
      <w:r>
        <w:rPr>
          <w:spacing w:val="-25"/>
        </w:rPr>
        <w:t> </w:t>
      </w:r>
      <w:r>
        <w:rPr>
          <w:spacing w:val="-25"/>
        </w:rPr>
      </w:r>
      <w:r>
        <w:rPr/>
        <w:t>资单位可辨认净资产公允价值份额的，其差额计入当期损益，同时调整长期股权投资的成本。</w:t>
      </w:r>
      <w:r>
        <w:rPr>
          <w:rFonts w:ascii="宋体" w:hAnsi="宋体" w:cs="宋体" w:eastAsia="宋体" w:hint="default"/>
        </w:rPr>
        <w:t> </w:t>
      </w:r>
    </w:p>
    <w:p>
      <w:pPr>
        <w:pStyle w:val="BodyText"/>
        <w:spacing w:line="278" w:lineRule="auto" w:before="13"/>
        <w:ind w:right="98" w:firstLine="420"/>
        <w:jc w:val="left"/>
      </w:pPr>
      <w:r>
        <w:rPr>
          <w:spacing w:val="-4"/>
          <w:w w:val="100"/>
        </w:rPr>
        <w:t>采用权益法核算时，按照应享有或应分担的被投资单位实现的净损益和其他综合收益的份额，</w:t>
      </w:r>
      <w:r>
        <w:rPr>
          <w:w w:val="100"/>
        </w:rPr>
        <w:t> </w:t>
      </w:r>
      <w:r>
        <w:rPr/>
        <w:t>分别确认投资收益和其他综合收益，同时调整长期股权投资的账面价值；按照被投资单位宣告分</w:t>
      </w:r>
      <w:r>
        <w:rPr>
          <w:w w:val="100"/>
        </w:rPr>
        <w:t> </w:t>
      </w:r>
      <w:r>
        <w:rPr/>
        <w:t>派的利润或现金股利计算应享有的部分，相应减少长期股权投资的账面价值；对于被投资单位除</w:t>
      </w:r>
      <w:r>
        <w:rPr>
          <w:w w:val="100"/>
        </w:rPr>
        <w:t> </w:t>
      </w:r>
      <w:r>
        <w:rPr/>
        <w:t>净损益、其他综合收益和利润分配以外所有者权益的其他变动，调整长期股权投资的账面价值并</w:t>
      </w:r>
      <w:r>
        <w:rPr>
          <w:w w:val="100"/>
        </w:rPr>
        <w:t> </w:t>
      </w:r>
      <w:r>
        <w:rPr/>
        <w:t>计入资本公积。在确认应享有被投资单位净损益的份额时，以取得投资时被投资单位各项可辨认</w:t>
      </w:r>
      <w:r>
        <w:rPr>
          <w:w w:val="100"/>
        </w:rPr>
        <w:t> </w:t>
      </w:r>
      <w:r>
        <w:rPr/>
        <w:t>资产等的公允价值为基础，对被投资单位的净利润进行调整后确认。被投资单位采用的会计政策</w:t>
      </w:r>
      <w:r>
        <w:rPr>
          <w:w w:val="100"/>
        </w:rPr>
        <w:t> </w:t>
      </w:r>
      <w:r>
        <w:rPr/>
        <w:t>及会计期间与本集团不一致的，按照本集团的会计政策及会计期间对被投资单位的财务报表进行</w:t>
      </w:r>
      <w:r>
        <w:rPr>
          <w:w w:val="100"/>
        </w:rPr>
        <w:t> </w:t>
      </w:r>
      <w:r>
        <w:rPr>
          <w:spacing w:val="-6"/>
          <w:w w:val="100"/>
        </w:rPr>
        <w:t>调整，并据以确认投资收益和其他综合收益。对于本集团与联营企业及合营企业之间发生的交易，</w:t>
      </w:r>
      <w:r>
        <w:rPr>
          <w:w w:val="100"/>
        </w:rPr>
        <w:t> </w:t>
      </w:r>
      <w:r>
        <w:rPr/>
        <w:t>投出或出售的资产不构成业务的，未实现内部交易损益按照享有的比例计算归属于本集团的部分</w:t>
      </w:r>
      <w:r>
        <w:rPr>
          <w:w w:val="100"/>
        </w:rPr>
        <w:t> </w:t>
      </w:r>
      <w:r>
        <w:rPr/>
        <w:t>予以抵销，在此基础上确认投资损益。但本集团与被投资单位发生的未实现内部交易损失，属于</w:t>
      </w:r>
      <w:r>
        <w:rPr>
          <w:w w:val="100"/>
        </w:rPr>
        <w:t> </w:t>
      </w:r>
      <w:r>
        <w:rPr/>
        <w:t>所转让资产减值损失的，不予以抵销。本集团向合营企业或联营企业投出的资产构成业务的，投</w:t>
      </w:r>
    </w:p>
    <w:p>
      <w:pPr>
        <w:spacing w:after="0" w:line="278" w:lineRule="auto"/>
        <w:jc w:val="left"/>
        <w:sectPr>
          <w:footerReference w:type="default" r:id="rId51"/>
          <w:pgSz w:w="11910" w:h="16840"/>
          <w:pgMar w:footer="1195" w:header="826" w:top="1300" w:bottom="1380" w:left="1140" w:right="1580"/>
        </w:sectPr>
      </w:pPr>
    </w:p>
    <w:p>
      <w:pPr>
        <w:spacing w:line="240" w:lineRule="auto" w:before="5"/>
        <w:rPr>
          <w:rFonts w:ascii="宋体" w:hAnsi="宋体" w:cs="宋体" w:eastAsia="宋体" w:hint="default"/>
          <w:sz w:val="8"/>
          <w:szCs w:val="8"/>
        </w:rPr>
      </w:pPr>
    </w:p>
    <w:p>
      <w:pPr>
        <w:pStyle w:val="BodyText"/>
        <w:spacing w:line="276" w:lineRule="auto" w:before="36"/>
        <w:ind w:right="128"/>
        <w:jc w:val="both"/>
        <w:rPr>
          <w:rFonts w:ascii="宋体" w:hAnsi="宋体" w:cs="宋体" w:eastAsia="宋体" w:hint="default"/>
        </w:rPr>
      </w:pPr>
      <w:r>
        <w:rPr>
          <w:spacing w:val="-2"/>
        </w:rPr>
        <w:t>资方因此取得长期股权投资但未取得控制权的，以投出业务的公允价值作为新增长期股权投资的</w:t>
      </w:r>
      <w:r>
        <w:rPr>
          <w:spacing w:val="-25"/>
        </w:rPr>
        <w:t> </w:t>
      </w:r>
      <w:r>
        <w:rPr>
          <w:spacing w:val="-25"/>
        </w:rPr>
      </w:r>
      <w:r>
        <w:rPr>
          <w:spacing w:val="-2"/>
        </w:rPr>
        <w:t>初始投资成本，初始投资成本与投出业务的账面价值之差，全额计入当期损益。本集团向合营企</w:t>
      </w:r>
      <w:r>
        <w:rPr>
          <w:spacing w:val="-25"/>
        </w:rPr>
        <w:t> </w:t>
      </w:r>
      <w:r>
        <w:rPr>
          <w:spacing w:val="-25"/>
        </w:rPr>
      </w:r>
      <w:r>
        <w:rPr>
          <w:spacing w:val="-2"/>
        </w:rPr>
        <w:t>业或联营企业出售的资产构成业务的，取得的对价与业务的账面价值之差，全额计入当期损益。</w:t>
      </w:r>
      <w:r>
        <w:rPr>
          <w:spacing w:val="-25"/>
        </w:rPr>
        <w:t> </w:t>
      </w:r>
      <w:r>
        <w:rPr>
          <w:spacing w:val="-25"/>
        </w:rPr>
      </w:r>
      <w:r>
        <w:rPr>
          <w:spacing w:val="-5"/>
        </w:rPr>
        <w:t>本集团自联营企业及合营企业购入的资产构成业务的，按《企业会计准则第</w:t>
      </w:r>
      <w:r>
        <w:rPr>
          <w:spacing w:val="-35"/>
        </w:rPr>
        <w:t> </w:t>
      </w:r>
      <w:r>
        <w:rPr>
          <w:rFonts w:ascii="Arial" w:hAnsi="Arial" w:cs="Arial" w:eastAsia="Arial" w:hint="default"/>
        </w:rPr>
        <w:t>20</w:t>
      </w:r>
      <w:r>
        <w:rPr>
          <w:rFonts w:ascii="Arial" w:hAnsi="Arial" w:cs="Arial" w:eastAsia="Arial" w:hint="default"/>
          <w:spacing w:val="10"/>
        </w:rPr>
        <w:t> </w:t>
      </w:r>
      <w:r>
        <w:rPr/>
        <w:t>号</w:t>
      </w:r>
      <w:r>
        <w:rPr>
          <w:rFonts w:ascii="Arial" w:hAnsi="Arial" w:cs="Arial" w:eastAsia="Arial" w:hint="default"/>
        </w:rPr>
        <w:t>——</w:t>
      </w:r>
      <w:r>
        <w:rPr/>
        <w:t>企业合并》</w:t>
      </w:r>
      <w:r>
        <w:rPr>
          <w:spacing w:val="-99"/>
        </w:rPr>
        <w:t> </w:t>
      </w:r>
      <w:r>
        <w:rPr>
          <w:spacing w:val="-99"/>
        </w:rPr>
      </w:r>
      <w:r>
        <w:rPr/>
        <w:t>的规定进行会计处理，全额确认与交易相关的利得或损失。</w:t>
      </w:r>
      <w:r>
        <w:rPr>
          <w:rFonts w:ascii="宋体" w:hAnsi="宋体" w:cs="宋体" w:eastAsia="宋体" w:hint="default"/>
        </w:rPr>
        <w:t> </w:t>
      </w:r>
    </w:p>
    <w:p>
      <w:pPr>
        <w:pStyle w:val="BodyText"/>
        <w:spacing w:line="278" w:lineRule="auto" w:before="15"/>
        <w:ind w:right="138" w:firstLine="420"/>
        <w:jc w:val="both"/>
        <w:rPr>
          <w:rFonts w:ascii="宋体" w:hAnsi="宋体" w:cs="宋体" w:eastAsia="宋体" w:hint="default"/>
        </w:rPr>
      </w:pPr>
      <w:r>
        <w:rPr>
          <w:spacing w:val="-2"/>
        </w:rPr>
        <w:t>在确认应分担被投资单位发生的净亏损时，以长期股权投资的账面价值和其他实质上构成对</w:t>
      </w:r>
      <w:r>
        <w:rPr>
          <w:w w:val="100"/>
        </w:rPr>
        <w:t> </w:t>
      </w:r>
      <w:r>
        <w:rPr>
          <w:spacing w:val="-2"/>
        </w:rPr>
        <w:t>被投资单位净投资的长期权益减记至零为限。此外，如本集团对被投资单位负有承担额外损失的</w:t>
      </w:r>
      <w:r>
        <w:rPr>
          <w:spacing w:val="-25"/>
        </w:rPr>
        <w:t> </w:t>
      </w:r>
      <w:r>
        <w:rPr>
          <w:spacing w:val="-25"/>
        </w:rPr>
      </w:r>
      <w:r>
        <w:rPr>
          <w:spacing w:val="-2"/>
        </w:rPr>
        <w:t>义务，则按预计承担的义务确认预计负债，计入当期投资损失。被投资单位以后期间实现净利润</w:t>
      </w:r>
      <w:r>
        <w:rPr>
          <w:spacing w:val="-25"/>
        </w:rPr>
        <w:t> </w:t>
      </w:r>
      <w:r>
        <w:rPr>
          <w:spacing w:val="-25"/>
        </w:rPr>
      </w:r>
      <w:r>
        <w:rPr/>
        <w:t>的，本集团在收益分享额弥补未确认的亏损分担额后，恢复确认收益分享额。</w:t>
      </w:r>
      <w:r>
        <w:rPr>
          <w:rFonts w:ascii="宋体" w:hAnsi="宋体" w:cs="宋体" w:eastAsia="宋体" w:hint="default"/>
        </w:rPr>
        <w:t> </w:t>
      </w:r>
    </w:p>
    <w:p>
      <w:pPr>
        <w:pStyle w:val="BodyText"/>
        <w:spacing w:line="278" w:lineRule="auto" w:before="10"/>
        <w:ind w:left="557" w:right="0"/>
        <w:jc w:val="left"/>
      </w:pPr>
      <w:r>
        <w:rPr/>
        <w:t>③</w:t>
      </w:r>
      <w:r>
        <w:rPr>
          <w:spacing w:val="-1"/>
        </w:rPr>
        <w:t> </w:t>
      </w:r>
      <w:r>
        <w:rPr>
          <w:rFonts w:ascii="宋体" w:hAnsi="宋体" w:cs="宋体" w:eastAsia="宋体" w:hint="default"/>
          <w:spacing w:val="-1"/>
        </w:rPr>
      </w:r>
      <w:r>
        <w:rPr/>
        <w:t>收购少数股权</w:t>
      </w:r>
      <w:r>
        <w:rPr>
          <w:rFonts w:ascii="宋体" w:hAnsi="宋体" w:cs="宋体" w:eastAsia="宋体" w:hint="default"/>
          <w:w w:val="100"/>
        </w:rPr>
        <w:t> </w:t>
      </w:r>
      <w:r>
        <w:rPr>
          <w:spacing w:val="-2"/>
        </w:rPr>
        <w:t>在编制合并财务报表时，因购买少数股权新增的长期股权投资与按照新增持股比例计算应享</w:t>
      </w:r>
    </w:p>
    <w:p>
      <w:pPr>
        <w:pStyle w:val="BodyText"/>
        <w:spacing w:line="278" w:lineRule="auto" w:before="13"/>
        <w:ind w:right="139"/>
        <w:jc w:val="both"/>
        <w:rPr>
          <w:rFonts w:ascii="宋体" w:hAnsi="宋体" w:cs="宋体" w:eastAsia="宋体" w:hint="default"/>
        </w:rPr>
      </w:pPr>
      <w:r>
        <w:rPr>
          <w:spacing w:val="-2"/>
        </w:rPr>
        <w:t>有子公司自购买日（或合并日）开始持续计算的净资产份额之间的差额，调整资本公积，资本公</w:t>
      </w:r>
      <w:r>
        <w:rPr>
          <w:spacing w:val="-25"/>
        </w:rPr>
        <w:t> </w:t>
      </w:r>
      <w:r>
        <w:rPr>
          <w:spacing w:val="-25"/>
        </w:rPr>
      </w:r>
      <w:r>
        <w:rPr/>
        <w:t>积不足冲减的，调整留存收益。</w:t>
      </w:r>
      <w:r>
        <w:rPr>
          <w:rFonts w:ascii="宋体" w:hAnsi="宋体" w:cs="宋体" w:eastAsia="宋体" w:hint="default"/>
        </w:rPr>
        <w:t> </w:t>
      </w:r>
    </w:p>
    <w:p>
      <w:pPr>
        <w:pStyle w:val="BodyText"/>
        <w:spacing w:line="280" w:lineRule="auto" w:before="10"/>
        <w:ind w:left="557" w:right="0"/>
        <w:jc w:val="left"/>
      </w:pPr>
      <w:r>
        <w:rPr/>
        <w:t>④</w:t>
      </w:r>
      <w:r>
        <w:rPr>
          <w:spacing w:val="-1"/>
        </w:rPr>
        <w:t> </w:t>
      </w:r>
      <w:r>
        <w:rPr>
          <w:rFonts w:ascii="宋体" w:hAnsi="宋体" w:cs="宋体" w:eastAsia="宋体" w:hint="default"/>
          <w:spacing w:val="-1"/>
        </w:rPr>
      </w:r>
      <w:r>
        <w:rPr/>
        <w:t>处置长期股权投资</w:t>
      </w:r>
      <w:r>
        <w:rPr>
          <w:rFonts w:ascii="宋体" w:hAnsi="宋体" w:cs="宋体" w:eastAsia="宋体" w:hint="default"/>
          <w:w w:val="100"/>
        </w:rPr>
        <w:t> </w:t>
      </w:r>
      <w:r>
        <w:rPr>
          <w:spacing w:val="-2"/>
        </w:rPr>
        <w:t>在合并财务报表中，母公司在不丧失控制权的情况下部分处置对子公司的长期股权投资，处</w:t>
      </w:r>
    </w:p>
    <w:p>
      <w:pPr>
        <w:pStyle w:val="BodyText"/>
        <w:spacing w:line="280" w:lineRule="auto" w:before="8"/>
        <w:ind w:right="138"/>
        <w:jc w:val="both"/>
        <w:rPr>
          <w:rFonts w:ascii="宋体" w:hAnsi="宋体" w:cs="宋体" w:eastAsia="宋体" w:hint="default"/>
        </w:rPr>
      </w:pPr>
      <w:r>
        <w:rPr>
          <w:spacing w:val="-2"/>
        </w:rPr>
        <w:t>置价款与处置长期股权投资相对应享有子公司净资产的差额计入股东权益；母公司部分处置对子</w:t>
      </w:r>
      <w:r>
        <w:rPr>
          <w:spacing w:val="-25"/>
        </w:rPr>
        <w:t> </w:t>
      </w:r>
      <w:r>
        <w:rPr>
          <w:spacing w:val="-25"/>
        </w:rPr>
      </w:r>
      <w:r>
        <w:rPr>
          <w:spacing w:val="-2"/>
        </w:rPr>
        <w:t>公司的长期股权投资导致丧失对子公司控制权的，按本附注五、</w:t>
      </w:r>
      <w:r>
        <w:rPr>
          <w:rFonts w:ascii="宋体" w:hAnsi="宋体" w:cs="宋体" w:eastAsia="宋体" w:hint="default"/>
          <w:spacing w:val="-2"/>
        </w:rPr>
        <w:t>6</w:t>
      </w:r>
      <w:r>
        <w:rPr>
          <w:spacing w:val="-2"/>
        </w:rPr>
        <w:t>、（</w:t>
      </w:r>
      <w:r>
        <w:rPr>
          <w:rFonts w:ascii="宋体" w:hAnsi="宋体" w:cs="宋体" w:eastAsia="宋体" w:hint="default"/>
          <w:spacing w:val="-2"/>
        </w:rPr>
        <w:t>2</w:t>
      </w:r>
      <w:r>
        <w:rPr>
          <w:spacing w:val="-2"/>
        </w:rPr>
        <w:t>）“合并财务报表编制的</w:t>
      </w:r>
      <w:r>
        <w:rPr>
          <w:spacing w:val="-23"/>
        </w:rPr>
        <w:t> </w:t>
      </w:r>
      <w:r>
        <w:rPr>
          <w:spacing w:val="-23"/>
        </w:rPr>
      </w:r>
      <w:r>
        <w:rPr/>
        <w:t>方法”中所述的相关会计政策处理。</w:t>
      </w:r>
      <w:r>
        <w:rPr>
          <w:rFonts w:ascii="宋体" w:hAnsi="宋体" w:cs="宋体" w:eastAsia="宋体" w:hint="default"/>
        </w:rPr>
        <w:t> </w:t>
      </w:r>
    </w:p>
    <w:p>
      <w:pPr>
        <w:pStyle w:val="BodyText"/>
        <w:spacing w:line="278" w:lineRule="auto" w:before="8"/>
        <w:ind w:right="138" w:firstLine="420"/>
        <w:jc w:val="both"/>
        <w:rPr>
          <w:rFonts w:ascii="宋体" w:hAnsi="宋体" w:cs="宋体" w:eastAsia="宋体" w:hint="default"/>
        </w:rPr>
      </w:pPr>
      <w:r>
        <w:rPr>
          <w:spacing w:val="-2"/>
        </w:rPr>
        <w:t>其他情形下的长期股权投资处置，对于处置的股权，其账面价值与实际取得价款的差额，计</w:t>
      </w:r>
      <w:r>
        <w:rPr>
          <w:w w:val="100"/>
        </w:rPr>
        <w:t> </w:t>
      </w:r>
      <w:r>
        <w:rPr/>
        <w:t>入当期损益。</w:t>
      </w:r>
      <w:r>
        <w:rPr>
          <w:rFonts w:ascii="宋体" w:hAnsi="宋体" w:cs="宋体" w:eastAsia="宋体" w:hint="default"/>
        </w:rPr>
        <w:t> </w:t>
      </w:r>
    </w:p>
    <w:p>
      <w:pPr>
        <w:pStyle w:val="BodyText"/>
        <w:spacing w:line="278" w:lineRule="auto" w:before="13"/>
        <w:ind w:right="138" w:firstLine="420"/>
        <w:jc w:val="both"/>
        <w:rPr>
          <w:rFonts w:ascii="宋体" w:hAnsi="宋体" w:cs="宋体" w:eastAsia="宋体" w:hint="default"/>
        </w:rPr>
      </w:pPr>
      <w:r>
        <w:rPr>
          <w:spacing w:val="-2"/>
        </w:rPr>
        <w:t>采用权益法核算的长期股权投资，处置后的剩余股权仍采用权益法核算的，在处置时将原计</w:t>
      </w:r>
      <w:r>
        <w:rPr>
          <w:w w:val="100"/>
        </w:rPr>
        <w:t> </w:t>
      </w:r>
      <w:r>
        <w:rPr>
          <w:spacing w:val="-2"/>
        </w:rPr>
        <w:t>入股东权益的其他综合收益部分按相应的比例采用与被投资单位直接处置相关资产或负债相同的</w:t>
      </w:r>
      <w:r>
        <w:rPr>
          <w:spacing w:val="-25"/>
        </w:rPr>
        <w:t> </w:t>
      </w:r>
      <w:r>
        <w:rPr>
          <w:spacing w:val="-25"/>
        </w:rPr>
      </w:r>
      <w:r>
        <w:rPr>
          <w:spacing w:val="-2"/>
        </w:rPr>
        <w:t>基础进行会计处理。因被投资方除净损益、其他综合收益和利润分配以外的其他所有者权益变动</w:t>
      </w:r>
      <w:r>
        <w:rPr>
          <w:spacing w:val="-25"/>
        </w:rPr>
        <w:t> </w:t>
      </w:r>
      <w:r>
        <w:rPr>
          <w:spacing w:val="-25"/>
        </w:rPr>
      </w:r>
      <w:r>
        <w:rPr/>
        <w:t>而确认的所有者权益，按比例结转入当期损益。</w:t>
      </w:r>
      <w:r>
        <w:rPr>
          <w:rFonts w:ascii="宋体" w:hAnsi="宋体" w:cs="宋体" w:eastAsia="宋体" w:hint="default"/>
        </w:rPr>
        <w:t> </w:t>
      </w:r>
    </w:p>
    <w:p>
      <w:pPr>
        <w:pStyle w:val="BodyText"/>
        <w:spacing w:line="278" w:lineRule="auto" w:before="10"/>
        <w:ind w:right="138" w:firstLine="420"/>
        <w:jc w:val="both"/>
        <w:rPr>
          <w:rFonts w:ascii="宋体" w:hAnsi="宋体" w:cs="宋体" w:eastAsia="宋体" w:hint="default"/>
        </w:rPr>
      </w:pPr>
      <w:r>
        <w:rPr>
          <w:spacing w:val="-2"/>
        </w:rPr>
        <w:t>采用成本法核算的长期股权投资，处置后剩余股权仍采用成本法核算的，其在取得对被投资</w:t>
      </w:r>
      <w:r>
        <w:rPr>
          <w:w w:val="100"/>
        </w:rPr>
        <w:t> </w:t>
      </w:r>
      <w:r>
        <w:rPr>
          <w:spacing w:val="-2"/>
        </w:rPr>
        <w:t>单位的控制之前因采用权益法核算或金融工具确认和计量准则核算而确认的其他综合收益，采用</w:t>
      </w:r>
      <w:r>
        <w:rPr>
          <w:spacing w:val="-24"/>
        </w:rPr>
        <w:t> </w:t>
      </w:r>
      <w:r>
        <w:rPr>
          <w:spacing w:val="-24"/>
        </w:rPr>
      </w:r>
      <w:r>
        <w:rPr>
          <w:spacing w:val="-2"/>
        </w:rPr>
        <w:t>与被投资单位直接处置相关资产或负债相同的基础进行会计处理，并按比例结转当期损益；因采</w:t>
      </w:r>
      <w:r>
        <w:rPr>
          <w:spacing w:val="-25"/>
        </w:rPr>
        <w:t> </w:t>
      </w:r>
      <w:r>
        <w:rPr>
          <w:spacing w:val="-25"/>
        </w:rPr>
      </w:r>
      <w:r>
        <w:rPr>
          <w:spacing w:val="-2"/>
        </w:rPr>
        <w:t>用权益法核算而确认的被投资单位净资产中除净损益、其他综合收益和利润分配以外的其他所有</w:t>
      </w:r>
      <w:r>
        <w:rPr>
          <w:spacing w:val="-25"/>
        </w:rPr>
        <w:t> </w:t>
      </w:r>
      <w:r>
        <w:rPr>
          <w:spacing w:val="-25"/>
        </w:rPr>
      </w:r>
      <w:r>
        <w:rPr/>
        <w:t>者权益变动按比例结转当期损益。</w:t>
      </w:r>
      <w:r>
        <w:rPr>
          <w:rFonts w:ascii="宋体" w:hAnsi="宋体" w:cs="宋体" w:eastAsia="宋体" w:hint="default"/>
        </w:rPr>
        <w:t> </w:t>
      </w:r>
    </w:p>
    <w:p>
      <w:pPr>
        <w:pStyle w:val="BodyText"/>
        <w:spacing w:line="278" w:lineRule="auto" w:before="13"/>
        <w:ind w:right="138" w:firstLine="420"/>
        <w:jc w:val="both"/>
        <w:rPr>
          <w:rFonts w:ascii="宋体" w:hAnsi="宋体" w:cs="宋体" w:eastAsia="宋体" w:hint="default"/>
        </w:rPr>
      </w:pPr>
      <w:r>
        <w:rPr>
          <w:spacing w:val="-2"/>
        </w:rPr>
        <w:t>本集团因处置部分股权投资丧失了对被投资单位的控制的，在编制个别财务报表时，处置后</w:t>
      </w:r>
      <w:r>
        <w:rPr>
          <w:w w:val="100"/>
        </w:rPr>
        <w:t> </w:t>
      </w:r>
      <w:r>
        <w:rPr>
          <w:spacing w:val="-2"/>
        </w:rPr>
        <w:t>的剩余股权能够对被投资单位实施共同控制或施加重大影响的，改按权益法核算，并对该剩余股</w:t>
      </w:r>
      <w:r>
        <w:rPr>
          <w:spacing w:val="-25"/>
        </w:rPr>
        <w:t> </w:t>
      </w:r>
      <w:r>
        <w:rPr>
          <w:spacing w:val="-25"/>
        </w:rPr>
      </w:r>
      <w:r>
        <w:rPr>
          <w:spacing w:val="-2"/>
        </w:rPr>
        <w:t>权视同自取得时即采用权益法核算进行调整；处置后的剩余股权不能对被投资单位实施共同控制</w:t>
      </w:r>
      <w:r>
        <w:rPr>
          <w:spacing w:val="-25"/>
        </w:rPr>
        <w:t> </w:t>
      </w:r>
      <w:r>
        <w:rPr>
          <w:spacing w:val="-25"/>
        </w:rPr>
      </w:r>
      <w:r>
        <w:rPr>
          <w:spacing w:val="-2"/>
        </w:rPr>
        <w:t>或施加重大影响的，改按金融工具确认和计量准则的有关规定进行会计处理，其在丧失控制之日</w:t>
      </w:r>
      <w:r>
        <w:rPr>
          <w:spacing w:val="-25"/>
        </w:rPr>
        <w:t> </w:t>
      </w:r>
      <w:r>
        <w:rPr>
          <w:spacing w:val="-25"/>
        </w:rPr>
      </w:r>
      <w:r>
        <w:rPr>
          <w:spacing w:val="-2"/>
        </w:rPr>
        <w:t>的公允价值与账面价值之间的差额计入当期损益。对于本集团取得对被投资单位的控制之前，因</w:t>
      </w:r>
      <w:r>
        <w:rPr>
          <w:spacing w:val="-25"/>
        </w:rPr>
        <w:t> </w:t>
      </w:r>
      <w:r>
        <w:rPr>
          <w:spacing w:val="-25"/>
        </w:rPr>
      </w:r>
      <w:r>
        <w:rPr>
          <w:spacing w:val="-2"/>
        </w:rPr>
        <w:t>采用权益法核算或金融工具确认和计量准则核算而确认的其他综合收益，在丧失对被投资单位控</w:t>
      </w:r>
      <w:r>
        <w:rPr>
          <w:spacing w:val="-25"/>
        </w:rPr>
        <w:t> </w:t>
      </w:r>
      <w:r>
        <w:rPr>
          <w:spacing w:val="-25"/>
        </w:rPr>
      </w:r>
      <w:r>
        <w:rPr>
          <w:spacing w:val="-2"/>
        </w:rPr>
        <w:t>制时采用与被投资单位直接处置相关资产或负债相同的基础进行会计处理，因采用权益法核算而</w:t>
      </w:r>
      <w:r>
        <w:rPr>
          <w:spacing w:val="-25"/>
        </w:rPr>
        <w:t> </w:t>
      </w:r>
      <w:r>
        <w:rPr>
          <w:spacing w:val="-25"/>
        </w:rPr>
      </w:r>
      <w:r>
        <w:rPr>
          <w:spacing w:val="-2"/>
        </w:rPr>
        <w:t>确认的被投资单位净资产中除净损益、其他综合收益和利润分配以外的其他所有者权益变动在丧</w:t>
      </w:r>
      <w:r>
        <w:rPr>
          <w:spacing w:val="-25"/>
        </w:rPr>
        <w:t> </w:t>
      </w:r>
      <w:r>
        <w:rPr>
          <w:spacing w:val="-25"/>
        </w:rPr>
      </w:r>
      <w:r>
        <w:rPr>
          <w:spacing w:val="-2"/>
        </w:rPr>
        <w:t>失对被投资单位控制时结转入当期损益。其中，处置后的剩余股权采用权益法核算的，其他综合</w:t>
      </w:r>
      <w:r>
        <w:rPr>
          <w:spacing w:val="-25"/>
        </w:rPr>
        <w:t> </w:t>
      </w:r>
      <w:r>
        <w:rPr>
          <w:spacing w:val="-25"/>
        </w:rPr>
      </w:r>
      <w:r>
        <w:rPr>
          <w:spacing w:val="-2"/>
        </w:rPr>
        <w:t>收益和其他所有者权益按比例结转；处置后的剩余股权改按金融工具确认和计量准则进行会计处</w:t>
      </w:r>
      <w:r>
        <w:rPr>
          <w:spacing w:val="-25"/>
        </w:rPr>
        <w:t> </w:t>
      </w:r>
      <w:r>
        <w:rPr>
          <w:spacing w:val="-25"/>
        </w:rPr>
      </w:r>
      <w:r>
        <w:rPr/>
        <w:t>理的，其他综合收益和其他所有者权益全部结转。</w:t>
      </w:r>
      <w:r>
        <w:rPr>
          <w:rFonts w:ascii="宋体" w:hAnsi="宋体" w:cs="宋体" w:eastAsia="宋体" w:hint="default"/>
        </w:rPr>
        <w:t> </w:t>
      </w:r>
    </w:p>
    <w:p>
      <w:pPr>
        <w:pStyle w:val="BodyText"/>
        <w:spacing w:line="280" w:lineRule="auto" w:before="10"/>
        <w:ind w:right="138" w:firstLine="420"/>
        <w:jc w:val="both"/>
      </w:pPr>
      <w:r>
        <w:rPr>
          <w:spacing w:val="-2"/>
        </w:rPr>
        <w:t>本集团因处置部分股权投资丧失了对被投资单位的共同控制或重大影响的，处置后的剩余股</w:t>
      </w:r>
      <w:r>
        <w:rPr>
          <w:w w:val="100"/>
        </w:rPr>
        <w:t> </w:t>
      </w:r>
      <w:r>
        <w:rPr>
          <w:spacing w:val="-2"/>
        </w:rPr>
        <w:t>权改按金融工具确认和计量准则核算，其在丧失共同控制或重大影响之日的公允价值与账面价值</w:t>
      </w:r>
      <w:r>
        <w:rPr>
          <w:spacing w:val="-25"/>
        </w:rPr>
        <w:t> </w:t>
      </w:r>
      <w:r>
        <w:rPr>
          <w:spacing w:val="-25"/>
        </w:rPr>
      </w:r>
      <w:r>
        <w:rPr>
          <w:spacing w:val="-2"/>
        </w:rPr>
        <w:t>之间的差额计入当期损益。原股权投资因采用权益法核算而确认的其他综合收益，在终止采用权</w:t>
      </w:r>
    </w:p>
    <w:p>
      <w:pPr>
        <w:spacing w:after="0" w:line="280" w:lineRule="auto"/>
        <w:jc w:val="both"/>
        <w:sectPr>
          <w:footerReference w:type="default" r:id="rId52"/>
          <w:pgSz w:w="11910" w:h="16840"/>
          <w:pgMar w:footer="1195" w:header="826" w:top="1300" w:bottom="1380" w:left="1140" w:right="1660"/>
          <w:pgNumType w:start="91"/>
        </w:sectPr>
      </w:pPr>
    </w:p>
    <w:p>
      <w:pPr>
        <w:spacing w:line="240" w:lineRule="auto" w:before="5"/>
        <w:rPr>
          <w:rFonts w:ascii="宋体" w:hAnsi="宋体" w:cs="宋体" w:eastAsia="宋体" w:hint="default"/>
          <w:sz w:val="8"/>
          <w:szCs w:val="8"/>
        </w:rPr>
      </w:pPr>
    </w:p>
    <w:p>
      <w:pPr>
        <w:pStyle w:val="BodyText"/>
        <w:spacing w:line="280" w:lineRule="auto" w:before="36"/>
        <w:ind w:left="236" w:right="239"/>
        <w:jc w:val="both"/>
        <w:rPr>
          <w:rFonts w:ascii="宋体" w:hAnsi="宋体" w:cs="宋体" w:eastAsia="宋体" w:hint="default"/>
        </w:rPr>
      </w:pPr>
      <w:r>
        <w:rPr>
          <w:spacing w:val="-2"/>
        </w:rPr>
        <w:t>益法核算时采用与被投资单位直接处置相关资产或负债相同的基础进行会计处理，因被投资方除</w:t>
      </w:r>
      <w:r>
        <w:rPr>
          <w:spacing w:val="-25"/>
        </w:rPr>
        <w:t> </w:t>
      </w:r>
      <w:r>
        <w:rPr>
          <w:spacing w:val="-25"/>
        </w:rPr>
      </w:r>
      <w:r>
        <w:rPr>
          <w:spacing w:val="-2"/>
        </w:rPr>
        <w:t>净损益、其他综合收益和利润分配以外的其他所有者权益变动而确认的所有者权益，在终止采用</w:t>
      </w:r>
      <w:r>
        <w:rPr>
          <w:spacing w:val="-25"/>
        </w:rPr>
        <w:t> </w:t>
      </w:r>
      <w:r>
        <w:rPr>
          <w:spacing w:val="-25"/>
        </w:rPr>
      </w:r>
      <w:r>
        <w:rPr/>
        <w:t>权益法时全部转入当期投资收益。</w:t>
      </w:r>
      <w:r>
        <w:rPr>
          <w:rFonts w:ascii="宋体" w:hAnsi="宋体" w:cs="宋体" w:eastAsia="宋体" w:hint="default"/>
        </w:rPr>
        <w:t> </w:t>
      </w:r>
    </w:p>
    <w:p>
      <w:pPr>
        <w:pStyle w:val="BodyText"/>
        <w:spacing w:line="278" w:lineRule="auto" w:before="8"/>
        <w:ind w:left="236" w:right="238" w:firstLine="420"/>
        <w:jc w:val="both"/>
        <w:rPr>
          <w:rFonts w:ascii="宋体" w:hAnsi="宋体" w:cs="宋体" w:eastAsia="宋体" w:hint="default"/>
        </w:rPr>
      </w:pPr>
      <w:r>
        <w:rPr>
          <w:spacing w:val="-2"/>
        </w:rPr>
        <w:t>本集团通过多次交易分步处置对子公司股权投资直至丧失控制权，如果上述交易属于一揽子</w:t>
      </w:r>
      <w:r>
        <w:rPr>
          <w:w w:val="100"/>
        </w:rPr>
        <w:t> </w:t>
      </w:r>
      <w:r>
        <w:rPr>
          <w:spacing w:val="-2"/>
        </w:rPr>
        <w:t>交易的，将各项交易作为一项处置子公司股权投资并丧失控制权的交易进行会计处理，在丧失控</w:t>
      </w:r>
      <w:r>
        <w:rPr>
          <w:spacing w:val="-25"/>
        </w:rPr>
        <w:t> </w:t>
      </w:r>
      <w:r>
        <w:rPr>
          <w:spacing w:val="-25"/>
        </w:rPr>
      </w:r>
      <w:r>
        <w:rPr>
          <w:spacing w:val="-2"/>
        </w:rPr>
        <w:t>制权之前每一次处置价款与所处置的股权对应的长期股权投资账面价值之间的差额，先确认为其</w:t>
      </w:r>
      <w:r>
        <w:rPr>
          <w:spacing w:val="-25"/>
        </w:rPr>
        <w:t> </w:t>
      </w:r>
      <w:r>
        <w:rPr>
          <w:spacing w:val="-25"/>
        </w:rPr>
      </w:r>
      <w:r>
        <w:rPr/>
        <w:t>他综合收益，到丧失控制权时再一并转入丧失控制权的当期损益。</w:t>
      </w:r>
      <w:r>
        <w:rPr>
          <w:rFonts w:ascii="宋体" w:hAnsi="宋体" w:cs="宋体" w:eastAsia="宋体" w:hint="default"/>
          <w:color w:val="FF0000"/>
        </w:rPr>
        <w:t> </w:t>
      </w:r>
      <w:r>
        <w:rPr>
          <w:rFonts w:ascii="宋体" w:hAnsi="宋体" w:cs="宋体" w:eastAsia="宋体" w:hint="default"/>
        </w:rPr>
      </w:r>
    </w:p>
    <w:p>
      <w:pPr>
        <w:spacing w:line="290" w:lineRule="auto" w:before="25"/>
        <w:ind w:left="236" w:right="7359" w:firstLine="0"/>
        <w:jc w:val="left"/>
        <w:rPr>
          <w:rFonts w:ascii="宋体" w:hAnsi="宋体" w:cs="宋体" w:eastAsia="宋体" w:hint="default"/>
          <w:sz w:val="21"/>
          <w:szCs w:val="21"/>
        </w:rPr>
      </w:pPr>
      <w:r>
        <w:rPr>
          <w:rFonts w:ascii="宋体" w:hAnsi="宋体" w:cs="宋体" w:eastAsia="宋体" w:hint="default"/>
          <w:b/>
          <w:bCs/>
          <w:sz w:val="21"/>
          <w:szCs w:val="21"/>
        </w:rPr>
        <w:t>21.</w:t>
      </w:r>
      <w:r>
        <w:rPr>
          <w:rFonts w:ascii="宋体" w:hAnsi="宋体" w:cs="宋体" w:eastAsia="宋体" w:hint="default"/>
          <w:b/>
          <w:bCs/>
          <w:spacing w:val="3"/>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p>
    <w:p>
      <w:pPr>
        <w:pStyle w:val="Heading2"/>
        <w:spacing w:line="290" w:lineRule="auto" w:before="12"/>
        <w:ind w:left="236" w:right="7359"/>
        <w:jc w:val="left"/>
        <w:rPr>
          <w:rFonts w:ascii="宋体" w:hAnsi="宋体" w:cs="宋体" w:eastAsia="宋体" w:hint="default"/>
          <w:b w:val="0"/>
          <w:bCs w:val="0"/>
        </w:rPr>
      </w:pPr>
      <w:r>
        <w:rPr>
          <w:rFonts w:ascii="宋体" w:hAnsi="宋体" w:cs="宋体" w:eastAsia="宋体" w:hint="default"/>
        </w:rPr>
        <w:t>22.</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rFonts w:ascii="宋体" w:hAnsi="宋体" w:cs="宋体" w:eastAsia="宋体" w:hint="default"/>
          <w:w w:val="99"/>
        </w:rPr>
        <w:t> </w:t>
      </w:r>
      <w:r>
        <w:rPr>
          <w:rFonts w:ascii="宋体" w:hAnsi="宋体" w:cs="宋体" w:eastAsia="宋体" w:hint="default"/>
          <w:b w:val="0"/>
          <w:bCs w:val="0"/>
        </w:rPr>
      </w:r>
    </w:p>
    <w:p>
      <w:pPr>
        <w:pStyle w:val="BodyText"/>
        <w:spacing w:line="278" w:lineRule="auto" w:before="13"/>
        <w:ind w:left="65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固定资产是指为生产商品、提供劳务、出租或经营管理而持有的，使用寿命超过一个会计年</w:t>
      </w:r>
    </w:p>
    <w:p>
      <w:pPr>
        <w:pStyle w:val="BodyText"/>
        <w:spacing w:line="278" w:lineRule="auto" w:before="10"/>
        <w:ind w:left="236" w:right="0"/>
        <w:jc w:val="left"/>
      </w:pPr>
      <w:r>
        <w:rPr>
          <w:spacing w:val="-2"/>
        </w:rPr>
        <w:t>度的有形资产。固定资产仅在与其有关的经济利益很可能流入本集团，且其成本能够可靠地计量</w:t>
      </w:r>
      <w:r>
        <w:rPr>
          <w:spacing w:val="-25"/>
        </w:rPr>
        <w:t> </w:t>
      </w:r>
      <w:r>
        <w:rPr>
          <w:spacing w:val="-25"/>
        </w:rPr>
      </w:r>
      <w:r>
        <w:rPr/>
        <w:t>时才予以确认。固定资产按成本并考虑预计弃置费用因素的影响进行初始计量。</w:t>
      </w:r>
    </w:p>
    <w:p>
      <w:pPr>
        <w:pStyle w:val="BodyText"/>
        <w:spacing w:line="278" w:lineRule="auto" w:before="13"/>
        <w:ind w:left="657" w:right="0"/>
        <w:jc w:val="left"/>
      </w:pPr>
      <w:r>
        <w:rPr/>
        <w:t>固定资产从达到预定可使用状态的次月起，采用年限平均法在使用寿命内计提折旧。</w:t>
      </w:r>
      <w:r>
        <w:rPr>
          <w:w w:val="100"/>
        </w:rPr>
        <w:t> </w:t>
      </w:r>
      <w:r>
        <w:rPr>
          <w:spacing w:val="-2"/>
        </w:rPr>
        <w:t>与固定资产有关的后续支出，如果与该固定资产有关的经济利益很可能流入且其成本能可靠</w:t>
      </w:r>
    </w:p>
    <w:p>
      <w:pPr>
        <w:pStyle w:val="BodyText"/>
        <w:spacing w:line="280" w:lineRule="auto" w:before="10"/>
        <w:ind w:left="236" w:right="0"/>
        <w:jc w:val="left"/>
      </w:pPr>
      <w:r>
        <w:rPr>
          <w:spacing w:val="-2"/>
        </w:rPr>
        <w:t>地计量，则计入固定资产成本，并终止确认被替换部分的账面价值。除此以外的其他后续支出，</w:t>
      </w:r>
      <w:r>
        <w:rPr>
          <w:spacing w:val="-24"/>
        </w:rPr>
        <w:t> </w:t>
      </w:r>
      <w:r>
        <w:rPr>
          <w:spacing w:val="-24"/>
        </w:rPr>
      </w:r>
      <w:r>
        <w:rPr/>
        <w:t>在发生时计入当期损益。</w:t>
      </w:r>
    </w:p>
    <w:p>
      <w:pPr>
        <w:pStyle w:val="BodyText"/>
        <w:spacing w:line="278" w:lineRule="auto" w:before="8"/>
        <w:ind w:left="236" w:right="120" w:firstLine="420"/>
        <w:jc w:val="left"/>
      </w:pPr>
      <w:r>
        <w:rPr>
          <w:w w:val="100"/>
        </w:rPr>
        <w:t>当固</w:t>
      </w:r>
      <w:r>
        <w:rPr>
          <w:spacing w:val="-3"/>
          <w:w w:val="100"/>
        </w:rPr>
        <w:t>定</w:t>
      </w:r>
      <w:r>
        <w:rPr>
          <w:w w:val="100"/>
        </w:rPr>
        <w:t>资</w:t>
      </w:r>
      <w:r>
        <w:rPr>
          <w:spacing w:val="-3"/>
          <w:w w:val="100"/>
        </w:rPr>
        <w:t>产</w:t>
      </w:r>
      <w:r>
        <w:rPr>
          <w:w w:val="100"/>
        </w:rPr>
        <w:t>处</w:t>
      </w:r>
      <w:r>
        <w:rPr>
          <w:spacing w:val="-3"/>
          <w:w w:val="100"/>
        </w:rPr>
        <w:t>于</w:t>
      </w:r>
      <w:r>
        <w:rPr>
          <w:w w:val="100"/>
        </w:rPr>
        <w:t>处</w:t>
      </w:r>
      <w:r>
        <w:rPr>
          <w:spacing w:val="-3"/>
          <w:w w:val="100"/>
        </w:rPr>
        <w:t>置</w:t>
      </w:r>
      <w:r>
        <w:rPr>
          <w:w w:val="100"/>
        </w:rPr>
        <w:t>状</w:t>
      </w:r>
      <w:r>
        <w:rPr>
          <w:spacing w:val="-3"/>
          <w:w w:val="100"/>
        </w:rPr>
        <w:t>态</w:t>
      </w:r>
      <w:r>
        <w:rPr>
          <w:w w:val="100"/>
        </w:rPr>
        <w:t>或预</w:t>
      </w:r>
      <w:r>
        <w:rPr>
          <w:spacing w:val="-3"/>
          <w:w w:val="100"/>
        </w:rPr>
        <w:t>期</w:t>
      </w:r>
      <w:r>
        <w:rPr>
          <w:w w:val="100"/>
        </w:rPr>
        <w:t>通</w:t>
      </w:r>
      <w:r>
        <w:rPr>
          <w:spacing w:val="-3"/>
          <w:w w:val="100"/>
        </w:rPr>
        <w:t>过</w:t>
      </w:r>
      <w:r>
        <w:rPr>
          <w:w w:val="100"/>
        </w:rPr>
        <w:t>使</w:t>
      </w:r>
      <w:r>
        <w:rPr>
          <w:spacing w:val="-3"/>
          <w:w w:val="100"/>
        </w:rPr>
        <w:t>用</w:t>
      </w:r>
      <w:r>
        <w:rPr>
          <w:w w:val="100"/>
        </w:rPr>
        <w:t>或</w:t>
      </w:r>
      <w:r>
        <w:rPr>
          <w:spacing w:val="-3"/>
          <w:w w:val="100"/>
        </w:rPr>
        <w:t>处</w:t>
      </w:r>
      <w:r>
        <w:rPr>
          <w:w w:val="100"/>
        </w:rPr>
        <w:t>置</w:t>
      </w:r>
      <w:r>
        <w:rPr>
          <w:spacing w:val="-3"/>
          <w:w w:val="100"/>
        </w:rPr>
        <w:t>不</w:t>
      </w:r>
      <w:r>
        <w:rPr>
          <w:w w:val="100"/>
        </w:rPr>
        <w:t>能产</w:t>
      </w:r>
      <w:r>
        <w:rPr>
          <w:spacing w:val="-3"/>
          <w:w w:val="100"/>
        </w:rPr>
        <w:t>生</w:t>
      </w:r>
      <w:r>
        <w:rPr>
          <w:w w:val="100"/>
        </w:rPr>
        <w:t>经</w:t>
      </w:r>
      <w:r>
        <w:rPr>
          <w:spacing w:val="-3"/>
          <w:w w:val="100"/>
        </w:rPr>
        <w:t>济</w:t>
      </w:r>
      <w:r>
        <w:rPr>
          <w:w w:val="100"/>
        </w:rPr>
        <w:t>利</w:t>
      </w:r>
      <w:r>
        <w:rPr>
          <w:spacing w:val="-3"/>
          <w:w w:val="100"/>
        </w:rPr>
        <w:t>益时</w:t>
      </w:r>
      <w:r>
        <w:rPr>
          <w:spacing w:val="-92"/>
          <w:w w:val="100"/>
        </w:rPr>
        <w:t>，</w:t>
      </w:r>
      <w:r>
        <w:rPr>
          <w:spacing w:val="-3"/>
          <w:w w:val="100"/>
        </w:rPr>
        <w:t>终</w:t>
      </w:r>
      <w:r>
        <w:rPr>
          <w:w w:val="100"/>
        </w:rPr>
        <w:t>止</w:t>
      </w:r>
      <w:r>
        <w:rPr>
          <w:spacing w:val="-3"/>
          <w:w w:val="100"/>
        </w:rPr>
        <w:t>确</w:t>
      </w:r>
      <w:r>
        <w:rPr>
          <w:w w:val="100"/>
        </w:rPr>
        <w:t>认该</w:t>
      </w:r>
      <w:r>
        <w:rPr>
          <w:spacing w:val="-3"/>
          <w:w w:val="100"/>
        </w:rPr>
        <w:t>固</w:t>
      </w:r>
      <w:r>
        <w:rPr>
          <w:w w:val="100"/>
        </w:rPr>
        <w:t>定</w:t>
      </w:r>
      <w:r>
        <w:rPr>
          <w:spacing w:val="-3"/>
          <w:w w:val="100"/>
        </w:rPr>
        <w:t>资产</w:t>
      </w:r>
      <w:r>
        <w:rPr>
          <w:w w:val="100"/>
        </w:rPr>
        <w:t>。</w:t>
      </w:r>
      <w:r>
        <w:rPr>
          <w:w w:val="100"/>
        </w:rPr>
        <w:t> 固定</w:t>
      </w:r>
      <w:r>
        <w:rPr>
          <w:spacing w:val="-3"/>
          <w:w w:val="100"/>
        </w:rPr>
        <w:t>资</w:t>
      </w:r>
      <w:r>
        <w:rPr>
          <w:w w:val="100"/>
        </w:rPr>
        <w:t>产</w:t>
      </w:r>
      <w:r>
        <w:rPr>
          <w:spacing w:val="-3"/>
          <w:w w:val="100"/>
        </w:rPr>
        <w:t>出</w:t>
      </w:r>
      <w:r>
        <w:rPr>
          <w:w w:val="100"/>
        </w:rPr>
        <w:t>售</w:t>
      </w:r>
      <w:r>
        <w:rPr>
          <w:spacing w:val="-101"/>
          <w:w w:val="100"/>
        </w:rPr>
        <w:t>、</w:t>
      </w:r>
      <w:r>
        <w:rPr>
          <w:w w:val="100"/>
        </w:rPr>
        <w:t>转</w:t>
      </w:r>
      <w:r>
        <w:rPr>
          <w:spacing w:val="-3"/>
          <w:w w:val="100"/>
        </w:rPr>
        <w:t>让</w:t>
      </w:r>
      <w:r>
        <w:rPr>
          <w:spacing w:val="-101"/>
          <w:w w:val="100"/>
        </w:rPr>
        <w:t>、</w:t>
      </w:r>
      <w:r>
        <w:rPr>
          <w:w w:val="100"/>
        </w:rPr>
        <w:t>报</w:t>
      </w:r>
      <w:r>
        <w:rPr>
          <w:spacing w:val="-3"/>
          <w:w w:val="100"/>
        </w:rPr>
        <w:t>废</w:t>
      </w:r>
      <w:r>
        <w:rPr>
          <w:w w:val="100"/>
        </w:rPr>
        <w:t>或毁</w:t>
      </w:r>
      <w:r>
        <w:rPr>
          <w:spacing w:val="-3"/>
          <w:w w:val="100"/>
        </w:rPr>
        <w:t>损</w:t>
      </w:r>
      <w:r>
        <w:rPr>
          <w:w w:val="100"/>
        </w:rPr>
        <w:t>的</w:t>
      </w:r>
      <w:r>
        <w:rPr>
          <w:spacing w:val="-3"/>
          <w:w w:val="100"/>
        </w:rPr>
        <w:t>处</w:t>
      </w:r>
      <w:r>
        <w:rPr>
          <w:w w:val="100"/>
        </w:rPr>
        <w:t>置</w:t>
      </w:r>
      <w:r>
        <w:rPr>
          <w:spacing w:val="-3"/>
          <w:w w:val="100"/>
        </w:rPr>
        <w:t>收</w:t>
      </w:r>
      <w:r>
        <w:rPr>
          <w:w w:val="100"/>
        </w:rPr>
        <w:t>入</w:t>
      </w:r>
      <w:r>
        <w:rPr>
          <w:spacing w:val="-3"/>
          <w:w w:val="100"/>
        </w:rPr>
        <w:t>扣</w:t>
      </w:r>
      <w:r>
        <w:rPr>
          <w:w w:val="100"/>
        </w:rPr>
        <w:t>除</w:t>
      </w:r>
      <w:r>
        <w:rPr>
          <w:spacing w:val="-3"/>
          <w:w w:val="100"/>
        </w:rPr>
        <w:t>其</w:t>
      </w:r>
      <w:r>
        <w:rPr>
          <w:w w:val="100"/>
        </w:rPr>
        <w:t>账面</w:t>
      </w:r>
      <w:r>
        <w:rPr>
          <w:spacing w:val="-3"/>
          <w:w w:val="100"/>
        </w:rPr>
        <w:t>价</w:t>
      </w:r>
      <w:r>
        <w:rPr>
          <w:w w:val="100"/>
        </w:rPr>
        <w:t>值</w:t>
      </w:r>
      <w:r>
        <w:rPr>
          <w:spacing w:val="-3"/>
          <w:w w:val="100"/>
        </w:rPr>
        <w:t>和</w:t>
      </w:r>
      <w:r>
        <w:rPr>
          <w:w w:val="100"/>
        </w:rPr>
        <w:t>相</w:t>
      </w:r>
      <w:r>
        <w:rPr>
          <w:spacing w:val="-3"/>
          <w:w w:val="100"/>
        </w:rPr>
        <w:t>关</w:t>
      </w:r>
      <w:r>
        <w:rPr>
          <w:w w:val="100"/>
        </w:rPr>
        <w:t>税</w:t>
      </w:r>
      <w:r>
        <w:rPr>
          <w:spacing w:val="-3"/>
          <w:w w:val="100"/>
        </w:rPr>
        <w:t>费</w:t>
      </w:r>
      <w:r>
        <w:rPr>
          <w:w w:val="100"/>
        </w:rPr>
        <w:t>后</w:t>
      </w:r>
      <w:r>
        <w:rPr>
          <w:spacing w:val="-3"/>
          <w:w w:val="100"/>
        </w:rPr>
        <w:t>的</w:t>
      </w:r>
      <w:r>
        <w:rPr>
          <w:w w:val="100"/>
        </w:rPr>
        <w:t>差额</w:t>
      </w:r>
      <w:r>
        <w:rPr>
          <w:spacing w:val="-3"/>
          <w:w w:val="100"/>
        </w:rPr>
        <w:t>计</w:t>
      </w:r>
      <w:r>
        <w:rPr>
          <w:w w:val="100"/>
        </w:rPr>
        <w:t>入</w:t>
      </w:r>
      <w:r>
        <w:rPr>
          <w:spacing w:val="-3"/>
          <w:w w:val="100"/>
        </w:rPr>
        <w:t>当期损益</w:t>
      </w:r>
      <w:r>
        <w:rPr>
          <w:w w:val="100"/>
        </w:rPr>
        <w:t>。</w:t>
      </w:r>
    </w:p>
    <w:p>
      <w:pPr>
        <w:pStyle w:val="BodyText"/>
        <w:spacing w:line="278" w:lineRule="auto" w:before="13"/>
        <w:ind w:left="236" w:right="0" w:firstLine="420"/>
        <w:jc w:val="left"/>
      </w:pPr>
      <w:r>
        <w:rPr>
          <w:spacing w:val="-2"/>
        </w:rPr>
        <w:t>本集团至少于年度终了对固定资产的使用寿命、预计净残值和折旧方法进行复核，如发生改</w:t>
      </w:r>
      <w:r>
        <w:rPr>
          <w:w w:val="100"/>
        </w:rPr>
        <w:t> </w:t>
      </w:r>
      <w:r>
        <w:rPr/>
        <w:t>变则作为会计估计变更处理。</w:t>
      </w:r>
    </w:p>
    <w:p>
      <w:pPr>
        <w:spacing w:line="292" w:lineRule="auto" w:before="73"/>
        <w:ind w:left="236" w:right="0" w:firstLine="420"/>
        <w:jc w:val="left"/>
        <w:rPr>
          <w:rFonts w:ascii="宋体" w:hAnsi="宋体" w:cs="宋体" w:eastAsia="宋体" w:hint="default"/>
          <w:sz w:val="21"/>
          <w:szCs w:val="21"/>
        </w:rPr>
      </w:pPr>
      <w:r>
        <w:rPr>
          <w:rFonts w:ascii="宋体" w:hAnsi="宋体" w:cs="宋体" w:eastAsia="宋体" w:hint="default"/>
          <w:spacing w:val="-5"/>
          <w:w w:val="100"/>
          <w:sz w:val="21"/>
          <w:szCs w:val="21"/>
        </w:rPr>
        <w:t>固定资产的减值测试方法和减值准备计提方法详见附注五、</w:t>
      </w:r>
      <w:r>
        <w:rPr>
          <w:rFonts w:ascii="Arial" w:hAnsi="Arial" w:cs="Arial" w:eastAsia="Arial" w:hint="default"/>
          <w:spacing w:val="-5"/>
          <w:w w:val="100"/>
          <w:sz w:val="21"/>
          <w:szCs w:val="21"/>
        </w:rPr>
        <w:t>29</w:t>
      </w:r>
      <w:r>
        <w:rPr>
          <w:rFonts w:ascii="宋体" w:hAnsi="宋体" w:cs="宋体" w:eastAsia="宋体" w:hint="default"/>
          <w:spacing w:val="-5"/>
          <w:w w:val="100"/>
          <w:sz w:val="21"/>
          <w:szCs w:val="21"/>
        </w:rPr>
        <w:t>“长期资产减值”。</w:t>
      </w:r>
      <w:r>
        <w:rPr>
          <w:rFonts w:ascii="宋体" w:hAnsi="宋体" w:cs="宋体" w:eastAsia="宋体" w:hint="default"/>
          <w:b/>
          <w:bCs/>
          <w:w w:val="100"/>
          <w:sz w:val="15"/>
          <w:szCs w:val="15"/>
        </w:rPr>
        <w:t> </w:t>
      </w:r>
      <w:r>
        <w:rPr>
          <w:rFonts w:ascii="宋体" w:hAnsi="宋体" w:cs="宋体" w:eastAsia="宋体"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3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53.5pt;height:1pt;mso-position-horizontal-relative:char;mso-position-vertical-relative:line" coordorigin="0,0" coordsize="9070,20">
            <v:group style="position:absolute;left:10;top:10;width:2031;height:2" coordorigin="10,10" coordsize="2031,2">
              <v:shape style="position:absolute;left:10;top:10;width:2031;height:2" coordorigin="10,10" coordsize="2031,0" path="m10,10l2040,10e" filled="false" stroked="true" strokeweight=".95999pt" strokecolor="#41b7ee">
                <v:path arrowok="t"/>
              </v:shape>
            </v:group>
            <v:group style="position:absolute;left:2040;top:10;width:58;height:2" coordorigin="2040,10" coordsize="58,2">
              <v:shape style="position:absolute;left:2040;top:10;width:58;height:2" coordorigin="2040,10" coordsize="58,0" path="m2040,10l2098,10e" filled="false" stroked="true" strokeweight=".95999pt" strokecolor="#41b7ee">
                <v:path arrowok="t"/>
              </v:shape>
            </v:group>
            <v:group style="position:absolute;left:2098;top:10;width:1686;height:2" coordorigin="2098,10" coordsize="1686,2">
              <v:shape style="position:absolute;left:2098;top:10;width:1686;height:2" coordorigin="2098,10" coordsize="1686,0" path="m2098,10l3783,10e" filled="false" stroked="true" strokeweight=".95999pt" strokecolor="#41b7ee">
                <v:path arrowok="t"/>
              </v:shape>
            </v:group>
            <v:group style="position:absolute;left:3783;top:10;width:58;height:2" coordorigin="3783,10" coordsize="58,2">
              <v:shape style="position:absolute;left:3783;top:10;width:58;height:2" coordorigin="3783,10" coordsize="58,0" path="m3783,10l3841,10e" filled="false" stroked="true" strokeweight=".95999pt" strokecolor="#41b7ee">
                <v:path arrowok="t"/>
              </v:shape>
            </v:group>
            <v:group style="position:absolute;left:3841;top:10;width:1686;height:2" coordorigin="3841,10" coordsize="1686,2">
              <v:shape style="position:absolute;left:3841;top:10;width:1686;height:2" coordorigin="3841,10" coordsize="1686,0" path="m3841,10l5526,10e" filled="false" stroked="true" strokeweight=".95999pt" strokecolor="#41b7ee">
                <v:path arrowok="t"/>
              </v:shape>
            </v:group>
            <v:group style="position:absolute;left:5526;top:10;width:58;height:2" coordorigin="5526,10" coordsize="58,2">
              <v:shape style="position:absolute;left:5526;top:10;width:58;height:2" coordorigin="5526,10" coordsize="58,0" path="m5526,10l5584,10e" filled="false" stroked="true" strokeweight=".95999pt" strokecolor="#41b7ee">
                <v:path arrowok="t"/>
              </v:shape>
            </v:group>
            <v:group style="position:absolute;left:5584;top:10;width:1640;height:2" coordorigin="5584,10" coordsize="1640,2">
              <v:shape style="position:absolute;left:5584;top:10;width:1640;height:2" coordorigin="5584,10" coordsize="1640,0" path="m5584,10l7223,10e" filled="false" stroked="true" strokeweight=".95999pt" strokecolor="#41b7ee">
                <v:path arrowok="t"/>
              </v:shape>
            </v:group>
            <v:group style="position:absolute;left:7223;top:10;width:58;height:2" coordorigin="7223,10" coordsize="58,2">
              <v:shape style="position:absolute;left:7223;top:10;width:58;height:2" coordorigin="7223,10" coordsize="58,0" path="m7223,10l7281,10e" filled="false" stroked="true" strokeweight=".95999pt" strokecolor="#41b7ee">
                <v:path arrowok="t"/>
              </v:shape>
            </v:group>
            <v:group style="position:absolute;left:7281;top:10;width:1779;height:2" coordorigin="7281,10" coordsize="1779,2">
              <v:shape style="position:absolute;left:7281;top:10;width:1779;height:2" coordorigin="7281,10" coordsize="1779,0" path="m7281,10l9059,10e" filled="false" stroked="true" strokeweight=".95999pt" strokecolor="#41b7ee">
                <v:path arrowok="t"/>
              </v:shape>
            </v:group>
          </v:group>
        </w:pict>
      </w:r>
      <w:r>
        <w:rPr>
          <w:rFonts w:ascii="宋体" w:hAnsi="宋体" w:cs="宋体" w:eastAsia="宋体" w:hint="default"/>
          <w:sz w:val="2"/>
          <w:szCs w:val="2"/>
        </w:rPr>
      </w:r>
    </w:p>
    <w:tbl>
      <w:tblPr>
        <w:tblW w:w="0" w:type="auto"/>
        <w:jc w:val="left"/>
        <w:tblInd w:w="119" w:type="dxa"/>
        <w:tblLayout w:type="fixed"/>
        <w:tblCellMar>
          <w:top w:w="0" w:type="dxa"/>
          <w:left w:w="0" w:type="dxa"/>
          <w:bottom w:w="0" w:type="dxa"/>
          <w:right w:w="0" w:type="dxa"/>
        </w:tblCellMar>
        <w:tblLook w:val="01E0"/>
      </w:tblPr>
      <w:tblGrid>
        <w:gridCol w:w="2036"/>
        <w:gridCol w:w="1743"/>
        <w:gridCol w:w="1743"/>
        <w:gridCol w:w="1697"/>
        <w:gridCol w:w="1832"/>
      </w:tblGrid>
      <w:tr>
        <w:trPr>
          <w:trHeight w:val="365" w:hRule="exact"/>
        </w:trPr>
        <w:tc>
          <w:tcPr>
            <w:tcW w:w="2036"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6"/>
              <w:ind w:left="108"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743"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6"/>
              <w:ind w:left="444" w:right="0"/>
              <w:jc w:val="left"/>
              <w:rPr>
                <w:rFonts w:ascii="宋体" w:hAnsi="宋体" w:cs="宋体" w:eastAsia="宋体" w:hint="default"/>
                <w:sz w:val="21"/>
                <w:szCs w:val="21"/>
              </w:rPr>
            </w:pPr>
            <w:r>
              <w:rPr>
                <w:rFonts w:ascii="宋体" w:hAnsi="宋体" w:cs="宋体" w:eastAsia="宋体" w:hint="default"/>
                <w:sz w:val="21"/>
                <w:szCs w:val="21"/>
              </w:rPr>
              <w:t>折旧方法</w:t>
            </w:r>
            <w:r>
              <w:rPr>
                <w:rFonts w:ascii="宋体" w:hAnsi="宋体" w:cs="宋体" w:eastAsia="宋体" w:hint="default"/>
                <w:sz w:val="21"/>
                <w:szCs w:val="21"/>
              </w:rPr>
              <w:t> </w:t>
            </w:r>
          </w:p>
        </w:tc>
        <w:tc>
          <w:tcPr>
            <w:tcW w:w="1743"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6"/>
              <w:ind w:left="98" w:right="0"/>
              <w:jc w:val="center"/>
              <w:rPr>
                <w:rFonts w:ascii="宋体" w:hAnsi="宋体" w:cs="宋体" w:eastAsia="宋体" w:hint="default"/>
                <w:sz w:val="21"/>
                <w:szCs w:val="21"/>
              </w:rPr>
            </w:pPr>
            <w:r>
              <w:rPr>
                <w:rFonts w:ascii="宋体" w:hAnsi="宋体" w:cs="宋体" w:eastAsia="宋体" w:hint="default"/>
                <w:sz w:val="21"/>
                <w:szCs w:val="21"/>
              </w:rPr>
              <w:t>折旧年限（年）</w:t>
            </w:r>
            <w:r>
              <w:rPr>
                <w:rFonts w:ascii="宋体" w:hAnsi="宋体" w:cs="宋体" w:eastAsia="宋体" w:hint="default"/>
                <w:sz w:val="21"/>
                <w:szCs w:val="21"/>
              </w:rPr>
              <w:t> </w:t>
            </w:r>
          </w:p>
        </w:tc>
        <w:tc>
          <w:tcPr>
            <w:tcW w:w="1697"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6"/>
              <w:ind w:left="105"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 </w:t>
            </w:r>
          </w:p>
        </w:tc>
        <w:tc>
          <w:tcPr>
            <w:tcW w:w="1832"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6"/>
              <w:ind w:right="389"/>
              <w:jc w:val="right"/>
              <w:rPr>
                <w:rFonts w:ascii="宋体" w:hAnsi="宋体" w:cs="宋体" w:eastAsia="宋体" w:hint="default"/>
                <w:sz w:val="21"/>
                <w:szCs w:val="21"/>
              </w:rPr>
            </w:pPr>
            <w:r>
              <w:rPr>
                <w:rFonts w:ascii="宋体" w:hAnsi="宋体" w:cs="宋体" w:eastAsia="宋体" w:hint="default"/>
                <w:spacing w:val="-2"/>
                <w:sz w:val="21"/>
                <w:szCs w:val="21"/>
              </w:rPr>
              <w:t>年折旧率</w:t>
            </w:r>
            <w:r>
              <w:rPr>
                <w:rFonts w:ascii="宋体" w:hAnsi="宋体" w:cs="宋体" w:eastAsia="宋体" w:hint="default"/>
                <w:sz w:val="21"/>
                <w:szCs w:val="21"/>
              </w:rPr>
              <w:t> </w:t>
            </w:r>
          </w:p>
        </w:tc>
      </w:tr>
      <w:tr>
        <w:trPr>
          <w:trHeight w:val="355" w:hRule="exact"/>
        </w:trPr>
        <w:tc>
          <w:tcPr>
            <w:tcW w:w="203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174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74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0"/>
              <w:jc w:val="center"/>
              <w:rPr>
                <w:rFonts w:ascii="Arial" w:hAnsi="Arial" w:cs="Arial" w:eastAsia="Arial" w:hint="default"/>
                <w:sz w:val="21"/>
                <w:szCs w:val="21"/>
              </w:rPr>
            </w:pPr>
            <w:r>
              <w:rPr>
                <w:rFonts w:ascii="Arial"/>
                <w:sz w:val="21"/>
              </w:rPr>
              <w:t>15-50</w:t>
            </w:r>
          </w:p>
        </w:tc>
        <w:tc>
          <w:tcPr>
            <w:tcW w:w="169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0"/>
              <w:jc w:val="center"/>
              <w:rPr>
                <w:rFonts w:ascii="Arial" w:hAnsi="Arial" w:cs="Arial" w:eastAsia="Arial" w:hint="default"/>
                <w:sz w:val="21"/>
                <w:szCs w:val="21"/>
              </w:rPr>
            </w:pPr>
            <w:r>
              <w:rPr>
                <w:rFonts w:ascii="Arial"/>
                <w:sz w:val="21"/>
              </w:rPr>
              <w:t>0-5.00</w:t>
            </w:r>
          </w:p>
        </w:tc>
        <w:tc>
          <w:tcPr>
            <w:tcW w:w="183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left="465" w:right="0"/>
              <w:jc w:val="left"/>
              <w:rPr>
                <w:rFonts w:ascii="Arial" w:hAnsi="Arial" w:cs="Arial" w:eastAsia="Arial" w:hint="default"/>
                <w:sz w:val="21"/>
                <w:szCs w:val="21"/>
              </w:rPr>
            </w:pPr>
            <w:r>
              <w:rPr>
                <w:rFonts w:ascii="Arial"/>
                <w:sz w:val="21"/>
              </w:rPr>
              <w:t>6.67-1.90</w:t>
            </w:r>
          </w:p>
        </w:tc>
      </w:tr>
      <w:tr>
        <w:trPr>
          <w:trHeight w:val="358" w:hRule="exact"/>
        </w:trPr>
        <w:tc>
          <w:tcPr>
            <w:tcW w:w="203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174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74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3"/>
              <w:jc w:val="center"/>
              <w:rPr>
                <w:rFonts w:ascii="Arial" w:hAnsi="Arial" w:cs="Arial" w:eastAsia="Arial" w:hint="default"/>
                <w:sz w:val="21"/>
                <w:szCs w:val="21"/>
              </w:rPr>
            </w:pPr>
            <w:r>
              <w:rPr>
                <w:rFonts w:ascii="Arial"/>
                <w:sz w:val="21"/>
              </w:rPr>
              <w:t>5-20</w:t>
            </w:r>
          </w:p>
        </w:tc>
        <w:tc>
          <w:tcPr>
            <w:tcW w:w="169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0"/>
              <w:jc w:val="center"/>
              <w:rPr>
                <w:rFonts w:ascii="Arial" w:hAnsi="Arial" w:cs="Arial" w:eastAsia="Arial" w:hint="default"/>
                <w:sz w:val="21"/>
                <w:szCs w:val="21"/>
              </w:rPr>
            </w:pPr>
            <w:r>
              <w:rPr>
                <w:rFonts w:ascii="Arial"/>
                <w:sz w:val="21"/>
              </w:rPr>
              <w:t>0-5.00</w:t>
            </w:r>
          </w:p>
        </w:tc>
        <w:tc>
          <w:tcPr>
            <w:tcW w:w="183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410"/>
              <w:jc w:val="right"/>
              <w:rPr>
                <w:rFonts w:ascii="Arial" w:hAnsi="Arial" w:cs="Arial" w:eastAsia="Arial" w:hint="default"/>
                <w:sz w:val="21"/>
                <w:szCs w:val="21"/>
              </w:rPr>
            </w:pPr>
            <w:r>
              <w:rPr>
                <w:rFonts w:ascii="Arial"/>
                <w:spacing w:val="-1"/>
                <w:sz w:val="21"/>
              </w:rPr>
              <w:t>20.00-4.75</w:t>
            </w:r>
          </w:p>
        </w:tc>
      </w:tr>
      <w:tr>
        <w:trPr>
          <w:trHeight w:val="358" w:hRule="exact"/>
        </w:trPr>
        <w:tc>
          <w:tcPr>
            <w:tcW w:w="203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174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74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3"/>
              <w:jc w:val="center"/>
              <w:rPr>
                <w:rFonts w:ascii="Arial" w:hAnsi="Arial" w:cs="Arial" w:eastAsia="Arial" w:hint="default"/>
                <w:sz w:val="21"/>
                <w:szCs w:val="21"/>
              </w:rPr>
            </w:pPr>
            <w:r>
              <w:rPr>
                <w:rFonts w:ascii="Arial"/>
                <w:sz w:val="21"/>
              </w:rPr>
              <w:t>5-10</w:t>
            </w:r>
          </w:p>
        </w:tc>
        <w:tc>
          <w:tcPr>
            <w:tcW w:w="169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0"/>
              <w:jc w:val="center"/>
              <w:rPr>
                <w:rFonts w:ascii="Arial" w:hAnsi="Arial" w:cs="Arial" w:eastAsia="Arial" w:hint="default"/>
                <w:sz w:val="21"/>
                <w:szCs w:val="21"/>
              </w:rPr>
            </w:pPr>
            <w:r>
              <w:rPr>
                <w:rFonts w:ascii="Arial"/>
                <w:sz w:val="21"/>
              </w:rPr>
              <w:t>0-5.00</w:t>
            </w:r>
          </w:p>
        </w:tc>
        <w:tc>
          <w:tcPr>
            <w:tcW w:w="183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410"/>
              <w:jc w:val="right"/>
              <w:rPr>
                <w:rFonts w:ascii="Arial" w:hAnsi="Arial" w:cs="Arial" w:eastAsia="Arial" w:hint="default"/>
                <w:sz w:val="21"/>
                <w:szCs w:val="21"/>
              </w:rPr>
            </w:pPr>
            <w:r>
              <w:rPr>
                <w:rFonts w:ascii="Arial"/>
                <w:spacing w:val="-1"/>
                <w:sz w:val="21"/>
              </w:rPr>
              <w:t>20.00-9.50</w:t>
            </w:r>
          </w:p>
        </w:tc>
      </w:tr>
      <w:tr>
        <w:trPr>
          <w:trHeight w:val="365" w:hRule="exact"/>
        </w:trPr>
        <w:tc>
          <w:tcPr>
            <w:tcW w:w="2036"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办公设备及其他</w:t>
            </w:r>
            <w:r>
              <w:rPr>
                <w:rFonts w:ascii="宋体" w:hAnsi="宋体" w:cs="宋体" w:eastAsia="宋体" w:hint="default"/>
                <w:sz w:val="21"/>
                <w:szCs w:val="21"/>
              </w:rPr>
              <w:t> </w:t>
            </w:r>
          </w:p>
        </w:tc>
        <w:tc>
          <w:tcPr>
            <w:tcW w:w="1743"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743"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0"/>
              <w:jc w:val="center"/>
              <w:rPr>
                <w:rFonts w:ascii="Arial" w:hAnsi="Arial" w:cs="Arial" w:eastAsia="Arial" w:hint="default"/>
                <w:sz w:val="21"/>
                <w:szCs w:val="21"/>
              </w:rPr>
            </w:pPr>
            <w:r>
              <w:rPr>
                <w:rFonts w:ascii="Arial"/>
                <w:sz w:val="21"/>
              </w:rPr>
              <w:t>3-8</w:t>
            </w:r>
          </w:p>
        </w:tc>
        <w:tc>
          <w:tcPr>
            <w:tcW w:w="1697"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0"/>
              <w:jc w:val="center"/>
              <w:rPr>
                <w:rFonts w:ascii="Arial" w:hAnsi="Arial" w:cs="Arial" w:eastAsia="Arial" w:hint="default"/>
                <w:sz w:val="21"/>
                <w:szCs w:val="21"/>
              </w:rPr>
            </w:pPr>
            <w:r>
              <w:rPr>
                <w:rFonts w:ascii="Arial"/>
                <w:sz w:val="21"/>
              </w:rPr>
              <w:t>0-5.00</w:t>
            </w:r>
          </w:p>
        </w:tc>
        <w:tc>
          <w:tcPr>
            <w:tcW w:w="1832"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8"/>
              <w:ind w:right="353"/>
              <w:jc w:val="right"/>
              <w:rPr>
                <w:rFonts w:ascii="Arial" w:hAnsi="Arial" w:cs="Arial" w:eastAsia="Arial" w:hint="default"/>
                <w:sz w:val="21"/>
                <w:szCs w:val="21"/>
              </w:rPr>
            </w:pPr>
            <w:r>
              <w:rPr>
                <w:rFonts w:ascii="Arial"/>
                <w:spacing w:val="-1"/>
                <w:sz w:val="21"/>
              </w:rPr>
              <w:t>33.33-11.88</w:t>
            </w:r>
          </w:p>
        </w:tc>
      </w:tr>
    </w:tbl>
    <w:p>
      <w:pPr>
        <w:spacing w:line="240" w:lineRule="auto" w:before="11"/>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53.5pt;height:1pt;mso-position-horizontal-relative:char;mso-position-vertical-relative:line" coordorigin="0,0" coordsize="9070,20">
            <v:group style="position:absolute;left:10;top:10;width:2031;height:2" coordorigin="10,10" coordsize="2031,2">
              <v:shape style="position:absolute;left:10;top:10;width:2031;height:2" coordorigin="10,10" coordsize="2031,0" path="m10,10l2040,10e" filled="false" stroked="true" strokeweight=".96002pt" strokecolor="#41b7ee">
                <v:path arrowok="t"/>
              </v:shape>
            </v:group>
            <v:group style="position:absolute;left:2040;top:10;width:58;height:2" coordorigin="2040,10" coordsize="58,2">
              <v:shape style="position:absolute;left:2040;top:10;width:58;height:2" coordorigin="2040,10" coordsize="58,0" path="m2040,10l2098,10e" filled="false" stroked="true" strokeweight=".96002pt" strokecolor="#41b7ee">
                <v:path arrowok="t"/>
              </v:shape>
            </v:group>
            <v:group style="position:absolute;left:2098;top:10;width:1686;height:2" coordorigin="2098,10" coordsize="1686,2">
              <v:shape style="position:absolute;left:2098;top:10;width:1686;height:2" coordorigin="2098,10" coordsize="1686,0" path="m2098,10l3783,10e" filled="false" stroked="true" strokeweight=".96002pt" strokecolor="#41b7ee">
                <v:path arrowok="t"/>
              </v:shape>
            </v:group>
            <v:group style="position:absolute;left:3783;top:10;width:58;height:2" coordorigin="3783,10" coordsize="58,2">
              <v:shape style="position:absolute;left:3783;top:10;width:58;height:2" coordorigin="3783,10" coordsize="58,0" path="m3783,10l3841,10e" filled="false" stroked="true" strokeweight=".96002pt" strokecolor="#41b7ee">
                <v:path arrowok="t"/>
              </v:shape>
            </v:group>
            <v:group style="position:absolute;left:3841;top:10;width:1686;height:2" coordorigin="3841,10" coordsize="1686,2">
              <v:shape style="position:absolute;left:3841;top:10;width:1686;height:2" coordorigin="3841,10" coordsize="1686,0" path="m3841,10l5526,10e" filled="false" stroked="true" strokeweight=".96002pt" strokecolor="#41b7ee">
                <v:path arrowok="t"/>
              </v:shape>
            </v:group>
            <v:group style="position:absolute;left:5526;top:10;width:58;height:2" coordorigin="5526,10" coordsize="58,2">
              <v:shape style="position:absolute;left:5526;top:10;width:58;height:2" coordorigin="5526,10" coordsize="58,0" path="m5526,10l5584,10e" filled="false" stroked="true" strokeweight=".96002pt" strokecolor="#41b7ee">
                <v:path arrowok="t"/>
              </v:shape>
            </v:group>
            <v:group style="position:absolute;left:5584;top:10;width:1640;height:2" coordorigin="5584,10" coordsize="1640,2">
              <v:shape style="position:absolute;left:5584;top:10;width:1640;height:2" coordorigin="5584,10" coordsize="1640,0" path="m5584,10l7223,10e" filled="false" stroked="true" strokeweight=".96002pt" strokecolor="#41b7ee">
                <v:path arrowok="t"/>
              </v:shape>
            </v:group>
            <v:group style="position:absolute;left:7223;top:10;width:58;height:2" coordorigin="7223,10" coordsize="58,2">
              <v:shape style="position:absolute;left:7223;top:10;width:58;height:2" coordorigin="7223,10" coordsize="58,0" path="m7223,10l7281,10e" filled="false" stroked="true" strokeweight=".96002pt" strokecolor="#41b7ee">
                <v:path arrowok="t"/>
              </v:shape>
            </v:group>
            <v:group style="position:absolute;left:7281;top:10;width:1779;height:2" coordorigin="7281,10" coordsize="1779,2">
              <v:shape style="position:absolute;left:7281;top:10;width:1779;height:2" coordorigin="7281,10" coordsize="1779,0" path="m7281,10l9059,10e" filled="false" stroked="true" strokeweight=".96002pt" strokecolor="#41b7ee">
                <v:path arrowok="t"/>
              </v:shape>
            </v:group>
          </v:group>
        </w:pict>
      </w:r>
      <w:r>
        <w:rPr>
          <w:rFonts w:ascii="宋体" w:hAnsi="宋体" w:cs="宋体" w:eastAsia="宋体" w:hint="default"/>
          <w:sz w:val="2"/>
          <w:szCs w:val="2"/>
        </w:rPr>
      </w:r>
    </w:p>
    <w:p>
      <w:pPr>
        <w:pStyle w:val="Heading2"/>
        <w:spacing w:line="240" w:lineRule="auto" w:before="25"/>
        <w:ind w:left="236" w:right="0"/>
        <w:jc w:val="both"/>
        <w:rPr>
          <w:rFonts w:ascii="宋体" w:hAnsi="宋体" w:cs="宋体" w:eastAsia="宋体" w:hint="default"/>
          <w:b w:val="0"/>
          <w:bCs w:val="0"/>
        </w:rPr>
      </w:pPr>
      <w:r>
        <w:rPr>
          <w:rFonts w:ascii="宋体" w:hAnsi="宋体" w:cs="宋体" w:eastAsia="宋体" w:hint="default"/>
        </w:rPr>
        <w:t>(3).</w:t>
      </w:r>
      <w:r>
        <w:rPr/>
        <w:t>融资租入固定资产的认定依据、计价和折旧方法</w:t>
      </w:r>
      <w:r>
        <w:rPr>
          <w:rFonts w:ascii="宋体" w:hAnsi="宋体" w:cs="宋体" w:eastAsia="宋体" w:hint="default"/>
          <w:w w:val="99"/>
        </w:rPr>
        <w:t> </w:t>
      </w:r>
      <w:r>
        <w:rPr>
          <w:rFonts w:ascii="宋体" w:hAnsi="宋体" w:cs="宋体" w:eastAsia="宋体" w:hint="default"/>
          <w:b w:val="0"/>
          <w:bCs w:val="0"/>
        </w:rPr>
      </w:r>
    </w:p>
    <w:p>
      <w:pPr>
        <w:pStyle w:val="BodyText"/>
        <w:spacing w:line="278" w:lineRule="auto" w:before="57"/>
        <w:ind w:left="6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融资租赁为实质上转移了与资产所有权有关的全部风险和报酬的租赁，其所有权最终可能转</w:t>
      </w:r>
    </w:p>
    <w:p>
      <w:pPr>
        <w:pStyle w:val="BodyText"/>
        <w:spacing w:line="278" w:lineRule="auto" w:before="10"/>
        <w:ind w:left="236" w:right="239"/>
        <w:jc w:val="both"/>
      </w:pPr>
      <w:r>
        <w:rPr>
          <w:spacing w:val="-2"/>
        </w:rPr>
        <w:t>移，也可能不转移。以融资租赁方式租入的固定资产采用与自有固定资产一致的政策计提租赁资</w:t>
      </w:r>
      <w:r>
        <w:rPr>
          <w:spacing w:val="-25"/>
        </w:rPr>
        <w:t> </w:t>
      </w:r>
      <w:r>
        <w:rPr>
          <w:spacing w:val="-25"/>
        </w:rPr>
      </w:r>
      <w:r>
        <w:rPr>
          <w:spacing w:val="-2"/>
        </w:rPr>
        <w:t>产折旧。能够合理确定租赁期届满时取得租赁资产所有权的，在租赁资产使用寿命内计提折旧；</w:t>
      </w:r>
      <w:r>
        <w:rPr>
          <w:spacing w:val="-25"/>
        </w:rPr>
        <w:t> </w:t>
      </w:r>
      <w:r>
        <w:rPr>
          <w:spacing w:val="-25"/>
        </w:rPr>
      </w:r>
      <w:r>
        <w:rPr>
          <w:spacing w:val="-2"/>
        </w:rPr>
        <w:t>无法合理确定租赁期届满能够取得租赁资产所有权的，在租赁期与租赁资产使用寿命两者中较短</w:t>
      </w:r>
      <w:r>
        <w:rPr>
          <w:spacing w:val="-25"/>
        </w:rPr>
        <w:t> </w:t>
      </w:r>
      <w:r>
        <w:rPr>
          <w:spacing w:val="-25"/>
        </w:rPr>
      </w:r>
      <w:r>
        <w:rPr/>
        <w:t>的期间内计提折旧。</w:t>
      </w:r>
    </w:p>
    <w:p>
      <w:pPr>
        <w:pStyle w:val="Heading2"/>
        <w:spacing w:line="240" w:lineRule="auto" w:before="25"/>
        <w:ind w:left="236" w:right="0"/>
        <w:jc w:val="both"/>
        <w:rPr>
          <w:b w:val="0"/>
          <w:bCs w:val="0"/>
        </w:rPr>
      </w:pPr>
      <w:r>
        <w:rPr>
          <w:rFonts w:ascii="宋体" w:hAnsi="宋体" w:cs="宋体" w:eastAsia="宋体" w:hint="default"/>
        </w:rPr>
        <w:t>23.</w:t>
      </w:r>
      <w:r>
        <w:rPr>
          <w:rFonts w:ascii="宋体" w:hAnsi="宋体" w:cs="宋体" w:eastAsia="宋体" w:hint="default"/>
          <w:spacing w:val="2"/>
        </w:rPr>
        <w:t> </w:t>
      </w:r>
      <w:r>
        <w:rPr/>
        <w:t>在建工程</w:t>
      </w:r>
      <w:r>
        <w:rPr>
          <w:b w:val="0"/>
          <w:bCs w:val="0"/>
        </w:rPr>
      </w:r>
    </w:p>
    <w:p>
      <w:pPr>
        <w:pStyle w:val="BodyText"/>
        <w:spacing w:line="240" w:lineRule="auto" w:before="58"/>
        <w:ind w:left="2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26" w:footer="1195" w:top="1300" w:bottom="1380" w:left="1040" w:right="1560"/>
        </w:sectPr>
      </w:pPr>
    </w:p>
    <w:p>
      <w:pPr>
        <w:spacing w:line="240" w:lineRule="auto" w:before="5"/>
        <w:rPr>
          <w:rFonts w:ascii="宋体" w:hAnsi="宋体" w:cs="宋体" w:eastAsia="宋体" w:hint="default"/>
          <w:sz w:val="8"/>
          <w:szCs w:val="8"/>
        </w:rPr>
      </w:pPr>
    </w:p>
    <w:p>
      <w:pPr>
        <w:pStyle w:val="BodyText"/>
        <w:spacing w:line="280" w:lineRule="auto" w:before="36"/>
        <w:ind w:right="138" w:firstLine="420"/>
        <w:jc w:val="both"/>
      </w:pPr>
      <w:r>
        <w:rPr>
          <w:spacing w:val="-2"/>
        </w:rPr>
        <w:t>在建工程成本按实际工程支出确定，包括在建期间发生的各项工程支出、工程达到预定可使</w:t>
      </w:r>
      <w:r>
        <w:rPr>
          <w:w w:val="100"/>
        </w:rPr>
        <w:t> </w:t>
      </w:r>
      <w:r>
        <w:rPr>
          <w:spacing w:val="-2"/>
        </w:rPr>
        <w:t>用状态前的资本化的借款费用以及其他相关费用等。在建工程在达到预定可使用状态后结转为固</w:t>
      </w:r>
      <w:r>
        <w:rPr>
          <w:spacing w:val="-25"/>
        </w:rPr>
        <w:t> </w:t>
      </w:r>
      <w:r>
        <w:rPr>
          <w:spacing w:val="-25"/>
        </w:rPr>
      </w:r>
      <w:r>
        <w:rPr/>
        <w:t>定资产。</w:t>
      </w:r>
    </w:p>
    <w:p>
      <w:pPr>
        <w:pStyle w:val="BodyText"/>
        <w:spacing w:line="276" w:lineRule="auto" w:before="8"/>
        <w:ind w:right="743" w:firstLine="420"/>
        <w:jc w:val="left"/>
        <w:rPr>
          <w:rFonts w:ascii="宋体" w:hAnsi="宋体" w:cs="宋体" w:eastAsia="宋体" w:hint="default"/>
        </w:rPr>
      </w:pPr>
      <w:r>
        <w:rPr>
          <w:spacing w:val="-2"/>
        </w:rPr>
        <w:t>在建工程的减值测试方法和减值准备计提方法详见附注五、</w:t>
      </w:r>
      <w:r>
        <w:rPr>
          <w:rFonts w:ascii="Arial" w:hAnsi="Arial" w:cs="Arial" w:eastAsia="Arial" w:hint="default"/>
          <w:spacing w:val="-2"/>
        </w:rPr>
        <w:t>29</w:t>
      </w:r>
      <w:r>
        <w:rPr>
          <w:spacing w:val="-2"/>
        </w:rPr>
        <w:t>“长期资产减值”。</w:t>
      </w:r>
      <w:r>
        <w:rPr>
          <w:w w:val="100"/>
        </w:rPr>
        <w:t> </w:t>
      </w:r>
      <w:r>
        <w:rPr>
          <w:rFonts w:ascii="宋体" w:hAnsi="宋体" w:cs="宋体" w:eastAsia="宋体" w:hint="default"/>
          <w:b/>
          <w:bCs/>
        </w:rPr>
        <w:t>24.</w:t>
      </w:r>
      <w:r>
        <w:rPr>
          <w:rFonts w:ascii="宋体" w:hAnsi="宋体" w:cs="宋体" w:eastAsia="宋体" w:hint="default"/>
          <w:b/>
          <w:bCs/>
          <w:spacing w:val="2"/>
        </w:rPr>
        <w:t> </w:t>
      </w:r>
      <w:r>
        <w:rPr>
          <w:rFonts w:ascii="宋体" w:hAnsi="宋体" w:cs="宋体" w:eastAsia="宋体" w:hint="default"/>
          <w:b/>
          <w:bCs/>
        </w:rPr>
        <w:t>借款费用</w:t>
      </w:r>
      <w:r>
        <w:rPr>
          <w:rFonts w:ascii="宋体" w:hAnsi="宋体" w:cs="宋体" w:eastAsia="宋体" w:hint="default"/>
        </w:rPr>
      </w:r>
    </w:p>
    <w:p>
      <w:pPr>
        <w:pStyle w:val="BodyText"/>
        <w:spacing w:line="276" w:lineRule="auto" w:before="27"/>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7"/>
          <w:w w:val="100"/>
        </w:rPr>
        <w:t>借款费用包括借款利息、折价或溢价的摊销、辅助费用以及因外币借款而发生的汇兑差额等。</w:t>
      </w:r>
    </w:p>
    <w:p>
      <w:pPr>
        <w:pStyle w:val="BodyText"/>
        <w:spacing w:line="278" w:lineRule="auto" w:before="15"/>
        <w:ind w:right="139"/>
        <w:jc w:val="both"/>
      </w:pPr>
      <w:r>
        <w:rPr>
          <w:spacing w:val="-2"/>
        </w:rPr>
        <w:t>可直接归属于符合资本化条件的资产的购建或者生产的借款费用，在资产支出已经发生、借款费</w:t>
      </w:r>
      <w:r>
        <w:rPr>
          <w:spacing w:val="-25"/>
        </w:rPr>
        <w:t> </w:t>
      </w:r>
      <w:r>
        <w:rPr>
          <w:spacing w:val="-25"/>
        </w:rPr>
      </w:r>
      <w:r>
        <w:rPr>
          <w:spacing w:val="-2"/>
        </w:rPr>
        <w:t>用已经发生、为使资产达到预定可使用或可销售状态所必要的购建或生产活动已经开始时，开始</w:t>
      </w:r>
      <w:r>
        <w:rPr>
          <w:spacing w:val="-25"/>
        </w:rPr>
        <w:t> </w:t>
      </w:r>
      <w:r>
        <w:rPr>
          <w:spacing w:val="-25"/>
        </w:rPr>
      </w:r>
      <w:r>
        <w:rPr>
          <w:spacing w:val="-2"/>
        </w:rPr>
        <w:t>资本化；构建或者生产的符合资本化条件的资产达到预定可使用状态或者可销售状态时，停止资</w:t>
      </w:r>
      <w:r>
        <w:rPr>
          <w:spacing w:val="-25"/>
        </w:rPr>
        <w:t> </w:t>
      </w:r>
      <w:r>
        <w:rPr>
          <w:spacing w:val="-25"/>
        </w:rPr>
      </w:r>
      <w:r>
        <w:rPr/>
        <w:t>本化。其余借款费用在发生当期确认为费用。</w:t>
      </w:r>
    </w:p>
    <w:p>
      <w:pPr>
        <w:pStyle w:val="BodyText"/>
        <w:spacing w:line="280" w:lineRule="auto" w:before="10"/>
        <w:ind w:right="138" w:firstLine="420"/>
        <w:jc w:val="both"/>
      </w:pPr>
      <w:r>
        <w:rPr>
          <w:spacing w:val="-2"/>
        </w:rPr>
        <w:t>专门借款当期实际发生的利息费用，减去尚未动用的借款资金存入银行取得的利息收入或进</w:t>
      </w:r>
      <w:r>
        <w:rPr>
          <w:w w:val="100"/>
        </w:rPr>
        <w:t> </w:t>
      </w:r>
      <w:r>
        <w:rPr>
          <w:spacing w:val="-2"/>
        </w:rPr>
        <w:t>行暂时性投资取得的投资收益后的金额予以资本化；一般借款根据累计资产支出超过专门借款部</w:t>
      </w:r>
      <w:r>
        <w:rPr>
          <w:spacing w:val="-25"/>
        </w:rPr>
        <w:t> </w:t>
      </w:r>
      <w:r>
        <w:rPr>
          <w:spacing w:val="-25"/>
        </w:rPr>
      </w:r>
      <w:r>
        <w:rPr>
          <w:spacing w:val="-2"/>
        </w:rPr>
        <w:t>分的资产支出加权平均数乘以所占用一般借款的资本化率，确定资本化金额。资本化率根据一般</w:t>
      </w:r>
      <w:r>
        <w:rPr>
          <w:spacing w:val="-25"/>
        </w:rPr>
        <w:t> </w:t>
      </w:r>
      <w:r>
        <w:rPr>
          <w:spacing w:val="-25"/>
        </w:rPr>
      </w:r>
      <w:r>
        <w:rPr/>
        <w:t>借款的加权平均利率计算确定。</w:t>
      </w:r>
    </w:p>
    <w:p>
      <w:pPr>
        <w:pStyle w:val="BodyText"/>
        <w:spacing w:line="280" w:lineRule="auto" w:before="8"/>
        <w:ind w:right="138" w:firstLine="420"/>
        <w:jc w:val="both"/>
      </w:pPr>
      <w:r>
        <w:rPr>
          <w:spacing w:val="-2"/>
        </w:rPr>
        <w:t>资本化期间内，外币专门借款的汇兑差额全部予以资本化；外币一般借款的汇兑差额计入当</w:t>
      </w:r>
      <w:r>
        <w:rPr>
          <w:w w:val="100"/>
        </w:rPr>
        <w:t> </w:t>
      </w:r>
      <w:r>
        <w:rPr/>
        <w:t>期损益。</w:t>
      </w:r>
    </w:p>
    <w:p>
      <w:pPr>
        <w:pStyle w:val="BodyText"/>
        <w:spacing w:line="278" w:lineRule="auto" w:before="8"/>
        <w:ind w:right="138" w:firstLine="420"/>
        <w:jc w:val="both"/>
      </w:pPr>
      <w:r>
        <w:rPr>
          <w:spacing w:val="-2"/>
        </w:rPr>
        <w:t>符合资本化条件的资产指需要经过相当长时间的购建或者生产活动才能达到预定可使用或可</w:t>
      </w:r>
      <w:r>
        <w:rPr>
          <w:w w:val="100"/>
        </w:rPr>
        <w:t> </w:t>
      </w:r>
      <w:r>
        <w:rPr/>
        <w:t>销售状态的固定资产、投资性房地产和存货等资产。</w:t>
      </w:r>
    </w:p>
    <w:p>
      <w:pPr>
        <w:pStyle w:val="BodyText"/>
        <w:spacing w:line="240" w:lineRule="auto" w:before="13"/>
        <w:ind w:left="557" w:right="0"/>
        <w:jc w:val="left"/>
        <w:rPr>
          <w:rFonts w:ascii="Arial" w:hAnsi="Arial" w:cs="Arial" w:eastAsia="Arial" w:hint="default"/>
        </w:rPr>
      </w:pPr>
      <w:r>
        <w:rPr>
          <w:spacing w:val="-2"/>
        </w:rPr>
        <w:t>如果符合资本化条件的资产在购建或生产过程中发生非正常中断、并且中断时间连续超过</w:t>
      </w:r>
      <w:r>
        <w:rPr>
          <w:spacing w:val="22"/>
        </w:rPr>
        <w:t> </w:t>
      </w:r>
      <w:r>
        <w:rPr>
          <w:rFonts w:ascii="Arial" w:hAnsi="Arial" w:cs="Arial" w:eastAsia="Arial" w:hint="default"/>
        </w:rPr>
        <w:t>3</w:t>
      </w:r>
    </w:p>
    <w:p>
      <w:pPr>
        <w:pStyle w:val="BodyText"/>
        <w:spacing w:line="290" w:lineRule="auto" w:before="29"/>
        <w:ind w:right="2016"/>
        <w:jc w:val="left"/>
        <w:rPr>
          <w:rFonts w:ascii="宋体" w:hAnsi="宋体" w:cs="宋体" w:eastAsia="宋体" w:hint="default"/>
        </w:rPr>
      </w:pPr>
      <w:r>
        <w:rPr>
          <w:spacing w:val="-2"/>
        </w:rPr>
        <w:t>个月的，暂停借款费用的资本化，直至资产的购建或生产活动重新开始。</w:t>
      </w:r>
      <w:r>
        <w:rPr>
          <w:spacing w:val="-45"/>
        </w:rPr>
        <w:t> </w:t>
      </w:r>
      <w:r>
        <w:rPr>
          <w:spacing w:val="-45"/>
        </w:rPr>
      </w:r>
      <w:r>
        <w:rPr>
          <w:rFonts w:ascii="宋体" w:hAnsi="宋体" w:cs="宋体" w:eastAsia="宋体" w:hint="default"/>
          <w:b/>
          <w:bCs/>
        </w:rPr>
        <w:t>25.</w:t>
      </w:r>
      <w:r>
        <w:rPr>
          <w:rFonts w:ascii="宋体" w:hAnsi="宋体" w:cs="宋体" w:eastAsia="宋体" w:hint="default"/>
          <w:b/>
          <w:bCs/>
          <w:spacing w:val="2"/>
        </w:rPr>
        <w:t> </w:t>
      </w:r>
      <w:r>
        <w:rPr>
          <w:rFonts w:ascii="宋体" w:hAnsi="宋体" w:cs="宋体" w:eastAsia="宋体" w:hint="default"/>
          <w:b/>
          <w:bCs/>
        </w:rPr>
        <w:t>生物资产</w:t>
      </w:r>
      <w:r>
        <w:rPr>
          <w:rFonts w:ascii="宋体" w:hAnsi="宋体" w:cs="宋体" w:eastAsia="宋体" w:hint="default"/>
        </w:rPr>
      </w:r>
    </w:p>
    <w:p>
      <w:pPr>
        <w:pStyle w:val="BodyText"/>
        <w:spacing w:line="304" w:lineRule="auto" w:before="15"/>
        <w:ind w:left="557" w:right="6911" w:hanging="421"/>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t>消耗性生物资产</w:t>
      </w:r>
      <w:r>
        <w:rPr>
          <w:rFonts w:ascii="宋体" w:hAnsi="宋体" w:cs="宋体" w:eastAsia="宋体" w:hint="default"/>
        </w:rPr>
        <w:t> </w:t>
      </w:r>
    </w:p>
    <w:p>
      <w:pPr>
        <w:pStyle w:val="BodyText"/>
        <w:spacing w:line="314" w:lineRule="auto" w:before="28"/>
        <w:ind w:right="138" w:firstLine="420"/>
        <w:jc w:val="both"/>
        <w:rPr>
          <w:rFonts w:ascii="宋体" w:hAnsi="宋体" w:cs="宋体" w:eastAsia="宋体" w:hint="default"/>
        </w:rPr>
      </w:pPr>
      <w:r>
        <w:rPr>
          <w:spacing w:val="-2"/>
        </w:rPr>
        <w:t>消耗性生物资产是指为出售而持有的、或在将来收获为农产品的生物资产，包括用材林等。</w:t>
      </w:r>
      <w:r>
        <w:rPr>
          <w:w w:val="100"/>
        </w:rPr>
        <w:t> </w:t>
      </w:r>
      <w:r>
        <w:rPr>
          <w:spacing w:val="-2"/>
        </w:rPr>
        <w:t>消耗性生物资产按照成本进行初始计量。自行栽培的消耗性生物资产的成本，为该资产在出售前</w:t>
      </w:r>
      <w:r>
        <w:rPr>
          <w:spacing w:val="-25"/>
        </w:rPr>
        <w:t> </w:t>
      </w:r>
      <w:r>
        <w:rPr>
          <w:spacing w:val="-25"/>
        </w:rPr>
      </w:r>
      <w:r>
        <w:rPr>
          <w:spacing w:val="-2"/>
        </w:rPr>
        <w:t>发生的可直接归属于该资产的必要支出，包括符合资本化条件的借款费用。消耗性生物资产在入</w:t>
      </w:r>
      <w:r>
        <w:rPr>
          <w:spacing w:val="-25"/>
        </w:rPr>
        <w:t> </w:t>
      </w:r>
      <w:r>
        <w:rPr>
          <w:spacing w:val="-25"/>
        </w:rPr>
      </w:r>
      <w:r>
        <w:rPr/>
        <w:t>库后发生的管护费用等后续支出，计入当期损益。</w:t>
      </w:r>
      <w:r>
        <w:rPr>
          <w:rFonts w:ascii="宋体" w:hAnsi="宋体" w:cs="宋体" w:eastAsia="宋体" w:hint="default"/>
        </w:rPr>
        <w:t> </w:t>
      </w:r>
    </w:p>
    <w:p>
      <w:pPr>
        <w:pStyle w:val="BodyText"/>
        <w:spacing w:line="314" w:lineRule="auto" w:before="20"/>
        <w:ind w:left="557" w:right="0"/>
        <w:jc w:val="left"/>
      </w:pPr>
      <w:r>
        <w:rPr/>
        <w:t>消耗性生物资产在出售时，采用加权平均法结转成本。</w:t>
      </w:r>
      <w:r>
        <w:rPr>
          <w:rFonts w:ascii="宋体" w:hAnsi="宋体" w:cs="宋体" w:eastAsia="宋体" w:hint="default"/>
          <w:w w:val="100"/>
        </w:rPr>
        <w:t> </w:t>
      </w:r>
      <w:r>
        <w:rPr>
          <w:spacing w:val="-2"/>
        </w:rPr>
        <w:t>资产负债表日，消耗性生物资产按照成本与可变现净值孰低计量，并采用与确认存货跌价准</w:t>
      </w:r>
    </w:p>
    <w:p>
      <w:pPr>
        <w:pStyle w:val="BodyText"/>
        <w:spacing w:line="312" w:lineRule="auto" w:before="20"/>
        <w:ind w:right="0"/>
        <w:jc w:val="left"/>
        <w:rPr>
          <w:rFonts w:ascii="宋体" w:hAnsi="宋体" w:cs="宋体" w:eastAsia="宋体" w:hint="default"/>
        </w:rPr>
      </w:pPr>
      <w:r>
        <w:rPr>
          <w:spacing w:val="-2"/>
        </w:rPr>
        <w:t>备一致的方法计算确认消耗性生物资产的跌价准备。如果减值的影响因素已经消失的，减记的金</w:t>
      </w:r>
      <w:r>
        <w:rPr>
          <w:spacing w:val="-25"/>
        </w:rPr>
        <w:t> </w:t>
      </w:r>
      <w:r>
        <w:rPr>
          <w:spacing w:val="-25"/>
        </w:rPr>
      </w:r>
      <w:r>
        <w:rPr/>
        <w:t>额应当予以恢复，并在原已计提的跌价准备金额内转回，转回金额计入当期损益。</w:t>
      </w:r>
      <w:r>
        <w:rPr>
          <w:rFonts w:ascii="宋体" w:hAnsi="宋体" w:cs="宋体" w:eastAsia="宋体" w:hint="default"/>
          <w:w w:val="100"/>
        </w:rPr>
        <w:t> </w:t>
      </w:r>
      <w:r>
        <w:rPr>
          <w:spacing w:val="-2"/>
        </w:rPr>
        <w:t>如果消耗性生物资产改变用途，作为生产性生物资产，改变用途后的成本按改变用途时的账面价</w:t>
      </w:r>
      <w:r>
        <w:rPr>
          <w:spacing w:val="-25"/>
        </w:rPr>
        <w:t> </w:t>
      </w:r>
      <w:r>
        <w:rPr>
          <w:spacing w:val="-25"/>
        </w:rPr>
      </w:r>
      <w:r>
        <w:rPr>
          <w:spacing w:val="-7"/>
        </w:rPr>
        <w:t>值确定。如果消耗性生物资产改变用途，作为公益性生物资产，则按照《企业会计准则第</w:t>
      </w:r>
      <w:r>
        <w:rPr>
          <w:spacing w:val="-29"/>
        </w:rPr>
        <w:t> </w:t>
      </w:r>
      <w:r>
        <w:rPr>
          <w:rFonts w:ascii="Arial" w:hAnsi="Arial" w:cs="Arial" w:eastAsia="Arial" w:hint="default"/>
        </w:rPr>
        <w:t>8</w:t>
      </w:r>
      <w:r>
        <w:rPr>
          <w:rFonts w:ascii="Arial" w:hAnsi="Arial" w:cs="Arial" w:eastAsia="Arial" w:hint="default"/>
          <w:spacing w:val="14"/>
        </w:rPr>
        <w:t> </w:t>
      </w:r>
      <w:r>
        <w:rPr/>
        <w:t>号</w:t>
      </w:r>
      <w:r>
        <w:rPr>
          <w:rFonts w:ascii="Arial" w:hAnsi="Arial" w:cs="Arial" w:eastAsia="Arial" w:hint="default"/>
        </w:rPr>
        <w:t>——</w:t>
      </w:r>
      <w:r>
        <w:rPr>
          <w:rFonts w:ascii="Arial" w:hAnsi="Arial" w:cs="Arial" w:eastAsia="Arial" w:hint="default"/>
          <w:spacing w:val="-50"/>
        </w:rPr>
        <w:t> </w:t>
      </w:r>
      <w:r>
        <w:rPr>
          <w:spacing w:val="-2"/>
        </w:rPr>
        <w:t>资产减值》规定考虑是否发生减值，发生减值时先计提减值准备，再按计提减值准备后的账面价</w:t>
      </w:r>
      <w:r>
        <w:rPr>
          <w:spacing w:val="-25"/>
        </w:rPr>
        <w:t> </w:t>
      </w:r>
      <w:r>
        <w:rPr>
          <w:spacing w:val="-25"/>
        </w:rPr>
      </w:r>
      <w:r>
        <w:rPr/>
        <w:t>值确定。</w:t>
      </w:r>
      <w:r>
        <w:rPr>
          <w:rFonts w:ascii="宋体" w:hAnsi="宋体" w:cs="宋体" w:eastAsia="宋体" w:hint="default"/>
        </w:rPr>
        <w:t> </w:t>
      </w:r>
    </w:p>
    <w:p>
      <w:pPr>
        <w:pStyle w:val="Heading2"/>
        <w:spacing w:line="240" w:lineRule="auto" w:before="5"/>
        <w:ind w:left="136" w:right="0"/>
        <w:jc w:val="left"/>
        <w:rPr>
          <w:b w:val="0"/>
          <w:bCs w:val="0"/>
        </w:rPr>
      </w:pPr>
      <w:r>
        <w:rPr>
          <w:rFonts w:ascii="宋体" w:hAnsi="宋体" w:cs="宋体" w:eastAsia="宋体" w:hint="default"/>
        </w:rPr>
        <w:t>26.</w:t>
      </w:r>
      <w:r>
        <w:rPr>
          <w:rFonts w:ascii="宋体" w:hAnsi="宋体" w:cs="宋体" w:eastAsia="宋体" w:hint="default"/>
          <w:spacing w:val="2"/>
        </w:rPr>
        <w:t> </w:t>
      </w:r>
      <w:r>
        <w:rPr/>
        <w:t>油气资产</w:t>
      </w:r>
      <w:r>
        <w:rPr>
          <w:b w:val="0"/>
          <w:bCs w:val="0"/>
        </w:rPr>
      </w:r>
    </w:p>
    <w:p>
      <w:pPr>
        <w:spacing w:line="290" w:lineRule="auto" w:before="58"/>
        <w:ind w:left="136" w:right="71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27.</w:t>
      </w:r>
      <w:r>
        <w:rPr>
          <w:rFonts w:ascii="宋体" w:hAnsi="宋体" w:cs="宋体" w:eastAsia="宋体" w:hint="default"/>
          <w:b/>
          <w:bCs/>
          <w:spacing w:val="3"/>
          <w:sz w:val="21"/>
          <w:szCs w:val="21"/>
        </w:rPr>
        <w:t> </w:t>
      </w:r>
      <w:r>
        <w:rPr>
          <w:rFonts w:ascii="宋体" w:hAnsi="宋体" w:cs="宋体" w:eastAsia="宋体" w:hint="default"/>
          <w:b/>
          <w:bCs/>
          <w:sz w:val="21"/>
          <w:szCs w:val="21"/>
        </w:rPr>
        <w:t>使用权资产</w:t>
      </w:r>
      <w:r>
        <w:rPr>
          <w:rFonts w:ascii="宋体" w:hAnsi="宋体" w:cs="宋体" w:eastAsia="宋体" w:hint="default"/>
          <w:sz w:val="21"/>
          <w:szCs w:val="21"/>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26" w:footer="1195" w:top="1300" w:bottom="1380" w:left="1140" w:right="1660"/>
        </w:sectPr>
      </w:pPr>
    </w:p>
    <w:p>
      <w:pPr>
        <w:spacing w:line="240" w:lineRule="auto" w:before="11"/>
        <w:rPr>
          <w:rFonts w:ascii="宋体" w:hAnsi="宋体" w:cs="宋体" w:eastAsia="宋体" w:hint="default"/>
          <w:sz w:val="3"/>
          <w:szCs w:val="3"/>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pStyle w:val="Heading2"/>
        <w:spacing w:line="290" w:lineRule="auto" w:before="30"/>
        <w:ind w:left="136" w:right="4347"/>
        <w:jc w:val="left"/>
        <w:rPr>
          <w:rFonts w:ascii="宋体" w:hAnsi="宋体" w:cs="宋体" w:eastAsia="宋体" w:hint="default"/>
          <w:b w:val="0"/>
          <w:bCs w:val="0"/>
        </w:rPr>
      </w:pPr>
      <w:r>
        <w:rPr>
          <w:rFonts w:ascii="宋体" w:hAnsi="宋体" w:cs="宋体" w:eastAsia="宋体" w:hint="default"/>
        </w:rPr>
        <w:t>28.</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rFonts w:ascii="宋体" w:hAnsi="宋体" w:cs="宋体" w:eastAsia="宋体" w:hint="default"/>
          <w:w w:val="99"/>
        </w:rPr>
        <w:t> </w:t>
      </w:r>
      <w:r>
        <w:rPr>
          <w:rFonts w:ascii="宋体" w:hAnsi="宋体" w:cs="宋体" w:eastAsia="宋体" w:hint="default"/>
          <w:b w:val="0"/>
          <w:bCs w:val="0"/>
        </w:rPr>
      </w:r>
    </w:p>
    <w:p>
      <w:pPr>
        <w:pStyle w:val="BodyText"/>
        <w:spacing w:line="276" w:lineRule="auto" w:before="14"/>
        <w:ind w:left="557" w:right="743"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无形资产是指本集团拥有或者控制的没有实物形态的可辨认非货币性资产。</w:t>
      </w:r>
    </w:p>
    <w:p>
      <w:pPr>
        <w:pStyle w:val="BodyText"/>
        <w:spacing w:line="278" w:lineRule="auto" w:before="15"/>
        <w:ind w:right="138" w:firstLine="420"/>
        <w:jc w:val="both"/>
      </w:pPr>
      <w:r>
        <w:rPr>
          <w:spacing w:val="-2"/>
        </w:rPr>
        <w:t>无形资产按成本进行初始计量。与无形资产有关的支出，如果相关的经济利益很可能流入本</w:t>
      </w:r>
      <w:r>
        <w:rPr>
          <w:w w:val="100"/>
        </w:rPr>
        <w:t> </w:t>
      </w:r>
      <w:r>
        <w:rPr>
          <w:spacing w:val="-2"/>
        </w:rPr>
        <w:t>集团且其成本能可靠地计量，则计入无形资产成本。除此以外的其他项目的支出，在发生时计入</w:t>
      </w:r>
      <w:r>
        <w:rPr>
          <w:spacing w:val="-25"/>
        </w:rPr>
        <w:t> </w:t>
      </w:r>
      <w:r>
        <w:rPr>
          <w:spacing w:val="-25"/>
        </w:rPr>
      </w:r>
      <w:r>
        <w:rPr/>
        <w:t>当期损益。</w:t>
      </w:r>
    </w:p>
    <w:p>
      <w:pPr>
        <w:pStyle w:val="BodyText"/>
        <w:spacing w:line="278" w:lineRule="auto" w:before="13"/>
        <w:ind w:right="138" w:firstLine="420"/>
        <w:jc w:val="both"/>
      </w:pPr>
      <w:r>
        <w:rPr>
          <w:spacing w:val="-2"/>
        </w:rPr>
        <w:t>取得的土地使用权通常作为无形资产核算。自行开发建造厂房等建筑物，相关的土地使用权</w:t>
      </w:r>
      <w:r>
        <w:rPr>
          <w:w w:val="100"/>
        </w:rPr>
        <w:t> </w:t>
      </w:r>
      <w:r>
        <w:rPr>
          <w:spacing w:val="-2"/>
        </w:rPr>
        <w:t>支出和建筑物建造成本则分别作为无形资产和固定资产核算。如为外购的房屋及建筑物，则将有</w:t>
      </w:r>
      <w:r>
        <w:rPr>
          <w:spacing w:val="-25"/>
        </w:rPr>
        <w:t> </w:t>
      </w:r>
      <w:r>
        <w:rPr>
          <w:spacing w:val="-25"/>
        </w:rPr>
      </w:r>
      <w:r>
        <w:rPr/>
        <w:t>关价款在土地使用权和建筑物之间进行分配，难以合理分配的，全部作为固定资产处理。</w:t>
      </w:r>
    </w:p>
    <w:p>
      <w:pPr>
        <w:pStyle w:val="BodyText"/>
        <w:spacing w:line="278" w:lineRule="auto" w:before="13"/>
        <w:ind w:right="138" w:firstLine="420"/>
        <w:jc w:val="both"/>
      </w:pPr>
      <w:r>
        <w:rPr>
          <w:spacing w:val="-2"/>
        </w:rPr>
        <w:t>使用寿命有限的无形资产自可供使用时起，对其原值减去预计净残值和已计提的减值准备累</w:t>
      </w:r>
      <w:r>
        <w:rPr>
          <w:w w:val="100"/>
        </w:rPr>
        <w:t> </w:t>
      </w:r>
      <w:r>
        <w:rPr/>
        <w:t>计金额在其预计使用寿命内采用直线法分期平均摊销。使用寿命不确定的无形资产不予摊销。</w:t>
      </w:r>
    </w:p>
    <w:p>
      <w:pPr>
        <w:pStyle w:val="BodyText"/>
        <w:spacing w:line="278" w:lineRule="auto" w:before="11"/>
        <w:ind w:right="138" w:firstLine="420"/>
        <w:jc w:val="both"/>
      </w:pPr>
      <w:r>
        <w:rPr>
          <w:spacing w:val="-2"/>
        </w:rPr>
        <w:t>期末，对使用寿命有限的无形资产的使用寿命和摊销方法进行复核，如发生变更则作为会计</w:t>
      </w:r>
      <w:r>
        <w:rPr>
          <w:w w:val="100"/>
        </w:rPr>
        <w:t> </w:t>
      </w:r>
      <w:r>
        <w:rPr>
          <w:spacing w:val="-2"/>
        </w:rPr>
        <w:t>估计变更处理。此外，还对使用寿命不确定的无形资产的使用寿命进行复核，如果有证据表明该</w:t>
      </w:r>
      <w:r>
        <w:rPr>
          <w:spacing w:val="-25"/>
        </w:rPr>
        <w:t> </w:t>
      </w:r>
      <w:r>
        <w:rPr>
          <w:spacing w:val="-25"/>
        </w:rPr>
      </w:r>
      <w:r>
        <w:rPr>
          <w:spacing w:val="-2"/>
        </w:rPr>
        <w:t>无形资产为企业带来经济利益的期限是可预见的，则估计其使用寿命并按照使用寿命有限的无形</w:t>
      </w:r>
      <w:r>
        <w:rPr>
          <w:spacing w:val="-25"/>
        </w:rPr>
        <w:t> </w:t>
      </w:r>
      <w:r>
        <w:rPr>
          <w:spacing w:val="-25"/>
        </w:rPr>
      </w:r>
      <w:r>
        <w:rPr/>
        <w:t>资产的摊销政策进行摊销。</w:t>
      </w:r>
    </w:p>
    <w:p>
      <w:pPr>
        <w:spacing w:line="276" w:lineRule="auto" w:before="13"/>
        <w:ind w:left="136" w:right="0" w:firstLine="420"/>
        <w:jc w:val="left"/>
        <w:rPr>
          <w:rFonts w:ascii="宋体" w:hAnsi="宋体" w:cs="宋体" w:eastAsia="宋体" w:hint="default"/>
          <w:sz w:val="21"/>
          <w:szCs w:val="21"/>
        </w:rPr>
      </w:pPr>
      <w:r>
        <w:rPr>
          <w:rFonts w:ascii="宋体" w:hAnsi="宋体" w:cs="宋体" w:eastAsia="宋体" w:hint="default"/>
          <w:sz w:val="21"/>
          <w:szCs w:val="21"/>
        </w:rPr>
        <w:t>无形资产的减值测试方法和减值准备计提方法详见附注五、</w:t>
      </w:r>
      <w:r>
        <w:rPr>
          <w:rFonts w:ascii="Arial" w:hAnsi="Arial" w:cs="Arial" w:eastAsia="Arial" w:hint="default"/>
          <w:sz w:val="21"/>
          <w:szCs w:val="21"/>
        </w:rPr>
        <w:t>29</w:t>
      </w:r>
      <w:r>
        <w:rPr>
          <w:rFonts w:ascii="宋体" w:hAnsi="宋体" w:cs="宋体" w:eastAsia="宋体" w:hint="default"/>
          <w:sz w:val="21"/>
          <w:szCs w:val="21"/>
        </w:rPr>
        <w:t>“长期资产减值”。</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8" w:lineRule="auto" w:before="27"/>
        <w:ind w:left="557" w:right="2016"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本集团内部研究开发项目的支出分为研究阶段支出与开发阶段支出。</w:t>
      </w:r>
      <w:r>
        <w:rPr>
          <w:w w:val="100"/>
        </w:rPr>
        <w:t> </w:t>
      </w:r>
      <w:r>
        <w:rPr/>
        <w:t>研究阶段的支出，于发生时计入当期损益。</w:t>
      </w:r>
    </w:p>
    <w:p>
      <w:pPr>
        <w:pStyle w:val="BodyText"/>
        <w:spacing w:line="278" w:lineRule="auto" w:before="13"/>
        <w:ind w:right="138" w:firstLine="420"/>
        <w:jc w:val="both"/>
      </w:pPr>
      <w:r>
        <w:rPr>
          <w:spacing w:val="-2"/>
        </w:rPr>
        <w:t>开发阶段的支出同时满足下列条件的，确认为无形资产，不能满足下述条件的开发阶段的支</w:t>
      </w:r>
      <w:r>
        <w:rPr>
          <w:w w:val="100"/>
        </w:rPr>
        <w:t> </w:t>
      </w:r>
      <w:r>
        <w:rPr/>
        <w:t>出计入当期损益：</w:t>
      </w:r>
    </w:p>
    <w:p>
      <w:pPr>
        <w:pStyle w:val="BodyText"/>
        <w:spacing w:line="240" w:lineRule="auto" w:before="11"/>
        <w:ind w:left="557" w:right="0"/>
        <w:jc w:val="left"/>
      </w:pPr>
      <w:r>
        <w:rPr/>
        <w:t>①完成该无形资产以使其能够使用或出售在技术上具有可行性；</w:t>
      </w:r>
    </w:p>
    <w:p>
      <w:pPr>
        <w:pStyle w:val="BodyText"/>
        <w:spacing w:line="240" w:lineRule="auto" w:before="46"/>
        <w:ind w:left="557" w:right="0"/>
        <w:jc w:val="left"/>
      </w:pPr>
      <w:r>
        <w:rPr/>
        <w:t>②具有完成该无形资产并使用或出售的意图；</w:t>
      </w:r>
    </w:p>
    <w:p>
      <w:pPr>
        <w:pStyle w:val="BodyText"/>
        <w:spacing w:line="278" w:lineRule="auto" w:before="44"/>
        <w:ind w:right="138" w:firstLine="420"/>
        <w:jc w:val="both"/>
      </w:pPr>
      <w:r>
        <w:rPr>
          <w:spacing w:val="-2"/>
        </w:rPr>
        <w:t>③无形资产产生经济利益的方式，包括能够证明运用该无形资产生产的产品存在市场或无形</w:t>
      </w:r>
      <w:r>
        <w:rPr>
          <w:w w:val="100"/>
        </w:rPr>
        <w:t> </w:t>
      </w:r>
      <w:r>
        <w:rPr/>
        <w:t>资产自身存在市场，无形资产将在内部使用的，能够证明其有用性；</w:t>
      </w:r>
    </w:p>
    <w:p>
      <w:pPr>
        <w:pStyle w:val="BodyText"/>
        <w:spacing w:line="278" w:lineRule="auto" w:before="13"/>
        <w:ind w:right="138" w:firstLine="420"/>
        <w:jc w:val="both"/>
      </w:pPr>
      <w:r>
        <w:rPr>
          <w:spacing w:val="-2"/>
        </w:rPr>
        <w:t>④有足够的技术、财务资源和其他资源支持，以完成该无形资产的开发，并有能力使用或出</w:t>
      </w:r>
      <w:r>
        <w:rPr>
          <w:w w:val="100"/>
        </w:rPr>
        <w:t> </w:t>
      </w:r>
      <w:r>
        <w:rPr/>
        <w:t>售该无形资产；</w:t>
      </w:r>
    </w:p>
    <w:p>
      <w:pPr>
        <w:pStyle w:val="BodyText"/>
        <w:spacing w:line="280" w:lineRule="auto" w:before="10"/>
        <w:ind w:left="557" w:right="0"/>
        <w:jc w:val="left"/>
      </w:pPr>
      <w:r>
        <w:rPr/>
        <w:t>⑤归属于该无形资产开发阶段的支出能够可靠地计量。</w:t>
      </w:r>
      <w:r>
        <w:rPr>
          <w:w w:val="100"/>
        </w:rPr>
        <w:t> </w:t>
      </w:r>
      <w:r>
        <w:rPr>
          <w:spacing w:val="-2"/>
        </w:rPr>
        <w:t>无法区分研究阶段支出和开发阶段支出的，将发生的研发支出全部计入当期损益。</w:t>
      </w:r>
    </w:p>
    <w:p>
      <w:pPr>
        <w:pStyle w:val="Heading2"/>
        <w:spacing w:line="240" w:lineRule="auto" w:before="23"/>
        <w:ind w:left="136" w:right="0"/>
        <w:jc w:val="left"/>
        <w:rPr>
          <w:b w:val="0"/>
          <w:bCs w:val="0"/>
        </w:rPr>
      </w:pPr>
      <w:r>
        <w:rPr>
          <w:rFonts w:ascii="宋体" w:hAnsi="宋体" w:cs="宋体" w:eastAsia="宋体" w:hint="default"/>
        </w:rPr>
        <w:t>29.</w:t>
      </w:r>
      <w:r>
        <w:rPr>
          <w:rFonts w:ascii="宋体" w:hAnsi="宋体" w:cs="宋体" w:eastAsia="宋体" w:hint="default"/>
          <w:spacing w:val="3"/>
        </w:rPr>
        <w:t> </w:t>
      </w:r>
      <w:r>
        <w:rPr/>
        <w:t>长期资产减值</w:t>
      </w:r>
      <w:r>
        <w:rPr>
          <w:b w:val="0"/>
          <w:bCs w:val="0"/>
        </w:rPr>
      </w:r>
    </w:p>
    <w:p>
      <w:pPr>
        <w:pStyle w:val="BodyText"/>
        <w:spacing w:line="278" w:lineRule="auto" w:before="58"/>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对于固定资产、在建工程、使用寿命有限的无形资产、以成本模式计量的投资性房地产及对</w:t>
      </w:r>
    </w:p>
    <w:p>
      <w:pPr>
        <w:pStyle w:val="BodyText"/>
        <w:spacing w:line="278" w:lineRule="auto" w:before="10"/>
        <w:ind w:right="139"/>
        <w:jc w:val="both"/>
      </w:pPr>
      <w:r>
        <w:rPr>
          <w:spacing w:val="-2"/>
        </w:rPr>
        <w:t>子公司、合营企业、联营企业的长期股权投资等非流动非金融资产，本集团于资产负债表日判断</w:t>
      </w:r>
      <w:r>
        <w:rPr>
          <w:spacing w:val="-25"/>
        </w:rPr>
        <w:t> </w:t>
      </w:r>
      <w:r>
        <w:rPr>
          <w:spacing w:val="-25"/>
        </w:rPr>
      </w:r>
      <w:r>
        <w:rPr>
          <w:spacing w:val="-2"/>
        </w:rPr>
        <w:t>是否存在减值迹象。如存在减值迹象的，则估计其可收回金额，进行减值测试。商誉、使用寿命</w:t>
      </w:r>
      <w:r>
        <w:rPr>
          <w:spacing w:val="-25"/>
        </w:rPr>
        <w:t> </w:t>
      </w:r>
      <w:r>
        <w:rPr>
          <w:spacing w:val="-25"/>
        </w:rPr>
      </w:r>
      <w:r>
        <w:rPr>
          <w:spacing w:val="-2"/>
        </w:rPr>
        <w:t>不确定的无形资产和尚未达到可使用状态的无形资产，无论是否存在减值迹象，每年均进行减值</w:t>
      </w:r>
      <w:r>
        <w:rPr>
          <w:spacing w:val="-25"/>
        </w:rPr>
        <w:t> </w:t>
      </w:r>
      <w:r>
        <w:rPr>
          <w:spacing w:val="-25"/>
        </w:rPr>
      </w:r>
      <w:r>
        <w:rPr/>
        <w:t>测试。</w:t>
      </w:r>
    </w:p>
    <w:p>
      <w:pPr>
        <w:pStyle w:val="BodyText"/>
        <w:spacing w:line="278" w:lineRule="auto" w:before="13"/>
        <w:ind w:right="138" w:firstLine="420"/>
        <w:jc w:val="both"/>
      </w:pPr>
      <w:r>
        <w:rPr>
          <w:spacing w:val="-2"/>
        </w:rPr>
        <w:t>减值测试结果表明资产的可收回金额低于其账面价值的，按其差额计提减值准备并计入减值</w:t>
      </w:r>
      <w:r>
        <w:rPr>
          <w:w w:val="100"/>
        </w:rPr>
        <w:t> </w:t>
      </w:r>
      <w:r>
        <w:rPr>
          <w:spacing w:val="-2"/>
        </w:rPr>
        <w:t>损失。可收回金额为资产的公允价值减去处置费用后的净额与资产预计未来现金流量的现值两者</w:t>
      </w:r>
      <w:r>
        <w:rPr>
          <w:spacing w:val="-25"/>
        </w:rPr>
        <w:t> </w:t>
      </w:r>
      <w:r>
        <w:rPr>
          <w:spacing w:val="-25"/>
        </w:rPr>
      </w:r>
      <w:r>
        <w:rPr>
          <w:spacing w:val="-2"/>
        </w:rPr>
        <w:t>之间的较高者。资产的公允价值根据公平交易中销售协议价格确定；不存在销售协议但存在资产</w:t>
      </w:r>
      <w:r>
        <w:rPr>
          <w:spacing w:val="-25"/>
        </w:rPr>
        <w:t> </w:t>
      </w:r>
      <w:r>
        <w:rPr>
          <w:spacing w:val="-25"/>
        </w:rPr>
      </w:r>
      <w:r>
        <w:rPr>
          <w:spacing w:val="-2"/>
        </w:rPr>
        <w:t>活跃市场的，公允价值按照该资产的买方出价确定；不存在销售协议和资产活跃市场的，则以可</w:t>
      </w:r>
      <w:r>
        <w:rPr>
          <w:spacing w:val="-25"/>
        </w:rPr>
        <w:t> </w:t>
      </w:r>
      <w:r>
        <w:rPr>
          <w:spacing w:val="-25"/>
        </w:rPr>
      </w:r>
      <w:r>
        <w:rPr>
          <w:spacing w:val="-2"/>
        </w:rPr>
        <w:t>获取的最佳信息为基础估计资产的公允价值。处置费用包括与资产处置有关的法律费用、相关税</w:t>
      </w:r>
    </w:p>
    <w:p>
      <w:pPr>
        <w:spacing w:after="0" w:line="278" w:lineRule="auto"/>
        <w:jc w:val="both"/>
        <w:sectPr>
          <w:pgSz w:w="11910" w:h="16840"/>
          <w:pgMar w:header="826" w:footer="1195" w:top="1300" w:bottom="1380" w:left="1140" w:right="1660"/>
        </w:sectPr>
      </w:pPr>
    </w:p>
    <w:p>
      <w:pPr>
        <w:spacing w:line="240" w:lineRule="auto" w:before="11"/>
        <w:rPr>
          <w:rFonts w:ascii="宋体" w:hAnsi="宋体" w:cs="宋体" w:eastAsia="宋体" w:hint="default"/>
          <w:sz w:val="3"/>
          <w:szCs w:val="3"/>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pStyle w:val="BodyText"/>
        <w:spacing w:line="278" w:lineRule="auto" w:before="75"/>
        <w:ind w:right="218"/>
        <w:jc w:val="both"/>
      </w:pPr>
      <w:r>
        <w:rPr>
          <w:spacing w:val="-2"/>
        </w:rPr>
        <w:t>费、搬运费以及为使资产达到可销售状态所发生的直接费用。资产预计未来现金流量的现值，按</w:t>
      </w:r>
      <w:r>
        <w:rPr>
          <w:spacing w:val="-25"/>
        </w:rPr>
        <w:t> </w:t>
      </w:r>
      <w:r>
        <w:rPr>
          <w:spacing w:val="-25"/>
        </w:rPr>
      </w:r>
      <w:r>
        <w:rPr>
          <w:spacing w:val="-2"/>
        </w:rPr>
        <w:t>照资产在持续使用过程中和最终处置时所产生的预计未来现金流量，选择恰当的折现率对其进行</w:t>
      </w:r>
      <w:r>
        <w:rPr>
          <w:spacing w:val="-25"/>
        </w:rPr>
        <w:t> </w:t>
      </w:r>
      <w:r>
        <w:rPr>
          <w:spacing w:val="-25"/>
        </w:rPr>
      </w:r>
      <w:r>
        <w:rPr>
          <w:spacing w:val="-2"/>
        </w:rPr>
        <w:t>折现后的金额加以确定。资产减值准备按单项资产为基础计算并确认，如果难以对单项资产的可</w:t>
      </w:r>
      <w:r>
        <w:rPr>
          <w:spacing w:val="-25"/>
        </w:rPr>
        <w:t> </w:t>
      </w:r>
      <w:r>
        <w:rPr>
          <w:spacing w:val="-25"/>
        </w:rPr>
      </w:r>
      <w:r>
        <w:rPr>
          <w:spacing w:val="-2"/>
        </w:rPr>
        <w:t>收回金额进行估计的，以该资产所属的资产组确定资产组的可收回金额。资产组是能够独立产生</w:t>
      </w:r>
      <w:r>
        <w:rPr>
          <w:spacing w:val="-25"/>
        </w:rPr>
        <w:t> </w:t>
      </w:r>
      <w:r>
        <w:rPr>
          <w:spacing w:val="-25"/>
        </w:rPr>
      </w:r>
      <w:r>
        <w:rPr/>
        <w:t>现金流入的最小资产组合。</w:t>
      </w:r>
    </w:p>
    <w:p>
      <w:pPr>
        <w:pStyle w:val="BodyText"/>
        <w:spacing w:line="278" w:lineRule="auto" w:before="13"/>
        <w:ind w:right="218" w:firstLine="420"/>
        <w:jc w:val="both"/>
      </w:pPr>
      <w:r>
        <w:rPr>
          <w:spacing w:val="-2"/>
        </w:rPr>
        <w:t>在财务报表中单独列示的商誉，在进行减值测试时，将商誉的账面价值分摊至预期从企业合</w:t>
      </w:r>
      <w:r>
        <w:rPr>
          <w:w w:val="100"/>
        </w:rPr>
        <w:t> </w:t>
      </w:r>
      <w:r>
        <w:rPr>
          <w:spacing w:val="-2"/>
        </w:rPr>
        <w:t>并的协同效应中受益的资产组或资产组组合。测试结果表明包含分摊的商誉的资产组或资产组组</w:t>
      </w:r>
      <w:r>
        <w:rPr>
          <w:spacing w:val="-25"/>
        </w:rPr>
        <w:t> </w:t>
      </w:r>
      <w:r>
        <w:rPr>
          <w:spacing w:val="-25"/>
        </w:rPr>
      </w:r>
      <w:r>
        <w:rPr>
          <w:spacing w:val="-2"/>
        </w:rPr>
        <w:t>合的可收回金额低于其账面价值的，确认相应的减值损失。减值损失金额先抵减分摊至该资产组</w:t>
      </w:r>
      <w:r>
        <w:rPr>
          <w:spacing w:val="-25"/>
        </w:rPr>
        <w:t> </w:t>
      </w:r>
      <w:r>
        <w:rPr>
          <w:spacing w:val="-25"/>
        </w:rPr>
      </w:r>
      <w:r>
        <w:rPr>
          <w:spacing w:val="-2"/>
        </w:rPr>
        <w:t>或资产组组合的商誉的账面价值，再根据资产组或资产组组合中除商誉以外的其他各项资产的账</w:t>
      </w:r>
      <w:r>
        <w:rPr>
          <w:spacing w:val="-25"/>
        </w:rPr>
        <w:t> </w:t>
      </w:r>
      <w:r>
        <w:rPr>
          <w:spacing w:val="-25"/>
        </w:rPr>
      </w:r>
      <w:r>
        <w:rPr/>
        <w:t>面价值所占比重，按比例抵减其他各项资产的账面价值。</w:t>
      </w:r>
    </w:p>
    <w:p>
      <w:pPr>
        <w:spacing w:line="292" w:lineRule="auto" w:before="10"/>
        <w:ind w:left="136" w:right="1822" w:firstLine="420"/>
        <w:jc w:val="left"/>
        <w:rPr>
          <w:rFonts w:ascii="宋体" w:hAnsi="宋体" w:cs="宋体" w:eastAsia="宋体" w:hint="default"/>
          <w:sz w:val="21"/>
          <w:szCs w:val="21"/>
        </w:rPr>
      </w:pPr>
      <w:r>
        <w:rPr>
          <w:rFonts w:ascii="宋体" w:hAnsi="宋体" w:cs="宋体" w:eastAsia="宋体" w:hint="default"/>
          <w:sz w:val="21"/>
          <w:szCs w:val="21"/>
        </w:rPr>
        <w:t>上述资产减值损失一经确认，以后期间不予转回价值得以恢复的部分。</w:t>
      </w:r>
      <w:r>
        <w:rPr>
          <w:rFonts w:ascii="宋体" w:hAnsi="宋体" w:cs="宋体" w:eastAsia="宋体" w:hint="default"/>
          <w:sz w:val="18"/>
          <w:szCs w:val="18"/>
        </w:rPr>
        <w:t> </w:t>
      </w:r>
      <w:r>
        <w:rPr>
          <w:rFonts w:ascii="宋体" w:hAnsi="宋体" w:cs="宋体" w:eastAsia="宋体" w:hint="default"/>
          <w:b/>
          <w:bCs/>
          <w:sz w:val="21"/>
          <w:szCs w:val="21"/>
        </w:rPr>
        <w:t>30.</w:t>
      </w:r>
      <w:r>
        <w:rPr>
          <w:rFonts w:ascii="宋体" w:hAnsi="宋体" w:cs="宋体" w:eastAsia="宋体" w:hint="default"/>
          <w:b/>
          <w:bCs/>
          <w:spacing w:val="3"/>
          <w:sz w:val="21"/>
          <w:szCs w:val="21"/>
        </w:rPr>
        <w:t> </w:t>
      </w:r>
      <w:r>
        <w:rPr>
          <w:rFonts w:ascii="宋体" w:hAnsi="宋体" w:cs="宋体" w:eastAsia="宋体" w:hint="default"/>
          <w:b/>
          <w:bCs/>
          <w:sz w:val="21"/>
          <w:szCs w:val="21"/>
        </w:rPr>
        <w:t>长期待摊费用</w:t>
      </w:r>
      <w:r>
        <w:rPr>
          <w:rFonts w:ascii="宋体" w:hAnsi="宋体" w:cs="宋体" w:eastAsia="宋体" w:hint="default"/>
          <w:sz w:val="21"/>
          <w:szCs w:val="21"/>
        </w:rPr>
      </w:r>
    </w:p>
    <w:p>
      <w:pPr>
        <w:pStyle w:val="BodyText"/>
        <w:spacing w:line="278" w:lineRule="auto" w:before="10"/>
        <w:ind w:left="557" w:right="98"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长期待摊费用为已经发生但应由报告期和以后各期负担的分摊期限在一年以上的各项费用。</w:t>
      </w:r>
    </w:p>
    <w:p>
      <w:pPr>
        <w:pStyle w:val="BodyText"/>
        <w:spacing w:line="278" w:lineRule="auto" w:before="10"/>
        <w:ind w:left="557" w:right="1822" w:hanging="421"/>
        <w:jc w:val="left"/>
      </w:pPr>
      <w:r>
        <w:rPr/>
        <w:t>本集团的长期待摊费用主要包括农田水利支出。</w:t>
      </w:r>
      <w:r>
        <w:rPr>
          <w:w w:val="100"/>
        </w:rPr>
        <w:t> </w:t>
      </w:r>
      <w:r>
        <w:rPr>
          <w:spacing w:val="-2"/>
        </w:rPr>
        <w:t>长期待摊费用在预计受益期间按直线法摊销。</w:t>
      </w:r>
    </w:p>
    <w:p>
      <w:pPr>
        <w:pStyle w:val="Heading2"/>
        <w:spacing w:line="290" w:lineRule="auto" w:before="27"/>
        <w:ind w:left="136" w:right="5059"/>
        <w:jc w:val="left"/>
        <w:rPr>
          <w:rFonts w:ascii="宋体" w:hAnsi="宋体" w:cs="宋体" w:eastAsia="宋体" w:hint="default"/>
          <w:b w:val="0"/>
          <w:bCs w:val="0"/>
        </w:rPr>
      </w:pPr>
      <w:r>
        <w:rPr>
          <w:rFonts w:ascii="宋体" w:hAnsi="宋体" w:cs="宋体" w:eastAsia="宋体" w:hint="default"/>
        </w:rPr>
        <w:t>31.</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6" w:lineRule="auto" w:before="14"/>
        <w:ind w:left="557" w:right="98"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短期薪酬主要包括工资、奖金、津贴和补贴、职工福利费、医疗保险费、生育保险费、工伤</w:t>
      </w:r>
    </w:p>
    <w:p>
      <w:pPr>
        <w:pStyle w:val="BodyText"/>
        <w:spacing w:line="280" w:lineRule="auto" w:before="13"/>
        <w:ind w:right="219"/>
        <w:jc w:val="both"/>
        <w:rPr>
          <w:rFonts w:ascii="宋体" w:hAnsi="宋体" w:cs="宋体" w:eastAsia="宋体" w:hint="default"/>
        </w:rPr>
      </w:pPr>
      <w:r>
        <w:rPr>
          <w:spacing w:val="-2"/>
        </w:rPr>
        <w:t>保险费、住房公积金、工会经费和职工教育经费、非货币性福利等。本集团在职工为本集团提供</w:t>
      </w:r>
      <w:r>
        <w:rPr>
          <w:spacing w:val="-25"/>
        </w:rPr>
        <w:t> </w:t>
      </w:r>
      <w:r>
        <w:rPr>
          <w:spacing w:val="-25"/>
        </w:rPr>
      </w:r>
      <w:r>
        <w:rPr>
          <w:spacing w:val="-2"/>
        </w:rPr>
        <w:t>服务的会计期间将实际发生的短期职工薪酬确认为负债，并计入当期损益或相关资产成本。其中</w:t>
      </w:r>
      <w:r>
        <w:rPr>
          <w:spacing w:val="-25"/>
        </w:rPr>
        <w:t> </w:t>
      </w:r>
      <w:r>
        <w:rPr>
          <w:spacing w:val="-25"/>
        </w:rPr>
      </w:r>
      <w:r>
        <w:rPr/>
        <w:t>非货币性福利按公允价值计量。</w:t>
      </w:r>
      <w:r>
        <w:rPr>
          <w:rFonts w:ascii="宋体" w:hAnsi="宋体" w:cs="宋体" w:eastAsia="宋体" w:hint="default"/>
        </w:rPr>
        <w:t> </w:t>
      </w:r>
    </w:p>
    <w:p>
      <w:pPr>
        <w:pStyle w:val="Heading2"/>
        <w:spacing w:line="240" w:lineRule="auto" w:before="23"/>
        <w:ind w:left="136" w:right="98"/>
        <w:jc w:val="left"/>
        <w:rPr>
          <w:rFonts w:ascii="宋体" w:hAnsi="宋体" w:cs="宋体" w:eastAsia="宋体" w:hint="default"/>
          <w:b w:val="0"/>
          <w:bCs w:val="0"/>
        </w:rPr>
      </w:pPr>
      <w:r>
        <w:rPr>
          <w:rFonts w:ascii="宋体" w:hAnsi="宋体" w:cs="宋体" w:eastAsia="宋体" w:hint="default"/>
        </w:rPr>
        <w:t>(2).</w:t>
      </w:r>
      <w:r>
        <w:rPr/>
        <w:t>离职后福利的会计处理方法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6" w:lineRule="auto" w:before="58"/>
        <w:ind w:left="557" w:right="98"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离职后福利主要包括设定提存计划及设定受益计划。其中设定提存计划主要包括基本养老保</w:t>
      </w:r>
    </w:p>
    <w:p>
      <w:pPr>
        <w:spacing w:line="331" w:lineRule="auto" w:before="15"/>
        <w:ind w:left="136" w:right="98" w:firstLine="0"/>
        <w:jc w:val="left"/>
        <w:rPr>
          <w:rFonts w:ascii="宋体" w:hAnsi="宋体" w:cs="宋体" w:eastAsia="宋体" w:hint="default"/>
          <w:sz w:val="21"/>
          <w:szCs w:val="21"/>
        </w:rPr>
      </w:pPr>
      <w:r>
        <w:rPr>
          <w:rFonts w:ascii="宋体" w:hAnsi="宋体" w:cs="宋体" w:eastAsia="宋体" w:hint="default"/>
          <w:spacing w:val="-2"/>
          <w:sz w:val="21"/>
          <w:szCs w:val="21"/>
        </w:rPr>
        <w:t>险、失业保险以及年金等，相应的应缴存金额于发生时计入相关资产成本或当期损益。</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80" w:lineRule="auto" w:before="24"/>
        <w:ind w:left="557" w:right="98"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在职工劳动合同到期之前解除与职工的劳动关系，或为鼓励职工自愿接受裁减而提出给予补</w:t>
      </w:r>
    </w:p>
    <w:p>
      <w:pPr>
        <w:pStyle w:val="BodyText"/>
        <w:spacing w:line="280" w:lineRule="auto" w:before="8"/>
        <w:ind w:right="98"/>
        <w:jc w:val="left"/>
      </w:pPr>
      <w:r>
        <w:rPr/>
        <w:t>偿的建议，在本集团不能单方面撤回因解除劳动关系计划或裁减建议所提供的辞退福利时，和本</w:t>
      </w:r>
      <w:r>
        <w:rPr>
          <w:w w:val="100"/>
        </w:rPr>
        <w:t> </w:t>
      </w:r>
      <w:r>
        <w:rPr>
          <w:spacing w:val="-4"/>
          <w:w w:val="100"/>
        </w:rPr>
        <w:t>集团确认与涉及支付辞退福利的重组相关的成本两者孰早日，确认辞退福利产生的职工薪酬负债，</w:t>
      </w:r>
      <w:r>
        <w:rPr>
          <w:spacing w:val="-86"/>
          <w:w w:val="100"/>
        </w:rPr>
        <w:t> </w:t>
      </w:r>
      <w:r>
        <w:rPr>
          <w:spacing w:val="-86"/>
          <w:w w:val="100"/>
        </w:rPr>
      </w:r>
      <w:r>
        <w:rPr/>
        <w:t>并计入当期损益。但辞退福利预期在年度报告期结束后十二个月不能完全支付的，按照其他长期</w:t>
      </w:r>
      <w:r>
        <w:rPr>
          <w:w w:val="100"/>
        </w:rPr>
        <w:t> </w:t>
      </w:r>
      <w:r>
        <w:rPr/>
        <w:t>职工薪酬处理。</w:t>
      </w:r>
    </w:p>
    <w:p>
      <w:pPr>
        <w:pStyle w:val="BodyText"/>
        <w:spacing w:line="280" w:lineRule="auto" w:before="8"/>
        <w:ind w:right="218" w:firstLine="420"/>
        <w:jc w:val="both"/>
        <w:rPr>
          <w:rFonts w:ascii="宋体" w:hAnsi="宋体" w:cs="宋体" w:eastAsia="宋体" w:hint="default"/>
        </w:rPr>
      </w:pPr>
      <w:r>
        <w:rPr>
          <w:spacing w:val="-2"/>
        </w:rPr>
        <w:t>职工内部退休计划采用与上述辞退福利相同的原则处理。本集团将自职工停止提供服务日至</w:t>
      </w:r>
      <w:r>
        <w:rPr>
          <w:w w:val="100"/>
        </w:rPr>
        <w:t> </w:t>
      </w:r>
      <w:r>
        <w:rPr>
          <w:spacing w:val="-2"/>
        </w:rPr>
        <w:t>正常退休日的期间拟支付的内退人员工资和缴纳的社会保险费等，在符合预计负债确认条件时，</w:t>
      </w:r>
      <w:r>
        <w:rPr>
          <w:spacing w:val="-25"/>
        </w:rPr>
        <w:t> </w:t>
      </w:r>
      <w:r>
        <w:rPr>
          <w:spacing w:val="-25"/>
        </w:rPr>
      </w:r>
      <w:r>
        <w:rPr/>
        <w:t>计入当期损益（辞退福利）。</w:t>
      </w:r>
      <w:r>
        <w:rPr>
          <w:rFonts w:ascii="宋体" w:hAnsi="宋体" w:cs="宋体" w:eastAsia="宋体" w:hint="default"/>
        </w:rPr>
        <w:t> </w:t>
      </w:r>
    </w:p>
    <w:p>
      <w:pPr>
        <w:pStyle w:val="Heading2"/>
        <w:spacing w:line="240" w:lineRule="auto" w:before="68"/>
        <w:ind w:left="136" w:right="98"/>
        <w:jc w:val="left"/>
        <w:rPr>
          <w:rFonts w:ascii="宋体" w:hAnsi="宋体" w:cs="宋体" w:eastAsia="宋体" w:hint="default"/>
          <w:b w:val="0"/>
          <w:bCs w:val="0"/>
        </w:rPr>
      </w:pPr>
      <w:r>
        <w:rPr>
          <w:rFonts w:ascii="宋体" w:hAnsi="宋体" w:cs="宋体" w:eastAsia="宋体" w:hint="default"/>
        </w:rPr>
        <w:t>(4).</w:t>
      </w:r>
      <w:r>
        <w:rPr/>
        <w:t>其他长期职工福利的会计处理方法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8" w:lineRule="auto" w:before="106"/>
        <w:ind w:left="557" w:right="98"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本集团向职工提供的其他长期职工福利，符合设定提存计划的，按照设定提存计划进行会计</w:t>
      </w:r>
    </w:p>
    <w:p>
      <w:pPr>
        <w:pStyle w:val="BodyText"/>
        <w:spacing w:line="240" w:lineRule="auto" w:before="10"/>
        <w:ind w:right="98"/>
        <w:jc w:val="left"/>
        <w:rPr>
          <w:rFonts w:ascii="宋体" w:hAnsi="宋体" w:cs="宋体" w:eastAsia="宋体" w:hint="default"/>
        </w:rPr>
      </w:pPr>
      <w:r>
        <w:rPr/>
        <w:t>处理，除此之外按照设定受益计划进行会计处理。</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26" w:footer="1195" w:top="1300" w:bottom="1380" w:left="1140" w:right="1580"/>
        </w:sectPr>
      </w:pPr>
    </w:p>
    <w:p>
      <w:pPr>
        <w:spacing w:line="240" w:lineRule="auto" w:before="11"/>
        <w:rPr>
          <w:rFonts w:ascii="宋体" w:hAnsi="宋体" w:cs="宋体" w:eastAsia="宋体" w:hint="default"/>
          <w:sz w:val="3"/>
          <w:szCs w:val="3"/>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pStyle w:val="Heading2"/>
        <w:spacing w:line="240" w:lineRule="auto" w:before="30"/>
        <w:ind w:left="136" w:right="0"/>
        <w:jc w:val="left"/>
        <w:rPr>
          <w:b w:val="0"/>
          <w:bCs w:val="0"/>
        </w:rPr>
      </w:pPr>
      <w:r>
        <w:rPr>
          <w:rFonts w:ascii="宋体" w:hAnsi="宋体" w:cs="宋体" w:eastAsia="宋体" w:hint="default"/>
        </w:rPr>
        <w:t>32.</w:t>
      </w:r>
      <w:r>
        <w:rPr>
          <w:rFonts w:ascii="宋体" w:hAnsi="宋体" w:cs="宋体" w:eastAsia="宋体" w:hint="default"/>
          <w:spacing w:val="2"/>
        </w:rPr>
        <w:t> </w:t>
      </w:r>
      <w:r>
        <w:rPr/>
        <w:t>租赁负债</w:t>
      </w:r>
      <w:r>
        <w:rPr>
          <w:b w:val="0"/>
          <w:bCs w:val="0"/>
        </w:rPr>
      </w:r>
    </w:p>
    <w:p>
      <w:pPr>
        <w:spacing w:line="290" w:lineRule="auto" w:before="56"/>
        <w:ind w:left="136" w:right="71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33.</w:t>
      </w:r>
      <w:r>
        <w:rPr>
          <w:rFonts w:ascii="宋体" w:hAnsi="宋体" w:cs="宋体" w:eastAsia="宋体" w:hint="default"/>
          <w:b/>
          <w:bCs/>
          <w:spacing w:val="2"/>
          <w:sz w:val="21"/>
          <w:szCs w:val="21"/>
        </w:rPr>
        <w:t> </w:t>
      </w:r>
      <w:r>
        <w:rPr>
          <w:rFonts w:ascii="宋体" w:hAnsi="宋体" w:cs="宋体" w:eastAsia="宋体" w:hint="default"/>
          <w:b/>
          <w:bCs/>
          <w:sz w:val="21"/>
          <w:szCs w:val="21"/>
        </w:rPr>
        <w:t>预计负债</w:t>
      </w:r>
      <w:r>
        <w:rPr>
          <w:rFonts w:ascii="宋体" w:hAnsi="宋体" w:cs="宋体" w:eastAsia="宋体" w:hint="default"/>
          <w:sz w:val="21"/>
          <w:szCs w:val="21"/>
        </w:rPr>
      </w:r>
    </w:p>
    <w:p>
      <w:pPr>
        <w:pStyle w:val="BodyText"/>
        <w:spacing w:line="278" w:lineRule="auto" w:before="12"/>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当与或有事项相关的义务同时符合以下条件，确认为预计负债：①该义务是本集团承担的现</w:t>
      </w:r>
    </w:p>
    <w:p>
      <w:pPr>
        <w:pStyle w:val="BodyText"/>
        <w:spacing w:line="280" w:lineRule="auto" w:before="10"/>
        <w:ind w:left="557" w:right="0" w:hanging="421"/>
        <w:jc w:val="left"/>
      </w:pPr>
      <w:r>
        <w:rPr/>
        <w:t>时义务；②履行该义务很可能导致经济利益流出；③该义务的金额能够可靠地计量。</w:t>
      </w:r>
      <w:r>
        <w:rPr>
          <w:w w:val="100"/>
        </w:rPr>
        <w:t> </w:t>
      </w:r>
      <w:r>
        <w:rPr>
          <w:spacing w:val="-2"/>
        </w:rPr>
        <w:t>在资产负债表日，考虑与或有事项有关的风险、不确定性和货币时间价值等因素，按照履行</w:t>
      </w:r>
    </w:p>
    <w:p>
      <w:pPr>
        <w:pStyle w:val="BodyText"/>
        <w:spacing w:line="278" w:lineRule="auto" w:before="8"/>
        <w:ind w:left="557" w:right="0" w:hanging="421"/>
        <w:jc w:val="left"/>
      </w:pPr>
      <w:r>
        <w:rPr/>
        <w:t>相关现时义务所需支出的最佳估计数对预计负债进行计量。</w:t>
      </w:r>
      <w:r>
        <w:rPr>
          <w:w w:val="100"/>
        </w:rPr>
        <w:t> </w:t>
      </w:r>
      <w:r>
        <w:rPr>
          <w:spacing w:val="-2"/>
        </w:rPr>
        <w:t>如果清偿预计负债所需支出全部或部分预期由第三方补偿的，补偿金额在基本确定能够收到</w:t>
      </w:r>
    </w:p>
    <w:p>
      <w:pPr>
        <w:pStyle w:val="BodyText"/>
        <w:spacing w:line="290" w:lineRule="auto" w:before="13"/>
        <w:ind w:right="2016"/>
        <w:jc w:val="left"/>
        <w:rPr>
          <w:rFonts w:ascii="宋体" w:hAnsi="宋体" w:cs="宋体" w:eastAsia="宋体" w:hint="default"/>
        </w:rPr>
      </w:pPr>
      <w:r>
        <w:rPr/>
        <w:t>时，作为资产单独确认，且确认的补偿金额不超过预计负债的账面价值。</w:t>
      </w:r>
      <w:r>
        <w:rPr>
          <w:rFonts w:ascii="宋体" w:hAnsi="宋体" w:cs="宋体" w:eastAsia="宋体" w:hint="default"/>
          <w:w w:val="100"/>
        </w:rPr>
        <w:t> </w:t>
      </w:r>
      <w:r>
        <w:rPr>
          <w:rFonts w:ascii="宋体" w:hAnsi="宋体" w:cs="宋体" w:eastAsia="宋体" w:hint="default"/>
          <w:b/>
          <w:bCs/>
        </w:rPr>
        <w:t>34.</w:t>
      </w:r>
      <w:r>
        <w:rPr>
          <w:rFonts w:ascii="宋体" w:hAnsi="宋体" w:cs="宋体" w:eastAsia="宋体" w:hint="default"/>
          <w:b/>
          <w:bCs/>
          <w:spacing w:val="2"/>
        </w:rPr>
        <w:t> </w:t>
      </w:r>
      <w:r>
        <w:rPr>
          <w:rFonts w:ascii="宋体" w:hAnsi="宋体" w:cs="宋体" w:eastAsia="宋体" w:hint="default"/>
          <w:b/>
          <w:bCs/>
        </w:rPr>
        <w:t>股份支付</w:t>
      </w:r>
      <w:r>
        <w:rPr>
          <w:rFonts w:ascii="宋体" w:hAnsi="宋体" w:cs="宋体" w:eastAsia="宋体" w:hint="default"/>
        </w:rPr>
      </w:r>
    </w:p>
    <w:p>
      <w:pPr>
        <w:pStyle w:val="BodyText"/>
        <w:spacing w:line="240" w:lineRule="auto"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9"/>
        <w:ind w:left="136" w:right="0"/>
        <w:jc w:val="left"/>
        <w:rPr>
          <w:b w:val="0"/>
          <w:bCs w:val="0"/>
        </w:rPr>
      </w:pPr>
      <w:r>
        <w:rPr>
          <w:rFonts w:ascii="宋体" w:hAnsi="宋体" w:cs="宋体" w:eastAsia="宋体" w:hint="default"/>
        </w:rPr>
        <w:t>35. </w:t>
      </w:r>
      <w:r>
        <w:rPr/>
        <w:t>优先股、永续债等其他金融工具</w:t>
      </w:r>
      <w:r>
        <w:rPr>
          <w:b w:val="0"/>
          <w:bCs w:val="0"/>
        </w:rPr>
      </w:r>
    </w:p>
    <w:p>
      <w:pPr>
        <w:spacing w:line="290" w:lineRule="auto" w:before="56"/>
        <w:ind w:left="136" w:right="71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36.</w:t>
      </w:r>
      <w:r>
        <w:rPr>
          <w:rFonts w:ascii="宋体" w:hAnsi="宋体" w:cs="宋体" w:eastAsia="宋体" w:hint="default"/>
          <w:b/>
          <w:bCs/>
          <w:spacing w:val="2"/>
          <w:sz w:val="21"/>
          <w:szCs w:val="21"/>
        </w:rPr>
        <w:t> </w:t>
      </w:r>
      <w:r>
        <w:rPr>
          <w:rFonts w:ascii="宋体" w:hAnsi="宋体" w:cs="宋体" w:eastAsia="宋体" w:hint="default"/>
          <w:b/>
          <w:bCs/>
          <w:sz w:val="21"/>
          <w:szCs w:val="21"/>
        </w:rPr>
        <w:t>收入</w:t>
      </w:r>
      <w:r>
        <w:rPr>
          <w:rFonts w:ascii="宋体" w:hAnsi="宋体" w:cs="宋体" w:eastAsia="宋体" w:hint="default"/>
          <w:sz w:val="21"/>
          <w:szCs w:val="21"/>
        </w:rPr>
      </w:r>
    </w:p>
    <w:p>
      <w:pPr>
        <w:pStyle w:val="BodyText"/>
        <w:spacing w:line="278" w:lineRule="auto" w:before="12"/>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本集团的营业收入主要包括土地承包费收入、农产品及农用物资销售收入、工业产品销售及</w:t>
      </w:r>
    </w:p>
    <w:p>
      <w:pPr>
        <w:pStyle w:val="BodyText"/>
        <w:spacing w:line="240" w:lineRule="auto" w:before="10"/>
        <w:ind w:right="0"/>
        <w:jc w:val="left"/>
      </w:pPr>
      <w:r>
        <w:rPr/>
        <w:t>其他收入。</w:t>
      </w:r>
    </w:p>
    <w:p>
      <w:pPr>
        <w:pStyle w:val="BodyText"/>
        <w:spacing w:line="278" w:lineRule="auto" w:before="44"/>
        <w:ind w:right="129" w:firstLine="420"/>
        <w:jc w:val="both"/>
      </w:pPr>
      <w:r>
        <w:rPr>
          <w:spacing w:val="-2"/>
        </w:rPr>
        <w:t>土地承包费收入以与家庭农场签订的农业土地承包协议中规定的收费时间和方法计算确定，</w:t>
      </w:r>
      <w:r>
        <w:rPr>
          <w:w w:val="100"/>
        </w:rPr>
        <w:t> </w:t>
      </w:r>
      <w:r>
        <w:rPr>
          <w:spacing w:val="-1"/>
        </w:rPr>
        <w:t>土地承包协议每年签订一次，租金在全年各月平均分摊（按报告期已签定协议约定承包费金额乘</w:t>
      </w:r>
      <w:r>
        <w:rPr>
          <w:spacing w:val="-55"/>
        </w:rPr>
        <w:t> </w:t>
      </w:r>
      <w:r>
        <w:rPr>
          <w:spacing w:val="-55"/>
        </w:rPr>
      </w:r>
      <w:r>
        <w:rPr>
          <w:spacing w:val="-6"/>
          <w:w w:val="100"/>
        </w:rPr>
        <w:t>以报告期月份占全年月份的比例）；与此交易中相关的经济利益能够流入本集团时，确认土地承包</w:t>
      </w:r>
      <w:r>
        <w:rPr>
          <w:w w:val="100"/>
        </w:rPr>
        <w:t> </w:t>
      </w:r>
      <w:r>
        <w:rPr/>
        <w:t>费收入的实现。</w:t>
      </w:r>
    </w:p>
    <w:p>
      <w:pPr>
        <w:pStyle w:val="BodyText"/>
        <w:spacing w:line="240" w:lineRule="auto" w:before="13"/>
        <w:ind w:left="557" w:right="0"/>
        <w:jc w:val="left"/>
      </w:pPr>
      <w:r>
        <w:rPr/>
        <w:t>除土地承包费收入之外的营业收入，按下列标准确定：</w:t>
      </w:r>
    </w:p>
    <w:p>
      <w:pPr>
        <w:pStyle w:val="BodyText"/>
        <w:spacing w:line="264" w:lineRule="auto" w:before="44"/>
        <w:ind w:left="557" w:right="0" w:firstLine="2"/>
        <w:jc w:val="left"/>
      </w:pPr>
      <w:r>
        <w:rPr>
          <w:rFonts w:ascii="宋体" w:hAnsi="宋体" w:cs="宋体" w:eastAsia="宋体" w:hint="default"/>
          <w:b/>
          <w:bCs/>
        </w:rPr>
        <w:t>（</w:t>
      </w:r>
      <w:r>
        <w:rPr>
          <w:rFonts w:ascii="Arial" w:hAnsi="Arial" w:cs="Arial" w:eastAsia="Arial" w:hint="default"/>
          <w:b/>
          <w:bCs/>
        </w:rPr>
        <w:t>1</w:t>
      </w:r>
      <w:r>
        <w:rPr>
          <w:rFonts w:ascii="宋体" w:hAnsi="宋体" w:cs="宋体" w:eastAsia="宋体" w:hint="default"/>
          <w:b/>
          <w:bCs/>
        </w:rPr>
        <w:t>）商品销售收入</w:t>
      </w:r>
      <w:r>
        <w:rPr>
          <w:rFonts w:ascii="宋体" w:hAnsi="宋体" w:cs="宋体" w:eastAsia="宋体" w:hint="default"/>
          <w:b/>
          <w:bCs/>
          <w:w w:val="100"/>
        </w:rPr>
        <w:t> </w:t>
      </w:r>
      <w:r>
        <w:rPr>
          <w:spacing w:val="-2"/>
        </w:rPr>
        <w:t>在已将商品所有权上的主要风险和报酬转移给买方，既没有保留通常与所有权相联系的继续</w:t>
      </w:r>
    </w:p>
    <w:p>
      <w:pPr>
        <w:pStyle w:val="BodyText"/>
        <w:spacing w:line="278" w:lineRule="auto" w:before="25"/>
        <w:ind w:right="0"/>
        <w:jc w:val="left"/>
      </w:pPr>
      <w:r>
        <w:rPr>
          <w:spacing w:val="-1"/>
        </w:rPr>
        <w:t>管理权，也没有对已售商品实施有效控制，收入的金额能够可靠地计量，相关的经济利益很可能</w:t>
      </w:r>
      <w:r>
        <w:rPr>
          <w:spacing w:val="-55"/>
        </w:rPr>
        <w:t> </w:t>
      </w:r>
      <w:r>
        <w:rPr>
          <w:spacing w:val="-55"/>
        </w:rPr>
      </w:r>
      <w:r>
        <w:rPr/>
        <w:t>流入企业，相关已发生或将发生的成本能够可靠地计量时，确认商品销售收入的实现。</w:t>
      </w:r>
    </w:p>
    <w:p>
      <w:pPr>
        <w:pStyle w:val="BodyText"/>
        <w:spacing w:line="266" w:lineRule="auto" w:before="10"/>
        <w:ind w:left="557" w:right="0" w:firstLine="2"/>
        <w:jc w:val="left"/>
      </w:pPr>
      <w:r>
        <w:rPr>
          <w:rFonts w:ascii="宋体" w:hAnsi="宋体" w:cs="宋体" w:eastAsia="宋体" w:hint="default"/>
          <w:b/>
          <w:bCs/>
        </w:rPr>
        <w:t>（</w:t>
      </w:r>
      <w:r>
        <w:rPr>
          <w:rFonts w:ascii="Arial" w:hAnsi="Arial" w:cs="Arial" w:eastAsia="Arial" w:hint="default"/>
          <w:b/>
          <w:bCs/>
        </w:rPr>
        <w:t>2</w:t>
      </w:r>
      <w:r>
        <w:rPr>
          <w:rFonts w:ascii="宋体" w:hAnsi="宋体" w:cs="宋体" w:eastAsia="宋体" w:hint="default"/>
          <w:b/>
          <w:bCs/>
        </w:rPr>
        <w:t>）提供劳务收入</w:t>
      </w:r>
      <w:r>
        <w:rPr>
          <w:rFonts w:ascii="宋体" w:hAnsi="宋体" w:cs="宋体" w:eastAsia="宋体" w:hint="default"/>
          <w:b/>
          <w:bCs/>
          <w:w w:val="100"/>
        </w:rPr>
        <w:t> </w:t>
      </w:r>
      <w:r>
        <w:rPr>
          <w:spacing w:val="-2"/>
        </w:rPr>
        <w:t>在提供劳务交易的结果能够可靠估计的情况下，于资产负债表日按照完工百分比法确认提供</w:t>
      </w:r>
    </w:p>
    <w:p>
      <w:pPr>
        <w:pStyle w:val="BodyText"/>
        <w:spacing w:line="278" w:lineRule="auto" w:before="21"/>
        <w:ind w:left="557" w:right="0" w:hanging="421"/>
        <w:jc w:val="left"/>
      </w:pPr>
      <w:r>
        <w:rPr/>
        <w:t>的劳务收入。劳务交易的完工进度按已完工作的测量确定。</w:t>
      </w:r>
      <w:r>
        <w:rPr>
          <w:w w:val="100"/>
        </w:rPr>
        <w:t> </w:t>
      </w:r>
      <w:r>
        <w:rPr>
          <w:spacing w:val="-2"/>
        </w:rPr>
        <w:t>提供劳务交易的结果能够可靠估计是指同时满足：①收入的金额能够可靠地计量；②相关的</w:t>
      </w:r>
    </w:p>
    <w:p>
      <w:pPr>
        <w:pStyle w:val="BodyText"/>
        <w:spacing w:line="278" w:lineRule="auto" w:before="13"/>
        <w:ind w:right="0"/>
        <w:jc w:val="left"/>
      </w:pPr>
      <w:r>
        <w:rPr>
          <w:spacing w:val="-1"/>
        </w:rPr>
        <w:t>经济利益很可能流入企业；③交易的完工程度能够可靠地确定；④交易中已发生和将发生的成本</w:t>
      </w:r>
      <w:r>
        <w:rPr>
          <w:spacing w:val="-55"/>
        </w:rPr>
        <w:t> </w:t>
      </w:r>
      <w:r>
        <w:rPr>
          <w:spacing w:val="-55"/>
        </w:rPr>
      </w:r>
      <w:r>
        <w:rPr/>
        <w:t>能够可靠地计量。</w:t>
      </w:r>
    </w:p>
    <w:p>
      <w:pPr>
        <w:pStyle w:val="BodyText"/>
        <w:spacing w:line="280" w:lineRule="auto" w:before="11"/>
        <w:ind w:right="129" w:firstLine="420"/>
        <w:jc w:val="both"/>
      </w:pPr>
      <w:r>
        <w:rPr>
          <w:spacing w:val="-2"/>
        </w:rPr>
        <w:t>如果提供劳务交易的结果不能够可靠估计，则按已经发生并预计能够得到补偿的劳务成本金</w:t>
      </w:r>
      <w:r>
        <w:rPr>
          <w:w w:val="100"/>
        </w:rPr>
        <w:t> </w:t>
      </w:r>
      <w:r>
        <w:rPr>
          <w:spacing w:val="-1"/>
        </w:rPr>
        <w:t>额确认提供的劳务收入，并将已发生的劳务成本作为当期费用。已经发生的劳务成本如预计不能</w:t>
      </w:r>
      <w:r>
        <w:rPr>
          <w:spacing w:val="-55"/>
        </w:rPr>
        <w:t> </w:t>
      </w:r>
      <w:r>
        <w:rPr>
          <w:spacing w:val="-55"/>
        </w:rPr>
      </w:r>
      <w:r>
        <w:rPr/>
        <w:t>得到补偿的，则不确认收入。</w:t>
      </w:r>
    </w:p>
    <w:p>
      <w:pPr>
        <w:pStyle w:val="BodyText"/>
        <w:spacing w:line="280" w:lineRule="auto" w:before="8"/>
        <w:ind w:right="129" w:firstLine="420"/>
        <w:jc w:val="both"/>
      </w:pPr>
      <w:r>
        <w:rPr>
          <w:spacing w:val="-2"/>
        </w:rPr>
        <w:t>本集团与其他企业签订的合同或协议包括销售商品和提供劳务时，如销售商品部分和提供劳</w:t>
      </w:r>
      <w:r>
        <w:rPr>
          <w:w w:val="100"/>
        </w:rPr>
        <w:t> </w:t>
      </w:r>
      <w:r>
        <w:rPr>
          <w:spacing w:val="-1"/>
        </w:rPr>
        <w:t>务部分能够区分并单独计量的，将销售商品部分和提供劳务部分分别处理；如销售商品部分和提</w:t>
      </w:r>
      <w:r>
        <w:rPr>
          <w:spacing w:val="-55"/>
        </w:rPr>
        <w:t> </w:t>
      </w:r>
      <w:r>
        <w:rPr>
          <w:spacing w:val="-55"/>
        </w:rPr>
      </w:r>
      <w:r>
        <w:rPr/>
        <w:t>供劳务部分不能够区分，或虽能区分但不能够单独计量的，将该合同全部作为销售商品处理。</w:t>
      </w:r>
    </w:p>
    <w:p>
      <w:pPr>
        <w:pStyle w:val="BodyText"/>
        <w:spacing w:line="266" w:lineRule="auto" w:before="8"/>
        <w:ind w:left="557" w:right="0" w:firstLine="2"/>
        <w:jc w:val="left"/>
      </w:pPr>
      <w:r>
        <w:rPr>
          <w:rFonts w:ascii="宋体" w:hAnsi="宋体" w:cs="宋体" w:eastAsia="宋体" w:hint="default"/>
          <w:b/>
          <w:bCs/>
        </w:rPr>
        <w:t>（</w:t>
      </w:r>
      <w:r>
        <w:rPr>
          <w:rFonts w:ascii="Arial" w:hAnsi="Arial" w:cs="Arial" w:eastAsia="Arial" w:hint="default"/>
          <w:b/>
          <w:bCs/>
        </w:rPr>
        <w:t>3</w:t>
      </w:r>
      <w:r>
        <w:rPr>
          <w:rFonts w:ascii="宋体" w:hAnsi="宋体" w:cs="宋体" w:eastAsia="宋体" w:hint="default"/>
          <w:b/>
          <w:bCs/>
        </w:rPr>
        <w:t>）建造合同收入</w:t>
      </w:r>
      <w:r>
        <w:rPr>
          <w:rFonts w:ascii="宋体" w:hAnsi="宋体" w:cs="宋体" w:eastAsia="宋体" w:hint="default"/>
          <w:b/>
          <w:bCs/>
          <w:w w:val="100"/>
        </w:rPr>
        <w:t> </w:t>
      </w:r>
      <w:r>
        <w:rPr>
          <w:spacing w:val="-2"/>
        </w:rPr>
        <w:t>在建造合同的结果能够可靠估计的情况下，于资产负债表日按照完工百分比法确认合同收入</w:t>
      </w:r>
    </w:p>
    <w:p>
      <w:pPr>
        <w:pStyle w:val="BodyText"/>
        <w:spacing w:line="278" w:lineRule="auto" w:before="21"/>
        <w:ind w:left="557" w:right="0" w:hanging="421"/>
        <w:jc w:val="left"/>
      </w:pPr>
      <w:r>
        <w:rPr/>
        <w:t>和合同费用。合同完工进度按累计实际发生的合同成本占合同预计总成本的比例确定。</w:t>
      </w:r>
      <w:r>
        <w:rPr>
          <w:w w:val="100"/>
        </w:rPr>
        <w:t> </w:t>
      </w:r>
      <w:r>
        <w:rPr>
          <w:spacing w:val="-2"/>
        </w:rPr>
        <w:t>建造合同的结果能够可靠估计是指同时满足：①合同总收入能够可靠地计量；②与合同相关</w:t>
      </w:r>
    </w:p>
    <w:p>
      <w:pPr>
        <w:spacing w:after="0" w:line="278" w:lineRule="auto"/>
        <w:jc w:val="left"/>
        <w:sectPr>
          <w:pgSz w:w="11910" w:h="16840"/>
          <w:pgMar w:header="826" w:footer="1195" w:top="1300" w:bottom="1380" w:left="1140" w:right="1660"/>
        </w:sectPr>
      </w:pPr>
    </w:p>
    <w:p>
      <w:pPr>
        <w:spacing w:line="240" w:lineRule="auto" w:before="11"/>
        <w:rPr>
          <w:rFonts w:ascii="宋体" w:hAnsi="宋体" w:cs="宋体" w:eastAsia="宋体" w:hint="default"/>
          <w:sz w:val="3"/>
          <w:szCs w:val="3"/>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pStyle w:val="BodyText"/>
        <w:spacing w:line="278" w:lineRule="auto" w:before="75"/>
        <w:ind w:right="129"/>
        <w:jc w:val="both"/>
      </w:pPr>
      <w:r>
        <w:rPr>
          <w:spacing w:val="-1"/>
        </w:rPr>
        <w:t>的经济利益很可能流入企业；③实际发生的合同成本能够清楚地区分和可靠地计量；④合同完工</w:t>
      </w:r>
      <w:r>
        <w:rPr>
          <w:spacing w:val="-55"/>
        </w:rPr>
        <w:t> </w:t>
      </w:r>
      <w:r>
        <w:rPr>
          <w:spacing w:val="-55"/>
        </w:rPr>
      </w:r>
      <w:r>
        <w:rPr/>
        <w:t>进度和为完成合同尚需发生的成本能够可靠地确定。</w:t>
      </w:r>
    </w:p>
    <w:p>
      <w:pPr>
        <w:pStyle w:val="BodyText"/>
        <w:spacing w:line="278" w:lineRule="auto" w:before="13"/>
        <w:ind w:right="129" w:firstLine="420"/>
        <w:jc w:val="both"/>
      </w:pPr>
      <w:r>
        <w:rPr>
          <w:spacing w:val="-2"/>
        </w:rPr>
        <w:t>如建造合同的结果不能可靠地估计，但合同成本能够收回的，合同收入根据能够收回的实际</w:t>
      </w:r>
      <w:r>
        <w:rPr>
          <w:w w:val="100"/>
        </w:rPr>
        <w:t> </w:t>
      </w:r>
      <w:r>
        <w:rPr>
          <w:spacing w:val="-1"/>
        </w:rPr>
        <w:t>合同成本予以确认，合同成本在其发生的当期确认为合同费用；合同成本不可能收回的，在发生</w:t>
      </w:r>
      <w:r>
        <w:rPr>
          <w:spacing w:val="-55"/>
        </w:rPr>
        <w:t> </w:t>
      </w:r>
      <w:r>
        <w:rPr>
          <w:spacing w:val="-55"/>
        </w:rPr>
      </w:r>
      <w:r>
        <w:rPr>
          <w:spacing w:val="-1"/>
        </w:rPr>
        <w:t>时立即确认为合同费用，不确认合同收入。使建造合同的结果不能可靠估计的不确定因素不复存</w:t>
      </w:r>
      <w:r>
        <w:rPr>
          <w:spacing w:val="-55"/>
        </w:rPr>
        <w:t> </w:t>
      </w:r>
      <w:r>
        <w:rPr>
          <w:spacing w:val="-55"/>
        </w:rPr>
      </w:r>
      <w:r>
        <w:rPr/>
        <w:t>在的，按照完工百分比法确定与建造合同有关的收入和费用。</w:t>
      </w:r>
    </w:p>
    <w:p>
      <w:pPr>
        <w:pStyle w:val="BodyText"/>
        <w:spacing w:line="278" w:lineRule="auto" w:before="10"/>
        <w:ind w:left="557" w:right="0"/>
        <w:jc w:val="left"/>
      </w:pPr>
      <w:r>
        <w:rPr/>
        <w:t>合同预计总成本超过合同总收入的，将预计损失确认为当期费用。</w:t>
      </w:r>
      <w:r>
        <w:rPr>
          <w:w w:val="100"/>
        </w:rPr>
        <w:t> </w:t>
      </w:r>
      <w:r>
        <w:rPr>
          <w:spacing w:val="-3"/>
        </w:rPr>
        <w:t>在建合同累计已发生的成本和累计已确认的毛利（亏损</w:t>
      </w:r>
      <w:r>
        <w:rPr>
          <w:rFonts w:ascii="Arial" w:hAnsi="Arial" w:cs="Arial" w:eastAsia="Arial" w:hint="default"/>
          <w:spacing w:val="-3"/>
        </w:rPr>
        <w:t>)</w:t>
      </w:r>
      <w:r>
        <w:rPr>
          <w:spacing w:val="-3"/>
        </w:rPr>
        <w:t>与已结算的价款在资产负债表中以抵</w:t>
      </w:r>
    </w:p>
    <w:p>
      <w:pPr>
        <w:pStyle w:val="BodyText"/>
        <w:spacing w:line="264" w:lineRule="auto"/>
        <w:ind w:right="129"/>
        <w:jc w:val="both"/>
      </w:pPr>
      <w:r>
        <w:rPr>
          <w:spacing w:val="-3"/>
        </w:rPr>
        <w:t>销后的净额列示。在建合同累计已发生的成本和累计已确认的毛利（亏损</w:t>
      </w:r>
      <w:r>
        <w:rPr>
          <w:rFonts w:ascii="Arial" w:hAnsi="Arial" w:cs="Arial" w:eastAsia="Arial" w:hint="default"/>
          <w:spacing w:val="-3"/>
        </w:rPr>
        <w:t>)</w:t>
      </w:r>
      <w:r>
        <w:rPr>
          <w:spacing w:val="-3"/>
        </w:rPr>
        <w:t>之和超过已结算价款的</w:t>
      </w:r>
      <w:r>
        <w:rPr>
          <w:spacing w:val="-41"/>
        </w:rPr>
        <w:t> </w:t>
      </w:r>
      <w:r>
        <w:rPr>
          <w:spacing w:val="-41"/>
        </w:rPr>
      </w:r>
      <w:r>
        <w:rPr>
          <w:spacing w:val="2"/>
        </w:rPr>
        <w:t>部分作为存货列示；在建合同已结算的价款超过累计已发生的成本与累计已确认的毛利（亏损</w:t>
      </w:r>
      <w:r>
        <w:rPr>
          <w:rFonts w:ascii="Arial" w:hAnsi="Arial" w:cs="Arial" w:eastAsia="Arial" w:hint="default"/>
          <w:spacing w:val="2"/>
        </w:rPr>
        <w:t>)</w:t>
      </w:r>
      <w:r>
        <w:rPr>
          <w:rFonts w:ascii="Arial" w:hAnsi="Arial" w:cs="Arial" w:eastAsia="Arial" w:hint="default"/>
          <w:spacing w:val="6"/>
        </w:rPr>
        <w:t> </w:t>
      </w:r>
      <w:r>
        <w:rPr/>
        <w:t>之和的部分作为预收款项列示。</w:t>
      </w:r>
    </w:p>
    <w:p>
      <w:pPr>
        <w:spacing w:line="264" w:lineRule="auto" w:before="25"/>
        <w:ind w:left="557" w:right="3457"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4</w:t>
      </w:r>
      <w:r>
        <w:rPr>
          <w:rFonts w:ascii="宋体" w:hAnsi="宋体" w:cs="宋体" w:eastAsia="宋体" w:hint="default"/>
          <w:b/>
          <w:bCs/>
          <w:sz w:val="21"/>
          <w:szCs w:val="21"/>
        </w:rPr>
        <w:t>）使用费收入</w:t>
      </w:r>
      <w:r>
        <w:rPr>
          <w:rFonts w:ascii="宋体" w:hAnsi="宋体" w:cs="宋体" w:eastAsia="宋体" w:hint="default"/>
          <w:b/>
          <w:bCs/>
          <w:w w:val="100"/>
          <w:sz w:val="21"/>
          <w:szCs w:val="21"/>
        </w:rPr>
        <w:t> </w:t>
      </w:r>
      <w:r>
        <w:rPr>
          <w:rFonts w:ascii="宋体" w:hAnsi="宋体" w:cs="宋体" w:eastAsia="宋体" w:hint="default"/>
          <w:spacing w:val="-2"/>
          <w:sz w:val="21"/>
          <w:szCs w:val="21"/>
        </w:rPr>
        <w:t>根据有关合同或协议，按权责发生制确认收入。</w:t>
      </w:r>
    </w:p>
    <w:p>
      <w:pPr>
        <w:spacing w:line="266" w:lineRule="auto" w:before="23"/>
        <w:ind w:left="557" w:right="231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5</w:t>
      </w:r>
      <w:r>
        <w:rPr>
          <w:rFonts w:ascii="宋体" w:hAnsi="宋体" w:cs="宋体" w:eastAsia="宋体" w:hint="default"/>
          <w:b/>
          <w:bCs/>
          <w:sz w:val="21"/>
          <w:szCs w:val="21"/>
        </w:rPr>
        <w:t>）利息收入</w:t>
      </w:r>
      <w:r>
        <w:rPr>
          <w:rFonts w:ascii="宋体" w:hAnsi="宋体" w:cs="宋体" w:eastAsia="宋体" w:hint="default"/>
          <w:b/>
          <w:bCs/>
          <w:w w:val="100"/>
          <w:sz w:val="21"/>
          <w:szCs w:val="21"/>
        </w:rPr>
        <w:t> </w:t>
      </w:r>
      <w:r>
        <w:rPr>
          <w:rFonts w:ascii="宋体" w:hAnsi="宋体" w:cs="宋体" w:eastAsia="宋体" w:hint="default"/>
          <w:spacing w:val="-2"/>
          <w:sz w:val="21"/>
          <w:szCs w:val="21"/>
        </w:rPr>
        <w:t>按照他人使用本集团货币资金的时间和实际利率计算确定</w:t>
      </w:r>
    </w:p>
    <w:p>
      <w:pPr>
        <w:spacing w:line="264" w:lineRule="auto" w:before="21"/>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6</w:t>
      </w:r>
      <w:r>
        <w:rPr>
          <w:rFonts w:ascii="宋体" w:hAnsi="宋体" w:cs="宋体" w:eastAsia="宋体" w:hint="default"/>
          <w:b/>
          <w:bCs/>
          <w:sz w:val="21"/>
          <w:szCs w:val="21"/>
        </w:rPr>
        <w:t>）房地产开发企业销售收入</w:t>
      </w:r>
      <w:r>
        <w:rPr>
          <w:rFonts w:ascii="宋体" w:hAnsi="宋体" w:cs="宋体" w:eastAsia="宋体" w:hint="default"/>
          <w:b/>
          <w:bCs/>
          <w:w w:val="100"/>
          <w:sz w:val="21"/>
          <w:szCs w:val="21"/>
        </w:rPr>
        <w:t> </w:t>
      </w:r>
      <w:r>
        <w:rPr>
          <w:rFonts w:ascii="宋体" w:hAnsi="宋体" w:cs="宋体" w:eastAsia="宋体" w:hint="default"/>
          <w:spacing w:val="-2"/>
          <w:sz w:val="21"/>
          <w:szCs w:val="21"/>
        </w:rPr>
        <w:t>对于房地产购买方在建造工程开始前能够规定房地产设计的主要结构要素，或者能够在建造</w:t>
      </w:r>
    </w:p>
    <w:p>
      <w:pPr>
        <w:pStyle w:val="BodyText"/>
        <w:spacing w:line="278" w:lineRule="auto" w:before="25"/>
        <w:ind w:right="128"/>
        <w:jc w:val="both"/>
      </w:pPr>
      <w:r>
        <w:rPr>
          <w:spacing w:val="-1"/>
        </w:rPr>
        <w:t>过程中决定主要结构变动的，房地产建造协议符合建造合同定义，本集团对于所提供的建造服务</w:t>
      </w:r>
      <w:r>
        <w:rPr>
          <w:spacing w:val="-55"/>
        </w:rPr>
        <w:t> </w:t>
      </w:r>
      <w:r>
        <w:rPr>
          <w:spacing w:val="-55"/>
        </w:rPr>
      </w:r>
      <w:r>
        <w:rPr/>
        <w:t>按照《企业会计准则第 </w:t>
      </w:r>
      <w:r>
        <w:rPr>
          <w:rFonts w:ascii="Arial" w:hAnsi="Arial" w:cs="Arial" w:eastAsia="Arial" w:hint="default"/>
        </w:rPr>
        <w:t>15</w:t>
      </w:r>
      <w:r>
        <w:rPr>
          <w:rFonts w:ascii="Arial" w:hAnsi="Arial" w:cs="Arial" w:eastAsia="Arial" w:hint="default"/>
          <w:spacing w:val="28"/>
        </w:rPr>
        <w:t> </w:t>
      </w:r>
      <w:r>
        <w:rPr/>
        <w:t>号—建造合同》确认相关的收入和费用；对于房地产购买方影响房地</w:t>
      </w:r>
    </w:p>
    <w:p>
      <w:pPr>
        <w:pStyle w:val="BodyText"/>
        <w:spacing w:line="273" w:lineRule="auto"/>
        <w:ind w:right="129"/>
        <w:jc w:val="both"/>
      </w:pPr>
      <w:r>
        <w:rPr/>
        <w:t>产设计的能力有限（如仅能对基本设计方案做微小变动）的，本集团按照《企业会计准则第</w:t>
      </w:r>
      <w:r>
        <w:rPr>
          <w:spacing w:val="87"/>
        </w:rPr>
        <w:t> </w:t>
      </w:r>
      <w:r>
        <w:rPr>
          <w:rFonts w:ascii="Arial" w:hAnsi="Arial" w:cs="Arial" w:eastAsia="Arial" w:hint="default"/>
        </w:rPr>
        <w:t>14</w:t>
      </w:r>
      <w:r>
        <w:rPr>
          <w:rFonts w:ascii="Arial" w:hAnsi="Arial" w:cs="Arial" w:eastAsia="Arial" w:hint="default"/>
          <w:spacing w:val="-51"/>
        </w:rPr>
        <w:t> </w:t>
      </w:r>
      <w:r>
        <w:rPr>
          <w:spacing w:val="-1"/>
        </w:rPr>
        <w:t>号－收入》中有关商品销售收入确认的原则和方法，并结合本集团房地产销售业务的具体情况确</w:t>
      </w:r>
      <w:r>
        <w:rPr>
          <w:spacing w:val="-55"/>
        </w:rPr>
        <w:t> </w:t>
      </w:r>
      <w:r>
        <w:rPr>
          <w:spacing w:val="-55"/>
        </w:rPr>
      </w:r>
      <w:r>
        <w:rPr/>
        <w:t>认相关的营业收入。</w:t>
      </w:r>
    </w:p>
    <w:p>
      <w:pPr>
        <w:pStyle w:val="BodyText"/>
        <w:spacing w:line="280" w:lineRule="auto" w:before="15"/>
        <w:ind w:left="557" w:right="0"/>
        <w:jc w:val="left"/>
      </w:pPr>
      <w:r>
        <w:rPr/>
        <w:t>①开发产品</w:t>
      </w:r>
      <w:r>
        <w:rPr>
          <w:spacing w:val="-102"/>
        </w:rPr>
        <w:t> </w:t>
      </w:r>
      <w:r>
        <w:rPr>
          <w:spacing w:val="-102"/>
        </w:rPr>
      </w:r>
      <w:r>
        <w:rPr>
          <w:spacing w:val="-2"/>
        </w:rPr>
        <w:t>已经完工并验收合格，签订了销售合同并履行了合同规定的义务，即开发产品所有权上的主</w:t>
      </w:r>
    </w:p>
    <w:p>
      <w:pPr>
        <w:pStyle w:val="BodyText"/>
        <w:spacing w:line="280" w:lineRule="auto" w:before="8"/>
        <w:ind w:right="129"/>
        <w:jc w:val="both"/>
      </w:pPr>
      <w:r>
        <w:rPr>
          <w:spacing w:val="-1"/>
        </w:rPr>
        <w:t>要风险和报酬转移给购货方；公司不再保留通常与所有权相联系的继续管理权，也不再对已售出</w:t>
      </w:r>
      <w:r>
        <w:rPr>
          <w:spacing w:val="-55"/>
        </w:rPr>
        <w:t> </w:t>
      </w:r>
      <w:r>
        <w:rPr>
          <w:spacing w:val="-55"/>
        </w:rPr>
      </w:r>
      <w:r>
        <w:rPr>
          <w:spacing w:val="-1"/>
        </w:rPr>
        <w:t>的商品实施有效控制；收入的金额能够可靠地计量；相关的经济利益很可能流入；并且该项目已</w:t>
      </w:r>
      <w:r>
        <w:rPr>
          <w:spacing w:val="-55"/>
        </w:rPr>
        <w:t> </w:t>
      </w:r>
      <w:r>
        <w:rPr>
          <w:spacing w:val="-55"/>
        </w:rPr>
      </w:r>
      <w:r>
        <w:rPr/>
        <w:t>发生或将发生的成本能够可靠地计量时，确认销售收入的实现。</w:t>
      </w:r>
    </w:p>
    <w:p>
      <w:pPr>
        <w:pStyle w:val="BodyText"/>
        <w:spacing w:line="278" w:lineRule="auto" w:before="8"/>
        <w:ind w:left="557" w:right="0"/>
        <w:jc w:val="left"/>
      </w:pPr>
      <w:r>
        <w:rPr/>
        <w:t>②分期收款销售</w:t>
      </w:r>
      <w:r>
        <w:rPr>
          <w:spacing w:val="-103"/>
        </w:rPr>
        <w:t> </w:t>
      </w:r>
      <w:r>
        <w:rPr>
          <w:spacing w:val="-103"/>
        </w:rPr>
      </w:r>
      <w:r>
        <w:rPr>
          <w:spacing w:val="-2"/>
        </w:rPr>
        <w:t>在开发产品已经完工并验收合格，签订了分期收款销售合同并履行了合同规定的义务，相关</w:t>
      </w:r>
    </w:p>
    <w:p>
      <w:pPr>
        <w:pStyle w:val="BodyText"/>
        <w:spacing w:line="278" w:lineRule="auto" w:before="13"/>
        <w:ind w:right="129"/>
        <w:jc w:val="both"/>
      </w:pPr>
      <w:r>
        <w:rPr>
          <w:spacing w:val="-1"/>
        </w:rPr>
        <w:t>的经济利益很可能流入，并且该开发产品成本能够可靠地计量时，按照应收的合同或协议价款的</w:t>
      </w:r>
      <w:r>
        <w:rPr>
          <w:spacing w:val="-55"/>
        </w:rPr>
        <w:t> </w:t>
      </w:r>
      <w:r>
        <w:rPr>
          <w:spacing w:val="-55"/>
        </w:rPr>
      </w:r>
      <w:r>
        <w:rPr>
          <w:spacing w:val="-1"/>
        </w:rPr>
        <w:t>公允价值确定收入金额；应收的合同或协议价款与其公允价值间的差额，在合同或协议期间内采</w:t>
      </w:r>
      <w:r>
        <w:rPr>
          <w:spacing w:val="-55"/>
        </w:rPr>
        <w:t> </w:t>
      </w:r>
      <w:r>
        <w:rPr>
          <w:spacing w:val="-55"/>
        </w:rPr>
      </w:r>
      <w:r>
        <w:rPr/>
        <w:t>用实际利率法进行摊销，计入当期损益。</w:t>
      </w:r>
    </w:p>
    <w:p>
      <w:pPr>
        <w:pStyle w:val="BodyText"/>
        <w:spacing w:line="278" w:lineRule="auto" w:before="13"/>
        <w:ind w:left="557" w:right="0"/>
        <w:jc w:val="left"/>
      </w:pPr>
      <w:r>
        <w:rPr/>
        <w:t>③出售自用房屋</w:t>
      </w:r>
      <w:r>
        <w:rPr>
          <w:spacing w:val="-103"/>
        </w:rPr>
        <w:t> </w:t>
      </w:r>
      <w:r>
        <w:rPr>
          <w:spacing w:val="-103"/>
        </w:rPr>
      </w:r>
      <w:r>
        <w:rPr>
          <w:spacing w:val="-2"/>
        </w:rPr>
        <w:t>自用房屋所有权上的主要风险和报酬转移给购货方，公司不再保留通常与所有权相联系的继</w:t>
      </w:r>
    </w:p>
    <w:p>
      <w:pPr>
        <w:pStyle w:val="BodyText"/>
        <w:spacing w:line="280" w:lineRule="auto" w:before="10"/>
        <w:ind w:right="129"/>
        <w:jc w:val="both"/>
      </w:pPr>
      <w:r>
        <w:rPr>
          <w:spacing w:val="-1"/>
        </w:rPr>
        <w:t>续管理权，也不再对已售出的商品实施有效控制，收入的金额能够可靠地计量，相关的经济利益</w:t>
      </w:r>
      <w:r>
        <w:rPr>
          <w:spacing w:val="-55"/>
        </w:rPr>
        <w:t> </w:t>
      </w:r>
      <w:r>
        <w:rPr>
          <w:spacing w:val="-55"/>
        </w:rPr>
      </w:r>
      <w:r>
        <w:rPr/>
        <w:t>很可能流入，并且该房屋成本能够可靠地计量时，确认销售收入的实现。</w:t>
      </w:r>
    </w:p>
    <w:p>
      <w:pPr>
        <w:pStyle w:val="BodyText"/>
        <w:spacing w:line="278" w:lineRule="auto" w:before="8"/>
        <w:ind w:left="557" w:right="0"/>
        <w:jc w:val="left"/>
      </w:pPr>
      <w:r>
        <w:rPr/>
        <w:t>④代建房屋和工程业务</w:t>
      </w:r>
      <w:r>
        <w:rPr>
          <w:w w:val="100"/>
        </w:rPr>
        <w:t> </w:t>
      </w:r>
      <w:r>
        <w:rPr>
          <w:spacing w:val="-2"/>
        </w:rPr>
        <w:t>代建房屋和工程签订有不可撤销的建造合同，与代建房屋和工程相关的经济利益能够流入企</w:t>
      </w:r>
    </w:p>
    <w:p>
      <w:pPr>
        <w:pStyle w:val="BodyText"/>
        <w:spacing w:line="278" w:lineRule="auto" w:before="13"/>
        <w:ind w:right="129"/>
        <w:jc w:val="both"/>
      </w:pPr>
      <w:r>
        <w:rPr>
          <w:spacing w:val="-1"/>
        </w:rPr>
        <w:t>业，代建房屋和工程的完工进度能够可靠地确定，并且代建房屋和工程有关的成本能够可靠地计</w:t>
      </w:r>
      <w:r>
        <w:rPr>
          <w:spacing w:val="-55"/>
        </w:rPr>
        <w:t> </w:t>
      </w:r>
      <w:r>
        <w:rPr>
          <w:spacing w:val="-55"/>
        </w:rPr>
      </w:r>
      <w:r>
        <w:rPr/>
        <w:t>量时，采用完工百分比法确认营业收入的实现。</w:t>
      </w:r>
    </w:p>
    <w:p>
      <w:pPr>
        <w:pStyle w:val="BodyText"/>
        <w:spacing w:line="280" w:lineRule="auto" w:before="10"/>
        <w:ind w:left="557" w:right="0"/>
        <w:jc w:val="left"/>
      </w:pPr>
      <w:r>
        <w:rPr/>
        <w:t>⑤出租物业收入确认方法</w:t>
      </w:r>
      <w:r>
        <w:rPr>
          <w:w w:val="100"/>
        </w:rPr>
        <w:t> </w:t>
      </w:r>
      <w:r>
        <w:rPr>
          <w:spacing w:val="-2"/>
        </w:rPr>
        <w:t>按租赁合同、协议约定的承租日期（有免租期的考虑免租期）与租金额，在相关租金已经收</w:t>
      </w:r>
    </w:p>
    <w:p>
      <w:pPr>
        <w:pStyle w:val="BodyText"/>
        <w:spacing w:line="240" w:lineRule="auto" w:before="8"/>
        <w:ind w:right="0"/>
        <w:jc w:val="both"/>
      </w:pPr>
      <w:r>
        <w:rPr/>
        <w:t>到或取得了收款的证据时确认出租物业收入的实现。</w:t>
      </w:r>
    </w:p>
    <w:p>
      <w:pPr>
        <w:spacing w:after="0" w:line="240" w:lineRule="auto"/>
        <w:jc w:val="both"/>
        <w:sectPr>
          <w:pgSz w:w="11910" w:h="16840"/>
          <w:pgMar w:header="826" w:footer="1195" w:top="1300" w:bottom="1380" w:left="1140" w:right="1660"/>
        </w:sectPr>
      </w:pPr>
    </w:p>
    <w:p>
      <w:pPr>
        <w:spacing w:line="240" w:lineRule="auto" w:before="5"/>
        <w:rPr>
          <w:rFonts w:ascii="宋体" w:hAnsi="宋体" w:cs="宋体" w:eastAsia="宋体" w:hint="default"/>
          <w:sz w:val="8"/>
          <w:szCs w:val="8"/>
        </w:rPr>
      </w:pPr>
    </w:p>
    <w:p>
      <w:pPr>
        <w:pStyle w:val="BodyText"/>
        <w:spacing w:line="278" w:lineRule="auto" w:before="36"/>
        <w:ind w:left="557" w:right="0"/>
        <w:jc w:val="left"/>
      </w:pPr>
      <w:r>
        <w:rPr/>
        <w:t>⑥其他业务收入确认方法</w:t>
      </w:r>
      <w:r>
        <w:rPr>
          <w:w w:val="100"/>
        </w:rPr>
        <w:t> </w:t>
      </w:r>
      <w:r>
        <w:rPr>
          <w:spacing w:val="-7"/>
        </w:rPr>
        <w:t>按相关合同、协议的约定，与交易相关的经济利益很可能流入企业，收入金额能够可靠计量，</w:t>
      </w:r>
    </w:p>
    <w:p>
      <w:pPr>
        <w:pStyle w:val="BodyText"/>
        <w:spacing w:line="290" w:lineRule="auto" w:before="13"/>
        <w:ind w:right="1112"/>
        <w:jc w:val="left"/>
        <w:rPr>
          <w:rFonts w:ascii="宋体" w:hAnsi="宋体" w:cs="宋体" w:eastAsia="宋体" w:hint="default"/>
        </w:rPr>
      </w:pPr>
      <w:r>
        <w:rPr/>
        <w:t>与收入相关的已发生或将发生成本能够可靠地计量时，确认其他业务收入的实现。</w:t>
      </w:r>
      <w:r>
        <w:rPr>
          <w:rFonts w:ascii="宋体" w:hAnsi="宋体" w:cs="宋体" w:eastAsia="宋体" w:hint="default"/>
          <w:w w:val="100"/>
        </w:rPr>
        <w:t> </w:t>
      </w:r>
      <w:r>
        <w:rPr>
          <w:rFonts w:ascii="宋体" w:hAnsi="宋体" w:cs="宋体" w:eastAsia="宋体" w:hint="default"/>
          <w:b/>
          <w:bCs/>
        </w:rPr>
        <w:t>37.</w:t>
      </w:r>
      <w:r>
        <w:rPr>
          <w:rFonts w:ascii="宋体" w:hAnsi="宋体" w:cs="宋体" w:eastAsia="宋体" w:hint="default"/>
          <w:b/>
          <w:bCs/>
          <w:spacing w:val="2"/>
        </w:rPr>
        <w:t> </w:t>
      </w:r>
      <w:r>
        <w:rPr>
          <w:rFonts w:ascii="宋体" w:hAnsi="宋体" w:cs="宋体" w:eastAsia="宋体" w:hint="default"/>
          <w:b/>
          <w:bCs/>
        </w:rPr>
        <w:t>政府补助</w:t>
      </w:r>
      <w:r>
        <w:rPr>
          <w:rFonts w:ascii="宋体" w:hAnsi="宋体" w:cs="宋体" w:eastAsia="宋体" w:hint="default"/>
        </w:rPr>
      </w:r>
    </w:p>
    <w:p>
      <w:pPr>
        <w:pStyle w:val="BodyText"/>
        <w:spacing w:line="278" w:lineRule="auto" w:before="12"/>
        <w:ind w:left="55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政府补助是指本集团从政府无偿取得货币性资产和非货币性资产，不包括政府以投资者身份</w:t>
      </w:r>
    </w:p>
    <w:p>
      <w:pPr>
        <w:pStyle w:val="BodyText"/>
        <w:spacing w:line="278" w:lineRule="auto" w:before="10"/>
        <w:ind w:right="128"/>
        <w:jc w:val="both"/>
        <w:rPr>
          <w:rFonts w:ascii="宋体" w:hAnsi="宋体" w:cs="宋体" w:eastAsia="宋体" w:hint="default"/>
        </w:rPr>
      </w:pPr>
      <w:r>
        <w:rPr>
          <w:spacing w:val="-1"/>
        </w:rPr>
        <w:t>并享有相应所有者权益而投入的资本。政府补助分为与资产相关的政府补助和与收益相关的政府</w:t>
      </w:r>
      <w:r>
        <w:rPr>
          <w:spacing w:val="-55"/>
        </w:rPr>
        <w:t> </w:t>
      </w:r>
      <w:r>
        <w:rPr>
          <w:spacing w:val="-55"/>
        </w:rPr>
      </w:r>
      <w:r>
        <w:rPr>
          <w:spacing w:val="-1"/>
        </w:rPr>
        <w:t>补助。本集团将所取得的用于购建或以其他方式形成长期资产的政府补助界定为与资产相关的政</w:t>
      </w:r>
      <w:r>
        <w:rPr>
          <w:spacing w:val="-55"/>
        </w:rPr>
        <w:t> </w:t>
      </w:r>
      <w:r>
        <w:rPr>
          <w:spacing w:val="-55"/>
        </w:rPr>
      </w:r>
      <w:r>
        <w:rPr>
          <w:spacing w:val="-1"/>
        </w:rPr>
        <w:t>府补助；其余政府补助界定为与收益相关的政府补助。若政府文件未明确规定补助对象，则采用</w:t>
      </w:r>
      <w:r>
        <w:rPr>
          <w:spacing w:val="-55"/>
        </w:rPr>
        <w:t> </w:t>
      </w:r>
      <w:r>
        <w:rPr>
          <w:spacing w:val="-55"/>
        </w:rPr>
      </w:r>
      <w:r>
        <w:rPr>
          <w:spacing w:val="-4"/>
          <w:w w:val="100"/>
        </w:rPr>
        <w:t>以下方式将补助款划分为与收益相关的政府补助和与资产相关的政府补助：（</w:t>
      </w:r>
      <w:r>
        <w:rPr>
          <w:rFonts w:ascii="宋体" w:hAnsi="宋体" w:cs="宋体" w:eastAsia="宋体" w:hint="default"/>
          <w:spacing w:val="-4"/>
          <w:w w:val="100"/>
        </w:rPr>
        <w:t>1</w:t>
      </w:r>
      <w:r>
        <w:rPr>
          <w:spacing w:val="-4"/>
          <w:w w:val="100"/>
        </w:rPr>
        <w:t>）政府文件明确了</w:t>
      </w:r>
      <w:r>
        <w:rPr>
          <w:spacing w:val="-81"/>
          <w:w w:val="100"/>
        </w:rPr>
        <w:t> </w:t>
      </w:r>
      <w:r>
        <w:rPr>
          <w:spacing w:val="-81"/>
          <w:w w:val="100"/>
        </w:rPr>
      </w:r>
      <w:r>
        <w:rPr>
          <w:spacing w:val="-1"/>
        </w:rPr>
        <w:t>补助所针对的特定项目的，根据该特定项目的预算中将形成资产的支出金额和计入费用的支出金</w:t>
      </w:r>
      <w:r>
        <w:rPr>
          <w:spacing w:val="-55"/>
        </w:rPr>
        <w:t> </w:t>
      </w:r>
      <w:r>
        <w:rPr>
          <w:spacing w:val="-55"/>
        </w:rPr>
      </w:r>
      <w:r>
        <w:rPr>
          <w:spacing w:val="-4"/>
          <w:w w:val="100"/>
        </w:rPr>
        <w:t>额的相对比例进行划分，对该划分比例需在每个资产负债表日进行复核，必要时进行变更；（</w:t>
      </w:r>
      <w:r>
        <w:rPr>
          <w:rFonts w:ascii="宋体" w:hAnsi="宋体" w:cs="宋体" w:eastAsia="宋体" w:hint="default"/>
          <w:spacing w:val="-4"/>
          <w:w w:val="100"/>
        </w:rPr>
        <w:t>2</w:t>
      </w:r>
      <w:r>
        <w:rPr>
          <w:spacing w:val="-4"/>
          <w:w w:val="100"/>
        </w:rPr>
        <w:t>）</w:t>
      </w:r>
      <w:r>
        <w:rPr>
          <w:spacing w:val="-81"/>
          <w:w w:val="100"/>
        </w:rPr>
        <w:t> </w:t>
      </w:r>
      <w:r>
        <w:rPr>
          <w:spacing w:val="-1"/>
        </w:rPr>
        <w:t>政府文件中对用途仅作一般性表述，没有指明特定项目的，作为与收益相关的政府补助。政府补</w:t>
      </w:r>
      <w:r>
        <w:rPr>
          <w:spacing w:val="-55"/>
        </w:rPr>
        <w:t> </w:t>
      </w:r>
      <w:r>
        <w:rPr>
          <w:spacing w:val="-55"/>
        </w:rPr>
      </w:r>
      <w:r>
        <w:rPr>
          <w:spacing w:val="-1"/>
        </w:rPr>
        <w:t>助为货币性资产的，按照收到或应收的金额计量。政府补助为非货币性资产的，按照公允价值计</w:t>
      </w:r>
      <w:r>
        <w:rPr>
          <w:spacing w:val="-55"/>
        </w:rPr>
        <w:t> </w:t>
      </w:r>
      <w:r>
        <w:rPr>
          <w:spacing w:val="-55"/>
        </w:rPr>
      </w:r>
      <w:r>
        <w:rPr>
          <w:spacing w:val="-1"/>
        </w:rPr>
        <w:t>量；公允价值不能够可靠取得的，按照名义金额计量。按照名义金额计量的政府补助，直接计入</w:t>
      </w:r>
      <w:r>
        <w:rPr>
          <w:spacing w:val="-55"/>
        </w:rPr>
        <w:t> </w:t>
      </w:r>
      <w:r>
        <w:rPr>
          <w:spacing w:val="-55"/>
        </w:rPr>
      </w:r>
      <w:r>
        <w:rPr/>
        <w:t>当期损益。</w:t>
      </w:r>
      <w:r>
        <w:rPr>
          <w:rFonts w:ascii="宋体" w:hAnsi="宋体" w:cs="宋体" w:eastAsia="宋体" w:hint="default"/>
        </w:rPr>
        <w:t> </w:t>
      </w:r>
    </w:p>
    <w:p>
      <w:pPr>
        <w:pStyle w:val="BodyText"/>
        <w:spacing w:line="273" w:lineRule="auto" w:before="13"/>
        <w:ind w:right="128" w:firstLine="420"/>
        <w:jc w:val="both"/>
        <w:rPr>
          <w:rFonts w:ascii="宋体" w:hAnsi="宋体" w:cs="宋体" w:eastAsia="宋体" w:hint="default"/>
        </w:rPr>
      </w:pPr>
      <w:r>
        <w:rPr>
          <w:spacing w:val="-2"/>
        </w:rPr>
        <w:t>本集团对于政府补助通常在实际收到时，按照实收金额予以确认和计量。但对于期末有确凿</w:t>
      </w:r>
      <w:r>
        <w:rPr>
          <w:w w:val="100"/>
        </w:rPr>
        <w:t> </w:t>
      </w:r>
      <w:r>
        <w:rPr>
          <w:spacing w:val="-1"/>
        </w:rPr>
        <w:t>证据表明能够符合财政扶持政策规定的相关条件预计能够收到财政扶持资金，按照应收的金额计</w:t>
      </w:r>
      <w:r>
        <w:rPr>
          <w:spacing w:val="-55"/>
        </w:rPr>
        <w:t> </w:t>
      </w:r>
      <w:r>
        <w:rPr>
          <w:spacing w:val="-55"/>
        </w:rPr>
      </w:r>
      <w:r>
        <w:rPr>
          <w:spacing w:val="-4"/>
          <w:w w:val="100"/>
        </w:rPr>
        <w:t>量。按照应收金额计量的政府补助应同时符合以下条件：（</w:t>
      </w:r>
      <w:r>
        <w:rPr>
          <w:rFonts w:ascii="Arial" w:hAnsi="Arial" w:cs="Arial" w:eastAsia="Arial" w:hint="default"/>
          <w:spacing w:val="-4"/>
          <w:w w:val="100"/>
        </w:rPr>
        <w:t>1</w:t>
      </w:r>
      <w:r>
        <w:rPr>
          <w:spacing w:val="-4"/>
          <w:w w:val="100"/>
        </w:rPr>
        <w:t>）应收补助款的金额已经过有权政府</w:t>
      </w:r>
      <w:r>
        <w:rPr>
          <w:spacing w:val="-96"/>
          <w:w w:val="100"/>
        </w:rPr>
        <w:t> </w:t>
      </w:r>
      <w:r>
        <w:rPr>
          <w:spacing w:val="-96"/>
          <w:w w:val="100"/>
        </w:rPr>
      </w:r>
      <w:r>
        <w:rPr>
          <w:spacing w:val="-1"/>
        </w:rPr>
        <w:t>部门发文确认，或者可根据正式发布的财政资金管理办法的有关规定自行合理测算，且预计其金</w:t>
      </w:r>
      <w:r>
        <w:rPr>
          <w:spacing w:val="-55"/>
        </w:rPr>
        <w:t> </w:t>
      </w:r>
      <w:r>
        <w:rPr>
          <w:spacing w:val="-55"/>
        </w:rPr>
      </w:r>
      <w:r>
        <w:rPr>
          <w:spacing w:val="-4"/>
          <w:w w:val="100"/>
        </w:rPr>
        <w:t>额不存在重大不确定性；（</w:t>
      </w:r>
      <w:r>
        <w:rPr>
          <w:rFonts w:ascii="Arial" w:hAnsi="Arial" w:cs="Arial" w:eastAsia="Arial" w:hint="default"/>
          <w:spacing w:val="-4"/>
          <w:w w:val="100"/>
        </w:rPr>
        <w:t>2</w:t>
      </w:r>
      <w:r>
        <w:rPr>
          <w:spacing w:val="-4"/>
          <w:w w:val="100"/>
        </w:rPr>
        <w:t>）所依据的是当地财政部门正式发布并按照《政府信息公开条例》的</w:t>
      </w:r>
      <w:r>
        <w:rPr>
          <w:spacing w:val="-99"/>
          <w:w w:val="100"/>
        </w:rPr>
        <w:t> </w:t>
      </w:r>
      <w:r>
        <w:rPr>
          <w:spacing w:val="-99"/>
          <w:w w:val="100"/>
        </w:rPr>
      </w:r>
      <w:r>
        <w:rPr>
          <w:spacing w:val="-1"/>
        </w:rPr>
        <w:t>规定予以主动公开的财政扶持项目及其财政资金管理办法，且该管理办法应当是普惠性的（任何</w:t>
      </w:r>
      <w:r>
        <w:rPr>
          <w:spacing w:val="-55"/>
        </w:rPr>
        <w:t> </w:t>
      </w:r>
      <w:r>
        <w:rPr>
          <w:spacing w:val="-55"/>
        </w:rPr>
      </w:r>
      <w:r>
        <w:rPr>
          <w:spacing w:val="-9"/>
          <w:w w:val="100"/>
        </w:rPr>
        <w:t>符合规定条件的企业均可申请），而不是专门针对特定企业制定的；（</w:t>
      </w:r>
      <w:r>
        <w:rPr>
          <w:rFonts w:ascii="Arial" w:hAnsi="Arial" w:cs="Arial" w:eastAsia="Arial" w:hint="default"/>
          <w:spacing w:val="-9"/>
          <w:w w:val="100"/>
        </w:rPr>
        <w:t>3</w:t>
      </w:r>
      <w:r>
        <w:rPr>
          <w:spacing w:val="-9"/>
          <w:w w:val="100"/>
        </w:rPr>
        <w:t>）相关的补助款批文中已明</w:t>
      </w:r>
      <w:r>
        <w:rPr>
          <w:spacing w:val="-83"/>
          <w:w w:val="100"/>
        </w:rPr>
        <w:t> </w:t>
      </w:r>
      <w:r>
        <w:rPr>
          <w:spacing w:val="-83"/>
          <w:w w:val="100"/>
        </w:rPr>
      </w:r>
      <w:r>
        <w:rPr>
          <w:spacing w:val="-1"/>
        </w:rPr>
        <w:t>确承诺了拨付期限，且该款项的拨付是有相应财政预算作为保障的，因而可以合理保证其可在规</w:t>
      </w:r>
      <w:r>
        <w:rPr>
          <w:spacing w:val="-55"/>
        </w:rPr>
        <w:t> </w:t>
      </w:r>
      <w:r>
        <w:rPr>
          <w:spacing w:val="-55"/>
        </w:rPr>
      </w:r>
      <w:r>
        <w:rPr>
          <w:spacing w:val="-7"/>
          <w:w w:val="100"/>
        </w:rPr>
        <w:t>定期限内收到；（</w:t>
      </w:r>
      <w:r>
        <w:rPr>
          <w:rFonts w:ascii="Arial" w:hAnsi="Arial" w:cs="Arial" w:eastAsia="Arial" w:hint="default"/>
          <w:spacing w:val="-7"/>
          <w:w w:val="100"/>
        </w:rPr>
        <w:t>4</w:t>
      </w:r>
      <w:r>
        <w:rPr>
          <w:spacing w:val="-7"/>
          <w:w w:val="100"/>
        </w:rPr>
        <w:t>）根据本集团和该补助事项的具体情况，应满足的其他相关条件（如有）。</w:t>
      </w:r>
      <w:r>
        <w:rPr>
          <w:rFonts w:ascii="宋体" w:hAnsi="宋体" w:cs="宋体" w:eastAsia="宋体" w:hint="default"/>
          <w:w w:val="100"/>
        </w:rPr>
        <w:t> </w:t>
      </w:r>
    </w:p>
    <w:p>
      <w:pPr>
        <w:pStyle w:val="BodyText"/>
        <w:spacing w:line="278" w:lineRule="auto"/>
        <w:ind w:right="129" w:firstLine="420"/>
        <w:jc w:val="both"/>
        <w:rPr>
          <w:rFonts w:ascii="宋体" w:hAnsi="宋体" w:cs="宋体" w:eastAsia="宋体" w:hint="default"/>
        </w:rPr>
      </w:pPr>
      <w:r>
        <w:rPr>
          <w:spacing w:val="-2"/>
        </w:rPr>
        <w:t>与资产相关的政府补助，确认为递延收益，并在相关资产的使用寿命内按照合理、系统的方</w:t>
      </w:r>
      <w:r>
        <w:rPr>
          <w:w w:val="100"/>
        </w:rPr>
        <w:t> </w:t>
      </w:r>
      <w:r>
        <w:rPr>
          <w:spacing w:val="-1"/>
        </w:rPr>
        <w:t>法分期计入当期损益。与收益相关的政府补助，用于补偿以后期间的相关成本费用或损失的，确</w:t>
      </w:r>
      <w:r>
        <w:rPr>
          <w:spacing w:val="-55"/>
        </w:rPr>
        <w:t> </w:t>
      </w:r>
      <w:r>
        <w:rPr>
          <w:spacing w:val="-55"/>
        </w:rPr>
      </w:r>
      <w:r>
        <w:rPr>
          <w:spacing w:val="-1"/>
        </w:rPr>
        <w:t>认为递延收益，并在确认相关成本费用或损失的期间计入当期损益；用于补偿已经发生的相关成</w:t>
      </w:r>
      <w:r>
        <w:rPr>
          <w:spacing w:val="-55"/>
        </w:rPr>
        <w:t> </w:t>
      </w:r>
      <w:r>
        <w:rPr>
          <w:spacing w:val="-55"/>
        </w:rPr>
      </w:r>
      <w:r>
        <w:rPr/>
        <w:t>本费用或损失的，直接计入当期损益。</w:t>
      </w:r>
      <w:r>
        <w:rPr>
          <w:rFonts w:ascii="宋体" w:hAnsi="宋体" w:cs="宋体" w:eastAsia="宋体" w:hint="default"/>
        </w:rPr>
        <w:t> </w:t>
      </w:r>
    </w:p>
    <w:p>
      <w:pPr>
        <w:pStyle w:val="BodyText"/>
        <w:spacing w:line="278" w:lineRule="auto" w:before="10"/>
        <w:ind w:right="131" w:firstLine="420"/>
        <w:jc w:val="both"/>
        <w:rPr>
          <w:rFonts w:ascii="宋体" w:hAnsi="宋体" w:cs="宋体" w:eastAsia="宋体" w:hint="default"/>
        </w:rPr>
      </w:pPr>
      <w:r>
        <w:rPr>
          <w:spacing w:val="-2"/>
        </w:rPr>
        <w:t>同时包含与资产相关部分和与收益相关部分的政府补助，区分不同部分分别进行会计处理；</w:t>
      </w:r>
      <w:r>
        <w:rPr>
          <w:w w:val="100"/>
        </w:rPr>
        <w:t> </w:t>
      </w:r>
      <w:r>
        <w:rPr/>
        <w:t>难以区分的，将其整体归类为与收益相关的政府补助。</w:t>
      </w:r>
      <w:r>
        <w:rPr>
          <w:rFonts w:ascii="宋体" w:hAnsi="宋体" w:cs="宋体" w:eastAsia="宋体" w:hint="default"/>
        </w:rPr>
        <w:t> </w:t>
      </w:r>
    </w:p>
    <w:p>
      <w:pPr>
        <w:pStyle w:val="BodyText"/>
        <w:spacing w:line="278" w:lineRule="auto" w:before="13"/>
        <w:ind w:right="131" w:firstLine="420"/>
        <w:jc w:val="both"/>
        <w:rPr>
          <w:rFonts w:ascii="宋体" w:hAnsi="宋体" w:cs="宋体" w:eastAsia="宋体" w:hint="default"/>
        </w:rPr>
      </w:pPr>
      <w:r>
        <w:rPr>
          <w:spacing w:val="-2"/>
        </w:rPr>
        <w:t>与本集团日常活动相关的政府补助，按照经济业务的实质，计入其他收益或冲减相关成本费</w:t>
      </w:r>
      <w:r>
        <w:rPr>
          <w:w w:val="100"/>
        </w:rPr>
        <w:t> </w:t>
      </w:r>
      <w:r>
        <w:rPr/>
        <w:t>用；与日常活动无关的政府补助，计入营业外收支。</w:t>
      </w:r>
      <w:r>
        <w:rPr>
          <w:rFonts w:ascii="宋体" w:hAnsi="宋体" w:cs="宋体" w:eastAsia="宋体" w:hint="default"/>
        </w:rPr>
        <w:t> </w:t>
      </w:r>
    </w:p>
    <w:p>
      <w:pPr>
        <w:pStyle w:val="BodyText"/>
        <w:spacing w:line="280" w:lineRule="auto" w:before="11"/>
        <w:ind w:right="131" w:firstLine="420"/>
        <w:jc w:val="both"/>
      </w:pPr>
      <w:r>
        <w:rPr>
          <w:spacing w:val="-2"/>
        </w:rPr>
        <w:t>已确认的政府补助需要退回时，存在相关递延收益余额的，冲减相关递延收益账面余额，超</w:t>
      </w:r>
      <w:r>
        <w:rPr>
          <w:w w:val="100"/>
        </w:rPr>
        <w:t> </w:t>
      </w:r>
      <w:r>
        <w:rPr/>
        <w:t>出部分计入当期损益；属于其他情况的，直接计入当期损益。</w:t>
      </w:r>
    </w:p>
    <w:p>
      <w:pPr>
        <w:pStyle w:val="Heading2"/>
        <w:spacing w:line="240" w:lineRule="auto" w:before="23"/>
        <w:ind w:left="136" w:right="0"/>
        <w:jc w:val="both"/>
        <w:rPr>
          <w:b w:val="0"/>
          <w:bCs w:val="0"/>
        </w:rPr>
      </w:pPr>
      <w:r>
        <w:rPr>
          <w:rFonts w:ascii="宋体" w:hAnsi="宋体" w:cs="宋体" w:eastAsia="宋体" w:hint="default"/>
        </w:rPr>
        <w:t>38.</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spacing w:line="240" w:lineRule="auto" w:before="29"/>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64" w:lineRule="auto" w:before="44"/>
        <w:ind w:left="557" w:right="0"/>
        <w:jc w:val="left"/>
      </w:pPr>
      <w:r>
        <w:rPr>
          <w:rFonts w:ascii="宋体" w:hAnsi="宋体" w:cs="宋体" w:eastAsia="宋体" w:hint="default"/>
          <w:b/>
          <w:bCs/>
        </w:rPr>
        <w:t>（</w:t>
      </w:r>
      <w:r>
        <w:rPr>
          <w:rFonts w:ascii="Arial" w:hAnsi="Arial" w:cs="Arial" w:eastAsia="Arial" w:hint="default"/>
          <w:b/>
          <w:bCs/>
        </w:rPr>
        <w:t>1</w:t>
      </w:r>
      <w:r>
        <w:rPr>
          <w:rFonts w:ascii="宋体" w:hAnsi="宋体" w:cs="宋体" w:eastAsia="宋体" w:hint="default"/>
          <w:b/>
          <w:bCs/>
        </w:rPr>
        <w:t>）当期所得税</w:t>
      </w:r>
      <w:r>
        <w:rPr>
          <w:rFonts w:ascii="宋体" w:hAnsi="宋体" w:cs="宋体" w:eastAsia="宋体" w:hint="default"/>
          <w:b/>
          <w:bCs/>
          <w:w w:val="99"/>
        </w:rPr>
        <w:t> </w:t>
      </w:r>
      <w:r>
        <w:rPr>
          <w:spacing w:val="-7"/>
          <w:w w:val="100"/>
        </w:rPr>
        <w:t>资产负债表日，对于当期和以前期间形成的当期所得税负债（或资产），以按照税法规定计算</w:t>
      </w:r>
    </w:p>
    <w:p>
      <w:pPr>
        <w:pStyle w:val="BodyText"/>
        <w:spacing w:line="278" w:lineRule="auto" w:before="25"/>
        <w:ind w:right="0"/>
        <w:jc w:val="left"/>
        <w:rPr>
          <w:rFonts w:ascii="宋体" w:hAnsi="宋体" w:cs="宋体" w:eastAsia="宋体" w:hint="default"/>
        </w:rPr>
      </w:pPr>
      <w:r>
        <w:rPr>
          <w:spacing w:val="-1"/>
        </w:rPr>
        <w:t>的预期应交纳（或返还）的所得税金额计量。计算当期所得税费用所依据的应纳税所得额系根据</w:t>
      </w:r>
      <w:r>
        <w:rPr>
          <w:spacing w:val="-55"/>
        </w:rPr>
        <w:t> </w:t>
      </w:r>
      <w:r>
        <w:rPr>
          <w:spacing w:val="-55"/>
        </w:rPr>
      </w:r>
      <w:r>
        <w:rPr/>
        <w:t>有关税法规定对本年度税前会计利润作相应调整后计算得出。</w:t>
      </w:r>
      <w:r>
        <w:rPr>
          <w:rFonts w:ascii="宋体" w:hAnsi="宋体" w:cs="宋体" w:eastAsia="宋体" w:hint="default"/>
        </w:rPr>
        <w:t> </w:t>
      </w:r>
    </w:p>
    <w:p>
      <w:pPr>
        <w:spacing w:line="266" w:lineRule="auto" w:before="10"/>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）递延所得税资产及递延所得税负债</w:t>
      </w:r>
      <w:r>
        <w:rPr>
          <w:rFonts w:ascii="宋体" w:hAnsi="宋体" w:cs="宋体" w:eastAsia="宋体" w:hint="default"/>
          <w:b/>
          <w:bCs/>
          <w:w w:val="99"/>
          <w:sz w:val="21"/>
          <w:szCs w:val="21"/>
        </w:rPr>
        <w:t> </w:t>
      </w:r>
      <w:r>
        <w:rPr>
          <w:rFonts w:ascii="宋体" w:hAnsi="宋体" w:cs="宋体" w:eastAsia="宋体" w:hint="default"/>
          <w:spacing w:val="-2"/>
          <w:sz w:val="21"/>
          <w:szCs w:val="21"/>
        </w:rPr>
        <w:t>某些资产、负债项目的账面价值与其计税基础之间的差额，以及未作为资产和负债确认但按</w:t>
      </w:r>
    </w:p>
    <w:p>
      <w:pPr>
        <w:spacing w:after="0" w:line="266" w:lineRule="auto"/>
        <w:jc w:val="left"/>
        <w:rPr>
          <w:rFonts w:ascii="宋体" w:hAnsi="宋体" w:cs="宋体" w:eastAsia="宋体" w:hint="default"/>
          <w:sz w:val="21"/>
          <w:szCs w:val="21"/>
        </w:rPr>
        <w:sectPr>
          <w:pgSz w:w="11910" w:h="16840"/>
          <w:pgMar w:header="826" w:footer="1195" w:top="1300" w:bottom="1380" w:left="1140" w:right="1660"/>
        </w:sectPr>
      </w:pPr>
    </w:p>
    <w:p>
      <w:pPr>
        <w:spacing w:line="240" w:lineRule="auto" w:before="5"/>
        <w:rPr>
          <w:rFonts w:ascii="宋体" w:hAnsi="宋体" w:cs="宋体" w:eastAsia="宋体" w:hint="default"/>
          <w:sz w:val="8"/>
          <w:szCs w:val="8"/>
        </w:rPr>
      </w:pPr>
    </w:p>
    <w:p>
      <w:pPr>
        <w:pStyle w:val="BodyText"/>
        <w:spacing w:line="278" w:lineRule="auto" w:before="36"/>
        <w:ind w:right="98"/>
        <w:jc w:val="left"/>
        <w:rPr>
          <w:rFonts w:ascii="宋体" w:hAnsi="宋体" w:cs="宋体" w:eastAsia="宋体" w:hint="default"/>
        </w:rPr>
      </w:pPr>
      <w:r>
        <w:rPr>
          <w:spacing w:val="-1"/>
        </w:rPr>
        <w:t>照税法规定可以确定其计税基础的项目的账面价值与计税基础之间的差额产生的暂时性差异，采</w:t>
      </w:r>
      <w:r>
        <w:rPr>
          <w:spacing w:val="-55"/>
        </w:rPr>
        <w:t> </w:t>
      </w:r>
      <w:r>
        <w:rPr>
          <w:spacing w:val="-55"/>
        </w:rPr>
      </w:r>
      <w:r>
        <w:rPr/>
        <w:t>用资产负债表债务法确认递延所得税资产及递延所得税负债。</w:t>
      </w:r>
      <w:r>
        <w:rPr>
          <w:rFonts w:ascii="宋体" w:hAnsi="宋体" w:cs="宋体" w:eastAsia="宋体" w:hint="default"/>
        </w:rPr>
        <w:t> </w:t>
      </w:r>
    </w:p>
    <w:p>
      <w:pPr>
        <w:pStyle w:val="BodyText"/>
        <w:spacing w:line="240" w:lineRule="auto" w:before="13"/>
        <w:ind w:left="557" w:right="98"/>
        <w:jc w:val="left"/>
      </w:pPr>
      <w:r>
        <w:rPr/>
        <w:t>与商誉的初始确认有关，以及与既不是企业合并、发生时也不影响会计利润和应纳税所得额</w:t>
      </w:r>
    </w:p>
    <w:p>
      <w:pPr>
        <w:pStyle w:val="BodyText"/>
        <w:spacing w:line="278" w:lineRule="auto" w:before="44"/>
        <w:ind w:right="98"/>
        <w:jc w:val="left"/>
        <w:rPr>
          <w:rFonts w:ascii="宋体" w:hAnsi="宋体" w:cs="宋体" w:eastAsia="宋体" w:hint="default"/>
        </w:rPr>
      </w:pPr>
      <w:r>
        <w:rPr/>
        <w:t>（或可抵扣亏损）的交易中产生的资产或负债的初始确认有关的应纳税暂时性差异，不予确认有</w:t>
      </w:r>
      <w:r>
        <w:rPr>
          <w:spacing w:val="-97"/>
        </w:rPr>
        <w:t> </w:t>
      </w:r>
      <w:r>
        <w:rPr>
          <w:spacing w:val="-97"/>
        </w:rPr>
      </w:r>
      <w:r>
        <w:rPr/>
        <w:t>关的递延所得税负债。此外，对与子公司、联营企业及合营企业投资相关的应纳税暂时性差异，</w:t>
      </w:r>
      <w:r>
        <w:rPr>
          <w:spacing w:val="-97"/>
        </w:rPr>
        <w:t> </w:t>
      </w:r>
      <w:r>
        <w:rPr>
          <w:spacing w:val="-97"/>
        </w:rPr>
      </w:r>
      <w:r>
        <w:rPr>
          <w:spacing w:val="-4"/>
          <w:w w:val="100"/>
        </w:rPr>
        <w:t>如果本集团能够控制暂时性差异转回的时间，而且该暂时性差异在可预见的未来很可能不会转回，</w:t>
      </w:r>
      <w:r>
        <w:rPr>
          <w:spacing w:val="-86"/>
          <w:w w:val="100"/>
        </w:rPr>
        <w:t> </w:t>
      </w:r>
      <w:r>
        <w:rPr>
          <w:spacing w:val="-86"/>
          <w:w w:val="100"/>
        </w:rPr>
      </w:r>
      <w:r>
        <w:rPr/>
        <w:t>也不予确认有关的递延所得税负债。除上述例外情况，本集团确认其他所有应纳税暂时性差异产</w:t>
      </w:r>
      <w:r>
        <w:rPr>
          <w:spacing w:val="-97"/>
        </w:rPr>
        <w:t> </w:t>
      </w:r>
      <w:r>
        <w:rPr>
          <w:spacing w:val="-97"/>
        </w:rPr>
      </w:r>
      <w:r>
        <w:rPr/>
        <w:t>生的递延所得税负债。</w:t>
      </w:r>
      <w:r>
        <w:rPr>
          <w:rFonts w:ascii="宋体" w:hAnsi="宋体" w:cs="宋体" w:eastAsia="宋体" w:hint="default"/>
        </w:rPr>
        <w:t> </w:t>
      </w:r>
    </w:p>
    <w:p>
      <w:pPr>
        <w:pStyle w:val="BodyText"/>
        <w:spacing w:line="278" w:lineRule="auto" w:before="13"/>
        <w:ind w:right="209" w:firstLine="420"/>
        <w:jc w:val="both"/>
        <w:rPr>
          <w:rFonts w:ascii="宋体" w:hAnsi="宋体" w:cs="宋体" w:eastAsia="宋体" w:hint="default"/>
        </w:rPr>
      </w:pPr>
      <w:r>
        <w:rPr>
          <w:spacing w:val="-2"/>
        </w:rPr>
        <w:t>与既不是企业合并、发生时也不影响会计利润和应纳税所得额（或可抵扣亏损）的交易中产</w:t>
      </w:r>
      <w:r>
        <w:rPr>
          <w:w w:val="100"/>
        </w:rPr>
        <w:t> </w:t>
      </w:r>
      <w:r>
        <w:rPr>
          <w:spacing w:val="-1"/>
        </w:rPr>
        <w:t>生的资产或负债的初始确认有关的可抵扣暂时性差异，不予确认有关的递延所得税资产。此外，</w:t>
      </w:r>
      <w:r>
        <w:rPr>
          <w:spacing w:val="-55"/>
        </w:rPr>
        <w:t> </w:t>
      </w:r>
      <w:r>
        <w:rPr>
          <w:spacing w:val="-55"/>
        </w:rPr>
      </w:r>
      <w:r>
        <w:rPr>
          <w:spacing w:val="-1"/>
        </w:rPr>
        <w:t>对与子公司、联营企业及合营企业投资相关的可抵扣暂时性差异，如果暂时性差异在可预见的未</w:t>
      </w:r>
      <w:r>
        <w:rPr>
          <w:spacing w:val="-55"/>
        </w:rPr>
        <w:t> </w:t>
      </w:r>
      <w:r>
        <w:rPr>
          <w:spacing w:val="-55"/>
        </w:rPr>
      </w:r>
      <w:r>
        <w:rPr>
          <w:spacing w:val="-1"/>
        </w:rPr>
        <w:t>来不是很可能转回，或者未来不是很可能获得用来抵扣可抵扣暂时性差异的应纳税所得额，不予</w:t>
      </w:r>
      <w:r>
        <w:rPr>
          <w:spacing w:val="-55"/>
        </w:rPr>
        <w:t> </w:t>
      </w:r>
      <w:r>
        <w:rPr>
          <w:spacing w:val="-55"/>
        </w:rPr>
      </w:r>
      <w:r>
        <w:rPr>
          <w:spacing w:val="-1"/>
        </w:rPr>
        <w:t>确认有关的递延所得税资产。除上述例外情况，本集团以很可能取得用来抵扣可抵扣暂时性差异</w:t>
      </w:r>
      <w:r>
        <w:rPr>
          <w:spacing w:val="-55"/>
        </w:rPr>
        <w:t> </w:t>
      </w:r>
      <w:r>
        <w:rPr>
          <w:spacing w:val="-55"/>
        </w:rPr>
      </w:r>
      <w:r>
        <w:rPr/>
        <w:t>的应纳税所得额为限，确认其他可抵扣暂时性差异产生的递延所得税资产。</w:t>
      </w:r>
      <w:r>
        <w:rPr>
          <w:rFonts w:ascii="宋体" w:hAnsi="宋体" w:cs="宋体" w:eastAsia="宋体" w:hint="default"/>
        </w:rPr>
        <w:t> </w:t>
      </w:r>
    </w:p>
    <w:p>
      <w:pPr>
        <w:pStyle w:val="BodyText"/>
        <w:spacing w:line="278" w:lineRule="auto" w:before="13"/>
        <w:ind w:right="211" w:firstLine="420"/>
        <w:jc w:val="both"/>
        <w:rPr>
          <w:rFonts w:ascii="宋体" w:hAnsi="宋体" w:cs="宋体" w:eastAsia="宋体" w:hint="default"/>
        </w:rPr>
      </w:pPr>
      <w:r>
        <w:rPr>
          <w:spacing w:val="-2"/>
        </w:rPr>
        <w:t>对于能够结转以后年度的可抵扣亏损和税款抵减，以很可能获得用来抵扣可抵扣亏损和税款</w:t>
      </w:r>
      <w:r>
        <w:rPr>
          <w:w w:val="100"/>
        </w:rPr>
        <w:t> </w:t>
      </w:r>
      <w:r>
        <w:rPr/>
        <w:t>抵减的未来应纳税所得额为限，确认相应的递延所得税资产。</w:t>
      </w:r>
      <w:r>
        <w:rPr>
          <w:rFonts w:ascii="宋体" w:hAnsi="宋体" w:cs="宋体" w:eastAsia="宋体" w:hint="default"/>
        </w:rPr>
        <w:t> </w:t>
      </w:r>
    </w:p>
    <w:p>
      <w:pPr>
        <w:pStyle w:val="BodyText"/>
        <w:spacing w:line="280" w:lineRule="auto" w:before="10"/>
        <w:ind w:right="211" w:firstLine="420"/>
        <w:jc w:val="both"/>
        <w:rPr>
          <w:rFonts w:ascii="宋体" w:hAnsi="宋体" w:cs="宋体" w:eastAsia="宋体" w:hint="default"/>
        </w:rPr>
      </w:pPr>
      <w:r>
        <w:rPr>
          <w:spacing w:val="-2"/>
        </w:rPr>
        <w:t>资产负债表日，对于递延所得税资产和递延所得税负债，根据税法规定，按照预期收回相关</w:t>
      </w:r>
      <w:r>
        <w:rPr>
          <w:w w:val="100"/>
        </w:rPr>
        <w:t> </w:t>
      </w:r>
      <w:r>
        <w:rPr/>
        <w:t>资产或清偿相关负债期间的适用税率计量。</w:t>
      </w:r>
      <w:r>
        <w:rPr>
          <w:rFonts w:ascii="宋体" w:hAnsi="宋体" w:cs="宋体" w:eastAsia="宋体" w:hint="default"/>
        </w:rPr>
        <w:t> </w:t>
      </w:r>
    </w:p>
    <w:p>
      <w:pPr>
        <w:pStyle w:val="BodyText"/>
        <w:spacing w:line="280" w:lineRule="auto" w:before="8"/>
        <w:ind w:right="209" w:firstLine="420"/>
        <w:jc w:val="both"/>
        <w:rPr>
          <w:rFonts w:ascii="宋体" w:hAnsi="宋体" w:cs="宋体" w:eastAsia="宋体" w:hint="default"/>
        </w:rPr>
      </w:pPr>
      <w:r>
        <w:rPr>
          <w:spacing w:val="-2"/>
        </w:rPr>
        <w:t>于资产负债表日，对递延所得税资产的账面价值进行复核，如果未来很可能无法获得足够的</w:t>
      </w:r>
      <w:r>
        <w:rPr>
          <w:w w:val="100"/>
        </w:rPr>
        <w:t> </w:t>
      </w:r>
      <w:r>
        <w:rPr>
          <w:spacing w:val="-1"/>
        </w:rPr>
        <w:t>应纳税所得额用以抵扣递延所得税资产的利益，则减记递延所得税资产的账面价值。在很可能获</w:t>
      </w:r>
      <w:r>
        <w:rPr>
          <w:spacing w:val="-55"/>
        </w:rPr>
        <w:t> </w:t>
      </w:r>
      <w:r>
        <w:rPr>
          <w:spacing w:val="-55"/>
        </w:rPr>
      </w:r>
      <w:r>
        <w:rPr/>
        <w:t>得足够的应纳税所得额时，减记的金额予以转回。</w:t>
      </w:r>
      <w:r>
        <w:rPr>
          <w:rFonts w:ascii="宋体" w:hAnsi="宋体" w:cs="宋体" w:eastAsia="宋体" w:hint="default"/>
        </w:rPr>
        <w:t> </w:t>
      </w:r>
    </w:p>
    <w:p>
      <w:pPr>
        <w:spacing w:line="264" w:lineRule="auto" w:before="8"/>
        <w:ind w:left="557" w:right="306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3</w:t>
      </w:r>
      <w:r>
        <w:rPr>
          <w:rFonts w:ascii="宋体" w:hAnsi="宋体" w:cs="宋体" w:eastAsia="宋体" w:hint="default"/>
          <w:b/>
          <w:bCs/>
          <w:sz w:val="21"/>
          <w:szCs w:val="21"/>
        </w:rPr>
        <w:t>）所得税费用</w:t>
      </w:r>
      <w:r>
        <w:rPr>
          <w:rFonts w:ascii="宋体" w:hAnsi="宋体" w:cs="宋体" w:eastAsia="宋体" w:hint="default"/>
          <w:b/>
          <w:bCs/>
          <w:w w:val="99"/>
          <w:sz w:val="21"/>
          <w:szCs w:val="21"/>
        </w:rPr>
        <w:t> </w:t>
      </w:r>
      <w:r>
        <w:rPr>
          <w:rFonts w:ascii="宋体" w:hAnsi="宋体" w:cs="宋体" w:eastAsia="宋体" w:hint="default"/>
          <w:sz w:val="21"/>
          <w:szCs w:val="21"/>
        </w:rPr>
        <w:t>所得税费用包括当期所得税和递延所得税。</w:t>
      </w:r>
      <w:r>
        <w:rPr>
          <w:rFonts w:ascii="宋体" w:hAnsi="宋体" w:cs="宋体" w:eastAsia="宋体" w:hint="default"/>
          <w:sz w:val="21"/>
          <w:szCs w:val="21"/>
        </w:rPr>
        <w:t> </w:t>
      </w:r>
    </w:p>
    <w:p>
      <w:pPr>
        <w:pStyle w:val="BodyText"/>
        <w:spacing w:line="278" w:lineRule="auto" w:before="26"/>
        <w:ind w:right="209" w:firstLine="420"/>
        <w:jc w:val="both"/>
        <w:rPr>
          <w:rFonts w:ascii="宋体" w:hAnsi="宋体" w:cs="宋体" w:eastAsia="宋体" w:hint="default"/>
        </w:rPr>
      </w:pPr>
      <w:r>
        <w:rPr>
          <w:spacing w:val="-2"/>
        </w:rPr>
        <w:t>除确认为其他综合收益或直接计入股东权益的交易和事项相关的当期所得税和递延所得税计</w:t>
      </w:r>
      <w:r>
        <w:rPr>
          <w:w w:val="100"/>
        </w:rPr>
        <w:t> </w:t>
      </w:r>
      <w:r>
        <w:rPr>
          <w:spacing w:val="-1"/>
        </w:rPr>
        <w:t>入其他综合收益或股东权益，以及企业合并产生的递延所得税调整商誉的账面价值外，其余当期</w:t>
      </w:r>
      <w:r>
        <w:rPr>
          <w:spacing w:val="-54"/>
        </w:rPr>
        <w:t> </w:t>
      </w:r>
      <w:r>
        <w:rPr>
          <w:spacing w:val="-54"/>
        </w:rPr>
      </w:r>
      <w:r>
        <w:rPr/>
        <w:t>所得税和递延所得税费用或收益计入当期损益。</w:t>
      </w:r>
      <w:r>
        <w:rPr>
          <w:rFonts w:ascii="宋体" w:hAnsi="宋体" w:cs="宋体" w:eastAsia="宋体" w:hint="default"/>
        </w:rPr>
        <w:t> </w:t>
      </w:r>
    </w:p>
    <w:p>
      <w:pPr>
        <w:pStyle w:val="BodyText"/>
        <w:spacing w:line="264" w:lineRule="auto" w:before="13"/>
        <w:ind w:left="557" w:right="98" w:firstLine="2"/>
        <w:jc w:val="left"/>
      </w:pPr>
      <w:r>
        <w:rPr>
          <w:rFonts w:ascii="宋体" w:hAnsi="宋体" w:cs="宋体" w:eastAsia="宋体" w:hint="default"/>
          <w:b/>
          <w:bCs/>
        </w:rPr>
        <w:t>（</w:t>
      </w:r>
      <w:r>
        <w:rPr>
          <w:rFonts w:ascii="Arial" w:hAnsi="Arial" w:cs="Arial" w:eastAsia="Arial" w:hint="default"/>
          <w:b/>
          <w:bCs/>
        </w:rPr>
        <w:t>4</w:t>
      </w:r>
      <w:r>
        <w:rPr>
          <w:rFonts w:ascii="宋体" w:hAnsi="宋体" w:cs="宋体" w:eastAsia="宋体" w:hint="default"/>
          <w:b/>
          <w:bCs/>
        </w:rPr>
        <w:t>）所得税的抵销</w:t>
      </w:r>
      <w:r>
        <w:rPr>
          <w:rFonts w:ascii="宋体" w:hAnsi="宋体" w:cs="宋体" w:eastAsia="宋体" w:hint="default"/>
          <w:b/>
          <w:bCs/>
          <w:w w:val="100"/>
        </w:rPr>
        <w:t> </w:t>
      </w:r>
      <w:r>
        <w:rPr>
          <w:spacing w:val="-2"/>
        </w:rPr>
        <w:t>当拥有以净额结算的法定权利，且意图以净额结算或取得资产、清偿负债同时进行时，本集</w:t>
      </w:r>
    </w:p>
    <w:p>
      <w:pPr>
        <w:pStyle w:val="BodyText"/>
        <w:spacing w:line="280" w:lineRule="auto" w:before="23"/>
        <w:ind w:left="557" w:right="98" w:hanging="421"/>
        <w:jc w:val="left"/>
      </w:pPr>
      <w:r>
        <w:rPr/>
        <w:t>团当期所得税资产及当期所得税负债以抵销后的净额列报。</w:t>
      </w:r>
      <w:r>
        <w:rPr>
          <w:rFonts w:ascii="宋体" w:hAnsi="宋体" w:cs="宋体" w:eastAsia="宋体" w:hint="default"/>
          <w:w w:val="100"/>
        </w:rPr>
        <w:t> </w:t>
      </w:r>
      <w:r>
        <w:rPr>
          <w:spacing w:val="-2"/>
        </w:rPr>
        <w:t>当拥有以净额结算当期所得税资产及当期所得税负债的法定权利，且递延所得税资产及递延</w:t>
      </w:r>
    </w:p>
    <w:p>
      <w:pPr>
        <w:pStyle w:val="BodyText"/>
        <w:spacing w:line="280" w:lineRule="auto" w:before="8"/>
        <w:ind w:right="209"/>
        <w:jc w:val="both"/>
      </w:pPr>
      <w:r>
        <w:rPr>
          <w:spacing w:val="-1"/>
        </w:rPr>
        <w:t>所得税负债是与同一税收征管部门对同一纳税主体征收的所得税相关或者是对不同的纳税主体相</w:t>
      </w:r>
      <w:r>
        <w:rPr>
          <w:spacing w:val="-55"/>
        </w:rPr>
        <w:t> </w:t>
      </w:r>
      <w:r>
        <w:rPr>
          <w:spacing w:val="-55"/>
        </w:rPr>
      </w:r>
      <w:r>
        <w:rPr>
          <w:spacing w:val="-1"/>
        </w:rPr>
        <w:t>关，但在未来每一具有重要性的递延所得税资产及负债转回的期间内，涉及的纳税主体意图以净</w:t>
      </w:r>
      <w:r>
        <w:rPr>
          <w:spacing w:val="-55"/>
        </w:rPr>
        <w:t> </w:t>
      </w:r>
      <w:r>
        <w:rPr>
          <w:spacing w:val="-55"/>
        </w:rPr>
      </w:r>
      <w:r>
        <w:rPr>
          <w:spacing w:val="-1"/>
        </w:rPr>
        <w:t>额结算当期所得税资产和负债或是同时取得资产、清偿负债时，本集团递延所得税资产及递延所</w:t>
      </w:r>
      <w:r>
        <w:rPr>
          <w:spacing w:val="-55"/>
        </w:rPr>
        <w:t> </w:t>
      </w:r>
      <w:r>
        <w:rPr>
          <w:spacing w:val="-55"/>
        </w:rPr>
      </w:r>
      <w:r>
        <w:rPr/>
        <w:t>得税负债以抵销后的净额列报。</w:t>
      </w:r>
    </w:p>
    <w:p>
      <w:pPr>
        <w:pStyle w:val="Heading2"/>
        <w:spacing w:line="290" w:lineRule="auto" w:before="23"/>
        <w:ind w:left="136" w:right="5481"/>
        <w:jc w:val="left"/>
        <w:rPr>
          <w:rFonts w:ascii="宋体" w:hAnsi="宋体" w:cs="宋体" w:eastAsia="宋体" w:hint="default"/>
          <w:b w:val="0"/>
          <w:bCs w:val="0"/>
        </w:rPr>
      </w:pPr>
      <w:r>
        <w:rPr>
          <w:rFonts w:ascii="宋体" w:hAnsi="宋体" w:cs="宋体" w:eastAsia="宋体" w:hint="default"/>
        </w:rPr>
        <w:t>39.</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8" w:lineRule="auto" w:before="12"/>
        <w:ind w:left="557" w:right="3959"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融资租赁以外的其他租赁为经营租赁。</w:t>
      </w:r>
    </w:p>
    <w:p>
      <w:pPr>
        <w:pStyle w:val="BodyText"/>
        <w:spacing w:line="278" w:lineRule="auto" w:before="10"/>
        <w:ind w:left="557" w:right="98"/>
        <w:jc w:val="left"/>
      </w:pPr>
      <w:r>
        <w:rPr>
          <w:rFonts w:ascii="黑体" w:hAnsi="黑体" w:cs="黑体" w:eastAsia="黑体" w:hint="default"/>
        </w:rPr>
        <w:t>①</w:t>
      </w:r>
      <w:r>
        <w:rPr/>
        <w:t>本集团作为承租人记录经营租赁业务</w:t>
      </w:r>
      <w:r>
        <w:rPr>
          <w:w w:val="100"/>
        </w:rPr>
        <w:t> </w:t>
      </w:r>
      <w:r>
        <w:rPr>
          <w:spacing w:val="-2"/>
        </w:rPr>
        <w:t>经营租赁的租金支出在租赁期内的各个期间按直线法计入相关资产成本或当期损益。初始直</w:t>
      </w:r>
    </w:p>
    <w:p>
      <w:pPr>
        <w:pStyle w:val="BodyText"/>
        <w:spacing w:line="240" w:lineRule="auto" w:before="13"/>
        <w:ind w:right="98"/>
        <w:jc w:val="left"/>
      </w:pPr>
      <w:r>
        <w:rPr/>
        <w:t>接费用计入当期损益。或有租金于实际发生时计入当期损益。</w:t>
      </w:r>
    </w:p>
    <w:p>
      <w:pPr>
        <w:pStyle w:val="BodyText"/>
        <w:spacing w:line="278" w:lineRule="auto" w:before="44"/>
        <w:ind w:left="557" w:right="98"/>
        <w:jc w:val="left"/>
      </w:pPr>
      <w:r>
        <w:rPr>
          <w:rFonts w:ascii="黑体" w:hAnsi="黑体" w:cs="黑体" w:eastAsia="黑体" w:hint="default"/>
        </w:rPr>
        <w:t>②</w:t>
      </w:r>
      <w:r>
        <w:rPr/>
        <w:t>本集团作为出租人记录经营租赁业务</w:t>
      </w:r>
      <w:r>
        <w:rPr>
          <w:w w:val="100"/>
        </w:rPr>
        <w:t> </w:t>
      </w:r>
      <w:r>
        <w:rPr>
          <w:spacing w:val="-2"/>
        </w:rPr>
        <w:t>经营租赁的租金收入在租赁期内的各个期间按直线法确认为当期损益。对金额较大的初始直</w:t>
      </w:r>
    </w:p>
    <w:p>
      <w:pPr>
        <w:spacing w:after="0" w:line="278" w:lineRule="auto"/>
        <w:jc w:val="left"/>
        <w:sectPr>
          <w:pgSz w:w="11910" w:h="16840"/>
          <w:pgMar w:header="826" w:footer="1195" w:top="1300" w:bottom="1380" w:left="1140" w:right="1580"/>
        </w:sectPr>
      </w:pPr>
    </w:p>
    <w:p>
      <w:pPr>
        <w:spacing w:line="240" w:lineRule="auto" w:before="5"/>
        <w:rPr>
          <w:rFonts w:ascii="宋体" w:hAnsi="宋体" w:cs="宋体" w:eastAsia="宋体" w:hint="default"/>
          <w:sz w:val="8"/>
          <w:szCs w:val="8"/>
        </w:rPr>
      </w:pPr>
    </w:p>
    <w:p>
      <w:pPr>
        <w:pStyle w:val="BodyText"/>
        <w:spacing w:line="285" w:lineRule="auto" w:before="36"/>
        <w:ind w:right="129"/>
        <w:jc w:val="both"/>
        <w:rPr>
          <w:rFonts w:ascii="宋体" w:hAnsi="宋体" w:cs="宋体" w:eastAsia="宋体" w:hint="default"/>
        </w:rPr>
      </w:pPr>
      <w:r>
        <w:rPr>
          <w:spacing w:val="-1"/>
        </w:rPr>
        <w:t>接费用于发生时予以资本化，在整个租赁期间内按照与确认租金收入相同的基础分期计入当期损</w:t>
      </w:r>
      <w:r>
        <w:rPr>
          <w:spacing w:val="-55"/>
        </w:rPr>
        <w:t> </w:t>
      </w:r>
      <w:r>
        <w:rPr>
          <w:spacing w:val="-55"/>
        </w:rPr>
      </w:r>
      <w:r>
        <w:rPr>
          <w:spacing w:val="-6"/>
          <w:w w:val="100"/>
        </w:rPr>
        <w:t>益；其他金额较小的初始直接费用于发生时计入当期损益。或有租金于实际发生时计入当期损益。</w:t>
      </w:r>
      <w:r>
        <w:rPr>
          <w:w w:val="100"/>
        </w:rPr>
        <w:t> </w:t>
      </w:r>
      <w:r>
        <w:rPr>
          <w:rFonts w:ascii="宋体" w:hAnsi="宋体" w:cs="宋体" w:eastAsia="宋体" w:hint="default"/>
          <w:b/>
          <w:bCs/>
        </w:rPr>
        <w:t>(2).</w:t>
      </w:r>
      <w:r>
        <w:rPr>
          <w:rFonts w:ascii="宋体" w:hAnsi="宋体" w:cs="宋体" w:eastAsia="宋体" w:hint="default"/>
          <w:b/>
          <w:bCs/>
        </w:rPr>
        <w:t>融资租赁的会计处理方法</w:t>
      </w:r>
      <w:r>
        <w:rPr>
          <w:rFonts w:ascii="宋体" w:hAnsi="宋体" w:cs="宋体" w:eastAsia="宋体" w:hint="default"/>
          <w:b/>
          <w:bCs/>
          <w:w w:val="99"/>
        </w:rPr>
        <w:t> </w:t>
      </w:r>
      <w:r>
        <w:rPr>
          <w:rFonts w:ascii="宋体" w:hAnsi="宋体" w:cs="宋体" w:eastAsia="宋体" w:hint="default"/>
        </w:rPr>
      </w:r>
    </w:p>
    <w:p>
      <w:pPr>
        <w:pStyle w:val="BodyText"/>
        <w:spacing w:line="278" w:lineRule="auto" w:before="16"/>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融资租赁为实质上转移了与资产所有权有关的全部风险和报酬的租赁，其所有权最终可能转</w:t>
      </w:r>
    </w:p>
    <w:p>
      <w:pPr>
        <w:pStyle w:val="BodyText"/>
        <w:spacing w:line="240" w:lineRule="auto" w:before="10"/>
        <w:ind w:right="0"/>
        <w:jc w:val="both"/>
        <w:rPr>
          <w:rFonts w:ascii="宋体" w:hAnsi="宋体" w:cs="宋体" w:eastAsia="宋体" w:hint="default"/>
        </w:rPr>
      </w:pPr>
      <w:r>
        <w:rPr/>
        <w:t>移，也可能不转移。</w:t>
      </w:r>
      <w:r>
        <w:rPr>
          <w:rFonts w:ascii="宋体" w:hAnsi="宋体" w:cs="宋体" w:eastAsia="宋体" w:hint="default"/>
        </w:rPr>
        <w:t> </w:t>
      </w:r>
    </w:p>
    <w:p>
      <w:pPr>
        <w:pStyle w:val="BodyText"/>
        <w:spacing w:line="280" w:lineRule="auto" w:before="44"/>
        <w:ind w:left="557" w:right="0"/>
        <w:jc w:val="left"/>
      </w:pPr>
      <w:r>
        <w:rPr/>
        <w:t>①本集团作为承租人记录融资租赁业务</w:t>
      </w:r>
      <w:r>
        <w:rPr>
          <w:rFonts w:ascii="宋体" w:hAnsi="宋体" w:cs="宋体" w:eastAsia="宋体" w:hint="default"/>
          <w:w w:val="100"/>
        </w:rPr>
        <w:t> </w:t>
      </w:r>
      <w:r>
        <w:rPr>
          <w:spacing w:val="-2"/>
        </w:rPr>
        <w:t>于租赁期开始日，将租赁开始日租赁资产的公允价值与最低租赁付款额现值两者中较低者作</w:t>
      </w:r>
    </w:p>
    <w:p>
      <w:pPr>
        <w:pStyle w:val="BodyText"/>
        <w:spacing w:line="278" w:lineRule="auto" w:before="8"/>
        <w:ind w:right="129"/>
        <w:jc w:val="both"/>
        <w:rPr>
          <w:rFonts w:ascii="宋体" w:hAnsi="宋体" w:cs="宋体" w:eastAsia="宋体" w:hint="default"/>
        </w:rPr>
      </w:pPr>
      <w:r>
        <w:rPr>
          <w:spacing w:val="-1"/>
        </w:rPr>
        <w:t>为租入资产的入账价值，将最低租赁付款额作为长期应付款的入账价值，其差额作为未确认融资</w:t>
      </w:r>
      <w:r>
        <w:rPr>
          <w:spacing w:val="-55"/>
        </w:rPr>
        <w:t> </w:t>
      </w:r>
      <w:r>
        <w:rPr>
          <w:spacing w:val="-55"/>
        </w:rPr>
      </w:r>
      <w:r>
        <w:rPr>
          <w:spacing w:val="-1"/>
        </w:rPr>
        <w:t>费用。此外，在租赁谈判和签订租赁合同过程中发生的，可归属于租赁项目的初始直接费用也计</w:t>
      </w:r>
      <w:r>
        <w:rPr>
          <w:spacing w:val="-55"/>
        </w:rPr>
        <w:t> </w:t>
      </w:r>
      <w:r>
        <w:rPr>
          <w:spacing w:val="-55"/>
        </w:rPr>
      </w:r>
      <w:r>
        <w:rPr>
          <w:spacing w:val="-1"/>
        </w:rPr>
        <w:t>入租入资产价值。最低租赁付款额扣除未确认融资费用后的余额分别长期负债和一年内到期的长</w:t>
      </w:r>
      <w:r>
        <w:rPr>
          <w:spacing w:val="-55"/>
        </w:rPr>
        <w:t> </w:t>
      </w:r>
      <w:r>
        <w:rPr>
          <w:spacing w:val="-55"/>
        </w:rPr>
      </w:r>
      <w:r>
        <w:rPr/>
        <w:t>期负债列示。</w:t>
      </w:r>
      <w:r>
        <w:rPr>
          <w:rFonts w:ascii="宋体" w:hAnsi="宋体" w:cs="宋体" w:eastAsia="宋体" w:hint="default"/>
        </w:rPr>
        <w:t> </w:t>
      </w:r>
    </w:p>
    <w:p>
      <w:pPr>
        <w:pStyle w:val="BodyText"/>
        <w:spacing w:line="280" w:lineRule="auto" w:before="11"/>
        <w:ind w:right="131" w:firstLine="420"/>
        <w:jc w:val="both"/>
        <w:rPr>
          <w:rFonts w:ascii="宋体" w:hAnsi="宋体" w:cs="宋体" w:eastAsia="宋体" w:hint="default"/>
        </w:rPr>
      </w:pPr>
      <w:r>
        <w:rPr>
          <w:spacing w:val="-2"/>
        </w:rPr>
        <w:t>未确认融资费用在租赁期内采用实际利率法计算确认当期的融资费用。或有租金于实际发生</w:t>
      </w:r>
      <w:r>
        <w:rPr>
          <w:w w:val="100"/>
        </w:rPr>
        <w:t> </w:t>
      </w:r>
      <w:r>
        <w:rPr/>
        <w:t>时计入当期损益。</w:t>
      </w:r>
      <w:r>
        <w:rPr>
          <w:rFonts w:ascii="宋体" w:hAnsi="宋体" w:cs="宋体" w:eastAsia="宋体" w:hint="default"/>
        </w:rPr>
        <w:t> </w:t>
      </w:r>
    </w:p>
    <w:p>
      <w:pPr>
        <w:pStyle w:val="BodyText"/>
        <w:spacing w:line="278" w:lineRule="auto" w:before="8"/>
        <w:ind w:left="557" w:right="0"/>
        <w:jc w:val="left"/>
      </w:pPr>
      <w:r>
        <w:rPr/>
        <w:t>②本集团作为出租人记录融资租赁业务</w:t>
      </w:r>
      <w:r>
        <w:rPr>
          <w:rFonts w:ascii="宋体" w:hAnsi="宋体" w:cs="宋体" w:eastAsia="宋体" w:hint="default"/>
          <w:w w:val="100"/>
        </w:rPr>
        <w:t> </w:t>
      </w:r>
      <w:r>
        <w:rPr>
          <w:spacing w:val="-2"/>
        </w:rPr>
        <w:t>于租赁期开始日，将租赁开始日最低租赁收款额与初始直接费用之和作为应收融资租赁款的</w:t>
      </w:r>
    </w:p>
    <w:p>
      <w:pPr>
        <w:pStyle w:val="BodyText"/>
        <w:spacing w:line="278" w:lineRule="auto" w:before="13"/>
        <w:ind w:right="129"/>
        <w:jc w:val="both"/>
        <w:rPr>
          <w:rFonts w:ascii="宋体" w:hAnsi="宋体" w:cs="宋体" w:eastAsia="宋体" w:hint="default"/>
        </w:rPr>
      </w:pPr>
      <w:r>
        <w:rPr>
          <w:spacing w:val="-1"/>
        </w:rPr>
        <w:t>入账价值，同时记录未担保余值；将最低租赁收款额、初始直接费用及未担保余值之和与其现值</w:t>
      </w:r>
      <w:r>
        <w:rPr>
          <w:spacing w:val="-55"/>
        </w:rPr>
        <w:t> </w:t>
      </w:r>
      <w:r>
        <w:rPr>
          <w:spacing w:val="-55"/>
        </w:rPr>
      </w:r>
      <w:r>
        <w:rPr>
          <w:spacing w:val="-1"/>
        </w:rPr>
        <w:t>之和的差额确认为未实现融资收益。应收融资租赁款扣除未实现融资收益后的余额分别长期债权</w:t>
      </w:r>
      <w:r>
        <w:rPr>
          <w:spacing w:val="-55"/>
        </w:rPr>
        <w:t> </w:t>
      </w:r>
      <w:r>
        <w:rPr>
          <w:spacing w:val="-55"/>
        </w:rPr>
      </w:r>
      <w:r>
        <w:rPr/>
        <w:t>和一年内到期的长期债权列示。</w:t>
      </w:r>
      <w:r>
        <w:rPr>
          <w:rFonts w:ascii="宋体" w:hAnsi="宋体" w:cs="宋体" w:eastAsia="宋体" w:hint="default"/>
        </w:rPr>
        <w:t> </w:t>
      </w:r>
    </w:p>
    <w:p>
      <w:pPr>
        <w:pStyle w:val="BodyText"/>
        <w:spacing w:line="278" w:lineRule="auto" w:before="13"/>
        <w:ind w:right="131" w:firstLine="420"/>
        <w:jc w:val="both"/>
        <w:rPr>
          <w:rFonts w:ascii="宋体" w:hAnsi="宋体" w:cs="宋体" w:eastAsia="宋体" w:hint="default"/>
        </w:rPr>
      </w:pPr>
      <w:r>
        <w:rPr>
          <w:spacing w:val="-2"/>
        </w:rPr>
        <w:t>未实现融资收益在租赁期内采用实际利率法计算确认当期的融资收入。或有租金于实际发生</w:t>
      </w:r>
      <w:r>
        <w:rPr>
          <w:w w:val="100"/>
        </w:rPr>
        <w:t> </w:t>
      </w:r>
      <w:r>
        <w:rPr/>
        <w:t>时计入当期损益。</w:t>
      </w:r>
      <w:r>
        <w:rPr>
          <w:rFonts w:ascii="宋体" w:hAnsi="宋体" w:cs="宋体" w:eastAsia="宋体" w:hint="default"/>
        </w:rPr>
        <w:t> </w:t>
      </w:r>
    </w:p>
    <w:p>
      <w:pPr>
        <w:pStyle w:val="Heading2"/>
        <w:spacing w:line="240" w:lineRule="auto" w:before="25"/>
        <w:ind w:left="136" w:right="0"/>
        <w:jc w:val="both"/>
        <w:rPr>
          <w:rFonts w:ascii="宋体" w:hAnsi="宋体" w:cs="宋体" w:eastAsia="宋体" w:hint="default"/>
          <w:b w:val="0"/>
          <w:bCs w:val="0"/>
        </w:rPr>
      </w:pPr>
      <w:r>
        <w:rPr>
          <w:rFonts w:ascii="宋体" w:hAnsi="宋体" w:cs="宋体" w:eastAsia="宋体" w:hint="default"/>
        </w:rPr>
        <w:t>(3).</w:t>
      </w:r>
      <w:r>
        <w:rPr/>
        <w:t>新租赁准则下租赁的确定方法及会计处理方法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left="136" w:right="0"/>
        <w:jc w:val="both"/>
        <w:rPr>
          <w:b w:val="0"/>
          <w:bCs w:val="0"/>
        </w:rPr>
      </w:pPr>
      <w:r>
        <w:rPr>
          <w:rFonts w:ascii="宋体" w:hAnsi="宋体" w:cs="宋体" w:eastAsia="宋体" w:hint="default"/>
        </w:rPr>
        <w:t>40. </w:t>
      </w:r>
      <w:r>
        <w:rPr/>
        <w:t>其他重要的会计政策和会计估计</w:t>
      </w:r>
      <w:r>
        <w:rPr>
          <w:b w:val="0"/>
          <w:bCs w:val="0"/>
        </w:rPr>
      </w:r>
    </w:p>
    <w:p>
      <w:pPr>
        <w:pStyle w:val="BodyText"/>
        <w:spacing w:line="276" w:lineRule="auto" w:before="58"/>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本公司在运用会计政策过程中，由于经营活动内在的不确定性，需要对无法准确计量的报表</w:t>
      </w:r>
    </w:p>
    <w:p>
      <w:pPr>
        <w:pStyle w:val="BodyText"/>
        <w:spacing w:line="278" w:lineRule="auto" w:before="15"/>
        <w:ind w:right="138"/>
        <w:jc w:val="both"/>
      </w:pPr>
      <w:r>
        <w:rPr>
          <w:spacing w:val="-2"/>
        </w:rPr>
        <w:t>项目的账面价值进行判断、估计和假设。这些判断、估计和假设是基于本公司管理层过去的历史</w:t>
      </w:r>
      <w:r>
        <w:rPr>
          <w:spacing w:val="-25"/>
        </w:rPr>
        <w:t> </w:t>
      </w:r>
      <w:r>
        <w:rPr>
          <w:spacing w:val="-25"/>
        </w:rPr>
      </w:r>
      <w:r>
        <w:rPr>
          <w:spacing w:val="-2"/>
        </w:rPr>
        <w:t>经验，并在考虑其他相关因素的基础上做出的。这些判断、估计和假设会影响收入、费用、资产</w:t>
      </w:r>
      <w:r>
        <w:rPr>
          <w:spacing w:val="-25"/>
        </w:rPr>
        <w:t> </w:t>
      </w:r>
      <w:r>
        <w:rPr>
          <w:spacing w:val="-25"/>
        </w:rPr>
      </w:r>
      <w:r>
        <w:rPr>
          <w:spacing w:val="-2"/>
        </w:rPr>
        <w:t>和负债的报告金额以及资产负债表日或有负债的披露。然而，这些估计的不确定性所导致的实际</w:t>
      </w:r>
      <w:r>
        <w:rPr>
          <w:spacing w:val="-24"/>
        </w:rPr>
        <w:t> </w:t>
      </w:r>
      <w:r>
        <w:rPr>
          <w:spacing w:val="-24"/>
        </w:rPr>
      </w:r>
      <w:r>
        <w:rPr>
          <w:spacing w:val="-2"/>
        </w:rPr>
        <w:t>结果可能与本公司管理层当前的估计存在差异，进而造成对未来受影响的资产或负债的账面金额</w:t>
      </w:r>
      <w:r>
        <w:rPr>
          <w:spacing w:val="-26"/>
        </w:rPr>
        <w:t> </w:t>
      </w:r>
      <w:r>
        <w:rPr>
          <w:spacing w:val="-26"/>
        </w:rPr>
      </w:r>
      <w:r>
        <w:rPr/>
        <w:t>进行重大调整。</w:t>
      </w:r>
    </w:p>
    <w:p>
      <w:pPr>
        <w:pStyle w:val="BodyText"/>
        <w:spacing w:line="280" w:lineRule="auto" w:before="10"/>
        <w:ind w:right="138" w:firstLine="420"/>
        <w:jc w:val="both"/>
      </w:pPr>
      <w:r>
        <w:rPr>
          <w:spacing w:val="-2"/>
        </w:rPr>
        <w:t>本公司对前述判断、估计和假设在持续经营的基础上进行定期复核，会计估计的变更仅影响</w:t>
      </w:r>
      <w:r>
        <w:rPr>
          <w:w w:val="100"/>
        </w:rPr>
        <w:t> </w:t>
      </w:r>
      <w:r>
        <w:rPr>
          <w:spacing w:val="-2"/>
        </w:rPr>
        <w:t>变更当期的，其影响数在变更当期予以确认；既影响变更当期又影响未来期间的，其影响数在变</w:t>
      </w:r>
      <w:r>
        <w:rPr>
          <w:spacing w:val="-25"/>
        </w:rPr>
        <w:t> </w:t>
      </w:r>
      <w:r>
        <w:rPr>
          <w:spacing w:val="-25"/>
        </w:rPr>
      </w:r>
      <w:r>
        <w:rPr/>
        <w:t>更当期和未来期间予以确认。</w:t>
      </w:r>
    </w:p>
    <w:p>
      <w:pPr>
        <w:pStyle w:val="BodyText"/>
        <w:spacing w:line="240" w:lineRule="auto" w:before="8"/>
        <w:ind w:left="557" w:right="0"/>
        <w:jc w:val="left"/>
      </w:pPr>
      <w:r>
        <w:rPr/>
        <w:t>于资产负债表日，本公司需对财务报表项目金额进行判断、估计和假设的重要领域如下：</w:t>
      </w:r>
    </w:p>
    <w:p>
      <w:pPr>
        <w:spacing w:line="264" w:lineRule="auto" w:before="46"/>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1</w:t>
      </w:r>
      <w:r>
        <w:rPr>
          <w:rFonts w:ascii="宋体" w:hAnsi="宋体" w:cs="宋体" w:eastAsia="宋体" w:hint="default"/>
          <w:b/>
          <w:bCs/>
          <w:sz w:val="21"/>
          <w:szCs w:val="21"/>
        </w:rPr>
        <w:t>）收入确认</w:t>
      </w:r>
      <w:r>
        <w:rPr>
          <w:rFonts w:ascii="Arial" w:hAnsi="Arial" w:cs="Arial" w:eastAsia="Arial" w:hint="default"/>
          <w:b/>
          <w:bCs/>
          <w:sz w:val="21"/>
          <w:szCs w:val="21"/>
        </w:rPr>
        <w:t>——</w:t>
      </w:r>
      <w:r>
        <w:rPr>
          <w:rFonts w:ascii="宋体" w:hAnsi="宋体" w:cs="宋体" w:eastAsia="宋体" w:hint="default"/>
          <w:b/>
          <w:bCs/>
          <w:sz w:val="21"/>
          <w:szCs w:val="21"/>
        </w:rPr>
        <w:t>建造合同</w:t>
      </w:r>
      <w:r>
        <w:rPr>
          <w:rFonts w:ascii="宋体" w:hAnsi="宋体" w:cs="宋体" w:eastAsia="宋体" w:hint="default"/>
          <w:b/>
          <w:bCs/>
          <w:w w:val="100"/>
          <w:sz w:val="21"/>
          <w:szCs w:val="21"/>
        </w:rPr>
        <w:t> </w:t>
      </w:r>
      <w:r>
        <w:rPr>
          <w:rFonts w:ascii="宋体" w:hAnsi="宋体" w:cs="宋体" w:eastAsia="宋体" w:hint="default"/>
          <w:spacing w:val="-2"/>
          <w:sz w:val="21"/>
          <w:szCs w:val="21"/>
        </w:rPr>
        <w:t>在建造合同结果可以可靠估计时，本集团采用完工百分比法在资产负债表日确认合同收入。</w:t>
      </w:r>
    </w:p>
    <w:p>
      <w:pPr>
        <w:pStyle w:val="BodyText"/>
        <w:spacing w:line="266" w:lineRule="auto" w:before="23"/>
        <w:ind w:right="130"/>
        <w:jc w:val="both"/>
      </w:pPr>
      <w:r>
        <w:rPr>
          <w:spacing w:val="-2"/>
        </w:rPr>
        <w:t>合同的完工百分比是依照本附注五、</w:t>
      </w:r>
      <w:r>
        <w:rPr>
          <w:rFonts w:ascii="Arial" w:hAnsi="Arial" w:cs="Arial" w:eastAsia="Arial" w:hint="default"/>
          <w:spacing w:val="-2"/>
        </w:rPr>
        <w:t>36</w:t>
      </w:r>
      <w:r>
        <w:rPr>
          <w:spacing w:val="-2"/>
        </w:rPr>
        <w:t>、“收入”所述方法进行确认的，在执行各该建造合同的</w:t>
      </w:r>
      <w:r>
        <w:rPr>
          <w:spacing w:val="-37"/>
        </w:rPr>
        <w:t> </w:t>
      </w:r>
      <w:r>
        <w:rPr>
          <w:spacing w:val="-37"/>
        </w:rPr>
      </w:r>
      <w:r>
        <w:rPr/>
        <w:t>各会计年度内累积计算。</w:t>
      </w:r>
    </w:p>
    <w:p>
      <w:pPr>
        <w:pStyle w:val="BodyText"/>
        <w:spacing w:line="278" w:lineRule="auto" w:before="21"/>
        <w:ind w:right="129" w:firstLine="420"/>
        <w:jc w:val="both"/>
      </w:pPr>
      <w:r>
        <w:rPr>
          <w:spacing w:val="-2"/>
        </w:rPr>
        <w:t>在确定完工百分比、已发生的合同成本、预计合同总收入和总成本，以及合同可回收性时，</w:t>
      </w:r>
      <w:r>
        <w:rPr>
          <w:w w:val="100"/>
        </w:rPr>
        <w:t> </w:t>
      </w:r>
      <w:r>
        <w:rPr>
          <w:spacing w:val="-6"/>
          <w:w w:val="100"/>
        </w:rPr>
        <w:t>需要作出重大判断。项目管理层主要依靠过去的经验和工作作出判断。预计合同总收入和总成本，</w:t>
      </w:r>
      <w:r>
        <w:rPr>
          <w:w w:val="100"/>
        </w:rPr>
        <w:t> </w:t>
      </w:r>
      <w:r>
        <w:rPr>
          <w:spacing w:val="-2"/>
        </w:rPr>
        <w:t>以及合同执行结果的估计变更都可能对变更当期或以后期间的营业收入、营业成本，以及期间损</w:t>
      </w:r>
      <w:r>
        <w:rPr>
          <w:spacing w:val="-25"/>
        </w:rPr>
        <w:t> </w:t>
      </w:r>
      <w:r>
        <w:rPr>
          <w:spacing w:val="-25"/>
        </w:rPr>
      </w:r>
      <w:r>
        <w:rPr/>
        <w:t>益产生影响，且可能构成重大影响。</w:t>
      </w:r>
    </w:p>
    <w:p>
      <w:pPr>
        <w:spacing w:after="0" w:line="278" w:lineRule="auto"/>
        <w:jc w:val="both"/>
        <w:sectPr>
          <w:footerReference w:type="default" r:id="rId53"/>
          <w:pgSz w:w="11910" w:h="16840"/>
          <w:pgMar w:footer="1195" w:header="826" w:top="1300" w:bottom="1380" w:left="1140" w:right="1660"/>
        </w:sectPr>
      </w:pPr>
    </w:p>
    <w:p>
      <w:pPr>
        <w:spacing w:line="240" w:lineRule="auto" w:before="5"/>
        <w:rPr>
          <w:rFonts w:ascii="宋体" w:hAnsi="宋体" w:cs="宋体" w:eastAsia="宋体" w:hint="default"/>
          <w:sz w:val="8"/>
          <w:szCs w:val="8"/>
        </w:rPr>
      </w:pPr>
    </w:p>
    <w:p>
      <w:pPr>
        <w:pStyle w:val="Heading2"/>
        <w:spacing w:line="240" w:lineRule="auto" w:before="36"/>
        <w:ind w:left="559" w:right="0"/>
        <w:jc w:val="left"/>
        <w:rPr>
          <w:b w:val="0"/>
          <w:bCs w:val="0"/>
        </w:rPr>
      </w:pPr>
      <w:r>
        <w:rPr/>
        <w:t>（</w:t>
      </w:r>
      <w:r>
        <w:rPr>
          <w:rFonts w:ascii="Arial" w:hAnsi="Arial" w:cs="Arial" w:eastAsia="Arial" w:hint="default"/>
        </w:rPr>
        <w:t>2</w:t>
      </w:r>
      <w:r>
        <w:rPr/>
        <w:t>）租赁的归类</w:t>
      </w:r>
      <w:r>
        <w:rPr>
          <w:b w:val="0"/>
          <w:bCs w:val="0"/>
        </w:rPr>
      </w:r>
    </w:p>
    <w:p>
      <w:pPr>
        <w:pStyle w:val="BodyText"/>
        <w:spacing w:line="273" w:lineRule="auto" w:before="30"/>
        <w:ind w:right="129" w:firstLine="420"/>
        <w:jc w:val="both"/>
      </w:pPr>
      <w:r>
        <w:rPr>
          <w:spacing w:val="-5"/>
        </w:rPr>
        <w:t>本集团根据《企业会计准则第 </w:t>
      </w:r>
      <w:r>
        <w:rPr>
          <w:rFonts w:ascii="Arial" w:hAnsi="Arial" w:cs="Arial" w:eastAsia="Arial" w:hint="default"/>
        </w:rPr>
        <w:t>21</w:t>
      </w:r>
      <w:r>
        <w:rPr>
          <w:rFonts w:ascii="Arial" w:hAnsi="Arial" w:cs="Arial" w:eastAsia="Arial" w:hint="default"/>
          <w:spacing w:val="7"/>
        </w:rPr>
        <w:t> </w:t>
      </w:r>
      <w:r>
        <w:rPr>
          <w:spacing w:val="-5"/>
        </w:rPr>
        <w:t>号</w:t>
      </w:r>
      <w:r>
        <w:rPr>
          <w:rFonts w:ascii="Arial" w:hAnsi="Arial" w:cs="Arial" w:eastAsia="Arial" w:hint="default"/>
          <w:spacing w:val="-5"/>
        </w:rPr>
        <w:t>——</w:t>
      </w:r>
      <w:r>
        <w:rPr>
          <w:spacing w:val="-5"/>
        </w:rPr>
        <w:t>租赁》的规定，将租赁归类为经营租赁和融资租赁，</w:t>
      </w:r>
      <w:r>
        <w:rPr>
          <w:w w:val="100"/>
        </w:rPr>
        <w:t> </w:t>
      </w:r>
      <w:r>
        <w:rPr>
          <w:spacing w:val="-2"/>
        </w:rPr>
        <w:t>在进行归类时，管理层需要对是否已将与租出资产所有权有关的全部风险和报酬实质上转移给承</w:t>
      </w:r>
      <w:r>
        <w:rPr>
          <w:spacing w:val="-25"/>
        </w:rPr>
        <w:t> </w:t>
      </w:r>
      <w:r>
        <w:rPr>
          <w:spacing w:val="-25"/>
        </w:rPr>
      </w:r>
      <w:r>
        <w:rPr>
          <w:spacing w:val="-2"/>
        </w:rPr>
        <w:t>租人，或者本公司是否已经实质上承担与租入资产所有权有关的全部风险和报酬，作出分析和判</w:t>
      </w:r>
      <w:r>
        <w:rPr>
          <w:spacing w:val="-25"/>
        </w:rPr>
        <w:t> </w:t>
      </w:r>
      <w:r>
        <w:rPr>
          <w:spacing w:val="-25"/>
        </w:rPr>
      </w:r>
      <w:r>
        <w:rPr/>
        <w:t>断。</w:t>
      </w:r>
    </w:p>
    <w:p>
      <w:pPr>
        <w:pStyle w:val="BodyText"/>
        <w:spacing w:line="264" w:lineRule="auto" w:before="17"/>
        <w:ind w:left="557" w:right="0" w:firstLine="2"/>
        <w:jc w:val="left"/>
      </w:pPr>
      <w:r>
        <w:rPr>
          <w:rFonts w:ascii="宋体" w:hAnsi="宋体" w:cs="宋体" w:eastAsia="宋体" w:hint="default"/>
          <w:b/>
          <w:bCs/>
        </w:rPr>
        <w:t>（</w:t>
      </w:r>
      <w:r>
        <w:rPr>
          <w:rFonts w:ascii="Arial" w:hAnsi="Arial" w:cs="Arial" w:eastAsia="Arial" w:hint="default"/>
          <w:b/>
          <w:bCs/>
        </w:rPr>
        <w:t>3</w:t>
      </w:r>
      <w:r>
        <w:rPr>
          <w:rFonts w:ascii="宋体" w:hAnsi="宋体" w:cs="宋体" w:eastAsia="宋体" w:hint="default"/>
          <w:b/>
          <w:bCs/>
        </w:rPr>
        <w:t>）金融资产减值</w:t>
      </w:r>
      <w:r>
        <w:rPr>
          <w:rFonts w:ascii="宋体" w:hAnsi="宋体" w:cs="宋体" w:eastAsia="宋体" w:hint="default"/>
          <w:b/>
          <w:bCs/>
          <w:w w:val="100"/>
        </w:rPr>
        <w:t> </w:t>
      </w:r>
      <w:r>
        <w:rPr>
          <w:spacing w:val="-2"/>
        </w:rPr>
        <w:t>本集团采用预期信用损失模型对金融工具的减值进行评估，应用预期信用损失模型需要做出</w:t>
      </w:r>
    </w:p>
    <w:p>
      <w:pPr>
        <w:pStyle w:val="BodyText"/>
        <w:spacing w:line="280" w:lineRule="auto" w:before="23"/>
        <w:ind w:right="129"/>
        <w:jc w:val="both"/>
      </w:pPr>
      <w:r>
        <w:rPr>
          <w:spacing w:val="-6"/>
        </w:rPr>
        <w:t>重大判断和估计，需考虑所有合理且有依据的信息，包括前瞻性信息。在做出该等判断和估计时，</w:t>
      </w:r>
      <w:r>
        <w:rPr>
          <w:spacing w:val="-54"/>
        </w:rPr>
        <w:t> </w:t>
      </w:r>
      <w:r>
        <w:rPr>
          <w:spacing w:val="-54"/>
        </w:rPr>
      </w:r>
      <w:r>
        <w:rPr>
          <w:spacing w:val="-2"/>
        </w:rPr>
        <w:t>本集团根据历史数据结合经济政策、宏观经济指标、行业风险、外部市场环境、技术环境、客户</w:t>
      </w:r>
      <w:r>
        <w:rPr>
          <w:spacing w:val="-25"/>
        </w:rPr>
        <w:t> </w:t>
      </w:r>
      <w:r>
        <w:rPr>
          <w:spacing w:val="-25"/>
        </w:rPr>
      </w:r>
      <w:r>
        <w:rPr/>
        <w:t>情况的变化等因素推断债务人信用风险的预期变动。</w:t>
      </w:r>
    </w:p>
    <w:p>
      <w:pPr>
        <w:pStyle w:val="BodyText"/>
        <w:spacing w:line="266" w:lineRule="auto" w:before="8"/>
        <w:ind w:left="557" w:right="0" w:firstLine="2"/>
        <w:jc w:val="left"/>
      </w:pPr>
      <w:r>
        <w:rPr>
          <w:rFonts w:ascii="宋体" w:hAnsi="宋体" w:cs="宋体" w:eastAsia="宋体" w:hint="default"/>
          <w:b/>
          <w:bCs/>
        </w:rPr>
        <w:t>（</w:t>
      </w:r>
      <w:r>
        <w:rPr>
          <w:rFonts w:ascii="Arial" w:hAnsi="Arial" w:cs="Arial" w:eastAsia="Arial" w:hint="default"/>
          <w:b/>
          <w:bCs/>
        </w:rPr>
        <w:t>4</w:t>
      </w:r>
      <w:r>
        <w:rPr>
          <w:rFonts w:ascii="宋体" w:hAnsi="宋体" w:cs="宋体" w:eastAsia="宋体" w:hint="default"/>
          <w:b/>
          <w:bCs/>
        </w:rPr>
        <w:t>）存货跌价准备</w:t>
      </w:r>
      <w:r>
        <w:rPr>
          <w:rFonts w:ascii="宋体" w:hAnsi="宋体" w:cs="宋体" w:eastAsia="宋体" w:hint="default"/>
          <w:b/>
          <w:bCs/>
          <w:w w:val="100"/>
        </w:rPr>
        <w:t> </w:t>
      </w:r>
      <w:r>
        <w:rPr>
          <w:spacing w:val="-2"/>
        </w:rPr>
        <w:t>本集团根据存货会计政策，按照成本与可变现净值孰低计量，对成本高于可变现净值及陈旧</w:t>
      </w:r>
    </w:p>
    <w:p>
      <w:pPr>
        <w:pStyle w:val="BodyText"/>
        <w:spacing w:line="278" w:lineRule="auto" w:before="22"/>
        <w:ind w:right="138"/>
        <w:jc w:val="both"/>
      </w:pPr>
      <w:r>
        <w:rPr>
          <w:spacing w:val="-2"/>
        </w:rPr>
        <w:t>和滞销的存货，计提存货跌价准备。存货减值至可变现净值是基于评估存货的可售性及其可变现</w:t>
      </w:r>
      <w:r>
        <w:rPr>
          <w:spacing w:val="-25"/>
        </w:rPr>
        <w:t> </w:t>
      </w:r>
      <w:r>
        <w:rPr>
          <w:spacing w:val="-25"/>
        </w:rPr>
      </w:r>
      <w:r>
        <w:rPr>
          <w:spacing w:val="-2"/>
        </w:rPr>
        <w:t>净值。鉴定存货减值要求管理层在取得确凿证据，并且考虑持有存货的目的、资产负债表日后事</w:t>
      </w:r>
      <w:r>
        <w:rPr>
          <w:spacing w:val="-25"/>
        </w:rPr>
        <w:t> </w:t>
      </w:r>
      <w:r>
        <w:rPr>
          <w:spacing w:val="-25"/>
        </w:rPr>
      </w:r>
      <w:r>
        <w:rPr>
          <w:spacing w:val="-2"/>
        </w:rPr>
        <w:t>项的影响等因素的基础上作出判断和估计。实际的结果与原先估计的差异将在估计被改变的期间</w:t>
      </w:r>
      <w:r>
        <w:rPr>
          <w:spacing w:val="-25"/>
        </w:rPr>
        <w:t> </w:t>
      </w:r>
      <w:r>
        <w:rPr>
          <w:spacing w:val="-25"/>
        </w:rPr>
      </w:r>
      <w:r>
        <w:rPr/>
        <w:t>影响存货的账面价值及存货跌价准备的计提或转回。</w:t>
      </w:r>
    </w:p>
    <w:p>
      <w:pPr>
        <w:spacing w:line="266" w:lineRule="auto" w:before="10"/>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5</w:t>
      </w:r>
      <w:r>
        <w:rPr>
          <w:rFonts w:ascii="宋体" w:hAnsi="宋体" w:cs="宋体" w:eastAsia="宋体" w:hint="default"/>
          <w:b/>
          <w:bCs/>
          <w:sz w:val="21"/>
          <w:szCs w:val="21"/>
        </w:rPr>
        <w:t>）金融工具公允价值</w:t>
      </w:r>
      <w:r>
        <w:rPr>
          <w:rFonts w:ascii="宋体" w:hAnsi="宋体" w:cs="宋体" w:eastAsia="宋体" w:hint="default"/>
          <w:b/>
          <w:bCs/>
          <w:w w:val="100"/>
          <w:sz w:val="21"/>
          <w:szCs w:val="21"/>
        </w:rPr>
        <w:t> </w:t>
      </w:r>
      <w:r>
        <w:rPr>
          <w:rFonts w:ascii="宋体" w:hAnsi="宋体" w:cs="宋体" w:eastAsia="宋体" w:hint="default"/>
          <w:spacing w:val="-2"/>
          <w:sz w:val="21"/>
          <w:szCs w:val="21"/>
        </w:rPr>
        <w:t>对不存在活跃交易市场的金融工具，本集团通过各种估值方法确定其公允价值。这些估值方</w:t>
      </w:r>
    </w:p>
    <w:p>
      <w:pPr>
        <w:pStyle w:val="BodyText"/>
        <w:spacing w:line="278" w:lineRule="auto" w:before="21"/>
        <w:ind w:right="139"/>
        <w:jc w:val="both"/>
      </w:pPr>
      <w:r>
        <w:rPr>
          <w:spacing w:val="-2"/>
        </w:rPr>
        <w:t>法包括贴现现金流模型分析等。估值时本集团需对未来现金流量、信用风险、市场波动率和相关</w:t>
      </w:r>
      <w:r>
        <w:rPr>
          <w:spacing w:val="-25"/>
        </w:rPr>
        <w:t> </w:t>
      </w:r>
      <w:r>
        <w:rPr>
          <w:spacing w:val="-25"/>
        </w:rPr>
      </w:r>
      <w:r>
        <w:rPr>
          <w:spacing w:val="-2"/>
        </w:rPr>
        <w:t>性等方面进行估计，并选择适当的折现率。这些相关假设具有不确定性，其变化会对金融工具的</w:t>
      </w:r>
      <w:r>
        <w:rPr>
          <w:spacing w:val="-25"/>
        </w:rPr>
        <w:t> </w:t>
      </w:r>
      <w:r>
        <w:rPr>
          <w:spacing w:val="-25"/>
        </w:rPr>
      </w:r>
      <w:r>
        <w:rPr>
          <w:spacing w:val="-2"/>
        </w:rPr>
        <w:t>公允价值产生影响。权益工具投资或合同有公开报价的，本集团不将成本作为其公允价值的最佳</w:t>
      </w:r>
      <w:r>
        <w:rPr>
          <w:spacing w:val="-25"/>
        </w:rPr>
        <w:t> </w:t>
      </w:r>
      <w:r>
        <w:rPr>
          <w:spacing w:val="-25"/>
        </w:rPr>
      </w:r>
      <w:r>
        <w:rPr/>
        <w:t>估计。</w:t>
      </w:r>
    </w:p>
    <w:p>
      <w:pPr>
        <w:spacing w:line="266" w:lineRule="auto" w:before="10"/>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6</w:t>
      </w:r>
      <w:r>
        <w:rPr>
          <w:rFonts w:ascii="宋体" w:hAnsi="宋体" w:cs="宋体" w:eastAsia="宋体" w:hint="default"/>
          <w:b/>
          <w:bCs/>
          <w:sz w:val="21"/>
          <w:szCs w:val="21"/>
        </w:rPr>
        <w:t>）长期资产减值准备</w:t>
      </w:r>
      <w:r>
        <w:rPr>
          <w:rFonts w:ascii="宋体" w:hAnsi="宋体" w:cs="宋体" w:eastAsia="宋体" w:hint="default"/>
          <w:b/>
          <w:bCs/>
          <w:w w:val="100"/>
          <w:sz w:val="21"/>
          <w:szCs w:val="21"/>
        </w:rPr>
        <w:t> </w:t>
      </w:r>
      <w:r>
        <w:rPr>
          <w:rFonts w:ascii="宋体" w:hAnsi="宋体" w:cs="宋体" w:eastAsia="宋体" w:hint="default"/>
          <w:spacing w:val="-2"/>
          <w:sz w:val="21"/>
          <w:szCs w:val="21"/>
        </w:rPr>
        <w:t>本集团于资产负债表日对除金融资产之外的非流动资产判断是否存在可能发生减值的迹象。</w:t>
      </w:r>
    </w:p>
    <w:p>
      <w:pPr>
        <w:pStyle w:val="BodyText"/>
        <w:spacing w:line="280" w:lineRule="auto" w:before="21"/>
        <w:ind w:left="0" w:right="131"/>
        <w:jc w:val="right"/>
      </w:pPr>
      <w:r>
        <w:rPr>
          <w:spacing w:val="-2"/>
        </w:rPr>
        <w:t>对使用寿命不确定的无形资产，除每年进行的减值测试外，当其存在减值迹象时，也进行减值测</w:t>
      </w:r>
      <w:r>
        <w:rPr>
          <w:spacing w:val="-51"/>
        </w:rPr>
        <w:t> </w:t>
      </w:r>
      <w:r>
        <w:rPr>
          <w:spacing w:val="-51"/>
        </w:rPr>
      </w:r>
      <w:r>
        <w:rPr>
          <w:spacing w:val="-7"/>
        </w:rPr>
        <w:t>试。其他除金融资产之外的非流动资产，当存在迹象表明其账面金额不可收回时，进行减值测试。</w:t>
      </w:r>
      <w:r>
        <w:rPr>
          <w:spacing w:val="-36"/>
        </w:rPr>
        <w:t> </w:t>
      </w:r>
      <w:r>
        <w:rPr>
          <w:spacing w:val="-36"/>
        </w:rPr>
      </w:r>
      <w:r>
        <w:rPr>
          <w:spacing w:val="-2"/>
        </w:rPr>
        <w:t>当资产或资产组的账面价值高于可收回金额，即公允价值减去处置费用后的净额和预计未来</w:t>
      </w:r>
    </w:p>
    <w:p>
      <w:pPr>
        <w:pStyle w:val="BodyText"/>
        <w:spacing w:line="278" w:lineRule="auto" w:before="8"/>
        <w:ind w:left="557" w:right="0" w:hanging="421"/>
        <w:jc w:val="left"/>
      </w:pPr>
      <w:r>
        <w:rPr/>
        <w:t>现金流量的现值中的较高者，表明发生了减值。</w:t>
      </w:r>
      <w:r>
        <w:rPr>
          <w:w w:val="100"/>
        </w:rPr>
        <w:t> </w:t>
      </w:r>
      <w:r>
        <w:rPr>
          <w:spacing w:val="-2"/>
        </w:rPr>
        <w:t>公允价值减去处置费用后的净额，参考公平交易中类似资产的销售协议价格或可观察到的市</w:t>
      </w:r>
    </w:p>
    <w:p>
      <w:pPr>
        <w:pStyle w:val="BodyText"/>
        <w:spacing w:line="278" w:lineRule="auto" w:before="13"/>
        <w:ind w:left="557" w:right="0" w:hanging="421"/>
        <w:jc w:val="left"/>
      </w:pPr>
      <w:r>
        <w:rPr/>
        <w:t>场价格，减去可直接归属于该资产处置的增量成本确定。</w:t>
      </w:r>
      <w:r>
        <w:rPr>
          <w:w w:val="100"/>
        </w:rPr>
        <w:t> </w:t>
      </w:r>
      <w:r>
        <w:rPr>
          <w:spacing w:val="-2"/>
        </w:rPr>
        <w:t>在预计未来现金流量现值时，需要对该资产（或资产组）的产量、售价、相关经营成本以及</w:t>
      </w:r>
    </w:p>
    <w:p>
      <w:pPr>
        <w:pStyle w:val="BodyText"/>
        <w:spacing w:line="280" w:lineRule="auto" w:before="10"/>
        <w:ind w:right="139"/>
        <w:jc w:val="both"/>
      </w:pPr>
      <w:r>
        <w:rPr>
          <w:spacing w:val="-2"/>
        </w:rPr>
        <w:t>计算现值时使用的折现率等作出重大判断。本公司在估计可收回金额时会采用所有能够获得的相</w:t>
      </w:r>
      <w:r>
        <w:rPr>
          <w:spacing w:val="-25"/>
        </w:rPr>
        <w:t> </w:t>
      </w:r>
      <w:r>
        <w:rPr>
          <w:spacing w:val="-25"/>
        </w:rPr>
      </w:r>
      <w:r>
        <w:rPr/>
        <w:t>关资料，包括根据合理和可支持的假设所作出有关产量、售价和相关经营成本的预测。</w:t>
      </w:r>
    </w:p>
    <w:p>
      <w:pPr>
        <w:pStyle w:val="BodyText"/>
        <w:spacing w:line="280" w:lineRule="auto" w:before="9"/>
        <w:ind w:right="138" w:firstLine="420"/>
        <w:jc w:val="both"/>
      </w:pPr>
      <w:r>
        <w:rPr>
          <w:spacing w:val="-2"/>
        </w:rPr>
        <w:t>本集团至少每年测试商誉是否发生减值。这要求对分配了商誉的资产组或者资产组组合的未</w:t>
      </w:r>
      <w:r>
        <w:rPr>
          <w:w w:val="100"/>
        </w:rPr>
        <w:t> </w:t>
      </w:r>
      <w:r>
        <w:rPr>
          <w:spacing w:val="-2"/>
        </w:rPr>
        <w:t>来现金流量的现值进行预计。对未来现金流量的现值进行预计时，本公司需要预计未来资产组或</w:t>
      </w:r>
      <w:r>
        <w:rPr>
          <w:spacing w:val="-25"/>
        </w:rPr>
        <w:t> </w:t>
      </w:r>
      <w:r>
        <w:rPr>
          <w:spacing w:val="-25"/>
        </w:rPr>
      </w:r>
      <w:r>
        <w:rPr/>
        <w:t>者资产组组合产生的现金流量，同时选择恰当的折现率确定未来现金流量的现值。</w:t>
      </w:r>
    </w:p>
    <w:p>
      <w:pPr>
        <w:pStyle w:val="BodyText"/>
        <w:spacing w:line="264" w:lineRule="auto" w:before="8"/>
        <w:ind w:left="557" w:right="0" w:firstLine="2"/>
        <w:jc w:val="left"/>
      </w:pPr>
      <w:r>
        <w:rPr>
          <w:rFonts w:ascii="宋体" w:hAnsi="宋体" w:cs="宋体" w:eastAsia="宋体" w:hint="default"/>
          <w:b/>
          <w:bCs/>
        </w:rPr>
        <w:t>（</w:t>
      </w:r>
      <w:r>
        <w:rPr>
          <w:rFonts w:ascii="Arial" w:hAnsi="Arial" w:cs="Arial" w:eastAsia="Arial" w:hint="default"/>
          <w:b/>
          <w:bCs/>
        </w:rPr>
        <w:t>7</w:t>
      </w:r>
      <w:r>
        <w:rPr>
          <w:rFonts w:ascii="宋体" w:hAnsi="宋体" w:cs="宋体" w:eastAsia="宋体" w:hint="default"/>
          <w:b/>
          <w:bCs/>
        </w:rPr>
        <w:t>）折旧和摊销</w:t>
      </w:r>
      <w:r>
        <w:rPr>
          <w:rFonts w:ascii="宋体" w:hAnsi="宋体" w:cs="宋体" w:eastAsia="宋体" w:hint="default"/>
          <w:b/>
          <w:bCs/>
          <w:w w:val="100"/>
        </w:rPr>
        <w:t> </w:t>
      </w:r>
      <w:r>
        <w:rPr>
          <w:spacing w:val="-2"/>
        </w:rPr>
        <w:t>本集团对投资性房地产、固定资产和无形资产在考虑其残值后，在使用寿命内按直线法计提</w:t>
      </w:r>
    </w:p>
    <w:p>
      <w:pPr>
        <w:pStyle w:val="BodyText"/>
        <w:spacing w:line="278" w:lineRule="auto" w:before="25"/>
        <w:ind w:right="139"/>
        <w:jc w:val="both"/>
      </w:pPr>
      <w:r>
        <w:rPr>
          <w:spacing w:val="-2"/>
        </w:rPr>
        <w:t>折旧和摊销。本公司定期复核使用寿命，以决定将计入每个报告期的折旧和摊销费用数额。使用</w:t>
      </w:r>
      <w:r>
        <w:rPr>
          <w:spacing w:val="-25"/>
        </w:rPr>
        <w:t> </w:t>
      </w:r>
      <w:r>
        <w:rPr>
          <w:spacing w:val="-25"/>
        </w:rPr>
      </w:r>
      <w:r>
        <w:rPr>
          <w:spacing w:val="-2"/>
        </w:rPr>
        <w:t>寿命是本公司根据对同类资产的以往经验并结合预期的技术更新而确定的。如果以前的估计发生</w:t>
      </w:r>
      <w:r>
        <w:rPr>
          <w:spacing w:val="-25"/>
        </w:rPr>
        <w:t> </w:t>
      </w:r>
      <w:r>
        <w:rPr>
          <w:spacing w:val="-25"/>
        </w:rPr>
      </w:r>
      <w:r>
        <w:rPr/>
        <w:t>重大变化，则会在未来期间对折旧和摊销费用进行调整。</w:t>
      </w:r>
    </w:p>
    <w:p>
      <w:pPr>
        <w:pStyle w:val="Heading2"/>
        <w:spacing w:line="240" w:lineRule="auto" w:before="13"/>
        <w:ind w:left="559" w:right="0"/>
        <w:jc w:val="left"/>
        <w:rPr>
          <w:b w:val="0"/>
          <w:bCs w:val="0"/>
        </w:rPr>
      </w:pPr>
      <w:r>
        <w:rPr/>
        <w:t>（</w:t>
      </w:r>
      <w:r>
        <w:rPr>
          <w:rFonts w:ascii="Arial" w:hAnsi="Arial" w:cs="Arial" w:eastAsia="Arial" w:hint="default"/>
        </w:rPr>
        <w:t>8</w:t>
      </w:r>
      <w:r>
        <w:rPr/>
        <w:t>）开发支出</w:t>
      </w:r>
      <w:r>
        <w:rPr>
          <w:b w:val="0"/>
          <w:bCs w:val="0"/>
        </w:rPr>
      </w:r>
    </w:p>
    <w:p>
      <w:pPr>
        <w:spacing w:after="0" w:line="240" w:lineRule="auto"/>
        <w:jc w:val="left"/>
        <w:sectPr>
          <w:footerReference w:type="default" r:id="rId54"/>
          <w:pgSz w:w="11910" w:h="16840"/>
          <w:pgMar w:footer="1195" w:header="826" w:top="1300" w:bottom="1380" w:left="1140" w:right="1660"/>
          <w:pgNumType w:start="101"/>
        </w:sectPr>
      </w:pPr>
    </w:p>
    <w:p>
      <w:pPr>
        <w:spacing w:line="240" w:lineRule="auto" w:before="5"/>
        <w:rPr>
          <w:rFonts w:ascii="宋体" w:hAnsi="宋体" w:cs="宋体" w:eastAsia="宋体" w:hint="default"/>
          <w:b/>
          <w:bCs/>
          <w:sz w:val="8"/>
          <w:szCs w:val="8"/>
        </w:rPr>
      </w:pPr>
      <w:r>
        <w:rPr/>
        <w:pict>
          <v:group style="position:absolute;margin-left:61.920021pt;margin-top:727.059998pt;width:445.55pt;height:37pt;mso-position-horizontal-relative:page;mso-position-vertical-relative:page;z-index:-941824" coordorigin="1238,14541" coordsize="8911,740">
            <v:group style="position:absolute;left:5960;top:14812;width:3133;height:408" coordorigin="5960,14812" coordsize="3133,408">
              <v:shape style="position:absolute;left:5960;top:14812;width:3133;height:408" coordorigin="5960,14812" coordsize="3133,408" path="m5960,15220l9093,15220,9093,14812,5960,14812,5960,15220xe" filled="true" fillcolor="#ffffff" stroked="false">
                <v:path arrowok="t"/>
                <v:fill type="solid"/>
              </v:shape>
            </v:group>
            <v:group style="position:absolute;left:5984;top:14541;width:3085;height:272" coordorigin="5984,14541" coordsize="3085,272">
              <v:shape style="position:absolute;left:5984;top:14541;width:3085;height:272" coordorigin="5984,14541" coordsize="3085,272" path="m5984,14812l9069,14812,9069,14541,5984,14541,5984,14812xe" filled="true" fillcolor="#ffffff" stroked="false">
                <v:path arrowok="t"/>
                <v:fill type="solid"/>
              </v:shape>
            </v:group>
            <v:group style="position:absolute;left:1248;top:15271;width:4705;height:2" coordorigin="1248,15271" coordsize="4705,2">
              <v:shape style="position:absolute;left:1248;top:15271;width:4705;height:2" coordorigin="1248,15271" coordsize="4705,0" path="m1248,15271l5953,15271e" filled="false" stroked="true" strokeweight=".95996pt" strokecolor="#41b7ee">
                <v:path arrowok="t"/>
              </v:shape>
            </v:group>
            <v:group style="position:absolute;left:5953;top:15271;width:58;height:2" coordorigin="5953,15271" coordsize="58,2">
              <v:shape style="position:absolute;left:5953;top:15271;width:58;height:2" coordorigin="5953,15271" coordsize="58,0" path="m5953,15271l6011,15271e" filled="false" stroked="true" strokeweight=".95996pt" strokecolor="#41b7ee">
                <v:path arrowok="t"/>
              </v:shape>
            </v:group>
            <v:group style="position:absolute;left:6011;top:15271;width:3083;height:2" coordorigin="6011,15271" coordsize="3083,2">
              <v:shape style="position:absolute;left:6011;top:15271;width:3083;height:2" coordorigin="6011,15271" coordsize="3083,0" path="m6011,15271l9093,15271e" filled="false" stroked="true" strokeweight=".95996pt" strokecolor="#41b7ee">
                <v:path arrowok="t"/>
              </v:shape>
            </v:group>
            <v:group style="position:absolute;left:9093;top:15271;width:58;height:2" coordorigin="9093,15271" coordsize="58,2">
              <v:shape style="position:absolute;left:9093;top:15271;width:58;height:2" coordorigin="9093,15271" coordsize="58,0" path="m9093,15271l9151,15271e" filled="false" stroked="true" strokeweight=".95996pt" strokecolor="#41b7ee">
                <v:path arrowok="t"/>
              </v:shape>
            </v:group>
            <v:group style="position:absolute;left:9151;top:15271;width:989;height:2" coordorigin="9151,15271" coordsize="989,2">
              <v:shape style="position:absolute;left:9151;top:15271;width:989;height:2" coordorigin="9151,15271" coordsize="989,0" path="m9151,15271l10140,15271e" filled="false" stroked="true" strokeweight=".95996pt" strokecolor="#41b7ee">
                <v:path arrowok="t"/>
              </v:shape>
            </v:group>
            <w10:wrap type="none"/>
          </v:group>
        </w:pict>
      </w:r>
    </w:p>
    <w:p>
      <w:pPr>
        <w:pStyle w:val="BodyText"/>
        <w:spacing w:line="278" w:lineRule="auto" w:before="36"/>
        <w:ind w:left="156" w:right="218" w:firstLine="420"/>
        <w:jc w:val="both"/>
      </w:pPr>
      <w:r>
        <w:rPr>
          <w:spacing w:val="-2"/>
        </w:rPr>
        <w:t>确定资本化的金额时，本集团管理层需要作出有关资产的预计未来现金流量、适用的折现率</w:t>
      </w:r>
      <w:r>
        <w:rPr>
          <w:w w:val="100"/>
        </w:rPr>
        <w:t> </w:t>
      </w:r>
      <w:r>
        <w:rPr/>
        <w:t>以及预计受益期间的假设。</w:t>
      </w:r>
    </w:p>
    <w:p>
      <w:pPr>
        <w:spacing w:line="264" w:lineRule="auto" w:before="13"/>
        <w:ind w:left="577"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9</w:t>
      </w:r>
      <w:r>
        <w:rPr>
          <w:rFonts w:ascii="宋体" w:hAnsi="宋体" w:cs="宋体" w:eastAsia="宋体" w:hint="default"/>
          <w:b/>
          <w:bCs/>
          <w:sz w:val="21"/>
          <w:szCs w:val="21"/>
        </w:rPr>
        <w:t>）递延所得税资产</w:t>
      </w:r>
      <w:r>
        <w:rPr>
          <w:rFonts w:ascii="宋体" w:hAnsi="宋体" w:cs="宋体" w:eastAsia="宋体" w:hint="default"/>
          <w:b/>
          <w:bCs/>
          <w:w w:val="100"/>
          <w:sz w:val="21"/>
          <w:szCs w:val="21"/>
        </w:rPr>
        <w:t> </w:t>
      </w:r>
      <w:r>
        <w:rPr>
          <w:rFonts w:ascii="宋体" w:hAnsi="宋体" w:cs="宋体" w:eastAsia="宋体" w:hint="default"/>
          <w:spacing w:val="-2"/>
          <w:sz w:val="21"/>
          <w:szCs w:val="21"/>
        </w:rPr>
        <w:t>在很有可能有足够的应纳税利润来抵扣亏损的限度内，本集团就所有未利用的税务亏损确认</w:t>
      </w:r>
    </w:p>
    <w:p>
      <w:pPr>
        <w:pStyle w:val="BodyText"/>
        <w:spacing w:line="280" w:lineRule="auto" w:before="23"/>
        <w:ind w:left="156" w:right="0"/>
        <w:jc w:val="left"/>
      </w:pPr>
      <w:r>
        <w:rPr>
          <w:spacing w:val="-4"/>
          <w:w w:val="100"/>
        </w:rPr>
        <w:t>递延所得税资产。这需要本公司管理层运用大量的判断来估计未来应纳税利润发生的时间和金额，</w:t>
      </w:r>
      <w:r>
        <w:rPr>
          <w:spacing w:val="-85"/>
          <w:w w:val="100"/>
        </w:rPr>
        <w:t> </w:t>
      </w:r>
      <w:r>
        <w:rPr>
          <w:spacing w:val="-85"/>
          <w:w w:val="100"/>
        </w:rPr>
      </w:r>
      <w:r>
        <w:rPr/>
        <w:t>结合纳税筹划策略，以决定应确认的递延所得税资产的金额。</w:t>
      </w:r>
    </w:p>
    <w:p>
      <w:pPr>
        <w:pStyle w:val="BodyText"/>
        <w:spacing w:line="264" w:lineRule="auto" w:before="8"/>
        <w:ind w:left="577" w:right="0" w:firstLine="2"/>
        <w:jc w:val="left"/>
      </w:pPr>
      <w:r>
        <w:rPr>
          <w:rFonts w:ascii="宋体" w:hAnsi="宋体" w:cs="宋体" w:eastAsia="宋体" w:hint="default"/>
          <w:b/>
          <w:bCs/>
        </w:rPr>
        <w:t>（</w:t>
      </w:r>
      <w:r>
        <w:rPr>
          <w:rFonts w:ascii="Arial" w:hAnsi="Arial" w:cs="Arial" w:eastAsia="Arial" w:hint="default"/>
          <w:b/>
          <w:bCs/>
        </w:rPr>
        <w:t>10</w:t>
      </w:r>
      <w:r>
        <w:rPr>
          <w:rFonts w:ascii="宋体" w:hAnsi="宋体" w:cs="宋体" w:eastAsia="宋体" w:hint="default"/>
          <w:b/>
          <w:bCs/>
        </w:rPr>
        <w:t>）所得税</w:t>
      </w:r>
      <w:r>
        <w:rPr>
          <w:rFonts w:ascii="宋体" w:hAnsi="宋体" w:cs="宋体" w:eastAsia="宋体" w:hint="default"/>
          <w:b/>
          <w:bCs/>
          <w:w w:val="100"/>
        </w:rPr>
        <w:t> </w:t>
      </w:r>
      <w:r>
        <w:rPr>
          <w:spacing w:val="-2"/>
        </w:rPr>
        <w:t>本集团在正常的经营活动中，有部分交易其最终的税务处理和计算存在一定的不确定性。部</w:t>
      </w:r>
    </w:p>
    <w:p>
      <w:pPr>
        <w:pStyle w:val="BodyText"/>
        <w:spacing w:line="278" w:lineRule="auto" w:before="25"/>
        <w:ind w:left="156" w:right="219"/>
        <w:jc w:val="both"/>
      </w:pPr>
      <w:r>
        <w:rPr>
          <w:spacing w:val="-2"/>
        </w:rPr>
        <w:t>分项目是否能够在税前列支需要税收主管机关的审批。如果这些税务事项的最终认定结果同最初</w:t>
      </w:r>
      <w:r>
        <w:rPr>
          <w:spacing w:val="-25"/>
        </w:rPr>
        <w:t> </w:t>
      </w:r>
      <w:r>
        <w:rPr>
          <w:spacing w:val="-25"/>
        </w:rPr>
      </w:r>
      <w:r>
        <w:rPr/>
        <w:t>估计的金额存在差异，则该差异将对其最终认定期间的当期所得税和递延所得税产生影响。</w:t>
      </w:r>
    </w:p>
    <w:p>
      <w:pPr>
        <w:spacing w:line="266" w:lineRule="auto" w:before="10"/>
        <w:ind w:left="577"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11</w:t>
      </w:r>
      <w:r>
        <w:rPr>
          <w:rFonts w:ascii="宋体" w:hAnsi="宋体" w:cs="宋体" w:eastAsia="宋体" w:hint="default"/>
          <w:b/>
          <w:bCs/>
          <w:sz w:val="21"/>
          <w:szCs w:val="21"/>
        </w:rPr>
        <w:t>）内部退养福利及补充退休福利</w:t>
      </w:r>
      <w:r>
        <w:rPr>
          <w:rFonts w:ascii="宋体" w:hAnsi="宋体" w:cs="宋体" w:eastAsia="宋体" w:hint="default"/>
          <w:b/>
          <w:bCs/>
          <w:w w:val="100"/>
          <w:sz w:val="21"/>
          <w:szCs w:val="21"/>
        </w:rPr>
        <w:t> </w:t>
      </w:r>
      <w:r>
        <w:rPr>
          <w:rFonts w:ascii="宋体" w:hAnsi="宋体" w:cs="宋体" w:eastAsia="宋体" w:hint="default"/>
          <w:spacing w:val="-2"/>
          <w:sz w:val="21"/>
          <w:szCs w:val="21"/>
        </w:rPr>
        <w:t>本集团内部退养福利和补充退休福利费用支出及负债的金额依据各种假设条件确定。这些假</w:t>
      </w:r>
    </w:p>
    <w:p>
      <w:pPr>
        <w:pStyle w:val="BodyText"/>
        <w:spacing w:line="280" w:lineRule="auto" w:before="22"/>
        <w:ind w:left="156" w:right="218"/>
        <w:jc w:val="both"/>
      </w:pPr>
      <w:r>
        <w:rPr>
          <w:spacing w:val="-2"/>
        </w:rPr>
        <w:t>设条件包括折现率、平均医疗费用增长率、内退人员及离退人员补贴增长率和其他因素。实际结</w:t>
      </w:r>
      <w:r>
        <w:rPr>
          <w:spacing w:val="-25"/>
        </w:rPr>
        <w:t> </w:t>
      </w:r>
      <w:r>
        <w:rPr>
          <w:spacing w:val="-25"/>
        </w:rPr>
      </w:r>
      <w:r>
        <w:rPr>
          <w:spacing w:val="-2"/>
        </w:rPr>
        <w:t>果和假设的差异将在发生时立即确认并计入当年费用。尽管管理层认为已采用了合理假设，但实</w:t>
      </w:r>
      <w:r>
        <w:rPr>
          <w:spacing w:val="-25"/>
        </w:rPr>
        <w:t> </w:t>
      </w:r>
      <w:r>
        <w:rPr>
          <w:spacing w:val="-25"/>
        </w:rPr>
      </w:r>
      <w:r>
        <w:rPr/>
        <w:t>际经验值及假设条件的变化仍将影响本公司内部退养福利和补充退休福利的费用及负债余额。</w:t>
      </w:r>
    </w:p>
    <w:p>
      <w:pPr>
        <w:pStyle w:val="BodyText"/>
        <w:spacing w:line="264" w:lineRule="auto" w:before="8"/>
        <w:ind w:left="577" w:right="0" w:firstLine="2"/>
        <w:jc w:val="left"/>
      </w:pPr>
      <w:r>
        <w:rPr>
          <w:rFonts w:ascii="宋体" w:hAnsi="宋体" w:cs="宋体" w:eastAsia="宋体" w:hint="default"/>
          <w:b/>
          <w:bCs/>
        </w:rPr>
        <w:t>（</w:t>
      </w:r>
      <w:r>
        <w:rPr>
          <w:rFonts w:ascii="Arial" w:hAnsi="Arial" w:cs="Arial" w:eastAsia="Arial" w:hint="default"/>
          <w:b/>
          <w:bCs/>
        </w:rPr>
        <w:t>12</w:t>
      </w:r>
      <w:r>
        <w:rPr>
          <w:rFonts w:ascii="宋体" w:hAnsi="宋体" w:cs="宋体" w:eastAsia="宋体" w:hint="default"/>
          <w:b/>
          <w:bCs/>
        </w:rPr>
        <w:t>）预计负债</w:t>
      </w:r>
      <w:r>
        <w:rPr>
          <w:rFonts w:ascii="宋体" w:hAnsi="宋体" w:cs="宋体" w:eastAsia="宋体" w:hint="default"/>
          <w:b/>
          <w:bCs/>
          <w:w w:val="100"/>
        </w:rPr>
        <w:t> </w:t>
      </w:r>
      <w:r>
        <w:rPr>
          <w:spacing w:val="-2"/>
        </w:rPr>
        <w:t>本集团根据合约条款、现有知识及历史经验，对产品质量保证、预计合同亏损、延迟交货违</w:t>
      </w:r>
    </w:p>
    <w:p>
      <w:pPr>
        <w:pStyle w:val="BodyText"/>
        <w:spacing w:line="278" w:lineRule="auto" w:before="25"/>
        <w:ind w:left="156" w:right="219"/>
        <w:jc w:val="both"/>
      </w:pPr>
      <w:r>
        <w:rPr>
          <w:spacing w:val="-2"/>
        </w:rPr>
        <w:t>约金等估计并计提相应准备。在该等或有事项已经形成一项现时义务，且履行该等现时义务很可</w:t>
      </w:r>
      <w:r>
        <w:rPr>
          <w:spacing w:val="-25"/>
        </w:rPr>
        <w:t> </w:t>
      </w:r>
      <w:r>
        <w:rPr>
          <w:spacing w:val="-25"/>
        </w:rPr>
      </w:r>
      <w:r>
        <w:rPr>
          <w:spacing w:val="-2"/>
        </w:rPr>
        <w:t>能导致经济利益流出本公司的情况下，本公司对或有事项按履行相关现时义务所需支出的最佳估</w:t>
      </w:r>
      <w:r>
        <w:rPr>
          <w:spacing w:val="-25"/>
        </w:rPr>
        <w:t> </w:t>
      </w:r>
      <w:r>
        <w:rPr>
          <w:spacing w:val="-25"/>
        </w:rPr>
      </w:r>
      <w:r>
        <w:rPr>
          <w:spacing w:val="-2"/>
        </w:rPr>
        <w:t>计数确认为预计负债。预计负债的确认和计量在很大程度上依赖于管理层的判断。在进行判断过</w:t>
      </w:r>
      <w:r>
        <w:rPr>
          <w:spacing w:val="-25"/>
        </w:rPr>
        <w:t> </w:t>
      </w:r>
      <w:r>
        <w:rPr>
          <w:spacing w:val="-25"/>
        </w:rPr>
      </w:r>
      <w:r>
        <w:rPr/>
        <w:t>程中本公司需评估该等或有事项相关的风险、不确定性及货币时间价值等因素。</w:t>
      </w:r>
    </w:p>
    <w:p>
      <w:pPr>
        <w:pStyle w:val="BodyText"/>
        <w:spacing w:line="280" w:lineRule="auto" w:before="10"/>
        <w:ind w:left="156" w:right="218" w:firstLine="420"/>
        <w:jc w:val="both"/>
      </w:pPr>
      <w:r>
        <w:rPr>
          <w:spacing w:val="-2"/>
        </w:rPr>
        <w:t>其中，本集团会就出售、维修及改造所售商品向客户提供的售后质量维修承诺预计负债。预</w:t>
      </w:r>
      <w:r>
        <w:rPr>
          <w:w w:val="100"/>
        </w:rPr>
        <w:t> </w:t>
      </w:r>
      <w:r>
        <w:rPr>
          <w:spacing w:val="-2"/>
        </w:rPr>
        <w:t>计负债时已考虑本公司近期的维修经验数据，但近期的维修经验可能无法反映将来的维修情况。</w:t>
      </w:r>
      <w:r>
        <w:rPr>
          <w:spacing w:val="-25"/>
        </w:rPr>
        <w:t> </w:t>
      </w:r>
      <w:r>
        <w:rPr>
          <w:spacing w:val="-25"/>
        </w:rPr>
      </w:r>
      <w:r>
        <w:rPr/>
        <w:t>这项准备的任何增加或减少，均可能影响未来年度的损益。</w:t>
      </w:r>
    </w:p>
    <w:p>
      <w:pPr>
        <w:spacing w:line="264" w:lineRule="auto" w:before="8"/>
        <w:ind w:left="577"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13</w:t>
      </w:r>
      <w:r>
        <w:rPr>
          <w:rFonts w:ascii="宋体" w:hAnsi="宋体" w:cs="宋体" w:eastAsia="宋体" w:hint="default"/>
          <w:b/>
          <w:bCs/>
          <w:sz w:val="21"/>
          <w:szCs w:val="21"/>
        </w:rPr>
        <w:t>）公允价值计量</w:t>
      </w:r>
      <w:r>
        <w:rPr>
          <w:rFonts w:ascii="宋体" w:hAnsi="宋体" w:cs="宋体" w:eastAsia="宋体" w:hint="default"/>
          <w:b/>
          <w:bCs/>
          <w:w w:val="100"/>
          <w:sz w:val="21"/>
          <w:szCs w:val="21"/>
        </w:rPr>
        <w:t> </w:t>
      </w:r>
      <w:r>
        <w:rPr>
          <w:rFonts w:ascii="宋体" w:hAnsi="宋体" w:cs="宋体" w:eastAsia="宋体" w:hint="default"/>
          <w:spacing w:val="-2"/>
          <w:sz w:val="21"/>
          <w:szCs w:val="21"/>
        </w:rPr>
        <w:t>本集团的某些资产和负债在财务报表中按公允价值计量。在对某项资产或负债的公允价值作</w:t>
      </w:r>
    </w:p>
    <w:p>
      <w:pPr>
        <w:pStyle w:val="BodyText"/>
        <w:spacing w:line="278" w:lineRule="auto" w:before="25"/>
        <w:ind w:left="156" w:right="218"/>
        <w:jc w:val="both"/>
      </w:pPr>
      <w:r>
        <w:rPr>
          <w:spacing w:val="-2"/>
        </w:rPr>
        <w:t>出估计时，本集团采用可获得的可观察市场数据。如果无法获得第一层次输入值，本公司会聘用</w:t>
      </w:r>
      <w:r>
        <w:rPr>
          <w:spacing w:val="-25"/>
        </w:rPr>
        <w:t> </w:t>
      </w:r>
      <w:r>
        <w:rPr>
          <w:spacing w:val="-25"/>
        </w:rPr>
      </w:r>
      <w:r>
        <w:rPr>
          <w:spacing w:val="-2"/>
        </w:rPr>
        <w:t>第三方有资质的评估师来执行估价。与有资质的外部估价师紧密合作，以确定适当的估值技术和</w:t>
      </w:r>
      <w:r>
        <w:rPr>
          <w:spacing w:val="-25"/>
        </w:rPr>
        <w:t> </w:t>
      </w:r>
      <w:r>
        <w:rPr>
          <w:spacing w:val="-25"/>
        </w:rPr>
      </w:r>
      <w:r>
        <w:rPr>
          <w:spacing w:val="-2"/>
        </w:rPr>
        <w:t>相关模型的输入值。在确定各类资产和负债的公允价值的过程中所采用的估值技术和输入值的相</w:t>
      </w:r>
      <w:r>
        <w:rPr>
          <w:spacing w:val="-25"/>
        </w:rPr>
        <w:t> </w:t>
      </w:r>
      <w:r>
        <w:rPr>
          <w:spacing w:val="-25"/>
        </w:rPr>
      </w:r>
      <w:r>
        <w:rPr/>
        <w:t>关信息在附注中披露。</w:t>
      </w:r>
    </w:p>
    <w:p>
      <w:pPr>
        <w:pStyle w:val="Heading2"/>
        <w:spacing w:line="290" w:lineRule="auto" w:before="25"/>
        <w:ind w:left="156" w:right="5656"/>
        <w:jc w:val="left"/>
        <w:rPr>
          <w:rFonts w:ascii="宋体" w:hAnsi="宋体" w:cs="宋体" w:eastAsia="宋体" w:hint="default"/>
          <w:b w:val="0"/>
          <w:bCs w:val="0"/>
        </w:rPr>
      </w:pPr>
      <w:r>
        <w:rPr>
          <w:rFonts w:ascii="宋体" w:hAnsi="宋体" w:cs="宋体" w:eastAsia="宋体" w:hint="default"/>
        </w:rPr>
        <w:t>41.</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5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56" w:right="0"/>
        <w:jc w:val="both"/>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4705;height:2" coordorigin="10,10" coordsize="4705,2">
              <v:shape style="position:absolute;left:10;top:10;width:4705;height:2" coordorigin="10,10" coordsize="4705,0" path="m10,10l4715,10e" filled="false" stroked="true" strokeweight=".96002pt" strokecolor="#41b7ee">
                <v:path arrowok="t"/>
              </v:shape>
            </v:group>
            <v:group style="position:absolute;left:4715;top:10;width:58;height:2" coordorigin="4715,10" coordsize="58,2">
              <v:shape style="position:absolute;left:4715;top:10;width:58;height:2" coordorigin="4715,10" coordsize="58,0" path="m4715,10l4772,10e" filled="false" stroked="true" strokeweight=".96002pt" strokecolor="#41b7ee">
                <v:path arrowok="t"/>
              </v:shape>
            </v:group>
            <v:group style="position:absolute;left:4772;top:10;width:3083;height:2" coordorigin="4772,10" coordsize="3083,2">
              <v:shape style="position:absolute;left:4772;top:10;width:3083;height:2" coordorigin="4772,10" coordsize="3083,0" path="m4772,10l7855,10e" filled="false" stroked="true" strokeweight=".96002pt" strokecolor="#41b7ee">
                <v:path arrowok="t"/>
              </v:shape>
            </v:group>
            <v:group style="position:absolute;left:7855;top:10;width:58;height:2" coordorigin="7855,10" coordsize="58,2">
              <v:shape style="position:absolute;left:7855;top:10;width:58;height:2" coordorigin="7855,10" coordsize="58,0" path="m7855,10l7912,10e" filled="false" stroked="true" strokeweight=".96002pt" strokecolor="#41b7ee">
                <v:path arrowok="t"/>
              </v:shape>
            </v:group>
            <v:group style="position:absolute;left:7912;top:10;width:989;height:2" coordorigin="7912,10" coordsize="989,2">
              <v:shape style="position:absolute;left:7912;top:10;width:989;height:2" coordorigin="7912,10" coordsize="989,0" path="m7912,10l8901,10e" filled="false" stroked="true" strokeweight=".96002pt" strokecolor="#41b7ee">
                <v:path arrowok="t"/>
              </v:shape>
            </v:group>
          </v:group>
        </w:pict>
      </w:r>
      <w:r>
        <w:rPr>
          <w:rFonts w:ascii="宋体" w:hAnsi="宋体" w:cs="宋体" w:eastAsia="宋体" w:hint="default"/>
          <w:sz w:val="2"/>
          <w:szCs w:val="2"/>
        </w:rPr>
      </w:r>
    </w:p>
    <w:tbl>
      <w:tblPr>
        <w:tblW w:w="0" w:type="auto"/>
        <w:jc w:val="left"/>
        <w:tblInd w:w="118" w:type="dxa"/>
        <w:tblLayout w:type="fixed"/>
        <w:tblCellMar>
          <w:top w:w="0" w:type="dxa"/>
          <w:left w:w="0" w:type="dxa"/>
          <w:bottom w:w="0" w:type="dxa"/>
          <w:right w:w="0" w:type="dxa"/>
        </w:tblCellMar>
        <w:tblLook w:val="01E0"/>
      </w:tblPr>
      <w:tblGrid>
        <w:gridCol w:w="4710"/>
        <w:gridCol w:w="3140"/>
        <w:gridCol w:w="1042"/>
      </w:tblGrid>
      <w:tr>
        <w:trPr>
          <w:trHeight w:val="950" w:hRule="exact"/>
        </w:trPr>
        <w:tc>
          <w:tcPr>
            <w:tcW w:w="4710"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092"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r>
              <w:rPr>
                <w:rFonts w:ascii="宋体" w:hAnsi="宋体" w:cs="宋体" w:eastAsia="宋体" w:hint="default"/>
                <w:sz w:val="21"/>
                <w:szCs w:val="21"/>
              </w:rPr>
              <w:t> </w:t>
            </w:r>
          </w:p>
        </w:tc>
        <w:tc>
          <w:tcPr>
            <w:tcW w:w="3140"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142" w:right="0"/>
              <w:jc w:val="left"/>
              <w:rPr>
                <w:rFonts w:ascii="宋体" w:hAnsi="宋体" w:cs="宋体" w:eastAsia="宋体" w:hint="default"/>
                <w:sz w:val="21"/>
                <w:szCs w:val="21"/>
              </w:rPr>
            </w:pPr>
            <w:r>
              <w:rPr>
                <w:rFonts w:ascii="宋体" w:hAnsi="宋体" w:cs="宋体" w:eastAsia="宋体" w:hint="default"/>
                <w:sz w:val="21"/>
                <w:szCs w:val="21"/>
              </w:rPr>
              <w:t>审批程序</w:t>
            </w:r>
            <w:r>
              <w:rPr>
                <w:rFonts w:ascii="宋体" w:hAnsi="宋体" w:cs="宋体" w:eastAsia="宋体" w:hint="default"/>
                <w:sz w:val="21"/>
                <w:szCs w:val="21"/>
              </w:rPr>
              <w:t> </w:t>
            </w:r>
          </w:p>
        </w:tc>
        <w:tc>
          <w:tcPr>
            <w:tcW w:w="1042" w:type="dxa"/>
            <w:tcBorders>
              <w:top w:val="single" w:sz="8" w:space="0" w:color="41B7EE"/>
              <w:left w:val="single" w:sz="4" w:space="0" w:color="41B7EE"/>
              <w:bottom w:val="single" w:sz="4" w:space="0" w:color="41B7EE"/>
              <w:right w:val="nil" w:sz="6" w:space="0" w:color="auto"/>
            </w:tcBorders>
          </w:tcPr>
          <w:p>
            <w:pPr>
              <w:pStyle w:val="TableParagraph"/>
              <w:spacing w:line="206" w:lineRule="exact"/>
              <w:ind w:right="71"/>
              <w:jc w:val="right"/>
              <w:rPr>
                <w:rFonts w:ascii="宋体" w:hAnsi="宋体" w:cs="宋体" w:eastAsia="宋体" w:hint="default"/>
                <w:sz w:val="18"/>
                <w:szCs w:val="18"/>
              </w:rPr>
            </w:pPr>
            <w:r>
              <w:rPr>
                <w:rFonts w:ascii="宋体" w:hAnsi="宋体" w:cs="宋体" w:eastAsia="宋体" w:hint="default"/>
                <w:sz w:val="18"/>
                <w:szCs w:val="18"/>
              </w:rPr>
              <w:t>备注（受重</w:t>
            </w:r>
          </w:p>
          <w:p>
            <w:pPr>
              <w:pStyle w:val="TableParagraph"/>
              <w:spacing w:line="237" w:lineRule="auto"/>
              <w:ind w:left="64" w:right="71"/>
              <w:jc w:val="center"/>
              <w:rPr>
                <w:rFonts w:ascii="宋体" w:hAnsi="宋体" w:cs="宋体" w:eastAsia="宋体" w:hint="default"/>
                <w:sz w:val="18"/>
                <w:szCs w:val="18"/>
              </w:rPr>
            </w:pPr>
            <w:r>
              <w:rPr>
                <w:rFonts w:ascii="宋体" w:hAnsi="宋体" w:cs="宋体" w:eastAsia="宋体" w:hint="default"/>
                <w:sz w:val="18"/>
                <w:szCs w:val="18"/>
              </w:rPr>
              <w:t>要影响的报 表项目名称 和金额</w:t>
            </w:r>
            <w:r>
              <w:rPr>
                <w:rFonts w:ascii="宋体" w:hAnsi="宋体" w:cs="宋体" w:eastAsia="宋体" w:hint="default"/>
                <w:sz w:val="18"/>
                <w:szCs w:val="18"/>
              </w:rPr>
              <w:t>) </w:t>
            </w:r>
          </w:p>
        </w:tc>
      </w:tr>
      <w:tr>
        <w:trPr>
          <w:trHeight w:val="1922" w:hRule="exact"/>
        </w:trPr>
        <w:tc>
          <w:tcPr>
            <w:tcW w:w="4710" w:type="dxa"/>
            <w:tcBorders>
              <w:top w:val="single" w:sz="4" w:space="0" w:color="41B7EE"/>
              <w:left w:val="nil" w:sz="6" w:space="0" w:color="auto"/>
              <w:bottom w:val="single" w:sz="8" w:space="0" w:color="41B7EE"/>
              <w:right w:val="single" w:sz="10" w:space="0" w:color="FFFFFF"/>
            </w:tcBorders>
          </w:tcPr>
          <w:p>
            <w:pPr>
              <w:pStyle w:val="TableParagraph"/>
              <w:spacing w:line="248" w:lineRule="exact"/>
              <w:ind w:left="449" w:right="0"/>
              <w:jc w:val="left"/>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pacing w:val="-51"/>
                <w:sz w:val="21"/>
                <w:szCs w:val="21"/>
              </w:rPr>
              <w:t> </w:t>
            </w:r>
            <w:r>
              <w:rPr>
                <w:rFonts w:ascii="Arial" w:hAnsi="Arial" w:cs="Arial" w:eastAsia="Arial" w:hint="default"/>
                <w:sz w:val="21"/>
                <w:szCs w:val="21"/>
              </w:rPr>
              <w:t>2017</w:t>
            </w:r>
            <w:r>
              <w:rPr>
                <w:rFonts w:ascii="Arial" w:hAnsi="Arial" w:cs="Arial" w:eastAsia="Arial"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3</w:t>
            </w:r>
            <w:r>
              <w:rPr>
                <w:rFonts w:ascii="Arial" w:hAnsi="Arial" w:cs="Arial" w:eastAsia="Arial"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6"/>
                <w:sz w:val="21"/>
                <w:szCs w:val="21"/>
              </w:rPr>
              <w:t> </w:t>
            </w:r>
            <w:r>
              <w:rPr>
                <w:rFonts w:ascii="宋体" w:hAnsi="宋体" w:cs="宋体" w:eastAsia="宋体" w:hint="default"/>
                <w:spacing w:val="-7"/>
                <w:sz w:val="21"/>
                <w:szCs w:val="21"/>
              </w:rPr>
              <w:t>日分别发布了《企业</w:t>
            </w:r>
          </w:p>
          <w:p>
            <w:pPr>
              <w:pStyle w:val="TableParagraph"/>
              <w:spacing w:line="225" w:lineRule="auto" w:before="6"/>
              <w:ind w:left="28" w:right="12"/>
              <w:jc w:val="left"/>
              <w:rPr>
                <w:rFonts w:ascii="宋体" w:hAnsi="宋体" w:cs="宋体" w:eastAsia="宋体" w:hint="default"/>
                <w:sz w:val="21"/>
                <w:szCs w:val="21"/>
              </w:rPr>
            </w:pPr>
            <w:r>
              <w:rPr>
                <w:rFonts w:ascii="宋体" w:hAnsi="宋体" w:cs="宋体" w:eastAsia="宋体" w:hint="default"/>
                <w:sz w:val="21"/>
                <w:szCs w:val="21"/>
              </w:rPr>
              <w:t>会计准则第</w:t>
            </w:r>
            <w:r>
              <w:rPr>
                <w:rFonts w:ascii="宋体" w:hAnsi="宋体" w:cs="宋体" w:eastAsia="宋体" w:hint="default"/>
                <w:spacing w:val="-53"/>
                <w:sz w:val="21"/>
                <w:szCs w:val="21"/>
              </w:rPr>
              <w:t> </w:t>
            </w:r>
            <w:r>
              <w:rPr>
                <w:rFonts w:ascii="Arial" w:hAnsi="Arial" w:cs="Arial" w:eastAsia="Arial" w:hint="default"/>
                <w:sz w:val="21"/>
                <w:szCs w:val="21"/>
              </w:rPr>
              <w:t>22</w:t>
            </w:r>
            <w:r>
              <w:rPr>
                <w:rFonts w:ascii="Arial" w:hAnsi="Arial" w:cs="Arial" w:eastAsia="Arial" w:hint="default"/>
                <w:spacing w:val="-9"/>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金融工具确认和计量（</w:t>
            </w:r>
            <w:r>
              <w:rPr>
                <w:rFonts w:ascii="Arial" w:hAnsi="Arial" w:cs="Arial" w:eastAsia="Arial" w:hint="default"/>
                <w:sz w:val="21"/>
                <w:szCs w:val="21"/>
              </w:rPr>
              <w:t>2017</w:t>
            </w:r>
            <w:r>
              <w:rPr>
                <w:rFonts w:ascii="Arial" w:hAnsi="Arial" w:cs="Arial" w:eastAsia="Arial" w:hint="default"/>
                <w:w w:val="100"/>
                <w:sz w:val="21"/>
                <w:szCs w:val="21"/>
              </w:rPr>
              <w:t> </w:t>
            </w:r>
            <w:r>
              <w:rPr>
                <w:rFonts w:ascii="宋体" w:hAnsi="宋体" w:cs="宋体" w:eastAsia="宋体" w:hint="default"/>
                <w:sz w:val="21"/>
                <w:szCs w:val="21"/>
              </w:rPr>
              <w:t>年修订）》（财会〔</w:t>
            </w:r>
            <w:r>
              <w:rPr>
                <w:rFonts w:ascii="Arial" w:hAnsi="Arial" w:cs="Arial" w:eastAsia="Arial" w:hint="default"/>
                <w:sz w:val="21"/>
                <w:szCs w:val="21"/>
              </w:rPr>
              <w:t>2017</w:t>
            </w:r>
            <w:r>
              <w:rPr>
                <w:rFonts w:ascii="宋体" w:hAnsi="宋体" w:cs="宋体" w:eastAsia="宋体" w:hint="default"/>
                <w:sz w:val="21"/>
                <w:szCs w:val="21"/>
              </w:rPr>
              <w:t>〕</w:t>
            </w:r>
            <w:r>
              <w:rPr>
                <w:rFonts w:ascii="Arial" w:hAnsi="Arial" w:cs="Arial" w:eastAsia="Arial" w:hint="default"/>
                <w:sz w:val="21"/>
                <w:szCs w:val="21"/>
              </w:rPr>
              <w:t>7</w:t>
            </w:r>
            <w:r>
              <w:rPr>
                <w:rFonts w:ascii="Arial" w:hAnsi="Arial" w:cs="Arial" w:eastAsia="Arial" w:hint="default"/>
                <w:spacing w:val="-7"/>
                <w:sz w:val="21"/>
                <w:szCs w:val="21"/>
              </w:rPr>
              <w:t> </w:t>
            </w:r>
            <w:r>
              <w:rPr>
                <w:rFonts w:ascii="宋体" w:hAnsi="宋体" w:cs="宋体" w:eastAsia="宋体" w:hint="default"/>
                <w:sz w:val="21"/>
                <w:szCs w:val="21"/>
              </w:rPr>
              <w:t>号）、《企业会计准</w:t>
            </w:r>
            <w:r>
              <w:rPr>
                <w:rFonts w:ascii="宋体" w:hAnsi="宋体" w:cs="宋体" w:eastAsia="宋体" w:hint="default"/>
                <w:w w:val="100"/>
                <w:sz w:val="21"/>
                <w:szCs w:val="21"/>
              </w:rPr>
              <w:t> 则第</w:t>
            </w:r>
            <w:r>
              <w:rPr>
                <w:rFonts w:ascii="宋体" w:hAnsi="宋体" w:cs="宋体" w:eastAsia="宋体" w:hint="default"/>
                <w:spacing w:val="-52"/>
                <w:w w:val="100"/>
                <w:sz w:val="21"/>
                <w:szCs w:val="21"/>
              </w:rPr>
              <w:t> </w:t>
            </w:r>
            <w:r>
              <w:rPr>
                <w:rFonts w:ascii="Arial" w:hAnsi="Arial" w:cs="Arial" w:eastAsia="Arial" w:hint="default"/>
                <w:spacing w:val="-2"/>
                <w:w w:val="100"/>
                <w:sz w:val="21"/>
                <w:szCs w:val="21"/>
              </w:rPr>
              <w:t>23</w:t>
            </w:r>
            <w:r>
              <w:rPr>
                <w:rFonts w:ascii="Arial" w:hAnsi="Arial" w:cs="Arial" w:eastAsia="Arial" w:hint="default"/>
                <w:spacing w:val="-5"/>
                <w:w w:val="100"/>
                <w:sz w:val="21"/>
                <w:szCs w:val="21"/>
              </w:rPr>
              <w:t> </w:t>
            </w:r>
            <w:r>
              <w:rPr>
                <w:rFonts w:ascii="宋体" w:hAnsi="宋体" w:cs="宋体" w:eastAsia="宋体" w:hint="default"/>
                <w:spacing w:val="-5"/>
                <w:w w:val="100"/>
                <w:sz w:val="21"/>
                <w:szCs w:val="21"/>
              </w:rPr>
              <w:t>号</w:t>
            </w:r>
            <w:r>
              <w:rPr>
                <w:rFonts w:ascii="Arial" w:hAnsi="Arial" w:cs="Arial" w:eastAsia="Arial" w:hint="default"/>
                <w:spacing w:val="-5"/>
                <w:w w:val="100"/>
                <w:sz w:val="21"/>
                <w:szCs w:val="21"/>
              </w:rPr>
              <w:t>——</w:t>
            </w:r>
            <w:r>
              <w:rPr>
                <w:rFonts w:ascii="宋体" w:hAnsi="宋体" w:cs="宋体" w:eastAsia="宋体" w:hint="default"/>
                <w:spacing w:val="-5"/>
                <w:w w:val="100"/>
                <w:sz w:val="21"/>
                <w:szCs w:val="21"/>
              </w:rPr>
              <w:t>金融资产转移（</w:t>
            </w:r>
            <w:r>
              <w:rPr>
                <w:rFonts w:ascii="Arial" w:hAnsi="Arial" w:cs="Arial" w:eastAsia="Arial" w:hint="default"/>
                <w:spacing w:val="-5"/>
                <w:w w:val="100"/>
                <w:sz w:val="21"/>
                <w:szCs w:val="21"/>
              </w:rPr>
              <w:t>2017 </w:t>
            </w:r>
            <w:r>
              <w:rPr>
                <w:rFonts w:ascii="宋体" w:hAnsi="宋体" w:cs="宋体" w:eastAsia="宋体" w:hint="default"/>
                <w:spacing w:val="-23"/>
                <w:w w:val="100"/>
                <w:sz w:val="21"/>
                <w:szCs w:val="21"/>
              </w:rPr>
              <w:t>年修订）》（财</w:t>
            </w:r>
            <w:r>
              <w:rPr>
                <w:rFonts w:ascii="宋体" w:hAnsi="宋体" w:cs="宋体" w:eastAsia="宋体" w:hint="default"/>
                <w:w w:val="100"/>
                <w:sz w:val="21"/>
                <w:szCs w:val="21"/>
              </w:rPr>
              <w:t> </w:t>
            </w:r>
            <w:r>
              <w:rPr>
                <w:rFonts w:ascii="宋体" w:hAnsi="宋体" w:cs="宋体" w:eastAsia="宋体" w:hint="default"/>
                <w:spacing w:val="-7"/>
                <w:sz w:val="21"/>
                <w:szCs w:val="21"/>
              </w:rPr>
              <w:t>会〔</w:t>
            </w:r>
            <w:r>
              <w:rPr>
                <w:rFonts w:ascii="Arial" w:hAnsi="Arial" w:cs="Arial" w:eastAsia="Arial" w:hint="default"/>
                <w:spacing w:val="-7"/>
                <w:sz w:val="21"/>
                <w:szCs w:val="21"/>
              </w:rPr>
              <w:t>2017</w:t>
            </w:r>
            <w:r>
              <w:rPr>
                <w:rFonts w:ascii="宋体" w:hAnsi="宋体" w:cs="宋体" w:eastAsia="宋体" w:hint="default"/>
                <w:spacing w:val="-7"/>
                <w:sz w:val="21"/>
                <w:szCs w:val="21"/>
              </w:rPr>
              <w:t>〕</w:t>
            </w:r>
            <w:r>
              <w:rPr>
                <w:rFonts w:ascii="Arial" w:hAnsi="Arial" w:cs="Arial" w:eastAsia="Arial" w:hint="default"/>
                <w:spacing w:val="-7"/>
                <w:sz w:val="21"/>
                <w:szCs w:val="21"/>
              </w:rPr>
              <w:t>8</w:t>
            </w:r>
            <w:r>
              <w:rPr>
                <w:rFonts w:ascii="Arial" w:hAnsi="Arial" w:cs="Arial" w:eastAsia="Arial" w:hint="default"/>
                <w:spacing w:val="5"/>
                <w:sz w:val="21"/>
                <w:szCs w:val="21"/>
              </w:rPr>
              <w:t> </w:t>
            </w:r>
            <w:r>
              <w:rPr>
                <w:rFonts w:ascii="宋体" w:hAnsi="宋体" w:cs="宋体" w:eastAsia="宋体" w:hint="default"/>
                <w:spacing w:val="-8"/>
                <w:sz w:val="21"/>
                <w:szCs w:val="21"/>
              </w:rPr>
              <w:t>号）、《企业会计准则第</w:t>
            </w:r>
            <w:r>
              <w:rPr>
                <w:rFonts w:ascii="宋体" w:hAnsi="宋体" w:cs="宋体" w:eastAsia="宋体" w:hint="default"/>
                <w:spacing w:val="-41"/>
                <w:sz w:val="21"/>
                <w:szCs w:val="21"/>
              </w:rPr>
              <w:t> </w:t>
            </w:r>
            <w:r>
              <w:rPr>
                <w:rFonts w:ascii="Arial" w:hAnsi="Arial" w:cs="Arial" w:eastAsia="Arial" w:hint="default"/>
                <w:sz w:val="21"/>
                <w:szCs w:val="21"/>
              </w:rPr>
              <w:t>24</w:t>
            </w:r>
            <w:r>
              <w:rPr>
                <w:rFonts w:ascii="Arial" w:hAnsi="Arial" w:cs="Arial" w:eastAsia="Arial" w:hint="default"/>
                <w:spacing w:val="2"/>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套</w:t>
            </w:r>
            <w:r>
              <w:rPr>
                <w:rFonts w:ascii="宋体" w:hAnsi="宋体" w:cs="宋体" w:eastAsia="宋体" w:hint="default"/>
                <w:spacing w:val="-101"/>
                <w:sz w:val="21"/>
                <w:szCs w:val="21"/>
              </w:rPr>
              <w:t> </w:t>
            </w:r>
            <w:r>
              <w:rPr>
                <w:rFonts w:ascii="宋体" w:hAnsi="宋体" w:cs="宋体" w:eastAsia="宋体" w:hint="default"/>
                <w:sz w:val="21"/>
                <w:szCs w:val="21"/>
              </w:rPr>
              <w:t>期会计（</w:t>
            </w:r>
            <w:r>
              <w:rPr>
                <w:rFonts w:ascii="Arial" w:hAnsi="Arial" w:cs="Arial" w:eastAsia="Arial" w:hint="default"/>
                <w:sz w:val="21"/>
                <w:szCs w:val="21"/>
              </w:rPr>
              <w:t>2017 </w:t>
            </w:r>
            <w:r>
              <w:rPr>
                <w:rFonts w:ascii="宋体" w:hAnsi="宋体" w:cs="宋体" w:eastAsia="宋体" w:hint="default"/>
                <w:sz w:val="21"/>
                <w:szCs w:val="21"/>
              </w:rPr>
              <w:t>年修订）》（财会〔</w:t>
            </w:r>
            <w:r>
              <w:rPr>
                <w:rFonts w:ascii="Arial" w:hAnsi="Arial" w:cs="Arial" w:eastAsia="Arial" w:hint="default"/>
                <w:sz w:val="21"/>
                <w:szCs w:val="21"/>
              </w:rPr>
              <w:t>2017</w:t>
            </w:r>
            <w:r>
              <w:rPr>
                <w:rFonts w:ascii="宋体" w:hAnsi="宋体" w:cs="宋体" w:eastAsia="宋体" w:hint="default"/>
                <w:sz w:val="21"/>
                <w:szCs w:val="21"/>
              </w:rPr>
              <w:t>〕</w:t>
            </w:r>
            <w:r>
              <w:rPr>
                <w:rFonts w:ascii="Arial" w:hAnsi="Arial" w:cs="Arial" w:eastAsia="Arial" w:hint="default"/>
                <w:sz w:val="21"/>
                <w:szCs w:val="21"/>
              </w:rPr>
              <w:t>9</w:t>
            </w:r>
            <w:r>
              <w:rPr>
                <w:rFonts w:ascii="Arial" w:hAnsi="Arial" w:cs="Arial" w:eastAsia="Arial" w:hint="default"/>
                <w:spacing w:val="-16"/>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于</w:t>
            </w:r>
            <w:r>
              <w:rPr>
                <w:rFonts w:ascii="宋体" w:hAnsi="宋体" w:cs="宋体" w:eastAsia="宋体" w:hint="default"/>
                <w:spacing w:val="-50"/>
                <w:sz w:val="21"/>
                <w:szCs w:val="21"/>
              </w:rPr>
              <w:t> </w:t>
            </w:r>
            <w:r>
              <w:rPr>
                <w:rFonts w:ascii="Arial" w:hAnsi="Arial" w:cs="Arial" w:eastAsia="Arial" w:hint="default"/>
                <w:sz w:val="21"/>
                <w:szCs w:val="21"/>
              </w:rPr>
              <w:t>2017</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5</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2</w:t>
            </w:r>
            <w:r>
              <w:rPr>
                <w:rFonts w:ascii="Arial" w:hAnsi="Arial" w:cs="Arial" w:eastAsia="Arial" w:hint="default"/>
                <w:spacing w:val="-6"/>
                <w:sz w:val="21"/>
                <w:szCs w:val="21"/>
              </w:rPr>
              <w:t> </w:t>
            </w:r>
            <w:r>
              <w:rPr>
                <w:rFonts w:ascii="宋体" w:hAnsi="宋体" w:cs="宋体" w:eastAsia="宋体" w:hint="default"/>
                <w:spacing w:val="-7"/>
                <w:sz w:val="21"/>
                <w:szCs w:val="21"/>
              </w:rPr>
              <w:t>日发布了《企业会计准则第</w:t>
            </w:r>
            <w:r>
              <w:rPr>
                <w:rFonts w:ascii="宋体" w:hAnsi="宋体" w:cs="宋体" w:eastAsia="宋体" w:hint="default"/>
                <w:spacing w:val="-51"/>
                <w:sz w:val="21"/>
                <w:szCs w:val="21"/>
              </w:rPr>
              <w:t> </w:t>
            </w:r>
            <w:r>
              <w:rPr>
                <w:rFonts w:ascii="Arial" w:hAnsi="Arial" w:cs="Arial" w:eastAsia="Arial" w:hint="default"/>
                <w:sz w:val="21"/>
                <w:szCs w:val="21"/>
              </w:rPr>
              <w:t>37</w:t>
            </w:r>
            <w:r>
              <w:rPr>
                <w:rFonts w:ascii="Arial" w:hAnsi="Arial" w:cs="Arial" w:eastAsia="Arial" w:hint="default"/>
                <w:spacing w:val="-4"/>
                <w:sz w:val="21"/>
                <w:szCs w:val="21"/>
              </w:rPr>
              <w:t> </w:t>
            </w:r>
            <w:r>
              <w:rPr>
                <w:rFonts w:ascii="宋体" w:hAnsi="宋体" w:cs="宋体" w:eastAsia="宋体" w:hint="default"/>
                <w:sz w:val="21"/>
                <w:szCs w:val="21"/>
              </w:rPr>
              <w:t>号</w:t>
            </w:r>
          </w:p>
        </w:tc>
        <w:tc>
          <w:tcPr>
            <w:tcW w:w="3140" w:type="dxa"/>
            <w:tcBorders>
              <w:top w:val="single" w:sz="4" w:space="0" w:color="41B7EE"/>
              <w:left w:val="single" w:sz="10" w:space="0" w:color="FFFFFF"/>
              <w:bottom w:val="single" w:sz="8" w:space="0" w:color="41B7EE"/>
              <w:right w:val="single" w:sz="4" w:space="0" w:color="41B7EE"/>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 w:right="80" w:firstLine="420"/>
              <w:jc w:val="left"/>
              <w:rPr>
                <w:rFonts w:ascii="宋体" w:hAnsi="宋体" w:cs="宋体" w:eastAsia="宋体" w:hint="default"/>
                <w:sz w:val="21"/>
                <w:szCs w:val="21"/>
              </w:rPr>
            </w:pPr>
            <w:r>
              <w:rPr>
                <w:rFonts w:ascii="宋体" w:hAnsi="宋体" w:cs="宋体" w:eastAsia="宋体" w:hint="default"/>
                <w:sz w:val="21"/>
                <w:szCs w:val="21"/>
              </w:rPr>
              <w:t>经本公司董事会第六十四次</w:t>
            </w:r>
            <w:r>
              <w:rPr>
                <w:rFonts w:ascii="宋体" w:hAnsi="宋体" w:cs="宋体" w:eastAsia="宋体" w:hint="default"/>
                <w:w w:val="100"/>
                <w:sz w:val="21"/>
                <w:szCs w:val="21"/>
              </w:rPr>
              <w:t> </w:t>
            </w:r>
            <w:r>
              <w:rPr>
                <w:rFonts w:ascii="宋体" w:hAnsi="宋体" w:cs="宋体" w:eastAsia="宋体" w:hint="default"/>
                <w:sz w:val="21"/>
                <w:szCs w:val="21"/>
              </w:rPr>
              <w:t>会议于</w:t>
            </w:r>
            <w:r>
              <w:rPr>
                <w:rFonts w:ascii="宋体" w:hAnsi="宋体" w:cs="宋体" w:eastAsia="宋体" w:hint="default"/>
                <w:spacing w:val="-52"/>
                <w:sz w:val="21"/>
                <w:szCs w:val="21"/>
              </w:rPr>
              <w:t> </w:t>
            </w:r>
            <w:r>
              <w:rPr>
                <w:rFonts w:ascii="Arial" w:hAnsi="Arial" w:cs="Arial" w:eastAsia="Arial" w:hint="default"/>
                <w:sz w:val="21"/>
                <w:szCs w:val="21"/>
              </w:rPr>
              <w:t>2019</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3</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10</w:t>
            </w:r>
            <w:r>
              <w:rPr>
                <w:rFonts w:ascii="Arial" w:hAnsi="Arial" w:cs="Arial" w:eastAsia="Arial" w:hint="default"/>
                <w:spacing w:val="-6"/>
                <w:sz w:val="21"/>
                <w:szCs w:val="21"/>
              </w:rPr>
              <w:t> </w:t>
            </w:r>
            <w:r>
              <w:rPr>
                <w:rFonts w:ascii="宋体" w:hAnsi="宋体" w:cs="宋体" w:eastAsia="宋体" w:hint="default"/>
                <w:sz w:val="21"/>
                <w:szCs w:val="21"/>
              </w:rPr>
              <w:t>日决议通</w:t>
            </w:r>
          </w:p>
          <w:p>
            <w:pPr>
              <w:pStyle w:val="TableParagraph"/>
              <w:spacing w:line="274" w:lineRule="exact" w:before="7"/>
              <w:ind w:left="14" w:right="20"/>
              <w:jc w:val="left"/>
              <w:rPr>
                <w:rFonts w:ascii="宋体" w:hAnsi="宋体" w:cs="宋体" w:eastAsia="宋体" w:hint="default"/>
                <w:sz w:val="21"/>
                <w:szCs w:val="21"/>
              </w:rPr>
            </w:pPr>
            <w:r>
              <w:rPr>
                <w:rFonts w:ascii="宋体" w:hAnsi="宋体" w:cs="宋体" w:eastAsia="宋体" w:hint="default"/>
                <w:spacing w:val="-7"/>
                <w:sz w:val="21"/>
                <w:szCs w:val="21"/>
              </w:rPr>
              <w:t>过，本公司于</w:t>
            </w:r>
            <w:r>
              <w:rPr>
                <w:rFonts w:ascii="宋体" w:hAnsi="宋体" w:cs="宋体" w:eastAsia="宋体" w:hint="default"/>
                <w:spacing w:val="-53"/>
                <w:sz w:val="21"/>
                <w:szCs w:val="21"/>
              </w:rPr>
              <w:t> </w:t>
            </w:r>
            <w:r>
              <w:rPr>
                <w:rFonts w:ascii="Arial" w:hAnsi="Arial" w:cs="Arial" w:eastAsia="Arial" w:hint="default"/>
                <w:sz w:val="21"/>
                <w:szCs w:val="21"/>
              </w:rPr>
              <w:t>2019</w:t>
            </w:r>
            <w:r>
              <w:rPr>
                <w:rFonts w:ascii="Arial" w:hAnsi="Arial" w:cs="Arial" w:eastAsia="Arial"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日起</w:t>
            </w:r>
            <w:r>
              <w:rPr>
                <w:rFonts w:ascii="宋体" w:hAnsi="宋体" w:cs="宋体" w:eastAsia="宋体" w:hint="default"/>
                <w:w w:val="100"/>
                <w:sz w:val="21"/>
                <w:szCs w:val="21"/>
              </w:rPr>
              <w:t> </w:t>
            </w:r>
            <w:r>
              <w:rPr>
                <w:rFonts w:ascii="宋体" w:hAnsi="宋体" w:cs="宋体" w:eastAsia="宋体" w:hint="default"/>
                <w:sz w:val="21"/>
                <w:szCs w:val="21"/>
              </w:rPr>
              <w:t>开始执行前述新金融工具准则。</w:t>
            </w:r>
          </w:p>
          <w:p>
            <w:pPr>
              <w:pStyle w:val="TableParagraph"/>
              <w:spacing w:line="111" w:lineRule="exact"/>
              <w:ind w:left="-176"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42" w:type="dxa"/>
            <w:tcBorders>
              <w:top w:val="single" w:sz="4" w:space="0" w:color="41B7EE"/>
              <w:left w:val="single" w:sz="4" w:space="0" w:color="41B7EE"/>
              <w:bottom w:val="single" w:sz="8" w:space="0" w:color="41B7EE"/>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21" w:right="24"/>
              <w:jc w:val="left"/>
              <w:rPr>
                <w:rFonts w:ascii="宋体" w:hAnsi="宋体" w:cs="宋体" w:eastAsia="宋体" w:hint="default"/>
                <w:sz w:val="21"/>
                <w:szCs w:val="21"/>
              </w:rPr>
            </w:pPr>
            <w:r>
              <w:rPr>
                <w:rFonts w:ascii="宋体" w:hAnsi="宋体" w:cs="宋体" w:eastAsia="宋体" w:hint="default"/>
                <w:spacing w:val="-14"/>
                <w:sz w:val="21"/>
                <w:szCs w:val="21"/>
              </w:rPr>
              <w:t>详见“其他</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说明”①</w:t>
            </w:r>
          </w:p>
        </w:tc>
      </w:tr>
    </w:tbl>
    <w:p>
      <w:pPr>
        <w:spacing w:after="0" w:line="272" w:lineRule="exact"/>
        <w:jc w:val="left"/>
        <w:rPr>
          <w:rFonts w:ascii="宋体" w:hAnsi="宋体" w:cs="宋体" w:eastAsia="宋体" w:hint="default"/>
          <w:sz w:val="21"/>
          <w:szCs w:val="21"/>
        </w:rPr>
        <w:sectPr>
          <w:pgSz w:w="11910" w:h="16840"/>
          <w:pgMar w:header="826" w:footer="1195" w:top="1300" w:bottom="1380" w:left="1120" w:right="1580"/>
        </w:sectPr>
      </w:pPr>
    </w:p>
    <w:p>
      <w:pPr>
        <w:spacing w:line="240" w:lineRule="auto" w:before="2"/>
        <w:rPr>
          <w:rFonts w:ascii="宋体" w:hAnsi="宋体" w:cs="宋体" w:eastAsia="宋体" w:hint="default"/>
          <w:sz w:val="13"/>
          <w:szCs w:val="13"/>
        </w:rPr>
      </w:pPr>
      <w:r>
        <w:rPr/>
        <w:pict>
          <v:shape style="position:absolute;margin-left:291.290009pt;margin-top:74.995979pt;width:163.4pt;height:54.55pt;mso-position-horizontal-relative:page;mso-position-vertical-relative:page;z-index:-941776" type="#_x0000_t202" filled="false" stroked="false">
            <v:textbox inset="0,0,0,0">
              <w:txbxContent>
                <w:p>
                  <w:pPr>
                    <w:pStyle w:val="BodyText"/>
                    <w:spacing w:line="241" w:lineRule="exact"/>
                    <w:ind w:left="0" w:right="0"/>
                    <w:jc w:val="left"/>
                  </w:pPr>
                  <w:r>
                    <w:rPr>
                      <w:w w:val="100"/>
                    </w:rPr>
                    <w:t>〕</w:t>
                  </w:r>
                </w:p>
              </w:txbxContent>
            </v:textbox>
            <w10:wrap type="none"/>
          </v:shape>
        </w:pict>
      </w:r>
      <w:r>
        <w:rPr/>
        <w:pict>
          <v:group style="position:absolute;margin-left:61.919998pt;margin-top:71.999985pt;width:392.75pt;height:57.5pt;mso-position-horizontal-relative:page;mso-position-vertical-relative:page;z-index:-941752" coordorigin="1238,1440" coordsize="7855,1150">
            <v:group style="position:absolute;left:5960;top:1500;width:3133;height:1091" coordorigin="5960,1500" coordsize="3133,1091">
              <v:shape style="position:absolute;left:5960;top:1500;width:3133;height:1091" coordorigin="5960,1500" coordsize="3133,1091" path="m5960,2590l9093,2590,9093,1500,5960,1500,5960,2590xe" filled="true" fillcolor="#ffffff" stroked="false">
                <v:path arrowok="t"/>
                <v:fill type="solid"/>
              </v:shape>
            </v:group>
            <v:group style="position:absolute;left:1248;top:1450;width:4705;height:2" coordorigin="1248,1450" coordsize="4705,2">
              <v:shape style="position:absolute;left:1248;top:1450;width:4705;height:2" coordorigin="1248,1450" coordsize="4705,0" path="m1248,1450l5953,1450e" filled="false" stroked="true" strokeweight=".96pt" strokecolor="#41b7ee">
                <v:path arrowok="t"/>
              </v:shape>
            </v:group>
            <w10:wrap type="none"/>
          </v:group>
        </w:pict>
      </w:r>
    </w:p>
    <w:tbl>
      <w:tblPr>
        <w:tblW w:w="0" w:type="auto"/>
        <w:jc w:val="left"/>
        <w:tblInd w:w="119" w:type="dxa"/>
        <w:tblLayout w:type="fixed"/>
        <w:tblCellMar>
          <w:top w:w="0" w:type="dxa"/>
          <w:left w:w="0" w:type="dxa"/>
          <w:bottom w:w="0" w:type="dxa"/>
          <w:right w:w="0" w:type="dxa"/>
        </w:tblCellMar>
        <w:tblLook w:val="01E0"/>
      </w:tblPr>
      <w:tblGrid>
        <w:gridCol w:w="4710"/>
        <w:gridCol w:w="3140"/>
        <w:gridCol w:w="1042"/>
      </w:tblGrid>
      <w:tr>
        <w:trPr>
          <w:trHeight w:val="288" w:hRule="exact"/>
        </w:trPr>
        <w:tc>
          <w:tcPr>
            <w:tcW w:w="4710" w:type="dxa"/>
            <w:tcBorders>
              <w:top w:val="single" w:sz="8" w:space="0" w:color="41B7EE"/>
              <w:left w:val="nil" w:sz="6" w:space="0" w:color="auto"/>
              <w:bottom w:val="nil" w:sz="6" w:space="0" w:color="auto"/>
              <w:right w:val="single" w:sz="4" w:space="0" w:color="41B7EE"/>
            </w:tcBorders>
          </w:tcPr>
          <w:p>
            <w:pPr>
              <w:pStyle w:val="TableParagraph"/>
              <w:spacing w:line="258" w:lineRule="exact"/>
              <w:ind w:left="28" w:right="0"/>
              <w:jc w:val="left"/>
              <w:rPr>
                <w:rFonts w:ascii="Arial" w:hAnsi="Arial" w:cs="Arial" w:eastAsia="Arial" w:hint="default"/>
                <w:sz w:val="21"/>
                <w:szCs w:val="21"/>
              </w:rPr>
            </w:pPr>
            <w:r>
              <w:rPr>
                <w:rFonts w:ascii="Arial" w:hAnsi="Arial" w:cs="Arial" w:eastAsia="Arial" w:hint="default"/>
                <w:w w:val="100"/>
                <w:sz w:val="21"/>
                <w:szCs w:val="21"/>
              </w:rPr>
              <w:t>——</w:t>
            </w:r>
            <w:r>
              <w:rPr>
                <w:rFonts w:ascii="宋体" w:hAnsi="宋体" w:cs="宋体" w:eastAsia="宋体" w:hint="default"/>
                <w:spacing w:val="-3"/>
                <w:w w:val="100"/>
                <w:sz w:val="21"/>
                <w:szCs w:val="21"/>
              </w:rPr>
              <w:t>金</w:t>
            </w:r>
            <w:r>
              <w:rPr>
                <w:rFonts w:ascii="宋体" w:hAnsi="宋体" w:cs="宋体" w:eastAsia="宋体" w:hint="default"/>
                <w:w w:val="100"/>
                <w:sz w:val="21"/>
                <w:szCs w:val="21"/>
              </w:rPr>
              <w:t>融</w:t>
            </w:r>
            <w:r>
              <w:rPr>
                <w:rFonts w:ascii="宋体" w:hAnsi="宋体" w:cs="宋体" w:eastAsia="宋体" w:hint="default"/>
                <w:spacing w:val="-3"/>
                <w:w w:val="100"/>
                <w:sz w:val="21"/>
                <w:szCs w:val="21"/>
              </w:rPr>
              <w:t>工</w:t>
            </w:r>
            <w:r>
              <w:rPr>
                <w:rFonts w:ascii="宋体" w:hAnsi="宋体" w:cs="宋体" w:eastAsia="宋体" w:hint="default"/>
                <w:w w:val="100"/>
                <w:sz w:val="21"/>
                <w:szCs w:val="21"/>
              </w:rPr>
              <w:t>具</w:t>
            </w:r>
            <w:r>
              <w:rPr>
                <w:rFonts w:ascii="宋体" w:hAnsi="宋体" w:cs="宋体" w:eastAsia="宋体" w:hint="default"/>
                <w:spacing w:val="-3"/>
                <w:w w:val="100"/>
                <w:sz w:val="21"/>
                <w:szCs w:val="21"/>
              </w:rPr>
              <w:t>列</w:t>
            </w:r>
            <w:r>
              <w:rPr>
                <w:rFonts w:ascii="宋体" w:hAnsi="宋体" w:cs="宋体" w:eastAsia="宋体" w:hint="default"/>
                <w:spacing w:val="-46"/>
                <w:w w:val="100"/>
                <w:sz w:val="21"/>
                <w:szCs w:val="21"/>
              </w:rPr>
              <w:t>报</w:t>
            </w:r>
            <w:r>
              <w:rPr>
                <w:rFonts w:ascii="宋体" w:hAnsi="宋体" w:cs="宋体" w:eastAsia="宋体" w:hint="default"/>
                <w:spacing w:val="-1"/>
                <w:w w:val="100"/>
                <w:sz w:val="21"/>
                <w:szCs w:val="21"/>
              </w:rPr>
              <w:t>（</w:t>
            </w:r>
            <w:r>
              <w:rPr>
                <w:rFonts w:ascii="Arial" w:hAnsi="Arial" w:cs="Arial" w:eastAsia="Arial" w:hint="default"/>
                <w:spacing w:val="-3"/>
                <w:w w:val="100"/>
                <w:sz w:val="21"/>
                <w:szCs w:val="21"/>
              </w:rPr>
              <w:t>2</w:t>
            </w:r>
            <w:r>
              <w:rPr>
                <w:rFonts w:ascii="Arial" w:hAnsi="Arial" w:cs="Arial" w:eastAsia="Arial" w:hint="default"/>
                <w:w w:val="100"/>
                <w:sz w:val="21"/>
                <w:szCs w:val="21"/>
              </w:rPr>
              <w:t>017</w:t>
            </w:r>
            <w:r>
              <w:rPr>
                <w:rFonts w:ascii="Arial" w:hAnsi="Arial" w:cs="Arial" w:eastAsia="Arial" w:hint="default"/>
                <w:spacing w:val="-8"/>
                <w:sz w:val="21"/>
                <w:szCs w:val="21"/>
              </w:rPr>
              <w:t> </w:t>
            </w:r>
            <w:r>
              <w:rPr>
                <w:rFonts w:ascii="宋体" w:hAnsi="宋体" w:cs="宋体" w:eastAsia="宋体" w:hint="default"/>
                <w:w w:val="100"/>
                <w:sz w:val="21"/>
                <w:szCs w:val="21"/>
              </w:rPr>
              <w:t>年修</w:t>
            </w:r>
            <w:r>
              <w:rPr>
                <w:rFonts w:ascii="宋体" w:hAnsi="宋体" w:cs="宋体" w:eastAsia="宋体" w:hint="default"/>
                <w:spacing w:val="-3"/>
                <w:w w:val="100"/>
                <w:sz w:val="21"/>
                <w:szCs w:val="21"/>
              </w:rPr>
              <w:t>订</w:t>
            </w:r>
            <w:r>
              <w:rPr>
                <w:rFonts w:ascii="宋体" w:hAnsi="宋体" w:cs="宋体" w:eastAsia="宋体" w:hint="default"/>
                <w:spacing w:val="-46"/>
                <w:w w:val="100"/>
                <w:sz w:val="21"/>
                <w:szCs w:val="21"/>
              </w:rPr>
              <w:t>）</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财</w:t>
            </w:r>
            <w:r>
              <w:rPr>
                <w:rFonts w:ascii="宋体" w:hAnsi="宋体" w:cs="宋体" w:eastAsia="宋体" w:hint="default"/>
                <w:spacing w:val="-46"/>
                <w:w w:val="100"/>
                <w:sz w:val="21"/>
                <w:szCs w:val="21"/>
              </w:rPr>
              <w:t>会</w:t>
            </w:r>
            <w:r>
              <w:rPr>
                <w:rFonts w:ascii="宋体" w:hAnsi="宋体" w:cs="宋体" w:eastAsia="宋体" w:hint="default"/>
                <w:w w:val="100"/>
                <w:sz w:val="21"/>
                <w:szCs w:val="21"/>
              </w:rPr>
              <w:t>〔</w:t>
            </w:r>
            <w:r>
              <w:rPr>
                <w:rFonts w:ascii="Arial" w:hAnsi="Arial" w:cs="Arial" w:eastAsia="Arial" w:hint="default"/>
                <w:spacing w:val="-3"/>
                <w:w w:val="100"/>
                <w:sz w:val="21"/>
                <w:szCs w:val="21"/>
              </w:rPr>
              <w:t>2</w:t>
            </w:r>
            <w:r>
              <w:rPr>
                <w:rFonts w:ascii="Arial" w:hAnsi="Arial" w:cs="Arial" w:eastAsia="Arial" w:hint="default"/>
                <w:w w:val="100"/>
                <w:sz w:val="21"/>
                <w:szCs w:val="21"/>
              </w:rPr>
              <w:t>017</w:t>
            </w:r>
          </w:p>
        </w:tc>
        <w:tc>
          <w:tcPr>
            <w:tcW w:w="3140" w:type="dxa"/>
            <w:vMerge w:val="restart"/>
            <w:tcBorders>
              <w:top w:val="single" w:sz="8" w:space="0" w:color="41B7EE"/>
              <w:left w:val="single" w:sz="4" w:space="0" w:color="41B7EE"/>
              <w:right w:val="single" w:sz="4" w:space="0" w:color="41B7EE"/>
            </w:tcBorders>
          </w:tcPr>
          <w:p>
            <w:pPr/>
          </w:p>
        </w:tc>
        <w:tc>
          <w:tcPr>
            <w:tcW w:w="1042" w:type="dxa"/>
            <w:vMerge w:val="restart"/>
            <w:tcBorders>
              <w:top w:val="single" w:sz="8" w:space="0" w:color="41B7EE"/>
              <w:left w:val="single" w:sz="4" w:space="0" w:color="41B7EE"/>
              <w:right w:val="nil" w:sz="6" w:space="0" w:color="auto"/>
            </w:tcBorders>
          </w:tcPr>
          <w:p>
            <w:pPr/>
          </w:p>
        </w:tc>
      </w:tr>
      <w:tr>
        <w:trPr>
          <w:trHeight w:val="273" w:hRule="exact"/>
        </w:trPr>
        <w:tc>
          <w:tcPr>
            <w:tcW w:w="4710" w:type="dxa"/>
            <w:tcBorders>
              <w:top w:val="nil" w:sz="6" w:space="0" w:color="auto"/>
              <w:left w:val="nil" w:sz="6" w:space="0" w:color="auto"/>
              <w:bottom w:val="nil" w:sz="6" w:space="0" w:color="auto"/>
              <w:right w:val="single" w:sz="4" w:space="0" w:color="41B7EE"/>
            </w:tcBorders>
          </w:tcPr>
          <w:p>
            <w:pPr>
              <w:pStyle w:val="TableParagraph"/>
              <w:spacing w:line="251" w:lineRule="exact"/>
              <w:ind w:left="28" w:right="0"/>
              <w:jc w:val="left"/>
              <w:rPr>
                <w:rFonts w:ascii="宋体" w:hAnsi="宋体" w:cs="宋体" w:eastAsia="宋体" w:hint="default"/>
                <w:sz w:val="21"/>
                <w:szCs w:val="21"/>
              </w:rPr>
            </w:pPr>
            <w:r>
              <w:rPr>
                <w:rFonts w:ascii="Arial" w:hAnsi="Arial" w:cs="Arial" w:eastAsia="Arial" w:hint="default"/>
                <w:sz w:val="21"/>
                <w:szCs w:val="21"/>
              </w:rPr>
              <w:t>14</w:t>
            </w:r>
            <w:r>
              <w:rPr>
                <w:rFonts w:ascii="Arial" w:hAnsi="Arial" w:cs="Arial" w:eastAsia="Arial" w:hint="default"/>
                <w:spacing w:val="29"/>
                <w:sz w:val="21"/>
                <w:szCs w:val="21"/>
              </w:rPr>
              <w:t> </w:t>
            </w:r>
            <w:r>
              <w:rPr>
                <w:rFonts w:ascii="宋体" w:hAnsi="宋体" w:cs="宋体" w:eastAsia="宋体" w:hint="default"/>
                <w:spacing w:val="-4"/>
                <w:sz w:val="21"/>
                <w:szCs w:val="21"/>
              </w:rPr>
              <w:t>号）（上述准则统称“新金融工具准则”），要</w:t>
            </w:r>
          </w:p>
        </w:tc>
        <w:tc>
          <w:tcPr>
            <w:tcW w:w="3140" w:type="dxa"/>
            <w:vMerge/>
            <w:tcBorders>
              <w:left w:val="single" w:sz="4" w:space="0" w:color="41B7EE"/>
              <w:right w:val="single" w:sz="4" w:space="0" w:color="41B7EE"/>
            </w:tcBorders>
          </w:tcPr>
          <w:p>
            <w:pPr/>
          </w:p>
        </w:tc>
        <w:tc>
          <w:tcPr>
            <w:tcW w:w="1042" w:type="dxa"/>
            <w:vMerge/>
            <w:tcBorders>
              <w:left w:val="single" w:sz="4" w:space="0" w:color="41B7EE"/>
              <w:right w:val="nil" w:sz="6" w:space="0" w:color="auto"/>
            </w:tcBorders>
          </w:tcPr>
          <w:p>
            <w:pPr/>
          </w:p>
        </w:tc>
      </w:tr>
      <w:tr>
        <w:trPr>
          <w:trHeight w:val="272" w:hRule="exact"/>
        </w:trPr>
        <w:tc>
          <w:tcPr>
            <w:tcW w:w="4710" w:type="dxa"/>
            <w:tcBorders>
              <w:top w:val="nil" w:sz="6" w:space="0" w:color="auto"/>
              <w:left w:val="nil" w:sz="6" w:space="0" w:color="auto"/>
              <w:bottom w:val="nil" w:sz="6" w:space="0" w:color="auto"/>
              <w:right w:val="single" w:sz="4" w:space="0" w:color="41B7EE"/>
            </w:tcBorders>
          </w:tcPr>
          <w:p>
            <w:pPr>
              <w:pStyle w:val="TableParagraph"/>
              <w:spacing w:line="252" w:lineRule="exact"/>
              <w:ind w:left="28" w:right="0"/>
              <w:jc w:val="left"/>
              <w:rPr>
                <w:rFonts w:ascii="宋体" w:hAnsi="宋体" w:cs="宋体" w:eastAsia="宋体" w:hint="default"/>
                <w:sz w:val="21"/>
                <w:szCs w:val="21"/>
              </w:rPr>
            </w:pPr>
            <w:r>
              <w:rPr>
                <w:rFonts w:ascii="宋体" w:hAnsi="宋体" w:cs="宋体" w:eastAsia="宋体" w:hint="default"/>
                <w:sz w:val="21"/>
                <w:szCs w:val="21"/>
              </w:rPr>
              <w:t>求境内上市企业自</w:t>
            </w:r>
            <w:r>
              <w:rPr>
                <w:rFonts w:ascii="宋体" w:hAnsi="宋体" w:cs="宋体" w:eastAsia="宋体" w:hint="default"/>
                <w:spacing w:val="-53"/>
                <w:sz w:val="21"/>
                <w:szCs w:val="21"/>
              </w:rPr>
              <w:t> </w:t>
            </w:r>
            <w:r>
              <w:rPr>
                <w:rFonts w:ascii="Arial" w:hAnsi="Arial" w:cs="Arial" w:eastAsia="Arial" w:hint="default"/>
                <w:sz w:val="21"/>
                <w:szCs w:val="21"/>
              </w:rPr>
              <w:t>2019</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w:t>
            </w:r>
            <w:r>
              <w:rPr>
                <w:rFonts w:ascii="Arial" w:hAnsi="Arial" w:cs="Arial" w:eastAsia="Arial" w:hint="default"/>
                <w:spacing w:val="-8"/>
                <w:sz w:val="21"/>
                <w:szCs w:val="21"/>
              </w:rPr>
              <w:t> </w:t>
            </w:r>
            <w:r>
              <w:rPr>
                <w:rFonts w:ascii="宋体" w:hAnsi="宋体" w:cs="宋体" w:eastAsia="宋体" w:hint="default"/>
                <w:sz w:val="21"/>
                <w:szCs w:val="21"/>
              </w:rPr>
              <w:t>日起执行新金融</w:t>
            </w:r>
          </w:p>
        </w:tc>
        <w:tc>
          <w:tcPr>
            <w:tcW w:w="3140" w:type="dxa"/>
            <w:vMerge/>
            <w:tcBorders>
              <w:left w:val="single" w:sz="4" w:space="0" w:color="41B7EE"/>
              <w:right w:val="single" w:sz="4" w:space="0" w:color="41B7EE"/>
            </w:tcBorders>
          </w:tcPr>
          <w:p>
            <w:pPr/>
          </w:p>
        </w:tc>
        <w:tc>
          <w:tcPr>
            <w:tcW w:w="1042" w:type="dxa"/>
            <w:vMerge/>
            <w:tcBorders>
              <w:left w:val="single" w:sz="4" w:space="0" w:color="41B7EE"/>
              <w:right w:val="nil" w:sz="6" w:space="0" w:color="auto"/>
            </w:tcBorders>
          </w:tcPr>
          <w:p>
            <w:pPr/>
          </w:p>
        </w:tc>
      </w:tr>
      <w:tr>
        <w:trPr>
          <w:trHeight w:val="274" w:hRule="exact"/>
        </w:trPr>
        <w:tc>
          <w:tcPr>
            <w:tcW w:w="4710" w:type="dxa"/>
            <w:tcBorders>
              <w:top w:val="nil" w:sz="6" w:space="0" w:color="auto"/>
              <w:left w:val="nil" w:sz="6" w:space="0" w:color="auto"/>
              <w:bottom w:val="single" w:sz="4" w:space="0" w:color="41B7EE"/>
              <w:right w:val="single" w:sz="4" w:space="0" w:color="41B7EE"/>
            </w:tcBorders>
          </w:tcPr>
          <w:p>
            <w:pPr>
              <w:pStyle w:val="TableParagraph"/>
              <w:spacing w:line="236" w:lineRule="exact"/>
              <w:ind w:left="28" w:right="0"/>
              <w:jc w:val="left"/>
              <w:rPr>
                <w:rFonts w:ascii="宋体" w:hAnsi="宋体" w:cs="宋体" w:eastAsia="宋体" w:hint="default"/>
                <w:sz w:val="21"/>
                <w:szCs w:val="21"/>
              </w:rPr>
            </w:pPr>
            <w:r>
              <w:rPr>
                <w:rFonts w:ascii="宋体" w:hAnsi="宋体" w:cs="宋体" w:eastAsia="宋体" w:hint="default"/>
                <w:sz w:val="21"/>
                <w:szCs w:val="21"/>
              </w:rPr>
              <w:t>工具准则。</w:t>
            </w:r>
          </w:p>
        </w:tc>
        <w:tc>
          <w:tcPr>
            <w:tcW w:w="3140" w:type="dxa"/>
            <w:vMerge/>
            <w:tcBorders>
              <w:left w:val="single" w:sz="4" w:space="0" w:color="41B7EE"/>
              <w:bottom w:val="single" w:sz="4" w:space="0" w:color="41B7EE"/>
              <w:right w:val="single" w:sz="4" w:space="0" w:color="41B7EE"/>
            </w:tcBorders>
          </w:tcPr>
          <w:p>
            <w:pPr/>
          </w:p>
        </w:tc>
        <w:tc>
          <w:tcPr>
            <w:tcW w:w="1042" w:type="dxa"/>
            <w:vMerge/>
            <w:tcBorders>
              <w:left w:val="single" w:sz="4" w:space="0" w:color="41B7EE"/>
              <w:bottom w:val="single" w:sz="4" w:space="0" w:color="41B7EE"/>
              <w:right w:val="nil" w:sz="6" w:space="0" w:color="auto"/>
            </w:tcBorders>
          </w:tcPr>
          <w:p>
            <w:pPr/>
          </w:p>
        </w:tc>
      </w:tr>
      <w:tr>
        <w:trPr>
          <w:trHeight w:val="282" w:hRule="exact"/>
        </w:trPr>
        <w:tc>
          <w:tcPr>
            <w:tcW w:w="4710" w:type="dxa"/>
            <w:tcBorders>
              <w:top w:val="single" w:sz="4" w:space="0" w:color="41B7EE"/>
              <w:left w:val="nil" w:sz="6" w:space="0" w:color="auto"/>
              <w:bottom w:val="nil" w:sz="6" w:space="0" w:color="auto"/>
              <w:right w:val="single" w:sz="4" w:space="0" w:color="41B7EE"/>
            </w:tcBorders>
          </w:tcPr>
          <w:p>
            <w:pPr>
              <w:pStyle w:val="TableParagraph"/>
              <w:spacing w:line="256" w:lineRule="exact"/>
              <w:ind w:left="28" w:right="0"/>
              <w:jc w:val="left"/>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pacing w:val="-50"/>
                <w:sz w:val="21"/>
                <w:szCs w:val="21"/>
              </w:rPr>
              <w:t> </w:t>
            </w:r>
            <w:r>
              <w:rPr>
                <w:rFonts w:ascii="Arial" w:hAnsi="Arial" w:cs="Arial" w:eastAsia="Arial" w:hint="default"/>
                <w:sz w:val="21"/>
                <w:szCs w:val="21"/>
              </w:rPr>
              <w:t>2019</w:t>
            </w:r>
            <w:r>
              <w:rPr>
                <w:rFonts w:ascii="Arial" w:hAnsi="Arial" w:cs="Arial" w:eastAsia="Arial"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4</w:t>
            </w:r>
            <w:r>
              <w:rPr>
                <w:rFonts w:ascii="Arial" w:hAnsi="Arial" w:cs="Arial" w:eastAsia="Arial"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30</w:t>
            </w:r>
            <w:r>
              <w:rPr>
                <w:rFonts w:ascii="Arial" w:hAnsi="Arial" w:cs="Arial" w:eastAsia="Arial" w:hint="default"/>
                <w:spacing w:val="-6"/>
                <w:sz w:val="21"/>
                <w:szCs w:val="21"/>
              </w:rPr>
              <w:t> </w:t>
            </w:r>
            <w:r>
              <w:rPr>
                <w:rFonts w:ascii="宋体" w:hAnsi="宋体" w:cs="宋体" w:eastAsia="宋体" w:hint="default"/>
                <w:spacing w:val="-6"/>
                <w:sz w:val="21"/>
                <w:szCs w:val="21"/>
              </w:rPr>
              <w:t>日发布了《关于修订印发</w:t>
            </w:r>
          </w:p>
        </w:tc>
        <w:tc>
          <w:tcPr>
            <w:tcW w:w="3140" w:type="dxa"/>
            <w:tcBorders>
              <w:top w:val="single" w:sz="4" w:space="0" w:color="41B7EE"/>
              <w:left w:val="single" w:sz="4" w:space="0" w:color="41B7EE"/>
              <w:bottom w:val="nil" w:sz="6" w:space="0" w:color="auto"/>
              <w:right w:val="single" w:sz="4" w:space="0" w:color="41B7EE"/>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经本公司董事会第六届第六十八</w:t>
            </w:r>
          </w:p>
        </w:tc>
        <w:tc>
          <w:tcPr>
            <w:tcW w:w="1042" w:type="dxa"/>
            <w:tcBorders>
              <w:top w:val="single" w:sz="4" w:space="0" w:color="41B7EE"/>
              <w:left w:val="single" w:sz="4" w:space="0" w:color="41B7EE"/>
              <w:bottom w:val="nil" w:sz="6" w:space="0" w:color="auto"/>
              <w:right w:val="nil" w:sz="6" w:space="0" w:color="auto"/>
            </w:tcBorders>
          </w:tcPr>
          <w:p>
            <w:pPr/>
          </w:p>
        </w:tc>
      </w:tr>
      <w:tr>
        <w:trPr>
          <w:trHeight w:val="272" w:hRule="exact"/>
        </w:trPr>
        <w:tc>
          <w:tcPr>
            <w:tcW w:w="4710" w:type="dxa"/>
            <w:tcBorders>
              <w:top w:val="nil" w:sz="6" w:space="0" w:color="auto"/>
              <w:left w:val="nil" w:sz="6" w:space="0" w:color="auto"/>
              <w:bottom w:val="nil" w:sz="6" w:space="0" w:color="auto"/>
              <w:right w:val="single" w:sz="4" w:space="0" w:color="41B7EE"/>
            </w:tcBorders>
          </w:tcPr>
          <w:p>
            <w:pPr>
              <w:pStyle w:val="TableParagraph"/>
              <w:spacing w:line="252" w:lineRule="exact"/>
              <w:ind w:left="28"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10"/>
                <w:sz w:val="21"/>
                <w:szCs w:val="21"/>
              </w:rPr>
              <w:t> </w:t>
            </w:r>
            <w:r>
              <w:rPr>
                <w:rFonts w:ascii="宋体" w:hAnsi="宋体" w:cs="宋体" w:eastAsia="宋体" w:hint="default"/>
                <w:sz w:val="21"/>
                <w:szCs w:val="21"/>
              </w:rPr>
              <w:t>年度一般企业财务报表格式的通知》（财会</w:t>
            </w:r>
          </w:p>
        </w:tc>
        <w:tc>
          <w:tcPr>
            <w:tcW w:w="3140" w:type="dxa"/>
            <w:tcBorders>
              <w:top w:val="nil" w:sz="6" w:space="0" w:color="auto"/>
              <w:left w:val="single" w:sz="4" w:space="0" w:color="41B7EE"/>
              <w:bottom w:val="nil" w:sz="6" w:space="0" w:color="auto"/>
              <w:right w:val="single" w:sz="4" w:space="0" w:color="41B7EE"/>
            </w:tcBorders>
          </w:tcPr>
          <w:p>
            <w:pPr>
              <w:pStyle w:val="TableParagraph"/>
              <w:spacing w:line="252" w:lineRule="exact"/>
              <w:ind w:left="21" w:right="0"/>
              <w:jc w:val="left"/>
              <w:rPr>
                <w:rFonts w:ascii="宋体" w:hAnsi="宋体" w:cs="宋体" w:eastAsia="宋体" w:hint="default"/>
                <w:sz w:val="21"/>
                <w:szCs w:val="21"/>
              </w:rPr>
            </w:pPr>
            <w:r>
              <w:rPr>
                <w:rFonts w:ascii="宋体" w:hAnsi="宋体" w:cs="宋体" w:eastAsia="宋体" w:hint="default"/>
                <w:sz w:val="21"/>
                <w:szCs w:val="21"/>
              </w:rPr>
              <w:t>次会议决议于</w:t>
            </w:r>
            <w:r>
              <w:rPr>
                <w:rFonts w:ascii="宋体" w:hAnsi="宋体" w:cs="宋体" w:eastAsia="宋体" w:hint="default"/>
                <w:spacing w:val="-52"/>
                <w:sz w:val="21"/>
                <w:szCs w:val="21"/>
              </w:rPr>
              <w:t> </w:t>
            </w:r>
            <w:r>
              <w:rPr>
                <w:rFonts w:ascii="Arial" w:hAnsi="Arial" w:cs="Arial" w:eastAsia="Arial" w:hint="default"/>
                <w:sz w:val="21"/>
                <w:szCs w:val="21"/>
              </w:rPr>
              <w:t>2019</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8</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24</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1042" w:type="dxa"/>
            <w:tcBorders>
              <w:top w:val="nil" w:sz="6" w:space="0" w:color="auto"/>
              <w:left w:val="single" w:sz="4" w:space="0" w:color="41B7EE"/>
              <w:bottom w:val="nil" w:sz="6" w:space="0" w:color="auto"/>
              <w:right w:val="nil" w:sz="6" w:space="0" w:color="auto"/>
            </w:tcBorders>
          </w:tcPr>
          <w:p>
            <w:pPr>
              <w:pStyle w:val="TableParagraph"/>
              <w:spacing w:line="237" w:lineRule="exact"/>
              <w:ind w:left="21" w:right="0"/>
              <w:jc w:val="left"/>
              <w:rPr>
                <w:rFonts w:ascii="宋体" w:hAnsi="宋体" w:cs="宋体" w:eastAsia="宋体" w:hint="default"/>
                <w:sz w:val="21"/>
                <w:szCs w:val="21"/>
              </w:rPr>
            </w:pPr>
            <w:r>
              <w:rPr>
                <w:rFonts w:ascii="宋体" w:hAnsi="宋体" w:cs="宋体" w:eastAsia="宋体" w:hint="default"/>
                <w:spacing w:val="-14"/>
                <w:sz w:val="21"/>
                <w:szCs w:val="21"/>
              </w:rPr>
              <w:t>详见“其他</w:t>
            </w:r>
          </w:p>
        </w:tc>
      </w:tr>
      <w:tr>
        <w:trPr>
          <w:trHeight w:val="272" w:hRule="exact"/>
        </w:trPr>
        <w:tc>
          <w:tcPr>
            <w:tcW w:w="4710" w:type="dxa"/>
            <w:tcBorders>
              <w:top w:val="nil" w:sz="6" w:space="0" w:color="auto"/>
              <w:left w:val="nil" w:sz="6" w:space="0" w:color="auto"/>
              <w:bottom w:val="nil" w:sz="6" w:space="0" w:color="auto"/>
              <w:right w:val="single" w:sz="4" w:space="0" w:color="41B7EE"/>
            </w:tcBorders>
          </w:tcPr>
          <w:p>
            <w:pPr>
              <w:pStyle w:val="TableParagraph"/>
              <w:spacing w:line="251" w:lineRule="exact"/>
              <w:ind w:left="28"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2019</w:t>
            </w:r>
            <w:r>
              <w:rPr>
                <w:rFonts w:ascii="宋体" w:hAnsi="宋体" w:cs="宋体" w:eastAsia="宋体" w:hint="default"/>
                <w:sz w:val="21"/>
                <w:szCs w:val="21"/>
              </w:rPr>
              <w:t>〕</w:t>
            </w:r>
            <w:r>
              <w:rPr>
                <w:rFonts w:ascii="Arial" w:hAnsi="Arial" w:cs="Arial" w:eastAsia="Arial" w:hint="default"/>
                <w:sz w:val="21"/>
                <w:szCs w:val="21"/>
              </w:rPr>
              <w:t>6</w:t>
            </w:r>
            <w:r>
              <w:rPr>
                <w:rFonts w:ascii="Arial" w:hAnsi="Arial" w:cs="Arial" w:eastAsia="Arial" w:hint="default"/>
                <w:spacing w:val="-10"/>
                <w:sz w:val="21"/>
                <w:szCs w:val="21"/>
              </w:rPr>
              <w:t> </w:t>
            </w:r>
            <w:r>
              <w:rPr>
                <w:rFonts w:ascii="宋体" w:hAnsi="宋体" w:cs="宋体" w:eastAsia="宋体" w:hint="default"/>
                <w:sz w:val="21"/>
                <w:szCs w:val="21"/>
              </w:rPr>
              <w:t>号），对一般企业财务报表格式进行了</w:t>
            </w:r>
          </w:p>
        </w:tc>
        <w:tc>
          <w:tcPr>
            <w:tcW w:w="3140" w:type="dxa"/>
            <w:tcBorders>
              <w:top w:val="nil" w:sz="6" w:space="0" w:color="auto"/>
              <w:left w:val="single" w:sz="4" w:space="0" w:color="41B7EE"/>
              <w:bottom w:val="nil" w:sz="6" w:space="0" w:color="auto"/>
              <w:right w:val="single" w:sz="4" w:space="0" w:color="41B7EE"/>
            </w:tcBorders>
          </w:tcPr>
          <w:p>
            <w:pPr>
              <w:pStyle w:val="TableParagraph"/>
              <w:spacing w:line="251" w:lineRule="exact"/>
              <w:ind w:left="21" w:right="0"/>
              <w:jc w:val="left"/>
              <w:rPr>
                <w:rFonts w:ascii="宋体" w:hAnsi="宋体" w:cs="宋体" w:eastAsia="宋体" w:hint="default"/>
                <w:sz w:val="21"/>
                <w:szCs w:val="21"/>
              </w:rPr>
            </w:pPr>
            <w:r>
              <w:rPr>
                <w:rFonts w:ascii="宋体" w:hAnsi="宋体" w:cs="宋体" w:eastAsia="宋体" w:hint="default"/>
                <w:spacing w:val="-4"/>
                <w:sz w:val="21"/>
                <w:szCs w:val="21"/>
              </w:rPr>
              <w:t>决议通过，本公司于</w:t>
            </w:r>
            <w:r>
              <w:rPr>
                <w:rFonts w:ascii="宋体" w:hAnsi="宋体" w:cs="宋体" w:eastAsia="宋体" w:hint="default"/>
                <w:spacing w:val="-49"/>
                <w:sz w:val="21"/>
                <w:szCs w:val="21"/>
              </w:rPr>
              <w:t> </w:t>
            </w:r>
            <w:r>
              <w:rPr>
                <w:rFonts w:ascii="Arial" w:hAnsi="Arial" w:cs="Arial" w:eastAsia="Arial" w:hint="default"/>
                <w:sz w:val="21"/>
                <w:szCs w:val="21"/>
              </w:rPr>
              <w:t>2019</w:t>
            </w:r>
            <w:r>
              <w:rPr>
                <w:rFonts w:ascii="Arial" w:hAnsi="Arial" w:cs="Arial" w:eastAsia="Arial"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Arial" w:hAnsi="Arial" w:cs="Arial" w:eastAsia="Arial" w:hint="default"/>
                <w:sz w:val="21"/>
                <w:szCs w:val="21"/>
              </w:rPr>
              <w:t>1</w:t>
            </w:r>
            <w:r>
              <w:rPr>
                <w:rFonts w:ascii="Arial" w:hAnsi="Arial" w:cs="Arial" w:eastAsia="Arial" w:hint="default"/>
                <w:spacing w:val="-4"/>
                <w:sz w:val="21"/>
                <w:szCs w:val="21"/>
              </w:rPr>
              <w:t> </w:t>
            </w:r>
            <w:r>
              <w:rPr>
                <w:rFonts w:ascii="宋体" w:hAnsi="宋体" w:cs="宋体" w:eastAsia="宋体" w:hint="default"/>
                <w:sz w:val="21"/>
                <w:szCs w:val="21"/>
              </w:rPr>
              <w:t>月</w:t>
            </w:r>
          </w:p>
        </w:tc>
        <w:tc>
          <w:tcPr>
            <w:tcW w:w="1042" w:type="dxa"/>
            <w:tcBorders>
              <w:top w:val="nil" w:sz="6" w:space="0" w:color="auto"/>
              <w:left w:val="single" w:sz="4" w:space="0" w:color="41B7EE"/>
              <w:bottom w:val="nil" w:sz="6" w:space="0" w:color="auto"/>
              <w:right w:val="nil" w:sz="6" w:space="0" w:color="auto"/>
            </w:tcBorders>
          </w:tcPr>
          <w:p>
            <w:pPr>
              <w:pStyle w:val="TableParagraph"/>
              <w:spacing w:line="236" w:lineRule="exact"/>
              <w:ind w:left="21" w:right="0"/>
              <w:jc w:val="left"/>
              <w:rPr>
                <w:rFonts w:ascii="宋体" w:hAnsi="宋体" w:cs="宋体" w:eastAsia="宋体" w:hint="default"/>
                <w:sz w:val="21"/>
                <w:szCs w:val="21"/>
              </w:rPr>
            </w:pPr>
            <w:r>
              <w:rPr>
                <w:rFonts w:ascii="宋体" w:hAnsi="宋体" w:cs="宋体" w:eastAsia="宋体" w:hint="default"/>
                <w:sz w:val="21"/>
                <w:szCs w:val="21"/>
              </w:rPr>
              <w:t>说明”②</w:t>
            </w:r>
          </w:p>
        </w:tc>
      </w:tr>
      <w:tr>
        <w:trPr>
          <w:trHeight w:val="272" w:hRule="exact"/>
        </w:trPr>
        <w:tc>
          <w:tcPr>
            <w:tcW w:w="4710" w:type="dxa"/>
            <w:tcBorders>
              <w:top w:val="nil" w:sz="6" w:space="0" w:color="auto"/>
              <w:left w:val="nil" w:sz="6" w:space="0" w:color="auto"/>
              <w:bottom w:val="single" w:sz="4" w:space="0" w:color="41B7EE"/>
              <w:right w:val="single" w:sz="4" w:space="0" w:color="41B7EE"/>
            </w:tcBorders>
          </w:tcPr>
          <w:p>
            <w:pPr>
              <w:pStyle w:val="TableParagraph"/>
              <w:spacing w:line="237" w:lineRule="exact"/>
              <w:ind w:left="28" w:right="0"/>
              <w:jc w:val="left"/>
              <w:rPr>
                <w:rFonts w:ascii="宋体" w:hAnsi="宋体" w:cs="宋体" w:eastAsia="宋体" w:hint="default"/>
                <w:sz w:val="21"/>
                <w:szCs w:val="21"/>
              </w:rPr>
            </w:pPr>
            <w:r>
              <w:rPr>
                <w:rFonts w:ascii="宋体" w:hAnsi="宋体" w:cs="宋体" w:eastAsia="宋体" w:hint="default"/>
                <w:sz w:val="21"/>
                <w:szCs w:val="21"/>
              </w:rPr>
              <w:t>修订。</w:t>
            </w:r>
          </w:p>
        </w:tc>
        <w:tc>
          <w:tcPr>
            <w:tcW w:w="3140" w:type="dxa"/>
            <w:tcBorders>
              <w:top w:val="nil" w:sz="6" w:space="0" w:color="auto"/>
              <w:left w:val="single" w:sz="4" w:space="0" w:color="41B7EE"/>
              <w:bottom w:val="single" w:sz="4" w:space="0" w:color="41B7EE"/>
              <w:right w:val="single" w:sz="4" w:space="0" w:color="41B7EE"/>
            </w:tcBorders>
          </w:tcPr>
          <w:p>
            <w:pPr>
              <w:pStyle w:val="TableParagraph"/>
              <w:spacing w:line="252" w:lineRule="exact"/>
              <w:ind w:left="21"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8"/>
                <w:sz w:val="21"/>
                <w:szCs w:val="21"/>
              </w:rPr>
              <w:t> </w:t>
            </w:r>
            <w:r>
              <w:rPr>
                <w:rFonts w:ascii="宋体" w:hAnsi="宋体" w:cs="宋体" w:eastAsia="宋体" w:hint="default"/>
                <w:sz w:val="21"/>
                <w:szCs w:val="21"/>
              </w:rPr>
              <w:t>日起开始执行上述规定。</w:t>
            </w:r>
          </w:p>
        </w:tc>
        <w:tc>
          <w:tcPr>
            <w:tcW w:w="1042" w:type="dxa"/>
            <w:tcBorders>
              <w:top w:val="nil" w:sz="6" w:space="0" w:color="auto"/>
              <w:left w:val="single" w:sz="4" w:space="0" w:color="41B7EE"/>
              <w:bottom w:val="single" w:sz="4" w:space="0" w:color="41B7EE"/>
              <w:right w:val="nil" w:sz="6" w:space="0" w:color="auto"/>
            </w:tcBorders>
          </w:tcPr>
          <w:p>
            <w:pPr/>
          </w:p>
        </w:tc>
      </w:tr>
      <w:tr>
        <w:trPr>
          <w:trHeight w:val="282" w:hRule="exact"/>
        </w:trPr>
        <w:tc>
          <w:tcPr>
            <w:tcW w:w="4710" w:type="dxa"/>
            <w:tcBorders>
              <w:top w:val="single" w:sz="4" w:space="0" w:color="41B7EE"/>
              <w:left w:val="nil" w:sz="6" w:space="0" w:color="auto"/>
              <w:bottom w:val="nil" w:sz="6" w:space="0" w:color="auto"/>
              <w:right w:val="single" w:sz="4" w:space="0" w:color="41B7EE"/>
            </w:tcBorders>
          </w:tcPr>
          <w:p>
            <w:pPr>
              <w:pStyle w:val="TableParagraph"/>
              <w:spacing w:line="256" w:lineRule="exact"/>
              <w:ind w:left="28" w:right="0"/>
              <w:jc w:val="left"/>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pacing w:val="-53"/>
                <w:sz w:val="21"/>
                <w:szCs w:val="21"/>
              </w:rPr>
              <w:t> </w:t>
            </w:r>
            <w:r>
              <w:rPr>
                <w:rFonts w:ascii="Arial" w:hAnsi="Arial" w:cs="Arial" w:eastAsia="Arial" w:hint="default"/>
                <w:sz w:val="21"/>
                <w:szCs w:val="21"/>
              </w:rPr>
              <w:t>2019</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5</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9</w:t>
            </w:r>
            <w:r>
              <w:rPr>
                <w:rFonts w:ascii="Arial" w:hAnsi="Arial" w:cs="Arial" w:eastAsia="Arial" w:hint="default"/>
                <w:spacing w:val="-8"/>
                <w:sz w:val="21"/>
                <w:szCs w:val="21"/>
              </w:rPr>
              <w:t> </w:t>
            </w:r>
            <w:r>
              <w:rPr>
                <w:rFonts w:ascii="宋体" w:hAnsi="宋体" w:cs="宋体" w:eastAsia="宋体" w:hint="default"/>
                <w:sz w:val="21"/>
                <w:szCs w:val="21"/>
              </w:rPr>
              <w:t>日发布了《企业会计准则</w:t>
            </w:r>
          </w:p>
        </w:tc>
        <w:tc>
          <w:tcPr>
            <w:tcW w:w="3140" w:type="dxa"/>
            <w:tcBorders>
              <w:top w:val="single" w:sz="4" w:space="0" w:color="41B7EE"/>
              <w:left w:val="single" w:sz="4" w:space="0" w:color="41B7EE"/>
              <w:bottom w:val="nil" w:sz="6" w:space="0" w:color="auto"/>
              <w:right w:val="single" w:sz="4" w:space="0" w:color="41B7EE"/>
            </w:tcBorders>
          </w:tcPr>
          <w:p>
            <w:pPr/>
          </w:p>
        </w:tc>
        <w:tc>
          <w:tcPr>
            <w:tcW w:w="1042" w:type="dxa"/>
            <w:tcBorders>
              <w:top w:val="single" w:sz="4" w:space="0" w:color="41B7EE"/>
              <w:left w:val="single" w:sz="4" w:space="0" w:color="41B7EE"/>
              <w:bottom w:val="nil" w:sz="6" w:space="0" w:color="auto"/>
              <w:right w:val="nil" w:sz="6" w:space="0" w:color="auto"/>
            </w:tcBorders>
          </w:tcPr>
          <w:p>
            <w:pPr/>
          </w:p>
        </w:tc>
      </w:tr>
      <w:tr>
        <w:trPr>
          <w:trHeight w:val="272" w:hRule="exact"/>
        </w:trPr>
        <w:tc>
          <w:tcPr>
            <w:tcW w:w="4710" w:type="dxa"/>
            <w:tcBorders>
              <w:top w:val="nil" w:sz="6" w:space="0" w:color="auto"/>
              <w:left w:val="nil" w:sz="6" w:space="0" w:color="auto"/>
              <w:bottom w:val="nil" w:sz="6" w:space="0" w:color="auto"/>
              <w:right w:val="single" w:sz="4" w:space="0" w:color="41B7EE"/>
            </w:tcBorders>
          </w:tcPr>
          <w:p>
            <w:pPr>
              <w:pStyle w:val="TableParagraph"/>
              <w:spacing w:line="252" w:lineRule="exact"/>
              <w:ind w:left="28" w:right="0"/>
              <w:jc w:val="left"/>
              <w:rPr>
                <w:rFonts w:ascii="宋体" w:hAnsi="宋体" w:cs="宋体" w:eastAsia="宋体" w:hint="default"/>
                <w:sz w:val="21"/>
                <w:szCs w:val="21"/>
              </w:rPr>
            </w:pPr>
            <w:r>
              <w:rPr>
                <w:rFonts w:ascii="宋体" w:hAnsi="宋体" w:cs="宋体" w:eastAsia="宋体" w:hint="default"/>
                <w:sz w:val="21"/>
                <w:szCs w:val="21"/>
              </w:rPr>
              <w:t>第 </w:t>
            </w:r>
            <w:r>
              <w:rPr>
                <w:rFonts w:ascii="Arial" w:hAnsi="Arial" w:cs="Arial" w:eastAsia="Arial" w:hint="default"/>
                <w:sz w:val="21"/>
                <w:szCs w:val="21"/>
              </w:rPr>
              <w:t>7 </w:t>
            </w:r>
            <w:r>
              <w:rPr>
                <w:rFonts w:ascii="宋体" w:hAnsi="宋体" w:cs="宋体" w:eastAsia="宋体" w:hint="default"/>
                <w:spacing w:val="-4"/>
                <w:sz w:val="21"/>
                <w:szCs w:val="21"/>
              </w:rPr>
              <w:t>号</w:t>
            </w:r>
            <w:r>
              <w:rPr>
                <w:rFonts w:ascii="Arial" w:hAnsi="Arial" w:cs="Arial" w:eastAsia="Arial" w:hint="default"/>
                <w:spacing w:val="-4"/>
                <w:sz w:val="21"/>
                <w:szCs w:val="21"/>
              </w:rPr>
              <w:t>——</w:t>
            </w:r>
            <w:r>
              <w:rPr>
                <w:rFonts w:ascii="宋体" w:hAnsi="宋体" w:cs="宋体" w:eastAsia="宋体" w:hint="default"/>
                <w:spacing w:val="-4"/>
                <w:sz w:val="21"/>
                <w:szCs w:val="21"/>
              </w:rPr>
              <w:t>非货币性资产交换》（</w:t>
            </w:r>
            <w:r>
              <w:rPr>
                <w:rFonts w:ascii="Arial" w:hAnsi="Arial" w:cs="Arial" w:eastAsia="Arial" w:hint="default"/>
                <w:spacing w:val="-4"/>
                <w:sz w:val="21"/>
                <w:szCs w:val="21"/>
              </w:rPr>
              <w:t>2019</w:t>
            </w:r>
            <w:r>
              <w:rPr>
                <w:rFonts w:ascii="Arial" w:hAnsi="Arial" w:cs="Arial" w:eastAsia="Arial" w:hint="default"/>
                <w:spacing w:val="-36"/>
                <w:sz w:val="21"/>
                <w:szCs w:val="21"/>
              </w:rPr>
              <w:t> </w:t>
            </w:r>
            <w:r>
              <w:rPr>
                <w:rFonts w:ascii="宋体" w:hAnsi="宋体" w:cs="宋体" w:eastAsia="宋体" w:hint="default"/>
                <w:spacing w:val="-9"/>
                <w:sz w:val="21"/>
                <w:szCs w:val="21"/>
              </w:rPr>
              <w:t>修订）（财</w:t>
            </w:r>
          </w:p>
        </w:tc>
        <w:tc>
          <w:tcPr>
            <w:tcW w:w="3140" w:type="dxa"/>
            <w:tcBorders>
              <w:top w:val="nil" w:sz="6" w:space="0" w:color="auto"/>
              <w:left w:val="single" w:sz="4" w:space="0" w:color="41B7EE"/>
              <w:bottom w:val="nil" w:sz="6" w:space="0" w:color="auto"/>
              <w:right w:val="single" w:sz="4" w:space="0" w:color="41B7EE"/>
            </w:tcBorders>
          </w:tcPr>
          <w:p>
            <w:pPr>
              <w:pStyle w:val="TableParagraph"/>
              <w:spacing w:line="237" w:lineRule="exact"/>
              <w:ind w:left="21" w:right="0"/>
              <w:jc w:val="left"/>
              <w:rPr>
                <w:rFonts w:ascii="宋体" w:hAnsi="宋体" w:cs="宋体" w:eastAsia="宋体" w:hint="default"/>
                <w:sz w:val="21"/>
                <w:szCs w:val="21"/>
              </w:rPr>
            </w:pPr>
            <w:r>
              <w:rPr>
                <w:rFonts w:ascii="宋体" w:hAnsi="宋体" w:cs="宋体" w:eastAsia="宋体" w:hint="default"/>
                <w:sz w:val="21"/>
                <w:szCs w:val="21"/>
              </w:rPr>
              <w:t>经本公司董事会第六届第六十八</w:t>
            </w:r>
          </w:p>
        </w:tc>
        <w:tc>
          <w:tcPr>
            <w:tcW w:w="1042" w:type="dxa"/>
            <w:tcBorders>
              <w:top w:val="nil" w:sz="6" w:space="0" w:color="auto"/>
              <w:left w:val="single" w:sz="4" w:space="0" w:color="41B7EE"/>
              <w:bottom w:val="nil" w:sz="6" w:space="0" w:color="auto"/>
              <w:right w:val="nil" w:sz="6" w:space="0" w:color="auto"/>
            </w:tcBorders>
          </w:tcPr>
          <w:p>
            <w:pPr/>
          </w:p>
        </w:tc>
      </w:tr>
      <w:tr>
        <w:trPr>
          <w:trHeight w:val="272" w:hRule="exact"/>
        </w:trPr>
        <w:tc>
          <w:tcPr>
            <w:tcW w:w="4710" w:type="dxa"/>
            <w:tcBorders>
              <w:top w:val="nil" w:sz="6" w:space="0" w:color="auto"/>
              <w:left w:val="nil" w:sz="6" w:space="0" w:color="auto"/>
              <w:bottom w:val="nil" w:sz="6" w:space="0" w:color="auto"/>
              <w:right w:val="single" w:sz="4" w:space="0" w:color="41B7EE"/>
            </w:tcBorders>
          </w:tcPr>
          <w:p>
            <w:pPr>
              <w:pStyle w:val="TableParagraph"/>
              <w:spacing w:line="251" w:lineRule="exact"/>
              <w:ind w:left="28" w:right="0"/>
              <w:jc w:val="left"/>
              <w:rPr>
                <w:rFonts w:ascii="宋体" w:hAnsi="宋体" w:cs="宋体" w:eastAsia="宋体" w:hint="default"/>
                <w:sz w:val="21"/>
                <w:szCs w:val="21"/>
              </w:rPr>
            </w:pPr>
            <w:r>
              <w:rPr>
                <w:rFonts w:ascii="宋体" w:hAnsi="宋体" w:cs="宋体" w:eastAsia="宋体" w:hint="default"/>
                <w:sz w:val="21"/>
                <w:szCs w:val="21"/>
              </w:rPr>
              <w:t>会〔</w:t>
            </w:r>
            <w:r>
              <w:rPr>
                <w:rFonts w:ascii="Arial" w:hAnsi="Arial" w:cs="Arial" w:eastAsia="Arial" w:hint="default"/>
                <w:sz w:val="21"/>
                <w:szCs w:val="21"/>
              </w:rPr>
              <w:t>2019</w:t>
            </w:r>
            <w:r>
              <w:rPr>
                <w:rFonts w:ascii="宋体" w:hAnsi="宋体" w:cs="宋体" w:eastAsia="宋体" w:hint="default"/>
                <w:sz w:val="21"/>
                <w:szCs w:val="21"/>
              </w:rPr>
              <w:t>〕</w:t>
            </w:r>
            <w:r>
              <w:rPr>
                <w:rFonts w:ascii="Arial" w:hAnsi="Arial" w:cs="Arial" w:eastAsia="Arial" w:hint="default"/>
                <w:sz w:val="21"/>
                <w:szCs w:val="21"/>
              </w:rPr>
              <w:t>8</w:t>
            </w:r>
            <w:r>
              <w:rPr>
                <w:rFonts w:ascii="Arial" w:hAnsi="Arial" w:cs="Arial" w:eastAsia="Arial" w:hint="default"/>
                <w:spacing w:val="-8"/>
                <w:sz w:val="21"/>
                <w:szCs w:val="21"/>
              </w:rPr>
              <w:t> </w:t>
            </w:r>
            <w:r>
              <w:rPr>
                <w:rFonts w:ascii="宋体" w:hAnsi="宋体" w:cs="宋体" w:eastAsia="宋体" w:hint="default"/>
                <w:sz w:val="21"/>
                <w:szCs w:val="21"/>
              </w:rPr>
              <w:t>号），修订后的准则自</w:t>
            </w:r>
            <w:r>
              <w:rPr>
                <w:rFonts w:ascii="宋体" w:hAnsi="宋体" w:cs="宋体" w:eastAsia="宋体" w:hint="default"/>
                <w:spacing w:val="-52"/>
                <w:sz w:val="21"/>
                <w:szCs w:val="21"/>
              </w:rPr>
              <w:t> </w:t>
            </w:r>
            <w:r>
              <w:rPr>
                <w:rFonts w:ascii="Arial" w:hAnsi="Arial" w:cs="Arial" w:eastAsia="Arial" w:hint="default"/>
                <w:sz w:val="21"/>
                <w:szCs w:val="21"/>
              </w:rPr>
              <w:t>2019</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6</w:t>
            </w:r>
            <w:r>
              <w:rPr>
                <w:rFonts w:ascii="Arial" w:hAnsi="Arial" w:cs="Arial" w:eastAsia="Arial" w:hint="default"/>
                <w:spacing w:val="-8"/>
                <w:sz w:val="21"/>
                <w:szCs w:val="21"/>
              </w:rPr>
              <w:t> </w:t>
            </w:r>
            <w:r>
              <w:rPr>
                <w:rFonts w:ascii="宋体" w:hAnsi="宋体" w:cs="宋体" w:eastAsia="宋体" w:hint="default"/>
                <w:sz w:val="21"/>
                <w:szCs w:val="21"/>
              </w:rPr>
              <w:t>月</w:t>
            </w:r>
          </w:p>
        </w:tc>
        <w:tc>
          <w:tcPr>
            <w:tcW w:w="3140" w:type="dxa"/>
            <w:tcBorders>
              <w:top w:val="nil" w:sz="6" w:space="0" w:color="auto"/>
              <w:left w:val="single" w:sz="4" w:space="0" w:color="41B7EE"/>
              <w:bottom w:val="nil" w:sz="6" w:space="0" w:color="auto"/>
              <w:right w:val="single" w:sz="4" w:space="0" w:color="41B7EE"/>
            </w:tcBorders>
          </w:tcPr>
          <w:p>
            <w:pPr>
              <w:pStyle w:val="TableParagraph"/>
              <w:spacing w:line="236" w:lineRule="exact"/>
              <w:ind w:left="21" w:right="0"/>
              <w:jc w:val="left"/>
              <w:rPr>
                <w:rFonts w:ascii="宋体" w:hAnsi="宋体" w:cs="宋体" w:eastAsia="宋体" w:hint="default"/>
                <w:sz w:val="21"/>
                <w:szCs w:val="21"/>
              </w:rPr>
            </w:pPr>
            <w:r>
              <w:rPr>
                <w:rFonts w:ascii="宋体" w:hAnsi="宋体" w:cs="宋体" w:eastAsia="宋体" w:hint="default"/>
                <w:sz w:val="21"/>
                <w:szCs w:val="21"/>
              </w:rPr>
              <w:t>次会议决议于</w:t>
            </w:r>
            <w:r>
              <w:rPr>
                <w:rFonts w:ascii="宋体" w:hAnsi="宋体" w:cs="宋体" w:eastAsia="宋体" w:hint="default"/>
                <w:spacing w:val="-63"/>
                <w:sz w:val="21"/>
                <w:szCs w:val="21"/>
              </w:rPr>
              <w:t> </w:t>
            </w:r>
            <w:r>
              <w:rPr>
                <w:rFonts w:ascii="宋体" w:hAnsi="宋体" w:cs="宋体" w:eastAsia="宋体" w:hint="default"/>
                <w:sz w:val="21"/>
                <w:szCs w:val="21"/>
              </w:rPr>
              <w:t>2019</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8</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24</w:t>
            </w:r>
            <w:r>
              <w:rPr>
                <w:rFonts w:ascii="宋体" w:hAnsi="宋体" w:cs="宋体" w:eastAsia="宋体" w:hint="default"/>
                <w:spacing w:val="-64"/>
                <w:sz w:val="21"/>
                <w:szCs w:val="21"/>
              </w:rPr>
              <w:t> </w:t>
            </w:r>
            <w:r>
              <w:rPr>
                <w:rFonts w:ascii="宋体" w:hAnsi="宋体" w:cs="宋体" w:eastAsia="宋体" w:hint="default"/>
                <w:sz w:val="21"/>
                <w:szCs w:val="21"/>
              </w:rPr>
              <w:t>日决</w:t>
            </w:r>
          </w:p>
        </w:tc>
        <w:tc>
          <w:tcPr>
            <w:tcW w:w="1042" w:type="dxa"/>
            <w:tcBorders>
              <w:top w:val="nil" w:sz="6" w:space="0" w:color="auto"/>
              <w:left w:val="single" w:sz="4" w:space="0" w:color="41B7EE"/>
              <w:bottom w:val="nil" w:sz="6" w:space="0" w:color="auto"/>
              <w:right w:val="nil" w:sz="6" w:space="0" w:color="auto"/>
            </w:tcBorders>
          </w:tcPr>
          <w:p>
            <w:pPr>
              <w:pStyle w:val="TableParagraph"/>
              <w:spacing w:line="236" w:lineRule="exact"/>
              <w:ind w:left="21" w:right="0"/>
              <w:jc w:val="left"/>
              <w:rPr>
                <w:rFonts w:ascii="宋体" w:hAnsi="宋体" w:cs="宋体" w:eastAsia="宋体" w:hint="default"/>
                <w:sz w:val="21"/>
                <w:szCs w:val="21"/>
              </w:rPr>
            </w:pPr>
            <w:r>
              <w:rPr>
                <w:rFonts w:ascii="宋体" w:hAnsi="宋体" w:cs="宋体" w:eastAsia="宋体" w:hint="default"/>
                <w:spacing w:val="-17"/>
                <w:sz w:val="21"/>
                <w:szCs w:val="21"/>
              </w:rPr>
              <w:t>详见“其他</w:t>
            </w:r>
            <w:r>
              <w:rPr>
                <w:rFonts w:ascii="宋体" w:hAnsi="宋体" w:cs="宋体" w:eastAsia="宋体" w:hint="default"/>
                <w:sz w:val="21"/>
                <w:szCs w:val="21"/>
              </w:rPr>
            </w:r>
          </w:p>
        </w:tc>
      </w:tr>
      <w:tr>
        <w:trPr>
          <w:trHeight w:val="272" w:hRule="exact"/>
        </w:trPr>
        <w:tc>
          <w:tcPr>
            <w:tcW w:w="4710" w:type="dxa"/>
            <w:tcBorders>
              <w:top w:val="nil" w:sz="6" w:space="0" w:color="auto"/>
              <w:left w:val="nil" w:sz="6" w:space="0" w:color="auto"/>
              <w:bottom w:val="nil" w:sz="6" w:space="0" w:color="auto"/>
              <w:right w:val="single" w:sz="4" w:space="0" w:color="41B7EE"/>
            </w:tcBorders>
          </w:tcPr>
          <w:p>
            <w:pPr>
              <w:pStyle w:val="TableParagraph"/>
              <w:spacing w:line="252" w:lineRule="exact"/>
              <w:ind w:left="28" w:right="0"/>
              <w:jc w:val="left"/>
              <w:rPr>
                <w:rFonts w:ascii="宋体" w:hAnsi="宋体" w:cs="宋体" w:eastAsia="宋体" w:hint="default"/>
                <w:sz w:val="21"/>
                <w:szCs w:val="21"/>
              </w:rPr>
            </w:pPr>
            <w:r>
              <w:rPr>
                <w:rFonts w:ascii="Arial" w:hAnsi="Arial" w:cs="Arial" w:eastAsia="Arial" w:hint="default"/>
                <w:sz w:val="21"/>
                <w:szCs w:val="21"/>
              </w:rPr>
              <w:t>10</w:t>
            </w:r>
            <w:r>
              <w:rPr>
                <w:rFonts w:ascii="Arial" w:hAnsi="Arial" w:cs="Arial" w:eastAsia="Arial" w:hint="default"/>
                <w:spacing w:val="-3"/>
                <w:sz w:val="21"/>
                <w:szCs w:val="21"/>
              </w:rPr>
              <w:t> </w:t>
            </w:r>
            <w:r>
              <w:rPr>
                <w:rFonts w:ascii="宋体" w:hAnsi="宋体" w:cs="宋体" w:eastAsia="宋体" w:hint="default"/>
                <w:spacing w:val="-4"/>
                <w:sz w:val="21"/>
                <w:szCs w:val="21"/>
              </w:rPr>
              <w:t>日起施行，对</w:t>
            </w:r>
            <w:r>
              <w:rPr>
                <w:rFonts w:ascii="宋体" w:hAnsi="宋体" w:cs="宋体" w:eastAsia="宋体" w:hint="default"/>
                <w:spacing w:val="-53"/>
                <w:sz w:val="21"/>
                <w:szCs w:val="21"/>
              </w:rPr>
              <w:t> </w:t>
            </w:r>
            <w:r>
              <w:rPr>
                <w:rFonts w:ascii="Arial" w:hAnsi="Arial" w:cs="Arial" w:eastAsia="Arial" w:hint="default"/>
                <w:sz w:val="21"/>
                <w:szCs w:val="21"/>
              </w:rPr>
              <w:t>2019</w:t>
            </w:r>
            <w:r>
              <w:rPr>
                <w:rFonts w:ascii="Arial" w:hAnsi="Arial" w:cs="Arial" w:eastAsia="Arial"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w:t>
            </w:r>
            <w:r>
              <w:rPr>
                <w:rFonts w:ascii="Arial" w:hAnsi="Arial" w:cs="Arial" w:eastAsia="Arial"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w:t>
            </w:r>
            <w:r>
              <w:rPr>
                <w:rFonts w:ascii="Arial" w:hAnsi="Arial" w:cs="Arial" w:eastAsia="Arial" w:hint="default"/>
                <w:spacing w:val="-4"/>
                <w:sz w:val="21"/>
                <w:szCs w:val="21"/>
              </w:rPr>
              <w:t> </w:t>
            </w:r>
            <w:r>
              <w:rPr>
                <w:rFonts w:ascii="宋体" w:hAnsi="宋体" w:cs="宋体" w:eastAsia="宋体" w:hint="default"/>
                <w:sz w:val="21"/>
                <w:szCs w:val="21"/>
              </w:rPr>
              <w:t>日至本准则施行日</w:t>
            </w:r>
          </w:p>
        </w:tc>
        <w:tc>
          <w:tcPr>
            <w:tcW w:w="3140" w:type="dxa"/>
            <w:tcBorders>
              <w:top w:val="nil" w:sz="6" w:space="0" w:color="auto"/>
              <w:left w:val="single" w:sz="4" w:space="0" w:color="41B7EE"/>
              <w:bottom w:val="nil" w:sz="6" w:space="0" w:color="auto"/>
              <w:right w:val="single" w:sz="4" w:space="0" w:color="41B7EE"/>
            </w:tcBorders>
          </w:tcPr>
          <w:p>
            <w:pPr>
              <w:pStyle w:val="TableParagraph"/>
              <w:spacing w:line="237" w:lineRule="exact"/>
              <w:ind w:left="21" w:right="0"/>
              <w:jc w:val="left"/>
              <w:rPr>
                <w:rFonts w:ascii="宋体" w:hAnsi="宋体" w:cs="宋体" w:eastAsia="宋体" w:hint="default"/>
                <w:sz w:val="21"/>
                <w:szCs w:val="21"/>
              </w:rPr>
            </w:pPr>
            <w:r>
              <w:rPr>
                <w:rFonts w:ascii="宋体" w:hAnsi="宋体" w:cs="宋体" w:eastAsia="宋体" w:hint="default"/>
                <w:sz w:val="21"/>
                <w:szCs w:val="21"/>
              </w:rPr>
              <w:t>议通过，本公司于</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042" w:type="dxa"/>
            <w:tcBorders>
              <w:top w:val="nil" w:sz="6" w:space="0" w:color="auto"/>
              <w:left w:val="single" w:sz="4" w:space="0" w:color="41B7EE"/>
              <w:bottom w:val="nil" w:sz="6" w:space="0" w:color="auto"/>
              <w:right w:val="nil" w:sz="6" w:space="0" w:color="auto"/>
            </w:tcBorders>
          </w:tcPr>
          <w:p>
            <w:pPr>
              <w:pStyle w:val="TableParagraph"/>
              <w:spacing w:line="237" w:lineRule="exact"/>
              <w:ind w:left="21" w:right="0"/>
              <w:jc w:val="left"/>
              <w:rPr>
                <w:rFonts w:ascii="宋体" w:hAnsi="宋体" w:cs="宋体" w:eastAsia="宋体" w:hint="default"/>
                <w:sz w:val="21"/>
                <w:szCs w:val="21"/>
              </w:rPr>
            </w:pPr>
            <w:r>
              <w:rPr>
                <w:rFonts w:ascii="宋体" w:hAnsi="宋体" w:cs="宋体" w:eastAsia="宋体" w:hint="default"/>
                <w:spacing w:val="-13"/>
                <w:sz w:val="21"/>
                <w:szCs w:val="21"/>
              </w:rPr>
              <w:t>说明”④</w:t>
            </w:r>
          </w:p>
        </w:tc>
      </w:tr>
      <w:tr>
        <w:trPr>
          <w:trHeight w:val="268" w:hRule="exact"/>
        </w:trPr>
        <w:tc>
          <w:tcPr>
            <w:tcW w:w="4710" w:type="dxa"/>
            <w:tcBorders>
              <w:top w:val="nil" w:sz="6" w:space="0" w:color="auto"/>
              <w:left w:val="nil" w:sz="6" w:space="0" w:color="auto"/>
              <w:bottom w:val="nil" w:sz="6" w:space="0" w:color="auto"/>
              <w:right w:val="single" w:sz="4" w:space="0" w:color="41B7EE"/>
            </w:tcBorders>
          </w:tcPr>
          <w:p>
            <w:pPr>
              <w:pStyle w:val="TableParagraph"/>
              <w:spacing w:line="236" w:lineRule="exact"/>
              <w:ind w:left="28" w:right="0"/>
              <w:jc w:val="left"/>
              <w:rPr>
                <w:rFonts w:ascii="宋体" w:hAnsi="宋体" w:cs="宋体" w:eastAsia="宋体" w:hint="default"/>
                <w:sz w:val="21"/>
                <w:szCs w:val="21"/>
              </w:rPr>
            </w:pPr>
            <w:r>
              <w:rPr>
                <w:rFonts w:ascii="宋体" w:hAnsi="宋体" w:cs="宋体" w:eastAsia="宋体" w:hint="default"/>
                <w:sz w:val="21"/>
                <w:szCs w:val="21"/>
              </w:rPr>
              <w:t>之间发生的非货币性资产交换，应根据本准则进行</w:t>
            </w:r>
          </w:p>
        </w:tc>
        <w:tc>
          <w:tcPr>
            <w:tcW w:w="3140" w:type="dxa"/>
            <w:tcBorders>
              <w:top w:val="nil" w:sz="6" w:space="0" w:color="auto"/>
              <w:left w:val="single" w:sz="4" w:space="0" w:color="41B7EE"/>
              <w:bottom w:val="nil" w:sz="6" w:space="0" w:color="auto"/>
              <w:right w:val="single" w:sz="4" w:space="0" w:color="41B7EE"/>
            </w:tcBorders>
          </w:tcPr>
          <w:p>
            <w:pPr>
              <w:pStyle w:val="TableParagraph"/>
              <w:spacing w:line="236" w:lineRule="exact"/>
              <w:ind w:left="21" w:right="0"/>
              <w:jc w:val="left"/>
              <w:rPr>
                <w:rFonts w:ascii="宋体" w:hAnsi="宋体" w:cs="宋体" w:eastAsia="宋体" w:hint="default"/>
                <w:sz w:val="21"/>
                <w:szCs w:val="21"/>
              </w:rPr>
            </w:pPr>
            <w:r>
              <w:rPr>
                <w:rFonts w:ascii="宋体" w:hAnsi="宋体" w:cs="宋体" w:eastAsia="宋体" w:hint="default"/>
                <w:sz w:val="21"/>
                <w:szCs w:val="21"/>
              </w:rPr>
              <w:t>日起开始执行上述规定。</w:t>
            </w:r>
          </w:p>
        </w:tc>
        <w:tc>
          <w:tcPr>
            <w:tcW w:w="1042" w:type="dxa"/>
            <w:tcBorders>
              <w:top w:val="nil" w:sz="6" w:space="0" w:color="auto"/>
              <w:left w:val="single" w:sz="4" w:space="0" w:color="41B7EE"/>
              <w:bottom w:val="nil" w:sz="6" w:space="0" w:color="auto"/>
              <w:right w:val="nil" w:sz="6" w:space="0" w:color="auto"/>
            </w:tcBorders>
          </w:tcPr>
          <w:p>
            <w:pPr/>
          </w:p>
        </w:tc>
      </w:tr>
      <w:tr>
        <w:trPr>
          <w:trHeight w:val="278" w:hRule="exact"/>
        </w:trPr>
        <w:tc>
          <w:tcPr>
            <w:tcW w:w="4710" w:type="dxa"/>
            <w:tcBorders>
              <w:top w:val="nil" w:sz="6" w:space="0" w:color="auto"/>
              <w:left w:val="nil" w:sz="6" w:space="0" w:color="auto"/>
              <w:bottom w:val="single" w:sz="4" w:space="0" w:color="41B7EE"/>
              <w:right w:val="single" w:sz="4" w:space="0" w:color="41B7EE"/>
            </w:tcBorders>
          </w:tcPr>
          <w:p>
            <w:pPr>
              <w:pStyle w:val="TableParagraph"/>
              <w:spacing w:line="243" w:lineRule="exact"/>
              <w:ind w:left="28" w:right="0"/>
              <w:jc w:val="left"/>
              <w:rPr>
                <w:rFonts w:ascii="宋体" w:hAnsi="宋体" w:cs="宋体" w:eastAsia="宋体" w:hint="default"/>
                <w:sz w:val="21"/>
                <w:szCs w:val="21"/>
              </w:rPr>
            </w:pPr>
            <w:r>
              <w:rPr>
                <w:rFonts w:ascii="宋体" w:hAnsi="宋体" w:cs="宋体" w:eastAsia="宋体" w:hint="default"/>
                <w:sz w:val="21"/>
                <w:szCs w:val="21"/>
              </w:rPr>
              <w:t>调整。</w:t>
            </w:r>
          </w:p>
        </w:tc>
        <w:tc>
          <w:tcPr>
            <w:tcW w:w="3140" w:type="dxa"/>
            <w:tcBorders>
              <w:top w:val="nil" w:sz="6" w:space="0" w:color="auto"/>
              <w:left w:val="single" w:sz="4" w:space="0" w:color="41B7EE"/>
              <w:bottom w:val="single" w:sz="4" w:space="0" w:color="41B7EE"/>
              <w:right w:val="single" w:sz="4" w:space="0" w:color="41B7EE"/>
            </w:tcBorders>
          </w:tcPr>
          <w:p>
            <w:pPr/>
          </w:p>
        </w:tc>
        <w:tc>
          <w:tcPr>
            <w:tcW w:w="1042" w:type="dxa"/>
            <w:tcBorders>
              <w:top w:val="nil" w:sz="6" w:space="0" w:color="auto"/>
              <w:left w:val="single" w:sz="4" w:space="0" w:color="41B7EE"/>
              <w:bottom w:val="single" w:sz="4" w:space="0" w:color="41B7EE"/>
              <w:right w:val="nil" w:sz="6" w:space="0" w:color="auto"/>
            </w:tcBorders>
          </w:tcPr>
          <w:p>
            <w:pPr/>
          </w:p>
        </w:tc>
      </w:tr>
      <w:tr>
        <w:trPr>
          <w:trHeight w:val="1399" w:hRule="exact"/>
        </w:trPr>
        <w:tc>
          <w:tcPr>
            <w:tcW w:w="4710" w:type="dxa"/>
            <w:tcBorders>
              <w:top w:val="single" w:sz="4" w:space="0" w:color="41B7EE"/>
              <w:left w:val="nil" w:sz="6" w:space="0" w:color="auto"/>
              <w:bottom w:val="single" w:sz="23" w:space="0" w:color="41B7EE"/>
              <w:right w:val="single" w:sz="10" w:space="0" w:color="FFFFFF"/>
            </w:tcBorders>
          </w:tcPr>
          <w:p>
            <w:pPr>
              <w:pStyle w:val="TableParagraph"/>
              <w:spacing w:line="248" w:lineRule="exact"/>
              <w:ind w:left="28" w:right="0"/>
              <w:jc w:val="left"/>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pacing w:val="-51"/>
                <w:sz w:val="21"/>
                <w:szCs w:val="21"/>
              </w:rPr>
              <w:t> </w:t>
            </w:r>
            <w:r>
              <w:rPr>
                <w:rFonts w:ascii="Arial" w:hAnsi="Arial" w:cs="Arial" w:eastAsia="Arial" w:hint="default"/>
                <w:sz w:val="21"/>
                <w:szCs w:val="21"/>
              </w:rPr>
              <w:t>2019</w:t>
            </w:r>
            <w:r>
              <w:rPr>
                <w:rFonts w:ascii="Arial" w:hAnsi="Arial" w:cs="Arial" w:eastAsia="Arial"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5</w:t>
            </w:r>
            <w:r>
              <w:rPr>
                <w:rFonts w:ascii="Arial" w:hAnsi="Arial" w:cs="Arial" w:eastAsia="Arial"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16</w:t>
            </w:r>
            <w:r>
              <w:rPr>
                <w:rFonts w:ascii="Arial" w:hAnsi="Arial" w:cs="Arial" w:eastAsia="Arial" w:hint="default"/>
                <w:spacing w:val="-6"/>
                <w:sz w:val="21"/>
                <w:szCs w:val="21"/>
              </w:rPr>
              <w:t> </w:t>
            </w:r>
            <w:r>
              <w:rPr>
                <w:rFonts w:ascii="宋体" w:hAnsi="宋体" w:cs="宋体" w:eastAsia="宋体" w:hint="default"/>
                <w:spacing w:val="-6"/>
                <w:sz w:val="21"/>
                <w:szCs w:val="21"/>
              </w:rPr>
              <w:t>日发布了《企业会计准则</w:t>
            </w:r>
          </w:p>
          <w:p>
            <w:pPr>
              <w:pStyle w:val="TableParagraph"/>
              <w:spacing w:line="272" w:lineRule="exact" w:before="19"/>
              <w:ind w:left="28" w:right="115"/>
              <w:jc w:val="left"/>
              <w:rPr>
                <w:rFonts w:ascii="宋体" w:hAnsi="宋体" w:cs="宋体" w:eastAsia="宋体" w:hint="default"/>
                <w:sz w:val="21"/>
                <w:szCs w:val="21"/>
              </w:rPr>
            </w:pPr>
            <w:r>
              <w:rPr>
                <w:rFonts w:ascii="宋体" w:hAnsi="宋体" w:cs="宋体" w:eastAsia="宋体" w:hint="default"/>
                <w:w w:val="100"/>
                <w:sz w:val="21"/>
                <w:szCs w:val="21"/>
              </w:rPr>
              <w:t>第</w:t>
            </w:r>
            <w:r>
              <w:rPr>
                <w:rFonts w:ascii="宋体" w:hAnsi="宋体" w:cs="宋体" w:eastAsia="宋体" w:hint="default"/>
                <w:spacing w:val="-50"/>
                <w:w w:val="100"/>
                <w:sz w:val="21"/>
                <w:szCs w:val="21"/>
              </w:rPr>
              <w:t> </w:t>
            </w:r>
            <w:r>
              <w:rPr>
                <w:rFonts w:ascii="Arial" w:hAnsi="Arial" w:cs="Arial" w:eastAsia="Arial" w:hint="default"/>
                <w:w w:val="100"/>
                <w:sz w:val="21"/>
                <w:szCs w:val="21"/>
              </w:rPr>
              <w:t>12</w:t>
            </w:r>
            <w:r>
              <w:rPr>
                <w:rFonts w:ascii="Arial" w:hAnsi="Arial" w:cs="Arial" w:eastAsia="Arial" w:hint="default"/>
                <w:spacing w:val="-6"/>
                <w:w w:val="100"/>
                <w:sz w:val="21"/>
                <w:szCs w:val="21"/>
              </w:rPr>
              <w:t> </w:t>
            </w:r>
            <w:r>
              <w:rPr>
                <w:rFonts w:ascii="宋体" w:hAnsi="宋体" w:cs="宋体" w:eastAsia="宋体" w:hint="default"/>
                <w:spacing w:val="-12"/>
                <w:w w:val="100"/>
                <w:sz w:val="21"/>
                <w:szCs w:val="21"/>
              </w:rPr>
              <w:t>号</w:t>
            </w:r>
            <w:r>
              <w:rPr>
                <w:rFonts w:ascii="Arial" w:hAnsi="Arial" w:cs="Arial" w:eastAsia="Arial" w:hint="default"/>
                <w:spacing w:val="-12"/>
                <w:w w:val="100"/>
                <w:sz w:val="21"/>
                <w:szCs w:val="21"/>
              </w:rPr>
              <w:t>——</w:t>
            </w:r>
            <w:r>
              <w:rPr>
                <w:rFonts w:ascii="宋体" w:hAnsi="宋体" w:cs="宋体" w:eastAsia="宋体" w:hint="default"/>
                <w:spacing w:val="-12"/>
                <w:w w:val="100"/>
                <w:sz w:val="21"/>
                <w:szCs w:val="21"/>
              </w:rPr>
              <w:t>债务重组》（</w:t>
            </w:r>
            <w:r>
              <w:rPr>
                <w:rFonts w:ascii="Arial" w:hAnsi="Arial" w:cs="Arial" w:eastAsia="Arial" w:hint="default"/>
                <w:spacing w:val="-12"/>
                <w:w w:val="100"/>
                <w:sz w:val="21"/>
                <w:szCs w:val="21"/>
              </w:rPr>
              <w:t>2019</w:t>
            </w:r>
            <w:r>
              <w:rPr>
                <w:rFonts w:ascii="Arial" w:hAnsi="Arial" w:cs="Arial" w:eastAsia="Arial" w:hint="default"/>
                <w:spacing w:val="-5"/>
                <w:w w:val="100"/>
                <w:sz w:val="21"/>
                <w:szCs w:val="21"/>
              </w:rPr>
              <w:t> </w:t>
            </w:r>
            <w:r>
              <w:rPr>
                <w:rFonts w:ascii="宋体" w:hAnsi="宋体" w:cs="宋体" w:eastAsia="宋体" w:hint="default"/>
                <w:spacing w:val="-21"/>
                <w:w w:val="100"/>
                <w:sz w:val="21"/>
                <w:szCs w:val="21"/>
              </w:rPr>
              <w:t>修订）（财会〔</w:t>
            </w:r>
            <w:r>
              <w:rPr>
                <w:rFonts w:ascii="Arial" w:hAnsi="Arial" w:cs="Arial" w:eastAsia="Arial" w:hint="default"/>
                <w:spacing w:val="-21"/>
                <w:w w:val="100"/>
                <w:sz w:val="21"/>
                <w:szCs w:val="21"/>
              </w:rPr>
              <w:t>2019</w:t>
            </w:r>
            <w:r>
              <w:rPr>
                <w:rFonts w:ascii="Arial" w:hAnsi="Arial" w:cs="Arial" w:eastAsia="Arial" w:hint="default"/>
                <w:w w:val="100"/>
                <w:sz w:val="21"/>
                <w:szCs w:val="21"/>
              </w:rPr>
              <w:t> </w:t>
            </w:r>
            <w:r>
              <w:rPr>
                <w:rFonts w:ascii="Arial" w:hAnsi="Arial" w:cs="Arial" w:eastAsia="Arial" w:hint="default"/>
                <w:sz w:val="21"/>
                <w:szCs w:val="21"/>
              </w:rPr>
              <w:t>9</w:t>
            </w:r>
            <w:r>
              <w:rPr>
                <w:rFonts w:ascii="Arial" w:hAnsi="Arial" w:cs="Arial" w:eastAsia="Arial" w:hint="default"/>
                <w:spacing w:val="-3"/>
                <w:sz w:val="21"/>
                <w:szCs w:val="21"/>
              </w:rPr>
              <w:t> </w:t>
            </w:r>
            <w:r>
              <w:rPr>
                <w:rFonts w:ascii="宋体" w:hAnsi="宋体" w:cs="宋体" w:eastAsia="宋体" w:hint="default"/>
                <w:spacing w:val="-13"/>
                <w:sz w:val="21"/>
                <w:szCs w:val="21"/>
              </w:rPr>
              <w:t>号），修订后的准则自</w:t>
            </w:r>
            <w:r>
              <w:rPr>
                <w:rFonts w:ascii="宋体" w:hAnsi="宋体" w:cs="宋体" w:eastAsia="宋体" w:hint="default"/>
                <w:spacing w:val="-51"/>
                <w:sz w:val="21"/>
                <w:szCs w:val="21"/>
              </w:rPr>
              <w:t> </w:t>
            </w:r>
            <w:r>
              <w:rPr>
                <w:rFonts w:ascii="Arial" w:hAnsi="Arial" w:cs="Arial" w:eastAsia="Arial" w:hint="default"/>
                <w:sz w:val="21"/>
                <w:szCs w:val="21"/>
              </w:rPr>
              <w:t>2019</w:t>
            </w:r>
            <w:r>
              <w:rPr>
                <w:rFonts w:ascii="Arial" w:hAnsi="Arial" w:cs="Arial" w:eastAsia="Arial"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6</w:t>
            </w:r>
            <w:r>
              <w:rPr>
                <w:rFonts w:ascii="Arial" w:hAnsi="Arial" w:cs="Arial" w:eastAsia="Arial"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17</w:t>
            </w:r>
            <w:r>
              <w:rPr>
                <w:rFonts w:ascii="Arial" w:hAnsi="Arial" w:cs="Arial" w:eastAsia="Arial" w:hint="default"/>
                <w:spacing w:val="-6"/>
                <w:sz w:val="21"/>
                <w:szCs w:val="21"/>
              </w:rPr>
              <w:t> </w:t>
            </w:r>
            <w:r>
              <w:rPr>
                <w:rFonts w:ascii="宋体" w:hAnsi="宋体" w:cs="宋体" w:eastAsia="宋体" w:hint="default"/>
                <w:sz w:val="21"/>
                <w:szCs w:val="21"/>
              </w:rPr>
              <w:t>日起施行</w:t>
            </w:r>
          </w:p>
          <w:p>
            <w:pPr>
              <w:pStyle w:val="TableParagraph"/>
              <w:spacing w:line="272" w:lineRule="exact" w:before="1"/>
              <w:ind w:left="28" w:right="77"/>
              <w:jc w:val="left"/>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52"/>
                <w:sz w:val="21"/>
                <w:szCs w:val="21"/>
              </w:rPr>
              <w:t> </w:t>
            </w:r>
            <w:r>
              <w:rPr>
                <w:rFonts w:ascii="Arial" w:hAnsi="Arial" w:cs="Arial" w:eastAsia="Arial" w:hint="default"/>
                <w:sz w:val="21"/>
                <w:szCs w:val="21"/>
              </w:rPr>
              <w:t>2019</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w:t>
            </w:r>
            <w:r>
              <w:rPr>
                <w:rFonts w:ascii="Arial" w:hAnsi="Arial" w:cs="Arial" w:eastAsia="Arial" w:hint="default"/>
                <w:spacing w:val="-8"/>
                <w:sz w:val="21"/>
                <w:szCs w:val="21"/>
              </w:rPr>
              <w:t> </w:t>
            </w:r>
            <w:r>
              <w:rPr>
                <w:rFonts w:ascii="宋体" w:hAnsi="宋体" w:cs="宋体" w:eastAsia="宋体" w:hint="default"/>
                <w:sz w:val="21"/>
                <w:szCs w:val="21"/>
              </w:rPr>
              <w:t>日至本准则施行日之间发生的债</w:t>
            </w:r>
            <w:r>
              <w:rPr>
                <w:rFonts w:ascii="宋体" w:hAnsi="宋体" w:cs="宋体" w:eastAsia="宋体" w:hint="default"/>
                <w:w w:val="100"/>
                <w:sz w:val="21"/>
                <w:szCs w:val="21"/>
              </w:rPr>
              <w:t> </w:t>
            </w:r>
            <w:r>
              <w:rPr>
                <w:rFonts w:ascii="宋体" w:hAnsi="宋体" w:cs="宋体" w:eastAsia="宋体" w:hint="default"/>
                <w:sz w:val="21"/>
                <w:szCs w:val="21"/>
              </w:rPr>
              <w:t>务重组，应根据本准则进行调整。</w:t>
            </w:r>
          </w:p>
        </w:tc>
        <w:tc>
          <w:tcPr>
            <w:tcW w:w="3140" w:type="dxa"/>
            <w:tcBorders>
              <w:top w:val="single" w:sz="4" w:space="0" w:color="41B7EE"/>
              <w:left w:val="single" w:sz="10" w:space="0" w:color="FFFFFF"/>
              <w:bottom w:val="single" w:sz="23" w:space="0" w:color="41B7EE"/>
              <w:right w:val="single" w:sz="4" w:space="0" w:color="41B7EE"/>
            </w:tcBorders>
          </w:tcPr>
          <w:p>
            <w:pPr>
              <w:pStyle w:val="TableParagraph"/>
              <w:spacing w:line="206" w:lineRule="exact" w:before="102"/>
              <w:ind w:left="14" w:right="0"/>
              <w:jc w:val="left"/>
              <w:rPr>
                <w:rFonts w:ascii="宋体" w:hAnsi="宋体" w:cs="宋体" w:eastAsia="宋体" w:hint="default"/>
                <w:sz w:val="21"/>
                <w:szCs w:val="21"/>
              </w:rPr>
            </w:pPr>
            <w:r>
              <w:rPr>
                <w:rFonts w:ascii="宋体" w:hAnsi="宋体" w:cs="宋体" w:eastAsia="宋体" w:hint="default"/>
                <w:sz w:val="21"/>
                <w:szCs w:val="21"/>
              </w:rPr>
              <w:t>经本公司董事会第六届第六十八</w:t>
            </w:r>
          </w:p>
          <w:p>
            <w:pPr>
              <w:pStyle w:val="TableParagraph"/>
              <w:spacing w:line="136" w:lineRule="exact"/>
              <w:ind w:left="-144"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136" w:lineRule="exact"/>
              <w:ind w:left="14" w:right="0"/>
              <w:jc w:val="left"/>
              <w:rPr>
                <w:rFonts w:ascii="宋体" w:hAnsi="宋体" w:cs="宋体" w:eastAsia="宋体" w:hint="default"/>
                <w:sz w:val="21"/>
                <w:szCs w:val="21"/>
              </w:rPr>
            </w:pPr>
            <w:r>
              <w:rPr>
                <w:rFonts w:ascii="宋体" w:hAnsi="宋体" w:cs="宋体" w:eastAsia="宋体" w:hint="default"/>
                <w:sz w:val="21"/>
                <w:szCs w:val="21"/>
              </w:rPr>
              <w:t>次会议决议于</w:t>
            </w:r>
            <w:r>
              <w:rPr>
                <w:rFonts w:ascii="宋体" w:hAnsi="宋体" w:cs="宋体" w:eastAsia="宋体" w:hint="default"/>
                <w:spacing w:val="-63"/>
                <w:sz w:val="21"/>
                <w:szCs w:val="21"/>
              </w:rPr>
              <w:t> </w:t>
            </w:r>
            <w:r>
              <w:rPr>
                <w:rFonts w:ascii="宋体" w:hAnsi="宋体" w:cs="宋体" w:eastAsia="宋体" w:hint="default"/>
                <w:sz w:val="21"/>
                <w:szCs w:val="21"/>
              </w:rPr>
              <w:t>2019</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8</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24</w:t>
            </w:r>
            <w:r>
              <w:rPr>
                <w:rFonts w:ascii="宋体" w:hAnsi="宋体" w:cs="宋体" w:eastAsia="宋体" w:hint="default"/>
                <w:spacing w:val="-64"/>
                <w:sz w:val="21"/>
                <w:szCs w:val="21"/>
              </w:rPr>
              <w:t> </w:t>
            </w:r>
            <w:r>
              <w:rPr>
                <w:rFonts w:ascii="宋体" w:hAnsi="宋体" w:cs="宋体" w:eastAsia="宋体" w:hint="default"/>
                <w:sz w:val="21"/>
                <w:szCs w:val="21"/>
              </w:rPr>
              <w:t>日决</w:t>
            </w:r>
          </w:p>
          <w:p>
            <w:pPr>
              <w:pStyle w:val="TableParagraph"/>
              <w:spacing w:line="137" w:lineRule="exact"/>
              <w:ind w:left="-142"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04" w:lineRule="exact"/>
              <w:ind w:left="14" w:right="0"/>
              <w:jc w:val="left"/>
              <w:rPr>
                <w:rFonts w:ascii="宋体" w:hAnsi="宋体" w:cs="宋体" w:eastAsia="宋体" w:hint="default"/>
                <w:sz w:val="21"/>
                <w:szCs w:val="21"/>
              </w:rPr>
            </w:pPr>
            <w:r>
              <w:rPr>
                <w:rFonts w:ascii="宋体" w:hAnsi="宋体" w:cs="宋体" w:eastAsia="宋体" w:hint="default"/>
                <w:sz w:val="21"/>
                <w:szCs w:val="21"/>
              </w:rPr>
              <w:t>议通过，本公司于</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p>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sz w:val="21"/>
                <w:szCs w:val="21"/>
              </w:rPr>
              <w:t>日起开始执行上述规定。</w:t>
            </w:r>
          </w:p>
        </w:tc>
        <w:tc>
          <w:tcPr>
            <w:tcW w:w="1042"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 w:right="24"/>
              <w:jc w:val="left"/>
              <w:rPr>
                <w:rFonts w:ascii="宋体" w:hAnsi="宋体" w:cs="宋体" w:eastAsia="宋体" w:hint="default"/>
                <w:sz w:val="21"/>
                <w:szCs w:val="21"/>
              </w:rPr>
            </w:pPr>
            <w:r>
              <w:rPr>
                <w:rFonts w:ascii="宋体" w:hAnsi="宋体" w:cs="宋体" w:eastAsia="宋体" w:hint="default"/>
                <w:spacing w:val="-14"/>
                <w:sz w:val="21"/>
                <w:szCs w:val="21"/>
              </w:rPr>
              <w:t>详见“其他</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说明”③</w:t>
            </w:r>
          </w:p>
        </w:tc>
      </w:tr>
    </w:tbl>
    <w:p>
      <w:pPr>
        <w:pStyle w:val="BodyText"/>
        <w:spacing w:line="241" w:lineRule="exact"/>
        <w:ind w:left="176" w:right="102"/>
        <w:jc w:val="left"/>
        <w:rPr>
          <w:rFonts w:ascii="宋体" w:hAnsi="宋体" w:cs="宋体" w:eastAsia="宋体" w:hint="default"/>
        </w:rPr>
      </w:pPr>
      <w:r>
        <w:rPr/>
        <w:pict>
          <v:group style="position:absolute;margin-left:299.209991pt;margin-top:-64.320000pt;width:154.25pt;height:40.8pt;mso-position-horizontal-relative:page;mso-position-vertical-relative:paragraph;z-index:-941728" coordorigin="5984,-1286" coordsize="3085,816">
            <v:group style="position:absolute;left:5984;top:-1286;width:3085;height:272" coordorigin="5984,-1286" coordsize="3085,272">
              <v:shape style="position:absolute;left:5984;top:-1286;width:3085;height:272" coordorigin="5984,-1286" coordsize="3085,272" path="m5984,-1015l9069,-1015,9069,-1286,5984,-1286,5984,-1015xe" filled="true" fillcolor="#ffffff" stroked="false">
                <v:path arrowok="t"/>
                <v:fill type="solid"/>
              </v:shape>
            </v:group>
            <v:group style="position:absolute;left:5984;top:-1015;width:3085;height:274" coordorigin="5984,-1015" coordsize="3085,274">
              <v:shape style="position:absolute;left:5984;top:-1015;width:3085;height:274" coordorigin="5984,-1015" coordsize="3085,274" path="m5984,-742l9069,-742,9069,-1015,5984,-1015,5984,-742xe" filled="true" fillcolor="#ffffff" stroked="false">
                <v:path arrowok="t"/>
                <v:fill type="solid"/>
              </v:shape>
            </v:group>
            <v:group style="position:absolute;left:5984;top:-742;width:3085;height:272" coordorigin="5984,-742" coordsize="3085,272">
              <v:shape style="position:absolute;left:5984;top:-742;width:3085;height:272" coordorigin="5984,-742" coordsize="3085,272" path="m5984,-470l9069,-470,9069,-742,5984,-742,5984,-470xe" filled="true" fillcolor="#ffffff" stroked="false">
                <v:path arrowok="t"/>
                <v:fill type="solid"/>
              </v:shape>
            </v:group>
            <w10:wrap type="none"/>
          </v:group>
        </w:pict>
      </w:r>
      <w:r>
        <w:rPr/>
        <w:t>其他说明：</w:t>
      </w:r>
      <w:r>
        <w:rPr>
          <w:rFonts w:ascii="宋体" w:hAnsi="宋体" w:cs="宋体" w:eastAsia="宋体" w:hint="default"/>
        </w:rPr>
        <w:t> </w:t>
      </w:r>
    </w:p>
    <w:p>
      <w:pPr>
        <w:spacing w:line="278" w:lineRule="auto" w:before="42"/>
        <w:ind w:left="597" w:right="102" w:firstLine="2"/>
        <w:jc w:val="left"/>
        <w:rPr>
          <w:rFonts w:ascii="宋体" w:hAnsi="宋体" w:cs="宋体" w:eastAsia="宋体" w:hint="default"/>
          <w:sz w:val="21"/>
          <w:szCs w:val="21"/>
        </w:rPr>
      </w:pPr>
      <w:r>
        <w:rPr>
          <w:rFonts w:ascii="宋体" w:hAnsi="宋体" w:cs="宋体" w:eastAsia="宋体" w:hint="default"/>
          <w:b/>
          <w:bCs/>
          <w:sz w:val="21"/>
          <w:szCs w:val="21"/>
        </w:rPr>
        <w:t>①执行新金融工具准则导致的会计政策变更</w:t>
      </w:r>
      <w:r>
        <w:rPr>
          <w:rFonts w:ascii="宋体" w:hAnsi="宋体" w:cs="宋体" w:eastAsia="宋体" w:hint="default"/>
          <w:b/>
          <w:bCs/>
          <w:w w:val="100"/>
          <w:sz w:val="21"/>
          <w:szCs w:val="21"/>
        </w:rPr>
        <w:t> </w:t>
      </w:r>
      <w:r>
        <w:rPr>
          <w:rFonts w:ascii="宋体" w:hAnsi="宋体" w:cs="宋体" w:eastAsia="宋体" w:hint="default"/>
          <w:spacing w:val="-2"/>
          <w:sz w:val="21"/>
          <w:szCs w:val="21"/>
        </w:rPr>
        <w:t>在新金融工具准则下所有已确认金融资产，其后续均按摊余成本或公允价值计量。在新金融</w:t>
      </w:r>
    </w:p>
    <w:p>
      <w:pPr>
        <w:pStyle w:val="BodyText"/>
        <w:spacing w:line="278" w:lineRule="auto" w:before="13"/>
        <w:ind w:left="176" w:right="102"/>
        <w:jc w:val="left"/>
        <w:rPr>
          <w:rFonts w:ascii="宋体" w:hAnsi="宋体" w:cs="宋体" w:eastAsia="宋体" w:hint="default"/>
        </w:rPr>
      </w:pPr>
      <w:r>
        <w:rPr/>
        <w:t>工具准则施行日，以本公司该日既有事实和情况为基础评估管理金融资产的业务模式、以金融资</w:t>
      </w:r>
      <w:r>
        <w:rPr>
          <w:w w:val="100"/>
        </w:rPr>
        <w:t> </w:t>
      </w:r>
      <w:r>
        <w:rPr>
          <w:spacing w:val="-4"/>
          <w:w w:val="100"/>
        </w:rPr>
        <w:t>产初始确认时的事实和情况为基础评估该金融资产上的合同现金流量特征，将金融资产分为三类：</w:t>
      </w:r>
      <w:r>
        <w:rPr>
          <w:spacing w:val="-85"/>
          <w:w w:val="100"/>
        </w:rPr>
        <w:t> </w:t>
      </w:r>
      <w:r>
        <w:rPr>
          <w:spacing w:val="-85"/>
          <w:w w:val="100"/>
        </w:rPr>
      </w:r>
      <w:r>
        <w:rPr/>
        <w:t>按摊余成本计量、按公允价值计量且其变动计入其他综合收益及按公允价值计量且其变动计入当</w:t>
      </w:r>
      <w:r>
        <w:rPr>
          <w:w w:val="100"/>
        </w:rPr>
        <w:t> </w:t>
      </w:r>
      <w:r>
        <w:rPr/>
        <w:t>期损益。其中，对于按公允价值计量且其变动计入其他综合收益的权益工具投资，当该金融资产</w:t>
      </w:r>
      <w:r>
        <w:rPr>
          <w:w w:val="100"/>
        </w:rPr>
        <w:t> </w:t>
      </w:r>
      <w:r>
        <w:rPr/>
        <w:t>终止确认时，之前计入其他综合收益的累计利得或损失将从其他综合收益转入留存收益，不计入</w:t>
      </w:r>
      <w:r>
        <w:rPr>
          <w:w w:val="100"/>
        </w:rPr>
        <w:t> </w:t>
      </w:r>
      <w:r>
        <w:rPr/>
        <w:t>当期损益。</w:t>
      </w:r>
      <w:r>
        <w:rPr>
          <w:rFonts w:ascii="宋体" w:hAnsi="宋体" w:cs="宋体" w:eastAsia="宋体" w:hint="default"/>
        </w:rPr>
        <w:t> </w:t>
      </w:r>
    </w:p>
    <w:p>
      <w:pPr>
        <w:pStyle w:val="BodyText"/>
        <w:spacing w:line="278" w:lineRule="auto" w:before="13"/>
        <w:ind w:left="176" w:right="218" w:firstLine="420"/>
        <w:jc w:val="both"/>
        <w:rPr>
          <w:rFonts w:ascii="宋体" w:hAnsi="宋体" w:cs="宋体" w:eastAsia="宋体" w:hint="default"/>
        </w:rPr>
      </w:pPr>
      <w:r>
        <w:rPr>
          <w:spacing w:val="-2"/>
        </w:rPr>
        <w:t>在新金融工具准则下，本公司以预期信用损失为基础，对以摊余成本计量的金融资产、以公</w:t>
      </w:r>
      <w:r>
        <w:rPr>
          <w:w w:val="100"/>
        </w:rPr>
        <w:t> </w:t>
      </w:r>
      <w:r>
        <w:rPr>
          <w:spacing w:val="-2"/>
        </w:rPr>
        <w:t>允价值计量且其变动计入其他综合收益的债务工具投资、租赁应收款、合同资产及财务担保合同</w:t>
      </w:r>
      <w:r>
        <w:rPr>
          <w:spacing w:val="-25"/>
        </w:rPr>
        <w:t> </w:t>
      </w:r>
      <w:r>
        <w:rPr>
          <w:spacing w:val="-25"/>
        </w:rPr>
      </w:r>
      <w:r>
        <w:rPr/>
        <w:t>计提减值准备并确认信用减值损失。</w:t>
      </w:r>
      <w:r>
        <w:rPr>
          <w:rFonts w:ascii="宋体" w:hAnsi="宋体" w:cs="宋体" w:eastAsia="宋体" w:hint="default"/>
        </w:rPr>
        <w:t> </w:t>
      </w:r>
    </w:p>
    <w:p>
      <w:pPr>
        <w:pStyle w:val="BodyText"/>
        <w:spacing w:line="273" w:lineRule="auto" w:before="13"/>
        <w:ind w:left="176" w:right="208" w:firstLine="420"/>
        <w:jc w:val="both"/>
        <w:rPr>
          <w:rFonts w:ascii="宋体" w:hAnsi="宋体" w:cs="宋体" w:eastAsia="宋体" w:hint="default"/>
        </w:rPr>
      </w:pPr>
      <w:r>
        <w:rPr>
          <w:spacing w:val="-2"/>
        </w:rPr>
        <w:t>本公司追溯应用新金融工具准则，但对于分类和计量（含减值）涉及前期比较财务报表数据</w:t>
      </w:r>
      <w:r>
        <w:rPr>
          <w:w w:val="100"/>
        </w:rPr>
        <w:t> </w:t>
      </w:r>
      <w:r>
        <w:rPr>
          <w:spacing w:val="-6"/>
        </w:rPr>
        <w:t>与新金融工具准则不一致的，本公司选择不进行重述。因此，对于首次执行该准则的累积影响数，</w:t>
      </w:r>
      <w:r>
        <w:rPr>
          <w:spacing w:val="-54"/>
        </w:rPr>
        <w:t> </w:t>
      </w:r>
      <w:r>
        <w:rPr>
          <w:spacing w:val="-54"/>
        </w:rPr>
      </w:r>
      <w:r>
        <w:rPr/>
        <w:t>本公司调整</w:t>
      </w:r>
      <w:r>
        <w:rPr>
          <w:spacing w:val="-33"/>
        </w:rPr>
        <w:t> </w:t>
      </w:r>
      <w:r>
        <w:rPr>
          <w:rFonts w:ascii="Arial" w:hAnsi="Arial" w:cs="Arial" w:eastAsia="Arial" w:hint="default"/>
        </w:rPr>
        <w:t>2019</w:t>
      </w:r>
      <w:r>
        <w:rPr>
          <w:rFonts w:ascii="Arial" w:hAnsi="Arial" w:cs="Arial" w:eastAsia="Arial" w:hint="default"/>
          <w:spacing w:val="10"/>
        </w:rPr>
        <w:t> </w:t>
      </w:r>
      <w:r>
        <w:rPr>
          <w:spacing w:val="-3"/>
        </w:rPr>
        <w:t>年年初留存收益或其他综合收益以及财务报表其他相关项目金额，</w:t>
      </w:r>
      <w:r>
        <w:rPr>
          <w:rFonts w:ascii="Arial" w:hAnsi="Arial" w:cs="Arial" w:eastAsia="Arial" w:hint="default"/>
          <w:spacing w:val="-3"/>
        </w:rPr>
        <w:t>2018</w:t>
      </w:r>
      <w:r>
        <w:rPr>
          <w:rFonts w:ascii="Arial" w:hAnsi="Arial" w:cs="Arial" w:eastAsia="Arial" w:hint="default"/>
          <w:spacing w:val="12"/>
        </w:rPr>
        <w:t> </w:t>
      </w:r>
      <w:r>
        <w:rPr/>
        <w:t>年度的</w:t>
      </w:r>
      <w:r>
        <w:rPr>
          <w:spacing w:val="-98"/>
        </w:rPr>
        <w:t> </w:t>
      </w:r>
      <w:r>
        <w:rPr>
          <w:spacing w:val="-98"/>
        </w:rPr>
      </w:r>
      <w:r>
        <w:rPr/>
        <w:t>财务报表未予重述。</w:t>
      </w:r>
      <w:r>
        <w:rPr>
          <w:rFonts w:ascii="宋体" w:hAnsi="宋体" w:cs="宋体" w:eastAsia="宋体" w:hint="default"/>
        </w:rPr>
        <w:t> </w:t>
      </w:r>
    </w:p>
    <w:p>
      <w:pPr>
        <w:pStyle w:val="BodyText"/>
        <w:spacing w:line="240" w:lineRule="auto" w:before="15"/>
        <w:ind w:left="597" w:right="102"/>
        <w:jc w:val="left"/>
      </w:pPr>
      <w:r>
        <w:rPr/>
        <w:t>执行新金融工具准则对本公司的主要变化和影响如下：</w:t>
      </w:r>
    </w:p>
    <w:p>
      <w:pPr>
        <w:pStyle w:val="BodyText"/>
        <w:spacing w:line="240" w:lineRule="auto" w:before="45"/>
        <w:ind w:left="597" w:right="102"/>
        <w:jc w:val="left"/>
      </w:pPr>
      <w:r>
        <w:rPr>
          <w:rFonts w:ascii="Arial" w:hAnsi="Arial" w:cs="Arial" w:eastAsia="Arial" w:hint="default"/>
        </w:rPr>
        <w:t>A</w:t>
      </w:r>
      <w:r>
        <w:rPr/>
        <w:t>、首次执行日前后金融资产分类和计量对比表</w:t>
      </w:r>
    </w:p>
    <w:p>
      <w:pPr>
        <w:pStyle w:val="BodyText"/>
        <w:spacing w:line="240" w:lineRule="auto" w:before="32"/>
        <w:ind w:left="597" w:right="102"/>
        <w:jc w:val="left"/>
        <w:rPr>
          <w:rFonts w:ascii="宋体" w:hAnsi="宋体" w:cs="宋体" w:eastAsia="宋体" w:hint="default"/>
        </w:rPr>
      </w:pPr>
      <w:r>
        <w:rPr>
          <w:rFonts w:ascii="Arial" w:hAnsi="Arial" w:cs="Arial" w:eastAsia="Arial" w:hint="default"/>
        </w:rPr>
        <w:t>a</w:t>
      </w:r>
      <w:r>
        <w:rPr/>
        <w:t>、对合并财务报表的影响                                  </w:t>
      </w:r>
      <w:r>
        <w:rPr>
          <w:rFonts w:ascii="宋体" w:hAnsi="宋体" w:cs="宋体" w:eastAsia="宋体" w:hint="default"/>
        </w:rPr>
      </w:r>
      <w:r>
        <w:rPr/>
        <w:t>单位：元</w:t>
      </w:r>
      <w:r>
        <w:rPr>
          <w:spacing w:val="91"/>
        </w:rPr>
        <w:t> </w:t>
      </w:r>
      <w:r>
        <w:rPr>
          <w:rFonts w:ascii="宋体" w:hAnsi="宋体" w:cs="宋体" w:eastAsia="宋体" w:hint="default"/>
          <w:spacing w:val="91"/>
        </w:rPr>
      </w:r>
      <w:r>
        <w:rPr/>
        <w:t>币别：人民币</w:t>
      </w:r>
      <w:r>
        <w:rPr>
          <w:rFonts w:ascii="宋体" w:hAnsi="宋体" w:cs="宋体" w:eastAsia="宋体" w:hint="default"/>
        </w:rPr>
        <w:t> </w:t>
      </w:r>
    </w:p>
    <w:tbl>
      <w:tblPr>
        <w:tblW w:w="0" w:type="auto"/>
        <w:jc w:val="left"/>
        <w:tblInd w:w="119" w:type="dxa"/>
        <w:tblLayout w:type="fixed"/>
        <w:tblCellMar>
          <w:top w:w="0" w:type="dxa"/>
          <w:left w:w="0" w:type="dxa"/>
          <w:bottom w:w="0" w:type="dxa"/>
          <w:right w:w="0" w:type="dxa"/>
        </w:tblCellMar>
        <w:tblLook w:val="01E0"/>
      </w:tblPr>
      <w:tblGrid>
        <w:gridCol w:w="1109"/>
        <w:gridCol w:w="1318"/>
        <w:gridCol w:w="1429"/>
        <w:gridCol w:w="1702"/>
        <w:gridCol w:w="1925"/>
        <w:gridCol w:w="1409"/>
      </w:tblGrid>
      <w:tr>
        <w:trPr>
          <w:trHeight w:val="384" w:hRule="exact"/>
        </w:trPr>
        <w:tc>
          <w:tcPr>
            <w:tcW w:w="3855" w:type="dxa"/>
            <w:gridSpan w:val="3"/>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left="571"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12</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31</w:t>
            </w:r>
            <w:r>
              <w:rPr>
                <w:rFonts w:ascii="Arial" w:hAnsi="Arial" w:cs="Arial" w:eastAsia="Arial" w:hint="default"/>
                <w:spacing w:val="-41"/>
                <w:sz w:val="21"/>
                <w:szCs w:val="21"/>
              </w:rPr>
              <w:t> </w:t>
            </w:r>
            <w:r>
              <w:rPr>
                <w:rFonts w:ascii="宋体" w:hAnsi="宋体" w:cs="宋体" w:eastAsia="宋体" w:hint="default"/>
                <w:sz w:val="21"/>
                <w:szCs w:val="21"/>
              </w:rPr>
              <w:t>日（变更前）</w:t>
            </w:r>
          </w:p>
        </w:tc>
        <w:tc>
          <w:tcPr>
            <w:tcW w:w="5036" w:type="dxa"/>
            <w:gridSpan w:val="3"/>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1252"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Arial" w:hAnsi="Arial" w:cs="Arial" w:eastAsia="Arial" w:hint="default"/>
                <w:sz w:val="21"/>
                <w:szCs w:val="21"/>
              </w:rPr>
              <w:t>1</w:t>
            </w:r>
            <w:r>
              <w:rPr>
                <w:rFonts w:ascii="Arial" w:hAnsi="Arial" w:cs="Arial" w:eastAsia="Arial" w:hint="default"/>
                <w:spacing w:val="-34"/>
                <w:sz w:val="21"/>
                <w:szCs w:val="21"/>
              </w:rPr>
              <w:t> </w:t>
            </w:r>
            <w:r>
              <w:rPr>
                <w:rFonts w:ascii="宋体" w:hAnsi="宋体" w:cs="宋体" w:eastAsia="宋体" w:hint="default"/>
                <w:sz w:val="21"/>
                <w:szCs w:val="21"/>
              </w:rPr>
              <w:t>月</w:t>
            </w:r>
            <w:r>
              <w:rPr>
                <w:rFonts w:ascii="宋体" w:hAnsi="宋体" w:cs="宋体" w:eastAsia="宋体" w:hint="default"/>
                <w:spacing w:val="-79"/>
                <w:sz w:val="21"/>
                <w:szCs w:val="21"/>
              </w:rPr>
              <w:t> </w:t>
            </w:r>
            <w:r>
              <w:rPr>
                <w:rFonts w:ascii="Arial" w:hAnsi="Arial" w:cs="Arial" w:eastAsia="Arial" w:hint="default"/>
                <w:sz w:val="21"/>
                <w:szCs w:val="21"/>
              </w:rPr>
              <w:t>1</w:t>
            </w:r>
            <w:r>
              <w:rPr>
                <w:rFonts w:ascii="Arial" w:hAnsi="Arial" w:cs="Arial" w:eastAsia="Arial" w:hint="default"/>
                <w:spacing w:val="-34"/>
                <w:sz w:val="21"/>
                <w:szCs w:val="21"/>
              </w:rPr>
              <w:t> </w:t>
            </w:r>
            <w:r>
              <w:rPr>
                <w:rFonts w:ascii="宋体" w:hAnsi="宋体" w:cs="宋体" w:eastAsia="宋体" w:hint="default"/>
                <w:sz w:val="21"/>
                <w:szCs w:val="21"/>
              </w:rPr>
              <w:t>日（变更后）</w:t>
            </w:r>
          </w:p>
        </w:tc>
      </w:tr>
      <w:tr>
        <w:trPr>
          <w:trHeight w:val="355" w:hRule="exact"/>
        </w:trPr>
        <w:tc>
          <w:tcPr>
            <w:tcW w:w="11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4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3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232"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42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28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0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537"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40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27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58" w:hRule="exact"/>
        </w:trPr>
        <w:tc>
          <w:tcPr>
            <w:tcW w:w="1109" w:type="dxa"/>
            <w:vMerge w:val="restart"/>
            <w:tcBorders>
              <w:top w:val="single" w:sz="4" w:space="0" w:color="41B7EE"/>
              <w:left w:val="nil" w:sz="6" w:space="0" w:color="auto"/>
              <w:right w:val="single" w:sz="4" w:space="0" w:color="41B7EE"/>
            </w:tcBorders>
          </w:tcPr>
          <w:p>
            <w:pPr>
              <w:pStyle w:val="TableParagraph"/>
              <w:spacing w:line="272" w:lineRule="exact" w:before="173"/>
              <w:ind w:left="28" w:right="19"/>
              <w:jc w:val="left"/>
              <w:rPr>
                <w:rFonts w:ascii="宋体" w:hAnsi="宋体" w:cs="宋体" w:eastAsia="宋体" w:hint="default"/>
                <w:sz w:val="21"/>
                <w:szCs w:val="21"/>
              </w:rPr>
            </w:pPr>
            <w:r>
              <w:rPr>
                <w:rFonts w:ascii="宋体" w:hAnsi="宋体" w:cs="宋体" w:eastAsia="宋体" w:hint="default"/>
                <w:sz w:val="21"/>
                <w:szCs w:val="21"/>
              </w:rPr>
              <w:t>其他流动资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产</w:t>
            </w:r>
          </w:p>
        </w:tc>
        <w:tc>
          <w:tcPr>
            <w:tcW w:w="13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2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20"/>
              <w:jc w:val="right"/>
              <w:rPr>
                <w:rFonts w:ascii="Arial" w:hAnsi="Arial" w:cs="Arial" w:eastAsia="Arial" w:hint="default"/>
                <w:sz w:val="21"/>
                <w:szCs w:val="21"/>
              </w:rPr>
            </w:pPr>
            <w:r>
              <w:rPr>
                <w:rFonts w:ascii="Arial"/>
                <w:spacing w:val="-2"/>
                <w:w w:val="80"/>
                <w:sz w:val="21"/>
              </w:rPr>
              <w:t>33,617,513.83</w:t>
            </w:r>
            <w:r>
              <w:rPr>
                <w:rFonts w:ascii="Arial"/>
                <w:sz w:val="21"/>
              </w:rPr>
            </w:r>
          </w:p>
        </w:tc>
        <w:tc>
          <w:tcPr>
            <w:tcW w:w="170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92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0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right="25"/>
              <w:jc w:val="right"/>
              <w:rPr>
                <w:rFonts w:ascii="Arial" w:hAnsi="Arial" w:cs="Arial" w:eastAsia="Arial" w:hint="default"/>
                <w:sz w:val="21"/>
                <w:szCs w:val="21"/>
              </w:rPr>
            </w:pPr>
            <w:r>
              <w:rPr>
                <w:rFonts w:ascii="Arial"/>
                <w:spacing w:val="-2"/>
                <w:w w:val="80"/>
                <w:sz w:val="21"/>
              </w:rPr>
              <w:t>33,617,513.83</w:t>
            </w:r>
            <w:r>
              <w:rPr>
                <w:rFonts w:ascii="Arial"/>
                <w:sz w:val="21"/>
              </w:rPr>
            </w:r>
          </w:p>
        </w:tc>
      </w:tr>
      <w:tr>
        <w:trPr>
          <w:trHeight w:val="554" w:hRule="exact"/>
        </w:trPr>
        <w:tc>
          <w:tcPr>
            <w:tcW w:w="1109" w:type="dxa"/>
            <w:vMerge/>
            <w:tcBorders>
              <w:left w:val="nil" w:sz="6" w:space="0" w:color="auto"/>
              <w:bottom w:val="single" w:sz="4" w:space="0" w:color="41B7EE"/>
              <w:right w:val="single" w:sz="4" w:space="0" w:color="41B7EE"/>
            </w:tcBorders>
          </w:tcPr>
          <w:p>
            <w:pPr/>
          </w:p>
        </w:tc>
        <w:tc>
          <w:tcPr>
            <w:tcW w:w="13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2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20"/>
              <w:jc w:val="right"/>
              <w:rPr>
                <w:rFonts w:ascii="Arial" w:hAnsi="Arial" w:cs="Arial" w:eastAsia="Arial" w:hint="default"/>
                <w:sz w:val="21"/>
                <w:szCs w:val="21"/>
              </w:rPr>
            </w:pPr>
            <w:r>
              <w:rPr>
                <w:rFonts w:ascii="Arial"/>
                <w:spacing w:val="-2"/>
                <w:w w:val="80"/>
                <w:sz w:val="21"/>
              </w:rPr>
              <w:t>2,135,693,612.21</w:t>
            </w:r>
            <w:r>
              <w:rPr>
                <w:rFonts w:ascii="Arial"/>
                <w:sz w:val="21"/>
              </w:rPr>
            </w:r>
          </w:p>
        </w:tc>
        <w:tc>
          <w:tcPr>
            <w:tcW w:w="170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pacing w:val="-17"/>
                <w:sz w:val="21"/>
                <w:szCs w:val="21"/>
              </w:rPr>
              <w:t>交易性金融资产</w:t>
            </w:r>
            <w:r>
              <w:rPr>
                <w:rFonts w:ascii="宋体" w:hAnsi="宋体" w:cs="宋体" w:eastAsia="宋体" w:hint="default"/>
                <w:sz w:val="21"/>
                <w:szCs w:val="21"/>
              </w:rPr>
            </w:r>
          </w:p>
        </w:tc>
        <w:tc>
          <w:tcPr>
            <w:tcW w:w="1925" w:type="dxa"/>
            <w:tcBorders>
              <w:top w:val="single" w:sz="4" w:space="0" w:color="41B7EE"/>
              <w:left w:val="single" w:sz="4" w:space="0" w:color="41B7EE"/>
              <w:bottom w:val="single" w:sz="4" w:space="0" w:color="41B7EE"/>
              <w:right w:val="single" w:sz="4" w:space="0" w:color="41B7EE"/>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3"/>
                <w:sz w:val="21"/>
                <w:szCs w:val="21"/>
              </w:rPr>
              <w:t>以公允价值计量且其</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pacing w:val="-13"/>
                <w:sz w:val="21"/>
                <w:szCs w:val="21"/>
              </w:rPr>
              <w:t>变动计入当期损益</w:t>
            </w:r>
          </w:p>
        </w:tc>
        <w:tc>
          <w:tcPr>
            <w:tcW w:w="140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8"/>
              <w:ind w:right="25"/>
              <w:jc w:val="right"/>
              <w:rPr>
                <w:rFonts w:ascii="Arial" w:hAnsi="Arial" w:cs="Arial" w:eastAsia="Arial" w:hint="default"/>
                <w:sz w:val="21"/>
                <w:szCs w:val="21"/>
              </w:rPr>
            </w:pPr>
            <w:r>
              <w:rPr>
                <w:rFonts w:ascii="Arial"/>
                <w:spacing w:val="-2"/>
                <w:w w:val="80"/>
                <w:sz w:val="21"/>
              </w:rPr>
              <w:t>2,135,693,612.21</w:t>
            </w:r>
            <w:r>
              <w:rPr>
                <w:rFonts w:ascii="Arial"/>
                <w:sz w:val="21"/>
              </w:rPr>
            </w:r>
          </w:p>
        </w:tc>
      </w:tr>
      <w:tr>
        <w:trPr>
          <w:trHeight w:val="562" w:hRule="exact"/>
        </w:trPr>
        <w:tc>
          <w:tcPr>
            <w:tcW w:w="1109"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102"/>
              <w:ind w:left="28"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318"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29"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148"/>
              <w:ind w:right="20"/>
              <w:jc w:val="right"/>
              <w:rPr>
                <w:rFonts w:ascii="Arial" w:hAnsi="Arial" w:cs="Arial" w:eastAsia="Arial" w:hint="default"/>
                <w:sz w:val="21"/>
                <w:szCs w:val="21"/>
              </w:rPr>
            </w:pPr>
            <w:r>
              <w:rPr>
                <w:rFonts w:ascii="Arial"/>
                <w:spacing w:val="-2"/>
                <w:w w:val="80"/>
                <w:sz w:val="21"/>
              </w:rPr>
              <w:t>9,858,946.90</w:t>
            </w:r>
            <w:r>
              <w:rPr>
                <w:rFonts w:ascii="Arial"/>
                <w:sz w:val="21"/>
              </w:rPr>
            </w:r>
          </w:p>
        </w:tc>
        <w:tc>
          <w:tcPr>
            <w:tcW w:w="1702"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pacing w:val="-17"/>
                <w:sz w:val="21"/>
                <w:szCs w:val="21"/>
              </w:rPr>
              <w:t>交易性金融资产</w:t>
            </w:r>
            <w:r>
              <w:rPr>
                <w:rFonts w:ascii="宋体" w:hAnsi="宋体" w:cs="宋体" w:eastAsia="宋体" w:hint="default"/>
                <w:sz w:val="21"/>
                <w:szCs w:val="21"/>
              </w:rPr>
            </w:r>
          </w:p>
        </w:tc>
        <w:tc>
          <w:tcPr>
            <w:tcW w:w="1925" w:type="dxa"/>
            <w:tcBorders>
              <w:top w:val="single" w:sz="4" w:space="0" w:color="41B7EE"/>
              <w:left w:val="single" w:sz="4" w:space="0" w:color="41B7EE"/>
              <w:bottom w:val="single" w:sz="8" w:space="0" w:color="41B7EE"/>
              <w:right w:val="single" w:sz="4" w:space="0" w:color="41B7EE"/>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3"/>
                <w:sz w:val="21"/>
                <w:szCs w:val="21"/>
              </w:rPr>
              <w:t>以公允价值计量且其</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pacing w:val="-13"/>
                <w:sz w:val="21"/>
                <w:szCs w:val="21"/>
              </w:rPr>
              <w:t>变动计入当期损益</w:t>
            </w:r>
          </w:p>
        </w:tc>
        <w:tc>
          <w:tcPr>
            <w:tcW w:w="1409"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148"/>
              <w:ind w:right="24"/>
              <w:jc w:val="right"/>
              <w:rPr>
                <w:rFonts w:ascii="Arial" w:hAnsi="Arial" w:cs="Arial" w:eastAsia="Arial" w:hint="default"/>
                <w:sz w:val="21"/>
                <w:szCs w:val="21"/>
              </w:rPr>
            </w:pPr>
            <w:r>
              <w:rPr>
                <w:rFonts w:ascii="Arial"/>
                <w:spacing w:val="-2"/>
                <w:w w:val="80"/>
                <w:sz w:val="21"/>
              </w:rPr>
              <w:t>9,858,946.90</w:t>
            </w:r>
            <w:r>
              <w:rPr>
                <w:rFonts w:ascii="Arial"/>
                <w:sz w:val="21"/>
              </w:rPr>
            </w:r>
          </w:p>
        </w:tc>
      </w:tr>
    </w:tbl>
    <w:p>
      <w:pPr>
        <w:spacing w:line="240" w:lineRule="auto" w:before="11"/>
        <w:rPr>
          <w:rFonts w:ascii="宋体" w:hAnsi="宋体" w:cs="宋体" w:eastAsia="宋体" w:hint="default"/>
          <w:sz w:val="2"/>
          <w:szCs w:val="2"/>
        </w:r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1105;height:2" coordorigin="10,10" coordsize="1105,2">
              <v:shape style="position:absolute;left:10;top:10;width:1105;height:2" coordorigin="10,10" coordsize="1105,0" path="m10,10l1114,10e" filled="false" stroked="true" strokeweight=".96002pt" strokecolor="#41b7ee">
                <v:path arrowok="t"/>
              </v:shape>
            </v:group>
            <v:group style="position:absolute;left:1114;top:10;width:58;height:2" coordorigin="1114,10" coordsize="58,2">
              <v:shape style="position:absolute;left:1114;top:10;width:58;height:2" coordorigin="1114,10" coordsize="58,0" path="m1114,10l1172,10e" filled="false" stroked="true" strokeweight=".96002pt" strokecolor="#41b7ee">
                <v:path arrowok="t"/>
              </v:shape>
            </v:group>
            <v:group style="position:absolute;left:1172;top:10;width:1260;height:2" coordorigin="1172,10" coordsize="1260,2">
              <v:shape style="position:absolute;left:1172;top:10;width:1260;height:2" coordorigin="1172,10" coordsize="1260,0" path="m1172,10l2432,10e" filled="false" stroked="true" strokeweight=".96002pt" strokecolor="#41b7ee">
                <v:path arrowok="t"/>
              </v:shape>
            </v:group>
            <v:group style="position:absolute;left:2432;top:10;width:58;height:2" coordorigin="2432,10" coordsize="58,2">
              <v:shape style="position:absolute;left:2432;top:10;width:58;height:2" coordorigin="2432,10" coordsize="58,0" path="m2432,10l2489,10e" filled="false" stroked="true" strokeweight=".96002pt" strokecolor="#41b7ee">
                <v:path arrowok="t"/>
              </v:shape>
            </v:group>
            <v:group style="position:absolute;left:2489;top:10;width:1371;height:2" coordorigin="2489,10" coordsize="1371,2">
              <v:shape style="position:absolute;left:2489;top:10;width:1371;height:2" coordorigin="2489,10" coordsize="1371,0" path="m2489,10l3860,10e" filled="false" stroked="true" strokeweight=".96002pt" strokecolor="#41b7ee">
                <v:path arrowok="t"/>
              </v:shape>
            </v:group>
            <v:group style="position:absolute;left:3860;top:10;width:58;height:2" coordorigin="3860,10" coordsize="58,2">
              <v:shape style="position:absolute;left:3860;top:10;width:58;height:2" coordorigin="3860,10" coordsize="58,0" path="m3860,10l3918,10e" filled="false" stroked="true" strokeweight=".96002pt" strokecolor="#41b7ee">
                <v:path arrowok="t"/>
              </v:shape>
            </v:group>
            <v:group style="position:absolute;left:3918;top:10;width:1645;height:2" coordorigin="3918,10" coordsize="1645,2">
              <v:shape style="position:absolute;left:3918;top:10;width:1645;height:2" coordorigin="3918,10" coordsize="1645,0" path="m3918,10l5562,10e" filled="false" stroked="true" strokeweight=".96002pt" strokecolor="#41b7ee">
                <v:path arrowok="t"/>
              </v:shape>
            </v:group>
            <v:group style="position:absolute;left:5562;top:10;width:58;height:2" coordorigin="5562,10" coordsize="58,2">
              <v:shape style="position:absolute;left:5562;top:10;width:58;height:2" coordorigin="5562,10" coordsize="58,0" path="m5562,10l5620,10e" filled="false" stroked="true" strokeweight=".96002pt" strokecolor="#41b7ee">
                <v:path arrowok="t"/>
              </v:shape>
            </v:group>
            <v:group style="position:absolute;left:5620;top:10;width:1868;height:2" coordorigin="5620,10" coordsize="1868,2">
              <v:shape style="position:absolute;left:5620;top:10;width:1868;height:2" coordorigin="5620,10" coordsize="1868,0" path="m5620,10l7487,10e" filled="false" stroked="true" strokeweight=".96002pt" strokecolor="#41b7ee">
                <v:path arrowok="t"/>
              </v:shape>
            </v:group>
            <v:group style="position:absolute;left:7487;top:10;width:58;height:2" coordorigin="7487,10" coordsize="58,2">
              <v:shape style="position:absolute;left:7487;top:10;width:58;height:2" coordorigin="7487,10" coordsize="58,0" path="m7487,10l7545,10e" filled="false" stroked="true" strokeweight=".96002pt" strokecolor="#41b7ee">
                <v:path arrowok="t"/>
              </v:shape>
            </v:group>
            <v:group style="position:absolute;left:7545;top:10;width:1357;height:2" coordorigin="7545,10" coordsize="1357,2">
              <v:shape style="position:absolute;left:7545;top:10;width:1357;height:2" coordorigin="7545,10" coordsize="1357,0" path="m7545,10l8901,10e" filled="false" stroked="true" strokeweight=".96002pt" strokecolor="#41b7ee">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26" w:footer="1195" w:top="1300" w:bottom="1380" w:left="1100" w:right="1580"/>
        </w:sectPr>
      </w:pPr>
    </w:p>
    <w:p>
      <w:pPr>
        <w:spacing w:line="240" w:lineRule="auto" w:before="3"/>
        <w:rPr>
          <w:rFonts w:ascii="宋体" w:hAnsi="宋体" w:cs="宋体" w:eastAsia="宋体" w:hint="default"/>
          <w:sz w:val="10"/>
          <w:szCs w:val="10"/>
        </w:r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1105;height:2" coordorigin="10,10" coordsize="1105,2">
              <v:shape style="position:absolute;left:10;top:10;width:1105;height:2" coordorigin="10,10" coordsize="1105,0" path="m10,10l1114,10e" filled="false" stroked="true" strokeweight=".96pt" strokecolor="#41b7ee">
                <v:path arrowok="t"/>
              </v:shape>
            </v:group>
            <v:group style="position:absolute;left:1114;top:10;width:58;height:2" coordorigin="1114,10" coordsize="58,2">
              <v:shape style="position:absolute;left:1114;top:10;width:58;height:2" coordorigin="1114,10" coordsize="58,0" path="m1114,10l1172,10e" filled="false" stroked="true" strokeweight=".96pt" strokecolor="#41b7ee">
                <v:path arrowok="t"/>
              </v:shape>
            </v:group>
            <v:group style="position:absolute;left:1172;top:10;width:1260;height:2" coordorigin="1172,10" coordsize="1260,2">
              <v:shape style="position:absolute;left:1172;top:10;width:1260;height:2" coordorigin="1172,10" coordsize="1260,0" path="m1172,10l2432,10e" filled="false" stroked="true" strokeweight=".96pt" strokecolor="#41b7ee">
                <v:path arrowok="t"/>
              </v:shape>
            </v:group>
            <v:group style="position:absolute;left:2432;top:10;width:58;height:2" coordorigin="2432,10" coordsize="58,2">
              <v:shape style="position:absolute;left:2432;top:10;width:58;height:2" coordorigin="2432,10" coordsize="58,0" path="m2432,10l2489,10e" filled="false" stroked="true" strokeweight=".96pt" strokecolor="#41b7ee">
                <v:path arrowok="t"/>
              </v:shape>
            </v:group>
            <v:group style="position:absolute;left:2489;top:10;width:1371;height:2" coordorigin="2489,10" coordsize="1371,2">
              <v:shape style="position:absolute;left:2489;top:10;width:1371;height:2" coordorigin="2489,10" coordsize="1371,0" path="m2489,10l3860,10e" filled="false" stroked="true" strokeweight=".96pt" strokecolor="#41b7ee">
                <v:path arrowok="t"/>
              </v:shape>
            </v:group>
            <v:group style="position:absolute;left:3860;top:10;width:58;height:2" coordorigin="3860,10" coordsize="58,2">
              <v:shape style="position:absolute;left:3860;top:10;width:58;height:2" coordorigin="3860,10" coordsize="58,0" path="m3860,10l3918,10e" filled="false" stroked="true" strokeweight=".96pt" strokecolor="#41b7ee">
                <v:path arrowok="t"/>
              </v:shape>
            </v:group>
            <v:group style="position:absolute;left:3918;top:10;width:1645;height:2" coordorigin="3918,10" coordsize="1645,2">
              <v:shape style="position:absolute;left:3918;top:10;width:1645;height:2" coordorigin="3918,10" coordsize="1645,0" path="m3918,10l5562,10e" filled="false" stroked="true" strokeweight=".96pt" strokecolor="#41b7ee">
                <v:path arrowok="t"/>
              </v:shape>
            </v:group>
            <v:group style="position:absolute;left:5562;top:10;width:58;height:2" coordorigin="5562,10" coordsize="58,2">
              <v:shape style="position:absolute;left:5562;top:10;width:58;height:2" coordorigin="5562,10" coordsize="58,0" path="m5562,10l5620,10e" filled="false" stroked="true" strokeweight=".96pt" strokecolor="#41b7ee">
                <v:path arrowok="t"/>
              </v:shape>
            </v:group>
            <v:group style="position:absolute;left:5620;top:10;width:1868;height:2" coordorigin="5620,10" coordsize="1868,2">
              <v:shape style="position:absolute;left:5620;top:10;width:1868;height:2" coordorigin="5620,10" coordsize="1868,0" path="m5620,10l7487,10e" filled="false" stroked="true" strokeweight=".96pt" strokecolor="#41b7ee">
                <v:path arrowok="t"/>
              </v:shape>
            </v:group>
            <v:group style="position:absolute;left:7487;top:10;width:58;height:2" coordorigin="7487,10" coordsize="58,2">
              <v:shape style="position:absolute;left:7487;top:10;width:58;height:2" coordorigin="7487,10" coordsize="58,0" path="m7487,10l7545,10e" filled="false" stroked="true" strokeweight=".96pt" strokecolor="#41b7ee">
                <v:path arrowok="t"/>
              </v:shape>
            </v:group>
            <v:group style="position:absolute;left:7545;top:10;width:1357;height:2" coordorigin="7545,10" coordsize="1357,2">
              <v:shape style="position:absolute;left:7545;top:10;width:1357;height:2" coordorigin="7545,10" coordsize="1357,0" path="m7545,10l8901,10e" filled="false" stroked="true" strokeweight=".96pt" strokecolor="#41b7ee">
                <v:path arrowok="t"/>
              </v:shape>
            </v:group>
          </v:group>
        </w:pict>
      </w:r>
      <w:r>
        <w:rPr>
          <w:rFonts w:ascii="宋体" w:hAnsi="宋体" w:cs="宋体" w:eastAsia="宋体" w:hint="default"/>
          <w:sz w:val="2"/>
          <w:szCs w:val="2"/>
        </w:rPr>
      </w:r>
    </w:p>
    <w:tbl>
      <w:tblPr>
        <w:tblW w:w="0" w:type="auto"/>
        <w:jc w:val="left"/>
        <w:tblInd w:w="119" w:type="dxa"/>
        <w:tblLayout w:type="fixed"/>
        <w:tblCellMar>
          <w:top w:w="0" w:type="dxa"/>
          <w:left w:w="0" w:type="dxa"/>
          <w:bottom w:w="0" w:type="dxa"/>
          <w:right w:w="0" w:type="dxa"/>
        </w:tblCellMar>
        <w:tblLook w:val="01E0"/>
      </w:tblPr>
      <w:tblGrid>
        <w:gridCol w:w="1109"/>
        <w:gridCol w:w="1318"/>
        <w:gridCol w:w="1429"/>
        <w:gridCol w:w="1702"/>
        <w:gridCol w:w="1925"/>
        <w:gridCol w:w="1409"/>
      </w:tblGrid>
      <w:tr>
        <w:trPr>
          <w:trHeight w:val="562" w:hRule="exact"/>
        </w:trPr>
        <w:tc>
          <w:tcPr>
            <w:tcW w:w="1109" w:type="dxa"/>
            <w:vMerge w:val="restart"/>
            <w:tcBorders>
              <w:top w:val="single" w:sz="8" w:space="0" w:color="41B7EE"/>
              <w:left w:val="nil" w:sz="6" w:space="0" w:color="auto"/>
              <w:right w:val="single" w:sz="4" w:space="0" w:color="41B7EE"/>
            </w:tcBorders>
          </w:tcPr>
          <w:p>
            <w:pPr>
              <w:pStyle w:val="TableParagraph"/>
              <w:spacing w:line="240" w:lineRule="auto" w:before="146"/>
              <w:ind w:left="28" w:right="19"/>
              <w:jc w:val="left"/>
              <w:rPr>
                <w:rFonts w:ascii="宋体" w:hAnsi="宋体" w:cs="宋体" w:eastAsia="宋体" w:hint="default"/>
                <w:sz w:val="21"/>
                <w:szCs w:val="21"/>
              </w:rPr>
            </w:pPr>
            <w:r>
              <w:rPr>
                <w:rFonts w:ascii="宋体" w:hAnsi="宋体" w:cs="宋体" w:eastAsia="宋体" w:hint="default"/>
                <w:sz w:val="21"/>
                <w:szCs w:val="21"/>
              </w:rPr>
              <w:t>可供出售金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融资产</w:t>
            </w:r>
          </w:p>
        </w:tc>
        <w:tc>
          <w:tcPr>
            <w:tcW w:w="1318" w:type="dxa"/>
            <w:vMerge w:val="restart"/>
            <w:tcBorders>
              <w:top w:val="single" w:sz="8" w:space="0" w:color="41B7EE"/>
              <w:left w:val="single" w:sz="4" w:space="0" w:color="41B7EE"/>
              <w:right w:val="single" w:sz="4" w:space="0" w:color="41B7EE"/>
            </w:tcBorders>
          </w:tcPr>
          <w:p>
            <w:pPr>
              <w:pStyle w:val="TableParagraph"/>
              <w:spacing w:line="274" w:lineRule="exact" w:before="146"/>
              <w:ind w:left="23" w:right="0"/>
              <w:jc w:val="left"/>
              <w:rPr>
                <w:rFonts w:ascii="宋体" w:hAnsi="宋体" w:cs="宋体" w:eastAsia="宋体" w:hint="default"/>
                <w:sz w:val="21"/>
                <w:szCs w:val="21"/>
              </w:rPr>
            </w:pPr>
            <w:r>
              <w:rPr>
                <w:rFonts w:ascii="宋体" w:hAnsi="宋体" w:cs="宋体" w:eastAsia="宋体" w:hint="default"/>
                <w:sz w:val="21"/>
                <w:szCs w:val="21"/>
              </w:rPr>
              <w:t>以成本计量</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pacing w:val="-17"/>
                <w:sz w:val="21"/>
                <w:szCs w:val="21"/>
              </w:rPr>
              <w:t>（权益工具）</w:t>
            </w:r>
            <w:r>
              <w:rPr>
                <w:rFonts w:ascii="宋体" w:hAnsi="宋体" w:cs="宋体" w:eastAsia="宋体" w:hint="default"/>
                <w:sz w:val="21"/>
                <w:szCs w:val="21"/>
              </w:rPr>
            </w:r>
          </w:p>
        </w:tc>
        <w:tc>
          <w:tcPr>
            <w:tcW w:w="1429" w:type="dxa"/>
            <w:vMerge w:val="restart"/>
            <w:tcBorders>
              <w:top w:val="single" w:sz="8" w:space="0" w:color="41B7EE"/>
              <w:left w:val="single" w:sz="4" w:space="0" w:color="41B7EE"/>
              <w:right w:val="single" w:sz="4" w:space="0" w:color="41B7EE"/>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93" w:right="0"/>
              <w:jc w:val="left"/>
              <w:rPr>
                <w:rFonts w:ascii="Arial" w:hAnsi="Arial" w:cs="Arial" w:eastAsia="Arial" w:hint="default"/>
                <w:sz w:val="21"/>
                <w:szCs w:val="21"/>
              </w:rPr>
            </w:pPr>
            <w:r>
              <w:rPr>
                <w:rFonts w:ascii="Arial"/>
                <w:w w:val="80"/>
                <w:sz w:val="21"/>
              </w:rPr>
              <w:t>21,000,000.00</w:t>
            </w:r>
            <w:r>
              <w:rPr>
                <w:rFonts w:ascii="Arial"/>
                <w:sz w:val="21"/>
              </w:rPr>
            </w:r>
          </w:p>
        </w:tc>
        <w:tc>
          <w:tcPr>
            <w:tcW w:w="1702"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105"/>
              <w:ind w:left="21" w:right="0"/>
              <w:jc w:val="left"/>
              <w:rPr>
                <w:rFonts w:ascii="宋体" w:hAnsi="宋体" w:cs="宋体" w:eastAsia="宋体" w:hint="default"/>
                <w:sz w:val="21"/>
                <w:szCs w:val="21"/>
              </w:rPr>
            </w:pPr>
            <w:r>
              <w:rPr>
                <w:rFonts w:ascii="宋体" w:hAnsi="宋体" w:cs="宋体" w:eastAsia="宋体" w:hint="default"/>
                <w:spacing w:val="-13"/>
                <w:sz w:val="21"/>
                <w:szCs w:val="21"/>
              </w:rPr>
              <w:t>其他权益工具投资</w:t>
            </w:r>
          </w:p>
        </w:tc>
        <w:tc>
          <w:tcPr>
            <w:tcW w:w="1925" w:type="dxa"/>
            <w:tcBorders>
              <w:top w:val="single" w:sz="8" w:space="0" w:color="41B7EE"/>
              <w:left w:val="single" w:sz="4" w:space="0" w:color="41B7EE"/>
              <w:bottom w:val="single" w:sz="4" w:space="0" w:color="41B7EE"/>
              <w:right w:val="single" w:sz="4" w:space="0" w:color="41B7EE"/>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pacing w:val="-24"/>
                <w:sz w:val="21"/>
                <w:szCs w:val="21"/>
              </w:rPr>
              <w:t>以公允价值计量且其变</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pacing w:val="-23"/>
                <w:sz w:val="21"/>
                <w:szCs w:val="21"/>
              </w:rPr>
              <w:t>动计入其他综合收益</w:t>
            </w:r>
          </w:p>
        </w:tc>
        <w:tc>
          <w:tcPr>
            <w:tcW w:w="1409"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149"/>
              <w:ind w:right="25"/>
              <w:jc w:val="right"/>
              <w:rPr>
                <w:rFonts w:ascii="Arial" w:hAnsi="Arial" w:cs="Arial" w:eastAsia="Arial" w:hint="default"/>
                <w:sz w:val="21"/>
                <w:szCs w:val="21"/>
              </w:rPr>
            </w:pPr>
            <w:r>
              <w:rPr>
                <w:rFonts w:ascii="Arial"/>
                <w:spacing w:val="-2"/>
                <w:w w:val="80"/>
                <w:sz w:val="21"/>
              </w:rPr>
              <w:t>20,258,496.06</w:t>
            </w:r>
            <w:r>
              <w:rPr>
                <w:rFonts w:ascii="Arial"/>
                <w:sz w:val="21"/>
              </w:rPr>
            </w:r>
          </w:p>
        </w:tc>
      </w:tr>
      <w:tr>
        <w:trPr>
          <w:trHeight w:val="384" w:hRule="exact"/>
        </w:trPr>
        <w:tc>
          <w:tcPr>
            <w:tcW w:w="1109" w:type="dxa"/>
            <w:vMerge/>
            <w:tcBorders>
              <w:left w:val="nil" w:sz="6" w:space="0" w:color="auto"/>
              <w:bottom w:val="single" w:sz="23" w:space="0" w:color="41B7EE"/>
              <w:right w:val="single" w:sz="4" w:space="0" w:color="41B7EE"/>
            </w:tcBorders>
          </w:tcPr>
          <w:p>
            <w:pPr/>
          </w:p>
        </w:tc>
        <w:tc>
          <w:tcPr>
            <w:tcW w:w="1318" w:type="dxa"/>
            <w:vMerge/>
            <w:tcBorders>
              <w:left w:val="single" w:sz="4" w:space="0" w:color="41B7EE"/>
              <w:bottom w:val="single" w:sz="23" w:space="0" w:color="41B7EE"/>
              <w:right w:val="single" w:sz="4" w:space="0" w:color="41B7EE"/>
            </w:tcBorders>
          </w:tcPr>
          <w:p>
            <w:pPr/>
          </w:p>
        </w:tc>
        <w:tc>
          <w:tcPr>
            <w:tcW w:w="1429" w:type="dxa"/>
            <w:vMerge/>
            <w:tcBorders>
              <w:left w:val="single" w:sz="4" w:space="0" w:color="41B7EE"/>
              <w:bottom w:val="single" w:sz="23" w:space="0" w:color="41B7EE"/>
              <w:right w:val="single" w:sz="4" w:space="0" w:color="41B7EE"/>
            </w:tcBorders>
          </w:tcPr>
          <w:p>
            <w:pPr/>
          </w:p>
        </w:tc>
        <w:tc>
          <w:tcPr>
            <w:tcW w:w="1702"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925" w:type="dxa"/>
            <w:tcBorders>
              <w:top w:val="single" w:sz="4" w:space="0" w:color="41B7EE"/>
              <w:left w:val="single" w:sz="4" w:space="0" w:color="41B7EE"/>
              <w:bottom w:val="single" w:sz="23" w:space="0" w:color="41B7EE"/>
              <w:right w:val="single" w:sz="4" w:space="0" w:color="41B7EE"/>
            </w:tcBorders>
          </w:tcPr>
          <w:p>
            <w:pPr>
              <w:pStyle w:val="TableParagraph"/>
              <w:spacing w:line="274" w:lineRule="exact"/>
              <w:ind w:left="24" w:right="0"/>
              <w:jc w:val="left"/>
              <w:rPr>
                <w:rFonts w:ascii="宋体" w:hAnsi="宋体" w:cs="宋体" w:eastAsia="宋体" w:hint="default"/>
                <w:sz w:val="21"/>
                <w:szCs w:val="21"/>
              </w:rPr>
            </w:pPr>
            <w:r>
              <w:rPr>
                <w:rFonts w:ascii="宋体"/>
                <w:w w:val="100"/>
                <w:sz w:val="21"/>
              </w:rPr>
              <w:t> </w:t>
            </w:r>
          </w:p>
        </w:tc>
        <w:tc>
          <w:tcPr>
            <w:tcW w:w="1409"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2"/>
                <w:w w:val="80"/>
                <w:sz w:val="21"/>
              </w:rPr>
              <w:t>-741,503.94</w:t>
            </w:r>
            <w:r>
              <w:rPr>
                <w:rFonts w:ascii="Arial"/>
                <w:sz w:val="21"/>
              </w:rPr>
            </w:r>
          </w:p>
        </w:tc>
      </w:tr>
    </w:tbl>
    <w:p>
      <w:pPr>
        <w:pStyle w:val="BodyText"/>
        <w:tabs>
          <w:tab w:pos="6768" w:val="left" w:leader="none"/>
        </w:tabs>
        <w:spacing w:line="240" w:lineRule="auto" w:before="30"/>
        <w:ind w:left="597" w:right="0"/>
        <w:jc w:val="left"/>
      </w:pPr>
      <w:r>
        <w:rPr>
          <w:rFonts w:ascii="Arial" w:hAnsi="Arial" w:cs="Arial" w:eastAsia="Arial" w:hint="default"/>
          <w:spacing w:val="-4"/>
        </w:rPr>
        <w:t>b</w:t>
      </w:r>
      <w:r>
        <w:rPr>
          <w:spacing w:val="-4"/>
        </w:rPr>
        <w:t>、对公司财务报表的影响</w:t>
        <w:tab/>
      </w:r>
      <w:r>
        <w:rPr>
          <w:spacing w:val="-10"/>
        </w:rPr>
        <w:t>单位：元 </w:t>
      </w:r>
      <w:r>
        <w:rPr>
          <w:spacing w:val="28"/>
        </w:rPr>
        <w:t> </w:t>
      </w:r>
      <w:r>
        <w:rPr>
          <w:rFonts w:ascii="宋体" w:hAnsi="宋体" w:cs="宋体" w:eastAsia="宋体" w:hint="default"/>
          <w:spacing w:val="28"/>
        </w:rPr>
      </w:r>
      <w:r>
        <w:rPr>
          <w:spacing w:val="-8"/>
        </w:rPr>
        <w:t>币别：人民币</w:t>
      </w:r>
    </w:p>
    <w:tbl>
      <w:tblPr>
        <w:tblW w:w="0" w:type="auto"/>
        <w:jc w:val="left"/>
        <w:tblInd w:w="119" w:type="dxa"/>
        <w:tblLayout w:type="fixed"/>
        <w:tblCellMar>
          <w:top w:w="0" w:type="dxa"/>
          <w:left w:w="0" w:type="dxa"/>
          <w:bottom w:w="0" w:type="dxa"/>
          <w:right w:w="0" w:type="dxa"/>
        </w:tblCellMar>
        <w:tblLook w:val="01E0"/>
      </w:tblPr>
      <w:tblGrid>
        <w:gridCol w:w="1121"/>
        <w:gridCol w:w="1308"/>
        <w:gridCol w:w="1426"/>
        <w:gridCol w:w="1704"/>
        <w:gridCol w:w="2002"/>
        <w:gridCol w:w="1417"/>
      </w:tblGrid>
      <w:tr>
        <w:trPr>
          <w:trHeight w:val="384" w:hRule="exact"/>
        </w:trPr>
        <w:tc>
          <w:tcPr>
            <w:tcW w:w="3855" w:type="dxa"/>
            <w:gridSpan w:val="3"/>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left="571"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Arial" w:hAnsi="Arial" w:cs="Arial" w:eastAsia="Arial" w:hint="default"/>
                <w:sz w:val="21"/>
                <w:szCs w:val="21"/>
              </w:rPr>
              <w:t>12</w:t>
            </w:r>
            <w:r>
              <w:rPr>
                <w:rFonts w:ascii="Arial" w:hAnsi="Arial" w:cs="Arial" w:eastAsia="Arial"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87"/>
                <w:sz w:val="21"/>
                <w:szCs w:val="21"/>
              </w:rPr>
              <w:t> </w:t>
            </w:r>
            <w:r>
              <w:rPr>
                <w:rFonts w:ascii="Arial" w:hAnsi="Arial" w:cs="Arial" w:eastAsia="Arial" w:hint="default"/>
                <w:sz w:val="21"/>
                <w:szCs w:val="21"/>
              </w:rPr>
              <w:t>31</w:t>
            </w:r>
            <w:r>
              <w:rPr>
                <w:rFonts w:ascii="Arial" w:hAnsi="Arial" w:cs="Arial" w:eastAsia="Arial" w:hint="default"/>
                <w:spacing w:val="-41"/>
                <w:sz w:val="21"/>
                <w:szCs w:val="21"/>
              </w:rPr>
              <w:t> </w:t>
            </w:r>
            <w:r>
              <w:rPr>
                <w:rFonts w:ascii="宋体" w:hAnsi="宋体" w:cs="宋体" w:eastAsia="宋体" w:hint="default"/>
                <w:sz w:val="21"/>
                <w:szCs w:val="21"/>
              </w:rPr>
              <w:t>日（变更前）</w:t>
            </w:r>
          </w:p>
        </w:tc>
        <w:tc>
          <w:tcPr>
            <w:tcW w:w="5123" w:type="dxa"/>
            <w:gridSpan w:val="3"/>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1295"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Arial" w:hAnsi="Arial" w:cs="Arial" w:eastAsia="Arial" w:hint="default"/>
                <w:sz w:val="21"/>
                <w:szCs w:val="21"/>
              </w:rPr>
              <w:t>1</w:t>
            </w:r>
            <w:r>
              <w:rPr>
                <w:rFonts w:ascii="Arial" w:hAnsi="Arial" w:cs="Arial" w:eastAsia="Arial" w:hint="default"/>
                <w:spacing w:val="-34"/>
                <w:sz w:val="21"/>
                <w:szCs w:val="21"/>
              </w:rPr>
              <w:t> </w:t>
            </w:r>
            <w:r>
              <w:rPr>
                <w:rFonts w:ascii="宋体" w:hAnsi="宋体" w:cs="宋体" w:eastAsia="宋体" w:hint="default"/>
                <w:sz w:val="21"/>
                <w:szCs w:val="21"/>
              </w:rPr>
              <w:t>月</w:t>
            </w:r>
            <w:r>
              <w:rPr>
                <w:rFonts w:ascii="宋体" w:hAnsi="宋体" w:cs="宋体" w:eastAsia="宋体" w:hint="default"/>
                <w:spacing w:val="-79"/>
                <w:sz w:val="21"/>
                <w:szCs w:val="21"/>
              </w:rPr>
              <w:t> </w:t>
            </w:r>
            <w:r>
              <w:rPr>
                <w:rFonts w:ascii="Arial" w:hAnsi="Arial" w:cs="Arial" w:eastAsia="Arial" w:hint="default"/>
                <w:sz w:val="21"/>
                <w:szCs w:val="21"/>
              </w:rPr>
              <w:t>1</w:t>
            </w:r>
            <w:r>
              <w:rPr>
                <w:rFonts w:ascii="Arial" w:hAnsi="Arial" w:cs="Arial" w:eastAsia="Arial" w:hint="default"/>
                <w:spacing w:val="-34"/>
                <w:sz w:val="21"/>
                <w:szCs w:val="21"/>
              </w:rPr>
              <w:t> </w:t>
            </w:r>
            <w:r>
              <w:rPr>
                <w:rFonts w:ascii="宋体" w:hAnsi="宋体" w:cs="宋体" w:eastAsia="宋体" w:hint="default"/>
                <w:sz w:val="21"/>
                <w:szCs w:val="21"/>
              </w:rPr>
              <w:t>日（变更后）</w:t>
            </w:r>
          </w:p>
        </w:tc>
      </w:tr>
      <w:tr>
        <w:trPr>
          <w:trHeight w:val="355" w:hRule="exact"/>
        </w:trPr>
        <w:tc>
          <w:tcPr>
            <w:tcW w:w="112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5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30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227"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42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28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0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573"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41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28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58" w:hRule="exact"/>
        </w:trPr>
        <w:tc>
          <w:tcPr>
            <w:tcW w:w="1121" w:type="dxa"/>
            <w:vMerge w:val="restart"/>
            <w:tcBorders>
              <w:top w:val="single" w:sz="4" w:space="0" w:color="41B7EE"/>
              <w:left w:val="nil" w:sz="6" w:space="0" w:color="auto"/>
              <w:right w:val="single" w:sz="4" w:space="0" w:color="41B7EE"/>
            </w:tcBorders>
          </w:tcPr>
          <w:p>
            <w:pPr>
              <w:pStyle w:val="TableParagraph"/>
              <w:spacing w:line="272" w:lineRule="exact" w:before="173"/>
              <w:ind w:left="28" w:right="31"/>
              <w:jc w:val="left"/>
              <w:rPr>
                <w:rFonts w:ascii="宋体" w:hAnsi="宋体" w:cs="宋体" w:eastAsia="宋体" w:hint="default"/>
                <w:sz w:val="21"/>
                <w:szCs w:val="21"/>
              </w:rPr>
            </w:pPr>
            <w:r>
              <w:rPr>
                <w:rFonts w:ascii="宋体" w:hAnsi="宋体" w:cs="宋体" w:eastAsia="宋体" w:hint="default"/>
                <w:sz w:val="21"/>
                <w:szCs w:val="21"/>
              </w:rPr>
              <w:t>其他流动资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产</w:t>
            </w:r>
          </w:p>
        </w:tc>
        <w:tc>
          <w:tcPr>
            <w:tcW w:w="130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2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20"/>
              <w:jc w:val="right"/>
              <w:rPr>
                <w:rFonts w:ascii="Arial" w:hAnsi="Arial" w:cs="Arial" w:eastAsia="Arial" w:hint="default"/>
                <w:sz w:val="21"/>
                <w:szCs w:val="21"/>
              </w:rPr>
            </w:pPr>
            <w:r>
              <w:rPr>
                <w:rFonts w:ascii="Arial"/>
                <w:spacing w:val="-2"/>
                <w:w w:val="80"/>
                <w:sz w:val="21"/>
              </w:rPr>
              <w:t>26,919,016.78</w:t>
            </w:r>
            <w:r>
              <w:rPr>
                <w:rFonts w:ascii="Arial"/>
                <w:sz w:val="21"/>
              </w:rPr>
            </w:r>
          </w:p>
        </w:tc>
        <w:tc>
          <w:tcPr>
            <w:tcW w:w="17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00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1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right="22"/>
              <w:jc w:val="right"/>
              <w:rPr>
                <w:rFonts w:ascii="Arial" w:hAnsi="Arial" w:cs="Arial" w:eastAsia="Arial" w:hint="default"/>
                <w:sz w:val="21"/>
                <w:szCs w:val="21"/>
              </w:rPr>
            </w:pPr>
            <w:r>
              <w:rPr>
                <w:rFonts w:ascii="Arial"/>
                <w:spacing w:val="-2"/>
                <w:w w:val="80"/>
                <w:sz w:val="21"/>
              </w:rPr>
              <w:t>26,919,016.78</w:t>
            </w:r>
            <w:r>
              <w:rPr>
                <w:rFonts w:ascii="Arial"/>
                <w:sz w:val="21"/>
              </w:rPr>
            </w:r>
          </w:p>
        </w:tc>
      </w:tr>
      <w:tr>
        <w:trPr>
          <w:trHeight w:val="554" w:hRule="exact"/>
        </w:trPr>
        <w:tc>
          <w:tcPr>
            <w:tcW w:w="1121" w:type="dxa"/>
            <w:vMerge/>
            <w:tcBorders>
              <w:left w:val="nil" w:sz="6" w:space="0" w:color="auto"/>
              <w:bottom w:val="single" w:sz="4" w:space="0" w:color="41B7EE"/>
              <w:right w:val="single" w:sz="4" w:space="0" w:color="41B7EE"/>
            </w:tcBorders>
          </w:tcPr>
          <w:p>
            <w:pPr/>
          </w:p>
        </w:tc>
        <w:tc>
          <w:tcPr>
            <w:tcW w:w="130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2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20"/>
              <w:jc w:val="right"/>
              <w:rPr>
                <w:rFonts w:ascii="Arial" w:hAnsi="Arial" w:cs="Arial" w:eastAsia="Arial" w:hint="default"/>
                <w:sz w:val="21"/>
                <w:szCs w:val="21"/>
              </w:rPr>
            </w:pPr>
            <w:r>
              <w:rPr>
                <w:rFonts w:ascii="Arial"/>
                <w:spacing w:val="-2"/>
                <w:w w:val="80"/>
                <w:sz w:val="21"/>
              </w:rPr>
              <w:t>2,135,693,612.21</w:t>
            </w:r>
            <w:r>
              <w:rPr>
                <w:rFonts w:ascii="Arial"/>
                <w:sz w:val="21"/>
              </w:rPr>
            </w:r>
          </w:p>
        </w:tc>
        <w:tc>
          <w:tcPr>
            <w:tcW w:w="17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pacing w:val="-17"/>
                <w:sz w:val="21"/>
                <w:szCs w:val="21"/>
              </w:rPr>
              <w:t>交易性金融资产</w:t>
            </w:r>
            <w:r>
              <w:rPr>
                <w:rFonts w:ascii="宋体" w:hAnsi="宋体" w:cs="宋体" w:eastAsia="宋体" w:hint="default"/>
                <w:sz w:val="21"/>
                <w:szCs w:val="21"/>
              </w:rPr>
            </w:r>
          </w:p>
        </w:tc>
        <w:tc>
          <w:tcPr>
            <w:tcW w:w="2002" w:type="dxa"/>
            <w:tcBorders>
              <w:top w:val="single" w:sz="4" w:space="0" w:color="41B7EE"/>
              <w:left w:val="single" w:sz="4" w:space="0" w:color="41B7EE"/>
              <w:bottom w:val="single" w:sz="4" w:space="0" w:color="41B7EE"/>
              <w:right w:val="single" w:sz="4" w:space="0" w:color="41B7EE"/>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pacing w:val="-13"/>
                <w:sz w:val="21"/>
                <w:szCs w:val="21"/>
              </w:rPr>
              <w:t>以公允价值计量且其</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pacing w:val="-13"/>
                <w:sz w:val="21"/>
                <w:szCs w:val="21"/>
              </w:rPr>
              <w:t>变动计入当期损益</w:t>
            </w:r>
          </w:p>
        </w:tc>
        <w:tc>
          <w:tcPr>
            <w:tcW w:w="141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8"/>
              <w:ind w:right="23"/>
              <w:jc w:val="right"/>
              <w:rPr>
                <w:rFonts w:ascii="Arial" w:hAnsi="Arial" w:cs="Arial" w:eastAsia="Arial" w:hint="default"/>
                <w:sz w:val="21"/>
                <w:szCs w:val="21"/>
              </w:rPr>
            </w:pPr>
            <w:r>
              <w:rPr>
                <w:rFonts w:ascii="Arial"/>
                <w:spacing w:val="-2"/>
                <w:w w:val="80"/>
                <w:sz w:val="21"/>
              </w:rPr>
              <w:t>2,135,693,612.21</w:t>
            </w:r>
            <w:r>
              <w:rPr>
                <w:rFonts w:ascii="Arial"/>
                <w:sz w:val="21"/>
              </w:rPr>
            </w:r>
          </w:p>
        </w:tc>
      </w:tr>
      <w:tr>
        <w:trPr>
          <w:trHeight w:val="554" w:hRule="exact"/>
        </w:trPr>
        <w:tc>
          <w:tcPr>
            <w:tcW w:w="112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02"/>
              <w:ind w:left="28"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30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2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20"/>
              <w:jc w:val="right"/>
              <w:rPr>
                <w:rFonts w:ascii="Arial" w:hAnsi="Arial" w:cs="Arial" w:eastAsia="Arial" w:hint="default"/>
                <w:sz w:val="21"/>
                <w:szCs w:val="21"/>
              </w:rPr>
            </w:pPr>
            <w:r>
              <w:rPr>
                <w:rFonts w:ascii="Arial"/>
                <w:spacing w:val="-2"/>
                <w:w w:val="80"/>
                <w:sz w:val="21"/>
              </w:rPr>
              <w:t>9,858,946.90</w:t>
            </w:r>
            <w:r>
              <w:rPr>
                <w:rFonts w:ascii="Arial"/>
                <w:sz w:val="21"/>
              </w:rPr>
            </w:r>
          </w:p>
        </w:tc>
        <w:tc>
          <w:tcPr>
            <w:tcW w:w="17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pacing w:val="-17"/>
                <w:sz w:val="21"/>
                <w:szCs w:val="21"/>
              </w:rPr>
              <w:t>交易性金融资产</w:t>
            </w:r>
            <w:r>
              <w:rPr>
                <w:rFonts w:ascii="宋体" w:hAnsi="宋体" w:cs="宋体" w:eastAsia="宋体" w:hint="default"/>
                <w:sz w:val="21"/>
                <w:szCs w:val="21"/>
              </w:rPr>
            </w:r>
          </w:p>
        </w:tc>
        <w:tc>
          <w:tcPr>
            <w:tcW w:w="2002" w:type="dxa"/>
            <w:tcBorders>
              <w:top w:val="single" w:sz="4" w:space="0" w:color="41B7EE"/>
              <w:left w:val="single" w:sz="4" w:space="0" w:color="41B7EE"/>
              <w:bottom w:val="single" w:sz="4" w:space="0" w:color="41B7EE"/>
              <w:right w:val="single" w:sz="4" w:space="0" w:color="41B7EE"/>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pacing w:val="-13"/>
                <w:sz w:val="21"/>
                <w:szCs w:val="21"/>
              </w:rPr>
              <w:t>以公允价值计量且其</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pacing w:val="-13"/>
                <w:sz w:val="21"/>
                <w:szCs w:val="21"/>
              </w:rPr>
              <w:t>变动计入当期损益</w:t>
            </w:r>
          </w:p>
        </w:tc>
        <w:tc>
          <w:tcPr>
            <w:tcW w:w="141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8"/>
              <w:ind w:right="22"/>
              <w:jc w:val="right"/>
              <w:rPr>
                <w:rFonts w:ascii="Arial" w:hAnsi="Arial" w:cs="Arial" w:eastAsia="Arial" w:hint="default"/>
                <w:sz w:val="21"/>
                <w:szCs w:val="21"/>
              </w:rPr>
            </w:pPr>
            <w:r>
              <w:rPr>
                <w:rFonts w:ascii="Arial"/>
                <w:spacing w:val="-2"/>
                <w:w w:val="80"/>
                <w:sz w:val="21"/>
              </w:rPr>
              <w:t>9,858,946.90</w:t>
            </w:r>
            <w:r>
              <w:rPr>
                <w:rFonts w:ascii="Arial"/>
                <w:sz w:val="21"/>
              </w:rPr>
            </w:r>
          </w:p>
        </w:tc>
      </w:tr>
      <w:tr>
        <w:trPr>
          <w:trHeight w:val="555" w:hRule="exact"/>
        </w:trPr>
        <w:tc>
          <w:tcPr>
            <w:tcW w:w="1121" w:type="dxa"/>
            <w:vMerge w:val="restart"/>
            <w:tcBorders>
              <w:top w:val="single" w:sz="4" w:space="0" w:color="41B7EE"/>
              <w:left w:val="nil" w:sz="6" w:space="0" w:color="auto"/>
              <w:right w:val="single" w:sz="4" w:space="0" w:color="41B7EE"/>
            </w:tcBorders>
          </w:tcPr>
          <w:p>
            <w:pPr>
              <w:pStyle w:val="TableParagraph"/>
              <w:spacing w:line="272" w:lineRule="exact" w:before="174"/>
              <w:ind w:left="28" w:right="31"/>
              <w:jc w:val="left"/>
              <w:rPr>
                <w:rFonts w:ascii="宋体" w:hAnsi="宋体" w:cs="宋体" w:eastAsia="宋体" w:hint="default"/>
                <w:sz w:val="21"/>
                <w:szCs w:val="21"/>
              </w:rPr>
            </w:pPr>
            <w:r>
              <w:rPr>
                <w:rFonts w:ascii="宋体" w:hAnsi="宋体" w:cs="宋体" w:eastAsia="宋体" w:hint="default"/>
                <w:sz w:val="21"/>
                <w:szCs w:val="21"/>
              </w:rPr>
              <w:t>可供出售金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融资产</w:t>
            </w:r>
          </w:p>
        </w:tc>
        <w:tc>
          <w:tcPr>
            <w:tcW w:w="1308" w:type="dxa"/>
            <w:vMerge w:val="restart"/>
            <w:tcBorders>
              <w:top w:val="single" w:sz="4" w:space="0" w:color="41B7EE"/>
              <w:left w:val="single" w:sz="4" w:space="0" w:color="41B7EE"/>
              <w:right w:val="single" w:sz="4" w:space="0" w:color="41B7EE"/>
            </w:tcBorders>
          </w:tcPr>
          <w:p>
            <w:pPr>
              <w:pStyle w:val="TableParagraph"/>
              <w:spacing w:line="273" w:lineRule="exact" w:before="146"/>
              <w:ind w:left="21" w:right="0"/>
              <w:jc w:val="left"/>
              <w:rPr>
                <w:rFonts w:ascii="宋体" w:hAnsi="宋体" w:cs="宋体" w:eastAsia="宋体" w:hint="default"/>
                <w:sz w:val="21"/>
                <w:szCs w:val="21"/>
              </w:rPr>
            </w:pPr>
            <w:r>
              <w:rPr>
                <w:rFonts w:ascii="宋体" w:hAnsi="宋体" w:cs="宋体" w:eastAsia="宋体" w:hint="default"/>
                <w:sz w:val="21"/>
                <w:szCs w:val="21"/>
              </w:rPr>
              <w:t>以成本计量</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pacing w:val="-17"/>
                <w:sz w:val="21"/>
                <w:szCs w:val="21"/>
              </w:rPr>
              <w:t>（权益工具）</w:t>
            </w:r>
            <w:r>
              <w:rPr>
                <w:rFonts w:ascii="宋体" w:hAnsi="宋体" w:cs="宋体" w:eastAsia="宋体" w:hint="default"/>
                <w:sz w:val="21"/>
                <w:szCs w:val="21"/>
              </w:rPr>
            </w:r>
          </w:p>
        </w:tc>
        <w:tc>
          <w:tcPr>
            <w:tcW w:w="1426" w:type="dxa"/>
            <w:vMerge w:val="restart"/>
            <w:tcBorders>
              <w:top w:val="single" w:sz="4" w:space="0" w:color="41B7EE"/>
              <w:left w:val="single" w:sz="4" w:space="0" w:color="41B7EE"/>
              <w:right w:val="single" w:sz="4" w:space="0" w:color="41B7EE"/>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90" w:right="0"/>
              <w:jc w:val="left"/>
              <w:rPr>
                <w:rFonts w:ascii="Arial" w:hAnsi="Arial" w:cs="Arial" w:eastAsia="Arial" w:hint="default"/>
                <w:sz w:val="21"/>
                <w:szCs w:val="21"/>
              </w:rPr>
            </w:pPr>
            <w:r>
              <w:rPr>
                <w:rFonts w:ascii="Arial"/>
                <w:w w:val="80"/>
                <w:sz w:val="21"/>
              </w:rPr>
              <w:t>21,000,000.00</w:t>
            </w:r>
            <w:r>
              <w:rPr>
                <w:rFonts w:ascii="Arial"/>
                <w:sz w:val="21"/>
              </w:rPr>
            </w:r>
          </w:p>
        </w:tc>
        <w:tc>
          <w:tcPr>
            <w:tcW w:w="17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3"/>
              <w:ind w:left="21" w:right="0"/>
              <w:jc w:val="left"/>
              <w:rPr>
                <w:rFonts w:ascii="宋体" w:hAnsi="宋体" w:cs="宋体" w:eastAsia="宋体" w:hint="default"/>
                <w:sz w:val="21"/>
                <w:szCs w:val="21"/>
              </w:rPr>
            </w:pPr>
            <w:r>
              <w:rPr>
                <w:rFonts w:ascii="宋体" w:hAnsi="宋体" w:cs="宋体" w:eastAsia="宋体" w:hint="default"/>
                <w:spacing w:val="-13"/>
                <w:sz w:val="21"/>
                <w:szCs w:val="21"/>
              </w:rPr>
              <w:t>其他权益工具投资</w:t>
            </w:r>
          </w:p>
        </w:tc>
        <w:tc>
          <w:tcPr>
            <w:tcW w:w="2002" w:type="dxa"/>
            <w:tcBorders>
              <w:top w:val="single" w:sz="4" w:space="0" w:color="41B7EE"/>
              <w:left w:val="single" w:sz="4" w:space="0" w:color="41B7EE"/>
              <w:bottom w:val="single" w:sz="4" w:space="0" w:color="41B7EE"/>
              <w:right w:val="single" w:sz="4" w:space="0" w:color="41B7EE"/>
            </w:tcBorders>
          </w:tcPr>
          <w:p>
            <w:pPr>
              <w:pStyle w:val="TableParagraph"/>
              <w:spacing w:line="242" w:lineRule="exact"/>
              <w:ind w:left="21" w:right="0"/>
              <w:jc w:val="left"/>
              <w:rPr>
                <w:rFonts w:ascii="宋体" w:hAnsi="宋体" w:cs="宋体" w:eastAsia="宋体" w:hint="default"/>
                <w:sz w:val="21"/>
                <w:szCs w:val="21"/>
              </w:rPr>
            </w:pPr>
            <w:r>
              <w:rPr>
                <w:rFonts w:ascii="宋体" w:hAnsi="宋体" w:cs="宋体" w:eastAsia="宋体" w:hint="default"/>
                <w:spacing w:val="-20"/>
                <w:sz w:val="21"/>
                <w:szCs w:val="21"/>
              </w:rPr>
              <w:t>以公允价值计量且其变</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pacing w:val="-20"/>
                <w:sz w:val="21"/>
                <w:szCs w:val="21"/>
              </w:rPr>
              <w:t>动计入其他综合收益</w:t>
            </w:r>
          </w:p>
        </w:tc>
        <w:tc>
          <w:tcPr>
            <w:tcW w:w="141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9"/>
              <w:ind w:right="22"/>
              <w:jc w:val="right"/>
              <w:rPr>
                <w:rFonts w:ascii="Arial" w:hAnsi="Arial" w:cs="Arial" w:eastAsia="Arial" w:hint="default"/>
                <w:sz w:val="21"/>
                <w:szCs w:val="21"/>
              </w:rPr>
            </w:pPr>
            <w:r>
              <w:rPr>
                <w:rFonts w:ascii="Arial"/>
                <w:spacing w:val="-2"/>
                <w:w w:val="80"/>
                <w:sz w:val="21"/>
              </w:rPr>
              <w:t>20,258,493.06</w:t>
            </w:r>
            <w:r>
              <w:rPr>
                <w:rFonts w:ascii="Arial"/>
                <w:sz w:val="21"/>
              </w:rPr>
            </w:r>
          </w:p>
        </w:tc>
      </w:tr>
      <w:tr>
        <w:trPr>
          <w:trHeight w:val="384" w:hRule="exact"/>
        </w:trPr>
        <w:tc>
          <w:tcPr>
            <w:tcW w:w="1121" w:type="dxa"/>
            <w:vMerge/>
            <w:tcBorders>
              <w:left w:val="nil" w:sz="6" w:space="0" w:color="auto"/>
              <w:bottom w:val="single" w:sz="23" w:space="0" w:color="41B7EE"/>
              <w:right w:val="single" w:sz="4" w:space="0" w:color="41B7EE"/>
            </w:tcBorders>
          </w:tcPr>
          <w:p>
            <w:pPr/>
          </w:p>
        </w:tc>
        <w:tc>
          <w:tcPr>
            <w:tcW w:w="1308" w:type="dxa"/>
            <w:vMerge/>
            <w:tcBorders>
              <w:left w:val="single" w:sz="4" w:space="0" w:color="41B7EE"/>
              <w:bottom w:val="single" w:sz="23" w:space="0" w:color="41B7EE"/>
              <w:right w:val="single" w:sz="4" w:space="0" w:color="41B7EE"/>
            </w:tcBorders>
          </w:tcPr>
          <w:p>
            <w:pPr/>
          </w:p>
        </w:tc>
        <w:tc>
          <w:tcPr>
            <w:tcW w:w="1426" w:type="dxa"/>
            <w:vMerge/>
            <w:tcBorders>
              <w:left w:val="single" w:sz="4" w:space="0" w:color="41B7EE"/>
              <w:bottom w:val="single" w:sz="23" w:space="0" w:color="41B7EE"/>
              <w:right w:val="single" w:sz="4" w:space="0" w:color="41B7EE"/>
            </w:tcBorders>
          </w:tcPr>
          <w:p>
            <w:pPr/>
          </w:p>
        </w:tc>
        <w:tc>
          <w:tcPr>
            <w:tcW w:w="1704"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002"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2"/>
              <w:ind w:left="21" w:right="0"/>
              <w:jc w:val="left"/>
              <w:rPr>
                <w:rFonts w:ascii="宋体" w:hAnsi="宋体" w:cs="宋体" w:eastAsia="宋体" w:hint="default"/>
                <w:sz w:val="21"/>
                <w:szCs w:val="21"/>
              </w:rPr>
            </w:pPr>
            <w:r>
              <w:rPr>
                <w:rFonts w:ascii="宋体"/>
                <w:w w:val="100"/>
                <w:sz w:val="21"/>
              </w:rPr>
              <w:t> </w:t>
            </w:r>
          </w:p>
        </w:tc>
        <w:tc>
          <w:tcPr>
            <w:tcW w:w="1417"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50"/>
              <w:ind w:right="22"/>
              <w:jc w:val="right"/>
              <w:rPr>
                <w:rFonts w:ascii="Arial" w:hAnsi="Arial" w:cs="Arial" w:eastAsia="Arial" w:hint="default"/>
                <w:sz w:val="21"/>
                <w:szCs w:val="21"/>
              </w:rPr>
            </w:pPr>
            <w:r>
              <w:rPr>
                <w:rFonts w:ascii="Arial"/>
                <w:spacing w:val="-2"/>
                <w:w w:val="80"/>
                <w:sz w:val="21"/>
              </w:rPr>
              <w:t>-741,506.94</w:t>
            </w:r>
            <w:r>
              <w:rPr>
                <w:rFonts w:ascii="Arial"/>
                <w:sz w:val="21"/>
              </w:rPr>
            </w:r>
          </w:p>
        </w:tc>
      </w:tr>
    </w:tbl>
    <w:p>
      <w:pPr>
        <w:pStyle w:val="BodyText"/>
        <w:spacing w:line="266" w:lineRule="auto" w:before="29"/>
        <w:ind w:left="176" w:right="0" w:firstLine="420"/>
        <w:jc w:val="left"/>
      </w:pPr>
      <w:r>
        <w:rPr>
          <w:rFonts w:ascii="Arial" w:hAnsi="Arial" w:cs="Arial" w:eastAsia="Arial" w:hint="default"/>
          <w:spacing w:val="-2"/>
        </w:rPr>
        <w:t>B</w:t>
      </w:r>
      <w:r>
        <w:rPr>
          <w:spacing w:val="-2"/>
        </w:rPr>
        <w:t>、首次执行日，原金融资产账面价值调整为按照新金融工具准则的规定进行分类和计量的</w:t>
      </w:r>
      <w:r>
        <w:rPr>
          <w:w w:val="100"/>
        </w:rPr>
        <w:t> </w:t>
      </w:r>
      <w:r>
        <w:rPr/>
        <w:t>新金融资产账面价值的调节表</w:t>
      </w:r>
    </w:p>
    <w:p>
      <w:pPr>
        <w:pStyle w:val="BodyText"/>
        <w:spacing w:line="240" w:lineRule="auto" w:before="21"/>
        <w:ind w:left="597" w:right="0"/>
        <w:jc w:val="left"/>
        <w:rPr>
          <w:rFonts w:ascii="宋体" w:hAnsi="宋体" w:cs="宋体" w:eastAsia="宋体" w:hint="default"/>
        </w:rPr>
      </w:pPr>
      <w:r>
        <w:rPr>
          <w:rFonts w:ascii="Arial" w:hAnsi="Arial" w:cs="Arial" w:eastAsia="Arial" w:hint="default"/>
        </w:rPr>
        <w:t>a</w:t>
      </w:r>
      <w:r>
        <w:rPr/>
        <w:t>、对合并报表的影响                                       </w:t>
      </w:r>
      <w:r>
        <w:rPr>
          <w:rFonts w:ascii="宋体" w:hAnsi="宋体" w:cs="宋体" w:eastAsia="宋体" w:hint="default"/>
        </w:rPr>
      </w:r>
      <w:r>
        <w:rPr/>
        <w:t>单位：元</w:t>
      </w:r>
      <w:r>
        <w:rPr>
          <w:spacing w:val="92"/>
        </w:rPr>
        <w:t> </w:t>
      </w:r>
      <w:r>
        <w:rPr>
          <w:rFonts w:ascii="宋体" w:hAnsi="宋体" w:cs="宋体" w:eastAsia="宋体" w:hint="default"/>
          <w:spacing w:val="92"/>
        </w:rPr>
      </w:r>
      <w:r>
        <w:rPr/>
        <w:t>币别：人民币</w:t>
      </w:r>
      <w:r>
        <w:rPr>
          <w:rFonts w:ascii="宋体" w:hAnsi="宋体" w:cs="宋体" w:eastAsia="宋体" w:hint="default"/>
        </w:rPr>
        <w:t> </w:t>
      </w:r>
    </w:p>
    <w:tbl>
      <w:tblPr>
        <w:tblW w:w="0" w:type="auto"/>
        <w:jc w:val="left"/>
        <w:tblInd w:w="119" w:type="dxa"/>
        <w:tblLayout w:type="fixed"/>
        <w:tblCellMar>
          <w:top w:w="0" w:type="dxa"/>
          <w:left w:w="0" w:type="dxa"/>
          <w:bottom w:w="0" w:type="dxa"/>
          <w:right w:w="0" w:type="dxa"/>
        </w:tblCellMar>
        <w:tblLook w:val="01E0"/>
      </w:tblPr>
      <w:tblGrid>
        <w:gridCol w:w="3541"/>
        <w:gridCol w:w="1397"/>
        <w:gridCol w:w="1400"/>
        <w:gridCol w:w="1157"/>
        <w:gridCol w:w="1397"/>
      </w:tblGrid>
      <w:tr>
        <w:trPr>
          <w:trHeight w:val="581" w:hRule="exact"/>
        </w:trPr>
        <w:tc>
          <w:tcPr>
            <w:tcW w:w="3541"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105"/>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97" w:type="dxa"/>
            <w:tcBorders>
              <w:top w:val="single" w:sz="23" w:space="0" w:color="41B7EE"/>
              <w:left w:val="single" w:sz="4" w:space="0" w:color="41B7EE"/>
              <w:bottom w:val="single" w:sz="4" w:space="0" w:color="41B7EE"/>
              <w:right w:val="single" w:sz="4" w:space="0" w:color="41B7EE"/>
            </w:tcBorders>
          </w:tcPr>
          <w:p>
            <w:pPr>
              <w:pStyle w:val="TableParagraph"/>
              <w:spacing w:line="250" w:lineRule="exact"/>
              <w:ind w:left="67" w:right="0"/>
              <w:jc w:val="left"/>
              <w:rPr>
                <w:rFonts w:ascii="Arial" w:hAnsi="Arial" w:cs="Arial" w:eastAsia="Arial" w:hint="default"/>
                <w:sz w:val="21"/>
                <w:szCs w:val="21"/>
              </w:rPr>
            </w:pPr>
            <w:r>
              <w:rPr>
                <w:rFonts w:ascii="Arial" w:hAnsi="Arial" w:cs="Arial" w:eastAsia="Arial" w:hint="default"/>
                <w:spacing w:val="-10"/>
                <w:w w:val="95"/>
                <w:sz w:val="21"/>
                <w:szCs w:val="21"/>
              </w:rPr>
              <w:t>2018</w:t>
            </w:r>
            <w:r>
              <w:rPr>
                <w:rFonts w:ascii="Arial" w:hAnsi="Arial" w:cs="Arial" w:eastAsia="Arial" w:hint="default"/>
                <w:spacing w:val="-41"/>
                <w:w w:val="95"/>
                <w:sz w:val="21"/>
                <w:szCs w:val="21"/>
              </w:rPr>
              <w:t> </w:t>
            </w:r>
            <w:r>
              <w:rPr>
                <w:rFonts w:ascii="宋体" w:hAnsi="宋体" w:cs="宋体" w:eastAsia="宋体" w:hint="default"/>
                <w:w w:val="95"/>
                <w:sz w:val="21"/>
                <w:szCs w:val="21"/>
              </w:rPr>
              <w:t>年</w:t>
            </w:r>
            <w:r>
              <w:rPr>
                <w:rFonts w:ascii="宋体" w:hAnsi="宋体" w:cs="宋体" w:eastAsia="宋体" w:hint="default"/>
                <w:spacing w:val="-90"/>
                <w:w w:val="95"/>
                <w:sz w:val="21"/>
                <w:szCs w:val="21"/>
              </w:rPr>
              <w:t> </w:t>
            </w:r>
            <w:r>
              <w:rPr>
                <w:rFonts w:ascii="Arial" w:hAnsi="Arial" w:cs="Arial" w:eastAsia="Arial" w:hint="default"/>
                <w:spacing w:val="-7"/>
                <w:w w:val="95"/>
                <w:sz w:val="21"/>
                <w:szCs w:val="21"/>
              </w:rPr>
              <w:t>12</w:t>
            </w:r>
            <w:r>
              <w:rPr>
                <w:rFonts w:ascii="Arial" w:hAnsi="Arial" w:cs="Arial" w:eastAsia="Arial" w:hint="default"/>
                <w:spacing w:val="-41"/>
                <w:w w:val="95"/>
                <w:sz w:val="21"/>
                <w:szCs w:val="21"/>
              </w:rPr>
              <w:t> </w:t>
            </w:r>
            <w:r>
              <w:rPr>
                <w:rFonts w:ascii="宋体" w:hAnsi="宋体" w:cs="宋体" w:eastAsia="宋体" w:hint="default"/>
                <w:w w:val="95"/>
                <w:sz w:val="21"/>
                <w:szCs w:val="21"/>
              </w:rPr>
              <w:t>月</w:t>
            </w:r>
            <w:r>
              <w:rPr>
                <w:rFonts w:ascii="宋体" w:hAnsi="宋体" w:cs="宋体" w:eastAsia="宋体" w:hint="default"/>
                <w:spacing w:val="-89"/>
                <w:w w:val="95"/>
                <w:sz w:val="21"/>
                <w:szCs w:val="21"/>
              </w:rPr>
              <w:t> </w:t>
            </w:r>
            <w:r>
              <w:rPr>
                <w:rFonts w:ascii="Arial" w:hAnsi="Arial" w:cs="Arial" w:eastAsia="Arial" w:hint="default"/>
                <w:spacing w:val="-16"/>
                <w:w w:val="95"/>
                <w:sz w:val="21"/>
                <w:szCs w:val="21"/>
              </w:rPr>
              <w:t>31</w:t>
            </w:r>
            <w:r>
              <w:rPr>
                <w:rFonts w:ascii="Arial" w:hAnsi="Arial" w:cs="Arial" w:eastAsia="Arial" w:hint="default"/>
                <w:sz w:val="21"/>
                <w:szCs w:val="21"/>
              </w:rPr>
            </w:r>
          </w:p>
          <w:p>
            <w:pPr>
              <w:pStyle w:val="TableParagraph"/>
              <w:spacing w:line="267" w:lineRule="exact"/>
              <w:ind w:left="124" w:right="0"/>
              <w:jc w:val="left"/>
              <w:rPr>
                <w:rFonts w:ascii="宋体" w:hAnsi="宋体" w:cs="宋体" w:eastAsia="宋体" w:hint="default"/>
                <w:sz w:val="21"/>
                <w:szCs w:val="21"/>
              </w:rPr>
            </w:pPr>
            <w:r>
              <w:rPr>
                <w:rFonts w:ascii="宋体" w:hAnsi="宋体" w:cs="宋体" w:eastAsia="宋体" w:hint="default"/>
                <w:spacing w:val="-18"/>
                <w:sz w:val="21"/>
                <w:szCs w:val="21"/>
              </w:rPr>
              <w:t>日（变更前）</w:t>
            </w:r>
          </w:p>
        </w:tc>
        <w:tc>
          <w:tcPr>
            <w:tcW w:w="1400"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105"/>
              <w:ind w:left="408" w:right="0"/>
              <w:jc w:val="left"/>
              <w:rPr>
                <w:rFonts w:ascii="宋体" w:hAnsi="宋体" w:cs="宋体" w:eastAsia="宋体" w:hint="default"/>
                <w:sz w:val="21"/>
                <w:szCs w:val="21"/>
              </w:rPr>
            </w:pPr>
            <w:r>
              <w:rPr>
                <w:rFonts w:ascii="宋体" w:hAnsi="宋体" w:cs="宋体" w:eastAsia="宋体" w:hint="default"/>
                <w:spacing w:val="-14"/>
                <w:sz w:val="21"/>
                <w:szCs w:val="21"/>
              </w:rPr>
              <w:t>重分类</w:t>
            </w:r>
          </w:p>
        </w:tc>
        <w:tc>
          <w:tcPr>
            <w:tcW w:w="1157"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105"/>
              <w:ind w:left="19" w:right="0"/>
              <w:jc w:val="center"/>
              <w:rPr>
                <w:rFonts w:ascii="宋体" w:hAnsi="宋体" w:cs="宋体" w:eastAsia="宋体" w:hint="default"/>
                <w:sz w:val="21"/>
                <w:szCs w:val="21"/>
              </w:rPr>
            </w:pPr>
            <w:r>
              <w:rPr>
                <w:rFonts w:ascii="宋体" w:hAnsi="宋体" w:cs="宋体" w:eastAsia="宋体" w:hint="default"/>
                <w:spacing w:val="-16"/>
                <w:sz w:val="21"/>
                <w:szCs w:val="21"/>
              </w:rPr>
              <w:t>重新计量</w:t>
            </w:r>
          </w:p>
        </w:tc>
        <w:tc>
          <w:tcPr>
            <w:tcW w:w="1397" w:type="dxa"/>
            <w:tcBorders>
              <w:top w:val="single" w:sz="23" w:space="0" w:color="41B7EE"/>
              <w:left w:val="single" w:sz="4" w:space="0" w:color="41B7EE"/>
              <w:bottom w:val="single" w:sz="4" w:space="0" w:color="41B7EE"/>
              <w:right w:val="nil" w:sz="6" w:space="0" w:color="auto"/>
            </w:tcBorders>
          </w:tcPr>
          <w:p>
            <w:pPr>
              <w:pStyle w:val="TableParagraph"/>
              <w:spacing w:line="250" w:lineRule="exact"/>
              <w:ind w:left="14" w:right="0"/>
              <w:jc w:val="center"/>
              <w:rPr>
                <w:rFonts w:ascii="宋体" w:hAnsi="宋体" w:cs="宋体" w:eastAsia="宋体" w:hint="default"/>
                <w:sz w:val="21"/>
                <w:szCs w:val="21"/>
              </w:rPr>
            </w:pPr>
            <w:r>
              <w:rPr>
                <w:rFonts w:ascii="Arial" w:hAnsi="Arial" w:cs="Arial" w:eastAsia="Arial" w:hint="default"/>
                <w:spacing w:val="-10"/>
                <w:w w:val="95"/>
                <w:sz w:val="21"/>
                <w:szCs w:val="21"/>
              </w:rPr>
              <w:t>2019</w:t>
            </w:r>
            <w:r>
              <w:rPr>
                <w:rFonts w:ascii="Arial" w:hAnsi="Arial" w:cs="Arial" w:eastAsia="Arial" w:hint="default"/>
                <w:spacing w:val="-30"/>
                <w:w w:val="95"/>
                <w:sz w:val="21"/>
                <w:szCs w:val="21"/>
              </w:rPr>
              <w:t> </w:t>
            </w:r>
            <w:r>
              <w:rPr>
                <w:rFonts w:ascii="宋体" w:hAnsi="宋体" w:cs="宋体" w:eastAsia="宋体" w:hint="default"/>
                <w:w w:val="95"/>
                <w:sz w:val="21"/>
                <w:szCs w:val="21"/>
              </w:rPr>
              <w:t>年</w:t>
            </w:r>
            <w:r>
              <w:rPr>
                <w:rFonts w:ascii="宋体" w:hAnsi="宋体" w:cs="宋体" w:eastAsia="宋体" w:hint="default"/>
                <w:spacing w:val="-81"/>
                <w:w w:val="95"/>
                <w:sz w:val="21"/>
                <w:szCs w:val="21"/>
              </w:rPr>
              <w:t> </w:t>
            </w:r>
            <w:r>
              <w:rPr>
                <w:rFonts w:ascii="Arial" w:hAnsi="Arial" w:cs="Arial" w:eastAsia="Arial" w:hint="default"/>
                <w:w w:val="95"/>
                <w:sz w:val="21"/>
                <w:szCs w:val="21"/>
              </w:rPr>
              <w:t>1</w:t>
            </w:r>
            <w:r>
              <w:rPr>
                <w:rFonts w:ascii="Arial" w:hAnsi="Arial" w:cs="Arial" w:eastAsia="Arial" w:hint="default"/>
                <w:spacing w:val="-30"/>
                <w:w w:val="95"/>
                <w:sz w:val="21"/>
                <w:szCs w:val="21"/>
              </w:rPr>
              <w:t> </w:t>
            </w:r>
            <w:r>
              <w:rPr>
                <w:rFonts w:ascii="宋体" w:hAnsi="宋体" w:cs="宋体" w:eastAsia="宋体" w:hint="default"/>
                <w:w w:val="95"/>
                <w:sz w:val="21"/>
                <w:szCs w:val="21"/>
              </w:rPr>
              <w:t>月</w:t>
            </w:r>
            <w:r>
              <w:rPr>
                <w:rFonts w:ascii="宋体" w:hAnsi="宋体" w:cs="宋体" w:eastAsia="宋体" w:hint="default"/>
                <w:spacing w:val="-80"/>
                <w:w w:val="95"/>
                <w:sz w:val="21"/>
                <w:szCs w:val="21"/>
              </w:rPr>
              <w:t> </w:t>
            </w:r>
            <w:r>
              <w:rPr>
                <w:rFonts w:ascii="Arial" w:hAnsi="Arial" w:cs="Arial" w:eastAsia="Arial" w:hint="default"/>
                <w:w w:val="95"/>
                <w:sz w:val="21"/>
                <w:szCs w:val="21"/>
              </w:rPr>
              <w:t>1</w:t>
            </w:r>
            <w:r>
              <w:rPr>
                <w:rFonts w:ascii="Arial" w:hAnsi="Arial" w:cs="Arial" w:eastAsia="Arial" w:hint="default"/>
                <w:spacing w:val="-30"/>
                <w:w w:val="95"/>
                <w:sz w:val="21"/>
                <w:szCs w:val="21"/>
              </w:rPr>
              <w:t> </w:t>
            </w:r>
            <w:r>
              <w:rPr>
                <w:rFonts w:ascii="宋体" w:hAnsi="宋体" w:cs="宋体" w:eastAsia="宋体" w:hint="default"/>
                <w:w w:val="95"/>
                <w:sz w:val="21"/>
                <w:szCs w:val="21"/>
              </w:rPr>
              <w:t>日</w:t>
            </w:r>
          </w:p>
          <w:p>
            <w:pPr>
              <w:pStyle w:val="TableParagraph"/>
              <w:spacing w:line="267" w:lineRule="exact"/>
              <w:ind w:left="11" w:right="0"/>
              <w:jc w:val="center"/>
              <w:rPr>
                <w:rFonts w:ascii="宋体" w:hAnsi="宋体" w:cs="宋体" w:eastAsia="宋体" w:hint="default"/>
                <w:sz w:val="21"/>
                <w:szCs w:val="21"/>
              </w:rPr>
            </w:pPr>
            <w:r>
              <w:rPr>
                <w:rFonts w:ascii="宋体" w:hAnsi="宋体" w:cs="宋体" w:eastAsia="宋体" w:hint="default"/>
                <w:spacing w:val="-18"/>
                <w:sz w:val="21"/>
                <w:szCs w:val="21"/>
              </w:rPr>
              <w:t>（变更后）</w:t>
            </w:r>
          </w:p>
        </w:tc>
      </w:tr>
      <w:tr>
        <w:trPr>
          <w:trHeight w:val="554"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b/>
                <w:bCs/>
                <w:w w:val="100"/>
                <w:sz w:val="21"/>
                <w:szCs w:val="21"/>
              </w:rPr>
              <w:t>（一</w:t>
            </w:r>
            <w:r>
              <w:rPr>
                <w:rFonts w:ascii="宋体" w:hAnsi="宋体" w:cs="宋体" w:eastAsia="宋体" w:hint="default"/>
                <w:b/>
                <w:bCs/>
                <w:spacing w:val="-101"/>
                <w:w w:val="100"/>
                <w:sz w:val="21"/>
                <w:szCs w:val="21"/>
              </w:rPr>
              <w:t>）</w:t>
            </w:r>
            <w:r>
              <w:rPr>
                <w:rFonts w:ascii="宋体" w:hAnsi="宋体" w:cs="宋体" w:eastAsia="宋体" w:hint="default"/>
                <w:b/>
                <w:bCs/>
                <w:w w:val="100"/>
                <w:sz w:val="21"/>
                <w:szCs w:val="21"/>
              </w:rPr>
              <w:t>以公允价值计量且</w:t>
            </w:r>
            <w:r>
              <w:rPr>
                <w:rFonts w:ascii="宋体" w:hAnsi="宋体" w:cs="宋体" w:eastAsia="宋体" w:hint="default"/>
                <w:b/>
                <w:bCs/>
                <w:spacing w:val="-3"/>
                <w:w w:val="100"/>
                <w:sz w:val="21"/>
                <w:szCs w:val="21"/>
              </w:rPr>
              <w:t>其</w:t>
            </w:r>
            <w:r>
              <w:rPr>
                <w:rFonts w:ascii="宋体" w:hAnsi="宋体" w:cs="宋体" w:eastAsia="宋体" w:hint="default"/>
                <w:b/>
                <w:bCs/>
                <w:w w:val="100"/>
                <w:sz w:val="21"/>
                <w:szCs w:val="21"/>
              </w:rPr>
              <w:t>变动计入当</w:t>
            </w:r>
            <w:r>
              <w:rPr>
                <w:rFonts w:ascii="宋体" w:hAnsi="宋体" w:cs="宋体" w:eastAsia="宋体" w:hint="default"/>
                <w:w w:val="100"/>
                <w:sz w:val="21"/>
                <w:szCs w:val="21"/>
              </w:rPr>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b/>
                <w:bCs/>
                <w:sz w:val="21"/>
                <w:szCs w:val="21"/>
              </w:rPr>
              <w:t>期损益的金融资产</w:t>
            </w:r>
            <w:r>
              <w:rPr>
                <w:rFonts w:ascii="宋体" w:hAnsi="宋体" w:cs="宋体" w:eastAsia="宋体" w:hint="default"/>
                <w:sz w:val="21"/>
                <w:szCs w:val="21"/>
              </w:rPr>
            </w:r>
          </w:p>
        </w:tc>
        <w:tc>
          <w:tcPr>
            <w:tcW w:w="1397" w:type="dxa"/>
            <w:tcBorders>
              <w:top w:val="single" w:sz="4" w:space="0" w:color="41B7EE"/>
              <w:left w:val="single" w:sz="4" w:space="0" w:color="41B7EE"/>
              <w:bottom w:val="single" w:sz="4" w:space="0" w:color="41B7EE"/>
              <w:right w:val="single" w:sz="4" w:space="0" w:color="41B7EE"/>
            </w:tcBorders>
          </w:tcPr>
          <w:p>
            <w:pPr/>
          </w:p>
        </w:tc>
        <w:tc>
          <w:tcPr>
            <w:tcW w:w="1400"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t>（原准则）</w:t>
            </w:r>
          </w:p>
        </w:tc>
        <w:tc>
          <w:tcPr>
            <w:tcW w:w="139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17"/>
              <w:jc w:val="right"/>
              <w:rPr>
                <w:rFonts w:ascii="Arial" w:hAnsi="Arial" w:cs="Arial" w:eastAsia="Arial" w:hint="default"/>
                <w:sz w:val="21"/>
                <w:szCs w:val="21"/>
              </w:rPr>
            </w:pPr>
            <w:r>
              <w:rPr>
                <w:rFonts w:ascii="Arial"/>
                <w:spacing w:val="-2"/>
                <w:w w:val="80"/>
                <w:sz w:val="21"/>
              </w:rPr>
              <w:t>9,858,946.90</w:t>
            </w:r>
            <w:r>
              <w:rPr>
                <w:rFonts w:ascii="Arial"/>
                <w:sz w:val="21"/>
              </w:rPr>
            </w:r>
          </w:p>
        </w:tc>
        <w:tc>
          <w:tcPr>
            <w:tcW w:w="1400"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40" w:right="0"/>
              <w:jc w:val="left"/>
              <w:rPr>
                <w:rFonts w:ascii="宋体" w:hAnsi="宋体" w:cs="宋体" w:eastAsia="宋体" w:hint="default"/>
                <w:sz w:val="21"/>
                <w:szCs w:val="21"/>
              </w:rPr>
            </w:pPr>
            <w:r>
              <w:rPr>
                <w:rFonts w:ascii="宋体" w:hAnsi="宋体" w:cs="宋体" w:eastAsia="宋体" w:hint="default"/>
                <w:sz w:val="21"/>
                <w:szCs w:val="21"/>
              </w:rPr>
              <w:t>减：转出至交易性金融资产</w:t>
            </w:r>
          </w:p>
        </w:tc>
        <w:tc>
          <w:tcPr>
            <w:tcW w:w="1397" w:type="dxa"/>
            <w:tcBorders>
              <w:top w:val="single" w:sz="4" w:space="0" w:color="41B7EE"/>
              <w:left w:val="single" w:sz="4" w:space="0" w:color="41B7EE"/>
              <w:bottom w:val="single" w:sz="4" w:space="0" w:color="41B7EE"/>
              <w:right w:val="single" w:sz="4" w:space="0" w:color="41B7EE"/>
            </w:tcBorders>
          </w:tcPr>
          <w:p>
            <w:pPr/>
          </w:p>
        </w:tc>
        <w:tc>
          <w:tcPr>
            <w:tcW w:w="140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2"/>
                <w:w w:val="80"/>
                <w:sz w:val="21"/>
              </w:rPr>
              <w:t>9,858,946.90</w:t>
            </w:r>
            <w:r>
              <w:rPr>
                <w:rFonts w:ascii="Arial"/>
                <w:sz w:val="21"/>
              </w:rPr>
            </w: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p>
        </w:tc>
        <w:tc>
          <w:tcPr>
            <w:tcW w:w="1397" w:type="dxa"/>
            <w:tcBorders>
              <w:top w:val="single" w:sz="4" w:space="0" w:color="41B7EE"/>
              <w:left w:val="single" w:sz="4" w:space="0" w:color="41B7EE"/>
              <w:bottom w:val="single" w:sz="4" w:space="0" w:color="41B7EE"/>
              <w:right w:val="single" w:sz="4" w:space="0" w:color="41B7EE"/>
            </w:tcBorders>
          </w:tcPr>
          <w:p>
            <w:pPr/>
          </w:p>
        </w:tc>
        <w:tc>
          <w:tcPr>
            <w:tcW w:w="1400"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5"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Arial" w:hAnsi="Arial" w:cs="Arial" w:eastAsia="Arial" w:hint="default"/>
                <w:b/>
                <w:bCs/>
                <w:sz w:val="21"/>
                <w:szCs w:val="21"/>
              </w:rPr>
              <w:t>2.</w:t>
            </w:r>
            <w:r>
              <w:rPr>
                <w:rFonts w:ascii="宋体" w:hAnsi="宋体" w:cs="宋体" w:eastAsia="宋体" w:hint="default"/>
                <w:b/>
                <w:bCs/>
                <w:sz w:val="21"/>
                <w:szCs w:val="21"/>
              </w:rPr>
              <w:t>其他流动资产</w:t>
            </w:r>
            <w:r>
              <w:rPr>
                <w:rFonts w:ascii="宋体" w:hAnsi="宋体" w:cs="宋体" w:eastAsia="宋体" w:hint="default"/>
                <w:sz w:val="21"/>
                <w:szCs w:val="21"/>
              </w:rPr>
              <w:t>（原准则）</w:t>
            </w:r>
          </w:p>
        </w:tc>
        <w:tc>
          <w:tcPr>
            <w:tcW w:w="139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2"/>
                <w:w w:val="80"/>
                <w:sz w:val="21"/>
              </w:rPr>
              <w:t>2,169,311,126.04</w:t>
            </w:r>
            <w:r>
              <w:rPr>
                <w:rFonts w:ascii="Arial"/>
                <w:sz w:val="21"/>
              </w:rPr>
            </w:r>
          </w:p>
        </w:tc>
        <w:tc>
          <w:tcPr>
            <w:tcW w:w="1400"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40" w:right="0"/>
              <w:jc w:val="left"/>
              <w:rPr>
                <w:rFonts w:ascii="宋体" w:hAnsi="宋体" w:cs="宋体" w:eastAsia="宋体" w:hint="default"/>
                <w:sz w:val="21"/>
                <w:szCs w:val="21"/>
              </w:rPr>
            </w:pPr>
            <w:r>
              <w:rPr>
                <w:rFonts w:ascii="宋体" w:hAnsi="宋体" w:cs="宋体" w:eastAsia="宋体" w:hint="default"/>
                <w:sz w:val="21"/>
                <w:szCs w:val="21"/>
              </w:rPr>
              <w:t>减：转出至交易性金融资产</w:t>
            </w:r>
          </w:p>
        </w:tc>
        <w:tc>
          <w:tcPr>
            <w:tcW w:w="1397" w:type="dxa"/>
            <w:tcBorders>
              <w:top w:val="single" w:sz="4" w:space="0" w:color="41B7EE"/>
              <w:left w:val="single" w:sz="4" w:space="0" w:color="41B7EE"/>
              <w:bottom w:val="single" w:sz="4" w:space="0" w:color="41B7EE"/>
              <w:right w:val="single" w:sz="4" w:space="0" w:color="41B7EE"/>
            </w:tcBorders>
          </w:tcPr>
          <w:p>
            <w:pPr/>
          </w:p>
        </w:tc>
        <w:tc>
          <w:tcPr>
            <w:tcW w:w="140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20"/>
              <w:jc w:val="right"/>
              <w:rPr>
                <w:rFonts w:ascii="Arial" w:hAnsi="Arial" w:cs="Arial" w:eastAsia="Arial" w:hint="default"/>
                <w:sz w:val="21"/>
                <w:szCs w:val="21"/>
              </w:rPr>
            </w:pPr>
            <w:r>
              <w:rPr>
                <w:rFonts w:ascii="Arial"/>
                <w:spacing w:val="-2"/>
                <w:w w:val="80"/>
                <w:sz w:val="21"/>
              </w:rPr>
              <w:t>2,135,693,612.21</w:t>
            </w:r>
            <w:r>
              <w:rPr>
                <w:rFonts w:ascii="Arial"/>
                <w:sz w:val="21"/>
              </w:rPr>
            </w: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p>
        </w:tc>
        <w:tc>
          <w:tcPr>
            <w:tcW w:w="1397" w:type="dxa"/>
            <w:tcBorders>
              <w:top w:val="single" w:sz="4" w:space="0" w:color="41B7EE"/>
              <w:left w:val="single" w:sz="4" w:space="0" w:color="41B7EE"/>
              <w:bottom w:val="single" w:sz="4" w:space="0" w:color="41B7EE"/>
              <w:right w:val="single" w:sz="4" w:space="0" w:color="41B7EE"/>
            </w:tcBorders>
          </w:tcPr>
          <w:p>
            <w:pPr/>
          </w:p>
        </w:tc>
        <w:tc>
          <w:tcPr>
            <w:tcW w:w="1400"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5"/>
              <w:jc w:val="right"/>
              <w:rPr>
                <w:rFonts w:ascii="Arial" w:hAnsi="Arial" w:cs="Arial" w:eastAsia="Arial" w:hint="default"/>
                <w:sz w:val="21"/>
                <w:szCs w:val="21"/>
              </w:rPr>
            </w:pPr>
            <w:r>
              <w:rPr>
                <w:rFonts w:ascii="Arial"/>
                <w:spacing w:val="-2"/>
                <w:w w:val="80"/>
                <w:sz w:val="21"/>
              </w:rPr>
              <w:t>33,617,513.83</w:t>
            </w:r>
            <w:r>
              <w:rPr>
                <w:rFonts w:ascii="Arial"/>
                <w:sz w:val="21"/>
              </w:rPr>
            </w: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Arial" w:hAnsi="Arial" w:cs="Arial" w:eastAsia="Arial" w:hint="default"/>
                <w:b/>
                <w:bCs/>
                <w:sz w:val="21"/>
                <w:szCs w:val="21"/>
              </w:rPr>
              <w:t>3.</w:t>
            </w:r>
            <w:r>
              <w:rPr>
                <w:rFonts w:ascii="宋体" w:hAnsi="宋体" w:cs="宋体" w:eastAsia="宋体" w:hint="default"/>
                <w:b/>
                <w:bCs/>
                <w:sz w:val="21"/>
                <w:szCs w:val="21"/>
              </w:rPr>
              <w:t>交易性金融资产</w:t>
            </w:r>
            <w:r>
              <w:rPr>
                <w:rFonts w:ascii="宋体" w:hAnsi="宋体" w:cs="宋体" w:eastAsia="宋体" w:hint="default"/>
                <w:sz w:val="21"/>
                <w:szCs w:val="21"/>
              </w:rPr>
            </w:r>
          </w:p>
        </w:tc>
        <w:tc>
          <w:tcPr>
            <w:tcW w:w="1397" w:type="dxa"/>
            <w:tcBorders>
              <w:top w:val="single" w:sz="4" w:space="0" w:color="41B7EE"/>
              <w:left w:val="single" w:sz="4" w:space="0" w:color="41B7EE"/>
              <w:bottom w:val="single" w:sz="4" w:space="0" w:color="41B7EE"/>
              <w:right w:val="single" w:sz="4" w:space="0" w:color="41B7EE"/>
            </w:tcBorders>
          </w:tcPr>
          <w:p>
            <w:pPr/>
          </w:p>
        </w:tc>
        <w:tc>
          <w:tcPr>
            <w:tcW w:w="1400"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5"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40" w:right="0"/>
              <w:jc w:val="left"/>
              <w:rPr>
                <w:rFonts w:ascii="宋体" w:hAnsi="宋体" w:cs="宋体" w:eastAsia="宋体" w:hint="default"/>
                <w:sz w:val="21"/>
                <w:szCs w:val="21"/>
              </w:rPr>
            </w:pPr>
            <w:r>
              <w:rPr>
                <w:rFonts w:ascii="宋体" w:hAnsi="宋体" w:cs="宋体" w:eastAsia="宋体" w:hint="default"/>
                <w:sz w:val="21"/>
                <w:szCs w:val="21"/>
              </w:rPr>
              <w:t>加：其他流动资产（原准则）转入</w:t>
            </w:r>
          </w:p>
        </w:tc>
        <w:tc>
          <w:tcPr>
            <w:tcW w:w="1397" w:type="dxa"/>
            <w:tcBorders>
              <w:top w:val="single" w:sz="4" w:space="0" w:color="41B7EE"/>
              <w:left w:val="single" w:sz="4" w:space="0" w:color="41B7EE"/>
              <w:bottom w:val="single" w:sz="4" w:space="0" w:color="41B7EE"/>
              <w:right w:val="single" w:sz="4" w:space="0" w:color="41B7EE"/>
            </w:tcBorders>
          </w:tcPr>
          <w:p>
            <w:pPr/>
          </w:p>
        </w:tc>
        <w:tc>
          <w:tcPr>
            <w:tcW w:w="140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2"/>
                <w:w w:val="80"/>
                <w:sz w:val="21"/>
              </w:rPr>
              <w:t>2,135,693,612.21</w:t>
            </w:r>
            <w:r>
              <w:rPr>
                <w:rFonts w:ascii="Arial"/>
                <w:sz w:val="21"/>
              </w:rPr>
            </w: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40" w:right="0"/>
              <w:jc w:val="left"/>
              <w:rPr>
                <w:rFonts w:ascii="宋体" w:hAnsi="宋体" w:cs="宋体" w:eastAsia="宋体" w:hint="default"/>
                <w:sz w:val="21"/>
                <w:szCs w:val="21"/>
              </w:rPr>
            </w:pPr>
            <w:r>
              <w:rPr>
                <w:rFonts w:ascii="宋体" w:hAnsi="宋体" w:cs="宋体" w:eastAsia="宋体" w:hint="default"/>
                <w:sz w:val="21"/>
                <w:szCs w:val="21"/>
              </w:rPr>
              <w:t>加：应收利息（原准则）转入</w:t>
            </w:r>
          </w:p>
        </w:tc>
        <w:tc>
          <w:tcPr>
            <w:tcW w:w="1397" w:type="dxa"/>
            <w:tcBorders>
              <w:top w:val="single" w:sz="4" w:space="0" w:color="41B7EE"/>
              <w:left w:val="single" w:sz="4" w:space="0" w:color="41B7EE"/>
              <w:bottom w:val="single" w:sz="4" w:space="0" w:color="41B7EE"/>
              <w:right w:val="single" w:sz="4" w:space="0" w:color="41B7EE"/>
            </w:tcBorders>
          </w:tcPr>
          <w:p>
            <w:pPr/>
          </w:p>
        </w:tc>
        <w:tc>
          <w:tcPr>
            <w:tcW w:w="140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20"/>
              <w:jc w:val="right"/>
              <w:rPr>
                <w:rFonts w:ascii="Arial" w:hAnsi="Arial" w:cs="Arial" w:eastAsia="Arial" w:hint="default"/>
                <w:sz w:val="21"/>
                <w:szCs w:val="21"/>
              </w:rPr>
            </w:pPr>
            <w:r>
              <w:rPr>
                <w:rFonts w:ascii="Arial"/>
                <w:spacing w:val="-2"/>
                <w:w w:val="80"/>
                <w:sz w:val="21"/>
              </w:rPr>
              <w:t>9,858,946.90</w:t>
            </w:r>
            <w:r>
              <w:rPr>
                <w:rFonts w:ascii="Arial"/>
                <w:sz w:val="21"/>
              </w:rPr>
            </w: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p>
        </w:tc>
        <w:tc>
          <w:tcPr>
            <w:tcW w:w="1397" w:type="dxa"/>
            <w:tcBorders>
              <w:top w:val="single" w:sz="4" w:space="0" w:color="41B7EE"/>
              <w:left w:val="single" w:sz="4" w:space="0" w:color="41B7EE"/>
              <w:bottom w:val="single" w:sz="4" w:space="0" w:color="41B7EE"/>
              <w:right w:val="single" w:sz="4" w:space="0" w:color="41B7EE"/>
            </w:tcBorders>
          </w:tcPr>
          <w:p>
            <w:pPr/>
          </w:p>
        </w:tc>
        <w:tc>
          <w:tcPr>
            <w:tcW w:w="1400"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5"/>
              <w:jc w:val="right"/>
              <w:rPr>
                <w:rFonts w:ascii="Arial" w:hAnsi="Arial" w:cs="Arial" w:eastAsia="Arial" w:hint="default"/>
                <w:sz w:val="21"/>
                <w:szCs w:val="21"/>
              </w:rPr>
            </w:pPr>
            <w:r>
              <w:rPr>
                <w:rFonts w:ascii="Arial"/>
                <w:spacing w:val="-2"/>
                <w:w w:val="80"/>
                <w:sz w:val="21"/>
              </w:rPr>
              <w:t>2,145,552,559.11</w:t>
            </w:r>
            <w:r>
              <w:rPr>
                <w:rFonts w:ascii="Arial"/>
                <w:sz w:val="21"/>
              </w:rPr>
            </w:r>
          </w:p>
        </w:tc>
      </w:tr>
      <w:tr>
        <w:trPr>
          <w:trHeight w:val="554"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b/>
                <w:bCs/>
                <w:w w:val="100"/>
                <w:sz w:val="21"/>
                <w:szCs w:val="21"/>
              </w:rPr>
              <w:t>（二</w:t>
            </w:r>
            <w:r>
              <w:rPr>
                <w:rFonts w:ascii="宋体" w:hAnsi="宋体" w:cs="宋体" w:eastAsia="宋体" w:hint="default"/>
                <w:b/>
                <w:bCs/>
                <w:spacing w:val="-101"/>
                <w:w w:val="100"/>
                <w:sz w:val="21"/>
                <w:szCs w:val="21"/>
              </w:rPr>
              <w:t>）</w:t>
            </w:r>
            <w:r>
              <w:rPr>
                <w:rFonts w:ascii="宋体" w:hAnsi="宋体" w:cs="宋体" w:eastAsia="宋体" w:hint="default"/>
                <w:b/>
                <w:bCs/>
                <w:w w:val="100"/>
                <w:sz w:val="21"/>
                <w:szCs w:val="21"/>
              </w:rPr>
              <w:t>以公允价值计量且</w:t>
            </w:r>
            <w:r>
              <w:rPr>
                <w:rFonts w:ascii="宋体" w:hAnsi="宋体" w:cs="宋体" w:eastAsia="宋体" w:hint="default"/>
                <w:b/>
                <w:bCs/>
                <w:spacing w:val="-3"/>
                <w:w w:val="100"/>
                <w:sz w:val="21"/>
                <w:szCs w:val="21"/>
              </w:rPr>
              <w:t>其</w:t>
            </w:r>
            <w:r>
              <w:rPr>
                <w:rFonts w:ascii="宋体" w:hAnsi="宋体" w:cs="宋体" w:eastAsia="宋体" w:hint="default"/>
                <w:b/>
                <w:bCs/>
                <w:w w:val="100"/>
                <w:sz w:val="21"/>
                <w:szCs w:val="21"/>
              </w:rPr>
              <w:t>变动计入其</w:t>
            </w:r>
            <w:r>
              <w:rPr>
                <w:rFonts w:ascii="宋体" w:hAnsi="宋体" w:cs="宋体" w:eastAsia="宋体" w:hint="default"/>
                <w:w w:val="100"/>
                <w:sz w:val="21"/>
                <w:szCs w:val="21"/>
              </w:rPr>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b/>
                <w:bCs/>
                <w:sz w:val="21"/>
                <w:szCs w:val="21"/>
              </w:rPr>
              <w:t>他综合收益的金融资产</w:t>
            </w:r>
            <w:r>
              <w:rPr>
                <w:rFonts w:ascii="宋体" w:hAnsi="宋体" w:cs="宋体" w:eastAsia="宋体" w:hint="default"/>
                <w:sz w:val="21"/>
                <w:szCs w:val="21"/>
              </w:rPr>
            </w:r>
          </w:p>
        </w:tc>
        <w:tc>
          <w:tcPr>
            <w:tcW w:w="1397" w:type="dxa"/>
            <w:tcBorders>
              <w:top w:val="single" w:sz="4" w:space="0" w:color="41B7EE"/>
              <w:left w:val="single" w:sz="4" w:space="0" w:color="41B7EE"/>
              <w:bottom w:val="single" w:sz="4" w:space="0" w:color="41B7EE"/>
              <w:right w:val="single" w:sz="4" w:space="0" w:color="41B7EE"/>
            </w:tcBorders>
          </w:tcPr>
          <w:p>
            <w:pPr/>
          </w:p>
        </w:tc>
        <w:tc>
          <w:tcPr>
            <w:tcW w:w="1400"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5"/>
              <w:ind w:left="28" w:right="0"/>
              <w:jc w:val="left"/>
              <w:rPr>
                <w:rFonts w:ascii="宋体" w:hAnsi="宋体" w:cs="宋体" w:eastAsia="宋体" w:hint="default"/>
                <w:sz w:val="21"/>
                <w:szCs w:val="21"/>
              </w:rPr>
            </w:pPr>
            <w:r>
              <w:rPr>
                <w:rFonts w:ascii="Arial" w:hAnsi="Arial" w:cs="Arial" w:eastAsia="Arial" w:hint="default"/>
                <w:b/>
                <w:bCs/>
                <w:sz w:val="21"/>
                <w:szCs w:val="21"/>
              </w:rPr>
              <w:t>1.</w:t>
            </w:r>
            <w:r>
              <w:rPr>
                <w:rFonts w:ascii="宋体" w:hAnsi="宋体" w:cs="宋体" w:eastAsia="宋体" w:hint="default"/>
                <w:b/>
                <w:bCs/>
                <w:sz w:val="21"/>
                <w:szCs w:val="21"/>
              </w:rPr>
              <w:t>可供出售金融资产</w:t>
            </w:r>
            <w:r>
              <w:rPr>
                <w:rFonts w:ascii="宋体" w:hAnsi="宋体" w:cs="宋体" w:eastAsia="宋体" w:hint="default"/>
                <w:sz w:val="21"/>
                <w:szCs w:val="21"/>
              </w:rPr>
              <w:t>（原准则）</w:t>
            </w:r>
          </w:p>
        </w:tc>
        <w:tc>
          <w:tcPr>
            <w:tcW w:w="139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2"/>
                <w:w w:val="80"/>
                <w:sz w:val="21"/>
              </w:rPr>
              <w:t>21,000,000.00</w:t>
            </w:r>
            <w:r>
              <w:rPr>
                <w:rFonts w:ascii="Arial"/>
                <w:sz w:val="21"/>
              </w:rPr>
            </w:r>
          </w:p>
        </w:tc>
        <w:tc>
          <w:tcPr>
            <w:tcW w:w="1400"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5"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40" w:right="0"/>
              <w:jc w:val="left"/>
              <w:rPr>
                <w:rFonts w:ascii="宋体" w:hAnsi="宋体" w:cs="宋体" w:eastAsia="宋体" w:hint="default"/>
                <w:sz w:val="21"/>
                <w:szCs w:val="21"/>
              </w:rPr>
            </w:pPr>
            <w:r>
              <w:rPr>
                <w:rFonts w:ascii="宋体" w:hAnsi="宋体" w:cs="宋体" w:eastAsia="宋体" w:hint="default"/>
                <w:sz w:val="21"/>
                <w:szCs w:val="21"/>
              </w:rPr>
              <w:t>减：转出至其他权益工具投资</w:t>
            </w:r>
          </w:p>
        </w:tc>
        <w:tc>
          <w:tcPr>
            <w:tcW w:w="1397" w:type="dxa"/>
            <w:tcBorders>
              <w:top w:val="single" w:sz="4" w:space="0" w:color="41B7EE"/>
              <w:left w:val="single" w:sz="4" w:space="0" w:color="41B7EE"/>
              <w:bottom w:val="single" w:sz="4" w:space="0" w:color="41B7EE"/>
              <w:right w:val="single" w:sz="4" w:space="0" w:color="41B7EE"/>
            </w:tcBorders>
          </w:tcPr>
          <w:p>
            <w:pPr/>
          </w:p>
        </w:tc>
        <w:tc>
          <w:tcPr>
            <w:tcW w:w="140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2"/>
                <w:w w:val="80"/>
                <w:sz w:val="21"/>
              </w:rPr>
              <w:t>21,000,000.00</w:t>
            </w:r>
            <w:r>
              <w:rPr>
                <w:rFonts w:ascii="Arial"/>
                <w:sz w:val="21"/>
              </w:rPr>
            </w: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p>
        </w:tc>
        <w:tc>
          <w:tcPr>
            <w:tcW w:w="1397" w:type="dxa"/>
            <w:tcBorders>
              <w:top w:val="single" w:sz="4" w:space="0" w:color="41B7EE"/>
              <w:left w:val="single" w:sz="4" w:space="0" w:color="41B7EE"/>
              <w:bottom w:val="single" w:sz="4" w:space="0" w:color="41B7EE"/>
              <w:right w:val="single" w:sz="4" w:space="0" w:color="41B7EE"/>
            </w:tcBorders>
          </w:tcPr>
          <w:p>
            <w:pPr/>
          </w:p>
        </w:tc>
        <w:tc>
          <w:tcPr>
            <w:tcW w:w="1400"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Arial" w:hAnsi="Arial" w:cs="Arial" w:eastAsia="Arial" w:hint="default"/>
                <w:b/>
                <w:bCs/>
                <w:sz w:val="21"/>
                <w:szCs w:val="21"/>
              </w:rPr>
              <w:t>2.</w:t>
            </w:r>
            <w:r>
              <w:rPr>
                <w:rFonts w:ascii="宋体" w:hAnsi="宋体" w:cs="宋体" w:eastAsia="宋体" w:hint="default"/>
                <w:b/>
                <w:bCs/>
                <w:sz w:val="21"/>
                <w:szCs w:val="21"/>
              </w:rPr>
              <w:t>其他权益工具投资</w:t>
            </w:r>
            <w:r>
              <w:rPr>
                <w:rFonts w:ascii="宋体" w:hAnsi="宋体" w:cs="宋体" w:eastAsia="宋体" w:hint="default"/>
                <w:sz w:val="21"/>
                <w:szCs w:val="21"/>
              </w:rPr>
            </w:r>
          </w:p>
        </w:tc>
        <w:tc>
          <w:tcPr>
            <w:tcW w:w="1397" w:type="dxa"/>
            <w:tcBorders>
              <w:top w:val="single" w:sz="4" w:space="0" w:color="41B7EE"/>
              <w:left w:val="single" w:sz="4" w:space="0" w:color="41B7EE"/>
              <w:bottom w:val="single" w:sz="4" w:space="0" w:color="41B7EE"/>
              <w:right w:val="single" w:sz="4" w:space="0" w:color="41B7EE"/>
            </w:tcBorders>
          </w:tcPr>
          <w:p>
            <w:pPr/>
          </w:p>
        </w:tc>
        <w:tc>
          <w:tcPr>
            <w:tcW w:w="1400"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26" w:right="0"/>
              <w:jc w:val="left"/>
              <w:rPr>
                <w:rFonts w:ascii="宋体" w:hAnsi="宋体" w:cs="宋体" w:eastAsia="宋体" w:hint="default"/>
                <w:sz w:val="21"/>
                <w:szCs w:val="21"/>
              </w:rPr>
            </w:pPr>
            <w:r>
              <w:rPr>
                <w:rFonts w:ascii="宋体" w:hAnsi="宋体" w:cs="宋体" w:eastAsia="宋体" w:hint="default"/>
                <w:spacing w:val="-18"/>
                <w:sz w:val="21"/>
                <w:szCs w:val="21"/>
              </w:rPr>
              <w:t>加：可供出售金融资产（原准则）转入</w:t>
            </w:r>
          </w:p>
        </w:tc>
        <w:tc>
          <w:tcPr>
            <w:tcW w:w="1397" w:type="dxa"/>
            <w:tcBorders>
              <w:top w:val="single" w:sz="4" w:space="0" w:color="41B7EE"/>
              <w:left w:val="single" w:sz="4" w:space="0" w:color="41B7EE"/>
              <w:bottom w:val="single" w:sz="4" w:space="0" w:color="41B7EE"/>
              <w:right w:val="single" w:sz="4" w:space="0" w:color="41B7EE"/>
            </w:tcBorders>
          </w:tcPr>
          <w:p>
            <w:pPr/>
          </w:p>
        </w:tc>
        <w:tc>
          <w:tcPr>
            <w:tcW w:w="140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2"/>
                <w:w w:val="80"/>
                <w:sz w:val="21"/>
              </w:rPr>
              <w:t>21,000,000.00</w:t>
            </w:r>
            <w:r>
              <w:rPr>
                <w:rFonts w:ascii="Arial"/>
                <w:sz w:val="21"/>
              </w:rPr>
            </w: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5"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重新计量：按公允价值重新计量</w:t>
            </w:r>
          </w:p>
        </w:tc>
        <w:tc>
          <w:tcPr>
            <w:tcW w:w="1397" w:type="dxa"/>
            <w:tcBorders>
              <w:top w:val="single" w:sz="4" w:space="0" w:color="41B7EE"/>
              <w:left w:val="single" w:sz="4" w:space="0" w:color="41B7EE"/>
              <w:bottom w:val="single" w:sz="4" w:space="0" w:color="41B7EE"/>
              <w:right w:val="single" w:sz="4" w:space="0" w:color="41B7EE"/>
            </w:tcBorders>
          </w:tcPr>
          <w:p>
            <w:pPr/>
          </w:p>
        </w:tc>
        <w:tc>
          <w:tcPr>
            <w:tcW w:w="1400"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0"/>
              <w:jc w:val="center"/>
              <w:rPr>
                <w:rFonts w:ascii="Arial" w:hAnsi="Arial" w:cs="Arial" w:eastAsia="Arial" w:hint="default"/>
                <w:sz w:val="21"/>
                <w:szCs w:val="21"/>
              </w:rPr>
            </w:pPr>
            <w:r>
              <w:rPr>
                <w:rFonts w:ascii="Arial"/>
                <w:w w:val="80"/>
                <w:sz w:val="21"/>
              </w:rPr>
              <w:t>20,258,496.06</w:t>
            </w:r>
            <w:r>
              <w:rPr>
                <w:rFonts w:ascii="Arial"/>
                <w:sz w:val="21"/>
              </w:rPr>
            </w: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65" w:hRule="exact"/>
        </w:trPr>
        <w:tc>
          <w:tcPr>
            <w:tcW w:w="3541"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p>
        </w:tc>
        <w:tc>
          <w:tcPr>
            <w:tcW w:w="1397" w:type="dxa"/>
            <w:tcBorders>
              <w:top w:val="single" w:sz="4" w:space="0" w:color="41B7EE"/>
              <w:left w:val="single" w:sz="4" w:space="0" w:color="41B7EE"/>
              <w:bottom w:val="single" w:sz="8" w:space="0" w:color="41B7EE"/>
              <w:right w:val="single" w:sz="4" w:space="0" w:color="41B7EE"/>
            </w:tcBorders>
          </w:tcPr>
          <w:p>
            <w:pPr/>
          </w:p>
        </w:tc>
        <w:tc>
          <w:tcPr>
            <w:tcW w:w="1400" w:type="dxa"/>
            <w:tcBorders>
              <w:top w:val="single" w:sz="4" w:space="0" w:color="41B7EE"/>
              <w:left w:val="single" w:sz="4" w:space="0" w:color="41B7EE"/>
              <w:bottom w:val="single" w:sz="8" w:space="0" w:color="41B7EE"/>
              <w:right w:val="single" w:sz="4" w:space="0" w:color="41B7EE"/>
            </w:tcBorders>
          </w:tcPr>
          <w:p>
            <w:pPr/>
          </w:p>
        </w:tc>
        <w:tc>
          <w:tcPr>
            <w:tcW w:w="1157" w:type="dxa"/>
            <w:tcBorders>
              <w:top w:val="single" w:sz="4" w:space="0" w:color="41B7EE"/>
              <w:left w:val="single" w:sz="4" w:space="0" w:color="41B7EE"/>
              <w:bottom w:val="single" w:sz="8" w:space="0" w:color="41B7EE"/>
              <w:right w:val="single" w:sz="4" w:space="0" w:color="41B7EE"/>
            </w:tcBorders>
          </w:tcPr>
          <w:p>
            <w:pPr/>
          </w:p>
        </w:tc>
        <w:tc>
          <w:tcPr>
            <w:tcW w:w="1397"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50"/>
              <w:ind w:right="25"/>
              <w:jc w:val="right"/>
              <w:rPr>
                <w:rFonts w:ascii="Arial" w:hAnsi="Arial" w:cs="Arial" w:eastAsia="Arial" w:hint="default"/>
                <w:sz w:val="21"/>
                <w:szCs w:val="21"/>
              </w:rPr>
            </w:pPr>
            <w:r>
              <w:rPr>
                <w:rFonts w:ascii="Arial"/>
                <w:spacing w:val="-2"/>
                <w:w w:val="80"/>
                <w:sz w:val="21"/>
              </w:rPr>
              <w:t>20,258,496.06</w:t>
            </w:r>
            <w:r>
              <w:rPr>
                <w:rFonts w:ascii="Arial"/>
                <w:sz w:val="21"/>
              </w:rPr>
            </w:r>
          </w:p>
        </w:tc>
      </w:tr>
    </w:tbl>
    <w:p>
      <w:pPr>
        <w:spacing w:line="240" w:lineRule="auto" w:before="11"/>
        <w:rPr>
          <w:rFonts w:ascii="宋体" w:hAnsi="宋体" w:cs="宋体" w:eastAsia="宋体" w:hint="default"/>
          <w:sz w:val="2"/>
          <w:szCs w:val="2"/>
        </w:r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3537;height:2" coordorigin="10,10" coordsize="3537,2">
              <v:shape style="position:absolute;left:10;top:10;width:3537;height:2" coordorigin="10,10" coordsize="3537,0" path="m10,10l3546,10e" filled="false" stroked="true" strokeweight=".96002pt" strokecolor="#41b7ee">
                <v:path arrowok="t"/>
              </v:shape>
            </v:group>
            <v:group style="position:absolute;left:3546;top:10;width:58;height:2" coordorigin="3546,10" coordsize="58,2">
              <v:shape style="position:absolute;left:3546;top:10;width:58;height:2" coordorigin="3546,10" coordsize="58,0" path="m3546,10l3603,10e" filled="false" stroked="true" strokeweight=".96002pt" strokecolor="#41b7ee">
                <v:path arrowok="t"/>
              </v:shape>
            </v:group>
            <v:group style="position:absolute;left:3603;top:10;width:1340;height:2" coordorigin="3603,10" coordsize="1340,2">
              <v:shape style="position:absolute;left:3603;top:10;width:1340;height:2" coordorigin="3603,10" coordsize="1340,0" path="m3603,10l4943,10e" filled="false" stroked="true" strokeweight=".96002pt" strokecolor="#41b7ee">
                <v:path arrowok="t"/>
              </v:shape>
            </v:group>
            <v:group style="position:absolute;left:4943;top:10;width:58;height:2" coordorigin="4943,10" coordsize="58,2">
              <v:shape style="position:absolute;left:4943;top:10;width:58;height:2" coordorigin="4943,10" coordsize="58,0" path="m4943,10l5000,10e" filled="false" stroked="true" strokeweight=".96002pt" strokecolor="#41b7ee">
                <v:path arrowok="t"/>
              </v:shape>
            </v:group>
            <v:group style="position:absolute;left:5000;top:10;width:1343;height:2" coordorigin="5000,10" coordsize="1343,2">
              <v:shape style="position:absolute;left:5000;top:10;width:1343;height:2" coordorigin="5000,10" coordsize="1343,0" path="m5000,10l6342,10e" filled="false" stroked="true" strokeweight=".96002pt" strokecolor="#41b7ee">
                <v:path arrowok="t"/>
              </v:shape>
            </v:group>
            <v:group style="position:absolute;left:6342;top:10;width:58;height:2" coordorigin="6342,10" coordsize="58,2">
              <v:shape style="position:absolute;left:6342;top:10;width:58;height:2" coordorigin="6342,10" coordsize="58,0" path="m6342,10l6400,10e" filled="false" stroked="true" strokeweight=".96002pt" strokecolor="#41b7ee">
                <v:path arrowok="t"/>
              </v:shape>
            </v:group>
            <v:group style="position:absolute;left:6400;top:10;width:1100;height:2" coordorigin="6400,10" coordsize="1100,2">
              <v:shape style="position:absolute;left:6400;top:10;width:1100;height:2" coordorigin="6400,10" coordsize="1100,0" path="m6400,10l7499,10e" filled="false" stroked="true" strokeweight=".96002pt" strokecolor="#41b7ee">
                <v:path arrowok="t"/>
              </v:shape>
            </v:group>
            <v:group style="position:absolute;left:7499;top:10;width:58;height:2" coordorigin="7499,10" coordsize="58,2">
              <v:shape style="position:absolute;left:7499;top:10;width:58;height:2" coordorigin="7499,10" coordsize="58,0" path="m7499,10l7557,10e" filled="false" stroked="true" strokeweight=".96002pt" strokecolor="#41b7ee">
                <v:path arrowok="t"/>
              </v:shape>
            </v:group>
            <v:group style="position:absolute;left:7557;top:10;width:1345;height:2" coordorigin="7557,10" coordsize="1345,2">
              <v:shape style="position:absolute;left:7557;top:10;width:1345;height:2" coordorigin="7557,10" coordsize="1345,0" path="m7557,10l8901,10e" filled="false" stroked="true" strokeweight=".96002pt" strokecolor="#41b7ee">
                <v:path arrowok="t"/>
              </v:shape>
            </v:group>
          </v:group>
        </w:pict>
      </w:r>
      <w:r>
        <w:rPr>
          <w:rFonts w:ascii="宋体" w:hAnsi="宋体" w:cs="宋体" w:eastAsia="宋体" w:hint="default"/>
          <w:sz w:val="2"/>
          <w:szCs w:val="2"/>
        </w:rPr>
      </w:r>
    </w:p>
    <w:p>
      <w:pPr>
        <w:pStyle w:val="BodyText"/>
        <w:tabs>
          <w:tab w:pos="6696" w:val="left" w:leader="none"/>
        </w:tabs>
        <w:spacing w:line="240" w:lineRule="auto" w:before="10"/>
        <w:ind w:left="597" w:right="0"/>
        <w:jc w:val="left"/>
      </w:pPr>
      <w:r>
        <w:rPr>
          <w:rFonts w:ascii="Arial" w:hAnsi="Arial" w:cs="Arial" w:eastAsia="Arial" w:hint="default"/>
          <w:spacing w:val="-2"/>
        </w:rPr>
        <w:t>b</w:t>
      </w:r>
      <w:r>
        <w:rPr>
          <w:spacing w:val="-2"/>
        </w:rPr>
        <w:t>、对公司财务报表的影响</w:t>
        <w:tab/>
      </w:r>
      <w:r>
        <w:rPr/>
        <w:t>单位：元 </w:t>
      </w:r>
      <w:r>
        <w:rPr>
          <w:spacing w:val="10"/>
        </w:rPr>
        <w:t> </w:t>
      </w:r>
      <w:r>
        <w:rPr>
          <w:rFonts w:ascii="宋体" w:hAnsi="宋体" w:cs="宋体" w:eastAsia="宋体" w:hint="default"/>
          <w:spacing w:val="10"/>
        </w:rPr>
      </w:r>
      <w:r>
        <w:rPr>
          <w:spacing w:val="-1"/>
        </w:rPr>
        <w:t>币别：人民币</w:t>
      </w:r>
    </w:p>
    <w:p>
      <w:pPr>
        <w:spacing w:after="0" w:line="240" w:lineRule="auto"/>
        <w:jc w:val="left"/>
        <w:sectPr>
          <w:pgSz w:w="11910" w:h="16840"/>
          <w:pgMar w:header="826" w:footer="1195" w:top="1300" w:bottom="1380" w:left="1100" w:right="1520"/>
        </w:sectPr>
      </w:pPr>
    </w:p>
    <w:p>
      <w:pPr>
        <w:spacing w:line="240" w:lineRule="auto" w:before="2"/>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541"/>
        <w:gridCol w:w="1397"/>
        <w:gridCol w:w="1400"/>
        <w:gridCol w:w="1157"/>
        <w:gridCol w:w="1397"/>
      </w:tblGrid>
      <w:tr>
        <w:trPr>
          <w:trHeight w:val="562" w:hRule="exact"/>
        </w:trPr>
        <w:tc>
          <w:tcPr>
            <w:tcW w:w="3541"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105"/>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97" w:type="dxa"/>
            <w:tcBorders>
              <w:top w:val="single" w:sz="8" w:space="0" w:color="41B7EE"/>
              <w:left w:val="single" w:sz="4" w:space="0" w:color="41B7EE"/>
              <w:bottom w:val="single" w:sz="4" w:space="0" w:color="41B7EE"/>
              <w:right w:val="single" w:sz="4" w:space="0" w:color="41B7EE"/>
            </w:tcBorders>
          </w:tcPr>
          <w:p>
            <w:pPr>
              <w:pStyle w:val="TableParagraph"/>
              <w:spacing w:line="249" w:lineRule="exact"/>
              <w:ind w:left="67" w:right="0"/>
              <w:jc w:val="left"/>
              <w:rPr>
                <w:rFonts w:ascii="Arial" w:hAnsi="Arial" w:cs="Arial" w:eastAsia="Arial" w:hint="default"/>
                <w:sz w:val="21"/>
                <w:szCs w:val="21"/>
              </w:rPr>
            </w:pPr>
            <w:r>
              <w:rPr>
                <w:rFonts w:ascii="Arial" w:hAnsi="Arial" w:cs="Arial" w:eastAsia="Arial" w:hint="default"/>
                <w:spacing w:val="-10"/>
                <w:w w:val="95"/>
                <w:sz w:val="21"/>
                <w:szCs w:val="21"/>
              </w:rPr>
              <w:t>2018</w:t>
            </w:r>
            <w:r>
              <w:rPr>
                <w:rFonts w:ascii="Arial" w:hAnsi="Arial" w:cs="Arial" w:eastAsia="Arial" w:hint="default"/>
                <w:spacing w:val="-41"/>
                <w:w w:val="95"/>
                <w:sz w:val="21"/>
                <w:szCs w:val="21"/>
              </w:rPr>
              <w:t> </w:t>
            </w:r>
            <w:r>
              <w:rPr>
                <w:rFonts w:ascii="宋体" w:hAnsi="宋体" w:cs="宋体" w:eastAsia="宋体" w:hint="default"/>
                <w:w w:val="95"/>
                <w:sz w:val="21"/>
                <w:szCs w:val="21"/>
              </w:rPr>
              <w:t>年</w:t>
            </w:r>
            <w:r>
              <w:rPr>
                <w:rFonts w:ascii="宋体" w:hAnsi="宋体" w:cs="宋体" w:eastAsia="宋体" w:hint="default"/>
                <w:spacing w:val="-90"/>
                <w:w w:val="95"/>
                <w:sz w:val="21"/>
                <w:szCs w:val="21"/>
              </w:rPr>
              <w:t> </w:t>
            </w:r>
            <w:r>
              <w:rPr>
                <w:rFonts w:ascii="Arial" w:hAnsi="Arial" w:cs="Arial" w:eastAsia="Arial" w:hint="default"/>
                <w:spacing w:val="-7"/>
                <w:w w:val="95"/>
                <w:sz w:val="21"/>
                <w:szCs w:val="21"/>
              </w:rPr>
              <w:t>12</w:t>
            </w:r>
            <w:r>
              <w:rPr>
                <w:rFonts w:ascii="Arial" w:hAnsi="Arial" w:cs="Arial" w:eastAsia="Arial" w:hint="default"/>
                <w:spacing w:val="-41"/>
                <w:w w:val="95"/>
                <w:sz w:val="21"/>
                <w:szCs w:val="21"/>
              </w:rPr>
              <w:t> </w:t>
            </w:r>
            <w:r>
              <w:rPr>
                <w:rFonts w:ascii="宋体" w:hAnsi="宋体" w:cs="宋体" w:eastAsia="宋体" w:hint="default"/>
                <w:w w:val="95"/>
                <w:sz w:val="21"/>
                <w:szCs w:val="21"/>
              </w:rPr>
              <w:t>月</w:t>
            </w:r>
            <w:r>
              <w:rPr>
                <w:rFonts w:ascii="宋体" w:hAnsi="宋体" w:cs="宋体" w:eastAsia="宋体" w:hint="default"/>
                <w:spacing w:val="-89"/>
                <w:w w:val="95"/>
                <w:sz w:val="21"/>
                <w:szCs w:val="21"/>
              </w:rPr>
              <w:t> </w:t>
            </w:r>
            <w:r>
              <w:rPr>
                <w:rFonts w:ascii="Arial" w:hAnsi="Arial" w:cs="Arial" w:eastAsia="Arial" w:hint="default"/>
                <w:spacing w:val="-16"/>
                <w:w w:val="95"/>
                <w:sz w:val="21"/>
                <w:szCs w:val="21"/>
              </w:rPr>
              <w:t>31</w:t>
            </w:r>
            <w:r>
              <w:rPr>
                <w:rFonts w:ascii="Arial" w:hAnsi="Arial" w:cs="Arial" w:eastAsia="Arial" w:hint="default"/>
                <w:sz w:val="21"/>
                <w:szCs w:val="21"/>
              </w:rPr>
            </w:r>
          </w:p>
          <w:p>
            <w:pPr>
              <w:pStyle w:val="TableParagraph"/>
              <w:spacing w:line="266" w:lineRule="exact"/>
              <w:ind w:left="124" w:right="0"/>
              <w:jc w:val="left"/>
              <w:rPr>
                <w:rFonts w:ascii="宋体" w:hAnsi="宋体" w:cs="宋体" w:eastAsia="宋体" w:hint="default"/>
                <w:sz w:val="21"/>
                <w:szCs w:val="21"/>
              </w:rPr>
            </w:pPr>
            <w:r>
              <w:rPr>
                <w:rFonts w:ascii="宋体" w:hAnsi="宋体" w:cs="宋体" w:eastAsia="宋体" w:hint="default"/>
                <w:spacing w:val="-18"/>
                <w:sz w:val="21"/>
                <w:szCs w:val="21"/>
              </w:rPr>
              <w:t>日（变更前）</w:t>
            </w:r>
          </w:p>
        </w:tc>
        <w:tc>
          <w:tcPr>
            <w:tcW w:w="1400"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105"/>
              <w:ind w:left="408" w:right="0"/>
              <w:jc w:val="left"/>
              <w:rPr>
                <w:rFonts w:ascii="宋体" w:hAnsi="宋体" w:cs="宋体" w:eastAsia="宋体" w:hint="default"/>
                <w:sz w:val="21"/>
                <w:szCs w:val="21"/>
              </w:rPr>
            </w:pPr>
            <w:r>
              <w:rPr>
                <w:rFonts w:ascii="宋体" w:hAnsi="宋体" w:cs="宋体" w:eastAsia="宋体" w:hint="default"/>
                <w:spacing w:val="-14"/>
                <w:sz w:val="21"/>
                <w:szCs w:val="21"/>
              </w:rPr>
              <w:t>重分类</w:t>
            </w:r>
          </w:p>
        </w:tc>
        <w:tc>
          <w:tcPr>
            <w:tcW w:w="1157"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105"/>
              <w:ind w:left="19" w:right="0"/>
              <w:jc w:val="center"/>
              <w:rPr>
                <w:rFonts w:ascii="宋体" w:hAnsi="宋体" w:cs="宋体" w:eastAsia="宋体" w:hint="default"/>
                <w:sz w:val="21"/>
                <w:szCs w:val="21"/>
              </w:rPr>
            </w:pPr>
            <w:r>
              <w:rPr>
                <w:rFonts w:ascii="宋体" w:hAnsi="宋体" w:cs="宋体" w:eastAsia="宋体" w:hint="default"/>
                <w:spacing w:val="-16"/>
                <w:sz w:val="21"/>
                <w:szCs w:val="21"/>
              </w:rPr>
              <w:t>重新计量</w:t>
            </w:r>
          </w:p>
        </w:tc>
        <w:tc>
          <w:tcPr>
            <w:tcW w:w="1397" w:type="dxa"/>
            <w:tcBorders>
              <w:top w:val="single" w:sz="8" w:space="0" w:color="41B7EE"/>
              <w:left w:val="single" w:sz="4" w:space="0" w:color="41B7EE"/>
              <w:bottom w:val="single" w:sz="4" w:space="0" w:color="41B7EE"/>
              <w:right w:val="nil" w:sz="6" w:space="0" w:color="auto"/>
            </w:tcBorders>
          </w:tcPr>
          <w:p>
            <w:pPr>
              <w:pStyle w:val="TableParagraph"/>
              <w:spacing w:line="249" w:lineRule="exact"/>
              <w:ind w:left="14" w:right="0"/>
              <w:jc w:val="center"/>
              <w:rPr>
                <w:rFonts w:ascii="宋体" w:hAnsi="宋体" w:cs="宋体" w:eastAsia="宋体" w:hint="default"/>
                <w:sz w:val="21"/>
                <w:szCs w:val="21"/>
              </w:rPr>
            </w:pPr>
            <w:r>
              <w:rPr>
                <w:rFonts w:ascii="Arial" w:hAnsi="Arial" w:cs="Arial" w:eastAsia="Arial" w:hint="default"/>
                <w:spacing w:val="-10"/>
                <w:w w:val="95"/>
                <w:sz w:val="21"/>
                <w:szCs w:val="21"/>
              </w:rPr>
              <w:t>2019</w:t>
            </w:r>
            <w:r>
              <w:rPr>
                <w:rFonts w:ascii="Arial" w:hAnsi="Arial" w:cs="Arial" w:eastAsia="Arial" w:hint="default"/>
                <w:spacing w:val="-30"/>
                <w:w w:val="95"/>
                <w:sz w:val="21"/>
                <w:szCs w:val="21"/>
              </w:rPr>
              <w:t> </w:t>
            </w:r>
            <w:r>
              <w:rPr>
                <w:rFonts w:ascii="宋体" w:hAnsi="宋体" w:cs="宋体" w:eastAsia="宋体" w:hint="default"/>
                <w:w w:val="95"/>
                <w:sz w:val="21"/>
                <w:szCs w:val="21"/>
              </w:rPr>
              <w:t>年</w:t>
            </w:r>
            <w:r>
              <w:rPr>
                <w:rFonts w:ascii="宋体" w:hAnsi="宋体" w:cs="宋体" w:eastAsia="宋体" w:hint="default"/>
                <w:spacing w:val="-81"/>
                <w:w w:val="95"/>
                <w:sz w:val="21"/>
                <w:szCs w:val="21"/>
              </w:rPr>
              <w:t> </w:t>
            </w:r>
            <w:r>
              <w:rPr>
                <w:rFonts w:ascii="Arial" w:hAnsi="Arial" w:cs="Arial" w:eastAsia="Arial" w:hint="default"/>
                <w:w w:val="95"/>
                <w:sz w:val="21"/>
                <w:szCs w:val="21"/>
              </w:rPr>
              <w:t>1</w:t>
            </w:r>
            <w:r>
              <w:rPr>
                <w:rFonts w:ascii="Arial" w:hAnsi="Arial" w:cs="Arial" w:eastAsia="Arial" w:hint="default"/>
                <w:spacing w:val="-30"/>
                <w:w w:val="95"/>
                <w:sz w:val="21"/>
                <w:szCs w:val="21"/>
              </w:rPr>
              <w:t> </w:t>
            </w:r>
            <w:r>
              <w:rPr>
                <w:rFonts w:ascii="宋体" w:hAnsi="宋体" w:cs="宋体" w:eastAsia="宋体" w:hint="default"/>
                <w:w w:val="95"/>
                <w:sz w:val="21"/>
                <w:szCs w:val="21"/>
              </w:rPr>
              <w:t>月</w:t>
            </w:r>
            <w:r>
              <w:rPr>
                <w:rFonts w:ascii="宋体" w:hAnsi="宋体" w:cs="宋体" w:eastAsia="宋体" w:hint="default"/>
                <w:spacing w:val="-80"/>
                <w:w w:val="95"/>
                <w:sz w:val="21"/>
                <w:szCs w:val="21"/>
              </w:rPr>
              <w:t> </w:t>
            </w:r>
            <w:r>
              <w:rPr>
                <w:rFonts w:ascii="Arial" w:hAnsi="Arial" w:cs="Arial" w:eastAsia="Arial" w:hint="default"/>
                <w:w w:val="95"/>
                <w:sz w:val="21"/>
                <w:szCs w:val="21"/>
              </w:rPr>
              <w:t>1</w:t>
            </w:r>
            <w:r>
              <w:rPr>
                <w:rFonts w:ascii="Arial" w:hAnsi="Arial" w:cs="Arial" w:eastAsia="Arial" w:hint="default"/>
                <w:spacing w:val="-30"/>
                <w:w w:val="95"/>
                <w:sz w:val="21"/>
                <w:szCs w:val="21"/>
              </w:rPr>
              <w:t> </w:t>
            </w:r>
            <w:r>
              <w:rPr>
                <w:rFonts w:ascii="宋体" w:hAnsi="宋体" w:cs="宋体" w:eastAsia="宋体" w:hint="default"/>
                <w:w w:val="95"/>
                <w:sz w:val="21"/>
                <w:szCs w:val="21"/>
              </w:rPr>
              <w:t>日</w:t>
            </w:r>
          </w:p>
          <w:p>
            <w:pPr>
              <w:pStyle w:val="TableParagraph"/>
              <w:spacing w:line="266" w:lineRule="exact"/>
              <w:ind w:left="11" w:right="0"/>
              <w:jc w:val="center"/>
              <w:rPr>
                <w:rFonts w:ascii="宋体" w:hAnsi="宋体" w:cs="宋体" w:eastAsia="宋体" w:hint="default"/>
                <w:sz w:val="21"/>
                <w:szCs w:val="21"/>
              </w:rPr>
            </w:pPr>
            <w:r>
              <w:rPr>
                <w:rFonts w:ascii="宋体" w:hAnsi="宋体" w:cs="宋体" w:eastAsia="宋体" w:hint="default"/>
                <w:spacing w:val="-18"/>
                <w:sz w:val="21"/>
                <w:szCs w:val="21"/>
              </w:rPr>
              <w:t>（变更后）</w:t>
            </w:r>
          </w:p>
        </w:tc>
      </w:tr>
      <w:tr>
        <w:trPr>
          <w:trHeight w:val="554"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b/>
                <w:bCs/>
                <w:w w:val="100"/>
                <w:sz w:val="21"/>
                <w:szCs w:val="21"/>
              </w:rPr>
              <w:t>（一</w:t>
            </w:r>
            <w:r>
              <w:rPr>
                <w:rFonts w:ascii="宋体" w:hAnsi="宋体" w:cs="宋体" w:eastAsia="宋体" w:hint="default"/>
                <w:b/>
                <w:bCs/>
                <w:spacing w:val="-101"/>
                <w:w w:val="100"/>
                <w:sz w:val="21"/>
                <w:szCs w:val="21"/>
              </w:rPr>
              <w:t>）</w:t>
            </w:r>
            <w:r>
              <w:rPr>
                <w:rFonts w:ascii="宋体" w:hAnsi="宋体" w:cs="宋体" w:eastAsia="宋体" w:hint="default"/>
                <w:b/>
                <w:bCs/>
                <w:w w:val="100"/>
                <w:sz w:val="21"/>
                <w:szCs w:val="21"/>
              </w:rPr>
              <w:t>以公允价值计量且</w:t>
            </w:r>
            <w:r>
              <w:rPr>
                <w:rFonts w:ascii="宋体" w:hAnsi="宋体" w:cs="宋体" w:eastAsia="宋体" w:hint="default"/>
                <w:b/>
                <w:bCs/>
                <w:spacing w:val="-3"/>
                <w:w w:val="100"/>
                <w:sz w:val="21"/>
                <w:szCs w:val="21"/>
              </w:rPr>
              <w:t>其</w:t>
            </w:r>
            <w:r>
              <w:rPr>
                <w:rFonts w:ascii="宋体" w:hAnsi="宋体" w:cs="宋体" w:eastAsia="宋体" w:hint="default"/>
                <w:b/>
                <w:bCs/>
                <w:w w:val="100"/>
                <w:sz w:val="21"/>
                <w:szCs w:val="21"/>
              </w:rPr>
              <w:t>变动计入当</w:t>
            </w:r>
            <w:r>
              <w:rPr>
                <w:rFonts w:ascii="宋体" w:hAnsi="宋体" w:cs="宋体" w:eastAsia="宋体" w:hint="default"/>
                <w:w w:val="100"/>
                <w:sz w:val="21"/>
                <w:szCs w:val="21"/>
              </w:rPr>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b/>
                <w:bCs/>
                <w:sz w:val="21"/>
                <w:szCs w:val="21"/>
              </w:rPr>
              <w:t>期损益的金融资产</w:t>
            </w:r>
            <w:r>
              <w:rPr>
                <w:rFonts w:ascii="宋体" w:hAnsi="宋体" w:cs="宋体" w:eastAsia="宋体" w:hint="default"/>
                <w:sz w:val="21"/>
                <w:szCs w:val="21"/>
              </w:rPr>
            </w:r>
          </w:p>
        </w:tc>
        <w:tc>
          <w:tcPr>
            <w:tcW w:w="1397" w:type="dxa"/>
            <w:tcBorders>
              <w:top w:val="single" w:sz="4" w:space="0" w:color="41B7EE"/>
              <w:left w:val="single" w:sz="4" w:space="0" w:color="41B7EE"/>
              <w:bottom w:val="single" w:sz="4" w:space="0" w:color="41B7EE"/>
              <w:right w:val="single" w:sz="4" w:space="0" w:color="41B7EE"/>
            </w:tcBorders>
          </w:tcPr>
          <w:p>
            <w:pPr/>
          </w:p>
        </w:tc>
        <w:tc>
          <w:tcPr>
            <w:tcW w:w="1400"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t>（原准则）</w:t>
            </w:r>
          </w:p>
        </w:tc>
        <w:tc>
          <w:tcPr>
            <w:tcW w:w="139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2"/>
                <w:w w:val="80"/>
                <w:sz w:val="21"/>
              </w:rPr>
              <w:t>9,858,946.90</w:t>
            </w:r>
            <w:r>
              <w:rPr>
                <w:rFonts w:ascii="Arial"/>
                <w:sz w:val="21"/>
              </w:rPr>
            </w:r>
          </w:p>
        </w:tc>
        <w:tc>
          <w:tcPr>
            <w:tcW w:w="1400"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40" w:right="0"/>
              <w:jc w:val="left"/>
              <w:rPr>
                <w:rFonts w:ascii="宋体" w:hAnsi="宋体" w:cs="宋体" w:eastAsia="宋体" w:hint="default"/>
                <w:sz w:val="21"/>
                <w:szCs w:val="21"/>
              </w:rPr>
            </w:pPr>
            <w:r>
              <w:rPr>
                <w:rFonts w:ascii="宋体" w:hAnsi="宋体" w:cs="宋体" w:eastAsia="宋体" w:hint="default"/>
                <w:sz w:val="21"/>
                <w:szCs w:val="21"/>
              </w:rPr>
              <w:t>减：转出至交易性金融资产</w:t>
            </w:r>
          </w:p>
        </w:tc>
        <w:tc>
          <w:tcPr>
            <w:tcW w:w="1397" w:type="dxa"/>
            <w:tcBorders>
              <w:top w:val="single" w:sz="4" w:space="0" w:color="41B7EE"/>
              <w:left w:val="single" w:sz="4" w:space="0" w:color="41B7EE"/>
              <w:bottom w:val="single" w:sz="4" w:space="0" w:color="41B7EE"/>
              <w:right w:val="single" w:sz="4" w:space="0" w:color="41B7EE"/>
            </w:tcBorders>
          </w:tcPr>
          <w:p>
            <w:pPr/>
          </w:p>
        </w:tc>
        <w:tc>
          <w:tcPr>
            <w:tcW w:w="140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2"/>
                <w:w w:val="80"/>
                <w:sz w:val="21"/>
              </w:rPr>
              <w:t>9,858,946.90</w:t>
            </w:r>
            <w:r>
              <w:rPr>
                <w:rFonts w:ascii="Arial"/>
                <w:sz w:val="21"/>
              </w:rPr>
            </w: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5"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p>
        </w:tc>
        <w:tc>
          <w:tcPr>
            <w:tcW w:w="1397" w:type="dxa"/>
            <w:tcBorders>
              <w:top w:val="single" w:sz="4" w:space="0" w:color="41B7EE"/>
              <w:left w:val="single" w:sz="4" w:space="0" w:color="41B7EE"/>
              <w:bottom w:val="single" w:sz="4" w:space="0" w:color="41B7EE"/>
              <w:right w:val="single" w:sz="4" w:space="0" w:color="41B7EE"/>
            </w:tcBorders>
          </w:tcPr>
          <w:p>
            <w:pPr/>
          </w:p>
        </w:tc>
        <w:tc>
          <w:tcPr>
            <w:tcW w:w="1400"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Arial" w:hAnsi="Arial" w:cs="Arial" w:eastAsia="Arial" w:hint="default"/>
                <w:b/>
                <w:bCs/>
                <w:sz w:val="21"/>
                <w:szCs w:val="21"/>
              </w:rPr>
              <w:t>2.</w:t>
            </w:r>
            <w:r>
              <w:rPr>
                <w:rFonts w:ascii="宋体" w:hAnsi="宋体" w:cs="宋体" w:eastAsia="宋体" w:hint="default"/>
                <w:b/>
                <w:bCs/>
                <w:sz w:val="21"/>
                <w:szCs w:val="21"/>
              </w:rPr>
              <w:t>其他流动资产</w:t>
            </w:r>
            <w:r>
              <w:rPr>
                <w:rFonts w:ascii="宋体" w:hAnsi="宋体" w:cs="宋体" w:eastAsia="宋体" w:hint="default"/>
                <w:sz w:val="21"/>
                <w:szCs w:val="21"/>
              </w:rPr>
              <w:t>（原准则）</w:t>
            </w:r>
          </w:p>
        </w:tc>
        <w:tc>
          <w:tcPr>
            <w:tcW w:w="139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17"/>
              <w:jc w:val="right"/>
              <w:rPr>
                <w:rFonts w:ascii="Arial" w:hAnsi="Arial" w:cs="Arial" w:eastAsia="Arial" w:hint="default"/>
                <w:sz w:val="21"/>
                <w:szCs w:val="21"/>
              </w:rPr>
            </w:pPr>
            <w:r>
              <w:rPr>
                <w:rFonts w:ascii="Arial"/>
                <w:spacing w:val="-2"/>
                <w:w w:val="80"/>
                <w:sz w:val="21"/>
              </w:rPr>
              <w:t>2,162,612,628.99</w:t>
            </w:r>
            <w:r>
              <w:rPr>
                <w:rFonts w:ascii="Arial"/>
                <w:sz w:val="21"/>
              </w:rPr>
            </w:r>
          </w:p>
        </w:tc>
        <w:tc>
          <w:tcPr>
            <w:tcW w:w="1400"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40" w:right="0"/>
              <w:jc w:val="left"/>
              <w:rPr>
                <w:rFonts w:ascii="宋体" w:hAnsi="宋体" w:cs="宋体" w:eastAsia="宋体" w:hint="default"/>
                <w:sz w:val="21"/>
                <w:szCs w:val="21"/>
              </w:rPr>
            </w:pPr>
            <w:r>
              <w:rPr>
                <w:rFonts w:ascii="宋体" w:hAnsi="宋体" w:cs="宋体" w:eastAsia="宋体" w:hint="default"/>
                <w:sz w:val="21"/>
                <w:szCs w:val="21"/>
              </w:rPr>
              <w:t>减：转出至交易性金融资产</w:t>
            </w:r>
          </w:p>
        </w:tc>
        <w:tc>
          <w:tcPr>
            <w:tcW w:w="1397" w:type="dxa"/>
            <w:tcBorders>
              <w:top w:val="single" w:sz="4" w:space="0" w:color="41B7EE"/>
              <w:left w:val="single" w:sz="4" w:space="0" w:color="41B7EE"/>
              <w:bottom w:val="single" w:sz="4" w:space="0" w:color="41B7EE"/>
              <w:right w:val="single" w:sz="4" w:space="0" w:color="41B7EE"/>
            </w:tcBorders>
          </w:tcPr>
          <w:p>
            <w:pPr/>
          </w:p>
        </w:tc>
        <w:tc>
          <w:tcPr>
            <w:tcW w:w="140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2"/>
                <w:w w:val="80"/>
                <w:sz w:val="21"/>
              </w:rPr>
              <w:t>2,135,693,612.21</w:t>
            </w:r>
            <w:r>
              <w:rPr>
                <w:rFonts w:ascii="Arial"/>
                <w:sz w:val="21"/>
              </w:rPr>
            </w: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p>
        </w:tc>
        <w:tc>
          <w:tcPr>
            <w:tcW w:w="1397" w:type="dxa"/>
            <w:tcBorders>
              <w:top w:val="single" w:sz="4" w:space="0" w:color="41B7EE"/>
              <w:left w:val="single" w:sz="4" w:space="0" w:color="41B7EE"/>
              <w:bottom w:val="single" w:sz="4" w:space="0" w:color="41B7EE"/>
              <w:right w:val="single" w:sz="4" w:space="0" w:color="41B7EE"/>
            </w:tcBorders>
          </w:tcPr>
          <w:p>
            <w:pPr/>
          </w:p>
        </w:tc>
        <w:tc>
          <w:tcPr>
            <w:tcW w:w="1400"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5"/>
              <w:jc w:val="right"/>
              <w:rPr>
                <w:rFonts w:ascii="Arial" w:hAnsi="Arial" w:cs="Arial" w:eastAsia="Arial" w:hint="default"/>
                <w:sz w:val="21"/>
                <w:szCs w:val="21"/>
              </w:rPr>
            </w:pPr>
            <w:r>
              <w:rPr>
                <w:rFonts w:ascii="Arial"/>
                <w:spacing w:val="-2"/>
                <w:w w:val="80"/>
                <w:sz w:val="21"/>
              </w:rPr>
              <w:t>26,919,016.78</w:t>
            </w:r>
            <w:r>
              <w:rPr>
                <w:rFonts w:ascii="Arial"/>
                <w:sz w:val="21"/>
              </w:rPr>
            </w:r>
          </w:p>
        </w:tc>
      </w:tr>
      <w:tr>
        <w:trPr>
          <w:trHeight w:val="355"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Arial" w:hAnsi="Arial" w:cs="Arial" w:eastAsia="Arial" w:hint="default"/>
                <w:b/>
                <w:bCs/>
                <w:sz w:val="21"/>
                <w:szCs w:val="21"/>
              </w:rPr>
              <w:t>3.</w:t>
            </w:r>
            <w:r>
              <w:rPr>
                <w:rFonts w:ascii="宋体" w:hAnsi="宋体" w:cs="宋体" w:eastAsia="宋体" w:hint="default"/>
                <w:b/>
                <w:bCs/>
                <w:sz w:val="21"/>
                <w:szCs w:val="21"/>
              </w:rPr>
              <w:t>交易性金融资产</w:t>
            </w:r>
            <w:r>
              <w:rPr>
                <w:rFonts w:ascii="宋体" w:hAnsi="宋体" w:cs="宋体" w:eastAsia="宋体" w:hint="default"/>
                <w:sz w:val="21"/>
                <w:szCs w:val="21"/>
              </w:rPr>
            </w:r>
          </w:p>
        </w:tc>
        <w:tc>
          <w:tcPr>
            <w:tcW w:w="1397" w:type="dxa"/>
            <w:tcBorders>
              <w:top w:val="single" w:sz="4" w:space="0" w:color="41B7EE"/>
              <w:left w:val="single" w:sz="4" w:space="0" w:color="41B7EE"/>
              <w:bottom w:val="single" w:sz="4" w:space="0" w:color="41B7EE"/>
              <w:right w:val="single" w:sz="4" w:space="0" w:color="41B7EE"/>
            </w:tcBorders>
          </w:tcPr>
          <w:p>
            <w:pPr/>
          </w:p>
        </w:tc>
        <w:tc>
          <w:tcPr>
            <w:tcW w:w="1400"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5"/>
              <w:ind w:left="240" w:right="0"/>
              <w:jc w:val="left"/>
              <w:rPr>
                <w:rFonts w:ascii="宋体" w:hAnsi="宋体" w:cs="宋体" w:eastAsia="宋体" w:hint="default"/>
                <w:sz w:val="21"/>
                <w:szCs w:val="21"/>
              </w:rPr>
            </w:pPr>
            <w:r>
              <w:rPr>
                <w:rFonts w:ascii="宋体" w:hAnsi="宋体" w:cs="宋体" w:eastAsia="宋体" w:hint="default"/>
                <w:sz w:val="21"/>
                <w:szCs w:val="21"/>
              </w:rPr>
              <w:t>加：其他流动资产（原准则）转入</w:t>
            </w:r>
          </w:p>
        </w:tc>
        <w:tc>
          <w:tcPr>
            <w:tcW w:w="1397" w:type="dxa"/>
            <w:tcBorders>
              <w:top w:val="single" w:sz="4" w:space="0" w:color="41B7EE"/>
              <w:left w:val="single" w:sz="4" w:space="0" w:color="41B7EE"/>
              <w:bottom w:val="single" w:sz="4" w:space="0" w:color="41B7EE"/>
              <w:right w:val="single" w:sz="4" w:space="0" w:color="41B7EE"/>
            </w:tcBorders>
          </w:tcPr>
          <w:p>
            <w:pPr/>
          </w:p>
        </w:tc>
        <w:tc>
          <w:tcPr>
            <w:tcW w:w="140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1"/>
              <w:ind w:right="20"/>
              <w:jc w:val="right"/>
              <w:rPr>
                <w:rFonts w:ascii="Arial" w:hAnsi="Arial" w:cs="Arial" w:eastAsia="Arial" w:hint="default"/>
                <w:sz w:val="21"/>
                <w:szCs w:val="21"/>
              </w:rPr>
            </w:pPr>
            <w:r>
              <w:rPr>
                <w:rFonts w:ascii="Arial"/>
                <w:spacing w:val="-2"/>
                <w:w w:val="80"/>
                <w:sz w:val="21"/>
              </w:rPr>
              <w:t>2,135,693,612.21</w:t>
            </w:r>
            <w:r>
              <w:rPr>
                <w:rFonts w:ascii="Arial"/>
                <w:sz w:val="21"/>
              </w:rPr>
            </w: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40" w:right="0"/>
              <w:jc w:val="left"/>
              <w:rPr>
                <w:rFonts w:ascii="宋体" w:hAnsi="宋体" w:cs="宋体" w:eastAsia="宋体" w:hint="default"/>
                <w:sz w:val="21"/>
                <w:szCs w:val="21"/>
              </w:rPr>
            </w:pPr>
            <w:r>
              <w:rPr>
                <w:rFonts w:ascii="宋体" w:hAnsi="宋体" w:cs="宋体" w:eastAsia="宋体" w:hint="default"/>
                <w:sz w:val="21"/>
                <w:szCs w:val="21"/>
              </w:rPr>
              <w:t>加：应收利息（原准则）转入</w:t>
            </w:r>
          </w:p>
        </w:tc>
        <w:tc>
          <w:tcPr>
            <w:tcW w:w="1397" w:type="dxa"/>
            <w:tcBorders>
              <w:top w:val="single" w:sz="4" w:space="0" w:color="41B7EE"/>
              <w:left w:val="single" w:sz="4" w:space="0" w:color="41B7EE"/>
              <w:bottom w:val="single" w:sz="4" w:space="0" w:color="41B7EE"/>
              <w:right w:val="single" w:sz="4" w:space="0" w:color="41B7EE"/>
            </w:tcBorders>
          </w:tcPr>
          <w:p>
            <w:pPr/>
          </w:p>
        </w:tc>
        <w:tc>
          <w:tcPr>
            <w:tcW w:w="140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2"/>
                <w:w w:val="80"/>
                <w:sz w:val="21"/>
              </w:rPr>
              <w:t>9,858,946.90</w:t>
            </w:r>
            <w:r>
              <w:rPr>
                <w:rFonts w:ascii="Arial"/>
                <w:sz w:val="21"/>
              </w:rPr>
            </w: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p>
        </w:tc>
        <w:tc>
          <w:tcPr>
            <w:tcW w:w="1397" w:type="dxa"/>
            <w:tcBorders>
              <w:top w:val="single" w:sz="4" w:space="0" w:color="41B7EE"/>
              <w:left w:val="single" w:sz="4" w:space="0" w:color="41B7EE"/>
              <w:bottom w:val="single" w:sz="4" w:space="0" w:color="41B7EE"/>
              <w:right w:val="single" w:sz="4" w:space="0" w:color="41B7EE"/>
            </w:tcBorders>
          </w:tcPr>
          <w:p>
            <w:pPr/>
          </w:p>
        </w:tc>
        <w:tc>
          <w:tcPr>
            <w:tcW w:w="1400"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5"/>
              <w:jc w:val="right"/>
              <w:rPr>
                <w:rFonts w:ascii="Arial" w:hAnsi="Arial" w:cs="Arial" w:eastAsia="Arial" w:hint="default"/>
                <w:sz w:val="21"/>
                <w:szCs w:val="21"/>
              </w:rPr>
            </w:pPr>
            <w:r>
              <w:rPr>
                <w:rFonts w:ascii="Arial"/>
                <w:spacing w:val="-2"/>
                <w:w w:val="80"/>
                <w:sz w:val="21"/>
              </w:rPr>
              <w:t>2,145,552,559.11</w:t>
            </w:r>
            <w:r>
              <w:rPr>
                <w:rFonts w:ascii="Arial"/>
                <w:sz w:val="21"/>
              </w:rPr>
            </w:r>
          </w:p>
        </w:tc>
      </w:tr>
      <w:tr>
        <w:trPr>
          <w:trHeight w:val="554"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b/>
                <w:bCs/>
                <w:w w:val="100"/>
                <w:sz w:val="21"/>
                <w:szCs w:val="21"/>
              </w:rPr>
              <w:t>（二</w:t>
            </w:r>
            <w:r>
              <w:rPr>
                <w:rFonts w:ascii="宋体" w:hAnsi="宋体" w:cs="宋体" w:eastAsia="宋体" w:hint="default"/>
                <w:b/>
                <w:bCs/>
                <w:spacing w:val="-101"/>
                <w:w w:val="100"/>
                <w:sz w:val="21"/>
                <w:szCs w:val="21"/>
              </w:rPr>
              <w:t>）</w:t>
            </w:r>
            <w:r>
              <w:rPr>
                <w:rFonts w:ascii="宋体" w:hAnsi="宋体" w:cs="宋体" w:eastAsia="宋体" w:hint="default"/>
                <w:b/>
                <w:bCs/>
                <w:w w:val="100"/>
                <w:sz w:val="21"/>
                <w:szCs w:val="21"/>
              </w:rPr>
              <w:t>以公允价值计量且</w:t>
            </w:r>
            <w:r>
              <w:rPr>
                <w:rFonts w:ascii="宋体" w:hAnsi="宋体" w:cs="宋体" w:eastAsia="宋体" w:hint="default"/>
                <w:b/>
                <w:bCs/>
                <w:spacing w:val="-3"/>
                <w:w w:val="100"/>
                <w:sz w:val="21"/>
                <w:szCs w:val="21"/>
              </w:rPr>
              <w:t>其</w:t>
            </w:r>
            <w:r>
              <w:rPr>
                <w:rFonts w:ascii="宋体" w:hAnsi="宋体" w:cs="宋体" w:eastAsia="宋体" w:hint="default"/>
                <w:b/>
                <w:bCs/>
                <w:w w:val="100"/>
                <w:sz w:val="21"/>
                <w:szCs w:val="21"/>
              </w:rPr>
              <w:t>变动计入其</w:t>
            </w:r>
            <w:r>
              <w:rPr>
                <w:rFonts w:ascii="宋体" w:hAnsi="宋体" w:cs="宋体" w:eastAsia="宋体" w:hint="default"/>
                <w:w w:val="100"/>
                <w:sz w:val="21"/>
                <w:szCs w:val="21"/>
              </w:rPr>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b/>
                <w:bCs/>
                <w:sz w:val="21"/>
                <w:szCs w:val="21"/>
              </w:rPr>
              <w:t>他综合收益的金融资产</w:t>
            </w:r>
            <w:r>
              <w:rPr>
                <w:rFonts w:ascii="宋体" w:hAnsi="宋体" w:cs="宋体" w:eastAsia="宋体" w:hint="default"/>
                <w:sz w:val="21"/>
                <w:szCs w:val="21"/>
              </w:rPr>
            </w:r>
          </w:p>
        </w:tc>
        <w:tc>
          <w:tcPr>
            <w:tcW w:w="1397" w:type="dxa"/>
            <w:tcBorders>
              <w:top w:val="single" w:sz="4" w:space="0" w:color="41B7EE"/>
              <w:left w:val="single" w:sz="4" w:space="0" w:color="41B7EE"/>
              <w:bottom w:val="single" w:sz="4" w:space="0" w:color="41B7EE"/>
              <w:right w:val="single" w:sz="4" w:space="0" w:color="41B7EE"/>
            </w:tcBorders>
          </w:tcPr>
          <w:p>
            <w:pPr/>
          </w:p>
        </w:tc>
        <w:tc>
          <w:tcPr>
            <w:tcW w:w="1400"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5"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Arial" w:hAnsi="Arial" w:cs="Arial" w:eastAsia="Arial" w:hint="default"/>
                <w:b/>
                <w:bCs/>
                <w:sz w:val="21"/>
                <w:szCs w:val="21"/>
              </w:rPr>
              <w:t>1.</w:t>
            </w:r>
            <w:r>
              <w:rPr>
                <w:rFonts w:ascii="宋体" w:hAnsi="宋体" w:cs="宋体" w:eastAsia="宋体" w:hint="default"/>
                <w:b/>
                <w:bCs/>
                <w:sz w:val="21"/>
                <w:szCs w:val="21"/>
              </w:rPr>
              <w:t>可供出售金融资产</w:t>
            </w:r>
            <w:r>
              <w:rPr>
                <w:rFonts w:ascii="宋体" w:hAnsi="宋体" w:cs="宋体" w:eastAsia="宋体" w:hint="default"/>
                <w:sz w:val="21"/>
                <w:szCs w:val="21"/>
              </w:rPr>
              <w:t>（原准则）</w:t>
            </w:r>
          </w:p>
        </w:tc>
        <w:tc>
          <w:tcPr>
            <w:tcW w:w="139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2"/>
                <w:w w:val="80"/>
                <w:sz w:val="21"/>
              </w:rPr>
              <w:t>21,000,000.00</w:t>
            </w:r>
            <w:r>
              <w:rPr>
                <w:rFonts w:ascii="Arial"/>
                <w:sz w:val="21"/>
              </w:rPr>
            </w:r>
          </w:p>
        </w:tc>
        <w:tc>
          <w:tcPr>
            <w:tcW w:w="1400"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40" w:right="0"/>
              <w:jc w:val="left"/>
              <w:rPr>
                <w:rFonts w:ascii="宋体" w:hAnsi="宋体" w:cs="宋体" w:eastAsia="宋体" w:hint="default"/>
                <w:sz w:val="21"/>
                <w:szCs w:val="21"/>
              </w:rPr>
            </w:pPr>
            <w:r>
              <w:rPr>
                <w:rFonts w:ascii="宋体" w:hAnsi="宋体" w:cs="宋体" w:eastAsia="宋体" w:hint="default"/>
                <w:sz w:val="21"/>
                <w:szCs w:val="21"/>
              </w:rPr>
              <w:t>减：转出至其他权益工具投资</w:t>
            </w:r>
          </w:p>
        </w:tc>
        <w:tc>
          <w:tcPr>
            <w:tcW w:w="1397" w:type="dxa"/>
            <w:tcBorders>
              <w:top w:val="single" w:sz="4" w:space="0" w:color="41B7EE"/>
              <w:left w:val="single" w:sz="4" w:space="0" w:color="41B7EE"/>
              <w:bottom w:val="single" w:sz="4" w:space="0" w:color="41B7EE"/>
              <w:right w:val="single" w:sz="4" w:space="0" w:color="41B7EE"/>
            </w:tcBorders>
          </w:tcPr>
          <w:p>
            <w:pPr/>
          </w:p>
        </w:tc>
        <w:tc>
          <w:tcPr>
            <w:tcW w:w="140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20"/>
              <w:jc w:val="right"/>
              <w:rPr>
                <w:rFonts w:ascii="Arial" w:hAnsi="Arial" w:cs="Arial" w:eastAsia="Arial" w:hint="default"/>
                <w:sz w:val="21"/>
                <w:szCs w:val="21"/>
              </w:rPr>
            </w:pPr>
            <w:r>
              <w:rPr>
                <w:rFonts w:ascii="Arial"/>
                <w:spacing w:val="-2"/>
                <w:w w:val="80"/>
                <w:sz w:val="21"/>
              </w:rPr>
              <w:t>21,000,000.00</w:t>
            </w:r>
            <w:r>
              <w:rPr>
                <w:rFonts w:ascii="Arial"/>
                <w:sz w:val="21"/>
              </w:rPr>
            </w: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p>
        </w:tc>
        <w:tc>
          <w:tcPr>
            <w:tcW w:w="1397" w:type="dxa"/>
            <w:tcBorders>
              <w:top w:val="single" w:sz="4" w:space="0" w:color="41B7EE"/>
              <w:left w:val="single" w:sz="4" w:space="0" w:color="41B7EE"/>
              <w:bottom w:val="single" w:sz="4" w:space="0" w:color="41B7EE"/>
              <w:right w:val="single" w:sz="4" w:space="0" w:color="41B7EE"/>
            </w:tcBorders>
          </w:tcPr>
          <w:p>
            <w:pPr/>
          </w:p>
        </w:tc>
        <w:tc>
          <w:tcPr>
            <w:tcW w:w="1400"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Arial" w:hAnsi="Arial" w:cs="Arial" w:eastAsia="Arial" w:hint="default"/>
                <w:b/>
                <w:bCs/>
                <w:sz w:val="21"/>
                <w:szCs w:val="21"/>
              </w:rPr>
              <w:t>2.</w:t>
            </w:r>
            <w:r>
              <w:rPr>
                <w:rFonts w:ascii="宋体" w:hAnsi="宋体" w:cs="宋体" w:eastAsia="宋体" w:hint="default"/>
                <w:b/>
                <w:bCs/>
                <w:sz w:val="21"/>
                <w:szCs w:val="21"/>
              </w:rPr>
              <w:t>其他权益工具投资</w:t>
            </w:r>
            <w:r>
              <w:rPr>
                <w:rFonts w:ascii="宋体" w:hAnsi="宋体" w:cs="宋体" w:eastAsia="宋体" w:hint="default"/>
                <w:sz w:val="21"/>
                <w:szCs w:val="21"/>
              </w:rPr>
            </w:r>
          </w:p>
        </w:tc>
        <w:tc>
          <w:tcPr>
            <w:tcW w:w="1397" w:type="dxa"/>
            <w:tcBorders>
              <w:top w:val="single" w:sz="4" w:space="0" w:color="41B7EE"/>
              <w:left w:val="single" w:sz="4" w:space="0" w:color="41B7EE"/>
              <w:bottom w:val="single" w:sz="4" w:space="0" w:color="41B7EE"/>
              <w:right w:val="single" w:sz="4" w:space="0" w:color="41B7EE"/>
            </w:tcBorders>
          </w:tcPr>
          <w:p>
            <w:pPr/>
          </w:p>
        </w:tc>
        <w:tc>
          <w:tcPr>
            <w:tcW w:w="1400"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5"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26" w:right="0"/>
              <w:jc w:val="left"/>
              <w:rPr>
                <w:rFonts w:ascii="宋体" w:hAnsi="宋体" w:cs="宋体" w:eastAsia="宋体" w:hint="default"/>
                <w:sz w:val="21"/>
                <w:szCs w:val="21"/>
              </w:rPr>
            </w:pPr>
            <w:r>
              <w:rPr>
                <w:rFonts w:ascii="宋体" w:hAnsi="宋体" w:cs="宋体" w:eastAsia="宋体" w:hint="default"/>
                <w:spacing w:val="-18"/>
                <w:sz w:val="21"/>
                <w:szCs w:val="21"/>
              </w:rPr>
              <w:t>加：可供出售金融资产（原准则）转入</w:t>
            </w:r>
          </w:p>
        </w:tc>
        <w:tc>
          <w:tcPr>
            <w:tcW w:w="1397" w:type="dxa"/>
            <w:tcBorders>
              <w:top w:val="single" w:sz="4" w:space="0" w:color="41B7EE"/>
              <w:left w:val="single" w:sz="4" w:space="0" w:color="41B7EE"/>
              <w:bottom w:val="single" w:sz="4" w:space="0" w:color="41B7EE"/>
              <w:right w:val="single" w:sz="4" w:space="0" w:color="41B7EE"/>
            </w:tcBorders>
          </w:tcPr>
          <w:p>
            <w:pPr/>
          </w:p>
        </w:tc>
        <w:tc>
          <w:tcPr>
            <w:tcW w:w="140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2"/>
                <w:w w:val="80"/>
                <w:sz w:val="21"/>
              </w:rPr>
              <w:t>21,000,000.00</w:t>
            </w:r>
            <w:r>
              <w:rPr>
                <w:rFonts w:ascii="Arial"/>
                <w:sz w:val="21"/>
              </w:rPr>
            </w:r>
          </w:p>
        </w:tc>
        <w:tc>
          <w:tcPr>
            <w:tcW w:w="1157" w:type="dxa"/>
            <w:tcBorders>
              <w:top w:val="single" w:sz="4" w:space="0" w:color="41B7EE"/>
              <w:left w:val="single" w:sz="4" w:space="0" w:color="41B7EE"/>
              <w:bottom w:val="single" w:sz="4" w:space="0" w:color="41B7EE"/>
              <w:right w:val="single" w:sz="4" w:space="0" w:color="41B7EE"/>
            </w:tcBorders>
          </w:tcPr>
          <w:p>
            <w:pP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重新计量：按公允价值重新计量</w:t>
            </w:r>
          </w:p>
        </w:tc>
        <w:tc>
          <w:tcPr>
            <w:tcW w:w="1397" w:type="dxa"/>
            <w:tcBorders>
              <w:top w:val="single" w:sz="4" w:space="0" w:color="41B7EE"/>
              <w:left w:val="single" w:sz="4" w:space="0" w:color="41B7EE"/>
              <w:bottom w:val="single" w:sz="4" w:space="0" w:color="41B7EE"/>
              <w:right w:val="single" w:sz="4" w:space="0" w:color="41B7EE"/>
            </w:tcBorders>
          </w:tcPr>
          <w:p>
            <w:pPr/>
          </w:p>
        </w:tc>
        <w:tc>
          <w:tcPr>
            <w:tcW w:w="1400" w:type="dxa"/>
            <w:tcBorders>
              <w:top w:val="single" w:sz="4" w:space="0" w:color="41B7EE"/>
              <w:left w:val="single" w:sz="4" w:space="0" w:color="41B7EE"/>
              <w:bottom w:val="single" w:sz="4" w:space="0" w:color="41B7EE"/>
              <w:right w:val="single" w:sz="4" w:space="0" w:color="41B7EE"/>
            </w:tcBorders>
          </w:tcPr>
          <w:p>
            <w:pPr/>
          </w:p>
        </w:tc>
        <w:tc>
          <w:tcPr>
            <w:tcW w:w="115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0"/>
              <w:jc w:val="center"/>
              <w:rPr>
                <w:rFonts w:ascii="Arial" w:hAnsi="Arial" w:cs="Arial" w:eastAsia="Arial" w:hint="default"/>
                <w:sz w:val="21"/>
                <w:szCs w:val="21"/>
              </w:rPr>
            </w:pPr>
            <w:r>
              <w:rPr>
                <w:rFonts w:ascii="Arial"/>
                <w:w w:val="80"/>
                <w:sz w:val="21"/>
              </w:rPr>
              <w:t>20,258,493.06</w:t>
            </w:r>
            <w:r>
              <w:rPr>
                <w:rFonts w:ascii="Arial"/>
                <w:sz w:val="21"/>
              </w:rPr>
            </w:r>
          </w:p>
        </w:tc>
        <w:tc>
          <w:tcPr>
            <w:tcW w:w="1397" w:type="dxa"/>
            <w:tcBorders>
              <w:top w:val="single" w:sz="4" w:space="0" w:color="41B7EE"/>
              <w:left w:val="single" w:sz="4" w:space="0" w:color="41B7EE"/>
              <w:bottom w:val="single" w:sz="4" w:space="0" w:color="41B7EE"/>
              <w:right w:val="nil" w:sz="6" w:space="0" w:color="auto"/>
            </w:tcBorders>
          </w:tcPr>
          <w:p>
            <w:pPr/>
          </w:p>
        </w:tc>
      </w:tr>
      <w:tr>
        <w:trPr>
          <w:trHeight w:val="384" w:hRule="exact"/>
        </w:trPr>
        <w:tc>
          <w:tcPr>
            <w:tcW w:w="3541"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按新金融工具准则列示的余额</w:t>
            </w:r>
          </w:p>
        </w:tc>
        <w:tc>
          <w:tcPr>
            <w:tcW w:w="1397" w:type="dxa"/>
            <w:tcBorders>
              <w:top w:val="single" w:sz="4" w:space="0" w:color="41B7EE"/>
              <w:left w:val="single" w:sz="4" w:space="0" w:color="41B7EE"/>
              <w:bottom w:val="single" w:sz="23" w:space="0" w:color="41B7EE"/>
              <w:right w:val="single" w:sz="4" w:space="0" w:color="41B7EE"/>
            </w:tcBorders>
          </w:tcPr>
          <w:p>
            <w:pPr/>
          </w:p>
        </w:tc>
        <w:tc>
          <w:tcPr>
            <w:tcW w:w="1400" w:type="dxa"/>
            <w:tcBorders>
              <w:top w:val="single" w:sz="4" w:space="0" w:color="41B7EE"/>
              <w:left w:val="single" w:sz="4" w:space="0" w:color="41B7EE"/>
              <w:bottom w:val="single" w:sz="23" w:space="0" w:color="41B7EE"/>
              <w:right w:val="single" w:sz="4" w:space="0" w:color="41B7EE"/>
            </w:tcBorders>
          </w:tcPr>
          <w:p>
            <w:pPr/>
          </w:p>
        </w:tc>
        <w:tc>
          <w:tcPr>
            <w:tcW w:w="1157" w:type="dxa"/>
            <w:tcBorders>
              <w:top w:val="single" w:sz="4" w:space="0" w:color="41B7EE"/>
              <w:left w:val="single" w:sz="4" w:space="0" w:color="41B7EE"/>
              <w:bottom w:val="single" w:sz="23" w:space="0" w:color="41B7EE"/>
              <w:right w:val="single" w:sz="4" w:space="0" w:color="41B7EE"/>
            </w:tcBorders>
          </w:tcPr>
          <w:p>
            <w:pPr/>
          </w:p>
        </w:tc>
        <w:tc>
          <w:tcPr>
            <w:tcW w:w="1397"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25"/>
              <w:jc w:val="right"/>
              <w:rPr>
                <w:rFonts w:ascii="Arial" w:hAnsi="Arial" w:cs="Arial" w:eastAsia="Arial" w:hint="default"/>
                <w:sz w:val="21"/>
                <w:szCs w:val="21"/>
              </w:rPr>
            </w:pPr>
            <w:r>
              <w:rPr>
                <w:rFonts w:ascii="Arial"/>
                <w:spacing w:val="-2"/>
                <w:w w:val="80"/>
                <w:sz w:val="21"/>
              </w:rPr>
              <w:t>20,258,493.06</w:t>
            </w:r>
            <w:r>
              <w:rPr>
                <w:rFonts w:ascii="Arial"/>
                <w:sz w:val="21"/>
              </w:rPr>
            </w:r>
          </w:p>
        </w:tc>
      </w:tr>
    </w:tbl>
    <w:p>
      <w:pPr>
        <w:pStyle w:val="Heading2"/>
        <w:spacing w:line="240" w:lineRule="auto" w:before="11"/>
        <w:ind w:left="599" w:right="0"/>
        <w:jc w:val="left"/>
        <w:rPr>
          <w:b w:val="0"/>
          <w:bCs w:val="0"/>
        </w:rPr>
      </w:pPr>
      <w:r>
        <w:rPr/>
        <w:t>②执行《财政部关于修订印发</w:t>
      </w:r>
      <w:r>
        <w:rPr>
          <w:spacing w:val="-54"/>
        </w:rPr>
        <w:t> </w:t>
      </w:r>
      <w:r>
        <w:rPr>
          <w:rFonts w:ascii="Arial" w:hAnsi="Arial" w:cs="Arial" w:eastAsia="Arial" w:hint="default"/>
        </w:rPr>
        <w:t>2019</w:t>
      </w:r>
      <w:r>
        <w:rPr>
          <w:rFonts w:ascii="Arial" w:hAnsi="Arial" w:cs="Arial" w:eastAsia="Arial" w:hint="default"/>
          <w:spacing w:val="-9"/>
        </w:rPr>
        <w:t> </w:t>
      </w:r>
      <w:r>
        <w:rPr/>
        <w:t>年度一般企业财务报表格式的通知》</w:t>
      </w:r>
      <w:r>
        <w:rPr>
          <w:b w:val="0"/>
          <w:bCs w:val="0"/>
        </w:rPr>
      </w:r>
    </w:p>
    <w:p>
      <w:pPr>
        <w:pStyle w:val="BodyText"/>
        <w:spacing w:line="240" w:lineRule="auto" w:before="29"/>
        <w:ind w:left="597" w:right="0"/>
        <w:jc w:val="left"/>
      </w:pPr>
      <w:r>
        <w:rPr>
          <w:w w:val="100"/>
        </w:rPr>
        <w:t>财政</w:t>
      </w:r>
      <w:r>
        <w:rPr>
          <w:spacing w:val="-3"/>
          <w:w w:val="100"/>
        </w:rPr>
        <w:t>部</w:t>
      </w:r>
      <w:r>
        <w:rPr>
          <w:w w:val="100"/>
        </w:rPr>
        <w:t>于</w:t>
      </w:r>
      <w:r>
        <w:rPr>
          <w:spacing w:val="-70"/>
        </w:rPr>
        <w:t> </w:t>
      </w:r>
      <w:r>
        <w:rPr>
          <w:rFonts w:ascii="Arial" w:hAnsi="Arial" w:cs="Arial" w:eastAsia="Arial" w:hint="default"/>
          <w:w w:val="100"/>
        </w:rPr>
        <w:t>20</w:t>
      </w:r>
      <w:r>
        <w:rPr>
          <w:rFonts w:ascii="Arial" w:hAnsi="Arial" w:cs="Arial" w:eastAsia="Arial" w:hint="default"/>
          <w:spacing w:val="-2"/>
          <w:w w:val="100"/>
        </w:rPr>
        <w:t>1</w:t>
      </w:r>
      <w:r>
        <w:rPr>
          <w:rFonts w:ascii="Arial" w:hAnsi="Arial" w:cs="Arial" w:eastAsia="Arial" w:hint="default"/>
          <w:w w:val="100"/>
        </w:rPr>
        <w:t>9</w:t>
      </w:r>
      <w:r>
        <w:rPr>
          <w:rFonts w:ascii="Arial" w:hAnsi="Arial" w:cs="Arial" w:eastAsia="Arial" w:hint="default"/>
          <w:spacing w:val="-20"/>
        </w:rPr>
        <w:t> </w:t>
      </w:r>
      <w:r>
        <w:rPr>
          <w:w w:val="100"/>
        </w:rPr>
        <w:t>年</w:t>
      </w:r>
      <w:r>
        <w:rPr>
          <w:spacing w:val="-69"/>
        </w:rPr>
        <w:t> </w:t>
      </w:r>
      <w:r>
        <w:rPr>
          <w:rFonts w:ascii="Arial" w:hAnsi="Arial" w:cs="Arial" w:eastAsia="Arial" w:hint="default"/>
          <w:w w:val="100"/>
        </w:rPr>
        <w:t>4</w:t>
      </w:r>
      <w:r>
        <w:rPr>
          <w:rFonts w:ascii="Arial" w:hAnsi="Arial" w:cs="Arial" w:eastAsia="Arial" w:hint="default"/>
          <w:spacing w:val="-23"/>
        </w:rPr>
        <w:t> </w:t>
      </w:r>
      <w:r>
        <w:rPr>
          <w:w w:val="100"/>
        </w:rPr>
        <w:t>月</w:t>
      </w:r>
      <w:r>
        <w:rPr>
          <w:spacing w:val="-67"/>
        </w:rPr>
        <w:t> </w:t>
      </w:r>
      <w:r>
        <w:rPr>
          <w:rFonts w:ascii="Arial" w:hAnsi="Arial" w:cs="Arial" w:eastAsia="Arial" w:hint="default"/>
          <w:spacing w:val="-3"/>
          <w:w w:val="100"/>
        </w:rPr>
        <w:t>3</w:t>
      </w:r>
      <w:r>
        <w:rPr>
          <w:rFonts w:ascii="Arial" w:hAnsi="Arial" w:cs="Arial" w:eastAsia="Arial" w:hint="default"/>
          <w:w w:val="100"/>
        </w:rPr>
        <w:t>0</w:t>
      </w:r>
      <w:r>
        <w:rPr>
          <w:rFonts w:ascii="Arial" w:hAnsi="Arial" w:cs="Arial" w:eastAsia="Arial" w:hint="default"/>
          <w:spacing w:val="-22"/>
        </w:rPr>
        <w:t> </w:t>
      </w:r>
      <w:r>
        <w:rPr>
          <w:w w:val="100"/>
        </w:rPr>
        <w:t>日发</w:t>
      </w:r>
      <w:r>
        <w:rPr>
          <w:spacing w:val="-3"/>
          <w:w w:val="100"/>
        </w:rPr>
        <w:t>布</w:t>
      </w:r>
      <w:r>
        <w:rPr>
          <w:spacing w:val="-106"/>
          <w:w w:val="100"/>
        </w:rPr>
        <w:t>了</w:t>
      </w:r>
      <w:r>
        <w:rPr>
          <w:spacing w:val="-3"/>
          <w:w w:val="100"/>
        </w:rPr>
        <w:t>《</w:t>
      </w:r>
      <w:r>
        <w:rPr>
          <w:w w:val="100"/>
        </w:rPr>
        <w:t>关</w:t>
      </w:r>
      <w:r>
        <w:rPr>
          <w:spacing w:val="-3"/>
          <w:w w:val="100"/>
        </w:rPr>
        <w:t>于</w:t>
      </w:r>
      <w:r>
        <w:rPr>
          <w:w w:val="100"/>
        </w:rPr>
        <w:t>修</w:t>
      </w:r>
      <w:r>
        <w:rPr>
          <w:spacing w:val="-3"/>
          <w:w w:val="100"/>
        </w:rPr>
        <w:t>订</w:t>
      </w:r>
      <w:r>
        <w:rPr>
          <w:w w:val="100"/>
        </w:rPr>
        <w:t>印发</w:t>
      </w:r>
      <w:r>
        <w:rPr>
          <w:spacing w:val="-70"/>
        </w:rPr>
        <w:t> </w:t>
      </w:r>
      <w:r>
        <w:rPr>
          <w:rFonts w:ascii="Arial" w:hAnsi="Arial" w:cs="Arial" w:eastAsia="Arial" w:hint="default"/>
          <w:spacing w:val="-3"/>
          <w:w w:val="100"/>
        </w:rPr>
        <w:t>2</w:t>
      </w:r>
      <w:r>
        <w:rPr>
          <w:rFonts w:ascii="Arial" w:hAnsi="Arial" w:cs="Arial" w:eastAsia="Arial" w:hint="default"/>
          <w:w w:val="100"/>
        </w:rPr>
        <w:t>019</w:t>
      </w:r>
      <w:r>
        <w:rPr>
          <w:rFonts w:ascii="Arial" w:hAnsi="Arial" w:cs="Arial" w:eastAsia="Arial" w:hint="default"/>
          <w:spacing w:val="-22"/>
        </w:rPr>
        <w:t> </w:t>
      </w:r>
      <w:r>
        <w:rPr>
          <w:w w:val="100"/>
        </w:rPr>
        <w:t>年</w:t>
      </w:r>
      <w:r>
        <w:rPr>
          <w:spacing w:val="-3"/>
          <w:w w:val="100"/>
        </w:rPr>
        <w:t>度</w:t>
      </w:r>
      <w:r>
        <w:rPr>
          <w:w w:val="100"/>
        </w:rPr>
        <w:t>一</w:t>
      </w:r>
      <w:r>
        <w:rPr>
          <w:spacing w:val="-3"/>
          <w:w w:val="100"/>
        </w:rPr>
        <w:t>般</w:t>
      </w:r>
      <w:r>
        <w:rPr>
          <w:w w:val="100"/>
        </w:rPr>
        <w:t>企</w:t>
      </w:r>
      <w:r>
        <w:rPr>
          <w:spacing w:val="-3"/>
          <w:w w:val="100"/>
        </w:rPr>
        <w:t>业</w:t>
      </w:r>
      <w:r>
        <w:rPr>
          <w:w w:val="100"/>
        </w:rPr>
        <w:t>财</w:t>
      </w:r>
      <w:r>
        <w:rPr>
          <w:spacing w:val="-3"/>
          <w:w w:val="100"/>
        </w:rPr>
        <w:t>务报</w:t>
      </w:r>
      <w:r>
        <w:rPr>
          <w:w w:val="100"/>
        </w:rPr>
        <w:t>表格</w:t>
      </w:r>
      <w:r>
        <w:rPr>
          <w:spacing w:val="-3"/>
          <w:w w:val="100"/>
        </w:rPr>
        <w:t>式</w:t>
      </w:r>
      <w:r>
        <w:rPr>
          <w:w w:val="100"/>
        </w:rPr>
        <w:t>的</w:t>
      </w:r>
      <w:r>
        <w:rPr>
          <w:spacing w:val="-3"/>
          <w:w w:val="100"/>
        </w:rPr>
        <w:t>通</w:t>
      </w:r>
      <w:r>
        <w:rPr>
          <w:w w:val="100"/>
        </w:rPr>
        <w:t>知》</w:t>
      </w:r>
    </w:p>
    <w:p>
      <w:pPr>
        <w:pStyle w:val="BodyText"/>
        <w:spacing w:line="264" w:lineRule="auto" w:before="32"/>
        <w:ind w:left="597" w:right="3128" w:hanging="421"/>
        <w:jc w:val="left"/>
      </w:pPr>
      <w:r>
        <w:rPr/>
        <w:pict>
          <v:group style="position:absolute;margin-left:199.369995pt;margin-top:85.263672pt;width:156.5pt;height:27.25pt;mso-position-horizontal-relative:page;mso-position-vertical-relative:paragraph;z-index:-941632" coordorigin="3987,1705" coordsize="3130,545">
            <v:group style="position:absolute;left:3987;top:1705;width:3130;height:274" coordorigin="3987,1705" coordsize="3130,274">
              <v:shape style="position:absolute;left:3987;top:1705;width:3130;height:274" coordorigin="3987,1705" coordsize="3130,274" path="m3987,1979l7117,1979,7117,1705,3987,1705,3987,1979xe" filled="true" fillcolor="#ffffff" stroked="false">
                <v:path arrowok="t"/>
                <v:fill type="solid"/>
              </v:shape>
            </v:group>
            <v:group style="position:absolute;left:3987;top:1979;width:3130;height:272" coordorigin="3987,1979" coordsize="3130,272">
              <v:shape style="position:absolute;left:3987;top:1979;width:3130;height:272" coordorigin="3987,1979" coordsize="3130,272" path="m3987,2250l7117,2250,7117,1979,3987,1979,3987,2250xe" filled="true" fillcolor="#ffffff" stroked="false">
                <v:path arrowok="t"/>
                <v:fill type="solid"/>
              </v:shape>
            </v:group>
            <w10:wrap type="none"/>
          </v:group>
        </w:pict>
      </w:r>
      <w:r>
        <w:rPr/>
        <w:t>（财会〔</w:t>
      </w:r>
      <w:r>
        <w:rPr>
          <w:rFonts w:ascii="Arial" w:hAnsi="Arial" w:cs="Arial" w:eastAsia="Arial" w:hint="default"/>
        </w:rPr>
        <w:t>2019</w:t>
      </w:r>
      <w:r>
        <w:rPr/>
        <w:t>〕</w:t>
      </w:r>
      <w:r>
        <w:rPr>
          <w:rFonts w:ascii="Arial" w:hAnsi="Arial" w:cs="Arial" w:eastAsia="Arial" w:hint="default"/>
        </w:rPr>
        <w:t>6</w:t>
      </w:r>
      <w:r>
        <w:rPr>
          <w:rFonts w:ascii="Arial" w:hAnsi="Arial" w:cs="Arial" w:eastAsia="Arial" w:hint="default"/>
          <w:spacing w:val="-10"/>
        </w:rPr>
        <w:t> </w:t>
      </w:r>
      <w:r>
        <w:rPr/>
        <w:t>号），对一般企业财务报表格式进行了修订。</w:t>
      </w:r>
      <w:r>
        <w:rPr>
          <w:w w:val="100"/>
        </w:rPr>
        <w:t> </w:t>
      </w:r>
      <w:r>
        <w:rPr/>
        <w:t>修订财务报表格式主要影响如下：</w:t>
      </w:r>
    </w:p>
    <w:tbl>
      <w:tblPr>
        <w:tblW w:w="0" w:type="auto"/>
        <w:jc w:val="left"/>
        <w:tblInd w:w="119" w:type="dxa"/>
        <w:tblLayout w:type="fixed"/>
        <w:tblCellMar>
          <w:top w:w="0" w:type="dxa"/>
          <w:left w:w="0" w:type="dxa"/>
          <w:bottom w:w="0" w:type="dxa"/>
          <w:right w:w="0" w:type="dxa"/>
        </w:tblCellMar>
        <w:tblLook w:val="01E0"/>
      </w:tblPr>
      <w:tblGrid>
        <w:gridCol w:w="2724"/>
        <w:gridCol w:w="3174"/>
        <w:gridCol w:w="2993"/>
      </w:tblGrid>
      <w:tr>
        <w:trPr>
          <w:trHeight w:val="384" w:hRule="exact"/>
        </w:trPr>
        <w:tc>
          <w:tcPr>
            <w:tcW w:w="2724" w:type="dxa"/>
            <w:vMerge w:val="restart"/>
            <w:tcBorders>
              <w:top w:val="single" w:sz="23" w:space="0" w:color="41B7EE"/>
              <w:left w:val="nil" w:sz="6" w:space="0" w:color="auto"/>
              <w:right w:val="single" w:sz="4" w:space="0" w:color="41B7EE"/>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4"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6168" w:type="dxa"/>
            <w:gridSpan w:val="2"/>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2022" w:right="0"/>
              <w:jc w:val="left"/>
              <w:rPr>
                <w:rFonts w:ascii="宋体" w:hAnsi="宋体" w:cs="宋体" w:eastAsia="宋体" w:hint="default"/>
                <w:sz w:val="21"/>
                <w:szCs w:val="21"/>
              </w:rPr>
            </w:pPr>
            <w:r>
              <w:rPr>
                <w:rFonts w:ascii="宋体" w:hAnsi="宋体" w:cs="宋体" w:eastAsia="宋体" w:hint="default"/>
                <w:sz w:val="21"/>
                <w:szCs w:val="21"/>
              </w:rPr>
              <w:t>受影响的报表项目名称</w:t>
            </w:r>
          </w:p>
        </w:tc>
      </w:tr>
      <w:tr>
        <w:trPr>
          <w:trHeight w:val="358" w:hRule="exact"/>
        </w:trPr>
        <w:tc>
          <w:tcPr>
            <w:tcW w:w="2724" w:type="dxa"/>
            <w:vMerge/>
            <w:tcBorders>
              <w:left w:val="nil" w:sz="6" w:space="0" w:color="auto"/>
              <w:bottom w:val="single" w:sz="4" w:space="0" w:color="41B7EE"/>
              <w:right w:val="single" w:sz="4" w:space="0" w:color="41B7EE"/>
            </w:tcBorders>
          </w:tcPr>
          <w:p>
            <w:pPr/>
          </w:p>
        </w:tc>
        <w:tc>
          <w:tcPr>
            <w:tcW w:w="317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right="9"/>
              <w:jc w:val="center"/>
              <w:rPr>
                <w:rFonts w:ascii="宋体" w:hAnsi="宋体" w:cs="宋体" w:eastAsia="宋体" w:hint="default"/>
                <w:sz w:val="21"/>
                <w:szCs w:val="21"/>
              </w:rPr>
            </w:pPr>
            <w:r>
              <w:rPr>
                <w:rFonts w:ascii="宋体" w:hAnsi="宋体" w:cs="宋体" w:eastAsia="宋体" w:hint="default"/>
                <w:sz w:val="21"/>
                <w:szCs w:val="21"/>
              </w:rPr>
              <w:t>合并报表</w:t>
            </w:r>
          </w:p>
        </w:tc>
        <w:tc>
          <w:tcPr>
            <w:tcW w:w="299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964" w:right="0"/>
              <w:jc w:val="left"/>
              <w:rPr>
                <w:rFonts w:ascii="宋体" w:hAnsi="宋体" w:cs="宋体" w:eastAsia="宋体" w:hint="default"/>
                <w:sz w:val="21"/>
                <w:szCs w:val="21"/>
              </w:rPr>
            </w:pPr>
            <w:r>
              <w:rPr>
                <w:rFonts w:ascii="宋体" w:hAnsi="宋体" w:cs="宋体" w:eastAsia="宋体" w:hint="default"/>
                <w:sz w:val="21"/>
                <w:szCs w:val="21"/>
              </w:rPr>
              <w:t>母公司报表</w:t>
            </w:r>
          </w:p>
        </w:tc>
      </w:tr>
      <w:tr>
        <w:trPr>
          <w:trHeight w:val="1371" w:hRule="exact"/>
        </w:trPr>
        <w:tc>
          <w:tcPr>
            <w:tcW w:w="2724" w:type="dxa"/>
            <w:tcBorders>
              <w:top w:val="single" w:sz="4" w:space="0" w:color="41B7EE"/>
              <w:left w:val="nil" w:sz="6" w:space="0" w:color="auto"/>
              <w:bottom w:val="single" w:sz="4" w:space="0" w:color="41B7EE"/>
              <w:right w:val="single" w:sz="9" w:space="0" w:color="FFFFFF"/>
            </w:tcBorders>
          </w:tcPr>
          <w:p>
            <w:pPr>
              <w:pStyle w:val="TableParagraph"/>
              <w:spacing w:line="237" w:lineRule="auto" w:before="105"/>
              <w:ind w:left="28" w:right="-50"/>
              <w:jc w:val="left"/>
              <w:rPr>
                <w:rFonts w:ascii="宋体" w:hAnsi="宋体" w:cs="宋体" w:eastAsia="宋体" w:hint="default"/>
                <w:sz w:val="21"/>
                <w:szCs w:val="21"/>
              </w:rPr>
            </w:pPr>
            <w:r>
              <w:rPr>
                <w:rFonts w:ascii="宋体" w:hAnsi="宋体" w:cs="宋体" w:eastAsia="宋体" w:hint="default"/>
                <w:spacing w:val="-8"/>
                <w:sz w:val="21"/>
                <w:szCs w:val="21"/>
              </w:rPr>
              <w:t>资产负债表中“应收票据及应</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收账款”拆分为“应收票据”</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8"/>
                <w:sz w:val="21"/>
                <w:szCs w:val="21"/>
              </w:rPr>
              <w:t>和“应收账款”列示，比较数</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据相应调整。</w:t>
            </w:r>
          </w:p>
        </w:tc>
        <w:tc>
          <w:tcPr>
            <w:tcW w:w="3174" w:type="dxa"/>
            <w:tcBorders>
              <w:top w:val="single" w:sz="4" w:space="0" w:color="41B7EE"/>
              <w:left w:val="single" w:sz="9" w:space="0" w:color="FFFFFF"/>
              <w:bottom w:val="single" w:sz="4" w:space="0" w:color="41B7EE"/>
              <w:right w:val="single" w:sz="4" w:space="0" w:color="41B7EE"/>
            </w:tcBorders>
          </w:tcPr>
          <w:p>
            <w:pPr>
              <w:pStyle w:val="TableParagraph"/>
              <w:spacing w:line="239"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“应收票据及应收账款”拆分为</w:t>
            </w:r>
          </w:p>
          <w:p>
            <w:pPr>
              <w:pStyle w:val="TableParagraph"/>
              <w:spacing w:line="237" w:lineRule="auto"/>
              <w:ind w:left="4" w:right="17"/>
              <w:jc w:val="left"/>
              <w:rPr>
                <w:rFonts w:ascii="宋体" w:hAnsi="宋体" w:cs="宋体" w:eastAsia="宋体" w:hint="default"/>
                <w:sz w:val="21"/>
                <w:szCs w:val="21"/>
              </w:rPr>
            </w:pPr>
            <w:r>
              <w:rPr>
                <w:rFonts w:ascii="宋体" w:hAnsi="宋体" w:cs="宋体" w:eastAsia="宋体" w:hint="default"/>
                <w:spacing w:val="-16"/>
                <w:w w:val="100"/>
                <w:sz w:val="21"/>
                <w:szCs w:val="21"/>
              </w:rPr>
              <w:t>“应收票据”和“应收账款”，“应</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收票据”上年年末余额</w:t>
            </w:r>
            <w:r>
              <w:rPr>
                <w:rFonts w:ascii="宋体" w:hAnsi="宋体" w:cs="宋体" w:eastAsia="宋体" w:hint="default"/>
                <w:w w:val="100"/>
                <w:sz w:val="21"/>
                <w:szCs w:val="21"/>
              </w:rPr>
              <w:t> </w:t>
            </w:r>
            <w:r>
              <w:rPr>
                <w:rFonts w:ascii="Arial" w:hAnsi="Arial" w:cs="Arial" w:eastAsia="Arial" w:hint="default"/>
                <w:sz w:val="21"/>
                <w:szCs w:val="21"/>
              </w:rPr>
              <w:t>2,438,073.71</w:t>
            </w:r>
            <w:r>
              <w:rPr>
                <w:rFonts w:ascii="Arial" w:hAnsi="Arial" w:cs="Arial" w:eastAsia="Arial" w:hint="default"/>
                <w:spacing w:val="9"/>
                <w:sz w:val="21"/>
                <w:szCs w:val="21"/>
              </w:rPr>
              <w:t> </w:t>
            </w:r>
            <w:r>
              <w:rPr>
                <w:rFonts w:ascii="宋体" w:hAnsi="宋体" w:cs="宋体" w:eastAsia="宋体" w:hint="default"/>
                <w:spacing w:val="-6"/>
                <w:sz w:val="21"/>
                <w:szCs w:val="21"/>
              </w:rPr>
              <w:t>元，“应收账款”上</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年年末余额</w:t>
            </w:r>
            <w:r>
              <w:rPr>
                <w:rFonts w:ascii="宋体" w:hAnsi="宋体" w:cs="宋体" w:eastAsia="宋体" w:hint="default"/>
                <w:spacing w:val="-54"/>
                <w:sz w:val="21"/>
                <w:szCs w:val="21"/>
              </w:rPr>
              <w:t> </w:t>
            </w:r>
            <w:r>
              <w:rPr>
                <w:rFonts w:ascii="Arial" w:hAnsi="Arial" w:cs="Arial" w:eastAsia="Arial" w:hint="default"/>
                <w:sz w:val="21"/>
                <w:szCs w:val="21"/>
              </w:rPr>
              <w:t>18,890,201.75</w:t>
            </w:r>
            <w:r>
              <w:rPr>
                <w:rFonts w:ascii="Arial" w:hAnsi="Arial" w:cs="Arial" w:eastAsia="Arial" w:hint="default"/>
                <w:spacing w:val="-7"/>
                <w:sz w:val="21"/>
                <w:szCs w:val="21"/>
              </w:rPr>
              <w:t> </w:t>
            </w:r>
            <w:r>
              <w:rPr>
                <w:rFonts w:ascii="宋体" w:hAnsi="宋体" w:cs="宋体" w:eastAsia="宋体" w:hint="default"/>
                <w:sz w:val="21"/>
                <w:szCs w:val="21"/>
              </w:rPr>
              <w:t>元。</w:t>
            </w:r>
          </w:p>
        </w:tc>
        <w:tc>
          <w:tcPr>
            <w:tcW w:w="2993" w:type="dxa"/>
            <w:tcBorders>
              <w:top w:val="single" w:sz="4" w:space="0" w:color="41B7EE"/>
              <w:left w:val="single" w:sz="4" w:space="0" w:color="41B7EE"/>
              <w:bottom w:val="single" w:sz="4" w:space="0" w:color="41B7EE"/>
              <w:right w:val="nil" w:sz="6" w:space="0" w:color="auto"/>
            </w:tcBorders>
          </w:tcPr>
          <w:p>
            <w:pPr>
              <w:pStyle w:val="TableParagraph"/>
              <w:spacing w:line="237" w:lineRule="auto" w:before="105"/>
              <w:ind w:left="23" w:right="17"/>
              <w:jc w:val="left"/>
              <w:rPr>
                <w:rFonts w:ascii="宋体" w:hAnsi="宋体" w:cs="宋体" w:eastAsia="宋体" w:hint="default"/>
                <w:sz w:val="21"/>
                <w:szCs w:val="21"/>
              </w:rPr>
            </w:pPr>
            <w:r>
              <w:rPr>
                <w:rFonts w:ascii="宋体" w:hAnsi="宋体" w:cs="宋体" w:eastAsia="宋体" w:hint="default"/>
                <w:spacing w:val="-2"/>
                <w:sz w:val="21"/>
                <w:szCs w:val="21"/>
              </w:rPr>
              <w:t>“应收票据及应收账款”拆分为</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2"/>
                <w:sz w:val="21"/>
                <w:szCs w:val="21"/>
              </w:rPr>
              <w:t>“应收票据”和“应收账款”，</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“应收账款”上年年末余额</w:t>
            </w:r>
            <w:r>
              <w:rPr>
                <w:rFonts w:ascii="宋体" w:hAnsi="宋体" w:cs="宋体" w:eastAsia="宋体" w:hint="default"/>
                <w:w w:val="100"/>
                <w:sz w:val="21"/>
                <w:szCs w:val="21"/>
              </w:rPr>
              <w:t> </w:t>
            </w:r>
            <w:r>
              <w:rPr>
                <w:rFonts w:ascii="Arial" w:hAnsi="Arial" w:cs="Arial" w:eastAsia="Arial" w:hint="default"/>
                <w:sz w:val="21"/>
                <w:szCs w:val="21"/>
              </w:rPr>
              <w:t>194,108.00</w:t>
            </w:r>
            <w:r>
              <w:rPr>
                <w:rFonts w:ascii="Arial" w:hAnsi="Arial" w:cs="Arial" w:eastAsia="Arial" w:hint="default"/>
                <w:spacing w:val="-4"/>
                <w:sz w:val="21"/>
                <w:szCs w:val="21"/>
              </w:rPr>
              <w:t> </w:t>
            </w:r>
            <w:r>
              <w:rPr>
                <w:rFonts w:ascii="宋体" w:hAnsi="宋体" w:cs="宋体" w:eastAsia="宋体" w:hint="default"/>
                <w:sz w:val="21"/>
                <w:szCs w:val="21"/>
              </w:rPr>
              <w:t>元。</w:t>
            </w:r>
          </w:p>
        </w:tc>
      </w:tr>
      <w:tr>
        <w:trPr>
          <w:trHeight w:val="1106" w:hRule="exact"/>
        </w:trPr>
        <w:tc>
          <w:tcPr>
            <w:tcW w:w="2724" w:type="dxa"/>
            <w:tcBorders>
              <w:top w:val="single" w:sz="4" w:space="0" w:color="41B7EE"/>
              <w:left w:val="nil" w:sz="6" w:space="0" w:color="auto"/>
              <w:bottom w:val="single" w:sz="8" w:space="0" w:color="41B7EE"/>
              <w:right w:val="single" w:sz="9" w:space="0" w:color="FFFFFF"/>
            </w:tcBorders>
          </w:tcPr>
          <w:p>
            <w:pPr>
              <w:pStyle w:val="TableParagraph"/>
              <w:spacing w:line="237" w:lineRule="auto" w:before="105"/>
              <w:ind w:left="28" w:right="24"/>
              <w:jc w:val="left"/>
              <w:rPr>
                <w:rFonts w:ascii="宋体" w:hAnsi="宋体" w:cs="宋体" w:eastAsia="宋体" w:hint="default"/>
                <w:sz w:val="21"/>
                <w:szCs w:val="21"/>
              </w:rPr>
            </w:pPr>
            <w:r>
              <w:rPr>
                <w:rFonts w:ascii="宋体" w:hAnsi="宋体" w:cs="宋体" w:eastAsia="宋体" w:hint="default"/>
                <w:spacing w:val="-8"/>
                <w:sz w:val="21"/>
                <w:szCs w:val="21"/>
              </w:rPr>
              <w:t>“应付票据及应付账款”拆分</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16"/>
                <w:sz w:val="21"/>
                <w:szCs w:val="21"/>
              </w:rPr>
              <w:t>为“应付票据”和“应付账款</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列示，比较数据相应调整。</w:t>
            </w:r>
          </w:p>
        </w:tc>
        <w:tc>
          <w:tcPr>
            <w:tcW w:w="3174" w:type="dxa"/>
            <w:tcBorders>
              <w:top w:val="single" w:sz="4" w:space="0" w:color="41B7EE"/>
              <w:left w:val="single" w:sz="9" w:space="0" w:color="FFFFFF"/>
              <w:bottom w:val="single" w:sz="8" w:space="0" w:color="41B7EE"/>
              <w:right w:val="single" w:sz="4" w:space="0" w:color="41B7EE"/>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“应付票据及应付账款”拆分为</w:t>
            </w:r>
          </w:p>
          <w:p>
            <w:pPr>
              <w:pStyle w:val="TableParagraph"/>
              <w:spacing w:line="120" w:lineRule="auto" w:before="122"/>
              <w:ind w:left="-155" w:right="17" w:firstLine="158"/>
              <w:jc w:val="left"/>
              <w:rPr>
                <w:rFonts w:ascii="宋体" w:hAnsi="宋体" w:cs="宋体" w:eastAsia="宋体" w:hint="default"/>
                <w:sz w:val="21"/>
                <w:szCs w:val="21"/>
              </w:rPr>
            </w:pPr>
            <w:r>
              <w:rPr>
                <w:rFonts w:ascii="宋体" w:hAnsi="宋体" w:cs="宋体" w:eastAsia="宋体" w:hint="default"/>
                <w:spacing w:val="-16"/>
                <w:w w:val="100"/>
                <w:sz w:val="21"/>
                <w:szCs w:val="21"/>
              </w:rPr>
              <w:t>“应付票据”和“应付账款”，“应</w:t>
            </w:r>
            <w:r>
              <w:rPr>
                <w:rFonts w:ascii="宋体" w:hAnsi="宋体" w:cs="宋体" w:eastAsia="宋体" w:hint="default"/>
                <w:w w:val="100"/>
                <w:sz w:val="21"/>
                <w:szCs w:val="21"/>
              </w:rPr>
              <w:t> </w:t>
            </w:r>
            <w:r>
              <w:rPr>
                <w:rFonts w:ascii="宋体" w:hAnsi="宋体" w:cs="宋体" w:eastAsia="宋体" w:hint="default"/>
                <w:sz w:val="21"/>
                <w:szCs w:val="21"/>
              </w:rPr>
              <w:t>”</w:t>
            </w:r>
          </w:p>
          <w:p>
            <w:pPr>
              <w:pStyle w:val="TableParagraph"/>
              <w:spacing w:line="149" w:lineRule="exact"/>
              <w:ind w:left="4" w:right="0"/>
              <w:jc w:val="left"/>
              <w:rPr>
                <w:rFonts w:ascii="宋体" w:hAnsi="宋体" w:cs="宋体" w:eastAsia="宋体" w:hint="default"/>
                <w:sz w:val="21"/>
                <w:szCs w:val="21"/>
              </w:rPr>
            </w:pPr>
            <w:r>
              <w:rPr>
                <w:rFonts w:ascii="宋体" w:hAnsi="宋体" w:cs="宋体" w:eastAsia="宋体" w:hint="default"/>
                <w:sz w:val="21"/>
                <w:szCs w:val="21"/>
              </w:rPr>
              <w:t>付账款”上年年末余额</w:t>
            </w:r>
          </w:p>
          <w:p>
            <w:pPr>
              <w:pStyle w:val="TableParagraph"/>
              <w:spacing w:line="289" w:lineRule="exact"/>
              <w:ind w:left="4" w:right="0"/>
              <w:jc w:val="left"/>
              <w:rPr>
                <w:rFonts w:ascii="宋体" w:hAnsi="宋体" w:cs="宋体" w:eastAsia="宋体" w:hint="default"/>
                <w:sz w:val="21"/>
                <w:szCs w:val="21"/>
              </w:rPr>
            </w:pPr>
            <w:r>
              <w:rPr>
                <w:rFonts w:ascii="Arial" w:hAnsi="Arial" w:cs="Arial" w:eastAsia="Arial" w:hint="default"/>
                <w:sz w:val="21"/>
                <w:szCs w:val="21"/>
              </w:rPr>
              <w:t>139,133,308.98</w:t>
            </w:r>
            <w:r>
              <w:rPr>
                <w:rFonts w:ascii="Arial" w:hAnsi="Arial" w:cs="Arial" w:eastAsia="Arial" w:hint="default"/>
                <w:spacing w:val="-7"/>
                <w:sz w:val="21"/>
                <w:szCs w:val="21"/>
              </w:rPr>
              <w:t> </w:t>
            </w:r>
            <w:r>
              <w:rPr>
                <w:rFonts w:ascii="宋体" w:hAnsi="宋体" w:cs="宋体" w:eastAsia="宋体" w:hint="default"/>
                <w:sz w:val="21"/>
                <w:szCs w:val="21"/>
              </w:rPr>
              <w:t>元。</w:t>
            </w:r>
          </w:p>
        </w:tc>
        <w:tc>
          <w:tcPr>
            <w:tcW w:w="2993" w:type="dxa"/>
            <w:tcBorders>
              <w:top w:val="single" w:sz="4" w:space="0" w:color="41B7EE"/>
              <w:left w:val="single" w:sz="4" w:space="0" w:color="41B7EE"/>
              <w:bottom w:val="single" w:sz="8" w:space="0" w:color="41B7EE"/>
              <w:right w:val="nil" w:sz="6" w:space="0" w:color="auto"/>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“应付票据及应付账款”拆分为</w:t>
            </w:r>
          </w:p>
          <w:p>
            <w:pPr>
              <w:pStyle w:val="TableParagraph"/>
              <w:spacing w:line="237" w:lineRule="auto" w:before="2"/>
              <w:ind w:left="23" w:right="17"/>
              <w:jc w:val="left"/>
              <w:rPr>
                <w:rFonts w:ascii="宋体" w:hAnsi="宋体" w:cs="宋体" w:eastAsia="宋体" w:hint="default"/>
                <w:sz w:val="21"/>
                <w:szCs w:val="21"/>
              </w:rPr>
            </w:pPr>
            <w:r>
              <w:rPr>
                <w:rFonts w:ascii="宋体" w:hAnsi="宋体" w:cs="宋体" w:eastAsia="宋体" w:hint="default"/>
                <w:spacing w:val="-2"/>
                <w:sz w:val="21"/>
                <w:szCs w:val="21"/>
              </w:rPr>
              <w:t>“应付票据”和“应付账款”，</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“应付账款”上年年末余额</w:t>
            </w:r>
            <w:r>
              <w:rPr>
                <w:rFonts w:ascii="宋体" w:hAnsi="宋体" w:cs="宋体" w:eastAsia="宋体" w:hint="default"/>
                <w:w w:val="100"/>
                <w:sz w:val="21"/>
                <w:szCs w:val="21"/>
              </w:rPr>
              <w:t> </w:t>
            </w:r>
            <w:r>
              <w:rPr>
                <w:rFonts w:ascii="Arial" w:hAnsi="Arial" w:cs="Arial" w:eastAsia="Arial" w:hint="default"/>
                <w:sz w:val="21"/>
                <w:szCs w:val="21"/>
              </w:rPr>
              <w:t>53,040,710.54</w:t>
            </w:r>
            <w:r>
              <w:rPr>
                <w:rFonts w:ascii="Arial" w:hAnsi="Arial" w:cs="Arial" w:eastAsia="Arial" w:hint="default"/>
                <w:spacing w:val="-8"/>
                <w:sz w:val="21"/>
                <w:szCs w:val="21"/>
              </w:rPr>
              <w:t> </w:t>
            </w:r>
            <w:r>
              <w:rPr>
                <w:rFonts w:ascii="宋体" w:hAnsi="宋体" w:cs="宋体" w:eastAsia="宋体" w:hint="default"/>
                <w:sz w:val="21"/>
                <w:szCs w:val="21"/>
              </w:rPr>
              <w:t>元。</w:t>
            </w:r>
          </w:p>
        </w:tc>
      </w:tr>
    </w:tbl>
    <w:p>
      <w:pPr>
        <w:spacing w:line="240" w:lineRule="auto" w:before="5"/>
        <w:rPr>
          <w:rFonts w:ascii="宋体" w:hAnsi="宋体" w:cs="宋体" w:eastAsia="宋体" w:hint="default"/>
          <w:sz w:val="2"/>
          <w:szCs w:val="2"/>
        </w:r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2709;height:2" coordorigin="10,10" coordsize="2709,2">
              <v:shape style="position:absolute;left:10;top:10;width:2709;height:2" coordorigin="10,10" coordsize="2709,0" path="m10,10l2718,10e" filled="false" stroked="true" strokeweight=".96002pt" strokecolor="#41b7ee">
                <v:path arrowok="t"/>
              </v:shape>
            </v:group>
            <v:group style="position:absolute;left:2718;top:10;width:58;height:2" coordorigin="2718,10" coordsize="58,2">
              <v:shape style="position:absolute;left:2718;top:10;width:58;height:2" coordorigin="2718,10" coordsize="58,0" path="m2718,10l2775,10e" filled="false" stroked="true" strokeweight=".96002pt" strokecolor="#41b7ee">
                <v:path arrowok="t"/>
              </v:shape>
            </v:group>
            <v:group style="position:absolute;left:2775;top:10;width:3128;height:2" coordorigin="2775,10" coordsize="3128,2">
              <v:shape style="position:absolute;left:2775;top:10;width:3128;height:2" coordorigin="2775,10" coordsize="3128,0" path="m2775,10l5903,10e" filled="false" stroked="true" strokeweight=".96002pt" strokecolor="#41b7ee">
                <v:path arrowok="t"/>
              </v:shape>
            </v:group>
            <v:group style="position:absolute;left:5903;top:10;width:58;height:2" coordorigin="5903,10" coordsize="58,2">
              <v:shape style="position:absolute;left:5903;top:10;width:58;height:2" coordorigin="5903,10" coordsize="58,0" path="m5903,10l5961,10e" filled="false" stroked="true" strokeweight=".96002pt" strokecolor="#41b7ee">
                <v:path arrowok="t"/>
              </v:shape>
            </v:group>
            <v:group style="position:absolute;left:5961;top:10;width:2941;height:2" coordorigin="5961,10" coordsize="2941,2">
              <v:shape style="position:absolute;left:5961;top:10;width:2941;height:2" coordorigin="5961,10" coordsize="2941,0" path="m5961,10l8901,10e" filled="false" stroked="true" strokeweight=".96002pt" strokecolor="#41b7ee">
                <v:path arrowok="t"/>
              </v:shape>
            </v:group>
          </v:group>
        </w:pict>
      </w:r>
      <w:r>
        <w:rPr>
          <w:rFonts w:ascii="宋体" w:hAnsi="宋体" w:cs="宋体" w:eastAsia="宋体" w:hint="default"/>
          <w:sz w:val="2"/>
          <w:szCs w:val="2"/>
        </w:rPr>
      </w:r>
    </w:p>
    <w:p>
      <w:pPr>
        <w:pStyle w:val="Heading2"/>
        <w:spacing w:line="240" w:lineRule="auto" w:before="10"/>
        <w:ind w:left="597" w:right="0"/>
        <w:jc w:val="left"/>
        <w:rPr>
          <w:b w:val="0"/>
          <w:bCs w:val="0"/>
        </w:rPr>
      </w:pPr>
      <w:r>
        <w:rPr/>
        <w:pict>
          <v:group style="position:absolute;margin-left:199.369995pt;margin-top:-43.876324pt;width:156.5pt;height:27.25pt;mso-position-horizontal-relative:page;mso-position-vertical-relative:paragraph;z-index:-941608" coordorigin="3987,-878" coordsize="3130,545">
            <v:group style="position:absolute;left:3987;top:-878;width:3130;height:272" coordorigin="3987,-878" coordsize="3130,272">
              <v:shape style="position:absolute;left:3987;top:-878;width:3130;height:272" coordorigin="3987,-878" coordsize="3130,272" path="m3987,-606l7117,-606,7117,-878,3987,-878,3987,-606xe" filled="true" fillcolor="#ffffff" stroked="false">
                <v:path arrowok="t"/>
                <v:fill type="solid"/>
              </v:shape>
            </v:group>
            <v:group style="position:absolute;left:3987;top:-606;width:3130;height:274" coordorigin="3987,-606" coordsize="3130,274">
              <v:shape style="position:absolute;left:3987;top:-606;width:3130;height:274" coordorigin="3987,-606" coordsize="3130,274" path="m3987,-333l7117,-333,7117,-606,3987,-606,3987,-333xe" filled="true" fillcolor="#ffffff" stroked="false">
                <v:path arrowok="t"/>
                <v:fill type="solid"/>
              </v:shape>
            </v:group>
            <w10:wrap type="none"/>
          </v:group>
        </w:pict>
      </w:r>
      <w:r>
        <w:rPr>
          <w:rFonts w:ascii="宋体" w:hAnsi="宋体" w:cs="宋体" w:eastAsia="宋体" w:hint="default"/>
          <w:b w:val="0"/>
          <w:bCs w:val="0"/>
        </w:rPr>
        <w:t>③</w:t>
      </w:r>
      <w:r>
        <w:rPr/>
        <w:t>执行《企业会计准则第</w:t>
      </w:r>
      <w:r>
        <w:rPr>
          <w:spacing w:val="-54"/>
        </w:rPr>
        <w:t> </w:t>
      </w:r>
      <w:r>
        <w:rPr>
          <w:rFonts w:ascii="Arial" w:hAnsi="Arial" w:cs="Arial" w:eastAsia="Arial" w:hint="default"/>
        </w:rPr>
        <w:t>7</w:t>
      </w:r>
      <w:r>
        <w:rPr>
          <w:rFonts w:ascii="Arial" w:hAnsi="Arial" w:cs="Arial" w:eastAsia="Arial" w:hint="default"/>
          <w:spacing w:val="-7"/>
        </w:rPr>
        <w:t> </w:t>
      </w:r>
      <w:r>
        <w:rPr/>
        <w:t>号</w:t>
      </w:r>
      <w:r>
        <w:rPr>
          <w:rFonts w:ascii="Arial" w:hAnsi="Arial" w:cs="Arial" w:eastAsia="Arial" w:hint="default"/>
          <w:b w:val="0"/>
          <w:bCs w:val="0"/>
        </w:rPr>
        <w:t>——</w:t>
      </w:r>
      <w:r>
        <w:rPr/>
        <w:t>非货币性资产交换》（</w:t>
      </w:r>
      <w:r>
        <w:rPr>
          <w:rFonts w:ascii="Arial" w:hAnsi="Arial" w:cs="Arial" w:eastAsia="Arial" w:hint="default"/>
        </w:rPr>
        <w:t>2019</w:t>
      </w:r>
      <w:r>
        <w:rPr>
          <w:rFonts w:ascii="Arial" w:hAnsi="Arial" w:cs="Arial" w:eastAsia="Arial" w:hint="default"/>
          <w:spacing w:val="-7"/>
        </w:rPr>
        <w:t> </w:t>
      </w:r>
      <w:r>
        <w:rPr/>
        <w:t>修订）</w:t>
      </w:r>
      <w:r>
        <w:rPr>
          <w:b w:val="0"/>
          <w:bCs w:val="0"/>
        </w:rPr>
      </w:r>
    </w:p>
    <w:p>
      <w:pPr>
        <w:pStyle w:val="BodyText"/>
        <w:spacing w:line="240" w:lineRule="auto" w:before="32"/>
        <w:ind w:left="597" w:right="0"/>
        <w:jc w:val="left"/>
      </w:pPr>
      <w:r>
        <w:rPr/>
        <w:t>财政部于</w:t>
      </w:r>
      <w:r>
        <w:rPr>
          <w:spacing w:val="-48"/>
        </w:rPr>
        <w:t> </w:t>
      </w:r>
      <w:r>
        <w:rPr>
          <w:rFonts w:ascii="Arial" w:hAnsi="Arial" w:cs="Arial" w:eastAsia="Arial" w:hint="default"/>
        </w:rPr>
        <w:t>2019</w:t>
      </w:r>
      <w:r>
        <w:rPr>
          <w:rFonts w:ascii="Arial" w:hAnsi="Arial" w:cs="Arial" w:eastAsia="Arial" w:hint="default"/>
          <w:spacing w:val="-1"/>
        </w:rPr>
        <w:t> </w:t>
      </w:r>
      <w:r>
        <w:rPr/>
        <w:t>年</w:t>
      </w:r>
      <w:r>
        <w:rPr>
          <w:spacing w:val="-50"/>
        </w:rPr>
        <w:t> </w:t>
      </w:r>
      <w:r>
        <w:rPr>
          <w:rFonts w:ascii="Arial" w:hAnsi="Arial" w:cs="Arial" w:eastAsia="Arial" w:hint="default"/>
        </w:rPr>
        <w:t>5</w:t>
      </w:r>
      <w:r>
        <w:rPr>
          <w:rFonts w:ascii="Arial" w:hAnsi="Arial" w:cs="Arial" w:eastAsia="Arial" w:hint="default"/>
          <w:spacing w:val="-1"/>
        </w:rPr>
        <w:t> </w:t>
      </w:r>
      <w:r>
        <w:rPr/>
        <w:t>月</w:t>
      </w:r>
      <w:r>
        <w:rPr>
          <w:spacing w:val="-50"/>
        </w:rPr>
        <w:t> </w:t>
      </w:r>
      <w:r>
        <w:rPr>
          <w:rFonts w:ascii="Arial" w:hAnsi="Arial" w:cs="Arial" w:eastAsia="Arial" w:hint="default"/>
        </w:rPr>
        <w:t>9</w:t>
      </w:r>
      <w:r>
        <w:rPr>
          <w:rFonts w:ascii="Arial" w:hAnsi="Arial" w:cs="Arial" w:eastAsia="Arial" w:hint="default"/>
          <w:spacing w:val="-3"/>
        </w:rPr>
        <w:t> </w:t>
      </w:r>
      <w:r>
        <w:rPr>
          <w:spacing w:val="-4"/>
        </w:rPr>
        <w:t>日发布了《企业会计准则第</w:t>
      </w:r>
      <w:r>
        <w:rPr>
          <w:spacing w:val="-48"/>
        </w:rPr>
        <w:t> </w:t>
      </w:r>
      <w:r>
        <w:rPr>
          <w:rFonts w:ascii="Arial" w:hAnsi="Arial" w:cs="Arial" w:eastAsia="Arial" w:hint="default"/>
        </w:rPr>
        <w:t>7</w:t>
      </w:r>
      <w:r>
        <w:rPr>
          <w:rFonts w:ascii="Arial" w:hAnsi="Arial" w:cs="Arial" w:eastAsia="Arial" w:hint="default"/>
          <w:spacing w:val="-3"/>
        </w:rPr>
        <w:t> </w:t>
      </w:r>
      <w:r>
        <w:rPr>
          <w:spacing w:val="-4"/>
        </w:rPr>
        <w:t>号</w:t>
      </w:r>
      <w:r>
        <w:rPr>
          <w:rFonts w:ascii="Arial" w:hAnsi="Arial" w:cs="Arial" w:eastAsia="Arial" w:hint="default"/>
          <w:spacing w:val="-4"/>
        </w:rPr>
        <w:t>——</w:t>
      </w:r>
      <w:r>
        <w:rPr>
          <w:spacing w:val="-4"/>
        </w:rPr>
        <w:t>非货币性资产交换》（</w:t>
      </w:r>
      <w:r>
        <w:rPr>
          <w:rFonts w:ascii="Arial" w:hAnsi="Arial" w:cs="Arial" w:eastAsia="Arial" w:hint="default"/>
          <w:spacing w:val="-4"/>
        </w:rPr>
        <w:t>2019</w:t>
      </w:r>
      <w:r>
        <w:rPr>
          <w:rFonts w:ascii="Arial" w:hAnsi="Arial" w:cs="Arial" w:eastAsia="Arial" w:hint="default"/>
          <w:spacing w:val="-3"/>
        </w:rPr>
        <w:t> </w:t>
      </w:r>
      <w:r>
        <w:rPr/>
        <w:t>修</w:t>
      </w:r>
    </w:p>
    <w:p>
      <w:pPr>
        <w:pStyle w:val="BodyText"/>
        <w:spacing w:line="240" w:lineRule="auto" w:before="29"/>
        <w:ind w:left="176" w:right="0"/>
        <w:jc w:val="left"/>
      </w:pPr>
      <w:r>
        <w:rPr>
          <w:spacing w:val="-4"/>
        </w:rPr>
        <w:t>订）（财会〔</w:t>
      </w:r>
      <w:r>
        <w:rPr>
          <w:rFonts w:ascii="Arial" w:hAnsi="Arial" w:cs="Arial" w:eastAsia="Arial" w:hint="default"/>
          <w:spacing w:val="-4"/>
        </w:rPr>
        <w:t>2019</w:t>
      </w:r>
      <w:r>
        <w:rPr>
          <w:spacing w:val="-4"/>
        </w:rPr>
        <w:t>〕</w:t>
      </w:r>
      <w:r>
        <w:rPr>
          <w:rFonts w:ascii="Arial" w:hAnsi="Arial" w:cs="Arial" w:eastAsia="Arial" w:hint="default"/>
          <w:spacing w:val="-4"/>
        </w:rPr>
        <w:t>8 </w:t>
      </w:r>
      <w:r>
        <w:rPr>
          <w:spacing w:val="-3"/>
        </w:rPr>
        <w:t>号），修订后的准则自</w:t>
      </w:r>
      <w:r>
        <w:rPr>
          <w:spacing w:val="-48"/>
        </w:rPr>
        <w:t> </w:t>
      </w:r>
      <w:r>
        <w:rPr>
          <w:rFonts w:ascii="Arial" w:hAnsi="Arial" w:cs="Arial" w:eastAsia="Arial" w:hint="default"/>
        </w:rPr>
        <w:t>2019</w:t>
      </w:r>
      <w:r>
        <w:rPr>
          <w:rFonts w:ascii="Arial" w:hAnsi="Arial" w:cs="Arial" w:eastAsia="Arial" w:hint="default"/>
          <w:spacing w:val="-4"/>
        </w:rPr>
        <w:t> </w:t>
      </w:r>
      <w:r>
        <w:rPr/>
        <w:t>年</w:t>
      </w:r>
      <w:r>
        <w:rPr>
          <w:spacing w:val="-49"/>
        </w:rPr>
        <w:t> </w:t>
      </w:r>
      <w:r>
        <w:rPr>
          <w:rFonts w:ascii="Arial" w:hAnsi="Arial" w:cs="Arial" w:eastAsia="Arial" w:hint="default"/>
        </w:rPr>
        <w:t>6</w:t>
      </w:r>
      <w:r>
        <w:rPr>
          <w:rFonts w:ascii="Arial" w:hAnsi="Arial" w:cs="Arial" w:eastAsia="Arial" w:hint="default"/>
          <w:spacing w:val="-4"/>
        </w:rPr>
        <w:t> </w:t>
      </w:r>
      <w:r>
        <w:rPr/>
        <w:t>月</w:t>
      </w:r>
      <w:r>
        <w:rPr>
          <w:spacing w:val="-48"/>
        </w:rPr>
        <w:t> </w:t>
      </w:r>
      <w:r>
        <w:rPr>
          <w:rFonts w:ascii="Arial" w:hAnsi="Arial" w:cs="Arial" w:eastAsia="Arial" w:hint="default"/>
        </w:rPr>
        <w:t>10</w:t>
      </w:r>
      <w:r>
        <w:rPr>
          <w:rFonts w:ascii="Arial" w:hAnsi="Arial" w:cs="Arial" w:eastAsia="Arial" w:hint="default"/>
          <w:spacing w:val="-4"/>
        </w:rPr>
        <w:t> </w:t>
      </w:r>
      <w:r>
        <w:rPr>
          <w:spacing w:val="-3"/>
        </w:rPr>
        <w:t>日起施行，对</w:t>
      </w:r>
      <w:r>
        <w:rPr>
          <w:spacing w:val="-49"/>
        </w:rPr>
        <w:t> </w:t>
      </w:r>
      <w:r>
        <w:rPr>
          <w:rFonts w:ascii="Arial" w:hAnsi="Arial" w:cs="Arial" w:eastAsia="Arial" w:hint="default"/>
        </w:rPr>
        <w:t>2019</w:t>
      </w:r>
      <w:r>
        <w:rPr>
          <w:rFonts w:ascii="Arial" w:hAnsi="Arial" w:cs="Arial" w:eastAsia="Arial" w:hint="default"/>
          <w:spacing w:val="-4"/>
        </w:rPr>
        <w:t> </w:t>
      </w:r>
      <w:r>
        <w:rPr/>
        <w:t>年</w:t>
      </w:r>
      <w:r>
        <w:rPr>
          <w:spacing w:val="-48"/>
        </w:rPr>
        <w:t> </w:t>
      </w:r>
      <w:r>
        <w:rPr>
          <w:rFonts w:ascii="Arial" w:hAnsi="Arial" w:cs="Arial" w:eastAsia="Arial" w:hint="default"/>
        </w:rPr>
        <w:t>1</w:t>
      </w:r>
      <w:r>
        <w:rPr>
          <w:rFonts w:ascii="Arial" w:hAnsi="Arial" w:cs="Arial" w:eastAsia="Arial" w:hint="default"/>
          <w:spacing w:val="-4"/>
        </w:rPr>
        <w:t> </w:t>
      </w:r>
      <w:r>
        <w:rPr/>
        <w:t>月</w:t>
      </w:r>
      <w:r>
        <w:rPr>
          <w:spacing w:val="-49"/>
        </w:rPr>
        <w:t> </w:t>
      </w:r>
      <w:r>
        <w:rPr>
          <w:rFonts w:ascii="Arial" w:hAnsi="Arial" w:cs="Arial" w:eastAsia="Arial" w:hint="default"/>
        </w:rPr>
        <w:t>1</w:t>
      </w:r>
      <w:r>
        <w:rPr>
          <w:rFonts w:ascii="Arial" w:hAnsi="Arial" w:cs="Arial" w:eastAsia="Arial" w:hint="default"/>
          <w:spacing w:val="-4"/>
        </w:rPr>
        <w:t> </w:t>
      </w:r>
      <w:r>
        <w:rPr/>
        <w:t>日至</w:t>
      </w:r>
    </w:p>
    <w:p>
      <w:pPr>
        <w:pStyle w:val="BodyText"/>
        <w:spacing w:line="240" w:lineRule="auto" w:before="29"/>
        <w:ind w:left="176" w:right="0"/>
        <w:jc w:val="left"/>
      </w:pPr>
      <w:r>
        <w:rPr/>
        <w:t>本准则施行日之间发生的非货币性资产交换，应根据本准则进行调整。对</w:t>
      </w:r>
      <w:r>
        <w:rPr>
          <w:spacing w:val="-53"/>
        </w:rPr>
        <w:t> </w:t>
      </w:r>
      <w:r>
        <w:rPr>
          <w:rFonts w:ascii="Arial" w:hAnsi="Arial" w:cs="Arial" w:eastAsia="Arial" w:hint="default"/>
        </w:rPr>
        <w:t>2019</w:t>
      </w:r>
      <w:r>
        <w:rPr>
          <w:rFonts w:ascii="Arial" w:hAnsi="Arial" w:cs="Arial" w:eastAsia="Arial" w:hint="default"/>
          <w:spacing w:val="-6"/>
        </w:rPr>
        <w:t> </w:t>
      </w:r>
      <w:r>
        <w:rPr/>
        <w:t>年</w:t>
      </w:r>
      <w:r>
        <w:rPr>
          <w:spacing w:val="-56"/>
        </w:rPr>
        <w:t> </w:t>
      </w:r>
      <w:r>
        <w:rPr>
          <w:rFonts w:ascii="Arial" w:hAnsi="Arial" w:cs="Arial" w:eastAsia="Arial" w:hint="default"/>
        </w:rPr>
        <w:t>1</w:t>
      </w:r>
      <w:r>
        <w:rPr>
          <w:rFonts w:ascii="Arial" w:hAnsi="Arial" w:cs="Arial" w:eastAsia="Arial" w:hint="default"/>
          <w:spacing w:val="-7"/>
        </w:rPr>
        <w:t> </w:t>
      </w:r>
      <w:r>
        <w:rPr/>
        <w:t>月</w:t>
      </w:r>
      <w:r>
        <w:rPr>
          <w:spacing w:val="-55"/>
        </w:rPr>
        <w:t> </w:t>
      </w:r>
      <w:r>
        <w:rPr>
          <w:rFonts w:ascii="Arial" w:hAnsi="Arial" w:cs="Arial" w:eastAsia="Arial" w:hint="default"/>
        </w:rPr>
        <w:t>1</w:t>
      </w:r>
      <w:r>
        <w:rPr>
          <w:rFonts w:ascii="Arial" w:hAnsi="Arial" w:cs="Arial" w:eastAsia="Arial" w:hint="default"/>
          <w:spacing w:val="-7"/>
        </w:rPr>
        <w:t> </w:t>
      </w:r>
      <w:r>
        <w:rPr/>
        <w:t>日之前</w:t>
      </w:r>
    </w:p>
    <w:p>
      <w:pPr>
        <w:spacing w:after="0" w:line="240" w:lineRule="auto"/>
        <w:jc w:val="left"/>
        <w:sectPr>
          <w:headerReference w:type="default" r:id="rId55"/>
          <w:pgSz w:w="11910" w:h="16840"/>
          <w:pgMar w:header="826" w:footer="1195" w:top="1300" w:bottom="1380" w:left="1100" w:right="1600"/>
        </w:sectPr>
      </w:pPr>
    </w:p>
    <w:p>
      <w:pPr>
        <w:pStyle w:val="BodyText"/>
        <w:spacing w:line="278" w:lineRule="auto" w:before="81"/>
        <w:ind w:left="156" w:right="0"/>
        <w:jc w:val="left"/>
      </w:pPr>
      <w:r>
        <w:rPr/>
        <w:pict>
          <v:group style="position:absolute;margin-left:61.919991pt;margin-top:762.815979pt;width:445.1pt;height:1pt;mso-position-horizontal-relative:page;mso-position-vertical-relative:page;z-index:-941560" coordorigin="1238,15256" coordsize="8902,20">
            <v:group style="position:absolute;left:1248;top:15266;width:3563;height:2" coordorigin="1248,15266" coordsize="3563,2">
              <v:shape style="position:absolute;left:1248;top:15266;width:3563;height:2" coordorigin="1248,15266" coordsize="3563,0" path="m1248,15266l4811,15266e" filled="false" stroked="true" strokeweight=".96002pt" strokecolor="#41b7ee">
                <v:path arrowok="t"/>
              </v:shape>
            </v:group>
            <v:group style="position:absolute;left:4811;top:15266;width:58;height:2" coordorigin="4811,15266" coordsize="58,2">
              <v:shape style="position:absolute;left:4811;top:15266;width:58;height:2" coordorigin="4811,15266" coordsize="58,0" path="m4811,15266l4868,15266e" filled="false" stroked="true" strokeweight=".96002pt" strokecolor="#41b7ee">
                <v:path arrowok="t"/>
              </v:shape>
            </v:group>
            <v:group style="position:absolute;left:4868;top:15266;width:1734;height:2" coordorigin="4868,15266" coordsize="1734,2">
              <v:shape style="position:absolute;left:4868;top:15266;width:1734;height:2" coordorigin="4868,15266" coordsize="1734,0" path="m4868,15266l6601,15266e" filled="false" stroked="true" strokeweight=".96002pt" strokecolor="#41b7ee">
                <v:path arrowok="t"/>
              </v:shape>
            </v:group>
            <v:group style="position:absolute;left:6601;top:15266;width:58;height:2" coordorigin="6601,15266" coordsize="58,2">
              <v:shape style="position:absolute;left:6601;top:15266;width:58;height:2" coordorigin="6601,15266" coordsize="58,0" path="m6601,15266l6659,15266e" filled="false" stroked="true" strokeweight=".96002pt" strokecolor="#41b7ee">
                <v:path arrowok="t"/>
              </v:shape>
            </v:group>
            <v:group style="position:absolute;left:6659;top:15266;width:1704;height:2" coordorigin="6659,15266" coordsize="1704,2">
              <v:shape style="position:absolute;left:6659;top:15266;width:1704;height:2" coordorigin="6659,15266" coordsize="1704,0" path="m6659,15266l8363,15266e" filled="false" stroked="true" strokeweight=".96002pt" strokecolor="#41b7ee">
                <v:path arrowok="t"/>
              </v:shape>
            </v:group>
            <v:group style="position:absolute;left:8363;top:15266;width:58;height:2" coordorigin="8363,15266" coordsize="58,2">
              <v:shape style="position:absolute;left:8363;top:15266;width:58;height:2" coordorigin="8363,15266" coordsize="58,0" path="m8363,15266l8421,15266e" filled="false" stroked="true" strokeweight=".96002pt" strokecolor="#41b7ee">
                <v:path arrowok="t"/>
              </v:shape>
            </v:group>
            <v:group style="position:absolute;left:8421;top:15266;width:1710;height:2" coordorigin="8421,15266" coordsize="1710,2">
              <v:shape style="position:absolute;left:8421;top:15266;width:1710;height:2" coordorigin="8421,15266" coordsize="1710,0" path="m8421,15266l10130,15266e" filled="false" stroked="true" strokeweight=".96002pt" strokecolor="#41b7ee">
                <v:path arrowok="t"/>
              </v:shape>
            </v:group>
            <w10:wrap type="none"/>
          </v:group>
        </w:pict>
      </w:r>
      <w:r>
        <w:rPr>
          <w:spacing w:val="-2"/>
        </w:rPr>
        <w:t>发生的非货币性资产交换，不需要按照本准则的规定进行追溯调整。本公司执行上述准则在本报</w:t>
      </w:r>
      <w:r>
        <w:rPr>
          <w:spacing w:val="-25"/>
        </w:rPr>
        <w:t> </w:t>
      </w:r>
      <w:r>
        <w:rPr>
          <w:spacing w:val="-25"/>
        </w:rPr>
      </w:r>
      <w:r>
        <w:rPr/>
        <w:t>告期内无重大影响。</w:t>
      </w:r>
    </w:p>
    <w:p>
      <w:pPr>
        <w:pStyle w:val="Heading2"/>
        <w:spacing w:line="240" w:lineRule="auto" w:before="13"/>
        <w:ind w:left="577" w:right="0"/>
        <w:jc w:val="left"/>
        <w:rPr>
          <w:b w:val="0"/>
          <w:bCs w:val="0"/>
        </w:rPr>
      </w:pPr>
      <w:r>
        <w:rPr>
          <w:rFonts w:ascii="宋体" w:hAnsi="宋体" w:cs="宋体" w:eastAsia="宋体" w:hint="default"/>
          <w:b w:val="0"/>
          <w:bCs w:val="0"/>
        </w:rPr>
        <w:t>④</w:t>
      </w:r>
      <w:r>
        <w:rPr/>
        <w:t>执行《企业会计准则第</w:t>
      </w:r>
      <w:r>
        <w:rPr>
          <w:spacing w:val="-54"/>
        </w:rPr>
        <w:t> </w:t>
      </w:r>
      <w:r>
        <w:rPr>
          <w:rFonts w:ascii="Arial" w:hAnsi="Arial" w:cs="Arial" w:eastAsia="Arial" w:hint="default"/>
        </w:rPr>
        <w:t>12</w:t>
      </w:r>
      <w:r>
        <w:rPr>
          <w:rFonts w:ascii="Arial" w:hAnsi="Arial" w:cs="Arial" w:eastAsia="Arial" w:hint="default"/>
          <w:spacing w:val="-7"/>
        </w:rPr>
        <w:t> </w:t>
      </w:r>
      <w:r>
        <w:rPr/>
        <w:t>号</w:t>
      </w:r>
      <w:r>
        <w:rPr>
          <w:rFonts w:ascii="Arial" w:hAnsi="Arial" w:cs="Arial" w:eastAsia="Arial" w:hint="default"/>
          <w:b w:val="0"/>
          <w:bCs w:val="0"/>
        </w:rPr>
        <w:t>——</w:t>
      </w:r>
      <w:r>
        <w:rPr/>
        <w:t>债务重组》（</w:t>
      </w:r>
      <w:r>
        <w:rPr>
          <w:rFonts w:ascii="Arial" w:hAnsi="Arial" w:cs="Arial" w:eastAsia="Arial" w:hint="default"/>
        </w:rPr>
        <w:t>2019</w:t>
      </w:r>
      <w:r>
        <w:rPr>
          <w:rFonts w:ascii="Arial" w:hAnsi="Arial" w:cs="Arial" w:eastAsia="Arial" w:hint="default"/>
          <w:spacing w:val="-7"/>
        </w:rPr>
        <w:t> </w:t>
      </w:r>
      <w:r>
        <w:rPr/>
        <w:t>修订）</w:t>
      </w:r>
      <w:r>
        <w:rPr>
          <w:b w:val="0"/>
          <w:bCs w:val="0"/>
        </w:rPr>
      </w:r>
    </w:p>
    <w:p>
      <w:pPr>
        <w:pStyle w:val="BodyText"/>
        <w:spacing w:line="240" w:lineRule="auto" w:before="29"/>
        <w:ind w:left="577" w:right="0"/>
        <w:jc w:val="left"/>
      </w:pPr>
      <w:r>
        <w:rPr>
          <w:w w:val="100"/>
        </w:rPr>
        <w:t>财政</w:t>
      </w:r>
      <w:r>
        <w:rPr>
          <w:spacing w:val="-3"/>
          <w:w w:val="100"/>
        </w:rPr>
        <w:t>部</w:t>
      </w:r>
      <w:r>
        <w:rPr>
          <w:w w:val="100"/>
        </w:rPr>
        <w:t>于</w:t>
      </w:r>
      <w:r>
        <w:rPr>
          <w:spacing w:val="-53"/>
        </w:rPr>
        <w:t> </w:t>
      </w:r>
      <w:r>
        <w:rPr>
          <w:rFonts w:ascii="Arial" w:hAnsi="Arial" w:cs="Arial" w:eastAsia="Arial" w:hint="default"/>
          <w:spacing w:val="-3"/>
          <w:w w:val="100"/>
        </w:rPr>
        <w:t>2</w:t>
      </w:r>
      <w:r>
        <w:rPr>
          <w:rFonts w:ascii="Arial" w:hAnsi="Arial" w:cs="Arial" w:eastAsia="Arial" w:hint="default"/>
          <w:w w:val="100"/>
        </w:rPr>
        <w:t>0</w:t>
      </w:r>
      <w:r>
        <w:rPr>
          <w:rFonts w:ascii="Arial" w:hAnsi="Arial" w:cs="Arial" w:eastAsia="Arial" w:hint="default"/>
          <w:spacing w:val="-3"/>
          <w:w w:val="100"/>
        </w:rPr>
        <w:t>1</w:t>
      </w:r>
      <w:r>
        <w:rPr>
          <w:rFonts w:ascii="Arial" w:hAnsi="Arial" w:cs="Arial" w:eastAsia="Arial" w:hint="default"/>
          <w:w w:val="100"/>
        </w:rPr>
        <w:t>9</w:t>
      </w:r>
      <w:r>
        <w:rPr>
          <w:rFonts w:ascii="Arial" w:hAnsi="Arial" w:cs="Arial" w:eastAsia="Arial" w:hint="default"/>
          <w:spacing w:val="-6"/>
        </w:rPr>
        <w:t> </w:t>
      </w:r>
      <w:r>
        <w:rPr>
          <w:w w:val="100"/>
        </w:rPr>
        <w:t>年</w:t>
      </w:r>
      <w:r>
        <w:rPr>
          <w:spacing w:val="-55"/>
        </w:rPr>
        <w:t> </w:t>
      </w:r>
      <w:r>
        <w:rPr>
          <w:rFonts w:ascii="Arial" w:hAnsi="Arial" w:cs="Arial" w:eastAsia="Arial" w:hint="default"/>
          <w:w w:val="100"/>
        </w:rPr>
        <w:t>5</w:t>
      </w:r>
      <w:r>
        <w:rPr>
          <w:rFonts w:ascii="Arial" w:hAnsi="Arial" w:cs="Arial" w:eastAsia="Arial" w:hint="default"/>
          <w:spacing w:val="-6"/>
        </w:rPr>
        <w:t> </w:t>
      </w:r>
      <w:r>
        <w:rPr>
          <w:w w:val="100"/>
        </w:rPr>
        <w:t>月</w:t>
      </w:r>
      <w:r>
        <w:rPr>
          <w:spacing w:val="-55"/>
        </w:rPr>
        <w:t> </w:t>
      </w:r>
      <w:r>
        <w:rPr>
          <w:rFonts w:ascii="Arial" w:hAnsi="Arial" w:cs="Arial" w:eastAsia="Arial" w:hint="default"/>
          <w:w w:val="100"/>
        </w:rPr>
        <w:t>16</w:t>
      </w:r>
      <w:r>
        <w:rPr>
          <w:rFonts w:ascii="Arial" w:hAnsi="Arial" w:cs="Arial" w:eastAsia="Arial" w:hint="default"/>
          <w:spacing w:val="-8"/>
        </w:rPr>
        <w:t> </w:t>
      </w:r>
      <w:r>
        <w:rPr>
          <w:w w:val="100"/>
        </w:rPr>
        <w:t>日发</w:t>
      </w:r>
      <w:r>
        <w:rPr>
          <w:spacing w:val="-3"/>
          <w:w w:val="100"/>
        </w:rPr>
        <w:t>布</w:t>
      </w:r>
      <w:r>
        <w:rPr>
          <w:spacing w:val="-60"/>
          <w:w w:val="100"/>
        </w:rPr>
        <w:t>了</w:t>
      </w:r>
      <w:r>
        <w:rPr>
          <w:spacing w:val="-3"/>
          <w:w w:val="100"/>
        </w:rPr>
        <w:t>《</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53"/>
        </w:rPr>
        <w:t> </w:t>
      </w:r>
      <w:r>
        <w:rPr>
          <w:rFonts w:ascii="Arial" w:hAnsi="Arial" w:cs="Arial" w:eastAsia="Arial" w:hint="default"/>
          <w:w w:val="100"/>
        </w:rPr>
        <w:t>12</w:t>
      </w:r>
      <w:r>
        <w:rPr>
          <w:rFonts w:ascii="Arial" w:hAnsi="Arial" w:cs="Arial" w:eastAsia="Arial" w:hint="default"/>
          <w:spacing w:val="-8"/>
        </w:rPr>
        <w:t> </w:t>
      </w:r>
      <w:r>
        <w:rPr>
          <w:w w:val="100"/>
        </w:rPr>
        <w:t>号</w:t>
      </w:r>
      <w:r>
        <w:rPr>
          <w:rFonts w:ascii="Arial" w:hAnsi="Arial" w:cs="Arial" w:eastAsia="Arial" w:hint="default"/>
          <w:spacing w:val="-3"/>
          <w:w w:val="100"/>
        </w:rPr>
        <w:t>—</w:t>
      </w:r>
      <w:r>
        <w:rPr>
          <w:rFonts w:ascii="Arial" w:hAnsi="Arial" w:cs="Arial" w:eastAsia="Arial" w:hint="default"/>
          <w:w w:val="100"/>
        </w:rPr>
        <w:t>—</w:t>
      </w:r>
      <w:r>
        <w:rPr>
          <w:spacing w:val="-3"/>
          <w:w w:val="100"/>
        </w:rPr>
        <w:t>债</w:t>
      </w:r>
      <w:r>
        <w:rPr>
          <w:w w:val="100"/>
        </w:rPr>
        <w:t>务</w:t>
      </w:r>
      <w:r>
        <w:rPr>
          <w:spacing w:val="-3"/>
          <w:w w:val="100"/>
        </w:rPr>
        <w:t>重</w:t>
      </w:r>
      <w:r>
        <w:rPr>
          <w:w w:val="100"/>
        </w:rPr>
        <w:t>组</w:t>
      </w:r>
      <w:r>
        <w:rPr>
          <w:spacing w:val="-120"/>
          <w:w w:val="100"/>
        </w:rPr>
        <w:t>》</w:t>
      </w:r>
      <w:r>
        <w:rPr>
          <w:spacing w:val="-3"/>
          <w:w w:val="100"/>
        </w:rPr>
        <w:t>（</w:t>
      </w:r>
      <w:r>
        <w:rPr>
          <w:rFonts w:ascii="Arial" w:hAnsi="Arial" w:cs="Arial" w:eastAsia="Arial" w:hint="default"/>
          <w:spacing w:val="-3"/>
          <w:w w:val="100"/>
        </w:rPr>
        <w:t>2</w:t>
      </w:r>
      <w:r>
        <w:rPr>
          <w:rFonts w:ascii="Arial" w:hAnsi="Arial" w:cs="Arial" w:eastAsia="Arial" w:hint="default"/>
          <w:w w:val="100"/>
        </w:rPr>
        <w:t>019</w:t>
      </w:r>
      <w:r>
        <w:rPr>
          <w:rFonts w:ascii="Arial" w:hAnsi="Arial" w:cs="Arial" w:eastAsia="Arial" w:hint="default"/>
          <w:spacing w:val="-7"/>
        </w:rPr>
        <w:t> </w:t>
      </w:r>
      <w:r>
        <w:rPr>
          <w:w w:val="100"/>
        </w:rPr>
        <w:t>修订</w:t>
      </w:r>
      <w:r>
        <w:rPr>
          <w:spacing w:val="-123"/>
          <w:w w:val="100"/>
        </w:rPr>
        <w:t>）</w:t>
      </w:r>
      <w:r>
        <w:rPr>
          <w:w w:val="100"/>
        </w:rPr>
        <w:t>（财</w:t>
      </w:r>
    </w:p>
    <w:p>
      <w:pPr>
        <w:pStyle w:val="BodyText"/>
        <w:spacing w:line="240" w:lineRule="auto" w:before="29"/>
        <w:ind w:left="156" w:right="0"/>
        <w:jc w:val="left"/>
      </w:pPr>
      <w:r>
        <w:rPr>
          <w:spacing w:val="-3"/>
        </w:rPr>
        <w:t>会〔</w:t>
      </w:r>
      <w:r>
        <w:rPr>
          <w:rFonts w:ascii="Arial" w:hAnsi="Arial" w:cs="Arial" w:eastAsia="Arial" w:hint="default"/>
          <w:spacing w:val="-3"/>
        </w:rPr>
        <w:t>2019</w:t>
      </w:r>
      <w:r>
        <w:rPr>
          <w:spacing w:val="-3"/>
        </w:rPr>
        <w:t>〕</w:t>
      </w:r>
      <w:r>
        <w:rPr>
          <w:rFonts w:ascii="Arial" w:hAnsi="Arial" w:cs="Arial" w:eastAsia="Arial" w:hint="default"/>
          <w:spacing w:val="-3"/>
        </w:rPr>
        <w:t>9</w:t>
      </w:r>
      <w:r>
        <w:rPr>
          <w:rFonts w:ascii="Arial" w:hAnsi="Arial" w:cs="Arial" w:eastAsia="Arial" w:hint="default"/>
          <w:spacing w:val="-5"/>
        </w:rPr>
        <w:t> </w:t>
      </w:r>
      <w:r>
        <w:rPr>
          <w:spacing w:val="-4"/>
        </w:rPr>
        <w:t>号），修订后的准则自</w:t>
      </w:r>
      <w:r>
        <w:rPr>
          <w:spacing w:val="-50"/>
        </w:rPr>
        <w:t> </w:t>
      </w:r>
      <w:r>
        <w:rPr>
          <w:rFonts w:ascii="Arial" w:hAnsi="Arial" w:cs="Arial" w:eastAsia="Arial" w:hint="default"/>
        </w:rPr>
        <w:t>2019</w:t>
      </w:r>
      <w:r>
        <w:rPr>
          <w:rFonts w:ascii="Arial" w:hAnsi="Arial" w:cs="Arial" w:eastAsia="Arial" w:hint="default"/>
          <w:spacing w:val="-5"/>
        </w:rPr>
        <w:t> </w:t>
      </w:r>
      <w:r>
        <w:rPr/>
        <w:t>年</w:t>
      </w:r>
      <w:r>
        <w:rPr>
          <w:spacing w:val="-50"/>
        </w:rPr>
        <w:t> </w:t>
      </w:r>
      <w:r>
        <w:rPr>
          <w:rFonts w:ascii="Arial" w:hAnsi="Arial" w:cs="Arial" w:eastAsia="Arial" w:hint="default"/>
        </w:rPr>
        <w:t>6</w:t>
      </w:r>
      <w:r>
        <w:rPr>
          <w:rFonts w:ascii="Arial" w:hAnsi="Arial" w:cs="Arial" w:eastAsia="Arial" w:hint="default"/>
          <w:spacing w:val="-5"/>
        </w:rPr>
        <w:t> </w:t>
      </w:r>
      <w:r>
        <w:rPr/>
        <w:t>月</w:t>
      </w:r>
      <w:r>
        <w:rPr>
          <w:spacing w:val="-50"/>
        </w:rPr>
        <w:t> </w:t>
      </w:r>
      <w:r>
        <w:rPr>
          <w:rFonts w:ascii="Arial" w:hAnsi="Arial" w:cs="Arial" w:eastAsia="Arial" w:hint="default"/>
        </w:rPr>
        <w:t>17</w:t>
      </w:r>
      <w:r>
        <w:rPr>
          <w:rFonts w:ascii="Arial" w:hAnsi="Arial" w:cs="Arial" w:eastAsia="Arial" w:hint="default"/>
          <w:spacing w:val="-3"/>
        </w:rPr>
        <w:t> </w:t>
      </w:r>
      <w:r>
        <w:rPr>
          <w:spacing w:val="-3"/>
        </w:rPr>
        <w:t>日起施行，对</w:t>
      </w:r>
      <w:r>
        <w:rPr>
          <w:spacing w:val="-50"/>
        </w:rPr>
        <w:t> </w:t>
      </w:r>
      <w:r>
        <w:rPr>
          <w:rFonts w:ascii="Arial" w:hAnsi="Arial" w:cs="Arial" w:eastAsia="Arial" w:hint="default"/>
        </w:rPr>
        <w:t>2019</w:t>
      </w:r>
      <w:r>
        <w:rPr>
          <w:rFonts w:ascii="Arial" w:hAnsi="Arial" w:cs="Arial" w:eastAsia="Arial" w:hint="default"/>
          <w:spacing w:val="-5"/>
        </w:rPr>
        <w:t> </w:t>
      </w:r>
      <w:r>
        <w:rPr/>
        <w:t>年</w:t>
      </w:r>
      <w:r>
        <w:rPr>
          <w:spacing w:val="-52"/>
        </w:rPr>
        <w:t> </w:t>
      </w:r>
      <w:r>
        <w:rPr>
          <w:rFonts w:ascii="Arial" w:hAnsi="Arial" w:cs="Arial" w:eastAsia="Arial" w:hint="default"/>
        </w:rPr>
        <w:t>1</w:t>
      </w:r>
      <w:r>
        <w:rPr>
          <w:rFonts w:ascii="Arial" w:hAnsi="Arial" w:cs="Arial" w:eastAsia="Arial" w:hint="default"/>
          <w:spacing w:val="-5"/>
        </w:rPr>
        <w:t> </w:t>
      </w:r>
      <w:r>
        <w:rPr/>
        <w:t>月</w:t>
      </w:r>
      <w:r>
        <w:rPr>
          <w:spacing w:val="-50"/>
        </w:rPr>
        <w:t> </w:t>
      </w:r>
      <w:r>
        <w:rPr>
          <w:rFonts w:ascii="Arial" w:hAnsi="Arial" w:cs="Arial" w:eastAsia="Arial" w:hint="default"/>
        </w:rPr>
        <w:t>1</w:t>
      </w:r>
      <w:r>
        <w:rPr>
          <w:rFonts w:ascii="Arial" w:hAnsi="Arial" w:cs="Arial" w:eastAsia="Arial" w:hint="default"/>
          <w:spacing w:val="-5"/>
        </w:rPr>
        <w:t> </w:t>
      </w:r>
      <w:r>
        <w:rPr/>
        <w:t>日至本准则施</w:t>
      </w:r>
    </w:p>
    <w:p>
      <w:pPr>
        <w:pStyle w:val="BodyText"/>
        <w:spacing w:line="278" w:lineRule="auto" w:before="32"/>
        <w:ind w:left="156" w:right="0"/>
        <w:jc w:val="left"/>
        <w:rPr>
          <w:rFonts w:ascii="宋体" w:hAnsi="宋体" w:cs="宋体" w:eastAsia="宋体" w:hint="default"/>
        </w:rPr>
      </w:pPr>
      <w:r>
        <w:rPr/>
        <w:t>行日之间发生的债务重组，应根据本准则进行调整。对</w:t>
      </w:r>
      <w:r>
        <w:rPr>
          <w:spacing w:val="-53"/>
        </w:rPr>
        <w:t> </w:t>
      </w:r>
      <w:r>
        <w:rPr>
          <w:rFonts w:ascii="Arial" w:hAnsi="Arial" w:cs="Arial" w:eastAsia="Arial" w:hint="default"/>
        </w:rPr>
        <w:t>2019</w:t>
      </w:r>
      <w:r>
        <w:rPr>
          <w:rFonts w:ascii="Arial" w:hAnsi="Arial" w:cs="Arial" w:eastAsia="Arial" w:hint="default"/>
          <w:spacing w:val="-6"/>
        </w:rPr>
        <w:t> </w:t>
      </w:r>
      <w:r>
        <w:rPr/>
        <w:t>年</w:t>
      </w:r>
      <w:r>
        <w:rPr>
          <w:spacing w:val="-56"/>
        </w:rPr>
        <w:t> </w:t>
      </w:r>
      <w:r>
        <w:rPr>
          <w:rFonts w:ascii="Arial" w:hAnsi="Arial" w:cs="Arial" w:eastAsia="Arial" w:hint="default"/>
        </w:rPr>
        <w:t>1</w:t>
      </w:r>
      <w:r>
        <w:rPr>
          <w:rFonts w:ascii="Arial" w:hAnsi="Arial" w:cs="Arial" w:eastAsia="Arial" w:hint="default"/>
          <w:spacing w:val="-7"/>
        </w:rPr>
        <w:t> </w:t>
      </w:r>
      <w:r>
        <w:rPr/>
        <w:t>月</w:t>
      </w:r>
      <w:r>
        <w:rPr>
          <w:spacing w:val="-56"/>
        </w:rPr>
        <w:t> </w:t>
      </w:r>
      <w:r>
        <w:rPr>
          <w:rFonts w:ascii="Arial" w:hAnsi="Arial" w:cs="Arial" w:eastAsia="Arial" w:hint="default"/>
        </w:rPr>
        <w:t>1</w:t>
      </w:r>
      <w:r>
        <w:rPr>
          <w:rFonts w:ascii="Arial" w:hAnsi="Arial" w:cs="Arial" w:eastAsia="Arial" w:hint="default"/>
          <w:spacing w:val="-7"/>
        </w:rPr>
        <w:t> </w:t>
      </w:r>
      <w:r>
        <w:rPr/>
        <w:t>日之前发生的债务重组，</w:t>
      </w:r>
      <w:r>
        <w:rPr>
          <w:w w:val="100"/>
        </w:rPr>
        <w:t> </w:t>
      </w:r>
      <w:r>
        <w:rPr/>
        <w:t>不需要按照本准则的规定进行追溯调整。本公司执行上述准则在本报告期内无重大影响。</w:t>
      </w:r>
      <w:r>
        <w:rPr>
          <w:w w:val="100"/>
        </w:rPr>
        <w:t> </w:t>
      </w:r>
      <w:r>
        <w:rPr>
          <w:rFonts w:ascii="宋体" w:hAnsi="宋体" w:cs="宋体" w:eastAsia="宋体" w:hint="default"/>
          <w:b/>
          <w:bCs/>
        </w:rPr>
        <w:t>(2).</w:t>
      </w:r>
      <w:r>
        <w:rPr>
          <w:rFonts w:ascii="宋体" w:hAnsi="宋体" w:cs="宋体" w:eastAsia="宋体" w:hint="default"/>
          <w:b/>
          <w:bCs/>
        </w:rPr>
        <w:t>重要会计估计变更</w:t>
      </w:r>
      <w:r>
        <w:rPr>
          <w:rFonts w:ascii="宋体" w:hAnsi="宋体" w:cs="宋体" w:eastAsia="宋体" w:hint="default"/>
          <w:b/>
          <w:bCs/>
          <w:w w:val="99"/>
        </w:rPr>
        <w:t> </w:t>
      </w:r>
      <w:r>
        <w:rPr>
          <w:rFonts w:ascii="宋体" w:hAnsi="宋体" w:cs="宋体" w:eastAsia="宋体" w:hint="default"/>
        </w:rPr>
      </w:r>
    </w:p>
    <w:p>
      <w:pPr>
        <w:pStyle w:val="BodyText"/>
        <w:spacing w:line="240" w:lineRule="auto" w:before="25"/>
        <w:ind w:left="1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74" w:lineRule="exact" w:before="82"/>
        <w:ind w:left="584" w:right="205" w:hanging="428"/>
        <w:jc w:val="left"/>
        <w:rPr>
          <w:rFonts w:ascii="宋体" w:hAnsi="宋体" w:cs="宋体" w:eastAsia="宋体" w:hint="default"/>
          <w:b w:val="0"/>
          <w:bCs w:val="0"/>
        </w:rPr>
      </w:pPr>
      <w:r>
        <w:rPr>
          <w:rFonts w:ascii="宋体" w:hAnsi="宋体" w:cs="宋体" w:eastAsia="宋体" w:hint="default"/>
        </w:rPr>
        <w:t>(3).</w:t>
      </w:r>
      <w:r>
        <w:rPr>
          <w:rFonts w:ascii="Times New Roman" w:hAnsi="Times New Roman" w:cs="Times New Roman" w:eastAsia="Times New Roman" w:hint="default"/>
        </w:rPr>
        <w:t>2019</w:t>
      </w:r>
      <w:r>
        <w:rPr>
          <w:rFonts w:ascii="Times New Roman" w:hAnsi="Times New Roman" w:cs="Times New Roman" w:eastAsia="Times New Roman" w:hint="default"/>
          <w:spacing w:val="32"/>
        </w:rPr>
        <w:t> </w:t>
      </w:r>
      <w:r>
        <w:rPr>
          <w:spacing w:val="-3"/>
        </w:rPr>
        <w:t>年起执行新金融工具准则、新收入准则或新租赁准则调整执行当年年初财务报表相关项</w:t>
      </w:r>
      <w:r>
        <w:rPr>
          <w:spacing w:val="-98"/>
        </w:rPr>
        <w:t> </w:t>
      </w:r>
      <w:r>
        <w:rPr>
          <w:spacing w:val="-98"/>
        </w:rPr>
      </w:r>
      <w:r>
        <w:rPr/>
        <w:t>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1"/>
        <w:ind w:left="1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3654" w:right="3610"/>
        <w:jc w:val="center"/>
        <w:rPr>
          <w:rFonts w:ascii="宋体" w:hAnsi="宋体" w:cs="宋体" w:eastAsia="宋体" w:hint="default"/>
        </w:rPr>
      </w:pPr>
      <w:r>
        <w:rPr/>
        <w:t>合并资产负债表</w:t>
      </w:r>
      <w:r>
        <w:rPr>
          <w:rFonts w:ascii="宋体" w:hAnsi="宋体" w:cs="宋体" w:eastAsia="宋体" w:hint="default"/>
        </w:rPr>
        <w:t> </w:t>
      </w:r>
    </w:p>
    <w:p>
      <w:pPr>
        <w:pStyle w:val="BodyText"/>
        <w:spacing w:line="273" w:lineRule="exact"/>
        <w:ind w:left="0" w:right="108"/>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45.1pt;height:1pt;mso-position-horizontal-relative:char;mso-position-vertical-relative:line" coordorigin="0,0" coordsize="8902,20">
            <v:group style="position:absolute;left:10;top:10;width:3563;height:2" coordorigin="10,10" coordsize="3563,2">
              <v:shape style="position:absolute;left:10;top:10;width:3563;height:2" coordorigin="10,10" coordsize="3563,0" path="m10,10l3572,10e" filled="false" stroked="true" strokeweight=".96002pt" strokecolor="#41b7ee">
                <v:path arrowok="t"/>
              </v:shape>
            </v:group>
            <v:group style="position:absolute;left:3572;top:10;width:58;height:2" coordorigin="3572,10" coordsize="58,2">
              <v:shape style="position:absolute;left:3572;top:10;width:58;height:2" coordorigin="3572,10" coordsize="58,0" path="m3572,10l3630,10e" filled="false" stroked="true" strokeweight=".96002pt" strokecolor="#41b7ee">
                <v:path arrowok="t"/>
              </v:shape>
            </v:group>
            <v:group style="position:absolute;left:3630;top:10;width:1734;height:2" coordorigin="3630,10" coordsize="1734,2">
              <v:shape style="position:absolute;left:3630;top:10;width:1734;height:2" coordorigin="3630,10" coordsize="1734,0" path="m3630,10l5363,10e" filled="false" stroked="true" strokeweight=".96002pt" strokecolor="#41b7ee">
                <v:path arrowok="t"/>
              </v:shape>
            </v:group>
            <v:group style="position:absolute;left:5363;top:10;width:58;height:2" coordorigin="5363,10" coordsize="58,2">
              <v:shape style="position:absolute;left:5363;top:10;width:58;height:2" coordorigin="5363,10" coordsize="58,0" path="m5363,10l5421,10e" filled="false" stroked="true" strokeweight=".96002pt" strokecolor="#41b7ee">
                <v:path arrowok="t"/>
              </v:shape>
            </v:group>
            <v:group style="position:absolute;left:5421;top:10;width:1704;height:2" coordorigin="5421,10" coordsize="1704,2">
              <v:shape style="position:absolute;left:5421;top:10;width:1704;height:2" coordorigin="5421,10" coordsize="1704,0" path="m5421,10l7125,10e" filled="false" stroked="true" strokeweight=".96002pt" strokecolor="#41b7ee">
                <v:path arrowok="t"/>
              </v:shape>
            </v:group>
            <v:group style="position:absolute;left:7125;top:10;width:58;height:2" coordorigin="7125,10" coordsize="58,2">
              <v:shape style="position:absolute;left:7125;top:10;width:58;height:2" coordorigin="7125,10" coordsize="58,0" path="m7125,10l7182,10e" filled="false" stroked="true" strokeweight=".96002pt" strokecolor="#41b7ee">
                <v:path arrowok="t"/>
              </v:shape>
            </v:group>
            <v:group style="position:absolute;left:7182;top:10;width:1710;height:2" coordorigin="7182,10" coordsize="1710,2">
              <v:shape style="position:absolute;left:7182;top:10;width:1710;height:2" coordorigin="7182,10" coordsize="1710,0" path="m7182,10l8891,10e" filled="false" stroked="true" strokeweight=".96002pt" strokecolor="#41b7ee">
                <v:path arrowok="t"/>
              </v:shape>
            </v:group>
          </v:group>
        </w:pict>
      </w:r>
      <w:r>
        <w:rPr>
          <w:rFonts w:ascii="宋体" w:hAnsi="宋体" w:cs="宋体" w:eastAsia="宋体" w:hint="default"/>
          <w:sz w:val="2"/>
          <w:szCs w:val="2"/>
        </w:rPr>
      </w:r>
    </w:p>
    <w:tbl>
      <w:tblPr>
        <w:tblW w:w="0" w:type="auto"/>
        <w:jc w:val="left"/>
        <w:tblInd w:w="128" w:type="dxa"/>
        <w:tblLayout w:type="fixed"/>
        <w:tblCellMar>
          <w:top w:w="0" w:type="dxa"/>
          <w:left w:w="0" w:type="dxa"/>
          <w:bottom w:w="0" w:type="dxa"/>
          <w:right w:w="0" w:type="dxa"/>
        </w:tblCellMar>
        <w:tblLook w:val="01E0"/>
      </w:tblPr>
      <w:tblGrid>
        <w:gridCol w:w="3567"/>
        <w:gridCol w:w="1791"/>
        <w:gridCol w:w="1762"/>
        <w:gridCol w:w="1762"/>
      </w:tblGrid>
      <w:tr>
        <w:trPr>
          <w:trHeight w:val="334" w:hRule="exact"/>
        </w:trPr>
        <w:tc>
          <w:tcPr>
            <w:tcW w:w="3567" w:type="dxa"/>
            <w:tcBorders>
              <w:top w:val="single" w:sz="8" w:space="0" w:color="41B7EE"/>
              <w:left w:val="nil" w:sz="6" w:space="0" w:color="auto"/>
              <w:bottom w:val="single" w:sz="4" w:space="0" w:color="41B7EE"/>
              <w:right w:val="single" w:sz="4" w:space="0" w:color="41B7EE"/>
            </w:tcBorders>
          </w:tcPr>
          <w:p>
            <w:pPr>
              <w:pStyle w:val="TableParagraph"/>
              <w:spacing w:line="262" w:lineRule="exact"/>
              <w:ind w:left="11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91" w:type="dxa"/>
            <w:tcBorders>
              <w:top w:val="single" w:sz="8" w:space="0" w:color="41B7EE"/>
              <w:left w:val="single" w:sz="4" w:space="0" w:color="41B7EE"/>
              <w:bottom w:val="single" w:sz="4" w:space="0" w:color="41B7EE"/>
              <w:right w:val="single" w:sz="4" w:space="0" w:color="41B7EE"/>
            </w:tcBorders>
          </w:tcPr>
          <w:p>
            <w:pPr>
              <w:pStyle w:val="TableParagraph"/>
              <w:spacing w:line="277" w:lineRule="exact"/>
              <w:ind w:right="39"/>
              <w:jc w:val="right"/>
              <w:rPr>
                <w:rFonts w:ascii="宋体" w:hAnsi="宋体" w:cs="宋体" w:eastAsia="宋体" w:hint="default"/>
                <w:sz w:val="21"/>
                <w:szCs w:val="21"/>
              </w:rPr>
            </w:pPr>
            <w:r>
              <w:rPr>
                <w:rFonts w:ascii="Arial" w:hAnsi="Arial" w:cs="Arial" w:eastAsia="Arial" w:hint="default"/>
                <w:spacing w:val="-8"/>
                <w:sz w:val="21"/>
                <w:szCs w:val="21"/>
              </w:rPr>
              <w:t>2018</w:t>
            </w:r>
            <w:r>
              <w:rPr>
                <w:rFonts w:ascii="Arial" w:hAnsi="Arial" w:cs="Arial" w:eastAsia="Arial"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Arial" w:hAnsi="Arial" w:cs="Arial" w:eastAsia="Arial" w:hint="default"/>
                <w:spacing w:val="-5"/>
                <w:sz w:val="21"/>
                <w:szCs w:val="21"/>
              </w:rPr>
              <w:t>12</w:t>
            </w:r>
            <w:r>
              <w:rPr>
                <w:rFonts w:ascii="Arial" w:hAnsi="Arial" w:cs="Arial" w:eastAsia="Arial" w:hint="default"/>
                <w:spacing w:val="-22"/>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Arial" w:hAnsi="Arial" w:cs="Arial" w:eastAsia="Arial" w:hint="default"/>
                <w:spacing w:val="-6"/>
                <w:sz w:val="21"/>
                <w:szCs w:val="21"/>
              </w:rPr>
              <w:t>31</w:t>
            </w:r>
            <w:r>
              <w:rPr>
                <w:rFonts w:ascii="Arial" w:hAnsi="Arial" w:cs="Arial" w:eastAsia="Arial" w:hint="default"/>
                <w:spacing w:val="-22"/>
                <w:sz w:val="21"/>
                <w:szCs w:val="21"/>
              </w:rPr>
              <w:t> </w:t>
            </w:r>
            <w:r>
              <w:rPr>
                <w:rFonts w:ascii="宋体" w:hAnsi="宋体" w:cs="宋体" w:eastAsia="宋体" w:hint="default"/>
                <w:sz w:val="21"/>
                <w:szCs w:val="21"/>
              </w:rPr>
              <w:t>日</w:t>
            </w:r>
          </w:p>
        </w:tc>
        <w:tc>
          <w:tcPr>
            <w:tcW w:w="1762" w:type="dxa"/>
            <w:tcBorders>
              <w:top w:val="single" w:sz="8" w:space="0" w:color="41B7EE"/>
              <w:left w:val="single" w:sz="4" w:space="0" w:color="41B7EE"/>
              <w:bottom w:val="single" w:sz="4" w:space="0" w:color="41B7EE"/>
              <w:right w:val="single" w:sz="4" w:space="0" w:color="41B7EE"/>
            </w:tcBorders>
          </w:tcPr>
          <w:p>
            <w:pPr>
              <w:pStyle w:val="TableParagraph"/>
              <w:spacing w:line="277" w:lineRule="exact"/>
              <w:ind w:right="74"/>
              <w:jc w:val="righ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1762" w:type="dxa"/>
            <w:tcBorders>
              <w:top w:val="single" w:sz="8" w:space="0" w:color="41B7EE"/>
              <w:left w:val="single" w:sz="4" w:space="0" w:color="41B7EE"/>
              <w:bottom w:val="single" w:sz="4" w:space="0" w:color="41B7EE"/>
              <w:right w:val="nil" w:sz="6" w:space="0" w:color="auto"/>
            </w:tcBorders>
          </w:tcPr>
          <w:p>
            <w:pPr>
              <w:pStyle w:val="TableParagraph"/>
              <w:spacing w:line="262" w:lineRule="exact"/>
              <w:ind w:left="556" w:right="0"/>
              <w:jc w:val="left"/>
              <w:rPr>
                <w:rFonts w:ascii="宋体" w:hAnsi="宋体" w:cs="宋体" w:eastAsia="宋体" w:hint="default"/>
                <w:sz w:val="21"/>
                <w:szCs w:val="21"/>
              </w:rPr>
            </w:pPr>
            <w:r>
              <w:rPr>
                <w:rFonts w:ascii="宋体" w:hAnsi="宋体" w:cs="宋体" w:eastAsia="宋体" w:hint="default"/>
                <w:sz w:val="21"/>
                <w:szCs w:val="21"/>
              </w:rPr>
              <w:t>调整数</w:t>
            </w:r>
          </w:p>
        </w:tc>
      </w:tr>
      <w:tr>
        <w:trPr>
          <w:trHeight w:val="322"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流动资产：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91" w:type="dxa"/>
            <w:tcBorders>
              <w:top w:val="single" w:sz="4" w:space="0" w:color="41B7EE"/>
              <w:left w:val="single" w:sz="4" w:space="0" w:color="41B7EE"/>
              <w:bottom w:val="single" w:sz="4" w:space="0" w:color="41B7EE"/>
              <w:right w:val="single" w:sz="4" w:space="0" w:color="41B7EE"/>
            </w:tcBorders>
          </w:tcPr>
          <w:p>
            <w:pPr/>
          </w:p>
        </w:tc>
        <w:tc>
          <w:tcPr>
            <w:tcW w:w="1762" w:type="dxa"/>
            <w:tcBorders>
              <w:top w:val="single" w:sz="4" w:space="0" w:color="41B7EE"/>
              <w:left w:val="single" w:sz="4" w:space="0" w:color="41B7EE"/>
              <w:bottom w:val="single" w:sz="4" w:space="0" w:color="41B7EE"/>
              <w:right w:val="single" w:sz="4" w:space="0" w:color="41B7EE"/>
            </w:tcBorders>
          </w:tcPr>
          <w:p>
            <w:pP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40"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0"/>
              <w:jc w:val="right"/>
              <w:rPr>
                <w:rFonts w:ascii="Arial" w:hAnsi="Arial" w:cs="Arial" w:eastAsia="Arial" w:hint="default"/>
                <w:sz w:val="21"/>
                <w:szCs w:val="21"/>
              </w:rPr>
            </w:pPr>
            <w:r>
              <w:rPr>
                <w:rFonts w:ascii="Arial"/>
                <w:spacing w:val="-1"/>
                <w:sz w:val="21"/>
              </w:rPr>
              <w:t>313,522,154.09</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19"/>
              <w:jc w:val="right"/>
              <w:rPr>
                <w:rFonts w:ascii="Arial" w:hAnsi="Arial" w:cs="Arial" w:eastAsia="Arial" w:hint="default"/>
                <w:sz w:val="21"/>
                <w:szCs w:val="21"/>
              </w:rPr>
            </w:pPr>
            <w:r>
              <w:rPr>
                <w:rFonts w:ascii="Arial"/>
                <w:spacing w:val="-1"/>
                <w:sz w:val="21"/>
              </w:rPr>
              <w:t>313,522,154.09</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40"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19"/>
              <w:jc w:val="right"/>
              <w:rPr>
                <w:rFonts w:ascii="Arial" w:hAnsi="Arial" w:cs="Arial" w:eastAsia="Arial" w:hint="default"/>
                <w:sz w:val="21"/>
                <w:szCs w:val="21"/>
              </w:rPr>
            </w:pPr>
            <w:r>
              <w:rPr>
                <w:rFonts w:ascii="Arial"/>
                <w:spacing w:val="-1"/>
                <w:sz w:val="21"/>
              </w:rPr>
              <w:t>2,145,552,559.11</w:t>
            </w:r>
          </w:p>
        </w:tc>
        <w:tc>
          <w:tcPr>
            <w:tcW w:w="176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27"/>
              <w:jc w:val="right"/>
              <w:rPr>
                <w:rFonts w:ascii="Arial" w:hAnsi="Arial" w:cs="Arial" w:eastAsia="Arial" w:hint="default"/>
                <w:sz w:val="21"/>
                <w:szCs w:val="21"/>
              </w:rPr>
            </w:pPr>
            <w:r>
              <w:rPr>
                <w:rFonts w:ascii="Arial"/>
                <w:spacing w:val="-1"/>
                <w:sz w:val="21"/>
              </w:rPr>
              <w:t>2,145,552,559.11</w:t>
            </w:r>
          </w:p>
        </w:tc>
      </w:tr>
      <w:tr>
        <w:trPr>
          <w:trHeight w:val="322"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40"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0"/>
              <w:jc w:val="right"/>
              <w:rPr>
                <w:rFonts w:ascii="Arial" w:hAnsi="Arial" w:cs="Arial" w:eastAsia="Arial" w:hint="default"/>
                <w:sz w:val="21"/>
                <w:szCs w:val="21"/>
              </w:rPr>
            </w:pPr>
            <w:r>
              <w:rPr>
                <w:rFonts w:ascii="Arial"/>
                <w:spacing w:val="-1"/>
                <w:sz w:val="21"/>
              </w:rPr>
              <w:t>2,438,073.71</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19"/>
              <w:jc w:val="right"/>
              <w:rPr>
                <w:rFonts w:ascii="Arial" w:hAnsi="Arial" w:cs="Arial" w:eastAsia="Arial" w:hint="default"/>
                <w:sz w:val="21"/>
                <w:szCs w:val="21"/>
              </w:rPr>
            </w:pPr>
            <w:r>
              <w:rPr>
                <w:rFonts w:ascii="Arial"/>
                <w:spacing w:val="-1"/>
                <w:sz w:val="21"/>
              </w:rPr>
              <w:t>2,438,073.71</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4"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4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0"/>
              <w:jc w:val="right"/>
              <w:rPr>
                <w:rFonts w:ascii="Arial" w:hAnsi="Arial" w:cs="Arial" w:eastAsia="Arial" w:hint="default"/>
                <w:sz w:val="21"/>
                <w:szCs w:val="21"/>
              </w:rPr>
            </w:pPr>
            <w:r>
              <w:rPr>
                <w:rFonts w:ascii="Arial"/>
                <w:spacing w:val="-1"/>
                <w:sz w:val="21"/>
              </w:rPr>
              <w:t>18,890,201.75</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0"/>
              <w:jc w:val="right"/>
              <w:rPr>
                <w:rFonts w:ascii="Arial" w:hAnsi="Arial" w:cs="Arial" w:eastAsia="Arial" w:hint="default"/>
                <w:sz w:val="21"/>
                <w:szCs w:val="21"/>
              </w:rPr>
            </w:pPr>
            <w:r>
              <w:rPr>
                <w:rFonts w:ascii="Arial"/>
                <w:spacing w:val="-1"/>
                <w:sz w:val="21"/>
              </w:rPr>
              <w:t>18,890,201.75</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40"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59,289,944.31</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59,289,944.31</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40"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0"/>
              <w:jc w:val="right"/>
              <w:rPr>
                <w:rFonts w:ascii="Arial" w:hAnsi="Arial" w:cs="Arial" w:eastAsia="Arial" w:hint="default"/>
                <w:sz w:val="21"/>
                <w:szCs w:val="21"/>
              </w:rPr>
            </w:pPr>
            <w:r>
              <w:rPr>
                <w:rFonts w:ascii="Arial"/>
                <w:spacing w:val="-1"/>
                <w:sz w:val="21"/>
              </w:rPr>
              <w:t>235,640,558.44</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19"/>
              <w:jc w:val="right"/>
              <w:rPr>
                <w:rFonts w:ascii="Arial" w:hAnsi="Arial" w:cs="Arial" w:eastAsia="Arial" w:hint="default"/>
                <w:sz w:val="21"/>
                <w:szCs w:val="21"/>
              </w:rPr>
            </w:pPr>
            <w:r>
              <w:rPr>
                <w:rFonts w:ascii="Arial"/>
                <w:spacing w:val="-1"/>
                <w:sz w:val="21"/>
              </w:rPr>
              <w:t>225,781,611.54</w:t>
            </w:r>
          </w:p>
        </w:tc>
        <w:tc>
          <w:tcPr>
            <w:tcW w:w="176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27"/>
              <w:jc w:val="right"/>
              <w:rPr>
                <w:rFonts w:ascii="Arial" w:hAnsi="Arial" w:cs="Arial" w:eastAsia="Arial" w:hint="default"/>
                <w:sz w:val="21"/>
                <w:szCs w:val="21"/>
              </w:rPr>
            </w:pPr>
            <w:r>
              <w:rPr>
                <w:rFonts w:ascii="Arial"/>
                <w:spacing w:val="-1"/>
                <w:sz w:val="21"/>
              </w:rPr>
              <w:t>-9,858,946.90</w:t>
            </w:r>
          </w:p>
        </w:tc>
      </w:tr>
      <w:tr>
        <w:trPr>
          <w:trHeight w:val="322"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40"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0"/>
              <w:jc w:val="right"/>
              <w:rPr>
                <w:rFonts w:ascii="Arial" w:hAnsi="Arial" w:cs="Arial" w:eastAsia="Arial" w:hint="default"/>
                <w:sz w:val="21"/>
                <w:szCs w:val="21"/>
              </w:rPr>
            </w:pPr>
            <w:r>
              <w:rPr>
                <w:rFonts w:ascii="Arial"/>
                <w:spacing w:val="-1"/>
                <w:sz w:val="21"/>
              </w:rPr>
              <w:t>9,858,946.90</w:t>
            </w:r>
          </w:p>
        </w:tc>
        <w:tc>
          <w:tcPr>
            <w:tcW w:w="1762" w:type="dxa"/>
            <w:tcBorders>
              <w:top w:val="single" w:sz="4" w:space="0" w:color="41B7EE"/>
              <w:left w:val="single" w:sz="4" w:space="0" w:color="41B7EE"/>
              <w:bottom w:val="single" w:sz="4" w:space="0" w:color="41B7EE"/>
              <w:right w:val="single" w:sz="4" w:space="0" w:color="41B7EE"/>
            </w:tcBorders>
          </w:tcPr>
          <w:p>
            <w:pPr/>
          </w:p>
        </w:tc>
        <w:tc>
          <w:tcPr>
            <w:tcW w:w="176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27"/>
              <w:jc w:val="right"/>
              <w:rPr>
                <w:rFonts w:ascii="Arial" w:hAnsi="Arial" w:cs="Arial" w:eastAsia="Arial" w:hint="default"/>
                <w:sz w:val="21"/>
                <w:szCs w:val="21"/>
              </w:rPr>
            </w:pPr>
            <w:r>
              <w:rPr>
                <w:rFonts w:ascii="Arial"/>
                <w:spacing w:val="-1"/>
                <w:sz w:val="21"/>
              </w:rPr>
              <w:t>-9,858,946.90</w:t>
            </w:r>
          </w:p>
        </w:tc>
      </w:tr>
      <w:tr>
        <w:trPr>
          <w:trHeight w:val="322"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869"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
        </w:tc>
        <w:tc>
          <w:tcPr>
            <w:tcW w:w="1762" w:type="dxa"/>
            <w:tcBorders>
              <w:top w:val="single" w:sz="4" w:space="0" w:color="41B7EE"/>
              <w:left w:val="single" w:sz="4" w:space="0" w:color="41B7EE"/>
              <w:bottom w:val="single" w:sz="4" w:space="0" w:color="41B7EE"/>
              <w:right w:val="single" w:sz="4" w:space="0" w:color="41B7EE"/>
            </w:tcBorders>
          </w:tcPr>
          <w:p>
            <w:pP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40"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0"/>
              <w:jc w:val="right"/>
              <w:rPr>
                <w:rFonts w:ascii="Arial" w:hAnsi="Arial" w:cs="Arial" w:eastAsia="Arial" w:hint="default"/>
                <w:sz w:val="21"/>
                <w:szCs w:val="21"/>
              </w:rPr>
            </w:pPr>
            <w:r>
              <w:rPr>
                <w:rFonts w:ascii="Arial"/>
                <w:spacing w:val="-1"/>
                <w:sz w:val="21"/>
              </w:rPr>
              <w:t>246,543,373.70</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19"/>
              <w:jc w:val="right"/>
              <w:rPr>
                <w:rFonts w:ascii="Arial" w:hAnsi="Arial" w:cs="Arial" w:eastAsia="Arial" w:hint="default"/>
                <w:sz w:val="21"/>
                <w:szCs w:val="21"/>
              </w:rPr>
            </w:pPr>
            <w:r>
              <w:rPr>
                <w:rFonts w:ascii="Arial"/>
                <w:spacing w:val="-1"/>
                <w:sz w:val="21"/>
              </w:rPr>
              <w:t>246,543,373.70</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4"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40"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1"/>
              <w:jc w:val="right"/>
              <w:rPr>
                <w:rFonts w:ascii="Arial" w:hAnsi="Arial" w:cs="Arial" w:eastAsia="Arial" w:hint="default"/>
                <w:sz w:val="21"/>
                <w:szCs w:val="21"/>
              </w:rPr>
            </w:pPr>
            <w:r>
              <w:rPr>
                <w:rFonts w:ascii="Arial"/>
                <w:spacing w:val="-1"/>
                <w:sz w:val="21"/>
              </w:rPr>
              <w:t>2,169,311,126.04</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0"/>
              <w:jc w:val="right"/>
              <w:rPr>
                <w:rFonts w:ascii="Arial" w:hAnsi="Arial" w:cs="Arial" w:eastAsia="Arial" w:hint="default"/>
                <w:sz w:val="21"/>
                <w:szCs w:val="21"/>
              </w:rPr>
            </w:pPr>
            <w:r>
              <w:rPr>
                <w:rFonts w:ascii="Arial"/>
                <w:spacing w:val="-1"/>
                <w:sz w:val="21"/>
              </w:rPr>
              <w:t>33,617,513.83</w:t>
            </w:r>
          </w:p>
        </w:tc>
        <w:tc>
          <w:tcPr>
            <w:tcW w:w="176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27"/>
              <w:jc w:val="right"/>
              <w:rPr>
                <w:rFonts w:ascii="Arial" w:hAnsi="Arial" w:cs="Arial" w:eastAsia="Arial" w:hint="default"/>
                <w:sz w:val="21"/>
                <w:szCs w:val="21"/>
              </w:rPr>
            </w:pPr>
            <w:r>
              <w:rPr>
                <w:rFonts w:ascii="Arial"/>
                <w:spacing w:val="-1"/>
                <w:sz w:val="21"/>
              </w:rPr>
              <w:t>-2,135,693,612.21</w:t>
            </w:r>
          </w:p>
        </w:tc>
      </w:tr>
      <w:tr>
        <w:trPr>
          <w:trHeight w:val="322"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449"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21"/>
              <w:jc w:val="right"/>
              <w:rPr>
                <w:rFonts w:ascii="Arial" w:hAnsi="Arial" w:cs="Arial" w:eastAsia="Arial" w:hint="default"/>
                <w:sz w:val="21"/>
                <w:szCs w:val="21"/>
              </w:rPr>
            </w:pPr>
            <w:r>
              <w:rPr>
                <w:rFonts w:ascii="Arial"/>
                <w:spacing w:val="-1"/>
                <w:sz w:val="21"/>
              </w:rPr>
              <w:t>3,045,635,432.04</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19"/>
              <w:jc w:val="right"/>
              <w:rPr>
                <w:rFonts w:ascii="Arial" w:hAnsi="Arial" w:cs="Arial" w:eastAsia="Arial" w:hint="default"/>
                <w:sz w:val="21"/>
                <w:szCs w:val="21"/>
              </w:rPr>
            </w:pPr>
            <w:r>
              <w:rPr>
                <w:rFonts w:ascii="Arial"/>
                <w:spacing w:val="-1"/>
                <w:sz w:val="21"/>
              </w:rPr>
              <w:t>3,045,635,432.04</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8882" w:type="dxa"/>
            <w:gridSpan w:val="4"/>
            <w:tcBorders>
              <w:top w:val="single" w:sz="4" w:space="0" w:color="41B7EE"/>
              <w:left w:val="nil" w:sz="6" w:space="0" w:color="auto"/>
              <w:bottom w:val="single" w:sz="4" w:space="0" w:color="41B7EE"/>
              <w:right w:val="nil" w:sz="6" w:space="0" w:color="auto"/>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非流动资产：</w:t>
            </w:r>
          </w:p>
        </w:tc>
      </w:tr>
      <w:tr>
        <w:trPr>
          <w:trHeight w:val="322"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40"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0"/>
              <w:jc w:val="right"/>
              <w:rPr>
                <w:rFonts w:ascii="Arial" w:hAnsi="Arial" w:cs="Arial" w:eastAsia="Arial" w:hint="default"/>
                <w:sz w:val="21"/>
                <w:szCs w:val="21"/>
              </w:rPr>
            </w:pPr>
            <w:r>
              <w:rPr>
                <w:rFonts w:ascii="Arial"/>
                <w:spacing w:val="-1"/>
                <w:sz w:val="21"/>
              </w:rPr>
              <w:t>21,000,000.00</w:t>
            </w:r>
          </w:p>
        </w:tc>
        <w:tc>
          <w:tcPr>
            <w:tcW w:w="1762" w:type="dxa"/>
            <w:tcBorders>
              <w:top w:val="single" w:sz="4" w:space="0" w:color="41B7EE"/>
              <w:left w:val="single" w:sz="4" w:space="0" w:color="41B7EE"/>
              <w:bottom w:val="single" w:sz="4" w:space="0" w:color="41B7EE"/>
              <w:right w:val="single" w:sz="4" w:space="0" w:color="41B7EE"/>
            </w:tcBorders>
          </w:tcPr>
          <w:p>
            <w:pPr/>
          </w:p>
        </w:tc>
        <w:tc>
          <w:tcPr>
            <w:tcW w:w="176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27"/>
              <w:jc w:val="right"/>
              <w:rPr>
                <w:rFonts w:ascii="Arial" w:hAnsi="Arial" w:cs="Arial" w:eastAsia="Arial" w:hint="default"/>
                <w:sz w:val="21"/>
                <w:szCs w:val="21"/>
              </w:rPr>
            </w:pPr>
            <w:r>
              <w:rPr>
                <w:rFonts w:ascii="Arial"/>
                <w:spacing w:val="-1"/>
                <w:sz w:val="21"/>
              </w:rPr>
              <w:t>-21,000,000.00</w:t>
            </w:r>
          </w:p>
        </w:tc>
      </w:tr>
      <w:tr>
        <w:trPr>
          <w:trHeight w:val="322"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40"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0"/>
              <w:jc w:val="right"/>
              <w:rPr>
                <w:rFonts w:ascii="Arial" w:hAnsi="Arial" w:cs="Arial" w:eastAsia="Arial" w:hint="default"/>
                <w:sz w:val="21"/>
                <w:szCs w:val="21"/>
              </w:rPr>
            </w:pPr>
            <w:r>
              <w:rPr>
                <w:rFonts w:ascii="Arial"/>
                <w:spacing w:val="-1"/>
                <w:sz w:val="21"/>
              </w:rPr>
              <w:t>715,990,697.53</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19"/>
              <w:jc w:val="right"/>
              <w:rPr>
                <w:rFonts w:ascii="Arial" w:hAnsi="Arial" w:cs="Arial" w:eastAsia="Arial" w:hint="default"/>
                <w:sz w:val="21"/>
                <w:szCs w:val="21"/>
              </w:rPr>
            </w:pPr>
            <w:r>
              <w:rPr>
                <w:rFonts w:ascii="Arial"/>
                <w:spacing w:val="-1"/>
                <w:sz w:val="21"/>
              </w:rPr>
              <w:t>715,990,697.53</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40"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0"/>
              <w:jc w:val="right"/>
              <w:rPr>
                <w:rFonts w:ascii="Arial" w:hAnsi="Arial" w:cs="Arial" w:eastAsia="Arial" w:hint="default"/>
                <w:sz w:val="21"/>
                <w:szCs w:val="21"/>
              </w:rPr>
            </w:pPr>
            <w:r>
              <w:rPr>
                <w:rFonts w:ascii="Arial"/>
                <w:spacing w:val="-1"/>
                <w:sz w:val="21"/>
              </w:rPr>
              <w:t>20,258,496.06</w:t>
            </w:r>
          </w:p>
        </w:tc>
        <w:tc>
          <w:tcPr>
            <w:tcW w:w="176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27"/>
              <w:jc w:val="right"/>
              <w:rPr>
                <w:rFonts w:ascii="Arial" w:hAnsi="Arial" w:cs="Arial" w:eastAsia="Arial" w:hint="default"/>
                <w:sz w:val="21"/>
                <w:szCs w:val="21"/>
              </w:rPr>
            </w:pPr>
            <w:r>
              <w:rPr>
                <w:rFonts w:ascii="Arial"/>
                <w:spacing w:val="-1"/>
                <w:sz w:val="21"/>
              </w:rPr>
              <w:t>20,258,496.06</w:t>
            </w:r>
          </w:p>
        </w:tc>
      </w:tr>
      <w:tr>
        <w:trPr>
          <w:trHeight w:val="324"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40"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1"/>
              <w:jc w:val="right"/>
              <w:rPr>
                <w:rFonts w:ascii="Arial" w:hAnsi="Arial" w:cs="Arial" w:eastAsia="Arial" w:hint="default"/>
                <w:sz w:val="21"/>
                <w:szCs w:val="21"/>
              </w:rPr>
            </w:pPr>
            <w:r>
              <w:rPr>
                <w:rFonts w:ascii="Arial"/>
                <w:spacing w:val="-1"/>
                <w:sz w:val="21"/>
              </w:rPr>
              <w:t>3,184,953,180.39</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19"/>
              <w:jc w:val="right"/>
              <w:rPr>
                <w:rFonts w:ascii="Arial" w:hAnsi="Arial" w:cs="Arial" w:eastAsia="Arial" w:hint="default"/>
                <w:sz w:val="21"/>
                <w:szCs w:val="21"/>
              </w:rPr>
            </w:pPr>
            <w:r>
              <w:rPr>
                <w:rFonts w:ascii="Arial"/>
                <w:spacing w:val="-1"/>
                <w:sz w:val="21"/>
              </w:rPr>
              <w:t>3,184,953,180.39</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40"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23,119,736.43</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23,119,736.43</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40"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0"/>
              <w:jc w:val="right"/>
              <w:rPr>
                <w:rFonts w:ascii="Arial" w:hAnsi="Arial" w:cs="Arial" w:eastAsia="Arial" w:hint="default"/>
                <w:sz w:val="21"/>
                <w:szCs w:val="21"/>
              </w:rPr>
            </w:pPr>
            <w:r>
              <w:rPr>
                <w:rFonts w:ascii="Arial"/>
                <w:spacing w:val="-1"/>
                <w:sz w:val="21"/>
              </w:rPr>
              <w:t>419,128,529.11</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19"/>
              <w:jc w:val="right"/>
              <w:rPr>
                <w:rFonts w:ascii="Arial" w:hAnsi="Arial" w:cs="Arial" w:eastAsia="Arial" w:hint="default"/>
                <w:sz w:val="21"/>
                <w:szCs w:val="21"/>
              </w:rPr>
            </w:pPr>
            <w:r>
              <w:rPr>
                <w:rFonts w:ascii="Arial"/>
                <w:spacing w:val="-1"/>
                <w:sz w:val="21"/>
              </w:rPr>
              <w:t>419,128,529.11</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40"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0"/>
              <w:jc w:val="right"/>
              <w:rPr>
                <w:rFonts w:ascii="Arial" w:hAnsi="Arial" w:cs="Arial" w:eastAsia="Arial" w:hint="default"/>
                <w:sz w:val="21"/>
                <w:szCs w:val="21"/>
              </w:rPr>
            </w:pPr>
            <w:r>
              <w:rPr>
                <w:rFonts w:ascii="Arial"/>
                <w:spacing w:val="-1"/>
                <w:sz w:val="21"/>
              </w:rPr>
              <w:t>49,477,154.61</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0"/>
              <w:jc w:val="right"/>
              <w:rPr>
                <w:rFonts w:ascii="Arial" w:hAnsi="Arial" w:cs="Arial" w:eastAsia="Arial" w:hint="default"/>
                <w:sz w:val="21"/>
                <w:szCs w:val="21"/>
              </w:rPr>
            </w:pPr>
            <w:r>
              <w:rPr>
                <w:rFonts w:ascii="Arial"/>
                <w:spacing w:val="-1"/>
                <w:sz w:val="21"/>
              </w:rPr>
              <w:t>49,477,154.61</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40"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0"/>
              <w:jc w:val="right"/>
              <w:rPr>
                <w:rFonts w:ascii="Arial" w:hAnsi="Arial" w:cs="Arial" w:eastAsia="Arial" w:hint="default"/>
                <w:sz w:val="21"/>
                <w:szCs w:val="21"/>
              </w:rPr>
            </w:pPr>
            <w:r>
              <w:rPr>
                <w:rFonts w:ascii="Arial"/>
                <w:spacing w:val="-1"/>
                <w:sz w:val="21"/>
              </w:rPr>
              <w:t>514,161,945.27</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19"/>
              <w:jc w:val="right"/>
              <w:rPr>
                <w:rFonts w:ascii="Arial" w:hAnsi="Arial" w:cs="Arial" w:eastAsia="Arial" w:hint="default"/>
                <w:sz w:val="21"/>
                <w:szCs w:val="21"/>
              </w:rPr>
            </w:pPr>
            <w:r>
              <w:rPr>
                <w:rFonts w:ascii="Arial"/>
                <w:spacing w:val="-1"/>
                <w:sz w:val="21"/>
              </w:rPr>
              <w:t>514,161,945.27</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449"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1"/>
              <w:jc w:val="right"/>
              <w:rPr>
                <w:rFonts w:ascii="Arial" w:hAnsi="Arial" w:cs="Arial" w:eastAsia="Arial" w:hint="default"/>
                <w:sz w:val="21"/>
                <w:szCs w:val="21"/>
              </w:rPr>
            </w:pPr>
            <w:r>
              <w:rPr>
                <w:rFonts w:ascii="Arial"/>
                <w:spacing w:val="-1"/>
                <w:sz w:val="21"/>
              </w:rPr>
              <w:t>4,927,831,243.34</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19"/>
              <w:jc w:val="right"/>
              <w:rPr>
                <w:rFonts w:ascii="Arial" w:hAnsi="Arial" w:cs="Arial" w:eastAsia="Arial" w:hint="default"/>
                <w:sz w:val="21"/>
                <w:szCs w:val="21"/>
              </w:rPr>
            </w:pPr>
            <w:r>
              <w:rPr>
                <w:rFonts w:ascii="Arial"/>
                <w:spacing w:val="-1"/>
                <w:sz w:val="21"/>
              </w:rPr>
              <w:t>4,927,089,739.40</w:t>
            </w:r>
          </w:p>
        </w:tc>
        <w:tc>
          <w:tcPr>
            <w:tcW w:w="176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27"/>
              <w:jc w:val="right"/>
              <w:rPr>
                <w:rFonts w:ascii="Arial" w:hAnsi="Arial" w:cs="Arial" w:eastAsia="Arial" w:hint="default"/>
                <w:sz w:val="21"/>
                <w:szCs w:val="21"/>
              </w:rPr>
            </w:pPr>
            <w:r>
              <w:rPr>
                <w:rFonts w:ascii="Arial"/>
                <w:spacing w:val="-1"/>
                <w:sz w:val="21"/>
              </w:rPr>
              <w:t>-741,503.94</w:t>
            </w:r>
          </w:p>
        </w:tc>
      </w:tr>
      <w:tr>
        <w:trPr>
          <w:trHeight w:val="324"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660"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1"/>
              <w:jc w:val="right"/>
              <w:rPr>
                <w:rFonts w:ascii="Arial" w:hAnsi="Arial" w:cs="Arial" w:eastAsia="Arial" w:hint="default"/>
                <w:sz w:val="21"/>
                <w:szCs w:val="21"/>
              </w:rPr>
            </w:pPr>
            <w:r>
              <w:rPr>
                <w:rFonts w:ascii="Arial"/>
                <w:spacing w:val="-1"/>
                <w:sz w:val="21"/>
              </w:rPr>
              <w:t>7,973,466,675.38</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19"/>
              <w:jc w:val="right"/>
              <w:rPr>
                <w:rFonts w:ascii="Arial" w:hAnsi="Arial" w:cs="Arial" w:eastAsia="Arial" w:hint="default"/>
                <w:sz w:val="21"/>
                <w:szCs w:val="21"/>
              </w:rPr>
            </w:pPr>
            <w:r>
              <w:rPr>
                <w:rFonts w:ascii="Arial"/>
                <w:spacing w:val="-1"/>
                <w:sz w:val="21"/>
              </w:rPr>
              <w:t>7,972,725,171.44</w:t>
            </w:r>
          </w:p>
        </w:tc>
        <w:tc>
          <w:tcPr>
            <w:tcW w:w="176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27"/>
              <w:jc w:val="right"/>
              <w:rPr>
                <w:rFonts w:ascii="Arial" w:hAnsi="Arial" w:cs="Arial" w:eastAsia="Arial" w:hint="default"/>
                <w:sz w:val="21"/>
                <w:szCs w:val="21"/>
              </w:rPr>
            </w:pPr>
            <w:r>
              <w:rPr>
                <w:rFonts w:ascii="Arial"/>
                <w:spacing w:val="-1"/>
                <w:sz w:val="21"/>
              </w:rPr>
              <w:t>-741,503.94</w:t>
            </w:r>
          </w:p>
        </w:tc>
      </w:tr>
      <w:tr>
        <w:trPr>
          <w:trHeight w:val="322" w:hRule="exact"/>
        </w:trPr>
        <w:tc>
          <w:tcPr>
            <w:tcW w:w="8882" w:type="dxa"/>
            <w:gridSpan w:val="4"/>
            <w:tcBorders>
              <w:top w:val="single" w:sz="4" w:space="0" w:color="41B7EE"/>
              <w:left w:val="nil" w:sz="6" w:space="0" w:color="auto"/>
              <w:bottom w:val="single" w:sz="4" w:space="0" w:color="41B7EE"/>
              <w:right w:val="nil" w:sz="6" w:space="0" w:color="auto"/>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流动负债：</w:t>
            </w:r>
          </w:p>
        </w:tc>
      </w:tr>
      <w:tr>
        <w:trPr>
          <w:trHeight w:val="322"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40"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0"/>
              <w:jc w:val="right"/>
              <w:rPr>
                <w:rFonts w:ascii="Arial" w:hAnsi="Arial" w:cs="Arial" w:eastAsia="Arial" w:hint="default"/>
                <w:sz w:val="21"/>
                <w:szCs w:val="21"/>
              </w:rPr>
            </w:pPr>
            <w:r>
              <w:rPr>
                <w:rFonts w:ascii="Arial"/>
                <w:spacing w:val="-1"/>
                <w:sz w:val="21"/>
              </w:rPr>
              <w:t>139,133,308.98</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19"/>
              <w:jc w:val="right"/>
              <w:rPr>
                <w:rFonts w:ascii="Arial" w:hAnsi="Arial" w:cs="Arial" w:eastAsia="Arial" w:hint="default"/>
                <w:sz w:val="21"/>
                <w:szCs w:val="21"/>
              </w:rPr>
            </w:pPr>
            <w:r>
              <w:rPr>
                <w:rFonts w:ascii="Arial"/>
                <w:spacing w:val="-1"/>
                <w:sz w:val="21"/>
              </w:rPr>
              <w:t>139,133,308.98</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40"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0"/>
              <w:jc w:val="right"/>
              <w:rPr>
                <w:rFonts w:ascii="Arial" w:hAnsi="Arial" w:cs="Arial" w:eastAsia="Arial" w:hint="default"/>
                <w:sz w:val="21"/>
                <w:szCs w:val="21"/>
              </w:rPr>
            </w:pPr>
            <w:r>
              <w:rPr>
                <w:rFonts w:ascii="Arial"/>
                <w:spacing w:val="-1"/>
                <w:sz w:val="21"/>
              </w:rPr>
              <w:t>631,055,077.71</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19"/>
              <w:jc w:val="right"/>
              <w:rPr>
                <w:rFonts w:ascii="Arial" w:hAnsi="Arial" w:cs="Arial" w:eastAsia="Arial" w:hint="default"/>
                <w:sz w:val="21"/>
                <w:szCs w:val="21"/>
              </w:rPr>
            </w:pPr>
            <w:r>
              <w:rPr>
                <w:rFonts w:ascii="Arial"/>
                <w:spacing w:val="-1"/>
                <w:sz w:val="21"/>
              </w:rPr>
              <w:t>631,055,077.71</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40"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0"/>
              <w:jc w:val="right"/>
              <w:rPr>
                <w:rFonts w:ascii="Arial" w:hAnsi="Arial" w:cs="Arial" w:eastAsia="Arial" w:hint="default"/>
                <w:sz w:val="21"/>
                <w:szCs w:val="21"/>
              </w:rPr>
            </w:pPr>
            <w:r>
              <w:rPr>
                <w:rFonts w:ascii="Arial"/>
                <w:spacing w:val="-1"/>
                <w:sz w:val="21"/>
              </w:rPr>
              <w:t>314,636,993.92</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19"/>
              <w:jc w:val="right"/>
              <w:rPr>
                <w:rFonts w:ascii="Arial" w:hAnsi="Arial" w:cs="Arial" w:eastAsia="Arial" w:hint="default"/>
                <w:sz w:val="21"/>
                <w:szCs w:val="21"/>
              </w:rPr>
            </w:pPr>
            <w:r>
              <w:rPr>
                <w:rFonts w:ascii="Arial"/>
                <w:spacing w:val="-1"/>
                <w:sz w:val="21"/>
              </w:rPr>
              <w:t>314,636,993.92</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53" w:hRule="exact"/>
        </w:trPr>
        <w:tc>
          <w:tcPr>
            <w:tcW w:w="3567" w:type="dxa"/>
            <w:tcBorders>
              <w:top w:val="single" w:sz="4" w:space="0" w:color="41B7EE"/>
              <w:left w:val="nil" w:sz="6" w:space="0" w:color="auto"/>
              <w:bottom w:val="single" w:sz="8" w:space="0" w:color="41B7EE"/>
              <w:right w:val="single" w:sz="4" w:space="0" w:color="41B7EE"/>
            </w:tcBorders>
          </w:tcPr>
          <w:p>
            <w:pPr>
              <w:pStyle w:val="TableParagraph"/>
              <w:spacing w:line="262" w:lineRule="exact"/>
              <w:ind w:left="240"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31"/>
              <w:ind w:right="20"/>
              <w:jc w:val="right"/>
              <w:rPr>
                <w:rFonts w:ascii="Arial" w:hAnsi="Arial" w:cs="Arial" w:eastAsia="Arial" w:hint="default"/>
                <w:sz w:val="21"/>
                <w:szCs w:val="21"/>
              </w:rPr>
            </w:pPr>
            <w:r>
              <w:rPr>
                <w:rFonts w:ascii="Arial"/>
                <w:spacing w:val="-1"/>
                <w:sz w:val="21"/>
              </w:rPr>
              <w:t>110,742,032.77</w:t>
            </w:r>
          </w:p>
        </w:tc>
        <w:tc>
          <w:tcPr>
            <w:tcW w:w="1762"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31"/>
              <w:ind w:right="19"/>
              <w:jc w:val="right"/>
              <w:rPr>
                <w:rFonts w:ascii="Arial" w:hAnsi="Arial" w:cs="Arial" w:eastAsia="Arial" w:hint="default"/>
                <w:sz w:val="21"/>
                <w:szCs w:val="21"/>
              </w:rPr>
            </w:pPr>
            <w:r>
              <w:rPr>
                <w:rFonts w:ascii="Arial"/>
                <w:spacing w:val="-1"/>
                <w:sz w:val="21"/>
              </w:rPr>
              <w:t>110,742,032.77</w:t>
            </w:r>
          </w:p>
        </w:tc>
        <w:tc>
          <w:tcPr>
            <w:tcW w:w="1762" w:type="dxa"/>
            <w:tcBorders>
              <w:top w:val="single" w:sz="4" w:space="0" w:color="41B7EE"/>
              <w:left w:val="single" w:sz="4" w:space="0" w:color="41B7EE"/>
              <w:bottom w:val="single" w:sz="8" w:space="0" w:color="41B7EE"/>
              <w:right w:val="nil" w:sz="6" w:space="0" w:color="auto"/>
            </w:tcBorders>
          </w:tcPr>
          <w:p>
            <w:pPr/>
          </w:p>
        </w:tc>
      </w:tr>
    </w:tbl>
    <w:p>
      <w:pPr>
        <w:spacing w:after="0"/>
        <w:sectPr>
          <w:pgSz w:w="11910" w:h="16840"/>
          <w:pgMar w:header="826" w:footer="1195" w:top="1360" w:bottom="1380" w:left="1120" w:right="1580"/>
        </w:sectPr>
      </w:pPr>
    </w:p>
    <w:p>
      <w:pPr>
        <w:spacing w:line="240" w:lineRule="auto" w:before="4"/>
        <w:rPr>
          <w:rFonts w:ascii="宋体" w:hAnsi="宋体" w:cs="宋体" w:eastAsia="宋体" w:hint="default"/>
          <w:sz w:val="5"/>
          <w:szCs w:val="5"/>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45.1pt;height:1pt;mso-position-horizontal-relative:char;mso-position-vertical-relative:line" coordorigin="0,0" coordsize="8902,20">
            <v:group style="position:absolute;left:10;top:10;width:3563;height:2" coordorigin="10,10" coordsize="3563,2">
              <v:shape style="position:absolute;left:10;top:10;width:3563;height:2" coordorigin="10,10" coordsize="3563,0" path="m10,10l3572,10e" filled="false" stroked="true" strokeweight=".96pt" strokecolor="#41b7ee">
                <v:path arrowok="t"/>
              </v:shape>
            </v:group>
            <v:group style="position:absolute;left:3572;top:10;width:58;height:2" coordorigin="3572,10" coordsize="58,2">
              <v:shape style="position:absolute;left:3572;top:10;width:58;height:2" coordorigin="3572,10" coordsize="58,0" path="m3572,10l3630,10e" filled="false" stroked="true" strokeweight=".96pt" strokecolor="#41b7ee">
                <v:path arrowok="t"/>
              </v:shape>
            </v:group>
            <v:group style="position:absolute;left:3630;top:10;width:1734;height:2" coordorigin="3630,10" coordsize="1734,2">
              <v:shape style="position:absolute;left:3630;top:10;width:1734;height:2" coordorigin="3630,10" coordsize="1734,0" path="m3630,10l5363,10e" filled="false" stroked="true" strokeweight=".96pt" strokecolor="#41b7ee">
                <v:path arrowok="t"/>
              </v:shape>
            </v:group>
            <v:group style="position:absolute;left:5363;top:10;width:58;height:2" coordorigin="5363,10" coordsize="58,2">
              <v:shape style="position:absolute;left:5363;top:10;width:58;height:2" coordorigin="5363,10" coordsize="58,0" path="m5363,10l5421,10e" filled="false" stroked="true" strokeweight=".96pt" strokecolor="#41b7ee">
                <v:path arrowok="t"/>
              </v:shape>
            </v:group>
            <v:group style="position:absolute;left:5421;top:10;width:1704;height:2" coordorigin="5421,10" coordsize="1704,2">
              <v:shape style="position:absolute;left:5421;top:10;width:1704;height:2" coordorigin="5421,10" coordsize="1704,0" path="m5421,10l7125,10e" filled="false" stroked="true" strokeweight=".96pt" strokecolor="#41b7ee">
                <v:path arrowok="t"/>
              </v:shape>
            </v:group>
            <v:group style="position:absolute;left:7125;top:10;width:58;height:2" coordorigin="7125,10" coordsize="58,2">
              <v:shape style="position:absolute;left:7125;top:10;width:58;height:2" coordorigin="7125,10" coordsize="58,0" path="m7125,10l7182,10e" filled="false" stroked="true" strokeweight=".96pt" strokecolor="#41b7ee">
                <v:path arrowok="t"/>
              </v:shape>
            </v:group>
            <v:group style="position:absolute;left:7182;top:10;width:1710;height:2" coordorigin="7182,10" coordsize="1710,2">
              <v:shape style="position:absolute;left:7182;top:10;width:1710;height:2" coordorigin="7182,10" coordsize="1710,0" path="m7182,10l8891,10e" filled="false" stroked="true" strokeweight=".96pt" strokecolor="#41b7ee">
                <v:path arrowok="t"/>
              </v:shape>
            </v:group>
          </v:group>
        </w:pict>
      </w:r>
      <w:r>
        <w:rPr>
          <w:rFonts w:ascii="宋体" w:hAnsi="宋体" w:cs="宋体" w:eastAsia="宋体" w:hint="default"/>
          <w:sz w:val="2"/>
          <w:szCs w:val="2"/>
        </w:rPr>
      </w:r>
    </w:p>
    <w:tbl>
      <w:tblPr>
        <w:tblW w:w="0" w:type="auto"/>
        <w:jc w:val="left"/>
        <w:tblInd w:w="128" w:type="dxa"/>
        <w:tblLayout w:type="fixed"/>
        <w:tblCellMar>
          <w:top w:w="0" w:type="dxa"/>
          <w:left w:w="0" w:type="dxa"/>
          <w:bottom w:w="0" w:type="dxa"/>
          <w:right w:w="0" w:type="dxa"/>
        </w:tblCellMar>
        <w:tblLook w:val="01E0"/>
      </w:tblPr>
      <w:tblGrid>
        <w:gridCol w:w="3567"/>
        <w:gridCol w:w="1791"/>
        <w:gridCol w:w="1762"/>
        <w:gridCol w:w="1762"/>
      </w:tblGrid>
      <w:tr>
        <w:trPr>
          <w:trHeight w:val="334" w:hRule="exact"/>
        </w:trPr>
        <w:tc>
          <w:tcPr>
            <w:tcW w:w="3567" w:type="dxa"/>
            <w:tcBorders>
              <w:top w:val="single" w:sz="8" w:space="0" w:color="41B7EE"/>
              <w:left w:val="nil" w:sz="6" w:space="0" w:color="auto"/>
              <w:bottom w:val="single" w:sz="4" w:space="0" w:color="41B7EE"/>
              <w:right w:val="single" w:sz="4" w:space="0" w:color="41B7EE"/>
            </w:tcBorders>
          </w:tcPr>
          <w:p>
            <w:pPr>
              <w:pStyle w:val="TableParagraph"/>
              <w:spacing w:line="262" w:lineRule="exact"/>
              <w:ind w:left="240"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791"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33"/>
              <w:ind w:right="20"/>
              <w:jc w:val="right"/>
              <w:rPr>
                <w:rFonts w:ascii="Arial" w:hAnsi="Arial" w:cs="Arial" w:eastAsia="Arial" w:hint="default"/>
                <w:sz w:val="21"/>
                <w:szCs w:val="21"/>
              </w:rPr>
            </w:pPr>
            <w:r>
              <w:rPr>
                <w:rFonts w:ascii="Arial"/>
                <w:spacing w:val="-1"/>
                <w:sz w:val="21"/>
              </w:rPr>
              <w:t>348,605,376.64</w:t>
            </w:r>
          </w:p>
        </w:tc>
        <w:tc>
          <w:tcPr>
            <w:tcW w:w="1762"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33"/>
              <w:ind w:right="19"/>
              <w:jc w:val="right"/>
              <w:rPr>
                <w:rFonts w:ascii="Arial" w:hAnsi="Arial" w:cs="Arial" w:eastAsia="Arial" w:hint="default"/>
                <w:sz w:val="21"/>
                <w:szCs w:val="21"/>
              </w:rPr>
            </w:pPr>
            <w:r>
              <w:rPr>
                <w:rFonts w:ascii="Arial"/>
                <w:spacing w:val="-1"/>
                <w:sz w:val="21"/>
              </w:rPr>
              <w:t>348,605,376.64</w:t>
            </w:r>
          </w:p>
        </w:tc>
        <w:tc>
          <w:tcPr>
            <w:tcW w:w="1762" w:type="dxa"/>
            <w:tcBorders>
              <w:top w:val="single" w:sz="8" w:space="0" w:color="41B7EE"/>
              <w:left w:val="single" w:sz="4" w:space="0" w:color="41B7EE"/>
              <w:bottom w:val="single" w:sz="4" w:space="0" w:color="41B7EE"/>
              <w:right w:val="nil" w:sz="6" w:space="0" w:color="auto"/>
            </w:tcBorders>
          </w:tcPr>
          <w:p>
            <w:pPr/>
          </w:p>
        </w:tc>
      </w:tr>
      <w:tr>
        <w:trPr>
          <w:trHeight w:val="322"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40"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
        </w:tc>
        <w:tc>
          <w:tcPr>
            <w:tcW w:w="1762" w:type="dxa"/>
            <w:tcBorders>
              <w:top w:val="single" w:sz="4" w:space="0" w:color="41B7EE"/>
              <w:left w:val="single" w:sz="4" w:space="0" w:color="41B7EE"/>
              <w:bottom w:val="single" w:sz="4" w:space="0" w:color="41B7EE"/>
              <w:right w:val="single" w:sz="4" w:space="0" w:color="41B7EE"/>
            </w:tcBorders>
          </w:tcPr>
          <w:p>
            <w:pP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869"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0"/>
              <w:jc w:val="right"/>
              <w:rPr>
                <w:rFonts w:ascii="Arial" w:hAnsi="Arial" w:cs="Arial" w:eastAsia="Arial" w:hint="default"/>
                <w:sz w:val="21"/>
                <w:szCs w:val="21"/>
              </w:rPr>
            </w:pPr>
            <w:r>
              <w:rPr>
                <w:rFonts w:ascii="Arial"/>
                <w:spacing w:val="-1"/>
                <w:sz w:val="21"/>
              </w:rPr>
              <w:t>70,309.90</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19"/>
              <w:jc w:val="right"/>
              <w:rPr>
                <w:rFonts w:ascii="Arial" w:hAnsi="Arial" w:cs="Arial" w:eastAsia="Arial" w:hint="default"/>
                <w:sz w:val="21"/>
                <w:szCs w:val="21"/>
              </w:rPr>
            </w:pPr>
            <w:r>
              <w:rPr>
                <w:rFonts w:ascii="Arial"/>
                <w:spacing w:val="-1"/>
                <w:sz w:val="21"/>
              </w:rPr>
              <w:t>70,309.90</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4"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449"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1"/>
              <w:jc w:val="right"/>
              <w:rPr>
                <w:rFonts w:ascii="Arial" w:hAnsi="Arial" w:cs="Arial" w:eastAsia="Arial" w:hint="default"/>
                <w:sz w:val="21"/>
                <w:szCs w:val="21"/>
              </w:rPr>
            </w:pPr>
            <w:r>
              <w:rPr>
                <w:rFonts w:ascii="Arial"/>
                <w:spacing w:val="-1"/>
                <w:sz w:val="21"/>
              </w:rPr>
              <w:t>1,544,172,790.02</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19"/>
              <w:jc w:val="right"/>
              <w:rPr>
                <w:rFonts w:ascii="Arial" w:hAnsi="Arial" w:cs="Arial" w:eastAsia="Arial" w:hint="default"/>
                <w:sz w:val="21"/>
                <w:szCs w:val="21"/>
              </w:rPr>
            </w:pPr>
            <w:r>
              <w:rPr>
                <w:rFonts w:ascii="Arial"/>
                <w:spacing w:val="-1"/>
                <w:sz w:val="21"/>
              </w:rPr>
              <w:t>1,544,172,790.02</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8882" w:type="dxa"/>
            <w:gridSpan w:val="4"/>
            <w:tcBorders>
              <w:top w:val="single" w:sz="4" w:space="0" w:color="41B7EE"/>
              <w:left w:val="nil" w:sz="6" w:space="0" w:color="auto"/>
              <w:bottom w:val="single" w:sz="4" w:space="0" w:color="41B7EE"/>
              <w:right w:val="nil" w:sz="6" w:space="0" w:color="auto"/>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非流动负债：</w:t>
            </w:r>
          </w:p>
        </w:tc>
      </w:tr>
      <w:tr>
        <w:trPr>
          <w:trHeight w:val="322"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40"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0"/>
              <w:jc w:val="right"/>
              <w:rPr>
                <w:rFonts w:ascii="Arial" w:hAnsi="Arial" w:cs="Arial" w:eastAsia="Arial" w:hint="default"/>
                <w:sz w:val="21"/>
                <w:szCs w:val="21"/>
              </w:rPr>
            </w:pPr>
            <w:r>
              <w:rPr>
                <w:rFonts w:ascii="Arial"/>
                <w:spacing w:val="-1"/>
                <w:sz w:val="21"/>
              </w:rPr>
              <w:t>4,451,729.61</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19"/>
              <w:jc w:val="right"/>
              <w:rPr>
                <w:rFonts w:ascii="Arial" w:hAnsi="Arial" w:cs="Arial" w:eastAsia="Arial" w:hint="default"/>
                <w:sz w:val="21"/>
                <w:szCs w:val="21"/>
              </w:rPr>
            </w:pPr>
            <w:r>
              <w:rPr>
                <w:rFonts w:ascii="Arial"/>
                <w:spacing w:val="-1"/>
                <w:sz w:val="21"/>
              </w:rPr>
              <w:t>4,451,729.61</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40"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0"/>
              <w:jc w:val="right"/>
              <w:rPr>
                <w:rFonts w:ascii="Arial" w:hAnsi="Arial" w:cs="Arial" w:eastAsia="Arial" w:hint="default"/>
                <w:sz w:val="21"/>
                <w:szCs w:val="21"/>
              </w:rPr>
            </w:pPr>
            <w:r>
              <w:rPr>
                <w:rFonts w:ascii="Arial"/>
                <w:spacing w:val="-1"/>
                <w:sz w:val="21"/>
              </w:rPr>
              <w:t>137,271.31</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19"/>
              <w:jc w:val="right"/>
              <w:rPr>
                <w:rFonts w:ascii="Arial" w:hAnsi="Arial" w:cs="Arial" w:eastAsia="Arial" w:hint="default"/>
                <w:sz w:val="21"/>
                <w:szCs w:val="21"/>
              </w:rPr>
            </w:pPr>
            <w:r>
              <w:rPr>
                <w:rFonts w:ascii="Arial"/>
                <w:spacing w:val="-1"/>
                <w:sz w:val="21"/>
              </w:rPr>
              <w:t>137,271.31</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40"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0"/>
              <w:jc w:val="right"/>
              <w:rPr>
                <w:rFonts w:ascii="Arial" w:hAnsi="Arial" w:cs="Arial" w:eastAsia="Arial" w:hint="default"/>
                <w:sz w:val="21"/>
                <w:szCs w:val="21"/>
              </w:rPr>
            </w:pPr>
            <w:r>
              <w:rPr>
                <w:rFonts w:ascii="Arial"/>
                <w:spacing w:val="-1"/>
                <w:sz w:val="21"/>
              </w:rPr>
              <w:t>114,649,885.84</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19"/>
              <w:jc w:val="right"/>
              <w:rPr>
                <w:rFonts w:ascii="Arial" w:hAnsi="Arial" w:cs="Arial" w:eastAsia="Arial" w:hint="default"/>
                <w:sz w:val="21"/>
                <w:szCs w:val="21"/>
              </w:rPr>
            </w:pPr>
            <w:r>
              <w:rPr>
                <w:rFonts w:ascii="Arial"/>
                <w:spacing w:val="-1"/>
                <w:sz w:val="21"/>
              </w:rPr>
              <w:t>114,649,885.84</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40"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0"/>
              <w:jc w:val="right"/>
              <w:rPr>
                <w:rFonts w:ascii="Arial" w:hAnsi="Arial" w:cs="Arial" w:eastAsia="Arial" w:hint="default"/>
                <w:sz w:val="21"/>
                <w:szCs w:val="21"/>
              </w:rPr>
            </w:pPr>
            <w:r>
              <w:rPr>
                <w:rFonts w:ascii="Arial"/>
                <w:spacing w:val="-1"/>
                <w:sz w:val="21"/>
              </w:rPr>
              <w:t>447,770.64</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19"/>
              <w:jc w:val="right"/>
              <w:rPr>
                <w:rFonts w:ascii="Arial" w:hAnsi="Arial" w:cs="Arial" w:eastAsia="Arial" w:hint="default"/>
                <w:sz w:val="21"/>
                <w:szCs w:val="21"/>
              </w:rPr>
            </w:pPr>
            <w:r>
              <w:rPr>
                <w:rFonts w:ascii="Arial"/>
                <w:spacing w:val="-1"/>
                <w:sz w:val="21"/>
              </w:rPr>
              <w:t>447,770.64</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4"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40"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0"/>
              <w:jc w:val="right"/>
              <w:rPr>
                <w:rFonts w:ascii="Arial" w:hAnsi="Arial" w:cs="Arial" w:eastAsia="Arial" w:hint="default"/>
                <w:sz w:val="21"/>
                <w:szCs w:val="21"/>
              </w:rPr>
            </w:pPr>
            <w:r>
              <w:rPr>
                <w:rFonts w:ascii="Arial"/>
                <w:spacing w:val="-1"/>
                <w:sz w:val="21"/>
              </w:rPr>
              <w:t>1,701,754.62</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19"/>
              <w:jc w:val="right"/>
              <w:rPr>
                <w:rFonts w:ascii="Arial" w:hAnsi="Arial" w:cs="Arial" w:eastAsia="Arial" w:hint="default"/>
                <w:sz w:val="21"/>
                <w:szCs w:val="21"/>
              </w:rPr>
            </w:pPr>
            <w:r>
              <w:rPr>
                <w:rFonts w:ascii="Arial"/>
                <w:spacing w:val="-1"/>
                <w:sz w:val="21"/>
              </w:rPr>
              <w:t>1,701,754.62</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449"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20"/>
              <w:jc w:val="right"/>
              <w:rPr>
                <w:rFonts w:ascii="Arial" w:hAnsi="Arial" w:cs="Arial" w:eastAsia="Arial" w:hint="default"/>
                <w:sz w:val="21"/>
                <w:szCs w:val="21"/>
              </w:rPr>
            </w:pPr>
            <w:r>
              <w:rPr>
                <w:rFonts w:ascii="Arial"/>
                <w:spacing w:val="-1"/>
                <w:sz w:val="21"/>
              </w:rPr>
              <w:t>121,388,412.02</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19"/>
              <w:jc w:val="right"/>
              <w:rPr>
                <w:rFonts w:ascii="Arial" w:hAnsi="Arial" w:cs="Arial" w:eastAsia="Arial" w:hint="default"/>
                <w:sz w:val="21"/>
                <w:szCs w:val="21"/>
              </w:rPr>
            </w:pPr>
            <w:r>
              <w:rPr>
                <w:rFonts w:ascii="Arial"/>
                <w:spacing w:val="-1"/>
                <w:sz w:val="21"/>
              </w:rPr>
              <w:t>121,388,412.02</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1" w:lineRule="exact"/>
              <w:ind w:left="660"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1"/>
              <w:jc w:val="right"/>
              <w:rPr>
                <w:rFonts w:ascii="Arial" w:hAnsi="Arial" w:cs="Arial" w:eastAsia="Arial" w:hint="default"/>
                <w:sz w:val="21"/>
                <w:szCs w:val="21"/>
              </w:rPr>
            </w:pPr>
            <w:r>
              <w:rPr>
                <w:rFonts w:ascii="Arial"/>
                <w:spacing w:val="-1"/>
                <w:sz w:val="21"/>
              </w:rPr>
              <w:t>1,665,561,202.04</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19"/>
              <w:jc w:val="right"/>
              <w:rPr>
                <w:rFonts w:ascii="Arial" w:hAnsi="Arial" w:cs="Arial" w:eastAsia="Arial" w:hint="default"/>
                <w:sz w:val="21"/>
                <w:szCs w:val="21"/>
              </w:rPr>
            </w:pPr>
            <w:r>
              <w:rPr>
                <w:rFonts w:ascii="Arial"/>
                <w:spacing w:val="-1"/>
                <w:sz w:val="21"/>
              </w:rPr>
              <w:t>1,665,561,202.04</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8882" w:type="dxa"/>
            <w:gridSpan w:val="4"/>
            <w:tcBorders>
              <w:top w:val="single" w:sz="4" w:space="0" w:color="41B7EE"/>
              <w:left w:val="nil" w:sz="6" w:space="0" w:color="auto"/>
              <w:bottom w:val="single" w:sz="4" w:space="0" w:color="41B7EE"/>
              <w:right w:val="nil" w:sz="6" w:space="0" w:color="auto"/>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tc>
      </w:tr>
      <w:tr>
        <w:trPr>
          <w:trHeight w:val="322"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40"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1"/>
              <w:jc w:val="right"/>
              <w:rPr>
                <w:rFonts w:ascii="Arial" w:hAnsi="Arial" w:cs="Arial" w:eastAsia="Arial" w:hint="default"/>
                <w:sz w:val="21"/>
                <w:szCs w:val="21"/>
              </w:rPr>
            </w:pPr>
            <w:r>
              <w:rPr>
                <w:rFonts w:ascii="Arial"/>
                <w:spacing w:val="-1"/>
                <w:sz w:val="21"/>
              </w:rPr>
              <w:t>1,777,679,909.00</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19"/>
              <w:jc w:val="right"/>
              <w:rPr>
                <w:rFonts w:ascii="Arial" w:hAnsi="Arial" w:cs="Arial" w:eastAsia="Arial" w:hint="default"/>
                <w:sz w:val="21"/>
                <w:szCs w:val="21"/>
              </w:rPr>
            </w:pPr>
            <w:r>
              <w:rPr>
                <w:rFonts w:ascii="Arial"/>
                <w:spacing w:val="-1"/>
                <w:sz w:val="21"/>
              </w:rPr>
              <w:t>1,777,679,909.00</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40"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1"/>
              <w:jc w:val="right"/>
              <w:rPr>
                <w:rFonts w:ascii="Arial" w:hAnsi="Arial" w:cs="Arial" w:eastAsia="Arial" w:hint="default"/>
                <w:sz w:val="21"/>
                <w:szCs w:val="21"/>
              </w:rPr>
            </w:pPr>
            <w:r>
              <w:rPr>
                <w:rFonts w:ascii="Arial"/>
                <w:spacing w:val="-1"/>
                <w:sz w:val="21"/>
              </w:rPr>
              <w:t>2,420,221,207.29</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19"/>
              <w:jc w:val="right"/>
              <w:rPr>
                <w:rFonts w:ascii="Arial" w:hAnsi="Arial" w:cs="Arial" w:eastAsia="Arial" w:hint="default"/>
                <w:sz w:val="21"/>
                <w:szCs w:val="21"/>
              </w:rPr>
            </w:pPr>
            <w:r>
              <w:rPr>
                <w:rFonts w:ascii="Arial"/>
                <w:spacing w:val="-1"/>
                <w:sz w:val="21"/>
              </w:rPr>
              <w:t>2,420,221,207.29</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4"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40"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19"/>
              <w:jc w:val="right"/>
              <w:rPr>
                <w:rFonts w:ascii="Arial" w:hAnsi="Arial" w:cs="Arial" w:eastAsia="Arial" w:hint="default"/>
                <w:sz w:val="21"/>
                <w:szCs w:val="21"/>
              </w:rPr>
            </w:pPr>
            <w:r>
              <w:rPr>
                <w:rFonts w:ascii="Arial"/>
                <w:spacing w:val="-1"/>
                <w:sz w:val="21"/>
              </w:rPr>
              <w:t>-741,503.94</w:t>
            </w:r>
          </w:p>
        </w:tc>
        <w:tc>
          <w:tcPr>
            <w:tcW w:w="176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27"/>
              <w:jc w:val="right"/>
              <w:rPr>
                <w:rFonts w:ascii="Arial" w:hAnsi="Arial" w:cs="Arial" w:eastAsia="Arial" w:hint="default"/>
                <w:sz w:val="21"/>
                <w:szCs w:val="21"/>
              </w:rPr>
            </w:pPr>
            <w:r>
              <w:rPr>
                <w:rFonts w:ascii="Arial"/>
                <w:spacing w:val="-1"/>
                <w:sz w:val="21"/>
              </w:rPr>
              <w:t>-741,503.94</w:t>
            </w:r>
          </w:p>
        </w:tc>
      </w:tr>
      <w:tr>
        <w:trPr>
          <w:trHeight w:val="322"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40"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21"/>
              <w:jc w:val="right"/>
              <w:rPr>
                <w:rFonts w:ascii="Arial" w:hAnsi="Arial" w:cs="Arial" w:eastAsia="Arial" w:hint="default"/>
                <w:sz w:val="21"/>
                <w:szCs w:val="21"/>
              </w:rPr>
            </w:pPr>
            <w:r>
              <w:rPr>
                <w:rFonts w:ascii="Arial"/>
                <w:spacing w:val="-1"/>
                <w:sz w:val="21"/>
              </w:rPr>
              <w:t>1,518,444,124.46</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19"/>
              <w:jc w:val="right"/>
              <w:rPr>
                <w:rFonts w:ascii="Arial" w:hAnsi="Arial" w:cs="Arial" w:eastAsia="Arial" w:hint="default"/>
                <w:sz w:val="21"/>
                <w:szCs w:val="21"/>
              </w:rPr>
            </w:pPr>
            <w:r>
              <w:rPr>
                <w:rFonts w:ascii="Arial"/>
                <w:spacing w:val="-1"/>
                <w:sz w:val="21"/>
              </w:rPr>
              <w:t>1,518,444,124.46</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40"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0"/>
              <w:jc w:val="right"/>
              <w:rPr>
                <w:rFonts w:ascii="Arial" w:hAnsi="Arial" w:cs="Arial" w:eastAsia="Arial" w:hint="default"/>
                <w:sz w:val="21"/>
                <w:szCs w:val="21"/>
              </w:rPr>
            </w:pPr>
            <w:r>
              <w:rPr>
                <w:rFonts w:ascii="Arial"/>
                <w:spacing w:val="-1"/>
                <w:sz w:val="21"/>
              </w:rPr>
              <w:t>794,876,744.59</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19"/>
              <w:jc w:val="right"/>
              <w:rPr>
                <w:rFonts w:ascii="Arial" w:hAnsi="Arial" w:cs="Arial" w:eastAsia="Arial" w:hint="default"/>
                <w:sz w:val="21"/>
                <w:szCs w:val="21"/>
              </w:rPr>
            </w:pPr>
            <w:r>
              <w:rPr>
                <w:rFonts w:ascii="Arial"/>
                <w:spacing w:val="-1"/>
                <w:sz w:val="21"/>
              </w:rPr>
              <w:t>794,876,744.59</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554"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39" w:lineRule="exact"/>
              <w:ind w:left="240" w:right="0"/>
              <w:jc w:val="left"/>
              <w:rPr>
                <w:rFonts w:ascii="宋体" w:hAnsi="宋体" w:cs="宋体" w:eastAsia="宋体" w:hint="default"/>
                <w:sz w:val="21"/>
                <w:szCs w:val="21"/>
              </w:rPr>
            </w:pPr>
            <w:r>
              <w:rPr>
                <w:rFonts w:ascii="宋体" w:hAnsi="宋体" w:cs="宋体" w:eastAsia="宋体" w:hint="default"/>
                <w:spacing w:val="-5"/>
                <w:sz w:val="21"/>
                <w:szCs w:val="21"/>
              </w:rPr>
              <w:t>归属于母公司所有者权益（或股东权</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21"/>
              <w:jc w:val="right"/>
              <w:rPr>
                <w:rFonts w:ascii="Arial" w:hAnsi="Arial" w:cs="Arial" w:eastAsia="Arial" w:hint="default"/>
                <w:sz w:val="21"/>
                <w:szCs w:val="21"/>
              </w:rPr>
            </w:pPr>
            <w:r>
              <w:rPr>
                <w:rFonts w:ascii="Arial"/>
                <w:spacing w:val="-1"/>
                <w:sz w:val="21"/>
              </w:rPr>
              <w:t>6,511,221,985.34</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19"/>
              <w:jc w:val="right"/>
              <w:rPr>
                <w:rFonts w:ascii="Arial" w:hAnsi="Arial" w:cs="Arial" w:eastAsia="Arial" w:hint="default"/>
                <w:sz w:val="21"/>
                <w:szCs w:val="21"/>
              </w:rPr>
            </w:pPr>
            <w:r>
              <w:rPr>
                <w:rFonts w:ascii="Arial"/>
                <w:spacing w:val="-1"/>
                <w:sz w:val="21"/>
              </w:rPr>
              <w:t>6,510,480,481.40</w:t>
            </w:r>
          </w:p>
        </w:tc>
        <w:tc>
          <w:tcPr>
            <w:tcW w:w="176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6"/>
              <w:ind w:right="27"/>
              <w:jc w:val="right"/>
              <w:rPr>
                <w:rFonts w:ascii="Arial" w:hAnsi="Arial" w:cs="Arial" w:eastAsia="Arial" w:hint="default"/>
                <w:sz w:val="21"/>
                <w:szCs w:val="21"/>
              </w:rPr>
            </w:pPr>
            <w:r>
              <w:rPr>
                <w:rFonts w:ascii="Arial"/>
                <w:spacing w:val="-1"/>
                <w:sz w:val="21"/>
              </w:rPr>
              <w:t>-741,503.94</w:t>
            </w:r>
          </w:p>
        </w:tc>
      </w:tr>
      <w:tr>
        <w:trPr>
          <w:trHeight w:val="322"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40"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0"/>
              <w:jc w:val="right"/>
              <w:rPr>
                <w:rFonts w:ascii="Arial" w:hAnsi="Arial" w:cs="Arial" w:eastAsia="Arial" w:hint="default"/>
                <w:sz w:val="21"/>
                <w:szCs w:val="21"/>
              </w:rPr>
            </w:pPr>
            <w:r>
              <w:rPr>
                <w:rFonts w:ascii="Arial"/>
                <w:spacing w:val="-1"/>
                <w:sz w:val="21"/>
              </w:rPr>
              <w:t>-203,316,512.00</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19"/>
              <w:jc w:val="right"/>
              <w:rPr>
                <w:rFonts w:ascii="Arial" w:hAnsi="Arial" w:cs="Arial" w:eastAsia="Arial" w:hint="default"/>
                <w:sz w:val="21"/>
                <w:szCs w:val="21"/>
              </w:rPr>
            </w:pPr>
            <w:r>
              <w:rPr>
                <w:rFonts w:ascii="Arial"/>
                <w:spacing w:val="-1"/>
                <w:sz w:val="21"/>
              </w:rPr>
              <w:t>-203,316,512.00</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449"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1"/>
              <w:jc w:val="right"/>
              <w:rPr>
                <w:rFonts w:ascii="Arial" w:hAnsi="Arial" w:cs="Arial" w:eastAsia="Arial" w:hint="default"/>
                <w:sz w:val="21"/>
                <w:szCs w:val="21"/>
              </w:rPr>
            </w:pPr>
            <w:r>
              <w:rPr>
                <w:rFonts w:ascii="Arial"/>
                <w:spacing w:val="-1"/>
                <w:sz w:val="21"/>
              </w:rPr>
              <w:t>6,307,905,473.34</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19"/>
              <w:jc w:val="right"/>
              <w:rPr>
                <w:rFonts w:ascii="Arial" w:hAnsi="Arial" w:cs="Arial" w:eastAsia="Arial" w:hint="default"/>
                <w:sz w:val="21"/>
                <w:szCs w:val="21"/>
              </w:rPr>
            </w:pPr>
            <w:r>
              <w:rPr>
                <w:rFonts w:ascii="Arial"/>
                <w:spacing w:val="-1"/>
                <w:sz w:val="21"/>
              </w:rPr>
              <w:t>6,307,163,969.40</w:t>
            </w:r>
          </w:p>
        </w:tc>
        <w:tc>
          <w:tcPr>
            <w:tcW w:w="176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27"/>
              <w:jc w:val="right"/>
              <w:rPr>
                <w:rFonts w:ascii="Arial" w:hAnsi="Arial" w:cs="Arial" w:eastAsia="Arial" w:hint="default"/>
                <w:sz w:val="21"/>
                <w:szCs w:val="21"/>
              </w:rPr>
            </w:pPr>
            <w:r>
              <w:rPr>
                <w:rFonts w:ascii="Arial"/>
                <w:spacing w:val="-1"/>
                <w:sz w:val="21"/>
              </w:rPr>
              <w:t>-741,503.94</w:t>
            </w:r>
          </w:p>
        </w:tc>
      </w:tr>
      <w:tr>
        <w:trPr>
          <w:trHeight w:val="596" w:hRule="exact"/>
        </w:trPr>
        <w:tc>
          <w:tcPr>
            <w:tcW w:w="3567" w:type="dxa"/>
            <w:tcBorders>
              <w:top w:val="single" w:sz="4" w:space="0" w:color="41B7EE"/>
              <w:left w:val="nil" w:sz="6" w:space="0" w:color="auto"/>
              <w:bottom w:val="single" w:sz="23" w:space="0" w:color="41B7EE"/>
              <w:right w:val="single" w:sz="4" w:space="0" w:color="41B7EE"/>
            </w:tcBorders>
          </w:tcPr>
          <w:p>
            <w:pPr>
              <w:pStyle w:val="TableParagraph"/>
              <w:spacing w:line="240" w:lineRule="exact"/>
              <w:ind w:left="660"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益）总计</w:t>
            </w:r>
            <w:r>
              <w:rPr>
                <w:rFonts w:ascii="宋体" w:hAnsi="宋体" w:cs="宋体" w:eastAsia="宋体" w:hint="default"/>
                <w:sz w:val="21"/>
                <w:szCs w:val="21"/>
              </w:rPr>
              <w:t> </w:t>
            </w:r>
          </w:p>
        </w:tc>
        <w:tc>
          <w:tcPr>
            <w:tcW w:w="1791"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149"/>
              <w:ind w:right="21"/>
              <w:jc w:val="right"/>
              <w:rPr>
                <w:rFonts w:ascii="Arial" w:hAnsi="Arial" w:cs="Arial" w:eastAsia="Arial" w:hint="default"/>
                <w:sz w:val="21"/>
                <w:szCs w:val="21"/>
              </w:rPr>
            </w:pPr>
            <w:r>
              <w:rPr>
                <w:rFonts w:ascii="Arial"/>
                <w:spacing w:val="-1"/>
                <w:sz w:val="21"/>
              </w:rPr>
              <w:t>7,973,466,675.38</w:t>
            </w:r>
          </w:p>
        </w:tc>
        <w:tc>
          <w:tcPr>
            <w:tcW w:w="1762"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149"/>
              <w:ind w:right="19"/>
              <w:jc w:val="right"/>
              <w:rPr>
                <w:rFonts w:ascii="Arial" w:hAnsi="Arial" w:cs="Arial" w:eastAsia="Arial" w:hint="default"/>
                <w:sz w:val="21"/>
                <w:szCs w:val="21"/>
              </w:rPr>
            </w:pPr>
            <w:r>
              <w:rPr>
                <w:rFonts w:ascii="Arial"/>
                <w:spacing w:val="-1"/>
                <w:sz w:val="21"/>
              </w:rPr>
              <w:t>7,972,725,171.44</w:t>
            </w:r>
          </w:p>
        </w:tc>
        <w:tc>
          <w:tcPr>
            <w:tcW w:w="1762"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149"/>
              <w:ind w:right="27"/>
              <w:jc w:val="right"/>
              <w:rPr>
                <w:rFonts w:ascii="Arial" w:hAnsi="Arial" w:cs="Arial" w:eastAsia="Arial" w:hint="default"/>
                <w:sz w:val="21"/>
                <w:szCs w:val="21"/>
              </w:rPr>
            </w:pPr>
            <w:r>
              <w:rPr>
                <w:rFonts w:ascii="Arial"/>
                <w:spacing w:val="-1"/>
                <w:sz w:val="21"/>
              </w:rPr>
              <w:t>-741,503.94</w:t>
            </w:r>
          </w:p>
        </w:tc>
      </w:tr>
    </w:tbl>
    <w:p>
      <w:pPr>
        <w:spacing w:after="0" w:line="240" w:lineRule="auto"/>
        <w:jc w:val="right"/>
        <w:rPr>
          <w:rFonts w:ascii="Arial" w:hAnsi="Arial" w:cs="Arial" w:eastAsia="Arial" w:hint="default"/>
          <w:sz w:val="21"/>
          <w:szCs w:val="21"/>
        </w:rPr>
        <w:sectPr>
          <w:pgSz w:w="11910" w:h="16840"/>
          <w:pgMar w:header="826" w:footer="1195" w:top="1360" w:bottom="1380" w:left="1120" w:right="1580"/>
        </w:sectPr>
      </w:pPr>
    </w:p>
    <w:p>
      <w:pPr>
        <w:pStyle w:val="BodyText"/>
        <w:spacing w:line="239" w:lineRule="exact"/>
        <w:ind w:left="156" w:right="0"/>
        <w:jc w:val="left"/>
        <w:rPr>
          <w:rFonts w:ascii="宋体" w:hAnsi="宋体" w:cs="宋体" w:eastAsia="宋体" w:hint="default"/>
        </w:rPr>
      </w:pPr>
      <w:r>
        <w:rPr>
          <w:rFonts w:ascii="宋体"/>
          <w:w w:val="100"/>
        </w:rPr>
        <w:t> </w:t>
      </w:r>
    </w:p>
    <w:p>
      <w:pPr>
        <w:pStyle w:val="BodyText"/>
        <w:spacing w:line="272" w:lineRule="exact"/>
        <w:ind w:left="156" w:right="0"/>
        <w:jc w:val="left"/>
        <w:rPr>
          <w:rFonts w:ascii="宋体" w:hAnsi="宋体" w:cs="宋体" w:eastAsia="宋体" w:hint="default"/>
        </w:rPr>
      </w:pPr>
      <w:r>
        <w:rPr/>
        <w:t>各项目调整情况的说明：</w:t>
      </w:r>
      <w:r>
        <w:rPr>
          <w:rFonts w:ascii="宋体" w:hAnsi="宋体" w:cs="宋体" w:eastAsia="宋体" w:hint="default"/>
        </w:rPr>
        <w:t> </w:t>
      </w:r>
    </w:p>
    <w:p>
      <w:pPr>
        <w:pStyle w:val="BodyText"/>
        <w:spacing w:line="272" w:lineRule="exact"/>
        <w:ind w:left="1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56"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240" w:lineRule="auto"/>
        <w:ind w:left="156" w:right="0"/>
        <w:jc w:val="left"/>
        <w:rPr>
          <w:rFonts w:ascii="宋体" w:hAnsi="宋体" w:cs="宋体" w:eastAsia="宋体" w:hint="default"/>
        </w:rPr>
      </w:pPr>
      <w:r>
        <w:rPr/>
        <w:t>母公司资产负债表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ind w:left="156"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120" w:right="1580"/>
          <w:cols w:num="3" w:equalWidth="0">
            <w:col w:w="2575" w:space="1002"/>
            <w:col w:w="1943" w:space="582"/>
            <w:col w:w="3108"/>
          </w:cols>
        </w:sectPr>
      </w:pPr>
    </w:p>
    <w:tbl>
      <w:tblPr>
        <w:tblW w:w="0" w:type="auto"/>
        <w:jc w:val="left"/>
        <w:tblInd w:w="128" w:type="dxa"/>
        <w:tblLayout w:type="fixed"/>
        <w:tblCellMar>
          <w:top w:w="0" w:type="dxa"/>
          <w:left w:w="0" w:type="dxa"/>
          <w:bottom w:w="0" w:type="dxa"/>
          <w:right w:w="0" w:type="dxa"/>
        </w:tblCellMar>
        <w:tblLook w:val="01E0"/>
      </w:tblPr>
      <w:tblGrid>
        <w:gridCol w:w="3543"/>
        <w:gridCol w:w="1762"/>
        <w:gridCol w:w="1824"/>
        <w:gridCol w:w="1762"/>
      </w:tblGrid>
      <w:tr>
        <w:trPr>
          <w:trHeight w:val="362" w:hRule="exact"/>
        </w:trPr>
        <w:tc>
          <w:tcPr>
            <w:tcW w:w="3543" w:type="dxa"/>
            <w:tcBorders>
              <w:top w:val="single" w:sz="23" w:space="0" w:color="41B7EE"/>
              <w:left w:val="nil" w:sz="6" w:space="0" w:color="auto"/>
              <w:bottom w:val="single" w:sz="4" w:space="0" w:color="41B7EE"/>
              <w:right w:val="single" w:sz="4" w:space="0" w:color="41B7EE"/>
            </w:tcBorders>
          </w:tcPr>
          <w:p>
            <w:pPr>
              <w:pStyle w:val="TableParagraph"/>
              <w:spacing w:line="265" w:lineRule="exact"/>
              <w:ind w:left="11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62" w:type="dxa"/>
            <w:tcBorders>
              <w:top w:val="single" w:sz="23" w:space="0" w:color="41B7EE"/>
              <w:left w:val="single" w:sz="4" w:space="0" w:color="41B7EE"/>
              <w:bottom w:val="single" w:sz="4" w:space="0" w:color="41B7EE"/>
              <w:right w:val="single" w:sz="4" w:space="0" w:color="41B7EE"/>
            </w:tcBorders>
          </w:tcPr>
          <w:p>
            <w:pPr>
              <w:pStyle w:val="TableParagraph"/>
              <w:spacing w:line="280" w:lineRule="exact"/>
              <w:ind w:right="24"/>
              <w:jc w:val="right"/>
              <w:rPr>
                <w:rFonts w:ascii="宋体" w:hAnsi="宋体" w:cs="宋体" w:eastAsia="宋体" w:hint="default"/>
                <w:sz w:val="21"/>
                <w:szCs w:val="21"/>
              </w:rPr>
            </w:pPr>
            <w:r>
              <w:rPr>
                <w:rFonts w:ascii="Arial" w:hAnsi="Arial" w:cs="Arial" w:eastAsia="Arial" w:hint="default"/>
                <w:spacing w:val="-8"/>
                <w:sz w:val="21"/>
                <w:szCs w:val="21"/>
              </w:rPr>
              <w:t>2018</w:t>
            </w:r>
            <w:r>
              <w:rPr>
                <w:rFonts w:ascii="Arial" w:hAnsi="Arial" w:cs="Arial" w:eastAsia="Arial"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Arial" w:hAnsi="Arial" w:cs="Arial" w:eastAsia="Arial" w:hint="default"/>
                <w:spacing w:val="-5"/>
                <w:sz w:val="21"/>
                <w:szCs w:val="21"/>
              </w:rPr>
              <w:t>12</w:t>
            </w:r>
            <w:r>
              <w:rPr>
                <w:rFonts w:ascii="Arial" w:hAnsi="Arial" w:cs="Arial" w:eastAsia="Arial" w:hint="default"/>
                <w:spacing w:val="-22"/>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Arial" w:hAnsi="Arial" w:cs="Arial" w:eastAsia="Arial" w:hint="default"/>
                <w:spacing w:val="-6"/>
                <w:sz w:val="21"/>
                <w:szCs w:val="21"/>
              </w:rPr>
              <w:t>31</w:t>
            </w:r>
            <w:r>
              <w:rPr>
                <w:rFonts w:ascii="Arial" w:hAnsi="Arial" w:cs="Arial" w:eastAsia="Arial" w:hint="default"/>
                <w:spacing w:val="-22"/>
                <w:sz w:val="21"/>
                <w:szCs w:val="21"/>
              </w:rPr>
              <w:t> </w:t>
            </w:r>
            <w:r>
              <w:rPr>
                <w:rFonts w:ascii="宋体" w:hAnsi="宋体" w:cs="宋体" w:eastAsia="宋体" w:hint="default"/>
                <w:sz w:val="21"/>
                <w:szCs w:val="21"/>
              </w:rPr>
              <w:t>日</w:t>
            </w:r>
          </w:p>
        </w:tc>
        <w:tc>
          <w:tcPr>
            <w:tcW w:w="1824" w:type="dxa"/>
            <w:tcBorders>
              <w:top w:val="single" w:sz="23" w:space="0" w:color="41B7EE"/>
              <w:left w:val="single" w:sz="4" w:space="0" w:color="41B7EE"/>
              <w:bottom w:val="single" w:sz="4" w:space="0" w:color="41B7EE"/>
              <w:right w:val="single" w:sz="4" w:space="0" w:color="41B7EE"/>
            </w:tcBorders>
          </w:tcPr>
          <w:p>
            <w:pPr>
              <w:pStyle w:val="TableParagraph"/>
              <w:spacing w:line="280" w:lineRule="exact"/>
              <w:ind w:left="110"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1762" w:type="dxa"/>
            <w:tcBorders>
              <w:top w:val="single" w:sz="23" w:space="0" w:color="41B7EE"/>
              <w:left w:val="single" w:sz="4" w:space="0" w:color="41B7EE"/>
              <w:bottom w:val="single" w:sz="4" w:space="0" w:color="41B7EE"/>
              <w:right w:val="nil" w:sz="6" w:space="0" w:color="auto"/>
            </w:tcBorders>
          </w:tcPr>
          <w:p>
            <w:pPr>
              <w:pStyle w:val="TableParagraph"/>
              <w:spacing w:line="265" w:lineRule="exact"/>
              <w:ind w:left="559" w:right="0"/>
              <w:jc w:val="left"/>
              <w:rPr>
                <w:rFonts w:ascii="宋体" w:hAnsi="宋体" w:cs="宋体" w:eastAsia="宋体" w:hint="default"/>
                <w:sz w:val="21"/>
                <w:szCs w:val="21"/>
              </w:rPr>
            </w:pPr>
            <w:r>
              <w:rPr>
                <w:rFonts w:ascii="宋体" w:hAnsi="宋体" w:cs="宋体" w:eastAsia="宋体" w:hint="default"/>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22" w:hRule="exact"/>
        </w:trPr>
        <w:tc>
          <w:tcPr>
            <w:tcW w:w="8892" w:type="dxa"/>
            <w:gridSpan w:val="4"/>
            <w:tcBorders>
              <w:top w:val="single" w:sz="4" w:space="0" w:color="41B7EE"/>
              <w:left w:val="nil" w:sz="6" w:space="0" w:color="auto"/>
              <w:bottom w:val="single" w:sz="4" w:space="0" w:color="41B7EE"/>
              <w:right w:val="nil" w:sz="6" w:space="0" w:color="auto"/>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流动资产：</w:t>
            </w:r>
            <w:r>
              <w:rPr>
                <w:rFonts w:ascii="宋体" w:hAnsi="宋体" w:cs="宋体" w:eastAsia="宋体" w:hint="default"/>
                <w:sz w:val="21"/>
                <w:szCs w:val="21"/>
              </w:rPr>
              <w:t> </w:t>
            </w:r>
          </w:p>
        </w:tc>
      </w:tr>
      <w:tr>
        <w:trPr>
          <w:trHeight w:val="324"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40"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2"/>
              <w:jc w:val="right"/>
              <w:rPr>
                <w:rFonts w:ascii="Arial" w:hAnsi="Arial" w:cs="Arial" w:eastAsia="Arial" w:hint="default"/>
                <w:sz w:val="21"/>
                <w:szCs w:val="21"/>
              </w:rPr>
            </w:pPr>
            <w:r>
              <w:rPr>
                <w:rFonts w:ascii="Arial"/>
                <w:spacing w:val="-1"/>
                <w:sz w:val="21"/>
              </w:rPr>
              <w:t>223,916,588.65</w:t>
            </w:r>
          </w:p>
        </w:tc>
        <w:tc>
          <w:tcPr>
            <w:tcW w:w="18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17"/>
              <w:jc w:val="right"/>
              <w:rPr>
                <w:rFonts w:ascii="Arial" w:hAnsi="Arial" w:cs="Arial" w:eastAsia="Arial" w:hint="default"/>
                <w:sz w:val="21"/>
                <w:szCs w:val="21"/>
              </w:rPr>
            </w:pPr>
            <w:r>
              <w:rPr>
                <w:rFonts w:ascii="Arial"/>
                <w:spacing w:val="-1"/>
                <w:sz w:val="21"/>
              </w:rPr>
              <w:t>223,916,588.65</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40"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
        </w:tc>
        <w:tc>
          <w:tcPr>
            <w:tcW w:w="18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left="158" w:right="0"/>
              <w:jc w:val="left"/>
              <w:rPr>
                <w:rFonts w:ascii="Arial" w:hAnsi="Arial" w:cs="Arial" w:eastAsia="Arial" w:hint="default"/>
                <w:sz w:val="21"/>
                <w:szCs w:val="21"/>
              </w:rPr>
            </w:pPr>
            <w:r>
              <w:rPr>
                <w:rFonts w:ascii="Arial"/>
                <w:sz w:val="21"/>
              </w:rPr>
              <w:t>2,145,552,559.11</w:t>
            </w:r>
          </w:p>
        </w:tc>
        <w:tc>
          <w:tcPr>
            <w:tcW w:w="176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2,145,552,559.11</w:t>
            </w:r>
          </w:p>
        </w:tc>
      </w:tr>
      <w:tr>
        <w:trPr>
          <w:trHeight w:val="322"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61" w:lineRule="exact"/>
              <w:ind w:left="24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2"/>
              <w:jc w:val="right"/>
              <w:rPr>
                <w:rFonts w:ascii="Arial" w:hAnsi="Arial" w:cs="Arial" w:eastAsia="Arial" w:hint="default"/>
                <w:sz w:val="21"/>
                <w:szCs w:val="21"/>
              </w:rPr>
            </w:pPr>
            <w:r>
              <w:rPr>
                <w:rFonts w:ascii="Arial"/>
                <w:spacing w:val="-1"/>
                <w:sz w:val="21"/>
              </w:rPr>
              <w:t>194,108.00</w:t>
            </w:r>
          </w:p>
        </w:tc>
        <w:tc>
          <w:tcPr>
            <w:tcW w:w="18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17"/>
              <w:jc w:val="right"/>
              <w:rPr>
                <w:rFonts w:ascii="Arial" w:hAnsi="Arial" w:cs="Arial" w:eastAsia="Arial" w:hint="default"/>
                <w:sz w:val="21"/>
                <w:szCs w:val="21"/>
              </w:rPr>
            </w:pPr>
            <w:r>
              <w:rPr>
                <w:rFonts w:ascii="Arial"/>
                <w:spacing w:val="-1"/>
                <w:sz w:val="21"/>
              </w:rPr>
              <w:t>194,108.00</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40"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2"/>
              <w:jc w:val="right"/>
              <w:rPr>
                <w:rFonts w:ascii="Arial" w:hAnsi="Arial" w:cs="Arial" w:eastAsia="Arial" w:hint="default"/>
                <w:sz w:val="21"/>
                <w:szCs w:val="21"/>
              </w:rPr>
            </w:pPr>
            <w:r>
              <w:rPr>
                <w:rFonts w:ascii="Arial"/>
                <w:spacing w:val="-1"/>
                <w:sz w:val="21"/>
              </w:rPr>
              <w:t>46,932,603.15</w:t>
            </w:r>
          </w:p>
        </w:tc>
        <w:tc>
          <w:tcPr>
            <w:tcW w:w="18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17"/>
              <w:jc w:val="right"/>
              <w:rPr>
                <w:rFonts w:ascii="Arial" w:hAnsi="Arial" w:cs="Arial" w:eastAsia="Arial" w:hint="default"/>
                <w:sz w:val="21"/>
                <w:szCs w:val="21"/>
              </w:rPr>
            </w:pPr>
            <w:r>
              <w:rPr>
                <w:rFonts w:ascii="Arial"/>
                <w:spacing w:val="-1"/>
                <w:sz w:val="21"/>
              </w:rPr>
              <w:t>46,932,603.15</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40"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2"/>
              <w:jc w:val="right"/>
              <w:rPr>
                <w:rFonts w:ascii="Arial" w:hAnsi="Arial" w:cs="Arial" w:eastAsia="Arial" w:hint="default"/>
                <w:sz w:val="21"/>
                <w:szCs w:val="21"/>
              </w:rPr>
            </w:pPr>
            <w:r>
              <w:rPr>
                <w:rFonts w:ascii="Arial"/>
                <w:spacing w:val="-1"/>
                <w:sz w:val="21"/>
              </w:rPr>
              <w:t>1,233,179,379.12</w:t>
            </w:r>
          </w:p>
        </w:tc>
        <w:tc>
          <w:tcPr>
            <w:tcW w:w="18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left="158" w:right="0"/>
              <w:jc w:val="left"/>
              <w:rPr>
                <w:rFonts w:ascii="Arial" w:hAnsi="Arial" w:cs="Arial" w:eastAsia="Arial" w:hint="default"/>
                <w:sz w:val="21"/>
                <w:szCs w:val="21"/>
              </w:rPr>
            </w:pPr>
            <w:r>
              <w:rPr>
                <w:rFonts w:ascii="Arial"/>
                <w:sz w:val="21"/>
              </w:rPr>
              <w:t>1,223,320,432.22</w:t>
            </w:r>
          </w:p>
        </w:tc>
        <w:tc>
          <w:tcPr>
            <w:tcW w:w="176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25"/>
              <w:jc w:val="right"/>
              <w:rPr>
                <w:rFonts w:ascii="Arial" w:hAnsi="Arial" w:cs="Arial" w:eastAsia="Arial" w:hint="default"/>
                <w:sz w:val="21"/>
                <w:szCs w:val="21"/>
              </w:rPr>
            </w:pPr>
            <w:r>
              <w:rPr>
                <w:rFonts w:ascii="Arial"/>
                <w:spacing w:val="-1"/>
                <w:sz w:val="21"/>
              </w:rPr>
              <w:t>-9,858,946.90</w:t>
            </w:r>
          </w:p>
        </w:tc>
      </w:tr>
      <w:tr>
        <w:trPr>
          <w:trHeight w:val="322"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240"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2"/>
              <w:jc w:val="right"/>
              <w:rPr>
                <w:rFonts w:ascii="Arial" w:hAnsi="Arial" w:cs="Arial" w:eastAsia="Arial" w:hint="default"/>
                <w:sz w:val="21"/>
                <w:szCs w:val="21"/>
              </w:rPr>
            </w:pPr>
            <w:r>
              <w:rPr>
                <w:rFonts w:ascii="Arial"/>
                <w:spacing w:val="-1"/>
                <w:sz w:val="21"/>
              </w:rPr>
              <w:t>9,858,946.90</w:t>
            </w:r>
          </w:p>
        </w:tc>
        <w:tc>
          <w:tcPr>
            <w:tcW w:w="1824" w:type="dxa"/>
            <w:tcBorders>
              <w:top w:val="single" w:sz="4" w:space="0" w:color="41B7EE"/>
              <w:left w:val="single" w:sz="4" w:space="0" w:color="41B7EE"/>
              <w:bottom w:val="single" w:sz="4" w:space="0" w:color="41B7EE"/>
              <w:right w:val="single" w:sz="4" w:space="0" w:color="41B7EE"/>
            </w:tcBorders>
          </w:tcPr>
          <w:p>
            <w:pPr/>
          </w:p>
        </w:tc>
        <w:tc>
          <w:tcPr>
            <w:tcW w:w="176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25"/>
              <w:jc w:val="right"/>
              <w:rPr>
                <w:rFonts w:ascii="Arial" w:hAnsi="Arial" w:cs="Arial" w:eastAsia="Arial" w:hint="default"/>
                <w:sz w:val="21"/>
                <w:szCs w:val="21"/>
              </w:rPr>
            </w:pPr>
            <w:r>
              <w:rPr>
                <w:rFonts w:ascii="Arial"/>
                <w:spacing w:val="-1"/>
                <w:sz w:val="21"/>
              </w:rPr>
              <w:t>-9,858,946.90</w:t>
            </w:r>
          </w:p>
        </w:tc>
      </w:tr>
      <w:tr>
        <w:trPr>
          <w:trHeight w:val="324"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869"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
        </w:tc>
        <w:tc>
          <w:tcPr>
            <w:tcW w:w="1824" w:type="dxa"/>
            <w:tcBorders>
              <w:top w:val="single" w:sz="4" w:space="0" w:color="41B7EE"/>
              <w:left w:val="single" w:sz="4" w:space="0" w:color="41B7EE"/>
              <w:bottom w:val="single" w:sz="4" w:space="0" w:color="41B7EE"/>
              <w:right w:val="single" w:sz="4" w:space="0" w:color="41B7EE"/>
            </w:tcBorders>
          </w:tcPr>
          <w:p>
            <w:pP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40"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64,947,314.62</w:t>
            </w:r>
          </w:p>
        </w:tc>
        <w:tc>
          <w:tcPr>
            <w:tcW w:w="18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17"/>
              <w:jc w:val="right"/>
              <w:rPr>
                <w:rFonts w:ascii="Arial" w:hAnsi="Arial" w:cs="Arial" w:eastAsia="Arial" w:hint="default"/>
                <w:sz w:val="21"/>
                <w:szCs w:val="21"/>
              </w:rPr>
            </w:pPr>
            <w:r>
              <w:rPr>
                <w:rFonts w:ascii="Arial"/>
                <w:spacing w:val="-1"/>
                <w:sz w:val="21"/>
              </w:rPr>
              <w:t>64,947,314.62</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240"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2"/>
              <w:jc w:val="right"/>
              <w:rPr>
                <w:rFonts w:ascii="Arial" w:hAnsi="Arial" w:cs="Arial" w:eastAsia="Arial" w:hint="default"/>
                <w:sz w:val="21"/>
                <w:szCs w:val="21"/>
              </w:rPr>
            </w:pPr>
            <w:r>
              <w:rPr>
                <w:rFonts w:ascii="Arial"/>
                <w:spacing w:val="-1"/>
                <w:sz w:val="21"/>
              </w:rPr>
              <w:t>2,162,612,628.99</w:t>
            </w:r>
          </w:p>
        </w:tc>
        <w:tc>
          <w:tcPr>
            <w:tcW w:w="18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17"/>
              <w:jc w:val="right"/>
              <w:rPr>
                <w:rFonts w:ascii="Arial" w:hAnsi="Arial" w:cs="Arial" w:eastAsia="Arial" w:hint="default"/>
                <w:sz w:val="21"/>
                <w:szCs w:val="21"/>
              </w:rPr>
            </w:pPr>
            <w:r>
              <w:rPr>
                <w:rFonts w:ascii="Arial"/>
                <w:spacing w:val="-1"/>
                <w:sz w:val="21"/>
              </w:rPr>
              <w:t>26,919,016.78</w:t>
            </w:r>
          </w:p>
        </w:tc>
        <w:tc>
          <w:tcPr>
            <w:tcW w:w="176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24"/>
              <w:jc w:val="right"/>
              <w:rPr>
                <w:rFonts w:ascii="Arial" w:hAnsi="Arial" w:cs="Arial" w:eastAsia="Arial" w:hint="default"/>
                <w:sz w:val="21"/>
                <w:szCs w:val="21"/>
              </w:rPr>
            </w:pPr>
            <w:r>
              <w:rPr>
                <w:rFonts w:ascii="Arial"/>
                <w:spacing w:val="-1"/>
                <w:sz w:val="21"/>
              </w:rPr>
              <w:t>-2,135,693,612.21</w:t>
            </w:r>
          </w:p>
        </w:tc>
      </w:tr>
      <w:tr>
        <w:trPr>
          <w:trHeight w:val="322"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449"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2"/>
              <w:jc w:val="right"/>
              <w:rPr>
                <w:rFonts w:ascii="Arial" w:hAnsi="Arial" w:cs="Arial" w:eastAsia="Arial" w:hint="default"/>
                <w:sz w:val="21"/>
                <w:szCs w:val="21"/>
              </w:rPr>
            </w:pPr>
            <w:r>
              <w:rPr>
                <w:rFonts w:ascii="Arial"/>
                <w:spacing w:val="-1"/>
                <w:sz w:val="21"/>
              </w:rPr>
              <w:t>3,731,782,622.53</w:t>
            </w:r>
          </w:p>
        </w:tc>
        <w:tc>
          <w:tcPr>
            <w:tcW w:w="18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left="158" w:right="0"/>
              <w:jc w:val="left"/>
              <w:rPr>
                <w:rFonts w:ascii="Arial" w:hAnsi="Arial" w:cs="Arial" w:eastAsia="Arial" w:hint="default"/>
                <w:sz w:val="21"/>
                <w:szCs w:val="21"/>
              </w:rPr>
            </w:pPr>
            <w:r>
              <w:rPr>
                <w:rFonts w:ascii="Arial"/>
                <w:sz w:val="21"/>
              </w:rPr>
              <w:t>3,731,782,622.53</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48" w:hRule="exact"/>
        </w:trPr>
        <w:tc>
          <w:tcPr>
            <w:tcW w:w="8892" w:type="dxa"/>
            <w:gridSpan w:val="4"/>
            <w:tcBorders>
              <w:top w:val="single" w:sz="4" w:space="0" w:color="41B7EE"/>
              <w:left w:val="nil" w:sz="6" w:space="0" w:color="auto"/>
              <w:bottom w:val="single" w:sz="23" w:space="0" w:color="41B7EE"/>
              <w:right w:val="nil" w:sz="6" w:space="0" w:color="auto"/>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非流动资产：</w:t>
            </w:r>
          </w:p>
        </w:tc>
      </w:tr>
    </w:tbl>
    <w:p>
      <w:pPr>
        <w:spacing w:after="0" w:line="262" w:lineRule="exact"/>
        <w:jc w:val="left"/>
        <w:rPr>
          <w:rFonts w:ascii="宋体" w:hAnsi="宋体" w:cs="宋体" w:eastAsia="宋体" w:hint="default"/>
          <w:sz w:val="21"/>
          <w:szCs w:val="21"/>
        </w:rPr>
        <w:sectPr>
          <w:type w:val="continuous"/>
          <w:pgSz w:w="11910" w:h="16840"/>
          <w:pgMar w:top="1360" w:bottom="1380" w:left="1120" w:right="1580"/>
        </w:sectPr>
      </w:pPr>
    </w:p>
    <w:tbl>
      <w:tblPr>
        <w:tblW w:w="0" w:type="auto"/>
        <w:jc w:val="left"/>
        <w:tblInd w:w="128" w:type="dxa"/>
        <w:tblLayout w:type="fixed"/>
        <w:tblCellMar>
          <w:top w:w="0" w:type="dxa"/>
          <w:left w:w="0" w:type="dxa"/>
          <w:bottom w:w="0" w:type="dxa"/>
          <w:right w:w="0" w:type="dxa"/>
        </w:tblCellMar>
        <w:tblLook w:val="01E0"/>
      </w:tblPr>
      <w:tblGrid>
        <w:gridCol w:w="3543"/>
        <w:gridCol w:w="1762"/>
        <w:gridCol w:w="1824"/>
        <w:gridCol w:w="1762"/>
      </w:tblGrid>
      <w:tr>
        <w:trPr>
          <w:trHeight w:val="334" w:hRule="exact"/>
        </w:trPr>
        <w:tc>
          <w:tcPr>
            <w:tcW w:w="3543" w:type="dxa"/>
            <w:tcBorders>
              <w:top w:val="single" w:sz="8" w:space="0" w:color="41B7EE"/>
              <w:left w:val="nil" w:sz="6" w:space="0" w:color="auto"/>
              <w:bottom w:val="single" w:sz="4" w:space="0" w:color="41B7EE"/>
              <w:right w:val="single" w:sz="4" w:space="0" w:color="41B7EE"/>
            </w:tcBorders>
          </w:tcPr>
          <w:p>
            <w:pPr>
              <w:pStyle w:val="TableParagraph"/>
              <w:spacing w:line="258" w:lineRule="exact"/>
              <w:ind w:left="240"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762"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28"/>
              <w:ind w:right="22"/>
              <w:jc w:val="right"/>
              <w:rPr>
                <w:rFonts w:ascii="Arial" w:hAnsi="Arial" w:cs="Arial" w:eastAsia="Arial" w:hint="default"/>
                <w:sz w:val="21"/>
                <w:szCs w:val="21"/>
              </w:rPr>
            </w:pPr>
            <w:r>
              <w:rPr>
                <w:rFonts w:ascii="Arial"/>
                <w:spacing w:val="-1"/>
                <w:sz w:val="21"/>
              </w:rPr>
              <w:t>21,000,000.00</w:t>
            </w:r>
          </w:p>
        </w:tc>
        <w:tc>
          <w:tcPr>
            <w:tcW w:w="1824" w:type="dxa"/>
            <w:tcBorders>
              <w:top w:val="single" w:sz="8" w:space="0" w:color="41B7EE"/>
              <w:left w:val="single" w:sz="4" w:space="0" w:color="41B7EE"/>
              <w:bottom w:val="single" w:sz="4" w:space="0" w:color="41B7EE"/>
              <w:right w:val="single" w:sz="4" w:space="0" w:color="41B7EE"/>
            </w:tcBorders>
          </w:tcPr>
          <w:p>
            <w:pPr/>
          </w:p>
        </w:tc>
        <w:tc>
          <w:tcPr>
            <w:tcW w:w="1762"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28"/>
              <w:ind w:right="25"/>
              <w:jc w:val="right"/>
              <w:rPr>
                <w:rFonts w:ascii="Arial" w:hAnsi="Arial" w:cs="Arial" w:eastAsia="Arial" w:hint="default"/>
                <w:sz w:val="21"/>
                <w:szCs w:val="21"/>
              </w:rPr>
            </w:pPr>
            <w:r>
              <w:rPr>
                <w:rFonts w:ascii="Arial"/>
                <w:spacing w:val="-1"/>
                <w:sz w:val="21"/>
              </w:rPr>
              <w:t>-21,000,000.00</w:t>
            </w:r>
          </w:p>
        </w:tc>
      </w:tr>
      <w:tr>
        <w:trPr>
          <w:trHeight w:val="322"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55" w:lineRule="exact"/>
              <w:ind w:left="240"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22"/>
              <w:jc w:val="right"/>
              <w:rPr>
                <w:rFonts w:ascii="Arial" w:hAnsi="Arial" w:cs="Arial" w:eastAsia="Arial" w:hint="default"/>
                <w:sz w:val="21"/>
                <w:szCs w:val="21"/>
              </w:rPr>
            </w:pPr>
            <w:r>
              <w:rPr>
                <w:rFonts w:ascii="Arial"/>
                <w:spacing w:val="-1"/>
                <w:sz w:val="21"/>
              </w:rPr>
              <w:t>858,854,707.75</w:t>
            </w:r>
          </w:p>
        </w:tc>
        <w:tc>
          <w:tcPr>
            <w:tcW w:w="18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17"/>
              <w:jc w:val="right"/>
              <w:rPr>
                <w:rFonts w:ascii="Arial" w:hAnsi="Arial" w:cs="Arial" w:eastAsia="Arial" w:hint="default"/>
                <w:sz w:val="21"/>
                <w:szCs w:val="21"/>
              </w:rPr>
            </w:pPr>
            <w:r>
              <w:rPr>
                <w:rFonts w:ascii="Arial"/>
                <w:spacing w:val="-1"/>
                <w:sz w:val="21"/>
              </w:rPr>
              <w:t>858,854,707.75</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58" w:lineRule="exact"/>
              <w:ind w:left="240"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
        </w:tc>
        <w:tc>
          <w:tcPr>
            <w:tcW w:w="18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17"/>
              <w:jc w:val="right"/>
              <w:rPr>
                <w:rFonts w:ascii="Arial" w:hAnsi="Arial" w:cs="Arial" w:eastAsia="Arial" w:hint="default"/>
                <w:sz w:val="21"/>
                <w:szCs w:val="21"/>
              </w:rPr>
            </w:pPr>
            <w:r>
              <w:rPr>
                <w:rFonts w:ascii="Arial"/>
                <w:spacing w:val="-1"/>
                <w:sz w:val="21"/>
              </w:rPr>
              <w:t>20,258,493.06</w:t>
            </w:r>
          </w:p>
        </w:tc>
        <w:tc>
          <w:tcPr>
            <w:tcW w:w="176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6"/>
              <w:ind w:right="25"/>
              <w:jc w:val="right"/>
              <w:rPr>
                <w:rFonts w:ascii="Arial" w:hAnsi="Arial" w:cs="Arial" w:eastAsia="Arial" w:hint="default"/>
                <w:sz w:val="21"/>
                <w:szCs w:val="21"/>
              </w:rPr>
            </w:pPr>
            <w:r>
              <w:rPr>
                <w:rFonts w:ascii="Arial"/>
                <w:spacing w:val="-1"/>
                <w:sz w:val="21"/>
              </w:rPr>
              <w:t>20,258,493.06</w:t>
            </w:r>
          </w:p>
        </w:tc>
      </w:tr>
      <w:tr>
        <w:trPr>
          <w:trHeight w:val="324"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58" w:lineRule="exact"/>
              <w:ind w:left="240"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22"/>
              <w:jc w:val="right"/>
              <w:rPr>
                <w:rFonts w:ascii="Arial" w:hAnsi="Arial" w:cs="Arial" w:eastAsia="Arial" w:hint="default"/>
                <w:sz w:val="21"/>
                <w:szCs w:val="21"/>
              </w:rPr>
            </w:pPr>
            <w:r>
              <w:rPr>
                <w:rFonts w:ascii="Arial"/>
                <w:spacing w:val="-1"/>
                <w:sz w:val="21"/>
              </w:rPr>
              <w:t>2,768,827,817.30</w:t>
            </w:r>
          </w:p>
        </w:tc>
        <w:tc>
          <w:tcPr>
            <w:tcW w:w="18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17"/>
              <w:jc w:val="right"/>
              <w:rPr>
                <w:rFonts w:ascii="Arial" w:hAnsi="Arial" w:cs="Arial" w:eastAsia="Arial" w:hint="default"/>
                <w:sz w:val="21"/>
                <w:szCs w:val="21"/>
              </w:rPr>
            </w:pPr>
            <w:r>
              <w:rPr>
                <w:rFonts w:ascii="Arial"/>
                <w:spacing w:val="-1"/>
                <w:sz w:val="21"/>
              </w:rPr>
              <w:t>2,768,827,817.30</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55" w:lineRule="exact"/>
              <w:ind w:left="240"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4"/>
              <w:ind w:right="22"/>
              <w:jc w:val="right"/>
              <w:rPr>
                <w:rFonts w:ascii="Arial" w:hAnsi="Arial" w:cs="Arial" w:eastAsia="Arial" w:hint="default"/>
                <w:sz w:val="21"/>
                <w:szCs w:val="21"/>
              </w:rPr>
            </w:pPr>
            <w:r>
              <w:rPr>
                <w:rFonts w:ascii="Arial"/>
                <w:spacing w:val="-1"/>
                <w:sz w:val="21"/>
              </w:rPr>
              <w:t>23,119,736.43</w:t>
            </w:r>
          </w:p>
        </w:tc>
        <w:tc>
          <w:tcPr>
            <w:tcW w:w="18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4"/>
              <w:ind w:right="17"/>
              <w:jc w:val="right"/>
              <w:rPr>
                <w:rFonts w:ascii="Arial" w:hAnsi="Arial" w:cs="Arial" w:eastAsia="Arial" w:hint="default"/>
                <w:sz w:val="21"/>
                <w:szCs w:val="21"/>
              </w:rPr>
            </w:pPr>
            <w:r>
              <w:rPr>
                <w:rFonts w:ascii="Arial"/>
                <w:spacing w:val="-1"/>
                <w:sz w:val="21"/>
              </w:rPr>
              <w:t>23,119,736.43</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55" w:lineRule="exact"/>
              <w:ind w:left="240"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22"/>
              <w:jc w:val="right"/>
              <w:rPr>
                <w:rFonts w:ascii="Arial" w:hAnsi="Arial" w:cs="Arial" w:eastAsia="Arial" w:hint="default"/>
                <w:sz w:val="21"/>
                <w:szCs w:val="21"/>
              </w:rPr>
            </w:pPr>
            <w:r>
              <w:rPr>
                <w:rFonts w:ascii="Arial"/>
                <w:spacing w:val="-1"/>
                <w:sz w:val="21"/>
              </w:rPr>
              <w:t>54,175,948.63</w:t>
            </w:r>
          </w:p>
        </w:tc>
        <w:tc>
          <w:tcPr>
            <w:tcW w:w="18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17"/>
              <w:jc w:val="right"/>
              <w:rPr>
                <w:rFonts w:ascii="Arial" w:hAnsi="Arial" w:cs="Arial" w:eastAsia="Arial" w:hint="default"/>
                <w:sz w:val="21"/>
                <w:szCs w:val="21"/>
              </w:rPr>
            </w:pPr>
            <w:r>
              <w:rPr>
                <w:rFonts w:ascii="Arial"/>
                <w:spacing w:val="-1"/>
                <w:sz w:val="21"/>
              </w:rPr>
              <w:t>54,175,948.63</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55" w:lineRule="exact"/>
              <w:ind w:left="240"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22"/>
              <w:jc w:val="right"/>
              <w:rPr>
                <w:rFonts w:ascii="Arial" w:hAnsi="Arial" w:cs="Arial" w:eastAsia="Arial" w:hint="default"/>
                <w:sz w:val="21"/>
                <w:szCs w:val="21"/>
              </w:rPr>
            </w:pPr>
            <w:r>
              <w:rPr>
                <w:rFonts w:ascii="Arial"/>
                <w:spacing w:val="-1"/>
                <w:sz w:val="21"/>
              </w:rPr>
              <w:t>49,001,221.61</w:t>
            </w:r>
          </w:p>
        </w:tc>
        <w:tc>
          <w:tcPr>
            <w:tcW w:w="18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17"/>
              <w:jc w:val="right"/>
              <w:rPr>
                <w:rFonts w:ascii="Arial" w:hAnsi="Arial" w:cs="Arial" w:eastAsia="Arial" w:hint="default"/>
                <w:sz w:val="21"/>
                <w:szCs w:val="21"/>
              </w:rPr>
            </w:pPr>
            <w:r>
              <w:rPr>
                <w:rFonts w:ascii="Arial"/>
                <w:spacing w:val="-1"/>
                <w:sz w:val="21"/>
              </w:rPr>
              <w:t>49,001,221.61</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55" w:lineRule="exact"/>
              <w:ind w:left="240"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22"/>
              <w:jc w:val="right"/>
              <w:rPr>
                <w:rFonts w:ascii="Arial" w:hAnsi="Arial" w:cs="Arial" w:eastAsia="Arial" w:hint="default"/>
                <w:sz w:val="21"/>
                <w:szCs w:val="21"/>
              </w:rPr>
            </w:pPr>
            <w:r>
              <w:rPr>
                <w:rFonts w:ascii="Arial"/>
                <w:spacing w:val="-1"/>
                <w:sz w:val="21"/>
              </w:rPr>
              <w:t>417,034,249.37</w:t>
            </w:r>
          </w:p>
        </w:tc>
        <w:tc>
          <w:tcPr>
            <w:tcW w:w="18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17"/>
              <w:jc w:val="right"/>
              <w:rPr>
                <w:rFonts w:ascii="Arial" w:hAnsi="Arial" w:cs="Arial" w:eastAsia="Arial" w:hint="default"/>
                <w:sz w:val="21"/>
                <w:szCs w:val="21"/>
              </w:rPr>
            </w:pPr>
            <w:r>
              <w:rPr>
                <w:rFonts w:ascii="Arial"/>
                <w:spacing w:val="-1"/>
                <w:sz w:val="21"/>
              </w:rPr>
              <w:t>417,034,249.37</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58" w:lineRule="exact"/>
              <w:ind w:left="449"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22"/>
              <w:jc w:val="right"/>
              <w:rPr>
                <w:rFonts w:ascii="Arial" w:hAnsi="Arial" w:cs="Arial" w:eastAsia="Arial" w:hint="default"/>
                <w:sz w:val="21"/>
                <w:szCs w:val="21"/>
              </w:rPr>
            </w:pPr>
            <w:r>
              <w:rPr>
                <w:rFonts w:ascii="Arial"/>
                <w:spacing w:val="-1"/>
                <w:sz w:val="21"/>
              </w:rPr>
              <w:t>4,192,013,681.09</w:t>
            </w:r>
          </w:p>
        </w:tc>
        <w:tc>
          <w:tcPr>
            <w:tcW w:w="18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17"/>
              <w:jc w:val="right"/>
              <w:rPr>
                <w:rFonts w:ascii="Arial" w:hAnsi="Arial" w:cs="Arial" w:eastAsia="Arial" w:hint="default"/>
                <w:sz w:val="21"/>
                <w:szCs w:val="21"/>
              </w:rPr>
            </w:pPr>
            <w:r>
              <w:rPr>
                <w:rFonts w:ascii="Arial"/>
                <w:spacing w:val="-1"/>
                <w:sz w:val="21"/>
              </w:rPr>
              <w:t>4,191,272,174.15</w:t>
            </w:r>
          </w:p>
        </w:tc>
        <w:tc>
          <w:tcPr>
            <w:tcW w:w="176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6"/>
              <w:ind w:right="24"/>
              <w:jc w:val="right"/>
              <w:rPr>
                <w:rFonts w:ascii="Arial" w:hAnsi="Arial" w:cs="Arial" w:eastAsia="Arial" w:hint="default"/>
                <w:sz w:val="21"/>
                <w:szCs w:val="21"/>
              </w:rPr>
            </w:pPr>
            <w:r>
              <w:rPr>
                <w:rFonts w:ascii="Arial"/>
                <w:spacing w:val="-1"/>
                <w:sz w:val="21"/>
              </w:rPr>
              <w:t>-741,506.94</w:t>
            </w:r>
          </w:p>
        </w:tc>
      </w:tr>
      <w:tr>
        <w:trPr>
          <w:trHeight w:val="324"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58" w:lineRule="exact"/>
              <w:ind w:left="660"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22"/>
              <w:jc w:val="right"/>
              <w:rPr>
                <w:rFonts w:ascii="Arial" w:hAnsi="Arial" w:cs="Arial" w:eastAsia="Arial" w:hint="default"/>
                <w:sz w:val="21"/>
                <w:szCs w:val="21"/>
              </w:rPr>
            </w:pPr>
            <w:r>
              <w:rPr>
                <w:rFonts w:ascii="Arial"/>
                <w:spacing w:val="-1"/>
                <w:sz w:val="21"/>
              </w:rPr>
              <w:t>7,923,796,303.62</w:t>
            </w:r>
          </w:p>
        </w:tc>
        <w:tc>
          <w:tcPr>
            <w:tcW w:w="18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17"/>
              <w:jc w:val="right"/>
              <w:rPr>
                <w:rFonts w:ascii="Arial" w:hAnsi="Arial" w:cs="Arial" w:eastAsia="Arial" w:hint="default"/>
                <w:sz w:val="21"/>
                <w:szCs w:val="21"/>
              </w:rPr>
            </w:pPr>
            <w:r>
              <w:rPr>
                <w:rFonts w:ascii="Arial"/>
                <w:spacing w:val="-1"/>
                <w:sz w:val="21"/>
              </w:rPr>
              <w:t>7,923,054,796.68</w:t>
            </w:r>
          </w:p>
        </w:tc>
        <w:tc>
          <w:tcPr>
            <w:tcW w:w="176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6"/>
              <w:ind w:right="24"/>
              <w:jc w:val="right"/>
              <w:rPr>
                <w:rFonts w:ascii="Arial" w:hAnsi="Arial" w:cs="Arial" w:eastAsia="Arial" w:hint="default"/>
                <w:sz w:val="21"/>
                <w:szCs w:val="21"/>
              </w:rPr>
            </w:pPr>
            <w:r>
              <w:rPr>
                <w:rFonts w:ascii="Arial"/>
                <w:spacing w:val="-1"/>
                <w:sz w:val="21"/>
              </w:rPr>
              <w:t>-741,506.94</w:t>
            </w:r>
          </w:p>
        </w:tc>
      </w:tr>
      <w:tr>
        <w:trPr>
          <w:trHeight w:val="322" w:hRule="exact"/>
        </w:trPr>
        <w:tc>
          <w:tcPr>
            <w:tcW w:w="8891" w:type="dxa"/>
            <w:gridSpan w:val="4"/>
            <w:tcBorders>
              <w:top w:val="single" w:sz="4" w:space="0" w:color="41B7EE"/>
              <w:left w:val="nil" w:sz="6" w:space="0" w:color="auto"/>
              <w:bottom w:val="single" w:sz="4" w:space="0" w:color="41B7EE"/>
              <w:right w:val="nil" w:sz="6" w:space="0" w:color="auto"/>
            </w:tcBorders>
          </w:tcPr>
          <w:p>
            <w:pPr>
              <w:pStyle w:val="TableParagraph"/>
              <w:spacing w:line="255" w:lineRule="exact"/>
              <w:ind w:left="28" w:right="0"/>
              <w:jc w:val="left"/>
              <w:rPr>
                <w:rFonts w:ascii="宋体" w:hAnsi="宋体" w:cs="宋体" w:eastAsia="宋体" w:hint="default"/>
                <w:sz w:val="21"/>
                <w:szCs w:val="21"/>
              </w:rPr>
            </w:pPr>
            <w:r>
              <w:rPr>
                <w:rFonts w:ascii="宋体" w:hAnsi="宋体" w:cs="宋体" w:eastAsia="宋体" w:hint="default"/>
                <w:sz w:val="21"/>
                <w:szCs w:val="21"/>
              </w:rPr>
              <w:t>流动负债：</w:t>
            </w:r>
          </w:p>
        </w:tc>
      </w:tr>
      <w:tr>
        <w:trPr>
          <w:trHeight w:val="322"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56" w:lineRule="exact"/>
              <w:ind w:left="240"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7"/>
              <w:ind w:right="22"/>
              <w:jc w:val="right"/>
              <w:rPr>
                <w:rFonts w:ascii="Arial" w:hAnsi="Arial" w:cs="Arial" w:eastAsia="Arial" w:hint="default"/>
                <w:sz w:val="21"/>
                <w:szCs w:val="21"/>
              </w:rPr>
            </w:pPr>
            <w:r>
              <w:rPr>
                <w:rFonts w:ascii="Arial"/>
                <w:spacing w:val="-1"/>
                <w:sz w:val="21"/>
              </w:rPr>
              <w:t>53,040,710.54</w:t>
            </w:r>
          </w:p>
        </w:tc>
        <w:tc>
          <w:tcPr>
            <w:tcW w:w="18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7"/>
              <w:ind w:right="17"/>
              <w:jc w:val="right"/>
              <w:rPr>
                <w:rFonts w:ascii="Arial" w:hAnsi="Arial" w:cs="Arial" w:eastAsia="Arial" w:hint="default"/>
                <w:sz w:val="21"/>
                <w:szCs w:val="21"/>
              </w:rPr>
            </w:pPr>
            <w:r>
              <w:rPr>
                <w:rFonts w:ascii="Arial"/>
                <w:spacing w:val="-1"/>
                <w:sz w:val="21"/>
              </w:rPr>
              <w:t>53,040,710.54</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55" w:lineRule="exact"/>
              <w:ind w:left="240"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22"/>
              <w:jc w:val="right"/>
              <w:rPr>
                <w:rFonts w:ascii="Arial" w:hAnsi="Arial" w:cs="Arial" w:eastAsia="Arial" w:hint="default"/>
                <w:sz w:val="21"/>
                <w:szCs w:val="21"/>
              </w:rPr>
            </w:pPr>
            <w:r>
              <w:rPr>
                <w:rFonts w:ascii="Arial"/>
                <w:spacing w:val="-1"/>
                <w:sz w:val="21"/>
              </w:rPr>
              <w:t>610,860,681.20</w:t>
            </w:r>
          </w:p>
        </w:tc>
        <w:tc>
          <w:tcPr>
            <w:tcW w:w="18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17"/>
              <w:jc w:val="right"/>
              <w:rPr>
                <w:rFonts w:ascii="Arial" w:hAnsi="Arial" w:cs="Arial" w:eastAsia="Arial" w:hint="default"/>
                <w:sz w:val="21"/>
                <w:szCs w:val="21"/>
              </w:rPr>
            </w:pPr>
            <w:r>
              <w:rPr>
                <w:rFonts w:ascii="Arial"/>
                <w:spacing w:val="-1"/>
                <w:sz w:val="21"/>
              </w:rPr>
              <w:t>610,860,681.20</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55" w:lineRule="exact"/>
              <w:ind w:left="240"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22"/>
              <w:jc w:val="right"/>
              <w:rPr>
                <w:rFonts w:ascii="Arial" w:hAnsi="Arial" w:cs="Arial" w:eastAsia="Arial" w:hint="default"/>
                <w:sz w:val="21"/>
                <w:szCs w:val="21"/>
              </w:rPr>
            </w:pPr>
            <w:r>
              <w:rPr>
                <w:rFonts w:ascii="Arial"/>
                <w:spacing w:val="-1"/>
                <w:sz w:val="21"/>
              </w:rPr>
              <w:t>309,376,688.24</w:t>
            </w:r>
          </w:p>
        </w:tc>
        <w:tc>
          <w:tcPr>
            <w:tcW w:w="18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17"/>
              <w:jc w:val="right"/>
              <w:rPr>
                <w:rFonts w:ascii="Arial" w:hAnsi="Arial" w:cs="Arial" w:eastAsia="Arial" w:hint="default"/>
                <w:sz w:val="21"/>
                <w:szCs w:val="21"/>
              </w:rPr>
            </w:pPr>
            <w:r>
              <w:rPr>
                <w:rFonts w:ascii="Arial"/>
                <w:spacing w:val="-1"/>
                <w:sz w:val="21"/>
              </w:rPr>
              <w:t>309,376,688.24</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58" w:lineRule="exact"/>
              <w:ind w:left="240"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22"/>
              <w:jc w:val="right"/>
              <w:rPr>
                <w:rFonts w:ascii="Arial" w:hAnsi="Arial" w:cs="Arial" w:eastAsia="Arial" w:hint="default"/>
                <w:sz w:val="21"/>
                <w:szCs w:val="21"/>
              </w:rPr>
            </w:pPr>
            <w:r>
              <w:rPr>
                <w:rFonts w:ascii="Arial"/>
                <w:spacing w:val="-1"/>
                <w:sz w:val="21"/>
              </w:rPr>
              <w:t>41,058,083.88</w:t>
            </w:r>
          </w:p>
        </w:tc>
        <w:tc>
          <w:tcPr>
            <w:tcW w:w="18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17"/>
              <w:jc w:val="right"/>
              <w:rPr>
                <w:rFonts w:ascii="Arial" w:hAnsi="Arial" w:cs="Arial" w:eastAsia="Arial" w:hint="default"/>
                <w:sz w:val="21"/>
                <w:szCs w:val="21"/>
              </w:rPr>
            </w:pPr>
            <w:r>
              <w:rPr>
                <w:rFonts w:ascii="Arial"/>
                <w:spacing w:val="-1"/>
                <w:sz w:val="21"/>
              </w:rPr>
              <w:t>41,058,083.88</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4"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58" w:lineRule="exact"/>
              <w:ind w:left="240"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22"/>
              <w:jc w:val="right"/>
              <w:rPr>
                <w:rFonts w:ascii="Arial" w:hAnsi="Arial" w:cs="Arial" w:eastAsia="Arial" w:hint="default"/>
                <w:sz w:val="21"/>
                <w:szCs w:val="21"/>
              </w:rPr>
            </w:pPr>
            <w:r>
              <w:rPr>
                <w:rFonts w:ascii="Arial"/>
                <w:spacing w:val="-1"/>
                <w:sz w:val="21"/>
              </w:rPr>
              <w:t>233,573,934.71</w:t>
            </w:r>
          </w:p>
        </w:tc>
        <w:tc>
          <w:tcPr>
            <w:tcW w:w="18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17"/>
              <w:jc w:val="right"/>
              <w:rPr>
                <w:rFonts w:ascii="Arial" w:hAnsi="Arial" w:cs="Arial" w:eastAsia="Arial" w:hint="default"/>
                <w:sz w:val="21"/>
                <w:szCs w:val="21"/>
              </w:rPr>
            </w:pPr>
            <w:r>
              <w:rPr>
                <w:rFonts w:ascii="Arial"/>
                <w:spacing w:val="-1"/>
                <w:sz w:val="21"/>
              </w:rPr>
              <w:t>233,573,934.71</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55" w:lineRule="exact"/>
              <w:ind w:left="240"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
        </w:tc>
        <w:tc>
          <w:tcPr>
            <w:tcW w:w="1824" w:type="dxa"/>
            <w:tcBorders>
              <w:top w:val="single" w:sz="4" w:space="0" w:color="41B7EE"/>
              <w:left w:val="single" w:sz="4" w:space="0" w:color="41B7EE"/>
              <w:bottom w:val="single" w:sz="4" w:space="0" w:color="41B7EE"/>
              <w:right w:val="single" w:sz="4" w:space="0" w:color="41B7EE"/>
            </w:tcBorders>
          </w:tcPr>
          <w:p>
            <w:pP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55" w:lineRule="exact"/>
              <w:ind w:left="869"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22"/>
              <w:jc w:val="right"/>
              <w:rPr>
                <w:rFonts w:ascii="Arial" w:hAnsi="Arial" w:cs="Arial" w:eastAsia="Arial" w:hint="default"/>
                <w:sz w:val="21"/>
                <w:szCs w:val="21"/>
              </w:rPr>
            </w:pPr>
            <w:r>
              <w:rPr>
                <w:rFonts w:ascii="Arial"/>
                <w:spacing w:val="-1"/>
                <w:sz w:val="21"/>
              </w:rPr>
              <w:t>70,309.90</w:t>
            </w:r>
          </w:p>
        </w:tc>
        <w:tc>
          <w:tcPr>
            <w:tcW w:w="18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17"/>
              <w:jc w:val="right"/>
              <w:rPr>
                <w:rFonts w:ascii="Arial" w:hAnsi="Arial" w:cs="Arial" w:eastAsia="Arial" w:hint="default"/>
                <w:sz w:val="21"/>
                <w:szCs w:val="21"/>
              </w:rPr>
            </w:pPr>
            <w:r>
              <w:rPr>
                <w:rFonts w:ascii="Arial"/>
                <w:spacing w:val="-1"/>
                <w:sz w:val="21"/>
              </w:rPr>
              <w:t>70,309.90</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55" w:lineRule="exact"/>
              <w:ind w:left="449"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22"/>
              <w:jc w:val="right"/>
              <w:rPr>
                <w:rFonts w:ascii="Arial" w:hAnsi="Arial" w:cs="Arial" w:eastAsia="Arial" w:hint="default"/>
                <w:sz w:val="21"/>
                <w:szCs w:val="21"/>
              </w:rPr>
            </w:pPr>
            <w:r>
              <w:rPr>
                <w:rFonts w:ascii="Arial"/>
                <w:spacing w:val="-1"/>
                <w:sz w:val="21"/>
              </w:rPr>
              <w:t>1,247,910,098.57</w:t>
            </w:r>
          </w:p>
        </w:tc>
        <w:tc>
          <w:tcPr>
            <w:tcW w:w="18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17"/>
              <w:jc w:val="right"/>
              <w:rPr>
                <w:rFonts w:ascii="Arial" w:hAnsi="Arial" w:cs="Arial" w:eastAsia="Arial" w:hint="default"/>
                <w:sz w:val="21"/>
                <w:szCs w:val="21"/>
              </w:rPr>
            </w:pPr>
            <w:r>
              <w:rPr>
                <w:rFonts w:ascii="Arial"/>
                <w:spacing w:val="-1"/>
                <w:sz w:val="21"/>
              </w:rPr>
              <w:t>1,247,910,098.57</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8891" w:type="dxa"/>
            <w:gridSpan w:val="4"/>
            <w:tcBorders>
              <w:top w:val="single" w:sz="4" w:space="0" w:color="41B7EE"/>
              <w:left w:val="nil" w:sz="6" w:space="0" w:color="auto"/>
              <w:bottom w:val="single" w:sz="4" w:space="0" w:color="41B7EE"/>
              <w:right w:val="nil" w:sz="6" w:space="0" w:color="auto"/>
            </w:tcBorders>
          </w:tcPr>
          <w:p>
            <w:pPr>
              <w:pStyle w:val="TableParagraph"/>
              <w:spacing w:line="255" w:lineRule="exact"/>
              <w:ind w:left="28" w:right="0"/>
              <w:jc w:val="left"/>
              <w:rPr>
                <w:rFonts w:ascii="宋体" w:hAnsi="宋体" w:cs="宋体" w:eastAsia="宋体" w:hint="default"/>
                <w:sz w:val="21"/>
                <w:szCs w:val="21"/>
              </w:rPr>
            </w:pPr>
            <w:r>
              <w:rPr>
                <w:rFonts w:ascii="宋体" w:hAnsi="宋体" w:cs="宋体" w:eastAsia="宋体" w:hint="default"/>
                <w:sz w:val="21"/>
                <w:szCs w:val="21"/>
              </w:rPr>
              <w:t>非流动负债：</w:t>
            </w:r>
          </w:p>
        </w:tc>
      </w:tr>
      <w:tr>
        <w:trPr>
          <w:trHeight w:val="322"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58" w:lineRule="exact"/>
              <w:ind w:left="240"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22"/>
              <w:jc w:val="right"/>
              <w:rPr>
                <w:rFonts w:ascii="Arial" w:hAnsi="Arial" w:cs="Arial" w:eastAsia="Arial" w:hint="default"/>
                <w:sz w:val="21"/>
                <w:szCs w:val="21"/>
              </w:rPr>
            </w:pPr>
            <w:r>
              <w:rPr>
                <w:rFonts w:ascii="Arial"/>
                <w:spacing w:val="-1"/>
                <w:sz w:val="21"/>
              </w:rPr>
              <w:t>2,984,954.93</w:t>
            </w:r>
          </w:p>
        </w:tc>
        <w:tc>
          <w:tcPr>
            <w:tcW w:w="18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17"/>
              <w:jc w:val="right"/>
              <w:rPr>
                <w:rFonts w:ascii="Arial" w:hAnsi="Arial" w:cs="Arial" w:eastAsia="Arial" w:hint="default"/>
                <w:sz w:val="21"/>
                <w:szCs w:val="21"/>
              </w:rPr>
            </w:pPr>
            <w:r>
              <w:rPr>
                <w:rFonts w:ascii="Arial"/>
                <w:spacing w:val="-1"/>
                <w:sz w:val="21"/>
              </w:rPr>
              <w:t>2,984,954.93</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4"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58" w:lineRule="exact"/>
              <w:ind w:left="240"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22"/>
              <w:jc w:val="right"/>
              <w:rPr>
                <w:rFonts w:ascii="Arial" w:hAnsi="Arial" w:cs="Arial" w:eastAsia="Arial" w:hint="default"/>
                <w:sz w:val="21"/>
                <w:szCs w:val="21"/>
              </w:rPr>
            </w:pPr>
            <w:r>
              <w:rPr>
                <w:rFonts w:ascii="Arial"/>
                <w:spacing w:val="-1"/>
                <w:sz w:val="21"/>
              </w:rPr>
              <w:t>137,271.31</w:t>
            </w:r>
          </w:p>
        </w:tc>
        <w:tc>
          <w:tcPr>
            <w:tcW w:w="18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17"/>
              <w:jc w:val="right"/>
              <w:rPr>
                <w:rFonts w:ascii="Arial" w:hAnsi="Arial" w:cs="Arial" w:eastAsia="Arial" w:hint="default"/>
                <w:sz w:val="21"/>
                <w:szCs w:val="21"/>
              </w:rPr>
            </w:pPr>
            <w:r>
              <w:rPr>
                <w:rFonts w:ascii="Arial"/>
                <w:spacing w:val="-1"/>
                <w:sz w:val="21"/>
              </w:rPr>
              <w:t>137,271.31</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56" w:lineRule="exact"/>
              <w:ind w:left="240"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4"/>
              <w:ind w:right="22"/>
              <w:jc w:val="right"/>
              <w:rPr>
                <w:rFonts w:ascii="Arial" w:hAnsi="Arial" w:cs="Arial" w:eastAsia="Arial" w:hint="default"/>
                <w:sz w:val="21"/>
                <w:szCs w:val="21"/>
              </w:rPr>
            </w:pPr>
            <w:r>
              <w:rPr>
                <w:rFonts w:ascii="Arial"/>
                <w:spacing w:val="-1"/>
                <w:sz w:val="21"/>
              </w:rPr>
              <w:t>113,978,750.65</w:t>
            </w:r>
          </w:p>
        </w:tc>
        <w:tc>
          <w:tcPr>
            <w:tcW w:w="18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4"/>
              <w:ind w:right="17"/>
              <w:jc w:val="right"/>
              <w:rPr>
                <w:rFonts w:ascii="Arial" w:hAnsi="Arial" w:cs="Arial" w:eastAsia="Arial" w:hint="default"/>
                <w:sz w:val="21"/>
                <w:szCs w:val="21"/>
              </w:rPr>
            </w:pPr>
            <w:r>
              <w:rPr>
                <w:rFonts w:ascii="Arial"/>
                <w:spacing w:val="-1"/>
                <w:sz w:val="21"/>
              </w:rPr>
              <w:t>113,978,750.65</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55" w:lineRule="exact"/>
              <w:ind w:left="240"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
        </w:tc>
        <w:tc>
          <w:tcPr>
            <w:tcW w:w="1824" w:type="dxa"/>
            <w:tcBorders>
              <w:top w:val="single" w:sz="4" w:space="0" w:color="41B7EE"/>
              <w:left w:val="single" w:sz="4" w:space="0" w:color="41B7EE"/>
              <w:bottom w:val="single" w:sz="4" w:space="0" w:color="41B7EE"/>
              <w:right w:val="single" w:sz="4" w:space="0" w:color="41B7EE"/>
            </w:tcBorders>
          </w:tcPr>
          <w:p>
            <w:pP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55" w:lineRule="exact"/>
              <w:ind w:left="240"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22"/>
              <w:jc w:val="right"/>
              <w:rPr>
                <w:rFonts w:ascii="Arial" w:hAnsi="Arial" w:cs="Arial" w:eastAsia="Arial" w:hint="default"/>
                <w:sz w:val="21"/>
                <w:szCs w:val="21"/>
              </w:rPr>
            </w:pPr>
            <w:r>
              <w:rPr>
                <w:rFonts w:ascii="Arial"/>
                <w:spacing w:val="-1"/>
                <w:sz w:val="21"/>
              </w:rPr>
              <w:t>651,754.62</w:t>
            </w:r>
          </w:p>
        </w:tc>
        <w:tc>
          <w:tcPr>
            <w:tcW w:w="18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17"/>
              <w:jc w:val="right"/>
              <w:rPr>
                <w:rFonts w:ascii="Arial" w:hAnsi="Arial" w:cs="Arial" w:eastAsia="Arial" w:hint="default"/>
                <w:sz w:val="21"/>
                <w:szCs w:val="21"/>
              </w:rPr>
            </w:pPr>
            <w:r>
              <w:rPr>
                <w:rFonts w:ascii="Arial"/>
                <w:spacing w:val="-1"/>
                <w:sz w:val="21"/>
              </w:rPr>
              <w:t>651,754.62</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55" w:lineRule="exact"/>
              <w:ind w:left="449"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22"/>
              <w:jc w:val="right"/>
              <w:rPr>
                <w:rFonts w:ascii="Arial" w:hAnsi="Arial" w:cs="Arial" w:eastAsia="Arial" w:hint="default"/>
                <w:sz w:val="21"/>
                <w:szCs w:val="21"/>
              </w:rPr>
            </w:pPr>
            <w:r>
              <w:rPr>
                <w:rFonts w:ascii="Arial"/>
                <w:spacing w:val="-1"/>
                <w:sz w:val="21"/>
              </w:rPr>
              <w:t>117,752,731.51</w:t>
            </w:r>
          </w:p>
        </w:tc>
        <w:tc>
          <w:tcPr>
            <w:tcW w:w="18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17"/>
              <w:jc w:val="right"/>
              <w:rPr>
                <w:rFonts w:ascii="Arial" w:hAnsi="Arial" w:cs="Arial" w:eastAsia="Arial" w:hint="default"/>
                <w:sz w:val="21"/>
                <w:szCs w:val="21"/>
              </w:rPr>
            </w:pPr>
            <w:r>
              <w:rPr>
                <w:rFonts w:ascii="Arial"/>
                <w:spacing w:val="-1"/>
                <w:sz w:val="21"/>
              </w:rPr>
              <w:t>117,752,731.51</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58" w:lineRule="exact"/>
              <w:ind w:left="660"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22"/>
              <w:jc w:val="right"/>
              <w:rPr>
                <w:rFonts w:ascii="Arial" w:hAnsi="Arial" w:cs="Arial" w:eastAsia="Arial" w:hint="default"/>
                <w:sz w:val="21"/>
                <w:szCs w:val="21"/>
              </w:rPr>
            </w:pPr>
            <w:r>
              <w:rPr>
                <w:rFonts w:ascii="Arial"/>
                <w:spacing w:val="-1"/>
                <w:sz w:val="21"/>
              </w:rPr>
              <w:t>1,365,662,830.08</w:t>
            </w:r>
          </w:p>
        </w:tc>
        <w:tc>
          <w:tcPr>
            <w:tcW w:w="18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17"/>
              <w:jc w:val="right"/>
              <w:rPr>
                <w:rFonts w:ascii="Arial" w:hAnsi="Arial" w:cs="Arial" w:eastAsia="Arial" w:hint="default"/>
                <w:sz w:val="21"/>
                <w:szCs w:val="21"/>
              </w:rPr>
            </w:pPr>
            <w:r>
              <w:rPr>
                <w:rFonts w:ascii="Arial"/>
                <w:spacing w:val="-1"/>
                <w:sz w:val="21"/>
              </w:rPr>
              <w:t>1,365,662,830.08</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4" w:hRule="exact"/>
        </w:trPr>
        <w:tc>
          <w:tcPr>
            <w:tcW w:w="8891" w:type="dxa"/>
            <w:gridSpan w:val="4"/>
            <w:tcBorders>
              <w:top w:val="single" w:sz="4" w:space="0" w:color="41B7EE"/>
              <w:left w:val="nil" w:sz="6" w:space="0" w:color="auto"/>
              <w:bottom w:val="single" w:sz="4" w:space="0" w:color="41B7EE"/>
              <w:right w:val="nil" w:sz="6" w:space="0" w:color="auto"/>
            </w:tcBorders>
          </w:tcPr>
          <w:p>
            <w:pPr>
              <w:pStyle w:val="TableParagraph"/>
              <w:spacing w:line="258" w:lineRule="exact"/>
              <w:ind w:left="28"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tc>
      </w:tr>
      <w:tr>
        <w:trPr>
          <w:trHeight w:val="322"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55" w:lineRule="exact"/>
              <w:ind w:left="240"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4"/>
              <w:ind w:right="22"/>
              <w:jc w:val="right"/>
              <w:rPr>
                <w:rFonts w:ascii="Arial" w:hAnsi="Arial" w:cs="Arial" w:eastAsia="Arial" w:hint="default"/>
                <w:sz w:val="21"/>
                <w:szCs w:val="21"/>
              </w:rPr>
            </w:pPr>
            <w:r>
              <w:rPr>
                <w:rFonts w:ascii="Arial"/>
                <w:spacing w:val="-1"/>
                <w:sz w:val="21"/>
              </w:rPr>
              <w:t>1,777,679,909.00</w:t>
            </w:r>
          </w:p>
        </w:tc>
        <w:tc>
          <w:tcPr>
            <w:tcW w:w="18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4"/>
              <w:ind w:right="17"/>
              <w:jc w:val="right"/>
              <w:rPr>
                <w:rFonts w:ascii="Arial" w:hAnsi="Arial" w:cs="Arial" w:eastAsia="Arial" w:hint="default"/>
                <w:sz w:val="21"/>
                <w:szCs w:val="21"/>
              </w:rPr>
            </w:pPr>
            <w:r>
              <w:rPr>
                <w:rFonts w:ascii="Arial"/>
                <w:spacing w:val="-1"/>
                <w:sz w:val="21"/>
              </w:rPr>
              <w:t>1,777,679,909.00</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55" w:lineRule="exact"/>
              <w:ind w:left="240"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
        </w:tc>
        <w:tc>
          <w:tcPr>
            <w:tcW w:w="18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17"/>
              <w:jc w:val="right"/>
              <w:rPr>
                <w:rFonts w:ascii="Arial" w:hAnsi="Arial" w:cs="Arial" w:eastAsia="Arial" w:hint="default"/>
                <w:sz w:val="21"/>
                <w:szCs w:val="21"/>
              </w:rPr>
            </w:pPr>
            <w:r>
              <w:rPr>
                <w:rFonts w:ascii="Arial"/>
                <w:spacing w:val="-1"/>
                <w:sz w:val="21"/>
              </w:rPr>
              <w:t>-741,506.94</w:t>
            </w:r>
          </w:p>
        </w:tc>
        <w:tc>
          <w:tcPr>
            <w:tcW w:w="176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6"/>
              <w:ind w:right="24"/>
              <w:jc w:val="right"/>
              <w:rPr>
                <w:rFonts w:ascii="Arial" w:hAnsi="Arial" w:cs="Arial" w:eastAsia="Arial" w:hint="default"/>
                <w:sz w:val="21"/>
                <w:szCs w:val="21"/>
              </w:rPr>
            </w:pPr>
            <w:r>
              <w:rPr>
                <w:rFonts w:ascii="Arial"/>
                <w:spacing w:val="-1"/>
                <w:sz w:val="21"/>
              </w:rPr>
              <w:t>-741,506.94</w:t>
            </w:r>
          </w:p>
        </w:tc>
      </w:tr>
      <w:tr>
        <w:trPr>
          <w:trHeight w:val="322"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55" w:lineRule="exact"/>
              <w:ind w:left="240"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22"/>
              <w:jc w:val="right"/>
              <w:rPr>
                <w:rFonts w:ascii="Arial" w:hAnsi="Arial" w:cs="Arial" w:eastAsia="Arial" w:hint="default"/>
                <w:sz w:val="21"/>
                <w:szCs w:val="21"/>
              </w:rPr>
            </w:pPr>
            <w:r>
              <w:rPr>
                <w:rFonts w:ascii="Arial"/>
                <w:spacing w:val="-1"/>
                <w:sz w:val="21"/>
              </w:rPr>
              <w:t>1,518,444,124.46</w:t>
            </w:r>
          </w:p>
        </w:tc>
        <w:tc>
          <w:tcPr>
            <w:tcW w:w="18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17"/>
              <w:jc w:val="right"/>
              <w:rPr>
                <w:rFonts w:ascii="Arial" w:hAnsi="Arial" w:cs="Arial" w:eastAsia="Arial" w:hint="default"/>
                <w:sz w:val="21"/>
                <w:szCs w:val="21"/>
              </w:rPr>
            </w:pPr>
            <w:r>
              <w:rPr>
                <w:rFonts w:ascii="Arial"/>
                <w:spacing w:val="-1"/>
                <w:sz w:val="21"/>
              </w:rPr>
              <w:t>1,518,444,124.46</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55" w:lineRule="exact"/>
              <w:ind w:left="240"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22"/>
              <w:jc w:val="right"/>
              <w:rPr>
                <w:rFonts w:ascii="Arial" w:hAnsi="Arial" w:cs="Arial" w:eastAsia="Arial" w:hint="default"/>
                <w:sz w:val="21"/>
                <w:szCs w:val="21"/>
              </w:rPr>
            </w:pPr>
            <w:r>
              <w:rPr>
                <w:rFonts w:ascii="Arial"/>
                <w:spacing w:val="-1"/>
                <w:sz w:val="21"/>
              </w:rPr>
              <w:t>839,914,259.29</w:t>
            </w:r>
          </w:p>
        </w:tc>
        <w:tc>
          <w:tcPr>
            <w:tcW w:w="18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17"/>
              <w:jc w:val="right"/>
              <w:rPr>
                <w:rFonts w:ascii="Arial" w:hAnsi="Arial" w:cs="Arial" w:eastAsia="Arial" w:hint="default"/>
                <w:sz w:val="21"/>
                <w:szCs w:val="21"/>
              </w:rPr>
            </w:pPr>
            <w:r>
              <w:rPr>
                <w:rFonts w:ascii="Arial"/>
                <w:spacing w:val="-1"/>
                <w:sz w:val="21"/>
              </w:rPr>
              <w:t>839,914,259.29</w:t>
            </w:r>
          </w:p>
        </w:tc>
        <w:tc>
          <w:tcPr>
            <w:tcW w:w="1762" w:type="dxa"/>
            <w:tcBorders>
              <w:top w:val="single" w:sz="4" w:space="0" w:color="41B7EE"/>
              <w:left w:val="single" w:sz="4" w:space="0" w:color="41B7EE"/>
              <w:bottom w:val="single" w:sz="4" w:space="0" w:color="41B7EE"/>
              <w:right w:val="nil" w:sz="6" w:space="0" w:color="auto"/>
            </w:tcBorders>
          </w:tcPr>
          <w:p>
            <w:pPr/>
          </w:p>
        </w:tc>
      </w:tr>
      <w:tr>
        <w:trPr>
          <w:trHeight w:val="322" w:hRule="exact"/>
        </w:trPr>
        <w:tc>
          <w:tcPr>
            <w:tcW w:w="3543" w:type="dxa"/>
            <w:tcBorders>
              <w:top w:val="single" w:sz="4" w:space="0" w:color="41B7EE"/>
              <w:left w:val="nil" w:sz="6" w:space="0" w:color="auto"/>
              <w:bottom w:val="single" w:sz="4" w:space="0" w:color="41B7EE"/>
              <w:right w:val="single" w:sz="4" w:space="0" w:color="41B7EE"/>
            </w:tcBorders>
          </w:tcPr>
          <w:p>
            <w:pPr>
              <w:pStyle w:val="TableParagraph"/>
              <w:spacing w:line="258" w:lineRule="exact"/>
              <w:ind w:right="38"/>
              <w:jc w:val="right"/>
              <w:rPr>
                <w:rFonts w:ascii="宋体" w:hAnsi="宋体" w:cs="宋体" w:eastAsia="宋体" w:hint="default"/>
                <w:sz w:val="21"/>
                <w:szCs w:val="21"/>
              </w:rPr>
            </w:pPr>
            <w:r>
              <w:rPr>
                <w:rFonts w:ascii="宋体" w:hAnsi="宋体" w:cs="宋体" w:eastAsia="宋体" w:hint="default"/>
                <w:spacing w:val="-2"/>
                <w:sz w:val="21"/>
                <w:szCs w:val="21"/>
              </w:rPr>
              <w:t>所有者权益（或股东权益）合计</w:t>
            </w:r>
            <w:r>
              <w:rPr>
                <w:rFonts w:ascii="宋体" w:hAnsi="宋体" w:cs="宋体" w:eastAsia="宋体" w:hint="default"/>
                <w:sz w:val="21"/>
                <w:szCs w:val="21"/>
              </w:rPr>
              <w:t> </w:t>
            </w:r>
          </w:p>
        </w:tc>
        <w:tc>
          <w:tcPr>
            <w:tcW w:w="17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22"/>
              <w:jc w:val="right"/>
              <w:rPr>
                <w:rFonts w:ascii="Arial" w:hAnsi="Arial" w:cs="Arial" w:eastAsia="Arial" w:hint="default"/>
                <w:sz w:val="21"/>
                <w:szCs w:val="21"/>
              </w:rPr>
            </w:pPr>
            <w:r>
              <w:rPr>
                <w:rFonts w:ascii="Arial"/>
                <w:spacing w:val="-1"/>
                <w:sz w:val="21"/>
              </w:rPr>
              <w:t>6,558,133,473.54</w:t>
            </w:r>
          </w:p>
        </w:tc>
        <w:tc>
          <w:tcPr>
            <w:tcW w:w="18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6"/>
              <w:ind w:right="17"/>
              <w:jc w:val="right"/>
              <w:rPr>
                <w:rFonts w:ascii="Arial" w:hAnsi="Arial" w:cs="Arial" w:eastAsia="Arial" w:hint="default"/>
                <w:sz w:val="21"/>
                <w:szCs w:val="21"/>
              </w:rPr>
            </w:pPr>
            <w:r>
              <w:rPr>
                <w:rFonts w:ascii="Arial"/>
                <w:spacing w:val="-1"/>
                <w:sz w:val="21"/>
              </w:rPr>
              <w:t>6,557,391,966.60</w:t>
            </w:r>
          </w:p>
        </w:tc>
        <w:tc>
          <w:tcPr>
            <w:tcW w:w="176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6"/>
              <w:ind w:right="24"/>
              <w:jc w:val="right"/>
              <w:rPr>
                <w:rFonts w:ascii="Arial" w:hAnsi="Arial" w:cs="Arial" w:eastAsia="Arial" w:hint="default"/>
                <w:sz w:val="21"/>
                <w:szCs w:val="21"/>
              </w:rPr>
            </w:pPr>
            <w:r>
              <w:rPr>
                <w:rFonts w:ascii="Arial"/>
                <w:spacing w:val="-1"/>
                <w:sz w:val="21"/>
              </w:rPr>
              <w:t>-741,506.94</w:t>
            </w:r>
          </w:p>
        </w:tc>
      </w:tr>
      <w:tr>
        <w:trPr>
          <w:trHeight w:val="356" w:hRule="exact"/>
        </w:trPr>
        <w:tc>
          <w:tcPr>
            <w:tcW w:w="3543" w:type="dxa"/>
            <w:tcBorders>
              <w:top w:val="single" w:sz="4" w:space="0" w:color="41B7EE"/>
              <w:left w:val="nil" w:sz="6" w:space="0" w:color="auto"/>
              <w:bottom w:val="single" w:sz="8" w:space="0" w:color="41B7EE"/>
              <w:right w:val="single" w:sz="4" w:space="0" w:color="41B7EE"/>
            </w:tcBorders>
          </w:tcPr>
          <w:p>
            <w:pPr>
              <w:pStyle w:val="TableParagraph"/>
              <w:spacing w:line="258" w:lineRule="exact"/>
              <w:ind w:right="17"/>
              <w:jc w:val="right"/>
              <w:rPr>
                <w:rFonts w:ascii="宋体" w:hAnsi="宋体" w:cs="宋体" w:eastAsia="宋体" w:hint="default"/>
                <w:sz w:val="21"/>
                <w:szCs w:val="21"/>
              </w:rPr>
            </w:pPr>
            <w:r>
              <w:rPr>
                <w:rFonts w:ascii="宋体" w:hAnsi="宋体" w:cs="宋体" w:eastAsia="宋体" w:hint="default"/>
                <w:spacing w:val="-44"/>
                <w:sz w:val="21"/>
                <w:szCs w:val="21"/>
              </w:rPr>
              <w:t>负债和所有者权益（或股东权益）总计</w:t>
            </w:r>
            <w:r>
              <w:rPr>
                <w:rFonts w:ascii="宋体" w:hAnsi="宋体" w:cs="宋体" w:eastAsia="宋体" w:hint="default"/>
                <w:sz w:val="21"/>
                <w:szCs w:val="21"/>
              </w:rPr>
            </w:r>
          </w:p>
        </w:tc>
        <w:tc>
          <w:tcPr>
            <w:tcW w:w="1762"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27"/>
              <w:ind w:right="22"/>
              <w:jc w:val="right"/>
              <w:rPr>
                <w:rFonts w:ascii="Arial" w:hAnsi="Arial" w:cs="Arial" w:eastAsia="Arial" w:hint="default"/>
                <w:sz w:val="21"/>
                <w:szCs w:val="21"/>
              </w:rPr>
            </w:pPr>
            <w:r>
              <w:rPr>
                <w:rFonts w:ascii="Arial"/>
                <w:spacing w:val="-1"/>
                <w:sz w:val="21"/>
              </w:rPr>
              <w:t>7,923,796,303.62</w:t>
            </w:r>
          </w:p>
        </w:tc>
        <w:tc>
          <w:tcPr>
            <w:tcW w:w="1824"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27"/>
              <w:ind w:right="17"/>
              <w:jc w:val="right"/>
              <w:rPr>
                <w:rFonts w:ascii="Arial" w:hAnsi="Arial" w:cs="Arial" w:eastAsia="Arial" w:hint="default"/>
                <w:sz w:val="21"/>
                <w:szCs w:val="21"/>
              </w:rPr>
            </w:pPr>
            <w:r>
              <w:rPr>
                <w:rFonts w:ascii="Arial"/>
                <w:spacing w:val="-1"/>
                <w:sz w:val="21"/>
              </w:rPr>
              <w:t>7,923,054,796.68</w:t>
            </w:r>
          </w:p>
        </w:tc>
        <w:tc>
          <w:tcPr>
            <w:tcW w:w="1762"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27"/>
              <w:ind w:right="24"/>
              <w:jc w:val="right"/>
              <w:rPr>
                <w:rFonts w:ascii="Arial" w:hAnsi="Arial" w:cs="Arial" w:eastAsia="Arial" w:hint="default"/>
                <w:sz w:val="21"/>
                <w:szCs w:val="21"/>
              </w:rPr>
            </w:pPr>
            <w:r>
              <w:rPr>
                <w:rFonts w:ascii="Arial"/>
                <w:spacing w:val="-1"/>
                <w:sz w:val="21"/>
              </w:rPr>
              <w:t>-741,506.94</w:t>
            </w:r>
          </w:p>
        </w:tc>
      </w:tr>
    </w:tbl>
    <w:p>
      <w:pPr>
        <w:pStyle w:val="BodyText"/>
        <w:spacing w:line="249" w:lineRule="exact"/>
        <w:ind w:left="156" w:right="3551"/>
        <w:jc w:val="left"/>
        <w:rPr>
          <w:rFonts w:ascii="宋体" w:hAnsi="宋体" w:cs="宋体" w:eastAsia="宋体" w:hint="default"/>
        </w:rPr>
      </w:pPr>
      <w:r>
        <w:rPr/>
        <w:pict>
          <v:group style="position:absolute;margin-left:61.919991pt;margin-top:-.48001pt;width:445.55pt;height:1pt;mso-position-horizontal-relative:page;mso-position-vertical-relative:paragraph;z-index:-941512" coordorigin="1238,-10" coordsize="8911,20">
            <v:group style="position:absolute;left:1248;top:0;width:3539;height:2" coordorigin="1248,0" coordsize="3539,2">
              <v:shape style="position:absolute;left:1248;top:0;width:3539;height:2" coordorigin="1248,0" coordsize="3539,0" path="m1248,0l4787,0e" filled="false" stroked="true" strokeweight=".96002pt" strokecolor="#41b7ee">
                <v:path arrowok="t"/>
              </v:shape>
            </v:group>
            <v:group style="position:absolute;left:4787;top:0;width:58;height:2" coordorigin="4787,0" coordsize="58,2">
              <v:shape style="position:absolute;left:4787;top:0;width:58;height:2" coordorigin="4787,0" coordsize="58,0" path="m4787,0l4844,0e" filled="false" stroked="true" strokeweight=".96002pt" strokecolor="#41b7ee">
                <v:path arrowok="t"/>
              </v:shape>
            </v:group>
            <v:group style="position:absolute;left:4844;top:0;width:1705;height:2" coordorigin="4844,0" coordsize="1705,2">
              <v:shape style="position:absolute;left:4844;top:0;width:1705;height:2" coordorigin="4844,0" coordsize="1705,0" path="m4844,0l6549,0e" filled="false" stroked="true" strokeweight=".96002pt" strokecolor="#41b7ee">
                <v:path arrowok="t"/>
              </v:shape>
            </v:group>
            <v:group style="position:absolute;left:6549;top:0;width:58;height:2" coordorigin="6549,0" coordsize="58,2">
              <v:shape style="position:absolute;left:6549;top:0;width:58;height:2" coordorigin="6549,0" coordsize="58,0" path="m6549,0l6606,0e" filled="false" stroked="true" strokeweight=".96002pt" strokecolor="#41b7ee">
                <v:path arrowok="t"/>
              </v:shape>
            </v:group>
            <v:group style="position:absolute;left:6606;top:0;width:1767;height:2" coordorigin="6606,0" coordsize="1767,2">
              <v:shape style="position:absolute;left:6606;top:0;width:1767;height:2" coordorigin="6606,0" coordsize="1767,0" path="m6606,0l8373,0e" filled="false" stroked="true" strokeweight=".96002pt" strokecolor="#41b7ee">
                <v:path arrowok="t"/>
              </v:shape>
            </v:group>
            <v:group style="position:absolute;left:8373;top:0;width:58;height:2" coordorigin="8373,0" coordsize="58,2">
              <v:shape style="position:absolute;left:8373;top:0;width:58;height:2" coordorigin="8373,0" coordsize="58,0" path="m8373,0l8430,0e" filled="false" stroked="true" strokeweight=".96002pt" strokecolor="#41b7ee">
                <v:path arrowok="t"/>
              </v:shape>
            </v:group>
            <v:group style="position:absolute;left:8430;top:0;width:1710;height:2" coordorigin="8430,0" coordsize="1710,2">
              <v:shape style="position:absolute;left:8430;top:0;width:1710;height:2" coordorigin="8430,0" coordsize="1710,0" path="m8430,0l10139,0e" filled="false" stroked="true" strokeweight=".96002pt" strokecolor="#41b7ee">
                <v:path arrowok="t"/>
              </v:shape>
            </v:group>
            <w10:wrap type="none"/>
          </v:group>
        </w:pict>
      </w:r>
      <w:r>
        <w:rPr/>
        <w:t>各项目调整情况的说明：</w:t>
      </w:r>
      <w:r>
        <w:rPr>
          <w:rFonts w:ascii="宋体" w:hAnsi="宋体" w:cs="宋体" w:eastAsia="宋体" w:hint="default"/>
        </w:rPr>
        <w:t> </w:t>
      </w:r>
    </w:p>
    <w:p>
      <w:pPr>
        <w:pStyle w:val="BodyText"/>
        <w:spacing w:line="272" w:lineRule="exact" w:before="26"/>
        <w:ind w:left="577" w:right="3551" w:hanging="42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详见本附注“（</w:t>
      </w:r>
      <w:r>
        <w:rPr>
          <w:rFonts w:ascii="宋体" w:hAnsi="宋体" w:cs="宋体" w:eastAsia="宋体" w:hint="default"/>
        </w:rPr>
        <w:t>1</w:t>
      </w:r>
      <w:r>
        <w:rPr/>
        <w:t>）重要会计政策变更”。</w:t>
      </w:r>
      <w:r>
        <w:rPr>
          <w:rFonts w:ascii="宋体" w:hAnsi="宋体" w:cs="宋体" w:eastAsia="宋体" w:hint="default"/>
        </w:rPr>
        <w:t> </w:t>
      </w:r>
    </w:p>
    <w:p>
      <w:pPr>
        <w:pStyle w:val="Heading2"/>
        <w:spacing w:line="240" w:lineRule="auto" w:before="34"/>
        <w:ind w:left="156" w:right="0"/>
        <w:jc w:val="left"/>
        <w:rPr>
          <w:rFonts w:ascii="宋体" w:hAnsi="宋体" w:cs="宋体" w:eastAsia="宋体" w:hint="default"/>
          <w:b w:val="0"/>
          <w:bCs w:val="0"/>
        </w:rPr>
      </w:pPr>
      <w:r>
        <w:rPr>
          <w:rFonts w:ascii="宋体" w:hAnsi="宋体" w:cs="宋体" w:eastAsia="宋体" w:hint="default"/>
        </w:rPr>
        <w:t>(4).</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40"/>
        <w:ind w:left="156" w:right="355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80" w:lineRule="exact"/>
        <w:ind w:left="577" w:right="0"/>
        <w:jc w:val="left"/>
      </w:pPr>
      <w:r>
        <w:rPr/>
        <w:t>财政部于</w:t>
      </w:r>
      <w:r>
        <w:rPr>
          <w:spacing w:val="-38"/>
        </w:rPr>
        <w:t> </w:t>
      </w:r>
      <w:r>
        <w:rPr>
          <w:rFonts w:ascii="Arial" w:hAnsi="Arial" w:cs="Arial" w:eastAsia="Arial" w:hint="default"/>
        </w:rPr>
        <w:t>2017</w:t>
      </w:r>
      <w:r>
        <w:rPr>
          <w:rFonts w:ascii="Arial" w:hAnsi="Arial" w:cs="Arial" w:eastAsia="Arial" w:hint="default"/>
          <w:spacing w:val="10"/>
        </w:rPr>
        <w:t> </w:t>
      </w:r>
      <w:r>
        <w:rPr>
          <w:spacing w:val="-4"/>
        </w:rPr>
        <w:t>年修订了《企业会计准则第</w:t>
      </w:r>
      <w:r>
        <w:rPr>
          <w:spacing w:val="-38"/>
        </w:rPr>
        <w:t> </w:t>
      </w:r>
      <w:r>
        <w:rPr>
          <w:rFonts w:ascii="Arial" w:hAnsi="Arial" w:cs="Arial" w:eastAsia="Arial" w:hint="default"/>
        </w:rPr>
        <w:t>22</w:t>
      </w:r>
      <w:r>
        <w:rPr>
          <w:rFonts w:ascii="Arial" w:hAnsi="Arial" w:cs="Arial" w:eastAsia="Arial" w:hint="default"/>
          <w:spacing w:val="7"/>
        </w:rPr>
        <w:t> </w:t>
      </w:r>
      <w:r>
        <w:rPr>
          <w:spacing w:val="-4"/>
        </w:rPr>
        <w:t>号</w:t>
      </w:r>
      <w:r>
        <w:rPr>
          <w:rFonts w:ascii="Arial" w:hAnsi="Arial" w:cs="Arial" w:eastAsia="Arial" w:hint="default"/>
          <w:spacing w:val="-4"/>
        </w:rPr>
        <w:t>——</w:t>
      </w:r>
      <w:r>
        <w:rPr>
          <w:spacing w:val="-4"/>
        </w:rPr>
        <w:t>金融工具确认和计量》《企业会计准则</w:t>
      </w:r>
    </w:p>
    <w:p>
      <w:pPr>
        <w:pStyle w:val="BodyText"/>
        <w:spacing w:line="272" w:lineRule="exact"/>
        <w:ind w:left="156" w:right="0"/>
        <w:jc w:val="left"/>
        <w:rPr>
          <w:rFonts w:ascii="Arial" w:hAnsi="Arial" w:cs="Arial" w:eastAsia="Arial" w:hint="default"/>
        </w:rPr>
      </w:pPr>
      <w:r>
        <w:rPr/>
        <w:t>第</w:t>
      </w:r>
      <w:r>
        <w:rPr>
          <w:spacing w:val="-53"/>
        </w:rPr>
        <w:t> </w:t>
      </w:r>
      <w:r>
        <w:rPr>
          <w:rFonts w:ascii="Arial" w:hAnsi="Arial" w:cs="Arial" w:eastAsia="Arial" w:hint="default"/>
        </w:rPr>
        <w:t>23</w:t>
      </w:r>
      <w:r>
        <w:rPr>
          <w:rFonts w:ascii="Arial" w:hAnsi="Arial" w:cs="Arial" w:eastAsia="Arial" w:hint="default"/>
          <w:spacing w:val="-9"/>
        </w:rPr>
        <w:t> </w:t>
      </w:r>
      <w:r>
        <w:rPr/>
        <w:t>号</w:t>
      </w:r>
      <w:r>
        <w:rPr>
          <w:rFonts w:ascii="Arial" w:hAnsi="Arial" w:cs="Arial" w:eastAsia="Arial" w:hint="default"/>
        </w:rPr>
        <w:t>——</w:t>
      </w:r>
      <w:r>
        <w:rPr/>
        <w:t>金融资产转移》、《企业会计准则第</w:t>
      </w:r>
      <w:r>
        <w:rPr>
          <w:spacing w:val="-54"/>
        </w:rPr>
        <w:t> </w:t>
      </w:r>
      <w:r>
        <w:rPr>
          <w:rFonts w:ascii="Arial" w:hAnsi="Arial" w:cs="Arial" w:eastAsia="Arial" w:hint="default"/>
        </w:rPr>
        <w:t>24</w:t>
      </w:r>
      <w:r>
        <w:rPr>
          <w:rFonts w:ascii="Arial" w:hAnsi="Arial" w:cs="Arial" w:eastAsia="Arial" w:hint="default"/>
          <w:spacing w:val="-9"/>
        </w:rPr>
        <w:t> </w:t>
      </w:r>
      <w:r>
        <w:rPr/>
        <w:t>号</w:t>
      </w:r>
      <w:r>
        <w:rPr>
          <w:rFonts w:ascii="Arial" w:hAnsi="Arial" w:cs="Arial" w:eastAsia="Arial" w:hint="default"/>
        </w:rPr>
        <w:t>——</w:t>
      </w:r>
      <w:r>
        <w:rPr/>
        <w:t>套期会计》及《企业会计准则第</w:t>
      </w:r>
      <w:r>
        <w:rPr>
          <w:spacing w:val="-54"/>
        </w:rPr>
        <w:t> </w:t>
      </w:r>
      <w:r>
        <w:rPr>
          <w:rFonts w:ascii="Arial" w:hAnsi="Arial" w:cs="Arial" w:eastAsia="Arial" w:hint="default"/>
          <w:spacing w:val="-3"/>
        </w:rPr>
        <w:t>37</w:t>
      </w:r>
      <w:r>
        <w:rPr>
          <w:rFonts w:ascii="Arial" w:hAnsi="Arial" w:cs="Arial" w:eastAsia="Arial" w:hint="default"/>
        </w:rPr>
      </w:r>
    </w:p>
    <w:p>
      <w:pPr>
        <w:pStyle w:val="BodyText"/>
        <w:spacing w:line="282" w:lineRule="exact"/>
        <w:ind w:left="156" w:right="0"/>
        <w:jc w:val="left"/>
        <w:rPr>
          <w:rFonts w:ascii="宋体" w:hAnsi="宋体" w:cs="宋体" w:eastAsia="宋体" w:hint="default"/>
        </w:rPr>
      </w:pPr>
      <w:r>
        <w:rPr/>
        <w:t>号</w:t>
      </w:r>
      <w:r>
        <w:rPr>
          <w:rFonts w:ascii="Arial" w:hAnsi="Arial" w:cs="Arial" w:eastAsia="Arial" w:hint="default"/>
        </w:rPr>
        <w:t>——</w:t>
      </w:r>
      <w:r>
        <w:rPr/>
        <w:t>金融工具列报》要求境内上市公司自</w:t>
      </w:r>
      <w:r>
        <w:rPr>
          <w:spacing w:val="-54"/>
        </w:rPr>
        <w:t> </w:t>
      </w:r>
      <w:r>
        <w:rPr>
          <w:rFonts w:ascii="Arial" w:hAnsi="Arial" w:cs="Arial" w:eastAsia="Arial" w:hint="default"/>
        </w:rPr>
        <w:t>2019</w:t>
      </w:r>
      <w:r>
        <w:rPr>
          <w:rFonts w:ascii="Arial" w:hAnsi="Arial" w:cs="Arial" w:eastAsia="Arial" w:hint="default"/>
          <w:spacing w:val="-9"/>
        </w:rPr>
        <w:t> </w:t>
      </w:r>
      <w:r>
        <w:rPr/>
        <w:t>年</w:t>
      </w:r>
      <w:r>
        <w:rPr>
          <w:spacing w:val="-54"/>
        </w:rPr>
        <w:t> </w:t>
      </w:r>
      <w:r>
        <w:rPr>
          <w:rFonts w:ascii="Arial" w:hAnsi="Arial" w:cs="Arial" w:eastAsia="Arial" w:hint="default"/>
        </w:rPr>
        <w:t>1</w:t>
      </w:r>
      <w:r>
        <w:rPr>
          <w:rFonts w:ascii="Arial" w:hAnsi="Arial" w:cs="Arial" w:eastAsia="Arial" w:hint="default"/>
          <w:spacing w:val="-9"/>
        </w:rPr>
        <w:t> </w:t>
      </w:r>
      <w:r>
        <w:rPr/>
        <w:t>月</w:t>
      </w:r>
      <w:r>
        <w:rPr>
          <w:spacing w:val="-53"/>
        </w:rPr>
        <w:t> </w:t>
      </w:r>
      <w:r>
        <w:rPr>
          <w:rFonts w:ascii="Arial" w:hAnsi="Arial" w:cs="Arial" w:eastAsia="Arial" w:hint="default"/>
        </w:rPr>
        <w:t>1</w:t>
      </w:r>
      <w:r>
        <w:rPr>
          <w:rFonts w:ascii="Arial" w:hAnsi="Arial" w:cs="Arial" w:eastAsia="Arial" w:hint="default"/>
          <w:spacing w:val="-9"/>
        </w:rPr>
        <w:t> </w:t>
      </w:r>
      <w:r>
        <w:rPr/>
        <w:t>日起施行。</w:t>
      </w:r>
      <w:r>
        <w:rPr>
          <w:rFonts w:ascii="宋体" w:hAnsi="宋体" w:cs="宋体" w:eastAsia="宋体" w:hint="default"/>
        </w:rPr>
        <w:t> </w:t>
      </w:r>
    </w:p>
    <w:p>
      <w:pPr>
        <w:spacing w:after="0" w:line="282" w:lineRule="exact"/>
        <w:jc w:val="left"/>
        <w:rPr>
          <w:rFonts w:ascii="宋体" w:hAnsi="宋体" w:cs="宋体" w:eastAsia="宋体" w:hint="default"/>
        </w:rPr>
        <w:sectPr>
          <w:pgSz w:w="11910" w:h="16840"/>
          <w:pgMar w:header="826" w:footer="1195" w:top="1460" w:bottom="1380" w:left="1120" w:right="1640"/>
        </w:sectPr>
      </w:pPr>
    </w:p>
    <w:p>
      <w:pPr>
        <w:pStyle w:val="BodyText"/>
        <w:spacing w:line="237" w:lineRule="auto" w:before="38"/>
        <w:ind w:left="256" w:right="271" w:firstLine="420"/>
        <w:jc w:val="both"/>
      </w:pPr>
      <w:r>
        <w:rPr>
          <w:spacing w:val="-2"/>
        </w:rPr>
        <w:t>本集团结构性存款和国债逆回购业务本金及利息，划分为“以公允价值计量且其变动计入当</w:t>
      </w:r>
      <w:r>
        <w:rPr>
          <w:w w:val="100"/>
        </w:rPr>
        <w:t> </w:t>
      </w:r>
      <w:r>
        <w:rPr>
          <w:spacing w:val="-7"/>
        </w:rPr>
        <w:t>期损益的金融资产”，由“应收利息”和“其他流动资产”调整至“交易性金融资产”项目列报，</w:t>
      </w:r>
      <w:r>
        <w:rPr>
          <w:spacing w:val="-14"/>
        </w:rPr>
        <w:t> </w:t>
      </w:r>
      <w:r>
        <w:rPr>
          <w:spacing w:val="-14"/>
        </w:rPr>
      </w:r>
      <w:r>
        <w:rPr/>
        <w:t>前期比较数据无追溯调整。</w:t>
      </w:r>
    </w:p>
    <w:p>
      <w:pPr>
        <w:pStyle w:val="BodyText"/>
        <w:spacing w:line="237" w:lineRule="auto"/>
        <w:ind w:left="256" w:right="278" w:firstLine="420"/>
        <w:jc w:val="both"/>
        <w:rPr>
          <w:rFonts w:ascii="宋体" w:hAnsi="宋体" w:cs="宋体" w:eastAsia="宋体" w:hint="default"/>
        </w:rPr>
      </w:pPr>
      <w:r>
        <w:rPr>
          <w:spacing w:val="-2"/>
        </w:rPr>
        <w:t>本集团非交易性权益工具投资根据持有意图，指定为“以公允价值计量且其变动计入其他综</w:t>
      </w:r>
      <w:r>
        <w:rPr>
          <w:w w:val="100"/>
        </w:rPr>
        <w:t> </w:t>
      </w:r>
      <w:r>
        <w:rPr>
          <w:spacing w:val="-2"/>
        </w:rPr>
        <w:t>合收益的金融资产”，公允价值与原账面价值差额调整期初“其他综合收益”，前期比较数据无</w:t>
      </w:r>
      <w:r>
        <w:rPr>
          <w:spacing w:val="-25"/>
        </w:rPr>
        <w:t> </w:t>
      </w:r>
      <w:r>
        <w:rPr>
          <w:spacing w:val="-25"/>
        </w:rPr>
      </w:r>
      <w:r>
        <w:rPr/>
        <w:t>追溯调整。</w:t>
      </w:r>
      <w:r>
        <w:rPr>
          <w:rFonts w:ascii="宋体" w:hAnsi="宋体" w:cs="宋体" w:eastAsia="宋体" w:hint="default"/>
        </w:rPr>
        <w:t> </w:t>
      </w:r>
    </w:p>
    <w:p>
      <w:pPr>
        <w:pStyle w:val="Heading2"/>
        <w:spacing w:line="240" w:lineRule="auto" w:before="59"/>
        <w:ind w:left="256" w:right="5964"/>
        <w:jc w:val="left"/>
        <w:rPr>
          <w:b w:val="0"/>
          <w:bCs w:val="0"/>
        </w:rPr>
      </w:pPr>
      <w:r>
        <w:rPr>
          <w:rFonts w:ascii="宋体" w:hAnsi="宋体" w:cs="宋体" w:eastAsia="宋体" w:hint="default"/>
        </w:rPr>
        <w:t>42.</w:t>
      </w:r>
      <w:r>
        <w:rPr>
          <w:rFonts w:ascii="宋体" w:hAnsi="宋体" w:cs="宋体" w:eastAsia="宋体" w:hint="default"/>
          <w:spacing w:val="2"/>
        </w:rPr>
        <w:t> </w:t>
      </w:r>
      <w:r>
        <w:rPr/>
        <w:t>其他</w:t>
      </w:r>
      <w:r>
        <w:rPr>
          <w:b w:val="0"/>
          <w:bCs w:val="0"/>
        </w:rPr>
      </w:r>
    </w:p>
    <w:p>
      <w:pPr>
        <w:spacing w:line="290" w:lineRule="auto" w:before="56"/>
        <w:ind w:left="256" w:right="713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六、</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b/>
          <w:bCs/>
          <w:sz w:val="21"/>
          <w:szCs w:val="21"/>
        </w:rPr>
        <w:t>税项</w:t>
      </w:r>
      <w:r>
        <w:rPr>
          <w:rFonts w:ascii="宋体" w:hAnsi="宋体" w:cs="宋体" w:eastAsia="宋体" w:hint="default"/>
          <w:b/>
          <w:bCs/>
          <w:w w:val="99"/>
          <w:sz w:val="21"/>
          <w:szCs w:val="21"/>
        </w:rPr>
        <w:t> </w:t>
      </w:r>
      <w:r>
        <w:rPr>
          <w:rFonts w:ascii="宋体" w:hAnsi="宋体" w:cs="宋体" w:eastAsia="宋体" w:hint="default"/>
          <w:sz w:val="21"/>
          <w:szCs w:val="21"/>
        </w:rPr>
      </w:r>
    </w:p>
    <w:p>
      <w:pPr>
        <w:tabs>
          <w:tab w:pos="681" w:val="left" w:leader="none"/>
        </w:tabs>
        <w:spacing w:line="290" w:lineRule="auto" w:before="12"/>
        <w:ind w:left="256" w:right="7134"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r>
        <w:rPr>
          <w:rFonts w:ascii="宋体" w:hAnsi="宋体" w:cs="宋体" w:eastAsia="宋体" w:hint="default"/>
          <w:sz w:val="21"/>
          <w:szCs w:val="21"/>
        </w:rPr>
        <w:t> </w:t>
      </w:r>
    </w:p>
    <w:p>
      <w:pPr>
        <w:pStyle w:val="BodyText"/>
        <w:spacing w:line="227" w:lineRule="exact"/>
        <w:ind w:left="256" w:right="59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218"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1566;height:2" coordorigin="10,10" coordsize="1566,2">
              <v:shape style="position:absolute;left:10;top:10;width:1566;height:2" coordorigin="10,10" coordsize="1566,0" path="m10,10l1575,10e" filled="false" stroked="true" strokeweight=".95999pt" strokecolor="#41b7ee">
                <v:path arrowok="t"/>
              </v:shape>
            </v:group>
            <v:group style="position:absolute;left:1575;top:10;width:58;height:2" coordorigin="1575,10" coordsize="58,2">
              <v:shape style="position:absolute;left:1575;top:10;width:58;height:2" coordorigin="1575,10" coordsize="58,0" path="m1575,10l1632,10e" filled="false" stroked="true" strokeweight=".95999pt" strokecolor="#41b7ee">
                <v:path arrowok="t"/>
              </v:shape>
            </v:group>
            <v:group style="position:absolute;left:1632;top:10;width:4081;height:2" coordorigin="1632,10" coordsize="4081,2">
              <v:shape style="position:absolute;left:1632;top:10;width:4081;height:2" coordorigin="1632,10" coordsize="4081,0" path="m1632,10l5713,10e" filled="false" stroked="true" strokeweight=".95999pt" strokecolor="#41b7ee">
                <v:path arrowok="t"/>
              </v:shape>
            </v:group>
            <v:group style="position:absolute;left:5713;top:10;width:58;height:2" coordorigin="5713,10" coordsize="58,2">
              <v:shape style="position:absolute;left:5713;top:10;width:58;height:2" coordorigin="5713,10" coordsize="58,0" path="m5713,10l5771,10e" filled="false" stroked="true" strokeweight=".95999pt" strokecolor="#41b7ee">
                <v:path arrowok="t"/>
              </v:shape>
            </v:group>
            <v:group style="position:absolute;left:5771;top:10;width:3130;height:2" coordorigin="5771,10" coordsize="3130,2">
              <v:shape style="position:absolute;left:5771;top:10;width:3130;height:2" coordorigin="5771,10" coordsize="3130,0" path="m5771,10l8901,10e" filled="false" stroked="true" strokeweight=".95999pt" strokecolor="#41b7ee">
                <v:path arrowok="t"/>
              </v:shape>
            </v:group>
          </v:group>
        </w:pict>
      </w:r>
      <w:r>
        <w:rPr>
          <w:rFonts w:ascii="宋体" w:hAnsi="宋体" w:cs="宋体" w:eastAsia="宋体" w:hint="default"/>
          <w:sz w:val="2"/>
          <w:szCs w:val="2"/>
        </w:rPr>
      </w:r>
    </w:p>
    <w:tbl>
      <w:tblPr>
        <w:tblW w:w="0" w:type="auto"/>
        <w:jc w:val="left"/>
        <w:tblInd w:w="199" w:type="dxa"/>
        <w:tblLayout w:type="fixed"/>
        <w:tblCellMar>
          <w:top w:w="0" w:type="dxa"/>
          <w:left w:w="0" w:type="dxa"/>
          <w:bottom w:w="0" w:type="dxa"/>
          <w:right w:w="0" w:type="dxa"/>
        </w:tblCellMar>
        <w:tblLook w:val="01E0"/>
      </w:tblPr>
      <w:tblGrid>
        <w:gridCol w:w="1570"/>
        <w:gridCol w:w="4139"/>
        <w:gridCol w:w="3183"/>
      </w:tblGrid>
      <w:tr>
        <w:trPr>
          <w:trHeight w:val="363" w:hRule="exact"/>
        </w:trPr>
        <w:tc>
          <w:tcPr>
            <w:tcW w:w="1570"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5"/>
              <w:ind w:left="574" w:right="0"/>
              <w:jc w:val="left"/>
              <w:rPr>
                <w:rFonts w:ascii="宋体" w:hAnsi="宋体" w:cs="宋体" w:eastAsia="宋体" w:hint="default"/>
                <w:sz w:val="21"/>
                <w:szCs w:val="21"/>
              </w:rPr>
            </w:pPr>
            <w:r>
              <w:rPr>
                <w:rFonts w:ascii="宋体" w:hAnsi="宋体" w:cs="宋体" w:eastAsia="宋体" w:hint="default"/>
                <w:sz w:val="21"/>
                <w:szCs w:val="21"/>
              </w:rPr>
              <w:t>税种</w:t>
            </w:r>
            <w:r>
              <w:rPr>
                <w:rFonts w:ascii="宋体" w:hAnsi="宋体" w:cs="宋体" w:eastAsia="宋体" w:hint="default"/>
                <w:sz w:val="21"/>
                <w:szCs w:val="21"/>
              </w:rPr>
              <w:t> </w:t>
            </w:r>
          </w:p>
        </w:tc>
        <w:tc>
          <w:tcPr>
            <w:tcW w:w="4139"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5"/>
              <w:ind w:left="101" w:right="0"/>
              <w:jc w:val="center"/>
              <w:rPr>
                <w:rFonts w:ascii="宋体" w:hAnsi="宋体" w:cs="宋体" w:eastAsia="宋体" w:hint="default"/>
                <w:sz w:val="21"/>
                <w:szCs w:val="21"/>
              </w:rPr>
            </w:pPr>
            <w:r>
              <w:rPr>
                <w:rFonts w:ascii="宋体" w:hAnsi="宋体" w:cs="宋体" w:eastAsia="宋体" w:hint="default"/>
                <w:sz w:val="21"/>
                <w:szCs w:val="21"/>
              </w:rPr>
              <w:t>计税依据</w:t>
            </w:r>
            <w:r>
              <w:rPr>
                <w:rFonts w:ascii="宋体" w:hAnsi="宋体" w:cs="宋体" w:eastAsia="宋体" w:hint="default"/>
                <w:sz w:val="21"/>
                <w:szCs w:val="21"/>
              </w:rPr>
              <w:t> </w:t>
            </w:r>
          </w:p>
        </w:tc>
        <w:tc>
          <w:tcPr>
            <w:tcW w:w="3183"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5"/>
              <w:ind w:left="102" w:right="0"/>
              <w:jc w:val="center"/>
              <w:rPr>
                <w:rFonts w:ascii="宋体" w:hAnsi="宋体" w:cs="宋体" w:eastAsia="宋体" w:hint="default"/>
                <w:sz w:val="21"/>
                <w:szCs w:val="21"/>
              </w:rPr>
            </w:pPr>
            <w:r>
              <w:rPr>
                <w:rFonts w:ascii="宋体" w:hAnsi="宋体" w:cs="宋体" w:eastAsia="宋体" w:hint="default"/>
                <w:sz w:val="21"/>
                <w:szCs w:val="21"/>
              </w:rPr>
              <w:t>税率</w:t>
            </w:r>
            <w:r>
              <w:rPr>
                <w:rFonts w:ascii="宋体" w:hAnsi="宋体" w:cs="宋体" w:eastAsia="宋体" w:hint="default"/>
                <w:sz w:val="21"/>
                <w:szCs w:val="21"/>
              </w:rPr>
              <w:t> </w:t>
            </w:r>
          </w:p>
        </w:tc>
      </w:tr>
      <w:tr>
        <w:trPr>
          <w:trHeight w:val="554" w:hRule="exact"/>
        </w:trPr>
        <w:tc>
          <w:tcPr>
            <w:tcW w:w="157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02"/>
              <w:ind w:left="28"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4139" w:type="dxa"/>
            <w:tcBorders>
              <w:top w:val="single" w:sz="4" w:space="0" w:color="41B7EE"/>
              <w:left w:val="single" w:sz="4" w:space="0" w:color="41B7EE"/>
              <w:bottom w:val="single" w:sz="4" w:space="0" w:color="41B7EE"/>
              <w:right w:val="single" w:sz="4" w:space="0" w:color="41B7EE"/>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按应税收入的税率计算销项税，并按扣除当</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期允许抵扣的进项税额后的差额计缴增值税</w:t>
            </w:r>
            <w:r>
              <w:rPr>
                <w:rFonts w:ascii="宋体" w:hAnsi="宋体" w:cs="宋体" w:eastAsia="宋体" w:hint="default"/>
                <w:sz w:val="21"/>
                <w:szCs w:val="21"/>
              </w:rPr>
              <w:t> </w:t>
            </w:r>
          </w:p>
        </w:tc>
        <w:tc>
          <w:tcPr>
            <w:tcW w:w="318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02"/>
              <w:ind w:left="24" w:right="0"/>
              <w:jc w:val="left"/>
              <w:rPr>
                <w:rFonts w:ascii="Arial" w:hAnsi="Arial" w:cs="Arial" w:eastAsia="Arial" w:hint="default"/>
                <w:sz w:val="21"/>
                <w:szCs w:val="21"/>
              </w:rPr>
            </w:pPr>
            <w:r>
              <w:rPr>
                <w:rFonts w:ascii="Arial" w:hAnsi="Arial" w:cs="Arial" w:eastAsia="Arial" w:hint="default"/>
                <w:spacing w:val="-12"/>
                <w:sz w:val="21"/>
                <w:szCs w:val="21"/>
              </w:rPr>
              <w:t>5%</w:t>
            </w:r>
            <w:r>
              <w:rPr>
                <w:rFonts w:ascii="宋体" w:hAnsi="宋体" w:cs="宋体" w:eastAsia="宋体" w:hint="default"/>
                <w:spacing w:val="-12"/>
                <w:sz w:val="21"/>
                <w:szCs w:val="21"/>
              </w:rPr>
              <w:t>、</w:t>
            </w:r>
            <w:r>
              <w:rPr>
                <w:rFonts w:ascii="Arial" w:hAnsi="Arial" w:cs="Arial" w:eastAsia="Arial" w:hint="default"/>
                <w:spacing w:val="-12"/>
                <w:sz w:val="21"/>
                <w:szCs w:val="21"/>
              </w:rPr>
              <w:t>6%</w:t>
            </w:r>
            <w:r>
              <w:rPr>
                <w:rFonts w:ascii="宋体" w:hAnsi="宋体" w:cs="宋体" w:eastAsia="宋体" w:hint="default"/>
                <w:spacing w:val="-12"/>
                <w:sz w:val="21"/>
                <w:szCs w:val="21"/>
              </w:rPr>
              <w:t>、</w:t>
            </w:r>
            <w:r>
              <w:rPr>
                <w:rFonts w:ascii="Arial" w:hAnsi="Arial" w:cs="Arial" w:eastAsia="Arial" w:hint="default"/>
                <w:spacing w:val="-12"/>
                <w:sz w:val="21"/>
                <w:szCs w:val="21"/>
              </w:rPr>
              <w:t>9%</w:t>
            </w:r>
            <w:r>
              <w:rPr>
                <w:rFonts w:ascii="宋体" w:hAnsi="宋体" w:cs="宋体" w:eastAsia="宋体" w:hint="default"/>
                <w:spacing w:val="-12"/>
                <w:sz w:val="21"/>
                <w:szCs w:val="21"/>
              </w:rPr>
              <w:t>（</w:t>
            </w:r>
            <w:r>
              <w:rPr>
                <w:rFonts w:ascii="Arial" w:hAnsi="Arial" w:cs="Arial" w:eastAsia="Arial" w:hint="default"/>
                <w:spacing w:val="-12"/>
                <w:sz w:val="21"/>
                <w:szCs w:val="21"/>
              </w:rPr>
              <w:t>10%)</w:t>
            </w:r>
            <w:r>
              <w:rPr>
                <w:rFonts w:ascii="宋体" w:hAnsi="宋体" w:cs="宋体" w:eastAsia="宋体" w:hint="default"/>
                <w:spacing w:val="-12"/>
                <w:sz w:val="21"/>
                <w:szCs w:val="21"/>
              </w:rPr>
              <w:t>、</w:t>
            </w:r>
            <w:r>
              <w:rPr>
                <w:rFonts w:ascii="Arial" w:hAnsi="Arial" w:cs="Arial" w:eastAsia="Arial" w:hint="default"/>
                <w:spacing w:val="-12"/>
                <w:sz w:val="21"/>
                <w:szCs w:val="21"/>
              </w:rPr>
              <w:t>13%</w:t>
            </w:r>
            <w:r>
              <w:rPr>
                <w:rFonts w:ascii="宋体" w:hAnsi="宋体" w:cs="宋体" w:eastAsia="宋体" w:hint="default"/>
                <w:spacing w:val="-12"/>
                <w:sz w:val="21"/>
                <w:szCs w:val="21"/>
              </w:rPr>
              <w:t>（</w:t>
            </w:r>
            <w:r>
              <w:rPr>
                <w:rFonts w:ascii="Arial" w:hAnsi="Arial" w:cs="Arial" w:eastAsia="Arial" w:hint="default"/>
                <w:spacing w:val="-12"/>
                <w:sz w:val="21"/>
                <w:szCs w:val="21"/>
              </w:rPr>
              <w:t>16%)</w:t>
            </w:r>
          </w:p>
        </w:tc>
      </w:tr>
      <w:tr>
        <w:trPr>
          <w:trHeight w:val="358" w:hRule="exact"/>
        </w:trPr>
        <w:tc>
          <w:tcPr>
            <w:tcW w:w="1570" w:type="dxa"/>
            <w:tcBorders>
              <w:top w:val="single" w:sz="4" w:space="0" w:color="41B7EE"/>
              <w:left w:val="nil" w:sz="6" w:space="0" w:color="auto"/>
              <w:bottom w:val="single" w:sz="4" w:space="0" w:color="41B7EE"/>
              <w:right w:val="single" w:sz="12" w:space="0" w:color="FFFFFF"/>
            </w:tcBorders>
          </w:tcPr>
          <w:p>
            <w:pPr>
              <w:pStyle w:val="TableParagraph"/>
              <w:spacing w:line="240" w:lineRule="auto" w:before="4"/>
              <w:ind w:left="28" w:right="-52"/>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4139" w:type="dxa"/>
            <w:tcBorders>
              <w:top w:val="single" w:sz="4" w:space="0" w:color="41B7EE"/>
              <w:left w:val="single" w:sz="12" w:space="0" w:color="FFFFFF"/>
              <w:bottom w:val="single" w:sz="4" w:space="0" w:color="41B7EE"/>
              <w:right w:val="single" w:sz="4" w:space="0" w:color="41B7EE"/>
            </w:tcBorders>
          </w:tcPr>
          <w:p>
            <w:pPr>
              <w:pStyle w:val="TableParagraph"/>
              <w:spacing w:line="240" w:lineRule="auto" w:before="4"/>
              <w:ind w:left="10" w:right="0"/>
              <w:jc w:val="left"/>
              <w:rPr>
                <w:rFonts w:ascii="宋体" w:hAnsi="宋体" w:cs="宋体" w:eastAsia="宋体" w:hint="default"/>
                <w:sz w:val="21"/>
                <w:szCs w:val="21"/>
              </w:rPr>
            </w:pPr>
            <w:r>
              <w:rPr>
                <w:rFonts w:ascii="宋体" w:hAnsi="宋体" w:cs="宋体" w:eastAsia="宋体" w:hint="default"/>
                <w:sz w:val="21"/>
                <w:szCs w:val="21"/>
              </w:rPr>
              <w:t>实际缴纳的流转税</w:t>
            </w:r>
            <w:r>
              <w:rPr>
                <w:rFonts w:ascii="宋体" w:hAnsi="宋体" w:cs="宋体" w:eastAsia="宋体" w:hint="default"/>
                <w:sz w:val="21"/>
                <w:szCs w:val="21"/>
              </w:rPr>
              <w:t> </w:t>
            </w:r>
          </w:p>
        </w:tc>
        <w:tc>
          <w:tcPr>
            <w:tcW w:w="318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24"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Arial" w:hAnsi="Arial" w:cs="Arial" w:eastAsia="Arial" w:hint="default"/>
                <w:sz w:val="21"/>
                <w:szCs w:val="21"/>
              </w:rPr>
              <w:t>5%</w:t>
            </w:r>
            <w:r>
              <w:rPr>
                <w:rFonts w:ascii="宋体" w:hAnsi="宋体" w:cs="宋体" w:eastAsia="宋体" w:hint="default"/>
                <w:sz w:val="21"/>
                <w:szCs w:val="21"/>
              </w:rPr>
              <w:t>、</w:t>
            </w:r>
            <w:r>
              <w:rPr>
                <w:rFonts w:ascii="Arial" w:hAnsi="Arial" w:cs="Arial" w:eastAsia="Arial" w:hint="default"/>
                <w:sz w:val="21"/>
                <w:szCs w:val="21"/>
              </w:rPr>
              <w:t>7%</w:t>
            </w:r>
            <w:r>
              <w:rPr>
                <w:rFonts w:ascii="宋体" w:hAnsi="宋体" w:cs="宋体" w:eastAsia="宋体" w:hint="default"/>
                <w:w w:val="100"/>
                <w:sz w:val="21"/>
                <w:szCs w:val="21"/>
              </w:rPr>
              <w:t> </w:t>
            </w:r>
          </w:p>
        </w:tc>
      </w:tr>
      <w:tr>
        <w:trPr>
          <w:trHeight w:val="384" w:hRule="exact"/>
        </w:trPr>
        <w:tc>
          <w:tcPr>
            <w:tcW w:w="1570"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4139"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应纳税所得额</w:t>
            </w:r>
            <w:r>
              <w:rPr>
                <w:rFonts w:ascii="宋体" w:hAnsi="宋体" w:cs="宋体" w:eastAsia="宋体" w:hint="default"/>
                <w:sz w:val="21"/>
                <w:szCs w:val="21"/>
              </w:rPr>
              <w:t> </w:t>
            </w:r>
          </w:p>
        </w:tc>
        <w:tc>
          <w:tcPr>
            <w:tcW w:w="3183"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left="24" w:right="0"/>
              <w:jc w:val="left"/>
              <w:rPr>
                <w:rFonts w:ascii="宋体" w:hAnsi="宋体" w:cs="宋体" w:eastAsia="宋体" w:hint="default"/>
                <w:sz w:val="21"/>
                <w:szCs w:val="21"/>
              </w:rPr>
            </w:pPr>
            <w:r>
              <w:rPr>
                <w:rFonts w:ascii="Arial"/>
                <w:sz w:val="21"/>
              </w:rPr>
              <w:t>25%</w:t>
            </w:r>
            <w:r>
              <w:rPr>
                <w:rFonts w:ascii="宋体"/>
                <w:w w:val="100"/>
                <w:sz w:val="21"/>
              </w:rPr>
              <w:t> </w:t>
            </w:r>
          </w:p>
        </w:tc>
      </w:tr>
    </w:tbl>
    <w:p>
      <w:pPr>
        <w:pStyle w:val="Heading2"/>
        <w:tabs>
          <w:tab w:pos="681" w:val="left" w:leader="none"/>
        </w:tabs>
        <w:spacing w:line="240" w:lineRule="auto" w:before="44"/>
        <w:ind w:left="256" w:right="5964"/>
        <w:jc w:val="left"/>
        <w:rPr>
          <w:b w:val="0"/>
          <w:bCs w:val="0"/>
        </w:rPr>
      </w:pPr>
      <w:r>
        <w:rPr>
          <w:rFonts w:ascii="宋体" w:hAnsi="宋体" w:cs="宋体" w:eastAsia="宋体" w:hint="default"/>
          <w:w w:val="95"/>
        </w:rPr>
        <w:t>2.</w:t>
        <w:tab/>
      </w:r>
      <w:r>
        <w:rPr/>
        <w:t>税收优惠</w:t>
      </w:r>
      <w:r>
        <w:rPr>
          <w:b w:val="0"/>
          <w:bCs w:val="0"/>
        </w:rPr>
      </w:r>
    </w:p>
    <w:p>
      <w:pPr>
        <w:pStyle w:val="BodyText"/>
        <w:spacing w:line="240" w:lineRule="auto" w:before="56"/>
        <w:ind w:left="256" w:right="5964"/>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64" w:lineRule="auto" w:before="22"/>
        <w:ind w:left="256" w:right="0" w:firstLine="420"/>
        <w:jc w:val="left"/>
      </w:pPr>
      <w:r>
        <w:rPr>
          <w:spacing w:val="-3"/>
        </w:rPr>
        <w:t>（</w:t>
      </w:r>
      <w:r>
        <w:rPr>
          <w:rFonts w:ascii="宋体" w:hAnsi="宋体" w:cs="宋体" w:eastAsia="宋体" w:hint="default"/>
          <w:spacing w:val="-3"/>
        </w:rPr>
        <w:t>1</w:t>
      </w:r>
      <w:r>
        <w:rPr>
          <w:spacing w:val="-3"/>
        </w:rPr>
        <w:t>）根据《中华人民共和国企业所得税法》及其实施条例和国税函〔</w:t>
      </w:r>
      <w:r>
        <w:rPr>
          <w:rFonts w:ascii="Arial" w:hAnsi="Arial" w:cs="Arial" w:eastAsia="Arial" w:hint="default"/>
          <w:spacing w:val="-3"/>
        </w:rPr>
        <w:t>2009</w:t>
      </w:r>
      <w:r>
        <w:rPr>
          <w:spacing w:val="-3"/>
        </w:rPr>
        <w:t>〕</w:t>
      </w:r>
      <w:r>
        <w:rPr>
          <w:rFonts w:ascii="Arial" w:hAnsi="Arial" w:cs="Arial" w:eastAsia="Arial" w:hint="default"/>
          <w:spacing w:val="-3"/>
        </w:rPr>
        <w:t>779</w:t>
      </w:r>
      <w:r>
        <w:rPr>
          <w:spacing w:val="-3"/>
        </w:rPr>
        <w:t>号文件的规</w:t>
      </w:r>
      <w:r>
        <w:rPr>
          <w:w w:val="100"/>
        </w:rPr>
        <w:t> </w:t>
      </w:r>
      <w:r>
        <w:rPr/>
        <w:t>定，从事农业项目免征企业所得税。</w:t>
      </w:r>
    </w:p>
    <w:p>
      <w:pPr>
        <w:pStyle w:val="BodyText"/>
        <w:spacing w:line="268" w:lineRule="auto" w:before="25"/>
        <w:ind w:left="256" w:right="269" w:firstLine="420"/>
        <w:jc w:val="both"/>
      </w:pPr>
      <w:r>
        <w:rPr>
          <w:spacing w:val="-2"/>
        </w:rPr>
        <w:t>（</w:t>
      </w:r>
      <w:r>
        <w:rPr>
          <w:rFonts w:ascii="Arial" w:hAnsi="Arial" w:cs="Arial" w:eastAsia="Arial" w:hint="default"/>
          <w:spacing w:val="-2"/>
        </w:rPr>
        <w:t>2</w:t>
      </w:r>
      <w:r>
        <w:rPr>
          <w:spacing w:val="-2"/>
        </w:rPr>
        <w:t>）根据《关于实施农林牧渔业项目企业所得税优惠问题》（国家税务总局公告〔</w:t>
      </w:r>
      <w:r>
        <w:rPr>
          <w:rFonts w:ascii="Arial" w:hAnsi="Arial" w:cs="Arial" w:eastAsia="Arial" w:hint="default"/>
          <w:spacing w:val="-2"/>
        </w:rPr>
        <w:t>2011</w:t>
      </w:r>
      <w:r>
        <w:rPr>
          <w:spacing w:val="-2"/>
        </w:rPr>
        <w:t>〕</w:t>
      </w:r>
      <w:r>
        <w:rPr>
          <w:w w:val="100"/>
        </w:rPr>
        <w:t> </w:t>
      </w:r>
      <w:r>
        <w:rPr>
          <w:spacing w:val="-2"/>
        </w:rPr>
        <w:t>第</w:t>
      </w:r>
      <w:r>
        <w:rPr>
          <w:rFonts w:ascii="Arial" w:hAnsi="Arial" w:cs="Arial" w:eastAsia="Arial" w:hint="default"/>
          <w:spacing w:val="-2"/>
        </w:rPr>
        <w:t>48</w:t>
      </w:r>
      <w:r>
        <w:rPr>
          <w:spacing w:val="-2"/>
        </w:rPr>
        <w:t>号）第九条规定：企业委托其他企业或个人从事实施条例第八十六条规定农、林、牧、渔业</w:t>
      </w:r>
      <w:r>
        <w:rPr>
          <w:spacing w:val="-37"/>
        </w:rPr>
        <w:t> </w:t>
      </w:r>
      <w:r>
        <w:rPr>
          <w:spacing w:val="-37"/>
        </w:rPr>
      </w:r>
      <w:r>
        <w:rPr>
          <w:spacing w:val="-2"/>
        </w:rPr>
        <w:t>项目取得的所得，可享受相应的税收优惠政策；企业受托从事实施条例第八十六条规定农、林、</w:t>
      </w:r>
      <w:r>
        <w:rPr>
          <w:spacing w:val="-25"/>
        </w:rPr>
        <w:t> </w:t>
      </w:r>
      <w:r>
        <w:rPr>
          <w:spacing w:val="-25"/>
        </w:rPr>
      </w:r>
      <w:r>
        <w:rPr/>
        <w:t>牧、渔业项目取得的收入，比照委托方享受相应的税收优惠政策。</w:t>
      </w:r>
    </w:p>
    <w:p>
      <w:pPr>
        <w:pStyle w:val="BodyText"/>
        <w:spacing w:line="264" w:lineRule="auto" w:before="19"/>
        <w:ind w:left="256" w:right="0" w:firstLine="420"/>
        <w:jc w:val="left"/>
      </w:pPr>
      <w:r>
        <w:rPr>
          <w:spacing w:val="-8"/>
          <w:w w:val="100"/>
        </w:rPr>
        <w:t>（</w:t>
      </w:r>
      <w:r>
        <w:rPr>
          <w:rFonts w:ascii="Arial" w:hAnsi="Arial" w:cs="Arial" w:eastAsia="Arial" w:hint="default"/>
          <w:spacing w:val="-8"/>
          <w:w w:val="100"/>
        </w:rPr>
        <w:t>3</w:t>
      </w:r>
      <w:r>
        <w:rPr>
          <w:spacing w:val="-8"/>
          <w:w w:val="100"/>
        </w:rPr>
        <w:t>）根据《财政部、国家税务总局关于全面推开营业税改增值税试点的通知》（财税〔</w:t>
      </w:r>
      <w:r>
        <w:rPr>
          <w:rFonts w:ascii="Arial" w:hAnsi="Arial" w:cs="Arial" w:eastAsia="Arial" w:hint="default"/>
          <w:spacing w:val="-8"/>
          <w:w w:val="100"/>
        </w:rPr>
        <w:t>2016</w:t>
      </w:r>
      <w:r>
        <w:rPr>
          <w:spacing w:val="-8"/>
          <w:w w:val="100"/>
        </w:rPr>
        <w:t>〕</w:t>
      </w:r>
      <w:r>
        <w:rPr>
          <w:w w:val="100"/>
        </w:rPr>
        <w:t> </w:t>
      </w:r>
      <w:r>
        <w:rPr>
          <w:rFonts w:ascii="Arial" w:hAnsi="Arial" w:cs="Arial" w:eastAsia="Arial" w:hint="default"/>
          <w:spacing w:val="-4"/>
        </w:rPr>
        <w:t>36</w:t>
      </w:r>
      <w:r>
        <w:rPr>
          <w:spacing w:val="-4"/>
        </w:rPr>
        <w:t>号）规定：病虫害防治免税备案；为农业生产者销售的自产农产品及农业生产资料免征增值税；</w:t>
      </w:r>
      <w:r>
        <w:rPr>
          <w:spacing w:val="-54"/>
        </w:rPr>
        <w:t> </w:t>
      </w:r>
      <w:r>
        <w:rPr>
          <w:spacing w:val="-54"/>
        </w:rPr>
      </w:r>
      <w:r>
        <w:rPr>
          <w:spacing w:val="-3"/>
        </w:rPr>
        <w:t>一般纳税人出租其</w:t>
      </w:r>
      <w:r>
        <w:rPr>
          <w:rFonts w:ascii="Arial" w:hAnsi="Arial" w:cs="Arial" w:eastAsia="Arial" w:hint="default"/>
          <w:spacing w:val="-3"/>
        </w:rPr>
        <w:t>2016</w:t>
      </w:r>
      <w:r>
        <w:rPr>
          <w:spacing w:val="-3"/>
        </w:rPr>
        <w:t>年</w:t>
      </w:r>
      <w:r>
        <w:rPr>
          <w:rFonts w:ascii="Arial" w:hAnsi="Arial" w:cs="Arial" w:eastAsia="Arial" w:hint="default"/>
          <w:spacing w:val="-3"/>
        </w:rPr>
        <w:t>4</w:t>
      </w:r>
      <w:r>
        <w:rPr>
          <w:spacing w:val="-3"/>
        </w:rPr>
        <w:t>月</w:t>
      </w:r>
      <w:r>
        <w:rPr>
          <w:rFonts w:ascii="Arial" w:hAnsi="Arial" w:cs="Arial" w:eastAsia="Arial" w:hint="default"/>
          <w:spacing w:val="-3"/>
        </w:rPr>
        <w:t>30</w:t>
      </w:r>
      <w:r>
        <w:rPr>
          <w:spacing w:val="-3"/>
        </w:rPr>
        <w:t>日前取得的不动产，可以选择适用简易计税方法，按照</w:t>
      </w:r>
      <w:r>
        <w:rPr>
          <w:rFonts w:ascii="Arial" w:hAnsi="Arial" w:cs="Arial" w:eastAsia="Arial" w:hint="default"/>
          <w:spacing w:val="-3"/>
        </w:rPr>
        <w:t>5%</w:t>
      </w:r>
      <w:r>
        <w:rPr>
          <w:spacing w:val="-3"/>
        </w:rPr>
        <w:t>的征收</w:t>
      </w:r>
      <w:r>
        <w:rPr>
          <w:spacing w:val="-35"/>
        </w:rPr>
        <w:t> </w:t>
      </w:r>
      <w:r>
        <w:rPr>
          <w:spacing w:val="-35"/>
        </w:rPr>
      </w:r>
      <w:r>
        <w:rPr/>
        <w:t>率计算应纳税额。</w:t>
      </w:r>
    </w:p>
    <w:p>
      <w:pPr>
        <w:pStyle w:val="BodyText"/>
        <w:spacing w:line="240" w:lineRule="auto" w:before="23"/>
        <w:ind w:left="677" w:right="0"/>
        <w:jc w:val="left"/>
      </w:pPr>
      <w:r>
        <w:rPr/>
        <w:t>（</w:t>
      </w:r>
      <w:r>
        <w:rPr>
          <w:rFonts w:ascii="Arial" w:hAnsi="Arial" w:cs="Arial" w:eastAsia="Arial" w:hint="default"/>
        </w:rPr>
        <w:t>4</w:t>
      </w:r>
      <w:r>
        <w:rPr/>
        <w:t>）根据财政部、国家税务总局《关于若干农业生产资料征免增值税政策的通知》（财税</w:t>
      </w:r>
    </w:p>
    <w:p>
      <w:pPr>
        <w:pStyle w:val="BodyText"/>
        <w:tabs>
          <w:tab w:pos="681" w:val="left" w:leader="none"/>
        </w:tabs>
        <w:spacing w:line="295" w:lineRule="auto" w:before="32"/>
        <w:ind w:left="256" w:right="1354"/>
        <w:jc w:val="left"/>
        <w:rPr>
          <w:rFonts w:ascii="宋体" w:hAnsi="宋体" w:cs="宋体" w:eastAsia="宋体" w:hint="default"/>
        </w:rPr>
      </w:pPr>
      <w:r>
        <w:rPr>
          <w:spacing w:val="-2"/>
        </w:rPr>
        <w:t>〔</w:t>
      </w:r>
      <w:r>
        <w:rPr>
          <w:rFonts w:ascii="Arial" w:hAnsi="Arial" w:cs="Arial" w:eastAsia="Arial" w:hint="default"/>
          <w:spacing w:val="-2"/>
        </w:rPr>
        <w:t>2011</w:t>
      </w:r>
      <w:r>
        <w:rPr>
          <w:spacing w:val="-2"/>
        </w:rPr>
        <w:t>〕</w:t>
      </w:r>
      <w:r>
        <w:rPr>
          <w:rFonts w:ascii="Arial" w:hAnsi="Arial" w:cs="Arial" w:eastAsia="Arial" w:hint="default"/>
          <w:spacing w:val="-2"/>
        </w:rPr>
        <w:t>113</w:t>
      </w:r>
      <w:r>
        <w:rPr>
          <w:spacing w:val="-2"/>
        </w:rPr>
        <w:t>号）文件的规定，批发和零售的种子、种苗、农药、农机免征增值税。</w:t>
      </w:r>
      <w:r>
        <w:rPr>
          <w:spacing w:val="-31"/>
        </w:rPr>
        <w:t> </w:t>
      </w:r>
      <w:r>
        <w:rPr>
          <w:spacing w:val="-31"/>
        </w:rPr>
      </w:r>
      <w:r>
        <w:rPr>
          <w:rFonts w:ascii="宋体" w:hAnsi="宋体" w:cs="宋体" w:eastAsia="宋体" w:hint="default"/>
          <w:b/>
          <w:bCs/>
          <w:w w:val="95"/>
        </w:rPr>
        <w:t>3.</w:t>
        <w:tab/>
      </w:r>
      <w:r>
        <w:rPr>
          <w:rFonts w:ascii="宋体" w:hAnsi="宋体" w:cs="宋体" w:eastAsia="宋体" w:hint="default"/>
          <w:b/>
          <w:bCs/>
        </w:rPr>
        <w:t>其他</w:t>
      </w:r>
      <w:r>
        <w:rPr>
          <w:rFonts w:ascii="宋体" w:hAnsi="宋体" w:cs="宋体" w:eastAsia="宋体" w:hint="default"/>
          <w:b/>
          <w:bCs/>
          <w:w w:val="99"/>
        </w:rPr>
        <w:t> </w:t>
      </w:r>
      <w:r>
        <w:rPr>
          <w:rFonts w:ascii="宋体" w:hAnsi="宋体" w:cs="宋体" w:eastAsia="宋体" w:hint="default"/>
        </w:rPr>
      </w:r>
    </w:p>
    <w:p>
      <w:pPr>
        <w:pStyle w:val="BodyText"/>
        <w:spacing w:line="274" w:lineRule="exact" w:before="8"/>
        <w:ind w:left="256" w:right="5964"/>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56" w:right="0"/>
        <w:jc w:val="left"/>
        <w:rPr>
          <w:rFonts w:ascii="宋体" w:hAnsi="宋体" w:cs="宋体" w:eastAsia="宋体" w:hint="default"/>
        </w:rPr>
      </w:pPr>
      <w:r>
        <w:rPr>
          <w:rFonts w:ascii="宋体"/>
          <w:w w:val="100"/>
        </w:rPr>
        <w:t> </w:t>
      </w:r>
    </w:p>
    <w:p>
      <w:pPr>
        <w:pStyle w:val="Heading2"/>
        <w:spacing w:line="290" w:lineRule="auto" w:before="57"/>
        <w:ind w:left="256" w:right="6558"/>
        <w:jc w:val="left"/>
        <w:rPr>
          <w:b w:val="0"/>
          <w:bCs w:val="0"/>
        </w:rPr>
      </w:pPr>
      <w:r>
        <w:rPr/>
        <w:t>七、</w:t>
      </w:r>
      <w:r>
        <w:rPr>
          <w:spacing w:val="-104"/>
        </w:rPr>
        <w:t> </w:t>
      </w:r>
      <w:r>
        <w:rPr>
          <w:rFonts w:ascii="宋体" w:hAnsi="宋体" w:cs="宋体" w:eastAsia="宋体" w:hint="default"/>
          <w:spacing w:val="-104"/>
        </w:rPr>
      </w:r>
      <w:r>
        <w:rPr/>
        <w:t>合并财务报表项目注释</w:t>
      </w:r>
      <w:r>
        <w:rPr>
          <w:w w:val="100"/>
        </w:rPr>
        <w:t> </w:t>
      </w:r>
      <w:r>
        <w:rPr>
          <w:rFonts w:ascii="宋体" w:hAnsi="宋体" w:cs="宋体" w:eastAsia="宋体" w:hint="default"/>
        </w:rPr>
        <w:t>1</w:t>
      </w:r>
      <w:r>
        <w:rPr/>
        <w:t>、</w:t>
      </w:r>
      <w:r>
        <w:rPr>
          <w:spacing w:val="-2"/>
        </w:rPr>
        <w:t> </w:t>
      </w:r>
      <w:r>
        <w:rPr/>
        <w:t>货币资金</w:t>
      </w:r>
      <w:r>
        <w:rPr>
          <w:b w:val="0"/>
          <w:bCs w:val="0"/>
        </w:rPr>
      </w:r>
    </w:p>
    <w:p>
      <w:pPr>
        <w:pStyle w:val="BodyText"/>
        <w:spacing w:line="240" w:lineRule="auto" w:before="12"/>
        <w:ind w:left="256" w:right="5964"/>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6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347"/>
        <w:gridCol w:w="2907"/>
        <w:gridCol w:w="2808"/>
      </w:tblGrid>
      <w:tr>
        <w:trPr>
          <w:trHeight w:val="384" w:hRule="exact"/>
        </w:trPr>
        <w:tc>
          <w:tcPr>
            <w:tcW w:w="3347"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07"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left="102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08"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97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58" w:hRule="exact"/>
        </w:trPr>
        <w:tc>
          <w:tcPr>
            <w:tcW w:w="334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库存现金</w:t>
            </w:r>
            <w:r>
              <w:rPr>
                <w:rFonts w:ascii="宋体" w:hAnsi="宋体" w:cs="宋体" w:eastAsia="宋体" w:hint="default"/>
                <w:sz w:val="21"/>
                <w:szCs w:val="21"/>
              </w:rPr>
              <w:t> </w:t>
            </w:r>
          </w:p>
        </w:tc>
        <w:tc>
          <w:tcPr>
            <w:tcW w:w="290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11,154.77</w:t>
            </w:r>
          </w:p>
        </w:tc>
        <w:tc>
          <w:tcPr>
            <w:tcW w:w="280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11,154.77</w:t>
            </w:r>
          </w:p>
        </w:tc>
      </w:tr>
      <w:tr>
        <w:trPr>
          <w:trHeight w:val="355" w:hRule="exact"/>
        </w:trPr>
        <w:tc>
          <w:tcPr>
            <w:tcW w:w="334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银行存款</w:t>
            </w:r>
            <w:r>
              <w:rPr>
                <w:rFonts w:ascii="宋体" w:hAnsi="宋体" w:cs="宋体" w:eastAsia="宋体" w:hint="default"/>
                <w:sz w:val="21"/>
                <w:szCs w:val="21"/>
              </w:rPr>
              <w:t> </w:t>
            </w:r>
          </w:p>
        </w:tc>
        <w:tc>
          <w:tcPr>
            <w:tcW w:w="290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5"/>
              <w:jc w:val="right"/>
              <w:rPr>
                <w:rFonts w:ascii="Arial" w:hAnsi="Arial" w:cs="Arial" w:eastAsia="Arial" w:hint="default"/>
                <w:sz w:val="21"/>
                <w:szCs w:val="21"/>
              </w:rPr>
            </w:pPr>
            <w:r>
              <w:rPr>
                <w:rFonts w:ascii="Arial"/>
                <w:spacing w:val="-1"/>
                <w:sz w:val="21"/>
              </w:rPr>
              <w:t>1,020,118,098.15</w:t>
            </w:r>
          </w:p>
        </w:tc>
        <w:tc>
          <w:tcPr>
            <w:tcW w:w="280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312,961,949.72</w:t>
            </w:r>
          </w:p>
        </w:tc>
      </w:tr>
      <w:tr>
        <w:trPr>
          <w:trHeight w:val="365" w:hRule="exact"/>
        </w:trPr>
        <w:tc>
          <w:tcPr>
            <w:tcW w:w="3347"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其他货币资金</w:t>
            </w:r>
            <w:r>
              <w:rPr>
                <w:rFonts w:ascii="宋体" w:hAnsi="宋体" w:cs="宋体" w:eastAsia="宋体" w:hint="default"/>
                <w:sz w:val="21"/>
                <w:szCs w:val="21"/>
              </w:rPr>
              <w:t> </w:t>
            </w:r>
          </w:p>
        </w:tc>
        <w:tc>
          <w:tcPr>
            <w:tcW w:w="2907"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1,626,199.71</w:t>
            </w:r>
          </w:p>
        </w:tc>
        <w:tc>
          <w:tcPr>
            <w:tcW w:w="2808"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549,049.60</w:t>
            </w:r>
          </w:p>
        </w:tc>
      </w:tr>
    </w:tbl>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454.05pt;height:1pt;mso-position-horizontal-relative:char;mso-position-vertical-relative:line" coordorigin="0,0" coordsize="9081,20">
            <v:group style="position:absolute;left:10;top:10;width:3342;height:2" coordorigin="10,10" coordsize="3342,2">
              <v:shape style="position:absolute;left:10;top:10;width:3342;height:2" coordorigin="10,10" coordsize="3342,0" path="m10,10l3351,10e" filled="false" stroked="true" strokeweight=".96002pt" strokecolor="#41b7ee">
                <v:path arrowok="t"/>
              </v:shape>
            </v:group>
            <v:group style="position:absolute;left:3351;top:10;width:58;height:2" coordorigin="3351,10" coordsize="58,2">
              <v:shape style="position:absolute;left:3351;top:10;width:58;height:2" coordorigin="3351,10" coordsize="58,0" path="m3351,10l3409,10e" filled="false" stroked="true" strokeweight=".96002pt" strokecolor="#41b7ee">
                <v:path arrowok="t"/>
              </v:shape>
            </v:group>
            <v:group style="position:absolute;left:3409;top:10;width:2850;height:2" coordorigin="3409,10" coordsize="2850,2">
              <v:shape style="position:absolute;left:3409;top:10;width:2850;height:2" coordorigin="3409,10" coordsize="2850,0" path="m3409,10l6258,10e" filled="false" stroked="true" strokeweight=".96002pt" strokecolor="#41b7ee">
                <v:path arrowok="t"/>
              </v:shape>
            </v:group>
            <v:group style="position:absolute;left:6258;top:10;width:58;height:2" coordorigin="6258,10" coordsize="58,2">
              <v:shape style="position:absolute;left:6258;top:10;width:58;height:2" coordorigin="6258,10" coordsize="58,0" path="m6258,10l6316,10e" filled="false" stroked="true" strokeweight=".96002pt" strokecolor="#41b7ee">
                <v:path arrowok="t"/>
              </v:shape>
            </v:group>
            <v:group style="position:absolute;left:6316;top:10;width:2756;height:2" coordorigin="6316,10" coordsize="2756,2">
              <v:shape style="position:absolute;left:6316;top:10;width:2756;height:2" coordorigin="6316,10" coordsize="2756,0" path="m6316,10l9071,10e" filled="false" stroked="true" strokeweight=".96002pt" strokecolor="#41b7ee">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26" w:footer="1195" w:top="1360" w:bottom="1380" w:left="1020" w:right="1520"/>
        </w:sectPr>
      </w:pPr>
    </w:p>
    <w:p>
      <w:pPr>
        <w:spacing w:line="240" w:lineRule="auto" w:before="11"/>
        <w:rPr>
          <w:rFonts w:ascii="宋体" w:hAnsi="宋体" w:cs="宋体" w:eastAsia="宋体" w:hint="default"/>
          <w:sz w:val="3"/>
          <w:szCs w:val="3"/>
        </w:rPr>
      </w:pPr>
    </w:p>
    <w:p>
      <w:pPr>
        <w:spacing w:line="20" w:lineRule="exact"/>
        <w:ind w:left="22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4"/>
          <w:szCs w:val="4"/>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454.05pt;height:1pt;mso-position-horizontal-relative:char;mso-position-vertical-relative:line" coordorigin="0,0" coordsize="9081,20">
            <v:group style="position:absolute;left:10;top:10;width:3342;height:2" coordorigin="10,10" coordsize="3342,2">
              <v:shape style="position:absolute;left:10;top:10;width:3342;height:2" coordorigin="10,10" coordsize="3342,0" path="m10,10l3351,10e" filled="false" stroked="true" strokeweight=".96pt" strokecolor="#41b7ee">
                <v:path arrowok="t"/>
              </v:shape>
            </v:group>
            <v:group style="position:absolute;left:3351;top:10;width:58;height:2" coordorigin="3351,10" coordsize="58,2">
              <v:shape style="position:absolute;left:3351;top:10;width:58;height:2" coordorigin="3351,10" coordsize="58,0" path="m3351,10l3409,10e" filled="false" stroked="true" strokeweight=".96pt" strokecolor="#41b7ee">
                <v:path arrowok="t"/>
              </v:shape>
            </v:group>
            <v:group style="position:absolute;left:3409;top:10;width:2850;height:2" coordorigin="3409,10" coordsize="2850,2">
              <v:shape style="position:absolute;left:3409;top:10;width:2850;height:2" coordorigin="3409,10" coordsize="2850,0" path="m3409,10l6258,10e" filled="false" stroked="true" strokeweight=".96pt" strokecolor="#41b7ee">
                <v:path arrowok="t"/>
              </v:shape>
            </v:group>
            <v:group style="position:absolute;left:6258;top:10;width:58;height:2" coordorigin="6258,10" coordsize="58,2">
              <v:shape style="position:absolute;left:6258;top:10;width:58;height:2" coordorigin="6258,10" coordsize="58,0" path="m6258,10l6316,10e" filled="false" stroked="true" strokeweight=".96pt" strokecolor="#41b7ee">
                <v:path arrowok="t"/>
              </v:shape>
            </v:group>
            <v:group style="position:absolute;left:6316;top:10;width:2756;height:2" coordorigin="6316,10" coordsize="2756,2">
              <v:shape style="position:absolute;left:6316;top:10;width:2756;height:2" coordorigin="6316,10" coordsize="2756,0" path="m6316,10l9071,10e" filled="false" stroked="true" strokeweight=".96pt" strokecolor="#41b7ee">
                <v:path arrowok="t"/>
              </v:shape>
            </v:group>
          </v:group>
        </w:pict>
      </w:r>
      <w:r>
        <w:rPr>
          <w:rFonts w:ascii="宋体" w:hAnsi="宋体" w:cs="宋体" w:eastAsia="宋体" w:hint="default"/>
          <w:sz w:val="2"/>
          <w:szCs w:val="2"/>
        </w:rPr>
      </w:r>
    </w:p>
    <w:tbl>
      <w:tblPr>
        <w:tblW w:w="0" w:type="auto"/>
        <w:jc w:val="left"/>
        <w:tblInd w:w="143" w:type="dxa"/>
        <w:tblLayout w:type="fixed"/>
        <w:tblCellMar>
          <w:top w:w="0" w:type="dxa"/>
          <w:left w:w="0" w:type="dxa"/>
          <w:bottom w:w="0" w:type="dxa"/>
          <w:right w:w="0" w:type="dxa"/>
        </w:tblCellMar>
        <w:tblLook w:val="01E0"/>
      </w:tblPr>
      <w:tblGrid>
        <w:gridCol w:w="3347"/>
        <w:gridCol w:w="2907"/>
        <w:gridCol w:w="2808"/>
      </w:tblGrid>
      <w:tr>
        <w:trPr>
          <w:trHeight w:val="392" w:hRule="exact"/>
        </w:trPr>
        <w:tc>
          <w:tcPr>
            <w:tcW w:w="3347" w:type="dxa"/>
            <w:tcBorders>
              <w:top w:val="single" w:sz="8" w:space="0" w:color="41B7EE"/>
              <w:left w:val="nil" w:sz="6" w:space="0" w:color="auto"/>
              <w:bottom w:val="single" w:sz="23" w:space="0" w:color="41B7EE"/>
              <w:right w:val="single" w:sz="4" w:space="0" w:color="41B7EE"/>
            </w:tcBorders>
          </w:tcPr>
          <w:p>
            <w:pPr>
              <w:pStyle w:val="TableParagraph"/>
              <w:spacing w:line="240" w:lineRule="auto" w:before="6"/>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07" w:type="dxa"/>
            <w:tcBorders>
              <w:top w:val="single" w:sz="8" w:space="0" w:color="41B7EE"/>
              <w:left w:val="single" w:sz="4" w:space="0" w:color="41B7EE"/>
              <w:bottom w:val="single" w:sz="23" w:space="0" w:color="41B7EE"/>
              <w:right w:val="single" w:sz="4" w:space="0" w:color="41B7EE"/>
            </w:tcBorders>
          </w:tcPr>
          <w:p>
            <w:pPr>
              <w:pStyle w:val="TableParagraph"/>
              <w:spacing w:line="240" w:lineRule="auto" w:before="50"/>
              <w:ind w:left="1154" w:right="0"/>
              <w:jc w:val="left"/>
              <w:rPr>
                <w:rFonts w:ascii="Arial" w:hAnsi="Arial" w:cs="Arial" w:eastAsia="Arial" w:hint="default"/>
                <w:sz w:val="21"/>
                <w:szCs w:val="21"/>
              </w:rPr>
            </w:pPr>
            <w:r>
              <w:rPr>
                <w:rFonts w:ascii="Arial"/>
                <w:sz w:val="21"/>
              </w:rPr>
              <w:t>1,021,755,452.63</w:t>
            </w:r>
          </w:p>
        </w:tc>
        <w:tc>
          <w:tcPr>
            <w:tcW w:w="2808" w:type="dxa"/>
            <w:tcBorders>
              <w:top w:val="single" w:sz="8" w:space="0" w:color="41B7EE"/>
              <w:left w:val="single" w:sz="4" w:space="0" w:color="41B7EE"/>
              <w:bottom w:val="single" w:sz="23" w:space="0" w:color="41B7EE"/>
              <w:right w:val="nil" w:sz="6" w:space="0" w:color="auto"/>
            </w:tcBorders>
          </w:tcPr>
          <w:p>
            <w:pPr>
              <w:pStyle w:val="TableParagraph"/>
              <w:spacing w:line="240" w:lineRule="auto" w:before="50"/>
              <w:ind w:left="1228" w:right="0"/>
              <w:jc w:val="left"/>
              <w:rPr>
                <w:rFonts w:ascii="Arial" w:hAnsi="Arial" w:cs="Arial" w:eastAsia="Arial" w:hint="default"/>
                <w:sz w:val="21"/>
                <w:szCs w:val="21"/>
              </w:rPr>
            </w:pPr>
            <w:r>
              <w:rPr>
                <w:rFonts w:ascii="Arial"/>
                <w:sz w:val="21"/>
              </w:rPr>
              <w:t>313,522,154.09</w:t>
            </w:r>
          </w:p>
        </w:tc>
      </w:tr>
    </w:tbl>
    <w:p>
      <w:pPr>
        <w:pStyle w:val="BodyText"/>
        <w:spacing w:line="257" w:lineRule="exact"/>
        <w:ind w:left="256" w:right="5964"/>
        <w:jc w:val="left"/>
        <w:rPr>
          <w:rFonts w:ascii="宋体" w:hAnsi="宋体" w:cs="宋体" w:eastAsia="宋体" w:hint="default"/>
        </w:rPr>
      </w:pPr>
      <w:r>
        <w:rPr/>
        <w:t>其他说明：</w:t>
      </w:r>
      <w:r>
        <w:rPr>
          <w:rFonts w:ascii="宋体" w:hAnsi="宋体" w:cs="宋体" w:eastAsia="宋体" w:hint="default"/>
        </w:rPr>
        <w:t> </w:t>
      </w:r>
    </w:p>
    <w:p>
      <w:pPr>
        <w:pStyle w:val="BodyText"/>
        <w:spacing w:line="274" w:lineRule="exact" w:before="24"/>
        <w:ind w:left="256" w:right="0" w:firstLine="420"/>
        <w:jc w:val="left"/>
        <w:rPr>
          <w:rFonts w:ascii="宋体" w:hAnsi="宋体" w:cs="宋体" w:eastAsia="宋体" w:hint="default"/>
        </w:rPr>
      </w:pPr>
      <w:r>
        <w:rPr/>
        <w:t>于</w:t>
      </w:r>
      <w:r>
        <w:rPr>
          <w:spacing w:val="-49"/>
        </w:rPr>
        <w:t> </w:t>
      </w:r>
      <w:r>
        <w:rPr>
          <w:rFonts w:ascii="Arial" w:hAnsi="Arial" w:cs="Arial" w:eastAsia="Arial" w:hint="default"/>
        </w:rPr>
        <w:t>2019</w:t>
      </w:r>
      <w:r>
        <w:rPr>
          <w:rFonts w:ascii="Arial" w:hAnsi="Arial" w:cs="Arial" w:eastAsia="Arial" w:hint="default"/>
          <w:spacing w:val="-4"/>
        </w:rPr>
        <w:t> </w:t>
      </w:r>
      <w:r>
        <w:rPr/>
        <w:t>年</w:t>
      </w:r>
      <w:r>
        <w:rPr>
          <w:spacing w:val="-49"/>
        </w:rPr>
        <w:t> </w:t>
      </w:r>
      <w:r>
        <w:rPr>
          <w:rFonts w:ascii="Arial" w:hAnsi="Arial" w:cs="Arial" w:eastAsia="Arial" w:hint="default"/>
        </w:rPr>
        <w:t>12</w:t>
      </w:r>
      <w:r>
        <w:rPr>
          <w:rFonts w:ascii="Arial" w:hAnsi="Arial" w:cs="Arial" w:eastAsia="Arial" w:hint="default"/>
          <w:spacing w:val="-4"/>
        </w:rPr>
        <w:t> </w:t>
      </w:r>
      <w:r>
        <w:rPr/>
        <w:t>月</w:t>
      </w:r>
      <w:r>
        <w:rPr>
          <w:spacing w:val="-49"/>
        </w:rPr>
        <w:t> </w:t>
      </w:r>
      <w:r>
        <w:rPr>
          <w:rFonts w:ascii="Arial" w:hAnsi="Arial" w:cs="Arial" w:eastAsia="Arial" w:hint="default"/>
        </w:rPr>
        <w:t>31</w:t>
      </w:r>
      <w:r>
        <w:rPr>
          <w:rFonts w:ascii="Arial" w:hAnsi="Arial" w:cs="Arial" w:eastAsia="Arial" w:hint="default"/>
          <w:spacing w:val="-2"/>
        </w:rPr>
        <w:t> </w:t>
      </w:r>
      <w:r>
        <w:rPr>
          <w:spacing w:val="-3"/>
        </w:rPr>
        <w:t>日，公司所有权受到限制的货币资金为人民币</w:t>
      </w:r>
      <w:r>
        <w:rPr>
          <w:spacing w:val="-48"/>
        </w:rPr>
        <w:t> </w:t>
      </w:r>
      <w:r>
        <w:rPr>
          <w:rFonts w:ascii="Arial" w:hAnsi="Arial" w:cs="Arial" w:eastAsia="Arial" w:hint="default"/>
        </w:rPr>
        <w:t>1,626,199.71</w:t>
      </w:r>
      <w:r>
        <w:rPr>
          <w:rFonts w:ascii="Arial" w:hAnsi="Arial" w:cs="Arial" w:eastAsia="Arial" w:hint="default"/>
          <w:spacing w:val="-1"/>
        </w:rPr>
        <w:t> </w:t>
      </w:r>
      <w:r>
        <w:rPr>
          <w:spacing w:val="-7"/>
        </w:rPr>
        <w:t>元，为友谊</w:t>
      </w:r>
      <w:r>
        <w:rPr>
          <w:w w:val="100"/>
        </w:rPr>
        <w:t> </w:t>
      </w:r>
      <w:r>
        <w:rPr/>
        <w:t>分公司依据《土地复垦条例实施办法》，粮食管护项目晒场台面占用耕地缴纳复垦保证金。</w:t>
      </w:r>
      <w:r>
        <w:rPr>
          <w:rFonts w:ascii="宋体" w:hAnsi="宋体" w:cs="宋体" w:eastAsia="宋体" w:hint="default"/>
        </w:rPr>
        <w:t> </w:t>
      </w:r>
    </w:p>
    <w:p>
      <w:pPr>
        <w:pStyle w:val="Heading2"/>
        <w:spacing w:line="240" w:lineRule="auto" w:before="31"/>
        <w:ind w:left="256" w:right="5964"/>
        <w:jc w:val="left"/>
        <w:rPr>
          <w:b w:val="0"/>
          <w:bCs w:val="0"/>
        </w:rPr>
      </w:pPr>
      <w:r>
        <w:rPr>
          <w:rFonts w:ascii="宋体" w:hAnsi="宋体" w:cs="宋体" w:eastAsia="宋体" w:hint="default"/>
        </w:rPr>
        <w:t>2</w:t>
      </w:r>
      <w:r>
        <w:rPr/>
        <w:t>、</w:t>
      </w:r>
      <w:r>
        <w:rPr>
          <w:spacing w:val="-1"/>
        </w:rPr>
        <w:t> </w:t>
      </w:r>
      <w:r>
        <w:rPr/>
        <w:t>交易性金融资产</w:t>
      </w:r>
      <w:r>
        <w:rPr>
          <w:b w:val="0"/>
          <w:bCs w:val="0"/>
        </w:rPr>
      </w:r>
    </w:p>
    <w:p>
      <w:pPr>
        <w:pStyle w:val="BodyText"/>
        <w:spacing w:line="240" w:lineRule="auto" w:before="56"/>
        <w:ind w:left="256" w:right="59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211"/>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651"/>
        <w:gridCol w:w="2688"/>
        <w:gridCol w:w="2710"/>
      </w:tblGrid>
      <w:tr>
        <w:trPr>
          <w:trHeight w:val="384" w:hRule="exact"/>
        </w:trPr>
        <w:tc>
          <w:tcPr>
            <w:tcW w:w="3651"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left="11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88"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left="9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10"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92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3651" w:type="dxa"/>
            <w:tcBorders>
              <w:top w:val="single" w:sz="4" w:space="0" w:color="41B7EE"/>
              <w:left w:val="nil" w:sz="6" w:space="0" w:color="auto"/>
              <w:bottom w:val="single" w:sz="4" w:space="0" w:color="41B7EE"/>
              <w:right w:val="single" w:sz="4" w:space="0" w:color="41B7EE"/>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益的金融资产</w:t>
            </w:r>
            <w:r>
              <w:rPr>
                <w:rFonts w:ascii="宋体" w:hAnsi="宋体" w:cs="宋体" w:eastAsia="宋体" w:hint="default"/>
                <w:sz w:val="21"/>
                <w:szCs w:val="21"/>
              </w:rPr>
              <w:t> </w:t>
            </w:r>
          </w:p>
        </w:tc>
        <w:tc>
          <w:tcPr>
            <w:tcW w:w="268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left="940" w:right="0"/>
              <w:jc w:val="left"/>
              <w:rPr>
                <w:rFonts w:ascii="Arial" w:hAnsi="Arial" w:cs="Arial" w:eastAsia="Arial" w:hint="default"/>
                <w:sz w:val="21"/>
                <w:szCs w:val="21"/>
              </w:rPr>
            </w:pPr>
            <w:r>
              <w:rPr>
                <w:rFonts w:ascii="Arial"/>
                <w:sz w:val="21"/>
              </w:rPr>
              <w:t>1,403,767,138.47</w:t>
            </w:r>
          </w:p>
        </w:tc>
        <w:tc>
          <w:tcPr>
            <w:tcW w:w="27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6"/>
              <w:ind w:left="962" w:right="0"/>
              <w:jc w:val="left"/>
              <w:rPr>
                <w:rFonts w:ascii="Arial" w:hAnsi="Arial" w:cs="Arial" w:eastAsia="Arial" w:hint="default"/>
                <w:sz w:val="21"/>
                <w:szCs w:val="21"/>
              </w:rPr>
            </w:pPr>
            <w:r>
              <w:rPr>
                <w:rFonts w:ascii="Arial"/>
                <w:sz w:val="21"/>
              </w:rPr>
              <w:t>2,145,552,559.11</w:t>
            </w:r>
          </w:p>
        </w:tc>
      </w:tr>
    </w:tbl>
    <w:p>
      <w:pPr>
        <w:pStyle w:val="BodyText"/>
        <w:spacing w:line="240" w:lineRule="auto" w:before="4"/>
        <w:ind w:left="256" w:right="5964"/>
        <w:jc w:val="left"/>
      </w:pPr>
      <w:r>
        <w:rPr/>
        <w:t>其中：</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651"/>
        <w:gridCol w:w="2688"/>
        <w:gridCol w:w="2710"/>
      </w:tblGrid>
      <w:tr>
        <w:trPr>
          <w:trHeight w:val="358" w:hRule="exact"/>
        </w:trPr>
        <w:tc>
          <w:tcPr>
            <w:tcW w:w="365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28" w:right="0"/>
              <w:jc w:val="left"/>
              <w:rPr>
                <w:rFonts w:ascii="宋体" w:hAnsi="宋体" w:cs="宋体" w:eastAsia="宋体" w:hint="default"/>
                <w:sz w:val="21"/>
                <w:szCs w:val="21"/>
              </w:rPr>
            </w:pPr>
            <w:r>
              <w:rPr>
                <w:rFonts w:ascii="宋体" w:hAnsi="宋体" w:cs="宋体" w:eastAsia="宋体" w:hint="default"/>
                <w:sz w:val="21"/>
                <w:szCs w:val="21"/>
              </w:rPr>
              <w:t>债务工具投资（国债逆回购）</w:t>
            </w:r>
            <w:r>
              <w:rPr>
                <w:rFonts w:ascii="宋体" w:hAnsi="宋体" w:cs="宋体" w:eastAsia="宋体" w:hint="default"/>
                <w:sz w:val="21"/>
                <w:szCs w:val="21"/>
              </w:rPr>
              <w:t> </w:t>
            </w:r>
          </w:p>
        </w:tc>
        <w:tc>
          <w:tcPr>
            <w:tcW w:w="268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150,638,167.78</w:t>
            </w:r>
          </w:p>
        </w:tc>
        <w:tc>
          <w:tcPr>
            <w:tcW w:w="27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635,693,612.21</w:t>
            </w:r>
          </w:p>
        </w:tc>
      </w:tr>
      <w:tr>
        <w:trPr>
          <w:trHeight w:val="355" w:hRule="exact"/>
        </w:trPr>
        <w:tc>
          <w:tcPr>
            <w:tcW w:w="365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528" w:right="0"/>
              <w:jc w:val="left"/>
              <w:rPr>
                <w:rFonts w:ascii="宋体" w:hAnsi="宋体" w:cs="宋体" w:eastAsia="宋体" w:hint="default"/>
                <w:sz w:val="21"/>
                <w:szCs w:val="21"/>
              </w:rPr>
            </w:pPr>
            <w:r>
              <w:rPr>
                <w:rFonts w:ascii="宋体" w:hAnsi="宋体" w:cs="宋体" w:eastAsia="宋体" w:hint="default"/>
                <w:sz w:val="21"/>
                <w:szCs w:val="21"/>
              </w:rPr>
              <w:t>其他（银行理财产品）</w:t>
            </w:r>
            <w:r>
              <w:rPr>
                <w:rFonts w:ascii="宋体" w:hAnsi="宋体" w:cs="宋体" w:eastAsia="宋体" w:hint="default"/>
                <w:sz w:val="21"/>
                <w:szCs w:val="21"/>
              </w:rPr>
              <w:t> </w:t>
            </w:r>
          </w:p>
        </w:tc>
        <w:tc>
          <w:tcPr>
            <w:tcW w:w="268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1,253,128,970.69</w:t>
            </w:r>
          </w:p>
        </w:tc>
        <w:tc>
          <w:tcPr>
            <w:tcW w:w="27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5"/>
              <w:jc w:val="right"/>
              <w:rPr>
                <w:rFonts w:ascii="Arial" w:hAnsi="Arial" w:cs="Arial" w:eastAsia="Arial" w:hint="default"/>
                <w:sz w:val="21"/>
                <w:szCs w:val="21"/>
              </w:rPr>
            </w:pPr>
            <w:r>
              <w:rPr>
                <w:rFonts w:ascii="Arial"/>
                <w:spacing w:val="-1"/>
                <w:sz w:val="21"/>
              </w:rPr>
              <w:t>1,509,858,946.90</w:t>
            </w:r>
          </w:p>
        </w:tc>
      </w:tr>
      <w:tr>
        <w:trPr>
          <w:trHeight w:val="557" w:hRule="exact"/>
        </w:trPr>
        <w:tc>
          <w:tcPr>
            <w:tcW w:w="3651" w:type="dxa"/>
            <w:tcBorders>
              <w:top w:val="single" w:sz="4" w:space="0" w:color="41B7EE"/>
              <w:left w:val="nil" w:sz="6" w:space="0" w:color="auto"/>
              <w:bottom w:val="single" w:sz="4" w:space="0" w:color="41B7EE"/>
              <w:right w:val="single" w:sz="4" w:space="0" w:color="41B7EE"/>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指定以公允价值计量且其变动计入当</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期损益的金融资产</w:t>
            </w:r>
            <w:r>
              <w:rPr>
                <w:rFonts w:ascii="宋体" w:hAnsi="宋体" w:cs="宋体" w:eastAsia="宋体" w:hint="default"/>
                <w:sz w:val="21"/>
                <w:szCs w:val="21"/>
              </w:rPr>
              <w:t> </w:t>
            </w:r>
          </w:p>
        </w:tc>
        <w:tc>
          <w:tcPr>
            <w:tcW w:w="2688" w:type="dxa"/>
            <w:tcBorders>
              <w:top w:val="single" w:sz="4" w:space="0" w:color="41B7EE"/>
              <w:left w:val="single" w:sz="4" w:space="0" w:color="41B7EE"/>
              <w:bottom w:val="single" w:sz="4" w:space="0" w:color="41B7EE"/>
              <w:right w:val="single" w:sz="4" w:space="0" w:color="41B7EE"/>
            </w:tcBorders>
          </w:tcPr>
          <w:p>
            <w:pPr/>
          </w:p>
        </w:tc>
        <w:tc>
          <w:tcPr>
            <w:tcW w:w="2710" w:type="dxa"/>
            <w:tcBorders>
              <w:top w:val="single" w:sz="4" w:space="0" w:color="41B7EE"/>
              <w:left w:val="single" w:sz="4" w:space="0" w:color="41B7EE"/>
              <w:bottom w:val="single" w:sz="4" w:space="0" w:color="41B7EE"/>
              <w:right w:val="nil" w:sz="6" w:space="0" w:color="auto"/>
            </w:tcBorders>
          </w:tcPr>
          <w:p>
            <w:pPr/>
          </w:p>
        </w:tc>
      </w:tr>
      <w:tr>
        <w:trPr>
          <w:trHeight w:val="382" w:hRule="exact"/>
        </w:trPr>
        <w:tc>
          <w:tcPr>
            <w:tcW w:w="3651"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2"/>
              <w:ind w:left="11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8"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1,403,767,138.47</w:t>
            </w:r>
          </w:p>
        </w:tc>
        <w:tc>
          <w:tcPr>
            <w:tcW w:w="2710"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105"/>
              <w:jc w:val="right"/>
              <w:rPr>
                <w:rFonts w:ascii="Arial" w:hAnsi="Arial" w:cs="Arial" w:eastAsia="Arial" w:hint="default"/>
                <w:sz w:val="21"/>
                <w:szCs w:val="21"/>
              </w:rPr>
            </w:pPr>
            <w:r>
              <w:rPr>
                <w:rFonts w:ascii="Arial"/>
                <w:spacing w:val="-1"/>
                <w:sz w:val="21"/>
              </w:rPr>
              <w:t>2,145,552,559.11</w:t>
            </w:r>
          </w:p>
        </w:tc>
      </w:tr>
    </w:tbl>
    <w:p>
      <w:pPr>
        <w:spacing w:after="0" w:line="240" w:lineRule="auto"/>
        <w:jc w:val="right"/>
        <w:rPr>
          <w:rFonts w:ascii="Arial" w:hAnsi="Arial" w:cs="Arial" w:eastAsia="Arial" w:hint="default"/>
          <w:sz w:val="21"/>
          <w:szCs w:val="21"/>
        </w:rPr>
        <w:sectPr>
          <w:footerReference w:type="default" r:id="rId56"/>
          <w:pgSz w:w="11910" w:h="16840"/>
          <w:pgMar w:footer="1195" w:header="826" w:top="1300" w:bottom="1380" w:left="1020" w:right="1520"/>
        </w:sectPr>
      </w:pPr>
    </w:p>
    <w:p>
      <w:pPr>
        <w:pStyle w:val="Heading2"/>
        <w:spacing w:line="240" w:lineRule="auto" w:before="26"/>
        <w:ind w:left="256" w:right="451"/>
        <w:jc w:val="left"/>
        <w:rPr>
          <w:b w:val="0"/>
          <w:bCs w:val="0"/>
        </w:rPr>
      </w:pPr>
      <w:r>
        <w:rPr>
          <w:rFonts w:ascii="宋体" w:hAnsi="宋体" w:cs="宋体" w:eastAsia="宋体" w:hint="default"/>
        </w:rPr>
        <w:t>3</w:t>
      </w:r>
      <w:r>
        <w:rPr/>
        <w:t>、</w:t>
      </w:r>
      <w:r>
        <w:rPr>
          <w:spacing w:val="-1"/>
        </w:rPr>
        <w:t> </w:t>
      </w:r>
      <w:r>
        <w:rPr/>
        <w:t>衍生金融资产</w:t>
      </w:r>
      <w:r>
        <w:rPr>
          <w:b w:val="0"/>
          <w:bCs w:val="0"/>
        </w:rPr>
      </w:r>
    </w:p>
    <w:p>
      <w:pPr>
        <w:spacing w:line="290" w:lineRule="auto" w:before="58"/>
        <w:ind w:left="256" w:right="45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应收票据</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4"/>
        <w:ind w:left="25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56" w:right="45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ind w:left="2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020" w:right="1520"/>
          <w:cols w:num="2" w:equalWidth="0">
            <w:col w:w="2579" w:space="3944"/>
            <w:col w:w="2847"/>
          </w:cols>
        </w:sectPr>
      </w:pP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994"/>
        <w:gridCol w:w="3130"/>
        <w:gridCol w:w="2938"/>
      </w:tblGrid>
      <w:tr>
        <w:trPr>
          <w:trHeight w:val="384" w:hRule="exact"/>
        </w:trPr>
        <w:tc>
          <w:tcPr>
            <w:tcW w:w="2994"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7"/>
              <w:ind w:right="117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130"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7"/>
              <w:ind w:left="113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38"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7"/>
              <w:ind w:left="104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55" w:hRule="exact"/>
        </w:trPr>
        <w:tc>
          <w:tcPr>
            <w:tcW w:w="299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313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right="14"/>
              <w:jc w:val="right"/>
              <w:rPr>
                <w:rFonts w:ascii="宋体" w:hAnsi="宋体" w:cs="宋体" w:eastAsia="宋体" w:hint="default"/>
                <w:sz w:val="21"/>
                <w:szCs w:val="21"/>
              </w:rPr>
            </w:pPr>
            <w:r>
              <w:rPr>
                <w:rFonts w:ascii="宋体"/>
                <w:w w:val="100"/>
                <w:sz w:val="21"/>
              </w:rPr>
              <w:t> </w:t>
            </w:r>
          </w:p>
        </w:tc>
        <w:tc>
          <w:tcPr>
            <w:tcW w:w="293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1"/>
              <w:jc w:val="right"/>
              <w:rPr>
                <w:rFonts w:ascii="宋体" w:hAnsi="宋体" w:cs="宋体" w:eastAsia="宋体" w:hint="default"/>
                <w:sz w:val="21"/>
                <w:szCs w:val="21"/>
              </w:rPr>
            </w:pPr>
            <w:r>
              <w:rPr>
                <w:rFonts w:ascii="Arial"/>
                <w:spacing w:val="-1"/>
                <w:sz w:val="21"/>
              </w:rPr>
              <w:t>2,438,073.71</w:t>
            </w:r>
            <w:r>
              <w:rPr>
                <w:rFonts w:ascii="宋体"/>
                <w:w w:val="100"/>
                <w:sz w:val="21"/>
              </w:rPr>
              <w:t> </w:t>
            </w:r>
          </w:p>
        </w:tc>
      </w:tr>
      <w:tr>
        <w:trPr>
          <w:trHeight w:val="358" w:hRule="exact"/>
        </w:trPr>
        <w:tc>
          <w:tcPr>
            <w:tcW w:w="299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313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right="14"/>
              <w:jc w:val="right"/>
              <w:rPr>
                <w:rFonts w:ascii="宋体" w:hAnsi="宋体" w:cs="宋体" w:eastAsia="宋体" w:hint="default"/>
                <w:sz w:val="21"/>
                <w:szCs w:val="21"/>
              </w:rPr>
            </w:pPr>
            <w:r>
              <w:rPr>
                <w:rFonts w:ascii="宋体"/>
                <w:w w:val="100"/>
                <w:sz w:val="21"/>
              </w:rPr>
              <w:t> </w:t>
            </w:r>
          </w:p>
        </w:tc>
        <w:tc>
          <w:tcPr>
            <w:tcW w:w="293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right="21"/>
              <w:jc w:val="right"/>
              <w:rPr>
                <w:rFonts w:ascii="宋体" w:hAnsi="宋体" w:cs="宋体" w:eastAsia="宋体" w:hint="default"/>
                <w:sz w:val="21"/>
                <w:szCs w:val="21"/>
              </w:rPr>
            </w:pPr>
            <w:r>
              <w:rPr>
                <w:rFonts w:ascii="宋体"/>
                <w:w w:val="100"/>
                <w:sz w:val="21"/>
              </w:rPr>
              <w:t> </w:t>
            </w:r>
          </w:p>
        </w:tc>
      </w:tr>
      <w:tr>
        <w:trPr>
          <w:trHeight w:val="365" w:hRule="exact"/>
        </w:trPr>
        <w:tc>
          <w:tcPr>
            <w:tcW w:w="2994"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4"/>
              <w:ind w:right="117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130"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
              <w:ind w:right="0"/>
              <w:jc w:val="right"/>
              <w:rPr>
                <w:rFonts w:ascii="宋体" w:hAnsi="宋体" w:cs="宋体" w:eastAsia="宋体" w:hint="default"/>
                <w:sz w:val="21"/>
                <w:szCs w:val="21"/>
              </w:rPr>
            </w:pPr>
            <w:r>
              <w:rPr>
                <w:rFonts w:ascii="宋体"/>
                <w:w w:val="100"/>
                <w:sz w:val="21"/>
              </w:rPr>
              <w:t> </w:t>
            </w:r>
          </w:p>
        </w:tc>
        <w:tc>
          <w:tcPr>
            <w:tcW w:w="2938"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8"/>
              <w:ind w:right="7"/>
              <w:jc w:val="right"/>
              <w:rPr>
                <w:rFonts w:ascii="宋体" w:hAnsi="宋体" w:cs="宋体" w:eastAsia="宋体" w:hint="default"/>
                <w:sz w:val="21"/>
                <w:szCs w:val="21"/>
              </w:rPr>
            </w:pPr>
            <w:r>
              <w:rPr>
                <w:rFonts w:ascii="Arial"/>
                <w:spacing w:val="-1"/>
                <w:sz w:val="21"/>
              </w:rPr>
              <w:t>2,438,073.71</w:t>
            </w:r>
            <w:r>
              <w:rPr>
                <w:rFonts w:ascii="宋体"/>
                <w:w w:val="100"/>
                <w:sz w:val="21"/>
              </w:rPr>
              <w:t> </w:t>
            </w:r>
          </w:p>
        </w:tc>
      </w:tr>
    </w:tbl>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454.05pt;height:1pt;mso-position-horizontal-relative:char;mso-position-vertical-relative:line" coordorigin="0,0" coordsize="9081,20">
            <v:group style="position:absolute;left:10;top:10;width:2989;height:2" coordorigin="10,10" coordsize="2989,2">
              <v:shape style="position:absolute;left:10;top:10;width:2989;height:2" coordorigin="10,10" coordsize="2989,0" path="m10,10l2999,10e" filled="false" stroked="true" strokeweight=".95999pt" strokecolor="#41b7ee">
                <v:path arrowok="t"/>
              </v:shape>
            </v:group>
            <v:group style="position:absolute;left:2999;top:10;width:58;height:2" coordorigin="2999,10" coordsize="58,2">
              <v:shape style="position:absolute;left:2999;top:10;width:58;height:2" coordorigin="2999,10" coordsize="58,0" path="m2999,10l3056,10e" filled="false" stroked="true" strokeweight=".95999pt" strokecolor="#41b7ee">
                <v:path arrowok="t"/>
              </v:shape>
            </v:group>
            <v:group style="position:absolute;left:3056;top:10;width:3073;height:2" coordorigin="3056,10" coordsize="3073,2">
              <v:shape style="position:absolute;left:3056;top:10;width:3073;height:2" coordorigin="3056,10" coordsize="3073,0" path="m3056,10l6129,10e" filled="false" stroked="true" strokeweight=".95999pt" strokecolor="#41b7ee">
                <v:path arrowok="t"/>
              </v:shape>
            </v:group>
            <v:group style="position:absolute;left:6129;top:10;width:58;height:2" coordorigin="6129,10" coordsize="58,2">
              <v:shape style="position:absolute;left:6129;top:10;width:58;height:2" coordorigin="6129,10" coordsize="58,0" path="m6129,10l6186,10e" filled="false" stroked="true" strokeweight=".95999pt" strokecolor="#41b7ee">
                <v:path arrowok="t"/>
              </v:shape>
            </v:group>
            <v:group style="position:absolute;left:6186;top:10;width:2886;height:2" coordorigin="6186,10" coordsize="2886,2">
              <v:shape style="position:absolute;left:6186;top:10;width:2886;height:2" coordorigin="6186,10" coordsize="2886,0" path="m6186,10l9071,10e" filled="false" stroked="true" strokeweight=".95999pt" strokecolor="#41b7ee">
                <v:path arrowok="t"/>
              </v:shape>
            </v:group>
          </v:group>
        </w:pict>
      </w:r>
      <w:r>
        <w:rPr>
          <w:rFonts w:ascii="宋体" w:hAnsi="宋体" w:cs="宋体" w:eastAsia="宋体" w:hint="default"/>
          <w:sz w:val="2"/>
          <w:szCs w:val="2"/>
        </w:rPr>
      </w:r>
    </w:p>
    <w:p>
      <w:pPr>
        <w:pStyle w:val="Heading2"/>
        <w:spacing w:line="240" w:lineRule="auto" w:before="44"/>
        <w:ind w:left="256" w:right="5964"/>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56" w:right="59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left="256"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
        </w:rPr>
        <w:t> </w:t>
      </w:r>
      <w:r>
        <w:rPr/>
        <w:t>期末公司已背书或贴现且在资产负债表日尚未到期的应收票据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56" w:right="59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2"/>
        <w:spacing w:line="240" w:lineRule="auto" w:before="58"/>
        <w:ind w:left="256"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5"/>
        </w:rPr>
        <w:t> </w:t>
      </w:r>
      <w:r>
        <w:rPr/>
        <w:t>期末公司因出票人未履约而将其转应收账款的票据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56" w:right="59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2"/>
        <w:spacing w:line="240" w:lineRule="auto" w:before="59"/>
        <w:ind w:left="256" w:right="5964"/>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2"/>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56" w:right="596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按单项计提坏账准备：</w:t>
      </w:r>
      <w:r>
        <w:rPr>
          <w:rFonts w:ascii="宋体" w:hAnsi="宋体" w:cs="宋体" w:eastAsia="宋体" w:hint="default"/>
        </w:rPr>
        <w:t> </w:t>
      </w:r>
    </w:p>
    <w:p>
      <w:pPr>
        <w:pStyle w:val="BodyText"/>
        <w:spacing w:line="274" w:lineRule="exact" w:before="22"/>
        <w:ind w:left="256" w:right="5964"/>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按组合计提坏账准备：</w:t>
      </w:r>
    </w:p>
    <w:p>
      <w:pPr>
        <w:pStyle w:val="BodyText"/>
        <w:spacing w:line="245" w:lineRule="exact"/>
        <w:ind w:left="256" w:right="59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72" w:lineRule="exact"/>
        <w:ind w:left="256" w:right="0"/>
        <w:jc w:val="left"/>
        <w:rPr>
          <w:rFonts w:ascii="宋体" w:hAnsi="宋体" w:cs="宋体" w:eastAsia="宋体" w:hint="default"/>
        </w:rPr>
      </w:pPr>
      <w:r>
        <w:rPr/>
        <w:t>如按预期信用损失一般模型计提坏账准备，请参照其他应收款披露：</w:t>
      </w:r>
      <w:r>
        <w:rPr>
          <w:rFonts w:ascii="宋体" w:hAnsi="宋体" w:cs="宋体" w:eastAsia="宋体" w:hint="default"/>
        </w:rPr>
        <w:t> </w:t>
      </w:r>
    </w:p>
    <w:p>
      <w:pPr>
        <w:spacing w:line="290" w:lineRule="auto" w:before="0"/>
        <w:ind w:left="256" w:right="699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pacing w:val="-2"/>
          <w:sz w:val="21"/>
          <w:szCs w:val="21"/>
        </w:rPr>
        <w:t> </w:t>
      </w:r>
      <w:r>
        <w:rPr>
          <w:rFonts w:ascii="宋体" w:hAnsi="宋体" w:cs="宋体" w:eastAsia="宋体" w:hint="default"/>
          <w:b/>
          <w:bCs/>
          <w:sz w:val="21"/>
          <w:szCs w:val="21"/>
        </w:rPr>
        <w:t>坏账准备的情况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56" w:right="5964"/>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020" w:right="1520"/>
        </w:sectPr>
      </w:pPr>
    </w:p>
    <w:p>
      <w:pPr>
        <w:pStyle w:val="Heading2"/>
        <w:spacing w:line="240" w:lineRule="auto" w:before="100"/>
        <w:ind w:left="156"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本期实际核销的应收票据情况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56" w:right="150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0"/>
        <w:ind w:left="156" w:right="150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应收账款</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按账龄披露</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15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2"/>
        <w:ind w:left="1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57"/>
          <w:pgSz w:w="11910" w:h="16840"/>
          <w:pgMar w:footer="1195" w:header="826" w:top="1300" w:bottom="1380" w:left="1120" w:right="1580"/>
          <w:cols w:num="2" w:equalWidth="0">
            <w:col w:w="3533" w:space="2989"/>
            <w:col w:w="2688"/>
          </w:cols>
        </w:sectPr>
      </w:pP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4367;height:2" coordorigin="10,10" coordsize="4367,2">
              <v:shape style="position:absolute;left:10;top:10;width:4367;height:2" coordorigin="10,10" coordsize="4367,0" path="m10,10l4376,10e" filled="false" stroked="true" strokeweight=".95999pt" strokecolor="#41b7ee">
                <v:path arrowok="t"/>
              </v:shape>
            </v:group>
            <v:group style="position:absolute;left:4376;top:10;width:58;height:2" coordorigin="4376,10" coordsize="58,2">
              <v:shape style="position:absolute;left:4376;top:10;width:58;height:2" coordorigin="4376,10" coordsize="58,0" path="m4376,10l4434,10e" filled="false" stroked="true" strokeweight=".95999pt" strokecolor="#41b7ee">
                <v:path arrowok="t"/>
              </v:shape>
            </v:group>
            <v:group style="position:absolute;left:4434;top:10;width:4473;height:2" coordorigin="4434,10" coordsize="4473,2">
              <v:shape style="position:absolute;left:4434;top:10;width:4473;height:2" coordorigin="4434,10" coordsize="4473,0" path="m4434,10l8906,10e" filled="false" stroked="true" strokeweight=".95999pt" strokecolor="#41b7ee">
                <v:path arrowok="t"/>
              </v:shape>
            </v:group>
          </v:group>
        </w:pict>
      </w:r>
      <w:r>
        <w:rPr>
          <w:rFonts w:ascii="宋体" w:hAnsi="宋体" w:cs="宋体" w:eastAsia="宋体" w:hint="default"/>
          <w:sz w:val="2"/>
          <w:szCs w:val="2"/>
        </w:rPr>
      </w:r>
    </w:p>
    <w:tbl>
      <w:tblPr>
        <w:tblW w:w="0" w:type="auto"/>
        <w:jc w:val="left"/>
        <w:tblInd w:w="116" w:type="dxa"/>
        <w:tblLayout w:type="fixed"/>
        <w:tblCellMar>
          <w:top w:w="0" w:type="dxa"/>
          <w:left w:w="0" w:type="dxa"/>
          <w:bottom w:w="0" w:type="dxa"/>
          <w:right w:w="0" w:type="dxa"/>
        </w:tblCellMar>
        <w:tblLook w:val="01E0"/>
      </w:tblPr>
      <w:tblGrid>
        <w:gridCol w:w="4371"/>
        <w:gridCol w:w="4525"/>
      </w:tblGrid>
      <w:tr>
        <w:trPr>
          <w:trHeight w:val="362" w:hRule="exact"/>
        </w:trPr>
        <w:tc>
          <w:tcPr>
            <w:tcW w:w="4371"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4"/>
              <w:ind w:left="110"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4525"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4"/>
              <w:ind w:left="95"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358" w:hRule="exact"/>
        </w:trPr>
        <w:tc>
          <w:tcPr>
            <w:tcW w:w="437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年以内小计</w:t>
            </w:r>
          </w:p>
        </w:tc>
        <w:tc>
          <w:tcPr>
            <w:tcW w:w="4525"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437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4525"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437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4525" w:type="dxa"/>
            <w:tcBorders>
              <w:top w:val="single" w:sz="4" w:space="0" w:color="41B7EE"/>
              <w:left w:val="single" w:sz="4" w:space="0" w:color="41B7EE"/>
              <w:bottom w:val="single" w:sz="4" w:space="0" w:color="41B7EE"/>
              <w:right w:val="nil" w:sz="6" w:space="0" w:color="auto"/>
            </w:tcBorders>
          </w:tcPr>
          <w:p>
            <w:pPr/>
          </w:p>
        </w:tc>
      </w:tr>
      <w:tr>
        <w:trPr>
          <w:trHeight w:val="355" w:hRule="exact"/>
        </w:trPr>
        <w:tc>
          <w:tcPr>
            <w:tcW w:w="437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452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4,533,116.57</w:t>
            </w:r>
          </w:p>
        </w:tc>
      </w:tr>
      <w:tr>
        <w:trPr>
          <w:trHeight w:val="358" w:hRule="exact"/>
        </w:trPr>
        <w:tc>
          <w:tcPr>
            <w:tcW w:w="437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Arial" w:hAnsi="Arial" w:cs="Arial" w:eastAsia="Arial" w:hint="default"/>
                <w:sz w:val="21"/>
                <w:szCs w:val="21"/>
              </w:rPr>
              <w:t>4</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4525"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437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4"/>
                <w:sz w:val="21"/>
                <w:szCs w:val="21"/>
              </w:rPr>
              <w:t> </w:t>
            </w:r>
            <w:r>
              <w:rPr>
                <w:rFonts w:ascii="宋体" w:hAnsi="宋体" w:cs="宋体" w:eastAsia="宋体" w:hint="default"/>
                <w:sz w:val="21"/>
                <w:szCs w:val="21"/>
              </w:rPr>
              <w:t>年以上</w:t>
            </w:r>
          </w:p>
        </w:tc>
        <w:tc>
          <w:tcPr>
            <w:tcW w:w="452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314,997,402.09</w:t>
            </w:r>
          </w:p>
        </w:tc>
      </w:tr>
      <w:tr>
        <w:trPr>
          <w:trHeight w:val="365" w:hRule="exact"/>
        </w:trPr>
        <w:tc>
          <w:tcPr>
            <w:tcW w:w="4371"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319,530,518.66</w:t>
            </w:r>
          </w:p>
        </w:tc>
      </w:tr>
    </w:tbl>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4367;height:2" coordorigin="10,10" coordsize="4367,2">
              <v:shape style="position:absolute;left:10;top:10;width:4367;height:2" coordorigin="10,10" coordsize="4367,0" path="m10,10l4376,10e" filled="false" stroked="true" strokeweight=".95999pt" strokecolor="#41b7ee">
                <v:path arrowok="t"/>
              </v:shape>
            </v:group>
            <v:group style="position:absolute;left:4376;top:10;width:58;height:2" coordorigin="4376,10" coordsize="58,2">
              <v:shape style="position:absolute;left:4376;top:10;width:58;height:2" coordorigin="4376,10" coordsize="58,0" path="m4376,10l4434,10e" filled="false" stroked="true" strokeweight=".95999pt" strokecolor="#41b7ee">
                <v:path arrowok="t"/>
              </v:shape>
            </v:group>
            <v:group style="position:absolute;left:4434;top:10;width:4473;height:2" coordorigin="4434,10" coordsize="4473,2">
              <v:shape style="position:absolute;left:4434;top:10;width:4473;height:2" coordorigin="4434,10" coordsize="4473,0" path="m4434,10l8906,10e" filled="false" stroked="true" strokeweight=".95999pt" strokecolor="#41b7ee">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360" w:bottom="1380" w:left="1120" w:right="1580"/>
        </w:sectPr>
      </w:pPr>
    </w:p>
    <w:p>
      <w:pPr>
        <w:spacing w:line="240" w:lineRule="auto" w:before="1"/>
        <w:rPr>
          <w:rFonts w:ascii="宋体" w:hAnsi="宋体" w:cs="宋体" w:eastAsia="宋体" w:hint="default"/>
          <w:sz w:val="6"/>
          <w:szCs w:val="6"/>
        </w:rPr>
      </w:pPr>
    </w:p>
    <w:p>
      <w:pPr>
        <w:spacing w:line="544" w:lineRule="exact"/>
        <w:ind w:left="108"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696.35pt;height:27.25pt;mso-position-horizontal-relative:char;mso-position-vertical-relative:line" coordorigin="0,0" coordsize="13927,545">
            <v:group style="position:absolute;left:7;top:538;width:13913;height:2" coordorigin="7,538" coordsize="13913,2">
              <v:shape style="position:absolute;left:7;top:538;width:13913;height:2" coordorigin="7,538" coordsize="13913,0" path="m7,538l13920,538e" filled="false" stroked="true" strokeweight=".72pt" strokecolor="#000000">
                <v:path arrowok="t"/>
              </v:shape>
              <v:shape style="position:absolute;left:99;top:0;width:4665;height:480" type="#_x0000_t75" stroked="false">
                <v:imagedata r:id="rId16" o:title=""/>
              </v:shape>
              <v:shape style="position:absolute;left:0;top:0;width:13927;height:545" type="#_x0000_t202" filled="false" stroked="false">
                <v:textbox inset="0,0,0,0">
                  <w:txbxContent>
                    <w:p>
                      <w:pPr>
                        <w:spacing w:line="454" w:lineRule="exact" w:before="0"/>
                        <w:ind w:left="0" w:right="31" w:firstLine="0"/>
                        <w:jc w:val="right"/>
                        <w:rPr>
                          <w:rFonts w:ascii="微软雅黑" w:hAnsi="微软雅黑" w:cs="微软雅黑" w:eastAsia="微软雅黑" w:hint="default"/>
                          <w:sz w:val="28"/>
                          <w:szCs w:val="28"/>
                        </w:rPr>
                      </w:pPr>
                      <w:r>
                        <w:rPr>
                          <w:rFonts w:ascii="微软雅黑" w:hAnsi="微软雅黑" w:cs="微软雅黑" w:eastAsia="微软雅黑" w:hint="default"/>
                          <w:b/>
                          <w:bCs/>
                          <w:sz w:val="28"/>
                          <w:szCs w:val="28"/>
                        </w:rPr>
                        <w:t>2019</w:t>
                      </w:r>
                      <w:r>
                        <w:rPr>
                          <w:rFonts w:ascii="微软雅黑" w:hAnsi="微软雅黑" w:cs="微软雅黑" w:eastAsia="微软雅黑" w:hint="default"/>
                          <w:b/>
                          <w:bCs/>
                          <w:spacing w:val="-17"/>
                          <w:sz w:val="28"/>
                          <w:szCs w:val="28"/>
                        </w:rPr>
                        <w:t> </w:t>
                      </w:r>
                      <w:r>
                        <w:rPr>
                          <w:rFonts w:ascii="微软雅黑" w:hAnsi="微软雅黑" w:cs="微软雅黑" w:eastAsia="微软雅黑" w:hint="default"/>
                          <w:b/>
                          <w:bCs/>
                          <w:sz w:val="28"/>
                          <w:szCs w:val="28"/>
                        </w:rPr>
                        <w:t>年年度报告</w:t>
                      </w:r>
                      <w:r>
                        <w:rPr>
                          <w:rFonts w:ascii="微软雅黑" w:hAnsi="微软雅黑" w:cs="微软雅黑" w:eastAsia="微软雅黑" w:hint="default"/>
                          <w:sz w:val="28"/>
                          <w:szCs w:val="28"/>
                        </w:rPr>
                      </w:r>
                    </w:p>
                  </w:txbxContent>
                </v:textbox>
                <w10:wrap type="none"/>
              </v:shape>
            </v:group>
          </v:group>
        </w:pict>
      </w:r>
      <w:r>
        <w:rPr>
          <w:rFonts w:ascii="宋体" w:hAnsi="宋体" w:cs="宋体" w:eastAsia="宋体" w:hint="default"/>
          <w:position w:val="-10"/>
          <w:sz w:val="20"/>
          <w:szCs w:val="20"/>
        </w:rPr>
      </w:r>
    </w:p>
    <w:p>
      <w:pPr>
        <w:spacing w:after="0" w:line="544" w:lineRule="exact"/>
        <w:rPr>
          <w:rFonts w:ascii="宋体" w:hAnsi="宋体" w:cs="宋体" w:eastAsia="宋体" w:hint="default"/>
          <w:sz w:val="20"/>
          <w:szCs w:val="20"/>
        </w:rPr>
        <w:sectPr>
          <w:headerReference w:type="default" r:id="rId58"/>
          <w:footerReference w:type="default" r:id="rId59"/>
          <w:pgSz w:w="16840" w:h="11910" w:orient="landscape"/>
          <w:pgMar w:header="0" w:footer="0" w:top="740" w:bottom="280" w:left="1380" w:right="1300"/>
        </w:sectPr>
      </w:pPr>
    </w:p>
    <w:p>
      <w:pPr>
        <w:pStyle w:val="Heading2"/>
        <w:spacing w:line="240" w:lineRule="auto" w:before="26"/>
        <w:ind w:left="144" w:right="0"/>
        <w:jc w:val="left"/>
        <w:rPr>
          <w:rFonts w:ascii="宋体" w:hAnsi="宋体" w:cs="宋体" w:eastAsia="宋体" w:hint="default"/>
          <w:b w:val="0"/>
          <w:bCs w:val="0"/>
        </w:rPr>
      </w:pPr>
      <w:r>
        <w:rPr>
          <w:rFonts w:ascii="宋体" w:hAnsi="宋体" w:cs="宋体" w:eastAsia="宋体" w:hint="default"/>
        </w:rPr>
        <w:t>(2).</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tabs>
          <w:tab w:pos="1195" w:val="left" w:leader="none"/>
        </w:tabs>
        <w:spacing w:line="240" w:lineRule="auto"/>
        <w:ind w:left="144" w:right="0"/>
        <w:jc w:val="left"/>
      </w:pPr>
      <w:r>
        <w:rPr>
          <w:spacing w:val="-1"/>
        </w:rPr>
        <w:t>单位：元</w:t>
        <w:tab/>
      </w:r>
      <w:r>
        <w:rPr>
          <w:spacing w:val="-2"/>
        </w:rPr>
        <w:t>币种：人民币</w:t>
      </w:r>
    </w:p>
    <w:p>
      <w:pPr>
        <w:spacing w:after="0" w:line="240" w:lineRule="auto"/>
        <w:jc w:val="left"/>
        <w:sectPr>
          <w:type w:val="continuous"/>
          <w:pgSz w:w="16840" w:h="11910" w:orient="landscape"/>
          <w:pgMar w:top="1360" w:bottom="1380" w:left="1380" w:right="1300"/>
          <w:cols w:num="2" w:equalWidth="0">
            <w:col w:w="2996" w:space="8463"/>
            <w:col w:w="2701"/>
          </w:cols>
        </w:sectPr>
      </w:pPr>
    </w:p>
    <w:p>
      <w:pPr>
        <w:spacing w:line="240" w:lineRule="auto" w:before="7"/>
        <w:rPr>
          <w:rFonts w:ascii="宋体" w:hAnsi="宋体" w:cs="宋体" w:eastAsia="宋体" w:hint="default"/>
          <w:sz w:val="2"/>
          <w:szCs w:val="2"/>
        </w:rPr>
      </w:pPr>
      <w:r>
        <w:rPr/>
        <w:pict>
          <v:group style="position:absolute;margin-left:74.159988pt;margin-top:358.509979pt;width:697.45pt;height:1pt;mso-position-horizontal-relative:page;mso-position-vertical-relative:page;z-index:-941248" coordorigin="1483,7170" coordsize="13949,20">
            <v:group style="position:absolute;left:1493;top:7180;width:2775;height:2" coordorigin="1493,7180" coordsize="2775,2">
              <v:shape style="position:absolute;left:1493;top:7180;width:2775;height:2" coordorigin="1493,7180" coordsize="2775,0" path="m1493,7180l4268,7180e" filled="false" stroked="true" strokeweight=".96002pt" strokecolor="#41b7ee">
                <v:path arrowok="t"/>
              </v:shape>
            </v:group>
            <v:group style="position:absolute;left:4268;top:7180;width:58;height:2" coordorigin="4268,7180" coordsize="58,2">
              <v:shape style="position:absolute;left:4268;top:7180;width:58;height:2" coordorigin="4268,7180" coordsize="58,0" path="m4268,7180l4325,7180e" filled="false" stroked="true" strokeweight=".96002pt" strokecolor="#41b7ee">
                <v:path arrowok="t"/>
              </v:shape>
            </v:group>
            <v:group style="position:absolute;left:4325;top:7180;width:1338;height:2" coordorigin="4325,7180" coordsize="1338,2">
              <v:shape style="position:absolute;left:4325;top:7180;width:1338;height:2" coordorigin="4325,7180" coordsize="1338,0" path="m4325,7180l5662,7180e" filled="false" stroked="true" strokeweight=".96002pt" strokecolor="#41b7ee">
                <v:path arrowok="t"/>
              </v:shape>
            </v:group>
            <v:group style="position:absolute;left:5663;top:7180;width:58;height:2" coordorigin="5663,7180" coordsize="58,2">
              <v:shape style="position:absolute;left:5663;top:7180;width:58;height:2" coordorigin="5663,7180" coordsize="58,0" path="m5663,7180l5720,7180e" filled="false" stroked="true" strokeweight=".96002pt" strokecolor="#41b7ee">
                <v:path arrowok="t"/>
              </v:shape>
            </v:group>
            <v:group style="position:absolute;left:5720;top:7180;width:591;height:2" coordorigin="5720,7180" coordsize="591,2">
              <v:shape style="position:absolute;left:5720;top:7180;width:591;height:2" coordorigin="5720,7180" coordsize="591,0" path="m5720,7180l6311,7180e" filled="false" stroked="true" strokeweight=".96002pt" strokecolor="#41b7ee">
                <v:path arrowok="t"/>
              </v:shape>
            </v:group>
            <v:group style="position:absolute;left:6311;top:7180;width:58;height:2" coordorigin="6311,7180" coordsize="58,2">
              <v:shape style="position:absolute;left:6311;top:7180;width:58;height:2" coordorigin="6311,7180" coordsize="58,0" path="m6311,7180l6368,7180e" filled="false" stroked="true" strokeweight=".96002pt" strokecolor="#41b7ee">
                <v:path arrowok="t"/>
              </v:shape>
            </v:group>
            <v:group style="position:absolute;left:6368;top:7180;width:1344;height:2" coordorigin="6368,7180" coordsize="1344,2">
              <v:shape style="position:absolute;left:6368;top:7180;width:1344;height:2" coordorigin="6368,7180" coordsize="1344,0" path="m6368,7180l7712,7180e" filled="false" stroked="true" strokeweight=".96002pt" strokecolor="#41b7ee">
                <v:path arrowok="t"/>
              </v:shape>
            </v:group>
            <v:group style="position:absolute;left:7712;top:7180;width:58;height:2" coordorigin="7712,7180" coordsize="58,2">
              <v:shape style="position:absolute;left:7712;top:7180;width:58;height:2" coordorigin="7712,7180" coordsize="58,0" path="m7712,7180l7770,7180e" filled="false" stroked="true" strokeweight=".96002pt" strokecolor="#41b7ee">
                <v:path arrowok="t"/>
              </v:shape>
            </v:group>
            <v:group style="position:absolute;left:7770;top:7180;width:682;height:2" coordorigin="7770,7180" coordsize="682,2">
              <v:shape style="position:absolute;left:7770;top:7180;width:682;height:2" coordorigin="7770,7180" coordsize="682,0" path="m7770,7180l8451,7180e" filled="false" stroked="true" strokeweight=".96002pt" strokecolor="#41b7ee">
                <v:path arrowok="t"/>
              </v:shape>
            </v:group>
            <v:group style="position:absolute;left:8451;top:7180;width:58;height:2" coordorigin="8451,7180" coordsize="58,2">
              <v:shape style="position:absolute;left:8451;top:7180;width:58;height:2" coordorigin="8451,7180" coordsize="58,0" path="m8451,7180l8509,7180e" filled="false" stroked="true" strokeweight=".96002pt" strokecolor="#41b7ee">
                <v:path arrowok="t"/>
              </v:shape>
            </v:group>
            <v:group style="position:absolute;left:8509;top:7180;width:1362;height:2" coordorigin="8509,7180" coordsize="1362,2">
              <v:shape style="position:absolute;left:8509;top:7180;width:1362;height:2" coordorigin="8509,7180" coordsize="1362,0" path="m8509,7180l9870,7180e" filled="false" stroked="true" strokeweight=".96002pt" strokecolor="#41b7ee">
                <v:path arrowok="t"/>
              </v:shape>
            </v:group>
            <v:group style="position:absolute;left:9870;top:7180;width:58;height:2" coordorigin="9870,7180" coordsize="58,2">
              <v:shape style="position:absolute;left:9870;top:7180;width:58;height:2" coordorigin="9870,7180" coordsize="58,0" path="m9870,7180l9928,7180e" filled="false" stroked="true" strokeweight=".96002pt" strokecolor="#41b7ee">
                <v:path arrowok="t"/>
              </v:shape>
            </v:group>
            <v:group style="position:absolute;left:9928;top:7180;width:1361;height:2" coordorigin="9928,7180" coordsize="1361,2">
              <v:shape style="position:absolute;left:9928;top:7180;width:1361;height:2" coordorigin="9928,7180" coordsize="1361,0" path="m9928,7180l11289,7180e" filled="false" stroked="true" strokeweight=".96002pt" strokecolor="#41b7ee">
                <v:path arrowok="t"/>
              </v:shape>
            </v:group>
            <v:group style="position:absolute;left:11289;top:7180;width:58;height:2" coordorigin="11289,7180" coordsize="58,2">
              <v:shape style="position:absolute;left:11289;top:7180;width:58;height:2" coordorigin="11289,7180" coordsize="58,0" path="m11289,7180l11346,7180e" filled="false" stroked="true" strokeweight=".96002pt" strokecolor="#41b7ee">
                <v:path arrowok="t"/>
              </v:shape>
            </v:group>
            <v:group style="position:absolute;left:11346;top:7180;width:656;height:2" coordorigin="11346,7180" coordsize="656,2">
              <v:shape style="position:absolute;left:11346;top:7180;width:656;height:2" coordorigin="11346,7180" coordsize="656,0" path="m11346,7180l12001,7180e" filled="false" stroked="true" strokeweight=".96002pt" strokecolor="#41b7ee">
                <v:path arrowok="t"/>
              </v:shape>
            </v:group>
            <v:group style="position:absolute;left:12001;top:7180;width:58;height:2" coordorigin="12001,7180" coordsize="58,2">
              <v:shape style="position:absolute;left:12001;top:7180;width:58;height:2" coordorigin="12001,7180" coordsize="58,0" path="m12001,7180l12059,7180e" filled="false" stroked="true" strokeweight=".96002pt" strokecolor="#41b7ee">
                <v:path arrowok="t"/>
              </v:shape>
            </v:group>
            <v:group style="position:absolute;left:12059;top:7180;width:1367;height:2" coordorigin="12059,7180" coordsize="1367,2">
              <v:shape style="position:absolute;left:12059;top:7180;width:1367;height:2" coordorigin="12059,7180" coordsize="1367,0" path="m12059,7180l13425,7180e" filled="false" stroked="true" strokeweight=".96002pt" strokecolor="#41b7ee">
                <v:path arrowok="t"/>
              </v:shape>
            </v:group>
            <v:group style="position:absolute;left:13425;top:7180;width:58;height:2" coordorigin="13425,7180" coordsize="58,2">
              <v:shape style="position:absolute;left:13425;top:7180;width:58;height:2" coordorigin="13425,7180" coordsize="58,0" path="m13425,7180l13483,7180e" filled="false" stroked="true" strokeweight=".96002pt" strokecolor="#41b7ee">
                <v:path arrowok="t"/>
              </v:shape>
            </v:group>
            <v:group style="position:absolute;left:13483;top:7180;width:656;height:2" coordorigin="13483,7180" coordsize="656,2">
              <v:shape style="position:absolute;left:13483;top:7180;width:656;height:2" coordorigin="13483,7180" coordsize="656,0" path="m13483,7180l14138,7180e" filled="false" stroked="true" strokeweight=".96002pt" strokecolor="#41b7ee">
                <v:path arrowok="t"/>
              </v:shape>
            </v:group>
            <v:group style="position:absolute;left:14138;top:7180;width:58;height:2" coordorigin="14138,7180" coordsize="58,2">
              <v:shape style="position:absolute;left:14138;top:7180;width:58;height:2" coordorigin="14138,7180" coordsize="58,0" path="m14138,7180l14196,7180e" filled="false" stroked="true" strokeweight=".96002pt" strokecolor="#41b7ee">
                <v:path arrowok="t"/>
              </v:shape>
            </v:group>
            <v:group style="position:absolute;left:14196;top:7180;width:1227;height:2" coordorigin="14196,7180" coordsize="1227,2">
              <v:shape style="position:absolute;left:14196;top:7180;width:1227;height:2" coordorigin="14196,7180" coordsize="1227,0" path="m14196,7180l15422,7180e" filled="false" stroked="true" strokeweight=".96002pt" strokecolor="#41b7ee">
                <v:path arrowok="t"/>
              </v:shape>
            </v:group>
            <w10:wrap type="none"/>
          </v:group>
        </w:pict>
      </w: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697.45pt;height:1pt;mso-position-horizontal-relative:char;mso-position-vertical-relative:line" coordorigin="0,0" coordsize="13949,20">
            <v:group style="position:absolute;left:10;top:10;width:2775;height:2" coordorigin="10,10" coordsize="2775,2">
              <v:shape style="position:absolute;left:10;top:10;width:2775;height:2" coordorigin="10,10" coordsize="2775,0" path="m10,10l2784,10e" filled="false" stroked="true" strokeweight=".96pt" strokecolor="#41b7ee">
                <v:path arrowok="t"/>
              </v:shape>
            </v:group>
            <v:group style="position:absolute;left:2784;top:10;width:58;height:2" coordorigin="2784,10" coordsize="58,2">
              <v:shape style="position:absolute;left:2784;top:10;width:58;height:2" coordorigin="2784,10" coordsize="58,0" path="m2784,10l2842,10e" filled="false" stroked="true" strokeweight=".96pt" strokecolor="#41b7ee">
                <v:path arrowok="t"/>
              </v:shape>
            </v:group>
            <v:group style="position:absolute;left:2842;top:10;width:5545;height:2" coordorigin="2842,10" coordsize="5545,2">
              <v:shape style="position:absolute;left:2842;top:10;width:5545;height:2" coordorigin="2842,10" coordsize="5545,0" path="m2842,10l8387,10e" filled="false" stroked="true" strokeweight=".96pt" strokecolor="#41b7ee">
                <v:path arrowok="t"/>
              </v:shape>
            </v:group>
            <v:group style="position:absolute;left:8387;top:10;width:58;height:2" coordorigin="8387,10" coordsize="58,2">
              <v:shape style="position:absolute;left:8387;top:10;width:58;height:2" coordorigin="8387,10" coordsize="58,0" path="m8387,10l8445,10e" filled="false" stroked="true" strokeweight=".96pt" strokecolor="#41b7ee">
                <v:path arrowok="t"/>
              </v:shape>
            </v:group>
            <v:group style="position:absolute;left:8445;top:10;width:5494;height:2" coordorigin="8445,10" coordsize="5494,2">
              <v:shape style="position:absolute;left:8445;top:10;width:5494;height:2" coordorigin="8445,10" coordsize="5494,0" path="m8445,10l13939,10e" filled="false" stroked="true" strokeweight=".96pt" strokecolor="#41b7ee">
                <v:path arrowok="t"/>
              </v:shape>
            </v:group>
          </v:group>
        </w:pict>
      </w:r>
      <w:r>
        <w:rPr>
          <w:rFonts w:ascii="宋体" w:hAnsi="宋体" w:cs="宋体" w:eastAsia="宋体" w:hint="default"/>
          <w:sz w:val="2"/>
          <w:szCs w:val="2"/>
        </w:rPr>
      </w:r>
    </w:p>
    <w:tbl>
      <w:tblPr>
        <w:tblW w:w="0" w:type="auto"/>
        <w:jc w:val="left"/>
        <w:tblInd w:w="112" w:type="dxa"/>
        <w:tblLayout w:type="fixed"/>
        <w:tblCellMar>
          <w:top w:w="0" w:type="dxa"/>
          <w:left w:w="0" w:type="dxa"/>
          <w:bottom w:w="0" w:type="dxa"/>
          <w:right w:w="0" w:type="dxa"/>
        </w:tblCellMar>
        <w:tblLook w:val="01E0"/>
      </w:tblPr>
      <w:tblGrid>
        <w:gridCol w:w="2780"/>
        <w:gridCol w:w="1395"/>
        <w:gridCol w:w="648"/>
        <w:gridCol w:w="1402"/>
        <w:gridCol w:w="739"/>
        <w:gridCol w:w="1419"/>
        <w:gridCol w:w="1418"/>
        <w:gridCol w:w="713"/>
        <w:gridCol w:w="1424"/>
        <w:gridCol w:w="713"/>
        <w:gridCol w:w="1289"/>
      </w:tblGrid>
      <w:tr>
        <w:trPr>
          <w:trHeight w:val="367" w:hRule="exact"/>
        </w:trPr>
        <w:tc>
          <w:tcPr>
            <w:tcW w:w="2780" w:type="dxa"/>
            <w:vMerge w:val="restart"/>
            <w:tcBorders>
              <w:top w:val="single" w:sz="8" w:space="0" w:color="41B7EE"/>
              <w:left w:val="nil" w:sz="6" w:space="0" w:color="auto"/>
              <w:right w:val="single" w:sz="4" w:space="0" w:color="41B7EE"/>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8"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5603" w:type="dxa"/>
            <w:gridSpan w:val="5"/>
            <w:tcBorders>
              <w:top w:val="single" w:sz="8" w:space="0" w:color="41B7EE"/>
              <w:left w:val="single" w:sz="4" w:space="0" w:color="41B7EE"/>
              <w:bottom w:val="single" w:sz="4" w:space="0" w:color="41B7EE"/>
              <w:right w:val="single" w:sz="4" w:space="0" w:color="41B7EE"/>
            </w:tcBorders>
          </w:tcPr>
          <w:p>
            <w:pPr>
              <w:pStyle w:val="TableParagraph"/>
              <w:spacing w:line="240" w:lineRule="auto" w:before="4"/>
              <w:ind w:left="11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5557" w:type="dxa"/>
            <w:gridSpan w:val="5"/>
            <w:tcBorders>
              <w:top w:val="single" w:sz="8" w:space="0" w:color="41B7EE"/>
              <w:left w:val="single" w:sz="4" w:space="0" w:color="41B7EE"/>
              <w:bottom w:val="single" w:sz="4" w:space="0" w:color="41B7EE"/>
              <w:right w:val="nil" w:sz="6" w:space="0" w:color="auto"/>
            </w:tcBorders>
          </w:tcPr>
          <w:p>
            <w:pPr>
              <w:pStyle w:val="TableParagraph"/>
              <w:spacing w:line="240" w:lineRule="auto" w:before="4"/>
              <w:ind w:left="9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7" w:hRule="exact"/>
        </w:trPr>
        <w:tc>
          <w:tcPr>
            <w:tcW w:w="2780" w:type="dxa"/>
            <w:vMerge/>
            <w:tcBorders>
              <w:left w:val="nil" w:sz="6" w:space="0" w:color="auto"/>
              <w:right w:val="single" w:sz="4" w:space="0" w:color="41B7EE"/>
            </w:tcBorders>
          </w:tcPr>
          <w:p>
            <w:pPr/>
          </w:p>
        </w:tc>
        <w:tc>
          <w:tcPr>
            <w:tcW w:w="2043" w:type="dxa"/>
            <w:gridSpan w:val="2"/>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597"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141" w:type="dxa"/>
            <w:gridSpan w:val="2"/>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645"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19" w:type="dxa"/>
            <w:vMerge w:val="restart"/>
            <w:tcBorders>
              <w:top w:val="single" w:sz="4" w:space="0" w:color="41B7EE"/>
              <w:left w:val="single" w:sz="4" w:space="0" w:color="41B7EE"/>
              <w:right w:val="single" w:sz="4" w:space="0" w:color="41B7EE"/>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94" w:right="386"/>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2131" w:type="dxa"/>
            <w:gridSpan w:val="2"/>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643"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137" w:type="dxa"/>
            <w:gridSpan w:val="2"/>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643"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289" w:type="dxa"/>
            <w:tcBorders>
              <w:top w:val="single" w:sz="4" w:space="0" w:color="41B7EE"/>
              <w:left w:val="single" w:sz="4" w:space="0" w:color="41B7EE"/>
              <w:bottom w:val="single" w:sz="4" w:space="0" w:color="41B7EE"/>
              <w:right w:val="nil" w:sz="6" w:space="0" w:color="auto"/>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z w:val="21"/>
                <w:szCs w:val="21"/>
              </w:rPr>
              <w:t> </w:t>
            </w:r>
          </w:p>
          <w:p>
            <w:pPr>
              <w:pStyle w:val="TableParagraph"/>
              <w:spacing w:line="273" w:lineRule="exact"/>
              <w:ind w:left="424" w:right="0"/>
              <w:jc w:val="left"/>
              <w:rPr>
                <w:rFonts w:ascii="宋体" w:hAnsi="宋体" w:cs="宋体" w:eastAsia="宋体" w:hint="default"/>
                <w:sz w:val="21"/>
                <w:szCs w:val="21"/>
              </w:rPr>
            </w:pP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554" w:hRule="exact"/>
        </w:trPr>
        <w:tc>
          <w:tcPr>
            <w:tcW w:w="2780" w:type="dxa"/>
            <w:vMerge/>
            <w:tcBorders>
              <w:left w:val="nil" w:sz="6" w:space="0" w:color="auto"/>
              <w:bottom w:val="single" w:sz="4" w:space="0" w:color="41B7EE"/>
              <w:right w:val="single" w:sz="4" w:space="0" w:color="41B7EE"/>
            </w:tcBorders>
          </w:tcPr>
          <w:p>
            <w:pPr/>
          </w:p>
        </w:tc>
        <w:tc>
          <w:tcPr>
            <w:tcW w:w="139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0"/>
              <w:ind w:left="109"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648" w:type="dxa"/>
            <w:tcBorders>
              <w:top w:val="single" w:sz="4" w:space="0" w:color="41B7EE"/>
              <w:left w:val="single" w:sz="4" w:space="0" w:color="41B7EE"/>
              <w:bottom w:val="single" w:sz="4" w:space="0" w:color="41B7EE"/>
              <w:right w:val="single" w:sz="4" w:space="0" w:color="41B7EE"/>
            </w:tcBorders>
          </w:tcPr>
          <w:p>
            <w:pPr>
              <w:pStyle w:val="TableParagraph"/>
              <w:spacing w:line="239" w:lineRule="exact"/>
              <w:ind w:left="11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11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40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0"/>
              <w:ind w:left="484"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39" w:type="dxa"/>
            <w:tcBorders>
              <w:top w:val="single" w:sz="4" w:space="0" w:color="41B7EE"/>
              <w:left w:val="single" w:sz="4" w:space="0" w:color="41B7EE"/>
              <w:bottom w:val="single" w:sz="4" w:space="0" w:color="41B7EE"/>
              <w:right w:val="single" w:sz="4" w:space="0" w:color="41B7EE"/>
            </w:tcBorders>
          </w:tcPr>
          <w:p>
            <w:pPr>
              <w:pStyle w:val="TableParagraph"/>
              <w:spacing w:line="239" w:lineRule="exact"/>
              <w:ind w:left="47" w:right="0"/>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47"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419" w:type="dxa"/>
            <w:vMerge/>
            <w:tcBorders>
              <w:left w:val="single" w:sz="4" w:space="0" w:color="41B7EE"/>
              <w:bottom w:val="single" w:sz="4" w:space="0" w:color="41B7EE"/>
              <w:right w:val="single" w:sz="4" w:space="0" w:color="41B7EE"/>
            </w:tcBorders>
          </w:tcPr>
          <w:p>
            <w:pPr/>
          </w:p>
        </w:tc>
        <w:tc>
          <w:tcPr>
            <w:tcW w:w="14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0"/>
              <w:ind w:left="496"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14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4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0"/>
              <w:ind w:left="497"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39" w:lineRule="exact"/>
              <w:ind w:left="35" w:right="0"/>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35"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28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00"/>
              <w:ind w:left="88" w:right="0"/>
              <w:jc w:val="center"/>
              <w:rPr>
                <w:rFonts w:ascii="宋体" w:hAnsi="宋体" w:cs="宋体" w:eastAsia="宋体" w:hint="default"/>
                <w:sz w:val="21"/>
                <w:szCs w:val="21"/>
              </w:rPr>
            </w:pPr>
            <w:r>
              <w:rPr>
                <w:rFonts w:ascii="宋体"/>
                <w:w w:val="100"/>
                <w:sz w:val="21"/>
              </w:rPr>
              <w:t> </w:t>
            </w:r>
          </w:p>
        </w:tc>
      </w:tr>
      <w:tr>
        <w:trPr>
          <w:trHeight w:val="356" w:hRule="exact"/>
        </w:trPr>
        <w:tc>
          <w:tcPr>
            <w:tcW w:w="278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按单项计提坏账准备</w:t>
            </w:r>
            <w:r>
              <w:rPr>
                <w:rFonts w:ascii="宋体" w:hAnsi="宋体" w:cs="宋体" w:eastAsia="宋体" w:hint="default"/>
                <w:sz w:val="21"/>
                <w:szCs w:val="21"/>
              </w:rPr>
              <w:t> </w:t>
            </w:r>
          </w:p>
        </w:tc>
        <w:tc>
          <w:tcPr>
            <w:tcW w:w="139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4"/>
              <w:ind w:left="16" w:right="0"/>
              <w:jc w:val="center"/>
              <w:rPr>
                <w:rFonts w:ascii="Arial" w:hAnsi="Arial" w:cs="Arial" w:eastAsia="Arial" w:hint="default"/>
                <w:sz w:val="19"/>
                <w:szCs w:val="19"/>
              </w:rPr>
            </w:pPr>
            <w:r>
              <w:rPr>
                <w:rFonts w:ascii="Arial"/>
                <w:sz w:val="19"/>
              </w:rPr>
              <w:t>319,530,518.66</w:t>
            </w:r>
          </w:p>
        </w:tc>
        <w:tc>
          <w:tcPr>
            <w:tcW w:w="64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4"/>
              <w:ind w:right="21"/>
              <w:jc w:val="right"/>
              <w:rPr>
                <w:rFonts w:ascii="Arial" w:hAnsi="Arial" w:cs="Arial" w:eastAsia="Arial" w:hint="default"/>
                <w:sz w:val="19"/>
                <w:szCs w:val="19"/>
              </w:rPr>
            </w:pPr>
            <w:r>
              <w:rPr>
                <w:rFonts w:ascii="Arial"/>
                <w:w w:val="95"/>
                <w:sz w:val="19"/>
              </w:rPr>
              <w:t>100.00</w:t>
            </w:r>
            <w:r>
              <w:rPr>
                <w:rFonts w:ascii="Arial"/>
                <w:sz w:val="19"/>
              </w:rPr>
            </w:r>
          </w:p>
        </w:tc>
        <w:tc>
          <w:tcPr>
            <w:tcW w:w="140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4"/>
              <w:ind w:right="24"/>
              <w:jc w:val="right"/>
              <w:rPr>
                <w:rFonts w:ascii="Arial" w:hAnsi="Arial" w:cs="Arial" w:eastAsia="Arial" w:hint="default"/>
                <w:sz w:val="19"/>
                <w:szCs w:val="19"/>
              </w:rPr>
            </w:pPr>
            <w:r>
              <w:rPr>
                <w:rFonts w:ascii="Arial"/>
                <w:w w:val="95"/>
                <w:sz w:val="19"/>
              </w:rPr>
              <w:t>306,616,600.40</w:t>
            </w:r>
            <w:r>
              <w:rPr>
                <w:rFonts w:ascii="Arial"/>
                <w:sz w:val="19"/>
              </w:rPr>
            </w:r>
          </w:p>
        </w:tc>
        <w:tc>
          <w:tcPr>
            <w:tcW w:w="73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4"/>
              <w:ind w:right="24"/>
              <w:jc w:val="right"/>
              <w:rPr>
                <w:rFonts w:ascii="Arial" w:hAnsi="Arial" w:cs="Arial" w:eastAsia="Arial" w:hint="default"/>
                <w:sz w:val="19"/>
                <w:szCs w:val="19"/>
              </w:rPr>
            </w:pPr>
            <w:r>
              <w:rPr>
                <w:rFonts w:ascii="Arial"/>
                <w:w w:val="95"/>
                <w:sz w:val="19"/>
              </w:rPr>
              <w:t>95.96</w:t>
            </w:r>
            <w:r>
              <w:rPr>
                <w:rFonts w:ascii="Arial"/>
                <w:sz w:val="19"/>
              </w:rPr>
            </w:r>
          </w:p>
        </w:tc>
        <w:tc>
          <w:tcPr>
            <w:tcW w:w="141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4"/>
              <w:ind w:right="24"/>
              <w:jc w:val="right"/>
              <w:rPr>
                <w:rFonts w:ascii="Arial" w:hAnsi="Arial" w:cs="Arial" w:eastAsia="Arial" w:hint="default"/>
                <w:sz w:val="19"/>
                <w:szCs w:val="19"/>
              </w:rPr>
            </w:pPr>
            <w:r>
              <w:rPr>
                <w:rFonts w:ascii="Arial"/>
                <w:w w:val="95"/>
                <w:sz w:val="19"/>
              </w:rPr>
              <w:t>12,913,918.26</w:t>
            </w:r>
            <w:r>
              <w:rPr>
                <w:rFonts w:ascii="Arial"/>
                <w:sz w:val="19"/>
              </w:rPr>
            </w:r>
          </w:p>
        </w:tc>
        <w:tc>
          <w:tcPr>
            <w:tcW w:w="14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4"/>
              <w:ind w:right="21"/>
              <w:jc w:val="right"/>
              <w:rPr>
                <w:rFonts w:ascii="Arial" w:hAnsi="Arial" w:cs="Arial" w:eastAsia="Arial" w:hint="default"/>
                <w:sz w:val="19"/>
                <w:szCs w:val="19"/>
              </w:rPr>
            </w:pPr>
            <w:r>
              <w:rPr>
                <w:rFonts w:ascii="Arial"/>
                <w:w w:val="95"/>
                <w:sz w:val="19"/>
              </w:rPr>
              <w:t>344,168,890.06</w:t>
            </w:r>
            <w:r>
              <w:rPr>
                <w:rFonts w:ascii="Arial"/>
                <w:sz w:val="19"/>
              </w:rPr>
            </w: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4"/>
              <w:ind w:right="24"/>
              <w:jc w:val="right"/>
              <w:rPr>
                <w:rFonts w:ascii="Arial" w:hAnsi="Arial" w:cs="Arial" w:eastAsia="Arial" w:hint="default"/>
                <w:sz w:val="19"/>
                <w:szCs w:val="19"/>
              </w:rPr>
            </w:pPr>
            <w:r>
              <w:rPr>
                <w:rFonts w:ascii="Arial"/>
                <w:w w:val="95"/>
                <w:sz w:val="19"/>
              </w:rPr>
              <w:t>99.89</w:t>
            </w:r>
            <w:r>
              <w:rPr>
                <w:rFonts w:ascii="Arial"/>
                <w:sz w:val="19"/>
              </w:rPr>
            </w:r>
          </w:p>
        </w:tc>
        <w:tc>
          <w:tcPr>
            <w:tcW w:w="14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4"/>
              <w:ind w:right="22"/>
              <w:jc w:val="right"/>
              <w:rPr>
                <w:rFonts w:ascii="Arial" w:hAnsi="Arial" w:cs="Arial" w:eastAsia="Arial" w:hint="default"/>
                <w:sz w:val="19"/>
                <w:szCs w:val="19"/>
              </w:rPr>
            </w:pPr>
            <w:r>
              <w:rPr>
                <w:rFonts w:ascii="Arial"/>
                <w:w w:val="95"/>
                <w:sz w:val="19"/>
              </w:rPr>
              <w:t>325,472,796.31</w:t>
            </w:r>
            <w:r>
              <w:rPr>
                <w:rFonts w:ascii="Arial"/>
                <w:sz w:val="19"/>
              </w:rPr>
            </w: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4"/>
              <w:ind w:left="175" w:right="0"/>
              <w:jc w:val="center"/>
              <w:rPr>
                <w:rFonts w:ascii="Arial" w:hAnsi="Arial" w:cs="Arial" w:eastAsia="Arial" w:hint="default"/>
                <w:sz w:val="19"/>
                <w:szCs w:val="19"/>
              </w:rPr>
            </w:pPr>
            <w:r>
              <w:rPr>
                <w:rFonts w:ascii="Arial"/>
                <w:sz w:val="19"/>
              </w:rPr>
              <w:t>94.57</w:t>
            </w:r>
          </w:p>
        </w:tc>
        <w:tc>
          <w:tcPr>
            <w:tcW w:w="128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64"/>
              <w:ind w:right="38"/>
              <w:jc w:val="right"/>
              <w:rPr>
                <w:rFonts w:ascii="Arial" w:hAnsi="Arial" w:cs="Arial" w:eastAsia="Arial" w:hint="default"/>
                <w:sz w:val="19"/>
                <w:szCs w:val="19"/>
              </w:rPr>
            </w:pPr>
            <w:r>
              <w:rPr>
                <w:rFonts w:ascii="Arial"/>
                <w:w w:val="95"/>
                <w:sz w:val="19"/>
              </w:rPr>
              <w:t>18,696,093.75</w:t>
            </w:r>
            <w:r>
              <w:rPr>
                <w:rFonts w:ascii="Arial"/>
                <w:sz w:val="19"/>
              </w:rPr>
            </w:r>
          </w:p>
        </w:tc>
      </w:tr>
      <w:tr>
        <w:trPr>
          <w:trHeight w:val="358" w:hRule="exact"/>
        </w:trPr>
        <w:tc>
          <w:tcPr>
            <w:tcW w:w="13939" w:type="dxa"/>
            <w:gridSpan w:val="11"/>
            <w:tcBorders>
              <w:top w:val="single" w:sz="4" w:space="0" w:color="41B7EE"/>
              <w:left w:val="nil" w:sz="6" w:space="0" w:color="auto"/>
              <w:bottom w:val="single" w:sz="4" w:space="0" w:color="41B7EE"/>
              <w:right w:val="nil" w:sz="6" w:space="0" w:color="auto"/>
            </w:tcBorders>
          </w:tcPr>
          <w:p>
            <w:pPr>
              <w:pStyle w:val="TableParagraph"/>
              <w:spacing w:line="240" w:lineRule="auto" w:before="20"/>
              <w:ind w:left="31" w:right="0"/>
              <w:jc w:val="left"/>
              <w:rPr>
                <w:rFonts w:ascii="宋体" w:hAnsi="宋体" w:cs="宋体" w:eastAsia="宋体" w:hint="default"/>
                <w:sz w:val="19"/>
                <w:szCs w:val="19"/>
              </w:rPr>
            </w:pPr>
            <w:r>
              <w:rPr>
                <w:rFonts w:ascii="宋体" w:hAnsi="宋体" w:cs="宋体" w:eastAsia="宋体" w:hint="default"/>
                <w:sz w:val="19"/>
                <w:szCs w:val="19"/>
              </w:rPr>
              <w:t>其中：</w:t>
            </w:r>
          </w:p>
        </w:tc>
      </w:tr>
      <w:tr>
        <w:trPr>
          <w:trHeight w:val="554" w:hRule="exact"/>
        </w:trPr>
        <w:tc>
          <w:tcPr>
            <w:tcW w:w="2780" w:type="dxa"/>
            <w:tcBorders>
              <w:top w:val="single" w:sz="4" w:space="0" w:color="41B7EE"/>
              <w:left w:val="nil" w:sz="6" w:space="0" w:color="auto"/>
              <w:bottom w:val="single" w:sz="4" w:space="0" w:color="41B7EE"/>
              <w:right w:val="single" w:sz="4" w:space="0" w:color="41B7EE"/>
            </w:tcBorders>
          </w:tcPr>
          <w:p>
            <w:pPr>
              <w:pStyle w:val="TableParagraph"/>
              <w:spacing w:line="240" w:lineRule="exact"/>
              <w:ind w:left="451" w:right="0"/>
              <w:jc w:val="left"/>
              <w:rPr>
                <w:rFonts w:ascii="宋体" w:hAnsi="宋体" w:cs="宋体" w:eastAsia="宋体" w:hint="default"/>
                <w:sz w:val="21"/>
                <w:szCs w:val="21"/>
              </w:rPr>
            </w:pPr>
            <w:r>
              <w:rPr>
                <w:rFonts w:ascii="宋体" w:hAnsi="宋体" w:cs="宋体" w:eastAsia="宋体" w:hint="default"/>
                <w:sz w:val="21"/>
                <w:szCs w:val="21"/>
              </w:rPr>
              <w:t>单项金额重大并单独计</w:t>
            </w:r>
          </w:p>
          <w:p>
            <w:pPr>
              <w:pStyle w:val="TableParagraph"/>
              <w:spacing w:line="274" w:lineRule="exact"/>
              <w:ind w:left="31" w:right="0"/>
              <w:jc w:val="left"/>
              <w:rPr>
                <w:rFonts w:ascii="宋体" w:hAnsi="宋体" w:cs="宋体" w:eastAsia="宋体" w:hint="default"/>
                <w:sz w:val="21"/>
                <w:szCs w:val="21"/>
              </w:rPr>
            </w:pPr>
            <w:r>
              <w:rPr>
                <w:rFonts w:ascii="宋体" w:hAnsi="宋体" w:cs="宋体" w:eastAsia="宋体" w:hint="default"/>
                <w:sz w:val="21"/>
                <w:szCs w:val="21"/>
              </w:rPr>
              <w:t>提坏账准备的应收账款</w:t>
            </w:r>
            <w:r>
              <w:rPr>
                <w:rFonts w:ascii="宋体" w:hAnsi="宋体" w:cs="宋体" w:eastAsia="宋体" w:hint="default"/>
                <w:color w:val="808080"/>
                <w:sz w:val="21"/>
                <w:szCs w:val="21"/>
              </w:rPr>
              <w:t> </w:t>
            </w:r>
            <w:r>
              <w:rPr>
                <w:rFonts w:ascii="宋体" w:hAnsi="宋体" w:cs="宋体" w:eastAsia="宋体" w:hint="default"/>
                <w:sz w:val="21"/>
                <w:szCs w:val="21"/>
              </w:rPr>
            </w:r>
          </w:p>
        </w:tc>
        <w:tc>
          <w:tcPr>
            <w:tcW w:w="139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 w:right="0"/>
              <w:jc w:val="center"/>
              <w:rPr>
                <w:rFonts w:ascii="Arial" w:hAnsi="Arial" w:cs="Arial" w:eastAsia="Arial" w:hint="default"/>
                <w:sz w:val="19"/>
                <w:szCs w:val="19"/>
              </w:rPr>
            </w:pPr>
            <w:r>
              <w:rPr>
                <w:rFonts w:ascii="Arial"/>
                <w:sz w:val="19"/>
              </w:rPr>
              <w:t>243,634,918.21</w:t>
            </w:r>
          </w:p>
        </w:tc>
        <w:tc>
          <w:tcPr>
            <w:tcW w:w="64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9"/>
                <w:szCs w:val="19"/>
              </w:rPr>
            </w:pPr>
            <w:r>
              <w:rPr>
                <w:rFonts w:ascii="Arial"/>
                <w:w w:val="95"/>
                <w:sz w:val="19"/>
              </w:rPr>
              <w:t>76.25</w:t>
            </w:r>
            <w:r>
              <w:rPr>
                <w:rFonts w:ascii="Arial"/>
                <w:sz w:val="19"/>
              </w:rPr>
            </w:r>
          </w:p>
        </w:tc>
        <w:tc>
          <w:tcPr>
            <w:tcW w:w="140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Arial" w:hAnsi="Arial" w:cs="Arial" w:eastAsia="Arial" w:hint="default"/>
                <w:sz w:val="19"/>
                <w:szCs w:val="19"/>
              </w:rPr>
            </w:pPr>
            <w:r>
              <w:rPr>
                <w:rFonts w:ascii="Arial"/>
                <w:w w:val="95"/>
                <w:sz w:val="19"/>
              </w:rPr>
              <w:t>230,720,999.95</w:t>
            </w:r>
            <w:r>
              <w:rPr>
                <w:rFonts w:ascii="Arial"/>
                <w:sz w:val="19"/>
              </w:rPr>
            </w:r>
          </w:p>
        </w:tc>
        <w:tc>
          <w:tcPr>
            <w:tcW w:w="73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Arial" w:hAnsi="Arial" w:cs="Arial" w:eastAsia="Arial" w:hint="default"/>
                <w:sz w:val="19"/>
                <w:szCs w:val="19"/>
              </w:rPr>
            </w:pPr>
            <w:r>
              <w:rPr>
                <w:rFonts w:ascii="Arial"/>
                <w:w w:val="95"/>
                <w:sz w:val="19"/>
              </w:rPr>
              <w:t>94.70</w:t>
            </w:r>
            <w:r>
              <w:rPr>
                <w:rFonts w:ascii="Arial"/>
                <w:sz w:val="19"/>
              </w:rPr>
            </w:r>
          </w:p>
        </w:tc>
        <w:tc>
          <w:tcPr>
            <w:tcW w:w="141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Arial" w:hAnsi="Arial" w:cs="Arial" w:eastAsia="Arial" w:hint="default"/>
                <w:sz w:val="19"/>
                <w:szCs w:val="19"/>
              </w:rPr>
            </w:pPr>
            <w:r>
              <w:rPr>
                <w:rFonts w:ascii="Arial"/>
                <w:w w:val="95"/>
                <w:sz w:val="19"/>
              </w:rPr>
              <w:t>12,913,918.26</w:t>
            </w:r>
            <w:r>
              <w:rPr>
                <w:rFonts w:ascii="Arial"/>
                <w:sz w:val="19"/>
              </w:rPr>
            </w:r>
          </w:p>
        </w:tc>
        <w:tc>
          <w:tcPr>
            <w:tcW w:w="14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9"/>
                <w:szCs w:val="19"/>
              </w:rPr>
            </w:pPr>
            <w:r>
              <w:rPr>
                <w:rFonts w:ascii="Arial"/>
                <w:w w:val="95"/>
                <w:sz w:val="19"/>
              </w:rPr>
              <w:t>268,143,831.70</w:t>
            </w:r>
            <w:r>
              <w:rPr>
                <w:rFonts w:ascii="Arial"/>
                <w:sz w:val="19"/>
              </w:rPr>
            </w: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Arial" w:hAnsi="Arial" w:cs="Arial" w:eastAsia="Arial" w:hint="default"/>
                <w:sz w:val="19"/>
                <w:szCs w:val="19"/>
              </w:rPr>
            </w:pPr>
            <w:r>
              <w:rPr>
                <w:rFonts w:ascii="Arial"/>
                <w:w w:val="95"/>
                <w:sz w:val="19"/>
              </w:rPr>
              <w:t>77.82</w:t>
            </w:r>
            <w:r>
              <w:rPr>
                <w:rFonts w:ascii="Arial"/>
                <w:sz w:val="19"/>
              </w:rPr>
            </w:r>
          </w:p>
        </w:tc>
        <w:tc>
          <w:tcPr>
            <w:tcW w:w="14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9"/>
                <w:szCs w:val="19"/>
              </w:rPr>
            </w:pPr>
            <w:r>
              <w:rPr>
                <w:rFonts w:ascii="Arial"/>
                <w:w w:val="95"/>
                <w:sz w:val="19"/>
              </w:rPr>
              <w:t>249,447,737.95</w:t>
            </w:r>
            <w:r>
              <w:rPr>
                <w:rFonts w:ascii="Arial"/>
                <w:sz w:val="19"/>
              </w:rPr>
            </w: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75" w:right="0"/>
              <w:jc w:val="center"/>
              <w:rPr>
                <w:rFonts w:ascii="Arial" w:hAnsi="Arial" w:cs="Arial" w:eastAsia="Arial" w:hint="default"/>
                <w:sz w:val="19"/>
                <w:szCs w:val="19"/>
              </w:rPr>
            </w:pPr>
            <w:r>
              <w:rPr>
                <w:rFonts w:ascii="Arial"/>
                <w:sz w:val="19"/>
              </w:rPr>
              <w:t>93.03</w:t>
            </w:r>
          </w:p>
        </w:tc>
        <w:tc>
          <w:tcPr>
            <w:tcW w:w="128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38"/>
              <w:jc w:val="right"/>
              <w:rPr>
                <w:rFonts w:ascii="Arial" w:hAnsi="Arial" w:cs="Arial" w:eastAsia="Arial" w:hint="default"/>
                <w:sz w:val="19"/>
                <w:szCs w:val="19"/>
              </w:rPr>
            </w:pPr>
            <w:r>
              <w:rPr>
                <w:rFonts w:ascii="Arial"/>
                <w:w w:val="95"/>
                <w:sz w:val="19"/>
              </w:rPr>
              <w:t>18,696,093.75</w:t>
            </w:r>
            <w:r>
              <w:rPr>
                <w:rFonts w:ascii="Arial"/>
                <w:sz w:val="19"/>
              </w:rPr>
            </w:r>
          </w:p>
        </w:tc>
      </w:tr>
      <w:tr>
        <w:trPr>
          <w:trHeight w:val="554" w:hRule="exact"/>
        </w:trPr>
        <w:tc>
          <w:tcPr>
            <w:tcW w:w="2780" w:type="dxa"/>
            <w:tcBorders>
              <w:top w:val="single" w:sz="4" w:space="0" w:color="41B7EE"/>
              <w:left w:val="nil" w:sz="6" w:space="0" w:color="auto"/>
              <w:bottom w:val="single" w:sz="4" w:space="0" w:color="41B7EE"/>
              <w:right w:val="single" w:sz="4" w:space="0" w:color="41B7EE"/>
            </w:tcBorders>
          </w:tcPr>
          <w:p>
            <w:pPr>
              <w:pStyle w:val="TableParagraph"/>
              <w:spacing w:line="240" w:lineRule="exact"/>
              <w:ind w:left="451" w:right="0"/>
              <w:jc w:val="left"/>
              <w:rPr>
                <w:rFonts w:ascii="宋体" w:hAnsi="宋体" w:cs="宋体" w:eastAsia="宋体" w:hint="default"/>
                <w:sz w:val="21"/>
                <w:szCs w:val="21"/>
              </w:rPr>
            </w:pPr>
            <w:r>
              <w:rPr>
                <w:rFonts w:ascii="宋体" w:hAnsi="宋体" w:cs="宋体" w:eastAsia="宋体" w:hint="default"/>
                <w:sz w:val="21"/>
                <w:szCs w:val="21"/>
              </w:rPr>
              <w:t>单项金额不重大但单独</w:t>
            </w:r>
          </w:p>
          <w:p>
            <w:pPr>
              <w:pStyle w:val="TableParagraph"/>
              <w:spacing w:line="274" w:lineRule="exact"/>
              <w:ind w:left="31" w:right="0"/>
              <w:jc w:val="left"/>
              <w:rPr>
                <w:rFonts w:ascii="宋体" w:hAnsi="宋体" w:cs="宋体" w:eastAsia="宋体" w:hint="default"/>
                <w:sz w:val="21"/>
                <w:szCs w:val="21"/>
              </w:rPr>
            </w:pPr>
            <w:r>
              <w:rPr>
                <w:rFonts w:ascii="宋体" w:hAnsi="宋体" w:cs="宋体" w:eastAsia="宋体" w:hint="default"/>
                <w:sz w:val="21"/>
                <w:szCs w:val="21"/>
              </w:rPr>
              <w:t>计提坏账准备的应收账款</w:t>
            </w:r>
            <w:r>
              <w:rPr>
                <w:rFonts w:ascii="宋体" w:hAnsi="宋体" w:cs="宋体" w:eastAsia="宋体" w:hint="default"/>
                <w:color w:val="808080"/>
                <w:sz w:val="21"/>
                <w:szCs w:val="21"/>
              </w:rPr>
              <w:t> </w:t>
            </w:r>
            <w:r>
              <w:rPr>
                <w:rFonts w:ascii="宋体" w:hAnsi="宋体" w:cs="宋体" w:eastAsia="宋体" w:hint="default"/>
                <w:sz w:val="21"/>
                <w:szCs w:val="21"/>
              </w:rPr>
            </w:r>
          </w:p>
        </w:tc>
        <w:tc>
          <w:tcPr>
            <w:tcW w:w="139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22" w:right="0"/>
              <w:jc w:val="center"/>
              <w:rPr>
                <w:rFonts w:ascii="Arial" w:hAnsi="Arial" w:cs="Arial" w:eastAsia="Arial" w:hint="default"/>
                <w:sz w:val="19"/>
                <w:szCs w:val="19"/>
              </w:rPr>
            </w:pPr>
            <w:r>
              <w:rPr>
                <w:rFonts w:ascii="Arial"/>
                <w:sz w:val="19"/>
              </w:rPr>
              <w:t>75,895,600.45</w:t>
            </w:r>
          </w:p>
        </w:tc>
        <w:tc>
          <w:tcPr>
            <w:tcW w:w="64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9"/>
                <w:szCs w:val="19"/>
              </w:rPr>
            </w:pPr>
            <w:r>
              <w:rPr>
                <w:rFonts w:ascii="Arial"/>
                <w:w w:val="95"/>
                <w:sz w:val="19"/>
              </w:rPr>
              <w:t>23.75</w:t>
            </w:r>
            <w:r>
              <w:rPr>
                <w:rFonts w:ascii="Arial"/>
                <w:sz w:val="19"/>
              </w:rPr>
            </w:r>
          </w:p>
        </w:tc>
        <w:tc>
          <w:tcPr>
            <w:tcW w:w="140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Arial" w:hAnsi="Arial" w:cs="Arial" w:eastAsia="Arial" w:hint="default"/>
                <w:sz w:val="19"/>
                <w:szCs w:val="19"/>
              </w:rPr>
            </w:pPr>
            <w:r>
              <w:rPr>
                <w:rFonts w:ascii="Arial"/>
                <w:w w:val="95"/>
                <w:sz w:val="19"/>
              </w:rPr>
              <w:t>75,895,600.45</w:t>
            </w:r>
            <w:r>
              <w:rPr>
                <w:rFonts w:ascii="Arial"/>
                <w:sz w:val="19"/>
              </w:rPr>
            </w:r>
          </w:p>
        </w:tc>
        <w:tc>
          <w:tcPr>
            <w:tcW w:w="73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Arial" w:hAnsi="Arial" w:cs="Arial" w:eastAsia="Arial" w:hint="default"/>
                <w:sz w:val="19"/>
                <w:szCs w:val="19"/>
              </w:rPr>
            </w:pPr>
            <w:r>
              <w:rPr>
                <w:rFonts w:ascii="Arial"/>
                <w:w w:val="95"/>
                <w:sz w:val="19"/>
              </w:rPr>
              <w:t>100.00</w:t>
            </w:r>
            <w:r>
              <w:rPr>
                <w:rFonts w:ascii="Arial"/>
                <w:sz w:val="19"/>
              </w:rPr>
            </w:r>
          </w:p>
        </w:tc>
        <w:tc>
          <w:tcPr>
            <w:tcW w:w="1419" w:type="dxa"/>
            <w:tcBorders>
              <w:top w:val="single" w:sz="4" w:space="0" w:color="41B7EE"/>
              <w:left w:val="single" w:sz="4" w:space="0" w:color="41B7EE"/>
              <w:bottom w:val="single" w:sz="4" w:space="0" w:color="41B7EE"/>
              <w:right w:val="single" w:sz="4" w:space="0" w:color="41B7EE"/>
            </w:tcBorders>
          </w:tcPr>
          <w:p>
            <w:pPr/>
          </w:p>
        </w:tc>
        <w:tc>
          <w:tcPr>
            <w:tcW w:w="14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9"/>
                <w:szCs w:val="19"/>
              </w:rPr>
            </w:pPr>
            <w:r>
              <w:rPr>
                <w:rFonts w:ascii="Arial"/>
                <w:w w:val="95"/>
                <w:sz w:val="19"/>
              </w:rPr>
              <w:t>76,025,058.36</w:t>
            </w:r>
            <w:r>
              <w:rPr>
                <w:rFonts w:ascii="Arial"/>
                <w:sz w:val="19"/>
              </w:rPr>
            </w: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Arial" w:hAnsi="Arial" w:cs="Arial" w:eastAsia="Arial" w:hint="default"/>
                <w:sz w:val="19"/>
                <w:szCs w:val="19"/>
              </w:rPr>
            </w:pPr>
            <w:r>
              <w:rPr>
                <w:rFonts w:ascii="Arial"/>
                <w:w w:val="95"/>
                <w:sz w:val="19"/>
              </w:rPr>
              <w:t>22.07</w:t>
            </w:r>
            <w:r>
              <w:rPr>
                <w:rFonts w:ascii="Arial"/>
                <w:sz w:val="19"/>
              </w:rPr>
            </w:r>
          </w:p>
        </w:tc>
        <w:tc>
          <w:tcPr>
            <w:tcW w:w="14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9"/>
                <w:szCs w:val="19"/>
              </w:rPr>
            </w:pPr>
            <w:r>
              <w:rPr>
                <w:rFonts w:ascii="Arial"/>
                <w:w w:val="95"/>
                <w:sz w:val="19"/>
              </w:rPr>
              <w:t>76,025,058.36</w:t>
            </w:r>
            <w:r>
              <w:rPr>
                <w:rFonts w:ascii="Arial"/>
                <w:sz w:val="19"/>
              </w:rPr>
            </w: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center"/>
              <w:rPr>
                <w:rFonts w:ascii="Arial" w:hAnsi="Arial" w:cs="Arial" w:eastAsia="Arial" w:hint="default"/>
                <w:sz w:val="19"/>
                <w:szCs w:val="19"/>
              </w:rPr>
            </w:pPr>
            <w:r>
              <w:rPr>
                <w:rFonts w:ascii="Arial"/>
                <w:sz w:val="19"/>
              </w:rPr>
              <w:t>100.00</w:t>
            </w:r>
          </w:p>
        </w:tc>
        <w:tc>
          <w:tcPr>
            <w:tcW w:w="1289"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278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r>
              <w:rPr>
                <w:rFonts w:ascii="宋体" w:hAnsi="宋体" w:cs="宋体" w:eastAsia="宋体" w:hint="default"/>
                <w:sz w:val="21"/>
                <w:szCs w:val="21"/>
              </w:rPr>
              <w:t> </w:t>
            </w:r>
          </w:p>
        </w:tc>
        <w:tc>
          <w:tcPr>
            <w:tcW w:w="1395" w:type="dxa"/>
            <w:tcBorders>
              <w:top w:val="single" w:sz="4" w:space="0" w:color="41B7EE"/>
              <w:left w:val="single" w:sz="4" w:space="0" w:color="41B7EE"/>
              <w:bottom w:val="single" w:sz="4" w:space="0" w:color="41B7EE"/>
              <w:right w:val="single" w:sz="4" w:space="0" w:color="41B7EE"/>
            </w:tcBorders>
          </w:tcPr>
          <w:p>
            <w:pPr/>
          </w:p>
        </w:tc>
        <w:tc>
          <w:tcPr>
            <w:tcW w:w="648" w:type="dxa"/>
            <w:tcBorders>
              <w:top w:val="single" w:sz="4" w:space="0" w:color="41B7EE"/>
              <w:left w:val="single" w:sz="4" w:space="0" w:color="41B7EE"/>
              <w:bottom w:val="single" w:sz="4" w:space="0" w:color="41B7EE"/>
              <w:right w:val="single" w:sz="4" w:space="0" w:color="41B7EE"/>
            </w:tcBorders>
          </w:tcPr>
          <w:p>
            <w:pPr/>
          </w:p>
        </w:tc>
        <w:tc>
          <w:tcPr>
            <w:tcW w:w="1402" w:type="dxa"/>
            <w:tcBorders>
              <w:top w:val="single" w:sz="4" w:space="0" w:color="41B7EE"/>
              <w:left w:val="single" w:sz="4" w:space="0" w:color="41B7EE"/>
              <w:bottom w:val="single" w:sz="4" w:space="0" w:color="41B7EE"/>
              <w:right w:val="single" w:sz="4" w:space="0" w:color="41B7EE"/>
            </w:tcBorders>
          </w:tcPr>
          <w:p>
            <w:pPr/>
          </w:p>
        </w:tc>
        <w:tc>
          <w:tcPr>
            <w:tcW w:w="739" w:type="dxa"/>
            <w:tcBorders>
              <w:top w:val="single" w:sz="4" w:space="0" w:color="41B7EE"/>
              <w:left w:val="single" w:sz="4" w:space="0" w:color="41B7EE"/>
              <w:bottom w:val="single" w:sz="4" w:space="0" w:color="41B7EE"/>
              <w:right w:val="single" w:sz="4" w:space="0" w:color="41B7EE"/>
            </w:tcBorders>
          </w:tcPr>
          <w:p>
            <w:pPr/>
          </w:p>
        </w:tc>
        <w:tc>
          <w:tcPr>
            <w:tcW w:w="1419" w:type="dxa"/>
            <w:tcBorders>
              <w:top w:val="single" w:sz="4" w:space="0" w:color="41B7EE"/>
              <w:left w:val="single" w:sz="4" w:space="0" w:color="41B7EE"/>
              <w:bottom w:val="single" w:sz="4" w:space="0" w:color="41B7EE"/>
              <w:right w:val="single" w:sz="4" w:space="0" w:color="41B7EE"/>
            </w:tcBorders>
          </w:tcPr>
          <w:p>
            <w:pPr/>
          </w:p>
        </w:tc>
        <w:tc>
          <w:tcPr>
            <w:tcW w:w="14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4"/>
              <w:ind w:right="21"/>
              <w:jc w:val="right"/>
              <w:rPr>
                <w:rFonts w:ascii="Arial" w:hAnsi="Arial" w:cs="Arial" w:eastAsia="Arial" w:hint="default"/>
                <w:sz w:val="19"/>
                <w:szCs w:val="19"/>
              </w:rPr>
            </w:pPr>
            <w:r>
              <w:rPr>
                <w:rFonts w:ascii="Arial"/>
                <w:w w:val="95"/>
                <w:sz w:val="19"/>
              </w:rPr>
              <w:t>388,216.00</w:t>
            </w:r>
            <w:r>
              <w:rPr>
                <w:rFonts w:ascii="Arial"/>
                <w:sz w:val="19"/>
              </w:rPr>
            </w: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4"/>
              <w:ind w:right="24"/>
              <w:jc w:val="right"/>
              <w:rPr>
                <w:rFonts w:ascii="Arial" w:hAnsi="Arial" w:cs="Arial" w:eastAsia="Arial" w:hint="default"/>
                <w:sz w:val="19"/>
                <w:szCs w:val="19"/>
              </w:rPr>
            </w:pPr>
            <w:r>
              <w:rPr>
                <w:rFonts w:ascii="Arial"/>
                <w:w w:val="95"/>
                <w:sz w:val="19"/>
              </w:rPr>
              <w:t>0.11</w:t>
            </w:r>
            <w:r>
              <w:rPr>
                <w:rFonts w:ascii="Arial"/>
                <w:sz w:val="19"/>
              </w:rPr>
            </w:r>
          </w:p>
        </w:tc>
        <w:tc>
          <w:tcPr>
            <w:tcW w:w="14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4"/>
              <w:ind w:right="21"/>
              <w:jc w:val="right"/>
              <w:rPr>
                <w:rFonts w:ascii="Arial" w:hAnsi="Arial" w:cs="Arial" w:eastAsia="Arial" w:hint="default"/>
                <w:sz w:val="19"/>
                <w:szCs w:val="19"/>
              </w:rPr>
            </w:pPr>
            <w:r>
              <w:rPr>
                <w:rFonts w:ascii="Arial"/>
                <w:w w:val="95"/>
                <w:sz w:val="19"/>
              </w:rPr>
              <w:t>194,108.00</w:t>
            </w:r>
            <w:r>
              <w:rPr>
                <w:rFonts w:ascii="Arial"/>
                <w:sz w:val="19"/>
              </w:rPr>
            </w: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4"/>
              <w:ind w:left="175" w:right="0"/>
              <w:jc w:val="center"/>
              <w:rPr>
                <w:rFonts w:ascii="Arial" w:hAnsi="Arial" w:cs="Arial" w:eastAsia="Arial" w:hint="default"/>
                <w:sz w:val="19"/>
                <w:szCs w:val="19"/>
              </w:rPr>
            </w:pPr>
            <w:r>
              <w:rPr>
                <w:rFonts w:ascii="Arial"/>
                <w:sz w:val="19"/>
              </w:rPr>
              <w:t>50.00</w:t>
            </w:r>
          </w:p>
        </w:tc>
        <w:tc>
          <w:tcPr>
            <w:tcW w:w="128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64"/>
              <w:ind w:right="38"/>
              <w:jc w:val="right"/>
              <w:rPr>
                <w:rFonts w:ascii="Arial" w:hAnsi="Arial" w:cs="Arial" w:eastAsia="Arial" w:hint="default"/>
                <w:sz w:val="19"/>
                <w:szCs w:val="19"/>
              </w:rPr>
            </w:pPr>
            <w:r>
              <w:rPr>
                <w:rFonts w:ascii="Arial"/>
                <w:w w:val="95"/>
                <w:sz w:val="19"/>
              </w:rPr>
              <w:t>194,108.00</w:t>
            </w:r>
            <w:r>
              <w:rPr>
                <w:rFonts w:ascii="Arial"/>
                <w:sz w:val="19"/>
              </w:rPr>
            </w:r>
          </w:p>
        </w:tc>
      </w:tr>
      <w:tr>
        <w:trPr>
          <w:trHeight w:val="358" w:hRule="exact"/>
        </w:trPr>
        <w:tc>
          <w:tcPr>
            <w:tcW w:w="13939" w:type="dxa"/>
            <w:gridSpan w:val="11"/>
            <w:tcBorders>
              <w:top w:val="single" w:sz="4" w:space="0" w:color="41B7EE"/>
              <w:left w:val="nil" w:sz="6" w:space="0" w:color="auto"/>
              <w:bottom w:val="single" w:sz="4" w:space="0" w:color="41B7EE"/>
              <w:right w:val="nil" w:sz="6" w:space="0" w:color="auto"/>
            </w:tcBorders>
          </w:tcPr>
          <w:p>
            <w:pPr>
              <w:pStyle w:val="TableParagraph"/>
              <w:spacing w:line="240" w:lineRule="auto" w:before="18"/>
              <w:ind w:left="31" w:right="0"/>
              <w:jc w:val="left"/>
              <w:rPr>
                <w:rFonts w:ascii="宋体" w:hAnsi="宋体" w:cs="宋体" w:eastAsia="宋体" w:hint="default"/>
                <w:sz w:val="19"/>
                <w:szCs w:val="19"/>
              </w:rPr>
            </w:pPr>
            <w:r>
              <w:rPr>
                <w:rFonts w:ascii="宋体" w:hAnsi="宋体" w:cs="宋体" w:eastAsia="宋体" w:hint="default"/>
                <w:sz w:val="19"/>
                <w:szCs w:val="19"/>
              </w:rPr>
              <w:t>其中：</w:t>
            </w:r>
          </w:p>
        </w:tc>
      </w:tr>
      <w:tr>
        <w:trPr>
          <w:trHeight w:val="358" w:hRule="exact"/>
        </w:trPr>
        <w:tc>
          <w:tcPr>
            <w:tcW w:w="278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451" w:right="0"/>
              <w:jc w:val="left"/>
              <w:rPr>
                <w:rFonts w:ascii="宋体" w:hAnsi="宋体" w:cs="宋体" w:eastAsia="宋体" w:hint="default"/>
                <w:sz w:val="21"/>
                <w:szCs w:val="21"/>
              </w:rPr>
            </w:pPr>
            <w:r>
              <w:rPr>
                <w:rFonts w:ascii="宋体" w:hAnsi="宋体" w:cs="宋体" w:eastAsia="宋体" w:hint="default"/>
                <w:sz w:val="21"/>
                <w:szCs w:val="21"/>
              </w:rPr>
              <w:t>账龄组合</w:t>
            </w:r>
            <w:r>
              <w:rPr>
                <w:rFonts w:ascii="宋体" w:hAnsi="宋体" w:cs="宋体" w:eastAsia="宋体" w:hint="default"/>
                <w:color w:val="808080"/>
                <w:sz w:val="21"/>
                <w:szCs w:val="21"/>
              </w:rPr>
              <w:t> </w:t>
            </w:r>
            <w:r>
              <w:rPr>
                <w:rFonts w:ascii="宋体" w:hAnsi="宋体" w:cs="宋体" w:eastAsia="宋体" w:hint="default"/>
                <w:sz w:val="21"/>
                <w:szCs w:val="21"/>
              </w:rPr>
            </w:r>
          </w:p>
        </w:tc>
        <w:tc>
          <w:tcPr>
            <w:tcW w:w="1395" w:type="dxa"/>
            <w:tcBorders>
              <w:top w:val="single" w:sz="4" w:space="0" w:color="41B7EE"/>
              <w:left w:val="single" w:sz="4" w:space="0" w:color="41B7EE"/>
              <w:bottom w:val="single" w:sz="4" w:space="0" w:color="41B7EE"/>
              <w:right w:val="single" w:sz="4" w:space="0" w:color="41B7EE"/>
            </w:tcBorders>
          </w:tcPr>
          <w:p>
            <w:pPr/>
          </w:p>
        </w:tc>
        <w:tc>
          <w:tcPr>
            <w:tcW w:w="648" w:type="dxa"/>
            <w:tcBorders>
              <w:top w:val="single" w:sz="4" w:space="0" w:color="41B7EE"/>
              <w:left w:val="single" w:sz="4" w:space="0" w:color="41B7EE"/>
              <w:bottom w:val="single" w:sz="4" w:space="0" w:color="41B7EE"/>
              <w:right w:val="single" w:sz="4" w:space="0" w:color="41B7EE"/>
            </w:tcBorders>
          </w:tcPr>
          <w:p>
            <w:pPr/>
          </w:p>
        </w:tc>
        <w:tc>
          <w:tcPr>
            <w:tcW w:w="1402" w:type="dxa"/>
            <w:tcBorders>
              <w:top w:val="single" w:sz="4" w:space="0" w:color="41B7EE"/>
              <w:left w:val="single" w:sz="4" w:space="0" w:color="41B7EE"/>
              <w:bottom w:val="single" w:sz="4" w:space="0" w:color="41B7EE"/>
              <w:right w:val="single" w:sz="4" w:space="0" w:color="41B7EE"/>
            </w:tcBorders>
          </w:tcPr>
          <w:p>
            <w:pPr/>
          </w:p>
        </w:tc>
        <w:tc>
          <w:tcPr>
            <w:tcW w:w="739" w:type="dxa"/>
            <w:tcBorders>
              <w:top w:val="single" w:sz="4" w:space="0" w:color="41B7EE"/>
              <w:left w:val="single" w:sz="4" w:space="0" w:color="41B7EE"/>
              <w:bottom w:val="single" w:sz="4" w:space="0" w:color="41B7EE"/>
              <w:right w:val="single" w:sz="4" w:space="0" w:color="41B7EE"/>
            </w:tcBorders>
          </w:tcPr>
          <w:p>
            <w:pPr/>
          </w:p>
        </w:tc>
        <w:tc>
          <w:tcPr>
            <w:tcW w:w="1419" w:type="dxa"/>
            <w:tcBorders>
              <w:top w:val="single" w:sz="4" w:space="0" w:color="41B7EE"/>
              <w:left w:val="single" w:sz="4" w:space="0" w:color="41B7EE"/>
              <w:bottom w:val="single" w:sz="4" w:space="0" w:color="41B7EE"/>
              <w:right w:val="single" w:sz="4" w:space="0" w:color="41B7EE"/>
            </w:tcBorders>
          </w:tcPr>
          <w:p>
            <w:pPr/>
          </w:p>
        </w:tc>
        <w:tc>
          <w:tcPr>
            <w:tcW w:w="14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4"/>
              <w:ind w:right="21"/>
              <w:jc w:val="right"/>
              <w:rPr>
                <w:rFonts w:ascii="Arial" w:hAnsi="Arial" w:cs="Arial" w:eastAsia="Arial" w:hint="default"/>
                <w:sz w:val="19"/>
                <w:szCs w:val="19"/>
              </w:rPr>
            </w:pPr>
            <w:r>
              <w:rPr>
                <w:rFonts w:ascii="Arial"/>
                <w:w w:val="95"/>
                <w:sz w:val="19"/>
              </w:rPr>
              <w:t>388,216.00</w:t>
            </w:r>
            <w:r>
              <w:rPr>
                <w:rFonts w:ascii="Arial"/>
                <w:sz w:val="19"/>
              </w:rPr>
            </w: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4"/>
              <w:ind w:right="24"/>
              <w:jc w:val="right"/>
              <w:rPr>
                <w:rFonts w:ascii="Arial" w:hAnsi="Arial" w:cs="Arial" w:eastAsia="Arial" w:hint="default"/>
                <w:sz w:val="19"/>
                <w:szCs w:val="19"/>
              </w:rPr>
            </w:pPr>
            <w:r>
              <w:rPr>
                <w:rFonts w:ascii="Arial"/>
                <w:w w:val="95"/>
                <w:sz w:val="19"/>
              </w:rPr>
              <w:t>0.11</w:t>
            </w:r>
            <w:r>
              <w:rPr>
                <w:rFonts w:ascii="Arial"/>
                <w:sz w:val="19"/>
              </w:rPr>
            </w:r>
          </w:p>
        </w:tc>
        <w:tc>
          <w:tcPr>
            <w:tcW w:w="14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4"/>
              <w:ind w:right="21"/>
              <w:jc w:val="right"/>
              <w:rPr>
                <w:rFonts w:ascii="Arial" w:hAnsi="Arial" w:cs="Arial" w:eastAsia="Arial" w:hint="default"/>
                <w:sz w:val="19"/>
                <w:szCs w:val="19"/>
              </w:rPr>
            </w:pPr>
            <w:r>
              <w:rPr>
                <w:rFonts w:ascii="Arial"/>
                <w:w w:val="95"/>
                <w:sz w:val="19"/>
              </w:rPr>
              <w:t>194,108.00</w:t>
            </w:r>
            <w:r>
              <w:rPr>
                <w:rFonts w:ascii="Arial"/>
                <w:sz w:val="19"/>
              </w:rPr>
            </w: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4"/>
              <w:ind w:left="175" w:right="0"/>
              <w:jc w:val="center"/>
              <w:rPr>
                <w:rFonts w:ascii="Arial" w:hAnsi="Arial" w:cs="Arial" w:eastAsia="Arial" w:hint="default"/>
                <w:sz w:val="19"/>
                <w:szCs w:val="19"/>
              </w:rPr>
            </w:pPr>
            <w:r>
              <w:rPr>
                <w:rFonts w:ascii="Arial"/>
                <w:sz w:val="19"/>
              </w:rPr>
              <w:t>50.00</w:t>
            </w:r>
          </w:p>
        </w:tc>
        <w:tc>
          <w:tcPr>
            <w:tcW w:w="128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64"/>
              <w:ind w:right="38"/>
              <w:jc w:val="right"/>
              <w:rPr>
                <w:rFonts w:ascii="Arial" w:hAnsi="Arial" w:cs="Arial" w:eastAsia="Arial" w:hint="default"/>
                <w:sz w:val="19"/>
                <w:szCs w:val="19"/>
              </w:rPr>
            </w:pPr>
            <w:r>
              <w:rPr>
                <w:rFonts w:ascii="Arial"/>
                <w:w w:val="95"/>
                <w:sz w:val="19"/>
              </w:rPr>
              <w:t>194,108.00</w:t>
            </w:r>
            <w:r>
              <w:rPr>
                <w:rFonts w:ascii="Arial"/>
                <w:sz w:val="19"/>
              </w:rPr>
            </w:r>
          </w:p>
        </w:tc>
      </w:tr>
      <w:tr>
        <w:trPr>
          <w:trHeight w:val="439" w:hRule="exact"/>
        </w:trPr>
        <w:tc>
          <w:tcPr>
            <w:tcW w:w="2780"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28"/>
              <w:ind w:left="10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95"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141"/>
              <w:ind w:left="16" w:right="0"/>
              <w:jc w:val="center"/>
              <w:rPr>
                <w:rFonts w:ascii="Arial" w:hAnsi="Arial" w:cs="Arial" w:eastAsia="Arial" w:hint="default"/>
                <w:sz w:val="19"/>
                <w:szCs w:val="19"/>
              </w:rPr>
            </w:pPr>
            <w:r>
              <w:rPr>
                <w:rFonts w:ascii="Arial"/>
                <w:sz w:val="19"/>
              </w:rPr>
              <w:t>319,530,518.66</w:t>
            </w:r>
          </w:p>
        </w:tc>
        <w:tc>
          <w:tcPr>
            <w:tcW w:w="648"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4"/>
              <w:ind w:left="273" w:right="0"/>
              <w:jc w:val="left"/>
              <w:rPr>
                <w:rFonts w:ascii="宋体" w:hAnsi="宋体" w:cs="宋体" w:eastAsia="宋体" w:hint="default"/>
                <w:sz w:val="19"/>
                <w:szCs w:val="19"/>
              </w:rPr>
            </w:pPr>
            <w:r>
              <w:rPr>
                <w:rFonts w:ascii="宋体"/>
                <w:sz w:val="19"/>
              </w:rPr>
              <w:t>/ </w:t>
            </w:r>
          </w:p>
        </w:tc>
        <w:tc>
          <w:tcPr>
            <w:tcW w:w="1402"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141"/>
              <w:ind w:right="24"/>
              <w:jc w:val="right"/>
              <w:rPr>
                <w:rFonts w:ascii="Arial" w:hAnsi="Arial" w:cs="Arial" w:eastAsia="Arial" w:hint="default"/>
                <w:sz w:val="19"/>
                <w:szCs w:val="19"/>
              </w:rPr>
            </w:pPr>
            <w:r>
              <w:rPr>
                <w:rFonts w:ascii="Arial"/>
                <w:w w:val="95"/>
                <w:sz w:val="19"/>
              </w:rPr>
              <w:t>306,616,600.40</w:t>
            </w:r>
            <w:r>
              <w:rPr>
                <w:rFonts w:ascii="Arial"/>
                <w:sz w:val="19"/>
              </w:rPr>
            </w:r>
          </w:p>
        </w:tc>
        <w:tc>
          <w:tcPr>
            <w:tcW w:w="739"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4"/>
              <w:ind w:left="316" w:right="0"/>
              <w:jc w:val="left"/>
              <w:rPr>
                <w:rFonts w:ascii="宋体" w:hAnsi="宋体" w:cs="宋体" w:eastAsia="宋体" w:hint="default"/>
                <w:sz w:val="19"/>
                <w:szCs w:val="19"/>
              </w:rPr>
            </w:pPr>
            <w:r>
              <w:rPr>
                <w:rFonts w:ascii="宋体"/>
                <w:sz w:val="19"/>
              </w:rPr>
              <w:t>/ </w:t>
            </w:r>
          </w:p>
        </w:tc>
        <w:tc>
          <w:tcPr>
            <w:tcW w:w="1419"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141"/>
              <w:ind w:right="24"/>
              <w:jc w:val="right"/>
              <w:rPr>
                <w:rFonts w:ascii="Arial" w:hAnsi="Arial" w:cs="Arial" w:eastAsia="Arial" w:hint="default"/>
                <w:sz w:val="19"/>
                <w:szCs w:val="19"/>
              </w:rPr>
            </w:pPr>
            <w:r>
              <w:rPr>
                <w:rFonts w:ascii="Arial"/>
                <w:w w:val="95"/>
                <w:sz w:val="19"/>
              </w:rPr>
              <w:t>12,913,918.26</w:t>
            </w:r>
            <w:r>
              <w:rPr>
                <w:rFonts w:ascii="Arial"/>
                <w:sz w:val="19"/>
              </w:rPr>
            </w:r>
          </w:p>
        </w:tc>
        <w:tc>
          <w:tcPr>
            <w:tcW w:w="1418"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141"/>
              <w:ind w:right="21"/>
              <w:jc w:val="right"/>
              <w:rPr>
                <w:rFonts w:ascii="Arial" w:hAnsi="Arial" w:cs="Arial" w:eastAsia="Arial" w:hint="default"/>
                <w:sz w:val="19"/>
                <w:szCs w:val="19"/>
              </w:rPr>
            </w:pPr>
            <w:r>
              <w:rPr>
                <w:rFonts w:ascii="Arial"/>
                <w:w w:val="95"/>
                <w:sz w:val="19"/>
              </w:rPr>
              <w:t>344,557,106.06</w:t>
            </w:r>
            <w:r>
              <w:rPr>
                <w:rFonts w:ascii="Arial"/>
                <w:sz w:val="19"/>
              </w:rPr>
            </w:r>
          </w:p>
        </w:tc>
        <w:tc>
          <w:tcPr>
            <w:tcW w:w="713"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4"/>
              <w:ind w:left="304" w:right="0"/>
              <w:jc w:val="left"/>
              <w:rPr>
                <w:rFonts w:ascii="宋体" w:hAnsi="宋体" w:cs="宋体" w:eastAsia="宋体" w:hint="default"/>
                <w:sz w:val="19"/>
                <w:szCs w:val="19"/>
              </w:rPr>
            </w:pPr>
            <w:r>
              <w:rPr>
                <w:rFonts w:ascii="宋体"/>
                <w:sz w:val="19"/>
              </w:rPr>
              <w:t>/ </w:t>
            </w:r>
          </w:p>
        </w:tc>
        <w:tc>
          <w:tcPr>
            <w:tcW w:w="1424"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141"/>
              <w:ind w:right="22"/>
              <w:jc w:val="right"/>
              <w:rPr>
                <w:rFonts w:ascii="Arial" w:hAnsi="Arial" w:cs="Arial" w:eastAsia="Arial" w:hint="default"/>
                <w:sz w:val="19"/>
                <w:szCs w:val="19"/>
              </w:rPr>
            </w:pPr>
            <w:r>
              <w:rPr>
                <w:rFonts w:ascii="Arial"/>
                <w:w w:val="95"/>
                <w:sz w:val="19"/>
              </w:rPr>
              <w:t>325,666,904.31</w:t>
            </w:r>
            <w:r>
              <w:rPr>
                <w:rFonts w:ascii="Arial"/>
                <w:sz w:val="19"/>
              </w:rPr>
            </w:r>
          </w:p>
        </w:tc>
        <w:tc>
          <w:tcPr>
            <w:tcW w:w="713"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4"/>
              <w:ind w:left="92" w:right="0"/>
              <w:jc w:val="center"/>
              <w:rPr>
                <w:rFonts w:ascii="宋体" w:hAnsi="宋体" w:cs="宋体" w:eastAsia="宋体" w:hint="default"/>
                <w:sz w:val="19"/>
                <w:szCs w:val="19"/>
              </w:rPr>
            </w:pPr>
            <w:r>
              <w:rPr>
                <w:rFonts w:ascii="宋体"/>
                <w:sz w:val="19"/>
              </w:rPr>
              <w:t>/ </w:t>
            </w:r>
          </w:p>
        </w:tc>
        <w:tc>
          <w:tcPr>
            <w:tcW w:w="1289"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141"/>
              <w:ind w:right="38"/>
              <w:jc w:val="right"/>
              <w:rPr>
                <w:rFonts w:ascii="Arial" w:hAnsi="Arial" w:cs="Arial" w:eastAsia="Arial" w:hint="default"/>
                <w:sz w:val="19"/>
                <w:szCs w:val="19"/>
              </w:rPr>
            </w:pPr>
            <w:r>
              <w:rPr>
                <w:rFonts w:ascii="Arial"/>
                <w:w w:val="95"/>
                <w:sz w:val="19"/>
              </w:rPr>
              <w:t>18,890,201.75</w:t>
            </w:r>
            <w:r>
              <w:rPr>
                <w:rFonts w:ascii="Arial"/>
                <w:sz w:val="19"/>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spacing w:before="63"/>
        <w:ind w:left="6713" w:right="6712" w:firstLine="0"/>
        <w:jc w:val="center"/>
        <w:rPr>
          <w:rFonts w:ascii="Calibri" w:hAnsi="Calibri" w:cs="Calibri" w:eastAsia="Calibri" w:hint="default"/>
          <w:sz w:val="18"/>
          <w:szCs w:val="18"/>
        </w:rPr>
      </w:pPr>
      <w:r>
        <w:rPr>
          <w:rFonts w:ascii="Calibri"/>
          <w:b/>
          <w:sz w:val="18"/>
        </w:rPr>
        <w:t>112 </w:t>
      </w:r>
      <w:r>
        <w:rPr>
          <w:rFonts w:ascii="Calibri"/>
          <w:sz w:val="18"/>
        </w:rPr>
        <w:t>/</w:t>
      </w:r>
      <w:r>
        <w:rPr>
          <w:rFonts w:ascii="Calibri"/>
          <w:spacing w:val="-5"/>
          <w:sz w:val="18"/>
        </w:rPr>
        <w:t> </w:t>
      </w:r>
      <w:r>
        <w:rPr>
          <w:rFonts w:ascii="Calibri"/>
          <w:b/>
          <w:sz w:val="18"/>
        </w:rPr>
        <w:t>173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360" w:bottom="1380" w:left="1380" w:right="1300"/>
        </w:sectPr>
      </w:pPr>
    </w:p>
    <w:p>
      <w:pPr>
        <w:pStyle w:val="BodyText"/>
        <w:spacing w:line="273" w:lineRule="exact" w:before="100"/>
        <w:ind w:left="256" w:right="0"/>
        <w:jc w:val="left"/>
        <w:rPr>
          <w:rFonts w:ascii="宋体" w:hAnsi="宋体" w:cs="宋体" w:eastAsia="宋体" w:hint="default"/>
        </w:rPr>
      </w:pPr>
      <w:r>
        <w:rPr/>
        <w:pict>
          <v:group style="position:absolute;margin-left:62.400002pt;margin-top:2.863657pt;width:443.65pt;height:.1pt;mso-position-horizontal-relative:page;mso-position-vertical-relative:paragraph;z-index:5296" coordorigin="1248,57" coordsize="8873,2">
            <v:shape style="position:absolute;left:1248;top:57;width:8873;height:2" coordorigin="1248,57" coordsize="8873,0" path="m1248,57l10120,57e" filled="false" stroked="true" strokeweight=".72pt" strokecolor="#000000">
              <v:path arrowok="t"/>
            </v:shape>
            <w10:wrap type="none"/>
          </v:group>
        </w:pict>
      </w:r>
      <w:r>
        <w:rPr/>
        <w:t>按单项计提坏账准备：</w:t>
      </w:r>
      <w:r>
        <w:rPr>
          <w:rFonts w:ascii="宋体" w:hAnsi="宋体" w:cs="宋体" w:eastAsia="宋体" w:hint="default"/>
        </w:rPr>
        <w:t> </w:t>
      </w:r>
    </w:p>
    <w:p>
      <w:pPr>
        <w:pStyle w:val="BodyText"/>
        <w:spacing w:line="273" w:lineRule="exact"/>
        <w:ind w:left="2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9"/>
          <w:szCs w:val="29"/>
        </w:rPr>
      </w:pPr>
    </w:p>
    <w:p>
      <w:pPr>
        <w:pStyle w:val="BodyText"/>
        <w:spacing w:line="240" w:lineRule="auto"/>
        <w:ind w:left="256" w:right="0"/>
        <w:jc w:val="left"/>
        <w:rPr>
          <w:rFonts w:ascii="宋体" w:hAnsi="宋体" w:cs="宋体" w:eastAsia="宋体" w:hint="default"/>
        </w:rPr>
      </w:pPr>
      <w:r>
        <w:rPr/>
        <w:pict>
          <v:group style="position:absolute;margin-left:415.869995pt;margin-top:56.543648pt;width:90.3pt;height:6.85pt;mso-position-horizontal-relative:page;mso-position-vertical-relative:paragraph;z-index:-941152" coordorigin="8317,1131" coordsize="1806,137">
            <v:shape style="position:absolute;left:8317;top:1131;width:1806;height:137" coordorigin="8317,1131" coordsize="1806,137" path="m8317,1268l10123,1268,10123,1131,8317,1131,8317,1268xe" filled="true" fillcolor="#ffffff" stroked="false">
              <v:path arrowok="t"/>
              <v:fill type="solid"/>
            </v:shape>
            <w10:wrap type="none"/>
          </v:group>
        </w:pict>
      </w: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60"/>
          <w:pgSz w:w="11910" w:h="16840"/>
          <w:pgMar w:footer="1195" w:header="0" w:top="1300" w:bottom="1380" w:left="1020" w:right="1520"/>
          <w:pgNumType w:start="113"/>
          <w:cols w:num="2" w:equalWidth="0">
            <w:col w:w="2463" w:space="3956"/>
            <w:col w:w="2951"/>
          </w:cols>
        </w:sectPr>
      </w:pPr>
    </w:p>
    <w:p>
      <w:pPr>
        <w:spacing w:line="240" w:lineRule="auto" w:before="4"/>
        <w:rPr>
          <w:rFonts w:ascii="宋体" w:hAnsi="宋体" w:cs="宋体" w:eastAsia="宋体" w:hint="default"/>
          <w:sz w:val="2"/>
          <w:szCs w:val="2"/>
        </w:rPr>
      </w:pPr>
    </w:p>
    <w:p>
      <w:pPr>
        <w:spacing w:line="20" w:lineRule="exact"/>
        <w:ind w:left="189" w:right="0" w:firstLine="0"/>
        <w:rPr>
          <w:rFonts w:ascii="宋体" w:hAnsi="宋体" w:cs="宋体" w:eastAsia="宋体" w:hint="default"/>
          <w:sz w:val="2"/>
          <w:szCs w:val="2"/>
        </w:rPr>
      </w:pPr>
      <w:r>
        <w:rPr>
          <w:rFonts w:ascii="宋体" w:hAnsi="宋体" w:cs="宋体" w:eastAsia="宋体" w:hint="default"/>
          <w:sz w:val="2"/>
          <w:szCs w:val="2"/>
        </w:rPr>
        <w:pict>
          <v:group style="width:446.15pt;height:1pt;mso-position-horizontal-relative:char;mso-position-vertical-relative:line" coordorigin="0,0" coordsize="8923,20">
            <v:group style="position:absolute;left:10;top:10;width:3004;height:2" coordorigin="10,10" coordsize="3004,2">
              <v:shape style="position:absolute;left:10;top:10;width:3004;height:2" coordorigin="10,10" coordsize="3004,0" path="m10,10l3013,10e" filled="false" stroked="true" strokeweight=".96001pt" strokecolor="#41b7ee">
                <v:path arrowok="t"/>
              </v:shape>
            </v:group>
            <v:group style="position:absolute;left:3013;top:10;width:58;height:2" coordorigin="3013,10" coordsize="58,2">
              <v:shape style="position:absolute;left:3013;top:10;width:58;height:2" coordorigin="3013,10" coordsize="58,0" path="m3013,10l3071,10e" filled="false" stroked="true" strokeweight=".96001pt" strokecolor="#41b7ee">
                <v:path arrowok="t"/>
              </v:shape>
            </v:group>
            <v:group style="position:absolute;left:3071;top:10;width:5843;height:2" coordorigin="3071,10" coordsize="5843,2">
              <v:shape style="position:absolute;left:3071;top:10;width:5843;height:2" coordorigin="3071,10" coordsize="5843,0" path="m3071,10l8913,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70" w:type="dxa"/>
        <w:tblLayout w:type="fixed"/>
        <w:tblCellMar>
          <w:top w:w="0" w:type="dxa"/>
          <w:left w:w="0" w:type="dxa"/>
          <w:bottom w:w="0" w:type="dxa"/>
          <w:right w:w="0" w:type="dxa"/>
        </w:tblCellMar>
        <w:tblLook w:val="01E0"/>
      </w:tblPr>
      <w:tblGrid>
        <w:gridCol w:w="3008"/>
        <w:gridCol w:w="1606"/>
        <w:gridCol w:w="1594"/>
        <w:gridCol w:w="886"/>
        <w:gridCol w:w="1810"/>
      </w:tblGrid>
      <w:tr>
        <w:trPr>
          <w:trHeight w:val="365" w:hRule="exact"/>
        </w:trPr>
        <w:tc>
          <w:tcPr>
            <w:tcW w:w="3008" w:type="dxa"/>
            <w:vMerge w:val="restart"/>
            <w:tcBorders>
              <w:top w:val="single" w:sz="8" w:space="0" w:color="41B7EE"/>
              <w:left w:val="nil" w:sz="6" w:space="0" w:color="auto"/>
              <w:right w:val="single" w:sz="4" w:space="0" w:color="41B7EE"/>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10"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5895" w:type="dxa"/>
            <w:gridSpan w:val="4"/>
            <w:tcBorders>
              <w:top w:val="single" w:sz="8" w:space="0" w:color="41B7EE"/>
              <w:left w:val="single" w:sz="4" w:space="0" w:color="41B7EE"/>
              <w:bottom w:val="single" w:sz="4" w:space="0" w:color="41B7EE"/>
              <w:right w:val="nil" w:sz="6" w:space="0" w:color="auto"/>
            </w:tcBorders>
          </w:tcPr>
          <w:p>
            <w:pPr>
              <w:pStyle w:val="TableParagraph"/>
              <w:spacing w:line="240" w:lineRule="auto" w:before="6"/>
              <w:ind w:left="10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3008" w:type="dxa"/>
            <w:vMerge/>
            <w:tcBorders>
              <w:left w:val="nil" w:sz="6" w:space="0" w:color="auto"/>
              <w:bottom w:val="single" w:sz="4" w:space="0" w:color="41B7EE"/>
              <w:right w:val="single" w:sz="4" w:space="0" w:color="41B7EE"/>
            </w:tcBorders>
          </w:tcPr>
          <w:p>
            <w:pPr/>
          </w:p>
        </w:tc>
        <w:tc>
          <w:tcPr>
            <w:tcW w:w="160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376"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5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36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886" w:type="dxa"/>
            <w:tcBorders>
              <w:top w:val="single" w:sz="4" w:space="0" w:color="41B7EE"/>
              <w:left w:val="single" w:sz="4" w:space="0" w:color="41B7EE"/>
              <w:bottom w:val="single" w:sz="4" w:space="0" w:color="41B7EE"/>
              <w:right w:val="single" w:sz="20" w:space="0" w:color="FFFFFF"/>
            </w:tcBorders>
          </w:tcPr>
          <w:p>
            <w:pPr>
              <w:pStyle w:val="TableParagraph"/>
              <w:spacing w:line="240" w:lineRule="exact"/>
              <w:ind w:left="69" w:right="-54" w:firstLine="52"/>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69" w:right="-54"/>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810" w:type="dxa"/>
            <w:tcBorders>
              <w:top w:val="single" w:sz="4" w:space="0" w:color="41B7EE"/>
              <w:left w:val="single" w:sz="20" w:space="0" w:color="FFFFFF"/>
              <w:bottom w:val="single" w:sz="4" w:space="0" w:color="41B7EE"/>
              <w:right w:val="nil" w:sz="6" w:space="0" w:color="auto"/>
            </w:tcBorders>
          </w:tcPr>
          <w:p>
            <w:pPr>
              <w:pStyle w:val="TableParagraph"/>
              <w:spacing w:line="240" w:lineRule="auto" w:before="102"/>
              <w:ind w:left="457" w:right="0"/>
              <w:jc w:val="left"/>
              <w:rPr>
                <w:rFonts w:ascii="宋体" w:hAnsi="宋体" w:cs="宋体" w:eastAsia="宋体" w:hint="default"/>
                <w:sz w:val="21"/>
                <w:szCs w:val="21"/>
              </w:rPr>
            </w:pPr>
            <w:r>
              <w:rPr>
                <w:rFonts w:ascii="宋体" w:hAnsi="宋体" w:cs="宋体" w:eastAsia="宋体" w:hint="default"/>
                <w:sz w:val="21"/>
                <w:szCs w:val="21"/>
              </w:rPr>
              <w:t>计提理由</w:t>
            </w:r>
            <w:r>
              <w:rPr>
                <w:rFonts w:ascii="宋体" w:hAnsi="宋体" w:cs="宋体" w:eastAsia="宋体" w:hint="default"/>
                <w:sz w:val="21"/>
                <w:szCs w:val="21"/>
              </w:rPr>
              <w:t> </w:t>
            </w:r>
          </w:p>
        </w:tc>
      </w:tr>
      <w:tr>
        <w:trPr>
          <w:trHeight w:val="358" w:hRule="exact"/>
        </w:trPr>
        <w:tc>
          <w:tcPr>
            <w:tcW w:w="300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7" w:right="0"/>
              <w:jc w:val="left"/>
              <w:rPr>
                <w:rFonts w:ascii="宋体" w:hAnsi="宋体" w:cs="宋体" w:eastAsia="宋体" w:hint="default"/>
                <w:sz w:val="21"/>
                <w:szCs w:val="21"/>
              </w:rPr>
            </w:pPr>
            <w:r>
              <w:rPr>
                <w:rFonts w:ascii="宋体" w:hAnsi="宋体" w:cs="宋体" w:eastAsia="宋体" w:hint="default"/>
                <w:sz w:val="21"/>
                <w:szCs w:val="21"/>
              </w:rPr>
              <w:t>北大荒青枫亚麻纺织有限公司</w:t>
            </w:r>
            <w:r>
              <w:rPr>
                <w:rFonts w:ascii="宋体" w:hAnsi="宋体" w:cs="宋体" w:eastAsia="宋体" w:hint="default"/>
                <w:sz w:val="21"/>
                <w:szCs w:val="21"/>
              </w:rPr>
              <w:t> </w:t>
            </w:r>
          </w:p>
        </w:tc>
        <w:tc>
          <w:tcPr>
            <w:tcW w:w="160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134,500,470.56</w:t>
            </w:r>
          </w:p>
        </w:tc>
        <w:tc>
          <w:tcPr>
            <w:tcW w:w="15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121,586,552.30</w:t>
            </w:r>
          </w:p>
        </w:tc>
        <w:tc>
          <w:tcPr>
            <w:tcW w:w="88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90.40</w:t>
            </w:r>
          </w:p>
        </w:tc>
        <w:tc>
          <w:tcPr>
            <w:tcW w:w="18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50" w:right="0"/>
              <w:jc w:val="left"/>
              <w:rPr>
                <w:rFonts w:ascii="宋体" w:hAnsi="宋体" w:cs="宋体" w:eastAsia="宋体" w:hint="default"/>
                <w:sz w:val="21"/>
                <w:szCs w:val="21"/>
              </w:rPr>
            </w:pPr>
            <w:r>
              <w:rPr>
                <w:rFonts w:ascii="宋体" w:hAnsi="宋体" w:cs="宋体" w:eastAsia="宋体" w:hint="default"/>
                <w:spacing w:val="-18"/>
                <w:sz w:val="21"/>
                <w:szCs w:val="21"/>
              </w:rPr>
              <w:t>预计部分无法收回</w:t>
            </w:r>
            <w:r>
              <w:rPr>
                <w:rFonts w:ascii="宋体" w:hAnsi="宋体" w:cs="宋体" w:eastAsia="宋体" w:hint="default"/>
                <w:sz w:val="21"/>
                <w:szCs w:val="21"/>
              </w:rPr>
              <w:t> </w:t>
            </w:r>
          </w:p>
        </w:tc>
      </w:tr>
      <w:tr>
        <w:trPr>
          <w:trHeight w:val="358" w:hRule="exact"/>
        </w:trPr>
        <w:tc>
          <w:tcPr>
            <w:tcW w:w="300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7" w:right="0"/>
              <w:jc w:val="left"/>
              <w:rPr>
                <w:rFonts w:ascii="宋体" w:hAnsi="宋体" w:cs="宋体" w:eastAsia="宋体" w:hint="default"/>
                <w:sz w:val="21"/>
                <w:szCs w:val="21"/>
              </w:rPr>
            </w:pPr>
            <w:r>
              <w:rPr>
                <w:rFonts w:ascii="宋体" w:hAnsi="宋体" w:cs="宋体" w:eastAsia="宋体" w:hint="default"/>
                <w:sz w:val="21"/>
                <w:szCs w:val="21"/>
              </w:rPr>
              <w:t>长春市嘉昌贸易有限责任公司</w:t>
            </w:r>
            <w:r>
              <w:rPr>
                <w:rFonts w:ascii="宋体" w:hAnsi="宋体" w:cs="宋体" w:eastAsia="宋体" w:hint="default"/>
                <w:sz w:val="21"/>
                <w:szCs w:val="21"/>
              </w:rPr>
              <w:t> </w:t>
            </w:r>
          </w:p>
        </w:tc>
        <w:tc>
          <w:tcPr>
            <w:tcW w:w="160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28,665,741.55</w:t>
            </w:r>
          </w:p>
        </w:tc>
        <w:tc>
          <w:tcPr>
            <w:tcW w:w="15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9"/>
              <w:jc w:val="right"/>
              <w:rPr>
                <w:rFonts w:ascii="Arial" w:hAnsi="Arial" w:cs="Arial" w:eastAsia="Arial" w:hint="default"/>
                <w:sz w:val="21"/>
                <w:szCs w:val="21"/>
              </w:rPr>
            </w:pPr>
            <w:r>
              <w:rPr>
                <w:rFonts w:ascii="Arial"/>
                <w:spacing w:val="-1"/>
                <w:sz w:val="21"/>
              </w:rPr>
              <w:t>28,665,741.55</w:t>
            </w:r>
          </w:p>
        </w:tc>
        <w:tc>
          <w:tcPr>
            <w:tcW w:w="88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8"/>
              <w:jc w:val="right"/>
              <w:rPr>
                <w:rFonts w:ascii="Arial" w:hAnsi="Arial" w:cs="Arial" w:eastAsia="Arial" w:hint="default"/>
                <w:sz w:val="21"/>
                <w:szCs w:val="21"/>
              </w:rPr>
            </w:pPr>
            <w:r>
              <w:rPr>
                <w:rFonts w:ascii="Arial"/>
                <w:sz w:val="21"/>
              </w:rPr>
              <w:t>100.00</w:t>
            </w:r>
          </w:p>
        </w:tc>
        <w:tc>
          <w:tcPr>
            <w:tcW w:w="18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50" w:right="0"/>
              <w:jc w:val="left"/>
              <w:rPr>
                <w:rFonts w:ascii="宋体" w:hAnsi="宋体" w:cs="宋体" w:eastAsia="宋体" w:hint="default"/>
                <w:sz w:val="21"/>
                <w:szCs w:val="21"/>
              </w:rPr>
            </w:pPr>
            <w:r>
              <w:rPr>
                <w:rFonts w:ascii="宋体" w:hAnsi="宋体" w:cs="宋体" w:eastAsia="宋体" w:hint="default"/>
                <w:spacing w:val="-18"/>
                <w:sz w:val="21"/>
                <w:szCs w:val="21"/>
              </w:rPr>
              <w:t>预计全部无法收回</w:t>
            </w:r>
            <w:r>
              <w:rPr>
                <w:rFonts w:ascii="宋体" w:hAnsi="宋体" w:cs="宋体" w:eastAsia="宋体" w:hint="default"/>
                <w:sz w:val="21"/>
                <w:szCs w:val="21"/>
              </w:rPr>
              <w:t> </w:t>
            </w:r>
          </w:p>
        </w:tc>
      </w:tr>
      <w:tr>
        <w:trPr>
          <w:trHeight w:val="355" w:hRule="exact"/>
        </w:trPr>
        <w:tc>
          <w:tcPr>
            <w:tcW w:w="300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57" w:right="0"/>
              <w:jc w:val="left"/>
              <w:rPr>
                <w:rFonts w:ascii="宋体" w:hAnsi="宋体" w:cs="宋体" w:eastAsia="宋体" w:hint="default"/>
                <w:sz w:val="21"/>
                <w:szCs w:val="21"/>
              </w:rPr>
            </w:pPr>
            <w:r>
              <w:rPr>
                <w:rFonts w:ascii="宋体" w:hAnsi="宋体" w:cs="宋体" w:eastAsia="宋体" w:hint="default"/>
                <w:sz w:val="21"/>
                <w:szCs w:val="21"/>
              </w:rPr>
              <w:t>沈阳锋烨兴经贸物资公司</w:t>
            </w:r>
            <w:r>
              <w:rPr>
                <w:rFonts w:ascii="宋体" w:hAnsi="宋体" w:cs="宋体" w:eastAsia="宋体" w:hint="default"/>
                <w:sz w:val="21"/>
                <w:szCs w:val="21"/>
              </w:rPr>
              <w:t> </w:t>
            </w:r>
          </w:p>
        </w:tc>
        <w:tc>
          <w:tcPr>
            <w:tcW w:w="160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16,439,366.60</w:t>
            </w:r>
          </w:p>
        </w:tc>
        <w:tc>
          <w:tcPr>
            <w:tcW w:w="15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9"/>
              <w:jc w:val="right"/>
              <w:rPr>
                <w:rFonts w:ascii="Arial" w:hAnsi="Arial" w:cs="Arial" w:eastAsia="Arial" w:hint="default"/>
                <w:sz w:val="21"/>
                <w:szCs w:val="21"/>
              </w:rPr>
            </w:pPr>
            <w:r>
              <w:rPr>
                <w:rFonts w:ascii="Arial"/>
                <w:spacing w:val="-1"/>
                <w:sz w:val="21"/>
              </w:rPr>
              <w:t>16,439,366.60</w:t>
            </w:r>
          </w:p>
        </w:tc>
        <w:tc>
          <w:tcPr>
            <w:tcW w:w="88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8"/>
              <w:jc w:val="right"/>
              <w:rPr>
                <w:rFonts w:ascii="Arial" w:hAnsi="Arial" w:cs="Arial" w:eastAsia="Arial" w:hint="default"/>
                <w:sz w:val="21"/>
                <w:szCs w:val="21"/>
              </w:rPr>
            </w:pPr>
            <w:r>
              <w:rPr>
                <w:rFonts w:ascii="Arial"/>
                <w:sz w:val="21"/>
              </w:rPr>
              <w:t>100.00</w:t>
            </w:r>
          </w:p>
        </w:tc>
        <w:tc>
          <w:tcPr>
            <w:tcW w:w="18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50" w:right="0"/>
              <w:jc w:val="left"/>
              <w:rPr>
                <w:rFonts w:ascii="宋体" w:hAnsi="宋体" w:cs="宋体" w:eastAsia="宋体" w:hint="default"/>
                <w:sz w:val="21"/>
                <w:szCs w:val="21"/>
              </w:rPr>
            </w:pPr>
            <w:r>
              <w:rPr>
                <w:rFonts w:ascii="宋体" w:hAnsi="宋体" w:cs="宋体" w:eastAsia="宋体" w:hint="default"/>
                <w:spacing w:val="-18"/>
                <w:sz w:val="21"/>
                <w:szCs w:val="21"/>
              </w:rPr>
              <w:t>预计全部无法收回</w:t>
            </w:r>
            <w:r>
              <w:rPr>
                <w:rFonts w:ascii="宋体" w:hAnsi="宋体" w:cs="宋体" w:eastAsia="宋体" w:hint="default"/>
                <w:sz w:val="21"/>
                <w:szCs w:val="21"/>
              </w:rPr>
              <w:t> </w:t>
            </w:r>
          </w:p>
        </w:tc>
      </w:tr>
      <w:tr>
        <w:trPr>
          <w:trHeight w:val="358" w:hRule="exact"/>
        </w:trPr>
        <w:tc>
          <w:tcPr>
            <w:tcW w:w="300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7" w:right="0"/>
              <w:jc w:val="left"/>
              <w:rPr>
                <w:rFonts w:ascii="宋体" w:hAnsi="宋体" w:cs="宋体" w:eastAsia="宋体" w:hint="default"/>
                <w:sz w:val="21"/>
                <w:szCs w:val="21"/>
              </w:rPr>
            </w:pPr>
            <w:r>
              <w:rPr>
                <w:rFonts w:ascii="宋体" w:hAnsi="宋体" w:cs="宋体" w:eastAsia="宋体" w:hint="default"/>
                <w:sz w:val="21"/>
                <w:szCs w:val="21"/>
              </w:rPr>
              <w:t>黑龙江龙谊麦业有限公司</w:t>
            </w:r>
            <w:r>
              <w:rPr>
                <w:rFonts w:ascii="宋体" w:hAnsi="宋体" w:cs="宋体" w:eastAsia="宋体" w:hint="default"/>
                <w:sz w:val="21"/>
                <w:szCs w:val="21"/>
              </w:rPr>
              <w:t> </w:t>
            </w:r>
          </w:p>
        </w:tc>
        <w:tc>
          <w:tcPr>
            <w:tcW w:w="160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48"/>
              <w:jc w:val="right"/>
              <w:rPr>
                <w:rFonts w:ascii="Arial" w:hAnsi="Arial" w:cs="Arial" w:eastAsia="Arial" w:hint="default"/>
                <w:sz w:val="21"/>
                <w:szCs w:val="21"/>
              </w:rPr>
            </w:pPr>
            <w:r>
              <w:rPr>
                <w:rFonts w:ascii="Arial"/>
                <w:spacing w:val="-1"/>
                <w:sz w:val="21"/>
              </w:rPr>
              <w:t>11,980,177.90</w:t>
            </w:r>
          </w:p>
        </w:tc>
        <w:tc>
          <w:tcPr>
            <w:tcW w:w="15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49"/>
              <w:jc w:val="right"/>
              <w:rPr>
                <w:rFonts w:ascii="Arial" w:hAnsi="Arial" w:cs="Arial" w:eastAsia="Arial" w:hint="default"/>
                <w:sz w:val="21"/>
                <w:szCs w:val="21"/>
              </w:rPr>
            </w:pPr>
            <w:r>
              <w:rPr>
                <w:rFonts w:ascii="Arial"/>
                <w:spacing w:val="-1"/>
                <w:sz w:val="21"/>
              </w:rPr>
              <w:t>11,980,177.90</w:t>
            </w:r>
          </w:p>
        </w:tc>
        <w:tc>
          <w:tcPr>
            <w:tcW w:w="88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48"/>
              <w:jc w:val="right"/>
              <w:rPr>
                <w:rFonts w:ascii="Arial" w:hAnsi="Arial" w:cs="Arial" w:eastAsia="Arial" w:hint="default"/>
                <w:sz w:val="21"/>
                <w:szCs w:val="21"/>
              </w:rPr>
            </w:pPr>
            <w:r>
              <w:rPr>
                <w:rFonts w:ascii="Arial"/>
                <w:sz w:val="21"/>
              </w:rPr>
              <w:t>100.00</w:t>
            </w:r>
          </w:p>
        </w:tc>
        <w:tc>
          <w:tcPr>
            <w:tcW w:w="18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50" w:right="0"/>
              <w:jc w:val="left"/>
              <w:rPr>
                <w:rFonts w:ascii="宋体" w:hAnsi="宋体" w:cs="宋体" w:eastAsia="宋体" w:hint="default"/>
                <w:sz w:val="21"/>
                <w:szCs w:val="21"/>
              </w:rPr>
            </w:pPr>
            <w:r>
              <w:rPr>
                <w:rFonts w:ascii="宋体" w:hAnsi="宋体" w:cs="宋体" w:eastAsia="宋体" w:hint="default"/>
                <w:spacing w:val="-18"/>
                <w:sz w:val="21"/>
                <w:szCs w:val="21"/>
              </w:rPr>
              <w:t>预计全部无法收回</w:t>
            </w:r>
            <w:r>
              <w:rPr>
                <w:rFonts w:ascii="宋体" w:hAnsi="宋体" w:cs="宋体" w:eastAsia="宋体" w:hint="default"/>
                <w:sz w:val="21"/>
                <w:szCs w:val="21"/>
              </w:rPr>
              <w:t> </w:t>
            </w:r>
          </w:p>
        </w:tc>
      </w:tr>
      <w:tr>
        <w:trPr>
          <w:trHeight w:val="358" w:hRule="exact"/>
        </w:trPr>
        <w:tc>
          <w:tcPr>
            <w:tcW w:w="300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7" w:right="0"/>
              <w:jc w:val="left"/>
              <w:rPr>
                <w:rFonts w:ascii="宋体" w:hAnsi="宋体" w:cs="宋体" w:eastAsia="宋体" w:hint="default"/>
                <w:sz w:val="21"/>
                <w:szCs w:val="21"/>
              </w:rPr>
            </w:pPr>
            <w:r>
              <w:rPr>
                <w:rFonts w:ascii="宋体" w:hAnsi="宋体" w:cs="宋体" w:eastAsia="宋体" w:hint="default"/>
                <w:sz w:val="21"/>
                <w:szCs w:val="21"/>
              </w:rPr>
              <w:t>黑龙江农垦宏信有限公司一部</w:t>
            </w:r>
            <w:r>
              <w:rPr>
                <w:rFonts w:ascii="宋体" w:hAnsi="宋体" w:cs="宋体" w:eastAsia="宋体" w:hint="default"/>
                <w:sz w:val="21"/>
                <w:szCs w:val="21"/>
              </w:rPr>
              <w:t> </w:t>
            </w:r>
          </w:p>
        </w:tc>
        <w:tc>
          <w:tcPr>
            <w:tcW w:w="160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11,850,141.97</w:t>
            </w:r>
          </w:p>
        </w:tc>
        <w:tc>
          <w:tcPr>
            <w:tcW w:w="15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9"/>
              <w:jc w:val="right"/>
              <w:rPr>
                <w:rFonts w:ascii="Arial" w:hAnsi="Arial" w:cs="Arial" w:eastAsia="Arial" w:hint="default"/>
                <w:sz w:val="21"/>
                <w:szCs w:val="21"/>
              </w:rPr>
            </w:pPr>
            <w:r>
              <w:rPr>
                <w:rFonts w:ascii="Arial"/>
                <w:spacing w:val="-1"/>
                <w:sz w:val="21"/>
              </w:rPr>
              <w:t>11,850,141.97</w:t>
            </w:r>
          </w:p>
        </w:tc>
        <w:tc>
          <w:tcPr>
            <w:tcW w:w="88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8"/>
              <w:jc w:val="right"/>
              <w:rPr>
                <w:rFonts w:ascii="Arial" w:hAnsi="Arial" w:cs="Arial" w:eastAsia="Arial" w:hint="default"/>
                <w:sz w:val="21"/>
                <w:szCs w:val="21"/>
              </w:rPr>
            </w:pPr>
            <w:r>
              <w:rPr>
                <w:rFonts w:ascii="Arial"/>
                <w:sz w:val="21"/>
              </w:rPr>
              <w:t>100.00</w:t>
            </w:r>
          </w:p>
        </w:tc>
        <w:tc>
          <w:tcPr>
            <w:tcW w:w="18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50" w:right="0"/>
              <w:jc w:val="left"/>
              <w:rPr>
                <w:rFonts w:ascii="宋体" w:hAnsi="宋体" w:cs="宋体" w:eastAsia="宋体" w:hint="default"/>
                <w:sz w:val="21"/>
                <w:szCs w:val="21"/>
              </w:rPr>
            </w:pPr>
            <w:r>
              <w:rPr>
                <w:rFonts w:ascii="宋体" w:hAnsi="宋体" w:cs="宋体" w:eastAsia="宋体" w:hint="default"/>
                <w:spacing w:val="-18"/>
                <w:sz w:val="21"/>
                <w:szCs w:val="21"/>
              </w:rPr>
              <w:t>预计全部无法收回</w:t>
            </w:r>
            <w:r>
              <w:rPr>
                <w:rFonts w:ascii="宋体" w:hAnsi="宋体" w:cs="宋体" w:eastAsia="宋体" w:hint="default"/>
                <w:sz w:val="21"/>
                <w:szCs w:val="21"/>
              </w:rPr>
              <w:t> </w:t>
            </w:r>
          </w:p>
        </w:tc>
      </w:tr>
      <w:tr>
        <w:trPr>
          <w:trHeight w:val="358" w:hRule="exact"/>
        </w:trPr>
        <w:tc>
          <w:tcPr>
            <w:tcW w:w="300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5"/>
              <w:ind w:left="57" w:right="0"/>
              <w:jc w:val="left"/>
              <w:rPr>
                <w:rFonts w:ascii="宋体" w:hAnsi="宋体" w:cs="宋体" w:eastAsia="宋体" w:hint="default"/>
                <w:sz w:val="21"/>
                <w:szCs w:val="21"/>
              </w:rPr>
            </w:pPr>
            <w:r>
              <w:rPr>
                <w:rFonts w:ascii="宋体" w:hAnsi="宋体" w:cs="宋体" w:eastAsia="宋体" w:hint="default"/>
                <w:spacing w:val="-18"/>
                <w:sz w:val="21"/>
                <w:szCs w:val="21"/>
              </w:rPr>
              <w:t>大庆高新区新金雨经贸有限公司</w:t>
            </w:r>
            <w:r>
              <w:rPr>
                <w:rFonts w:ascii="宋体" w:hAnsi="宋体" w:cs="宋体" w:eastAsia="宋体" w:hint="default"/>
                <w:sz w:val="21"/>
                <w:szCs w:val="21"/>
              </w:rPr>
              <w:t> </w:t>
            </w:r>
          </w:p>
        </w:tc>
        <w:tc>
          <w:tcPr>
            <w:tcW w:w="160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10,181,491.35</w:t>
            </w:r>
          </w:p>
        </w:tc>
        <w:tc>
          <w:tcPr>
            <w:tcW w:w="15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9"/>
              <w:jc w:val="right"/>
              <w:rPr>
                <w:rFonts w:ascii="Arial" w:hAnsi="Arial" w:cs="Arial" w:eastAsia="Arial" w:hint="default"/>
                <w:sz w:val="21"/>
                <w:szCs w:val="21"/>
              </w:rPr>
            </w:pPr>
            <w:r>
              <w:rPr>
                <w:rFonts w:ascii="Arial"/>
                <w:spacing w:val="-1"/>
                <w:sz w:val="21"/>
              </w:rPr>
              <w:t>10,181,491.35</w:t>
            </w:r>
          </w:p>
        </w:tc>
        <w:tc>
          <w:tcPr>
            <w:tcW w:w="88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8"/>
              <w:jc w:val="right"/>
              <w:rPr>
                <w:rFonts w:ascii="Arial" w:hAnsi="Arial" w:cs="Arial" w:eastAsia="Arial" w:hint="default"/>
                <w:sz w:val="21"/>
                <w:szCs w:val="21"/>
              </w:rPr>
            </w:pPr>
            <w:r>
              <w:rPr>
                <w:rFonts w:ascii="Arial"/>
                <w:sz w:val="21"/>
              </w:rPr>
              <w:t>100.00</w:t>
            </w:r>
          </w:p>
        </w:tc>
        <w:tc>
          <w:tcPr>
            <w:tcW w:w="18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
              <w:ind w:left="50" w:right="0"/>
              <w:jc w:val="left"/>
              <w:rPr>
                <w:rFonts w:ascii="宋体" w:hAnsi="宋体" w:cs="宋体" w:eastAsia="宋体" w:hint="default"/>
                <w:sz w:val="21"/>
                <w:szCs w:val="21"/>
              </w:rPr>
            </w:pPr>
            <w:r>
              <w:rPr>
                <w:rFonts w:ascii="宋体" w:hAnsi="宋体" w:cs="宋体" w:eastAsia="宋体" w:hint="default"/>
                <w:spacing w:val="-18"/>
                <w:sz w:val="21"/>
                <w:szCs w:val="21"/>
              </w:rPr>
              <w:t>预计全部无法收回</w:t>
            </w:r>
            <w:r>
              <w:rPr>
                <w:rFonts w:ascii="宋体" w:hAnsi="宋体" w:cs="宋体" w:eastAsia="宋体" w:hint="default"/>
                <w:sz w:val="21"/>
                <w:szCs w:val="21"/>
              </w:rPr>
              <w:t> </w:t>
            </w:r>
          </w:p>
        </w:tc>
      </w:tr>
      <w:tr>
        <w:trPr>
          <w:trHeight w:val="355" w:hRule="exact"/>
        </w:trPr>
        <w:tc>
          <w:tcPr>
            <w:tcW w:w="300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57" w:right="0"/>
              <w:jc w:val="left"/>
              <w:rPr>
                <w:rFonts w:ascii="宋体" w:hAnsi="宋体" w:cs="宋体" w:eastAsia="宋体" w:hint="default"/>
                <w:sz w:val="21"/>
                <w:szCs w:val="21"/>
              </w:rPr>
            </w:pPr>
            <w:r>
              <w:rPr>
                <w:rFonts w:ascii="宋体" w:hAnsi="宋体" w:cs="宋体" w:eastAsia="宋体" w:hint="default"/>
                <w:sz w:val="21"/>
                <w:szCs w:val="21"/>
              </w:rPr>
              <w:t>辽宁华信石油化工有限公司</w:t>
            </w:r>
            <w:r>
              <w:rPr>
                <w:rFonts w:ascii="宋体" w:hAnsi="宋体" w:cs="宋体" w:eastAsia="宋体" w:hint="default"/>
                <w:sz w:val="21"/>
                <w:szCs w:val="21"/>
              </w:rPr>
              <w:t> </w:t>
            </w:r>
          </w:p>
        </w:tc>
        <w:tc>
          <w:tcPr>
            <w:tcW w:w="160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8,852,897.34</w:t>
            </w:r>
          </w:p>
        </w:tc>
        <w:tc>
          <w:tcPr>
            <w:tcW w:w="15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9"/>
              <w:jc w:val="right"/>
              <w:rPr>
                <w:rFonts w:ascii="Arial" w:hAnsi="Arial" w:cs="Arial" w:eastAsia="Arial" w:hint="default"/>
                <w:sz w:val="21"/>
                <w:szCs w:val="21"/>
              </w:rPr>
            </w:pPr>
            <w:r>
              <w:rPr>
                <w:rFonts w:ascii="Arial"/>
                <w:spacing w:val="-1"/>
                <w:sz w:val="21"/>
              </w:rPr>
              <w:t>8,852,897.34</w:t>
            </w:r>
          </w:p>
        </w:tc>
        <w:tc>
          <w:tcPr>
            <w:tcW w:w="88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8"/>
              <w:jc w:val="right"/>
              <w:rPr>
                <w:rFonts w:ascii="Arial" w:hAnsi="Arial" w:cs="Arial" w:eastAsia="Arial" w:hint="default"/>
                <w:sz w:val="21"/>
                <w:szCs w:val="21"/>
              </w:rPr>
            </w:pPr>
            <w:r>
              <w:rPr>
                <w:rFonts w:ascii="Arial"/>
                <w:sz w:val="21"/>
              </w:rPr>
              <w:t>100.00</w:t>
            </w:r>
          </w:p>
        </w:tc>
        <w:tc>
          <w:tcPr>
            <w:tcW w:w="18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50" w:right="0"/>
              <w:jc w:val="left"/>
              <w:rPr>
                <w:rFonts w:ascii="宋体" w:hAnsi="宋体" w:cs="宋体" w:eastAsia="宋体" w:hint="default"/>
                <w:sz w:val="21"/>
                <w:szCs w:val="21"/>
              </w:rPr>
            </w:pPr>
            <w:r>
              <w:rPr>
                <w:rFonts w:ascii="宋体" w:hAnsi="宋体" w:cs="宋体" w:eastAsia="宋体" w:hint="default"/>
                <w:spacing w:val="-18"/>
                <w:sz w:val="21"/>
                <w:szCs w:val="21"/>
              </w:rPr>
              <w:t>预计全部无法收回</w:t>
            </w:r>
            <w:r>
              <w:rPr>
                <w:rFonts w:ascii="宋体" w:hAnsi="宋体" w:cs="宋体" w:eastAsia="宋体" w:hint="default"/>
                <w:sz w:val="21"/>
                <w:szCs w:val="21"/>
              </w:rPr>
              <w:t> </w:t>
            </w:r>
          </w:p>
        </w:tc>
      </w:tr>
      <w:tr>
        <w:trPr>
          <w:trHeight w:val="358" w:hRule="exact"/>
        </w:trPr>
        <w:tc>
          <w:tcPr>
            <w:tcW w:w="300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7" w:right="0"/>
              <w:jc w:val="left"/>
              <w:rPr>
                <w:rFonts w:ascii="宋体" w:hAnsi="宋体" w:cs="宋体" w:eastAsia="宋体" w:hint="default"/>
                <w:sz w:val="21"/>
                <w:szCs w:val="21"/>
              </w:rPr>
            </w:pPr>
            <w:r>
              <w:rPr>
                <w:rFonts w:ascii="宋体" w:hAnsi="宋体" w:cs="宋体" w:eastAsia="宋体" w:hint="default"/>
                <w:sz w:val="21"/>
                <w:szCs w:val="21"/>
              </w:rPr>
              <w:t>黑龙江岁宝热电有限公司</w:t>
            </w:r>
            <w:r>
              <w:rPr>
                <w:rFonts w:ascii="宋体" w:hAnsi="宋体" w:cs="宋体" w:eastAsia="宋体" w:hint="default"/>
                <w:sz w:val="21"/>
                <w:szCs w:val="21"/>
              </w:rPr>
              <w:t> </w:t>
            </w:r>
          </w:p>
        </w:tc>
        <w:tc>
          <w:tcPr>
            <w:tcW w:w="160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48"/>
              <w:jc w:val="right"/>
              <w:rPr>
                <w:rFonts w:ascii="Arial" w:hAnsi="Arial" w:cs="Arial" w:eastAsia="Arial" w:hint="default"/>
                <w:sz w:val="21"/>
                <w:szCs w:val="21"/>
              </w:rPr>
            </w:pPr>
            <w:r>
              <w:rPr>
                <w:rFonts w:ascii="Arial"/>
                <w:spacing w:val="-1"/>
                <w:sz w:val="21"/>
              </w:rPr>
              <w:t>8,266,882.94</w:t>
            </w:r>
          </w:p>
        </w:tc>
        <w:tc>
          <w:tcPr>
            <w:tcW w:w="15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49"/>
              <w:jc w:val="right"/>
              <w:rPr>
                <w:rFonts w:ascii="Arial" w:hAnsi="Arial" w:cs="Arial" w:eastAsia="Arial" w:hint="default"/>
                <w:sz w:val="21"/>
                <w:szCs w:val="21"/>
              </w:rPr>
            </w:pPr>
            <w:r>
              <w:rPr>
                <w:rFonts w:ascii="Arial"/>
                <w:spacing w:val="-1"/>
                <w:sz w:val="21"/>
              </w:rPr>
              <w:t>8,266,882.94</w:t>
            </w:r>
          </w:p>
        </w:tc>
        <w:tc>
          <w:tcPr>
            <w:tcW w:w="88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48"/>
              <w:jc w:val="right"/>
              <w:rPr>
                <w:rFonts w:ascii="Arial" w:hAnsi="Arial" w:cs="Arial" w:eastAsia="Arial" w:hint="default"/>
                <w:sz w:val="21"/>
                <w:szCs w:val="21"/>
              </w:rPr>
            </w:pPr>
            <w:r>
              <w:rPr>
                <w:rFonts w:ascii="Arial"/>
                <w:sz w:val="21"/>
              </w:rPr>
              <w:t>100.00</w:t>
            </w:r>
          </w:p>
        </w:tc>
        <w:tc>
          <w:tcPr>
            <w:tcW w:w="18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50" w:right="0"/>
              <w:jc w:val="left"/>
              <w:rPr>
                <w:rFonts w:ascii="宋体" w:hAnsi="宋体" w:cs="宋体" w:eastAsia="宋体" w:hint="default"/>
                <w:sz w:val="21"/>
                <w:szCs w:val="21"/>
              </w:rPr>
            </w:pPr>
            <w:r>
              <w:rPr>
                <w:rFonts w:ascii="宋体" w:hAnsi="宋体" w:cs="宋体" w:eastAsia="宋体" w:hint="default"/>
                <w:spacing w:val="-18"/>
                <w:sz w:val="21"/>
                <w:szCs w:val="21"/>
              </w:rPr>
              <w:t>预计全部无法收回</w:t>
            </w:r>
            <w:r>
              <w:rPr>
                <w:rFonts w:ascii="宋体" w:hAnsi="宋体" w:cs="宋体" w:eastAsia="宋体" w:hint="default"/>
                <w:sz w:val="21"/>
                <w:szCs w:val="21"/>
              </w:rPr>
              <w:t> </w:t>
            </w:r>
          </w:p>
        </w:tc>
      </w:tr>
      <w:tr>
        <w:trPr>
          <w:trHeight w:val="554" w:hRule="exact"/>
        </w:trPr>
        <w:tc>
          <w:tcPr>
            <w:tcW w:w="3008" w:type="dxa"/>
            <w:tcBorders>
              <w:top w:val="single" w:sz="4" w:space="0" w:color="41B7EE"/>
              <w:left w:val="nil" w:sz="6" w:space="0" w:color="auto"/>
              <w:bottom w:val="single" w:sz="4" w:space="0" w:color="41B7EE"/>
              <w:right w:val="single" w:sz="4" w:space="0" w:color="41B7EE"/>
            </w:tcBorders>
          </w:tcPr>
          <w:p>
            <w:pPr>
              <w:pStyle w:val="TableParagraph"/>
              <w:spacing w:line="240" w:lineRule="exact"/>
              <w:ind w:left="57" w:right="0"/>
              <w:jc w:val="left"/>
              <w:rPr>
                <w:rFonts w:ascii="宋体" w:hAnsi="宋体" w:cs="宋体" w:eastAsia="宋体" w:hint="default"/>
                <w:sz w:val="21"/>
                <w:szCs w:val="21"/>
              </w:rPr>
            </w:pPr>
            <w:r>
              <w:rPr>
                <w:rFonts w:ascii="宋体" w:hAnsi="宋体" w:cs="宋体" w:eastAsia="宋体" w:hint="default"/>
                <w:sz w:val="21"/>
                <w:szCs w:val="21"/>
              </w:rPr>
              <w:t>黑龙江北大荒农垦集团农业生</w:t>
            </w:r>
          </w:p>
          <w:p>
            <w:pPr>
              <w:pStyle w:val="TableParagraph"/>
              <w:spacing w:line="274" w:lineRule="exact"/>
              <w:ind w:left="57" w:right="0"/>
              <w:jc w:val="left"/>
              <w:rPr>
                <w:rFonts w:ascii="宋体" w:hAnsi="宋体" w:cs="宋体" w:eastAsia="宋体" w:hint="default"/>
                <w:sz w:val="21"/>
                <w:szCs w:val="21"/>
              </w:rPr>
            </w:pPr>
            <w:r>
              <w:rPr>
                <w:rFonts w:ascii="宋体" w:hAnsi="宋体" w:cs="宋体" w:eastAsia="宋体" w:hint="default"/>
                <w:sz w:val="21"/>
                <w:szCs w:val="21"/>
              </w:rPr>
              <w:t>产资料有限公司</w:t>
            </w:r>
            <w:r>
              <w:rPr>
                <w:rFonts w:ascii="宋体" w:hAnsi="宋体" w:cs="宋体" w:eastAsia="宋体" w:hint="default"/>
                <w:sz w:val="21"/>
                <w:szCs w:val="21"/>
              </w:rPr>
              <w:t> </w:t>
            </w:r>
          </w:p>
        </w:tc>
        <w:tc>
          <w:tcPr>
            <w:tcW w:w="160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48"/>
              <w:jc w:val="right"/>
              <w:rPr>
                <w:rFonts w:ascii="Arial" w:hAnsi="Arial" w:cs="Arial" w:eastAsia="Arial" w:hint="default"/>
                <w:sz w:val="21"/>
                <w:szCs w:val="21"/>
              </w:rPr>
            </w:pPr>
            <w:r>
              <w:rPr>
                <w:rFonts w:ascii="Arial"/>
                <w:spacing w:val="-1"/>
                <w:sz w:val="21"/>
              </w:rPr>
              <w:t>7,722,748.00</w:t>
            </w:r>
          </w:p>
        </w:tc>
        <w:tc>
          <w:tcPr>
            <w:tcW w:w="15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49"/>
              <w:jc w:val="right"/>
              <w:rPr>
                <w:rFonts w:ascii="Arial" w:hAnsi="Arial" w:cs="Arial" w:eastAsia="Arial" w:hint="default"/>
                <w:sz w:val="21"/>
                <w:szCs w:val="21"/>
              </w:rPr>
            </w:pPr>
            <w:r>
              <w:rPr>
                <w:rFonts w:ascii="Arial"/>
                <w:spacing w:val="-1"/>
                <w:sz w:val="21"/>
              </w:rPr>
              <w:t>7,722,748.00</w:t>
            </w:r>
          </w:p>
        </w:tc>
        <w:tc>
          <w:tcPr>
            <w:tcW w:w="88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48"/>
              <w:jc w:val="right"/>
              <w:rPr>
                <w:rFonts w:ascii="Arial" w:hAnsi="Arial" w:cs="Arial" w:eastAsia="Arial" w:hint="default"/>
                <w:sz w:val="21"/>
                <w:szCs w:val="21"/>
              </w:rPr>
            </w:pPr>
            <w:r>
              <w:rPr>
                <w:rFonts w:ascii="Arial"/>
                <w:sz w:val="21"/>
              </w:rPr>
              <w:t>100.00</w:t>
            </w:r>
          </w:p>
        </w:tc>
        <w:tc>
          <w:tcPr>
            <w:tcW w:w="18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02"/>
              <w:ind w:left="50" w:right="0"/>
              <w:jc w:val="left"/>
              <w:rPr>
                <w:rFonts w:ascii="宋体" w:hAnsi="宋体" w:cs="宋体" w:eastAsia="宋体" w:hint="default"/>
                <w:sz w:val="21"/>
                <w:szCs w:val="21"/>
              </w:rPr>
            </w:pPr>
            <w:r>
              <w:rPr>
                <w:rFonts w:ascii="宋体" w:hAnsi="宋体" w:cs="宋体" w:eastAsia="宋体" w:hint="default"/>
                <w:spacing w:val="-18"/>
                <w:sz w:val="21"/>
                <w:szCs w:val="21"/>
              </w:rPr>
              <w:t>预计全部无法收回</w:t>
            </w:r>
            <w:r>
              <w:rPr>
                <w:rFonts w:ascii="宋体" w:hAnsi="宋体" w:cs="宋体" w:eastAsia="宋体" w:hint="default"/>
                <w:sz w:val="21"/>
                <w:szCs w:val="21"/>
              </w:rPr>
              <w:t> </w:t>
            </w:r>
          </w:p>
        </w:tc>
      </w:tr>
      <w:tr>
        <w:trPr>
          <w:trHeight w:val="358" w:hRule="exact"/>
        </w:trPr>
        <w:tc>
          <w:tcPr>
            <w:tcW w:w="300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7" w:right="0"/>
              <w:jc w:val="left"/>
              <w:rPr>
                <w:rFonts w:ascii="宋体" w:hAnsi="宋体" w:cs="宋体" w:eastAsia="宋体" w:hint="default"/>
                <w:sz w:val="21"/>
                <w:szCs w:val="21"/>
              </w:rPr>
            </w:pPr>
            <w:r>
              <w:rPr>
                <w:rFonts w:ascii="宋体" w:hAnsi="宋体" w:cs="宋体" w:eastAsia="宋体" w:hint="default"/>
                <w:sz w:val="21"/>
                <w:szCs w:val="21"/>
              </w:rPr>
              <w:t>佳木斯华原农资有限公司一部</w:t>
            </w:r>
            <w:r>
              <w:rPr>
                <w:rFonts w:ascii="宋体" w:hAnsi="宋体" w:cs="宋体" w:eastAsia="宋体" w:hint="default"/>
                <w:sz w:val="21"/>
                <w:szCs w:val="21"/>
              </w:rPr>
              <w:t> </w:t>
            </w:r>
          </w:p>
        </w:tc>
        <w:tc>
          <w:tcPr>
            <w:tcW w:w="160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5,175,000.00</w:t>
            </w:r>
          </w:p>
        </w:tc>
        <w:tc>
          <w:tcPr>
            <w:tcW w:w="15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9"/>
              <w:jc w:val="right"/>
              <w:rPr>
                <w:rFonts w:ascii="Arial" w:hAnsi="Arial" w:cs="Arial" w:eastAsia="Arial" w:hint="default"/>
                <w:sz w:val="21"/>
                <w:szCs w:val="21"/>
              </w:rPr>
            </w:pPr>
            <w:r>
              <w:rPr>
                <w:rFonts w:ascii="Arial"/>
                <w:spacing w:val="-1"/>
                <w:sz w:val="21"/>
              </w:rPr>
              <w:t>5,175,000.00</w:t>
            </w:r>
          </w:p>
        </w:tc>
        <w:tc>
          <w:tcPr>
            <w:tcW w:w="88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8"/>
              <w:jc w:val="right"/>
              <w:rPr>
                <w:rFonts w:ascii="Arial" w:hAnsi="Arial" w:cs="Arial" w:eastAsia="Arial" w:hint="default"/>
                <w:sz w:val="21"/>
                <w:szCs w:val="21"/>
              </w:rPr>
            </w:pPr>
            <w:r>
              <w:rPr>
                <w:rFonts w:ascii="Arial"/>
                <w:sz w:val="21"/>
              </w:rPr>
              <w:t>100.00</w:t>
            </w:r>
          </w:p>
        </w:tc>
        <w:tc>
          <w:tcPr>
            <w:tcW w:w="18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50" w:right="0"/>
              <w:jc w:val="left"/>
              <w:rPr>
                <w:rFonts w:ascii="宋体" w:hAnsi="宋体" w:cs="宋体" w:eastAsia="宋体" w:hint="default"/>
                <w:sz w:val="21"/>
                <w:szCs w:val="21"/>
              </w:rPr>
            </w:pPr>
            <w:r>
              <w:rPr>
                <w:rFonts w:ascii="宋体" w:hAnsi="宋体" w:cs="宋体" w:eastAsia="宋体" w:hint="default"/>
                <w:spacing w:val="-18"/>
                <w:sz w:val="21"/>
                <w:szCs w:val="21"/>
              </w:rPr>
              <w:t>预计全部无法收回</w:t>
            </w:r>
            <w:r>
              <w:rPr>
                <w:rFonts w:ascii="宋体" w:hAnsi="宋体" w:cs="宋体" w:eastAsia="宋体" w:hint="default"/>
                <w:sz w:val="21"/>
                <w:szCs w:val="21"/>
              </w:rPr>
              <w:t> </w:t>
            </w:r>
          </w:p>
        </w:tc>
      </w:tr>
      <w:tr>
        <w:trPr>
          <w:trHeight w:val="358" w:hRule="exact"/>
        </w:trPr>
        <w:tc>
          <w:tcPr>
            <w:tcW w:w="300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7" w:right="0"/>
              <w:jc w:val="left"/>
              <w:rPr>
                <w:rFonts w:ascii="宋体" w:hAnsi="宋体" w:cs="宋体" w:eastAsia="宋体" w:hint="default"/>
                <w:sz w:val="21"/>
                <w:szCs w:val="21"/>
              </w:rPr>
            </w:pPr>
            <w:r>
              <w:rPr>
                <w:rFonts w:ascii="宋体" w:hAnsi="宋体" w:cs="宋体" w:eastAsia="宋体" w:hint="default"/>
                <w:sz w:val="21"/>
                <w:szCs w:val="21"/>
              </w:rPr>
              <w:t>单项不重大应收款项</w:t>
            </w:r>
            <w:r>
              <w:rPr>
                <w:rFonts w:ascii="宋体" w:hAnsi="宋体" w:cs="宋体" w:eastAsia="宋体" w:hint="default"/>
                <w:sz w:val="21"/>
                <w:szCs w:val="21"/>
              </w:rPr>
              <w:t> </w:t>
            </w:r>
          </w:p>
        </w:tc>
        <w:tc>
          <w:tcPr>
            <w:tcW w:w="160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75,895,600.45</w:t>
            </w:r>
          </w:p>
        </w:tc>
        <w:tc>
          <w:tcPr>
            <w:tcW w:w="15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9"/>
              <w:jc w:val="right"/>
              <w:rPr>
                <w:rFonts w:ascii="Arial" w:hAnsi="Arial" w:cs="Arial" w:eastAsia="Arial" w:hint="default"/>
                <w:sz w:val="21"/>
                <w:szCs w:val="21"/>
              </w:rPr>
            </w:pPr>
            <w:r>
              <w:rPr>
                <w:rFonts w:ascii="Arial"/>
                <w:spacing w:val="-1"/>
                <w:sz w:val="21"/>
              </w:rPr>
              <w:t>75,895,600.45</w:t>
            </w:r>
          </w:p>
        </w:tc>
        <w:tc>
          <w:tcPr>
            <w:tcW w:w="88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8"/>
              <w:jc w:val="right"/>
              <w:rPr>
                <w:rFonts w:ascii="Arial" w:hAnsi="Arial" w:cs="Arial" w:eastAsia="Arial" w:hint="default"/>
                <w:sz w:val="21"/>
                <w:szCs w:val="21"/>
              </w:rPr>
            </w:pPr>
            <w:r>
              <w:rPr>
                <w:rFonts w:ascii="Arial"/>
                <w:sz w:val="21"/>
              </w:rPr>
              <w:t>100.00</w:t>
            </w:r>
          </w:p>
        </w:tc>
        <w:tc>
          <w:tcPr>
            <w:tcW w:w="18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50" w:right="0"/>
              <w:jc w:val="left"/>
              <w:rPr>
                <w:rFonts w:ascii="宋体" w:hAnsi="宋体" w:cs="宋体" w:eastAsia="宋体" w:hint="default"/>
                <w:sz w:val="21"/>
                <w:szCs w:val="21"/>
              </w:rPr>
            </w:pPr>
            <w:r>
              <w:rPr>
                <w:rFonts w:ascii="宋体" w:hAnsi="宋体" w:cs="宋体" w:eastAsia="宋体" w:hint="default"/>
                <w:spacing w:val="-18"/>
                <w:sz w:val="21"/>
                <w:szCs w:val="21"/>
              </w:rPr>
              <w:t>预计全部无法收回</w:t>
            </w:r>
            <w:r>
              <w:rPr>
                <w:rFonts w:ascii="宋体" w:hAnsi="宋体" w:cs="宋体" w:eastAsia="宋体" w:hint="default"/>
                <w:sz w:val="21"/>
                <w:szCs w:val="21"/>
              </w:rPr>
              <w:t> </w:t>
            </w:r>
          </w:p>
        </w:tc>
      </w:tr>
      <w:tr>
        <w:trPr>
          <w:trHeight w:val="384" w:hRule="exact"/>
        </w:trPr>
        <w:tc>
          <w:tcPr>
            <w:tcW w:w="3008"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2"/>
              <w:ind w:left="11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06"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319,530,518.66</w:t>
            </w:r>
          </w:p>
        </w:tc>
        <w:tc>
          <w:tcPr>
            <w:tcW w:w="1594"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306,616,600.40</w:t>
            </w:r>
          </w:p>
        </w:tc>
        <w:tc>
          <w:tcPr>
            <w:tcW w:w="886"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95.96</w:t>
            </w:r>
          </w:p>
        </w:tc>
        <w:tc>
          <w:tcPr>
            <w:tcW w:w="1810"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2"/>
              <w:ind w:left="96" w:right="0"/>
              <w:jc w:val="center"/>
              <w:rPr>
                <w:rFonts w:ascii="宋体" w:hAnsi="宋体" w:cs="宋体" w:eastAsia="宋体" w:hint="default"/>
                <w:sz w:val="21"/>
                <w:szCs w:val="21"/>
              </w:rPr>
            </w:pPr>
            <w:r>
              <w:rPr>
                <w:rFonts w:ascii="宋体"/>
                <w:sz w:val="21"/>
              </w:rPr>
              <w:t>/ </w:t>
            </w:r>
          </w:p>
        </w:tc>
      </w:tr>
    </w:tbl>
    <w:p>
      <w:pPr>
        <w:spacing w:after="0" w:line="240" w:lineRule="auto"/>
        <w:jc w:val="center"/>
        <w:rPr>
          <w:rFonts w:ascii="宋体" w:hAnsi="宋体" w:cs="宋体" w:eastAsia="宋体" w:hint="default"/>
          <w:sz w:val="21"/>
          <w:szCs w:val="21"/>
        </w:rPr>
        <w:sectPr>
          <w:type w:val="continuous"/>
          <w:pgSz w:w="11910" w:h="16840"/>
          <w:pgMar w:top="1360" w:bottom="1380" w:left="1020" w:right="1520"/>
        </w:sectPr>
      </w:pPr>
    </w:p>
    <w:p>
      <w:pPr>
        <w:pStyle w:val="BodyText"/>
        <w:spacing w:line="257" w:lineRule="exact"/>
        <w:ind w:left="256" w:right="0"/>
        <w:jc w:val="left"/>
        <w:rPr>
          <w:rFonts w:ascii="宋体" w:hAnsi="宋体" w:cs="宋体" w:eastAsia="宋体" w:hint="default"/>
        </w:rPr>
      </w:pPr>
      <w:r>
        <w:rPr/>
        <w:t>按组合计提坏账准备：</w:t>
      </w:r>
      <w:r>
        <w:rPr>
          <w:rFonts w:ascii="宋体" w:hAnsi="宋体" w:cs="宋体" w:eastAsia="宋体" w:hint="default"/>
        </w:rPr>
        <w:t> </w:t>
      </w:r>
    </w:p>
    <w:p>
      <w:pPr>
        <w:pStyle w:val="BodyText"/>
        <w:spacing w:line="272" w:lineRule="exact" w:before="26"/>
        <w:ind w:left="25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如按预期信用损失一般模型计提坏账准备，请参照其他应收款披露：</w:t>
      </w:r>
      <w:r>
        <w:rPr>
          <w:rFonts w:ascii="宋体" w:hAnsi="宋体" w:cs="宋体" w:eastAsia="宋体" w:hint="default"/>
        </w:rPr>
        <w:t> </w:t>
      </w:r>
    </w:p>
    <w:p>
      <w:pPr>
        <w:pStyle w:val="BodyText"/>
        <w:spacing w:line="249" w:lineRule="exact"/>
        <w:ind w:left="2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left="256" w:right="0"/>
        <w:jc w:val="left"/>
        <w:rPr>
          <w:rFonts w:ascii="宋体" w:hAnsi="宋体" w:cs="宋体" w:eastAsia="宋体" w:hint="default"/>
          <w:b w:val="0"/>
          <w:bCs w:val="0"/>
        </w:rPr>
      </w:pPr>
      <w:r>
        <w:rPr>
          <w:rFonts w:ascii="宋体" w:hAnsi="宋体" w:cs="宋体" w:eastAsia="宋体" w:hint="default"/>
        </w:rPr>
        <w:t>(3).</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23" w:val="left" w:leader="none"/>
        </w:tabs>
        <w:spacing w:line="240" w:lineRule="auto" w:before="166"/>
        <w:ind w:left="72" w:right="0"/>
        <w:jc w:val="left"/>
      </w:pPr>
      <w:r>
        <w:rPr>
          <w:spacing w:val="-1"/>
        </w:rPr>
        <w:t>单位：元</w:t>
        <w:tab/>
        <w:t>币种：人民币</w:t>
      </w:r>
    </w:p>
    <w:p>
      <w:pPr>
        <w:spacing w:after="0" w:line="240" w:lineRule="auto"/>
        <w:jc w:val="left"/>
        <w:sectPr>
          <w:type w:val="continuous"/>
          <w:pgSz w:w="11910" w:h="16840"/>
          <w:pgMar w:top="1360" w:bottom="1380" w:left="1020" w:right="1520"/>
          <w:cols w:num="2" w:equalWidth="0">
            <w:col w:w="6667" w:space="40"/>
            <w:col w:w="2663"/>
          </w:cols>
        </w:sectPr>
      </w:pPr>
    </w:p>
    <w:p>
      <w:pPr>
        <w:spacing w:line="240" w:lineRule="auto" w:before="7"/>
        <w:rPr>
          <w:rFonts w:ascii="宋体" w:hAnsi="宋体" w:cs="宋体" w:eastAsia="宋体" w:hint="default"/>
          <w:sz w:val="2"/>
          <w:szCs w:val="2"/>
        </w:rPr>
      </w:pPr>
    </w:p>
    <w:tbl>
      <w:tblPr>
        <w:tblW w:w="0" w:type="auto"/>
        <w:jc w:val="left"/>
        <w:tblInd w:w="170" w:type="dxa"/>
        <w:tblLayout w:type="fixed"/>
        <w:tblCellMar>
          <w:top w:w="0" w:type="dxa"/>
          <w:left w:w="0" w:type="dxa"/>
          <w:bottom w:w="0" w:type="dxa"/>
          <w:right w:w="0" w:type="dxa"/>
        </w:tblCellMar>
        <w:tblLook w:val="01E0"/>
      </w:tblPr>
      <w:tblGrid>
        <w:gridCol w:w="2297"/>
        <w:gridCol w:w="1465"/>
        <w:gridCol w:w="1082"/>
        <w:gridCol w:w="989"/>
        <w:gridCol w:w="1231"/>
        <w:gridCol w:w="554"/>
        <w:gridCol w:w="1330"/>
      </w:tblGrid>
      <w:tr>
        <w:trPr>
          <w:trHeight w:val="382" w:hRule="exact"/>
        </w:trPr>
        <w:tc>
          <w:tcPr>
            <w:tcW w:w="2297" w:type="dxa"/>
            <w:vMerge w:val="restart"/>
            <w:tcBorders>
              <w:top w:val="single" w:sz="23" w:space="0" w:color="41B7EE"/>
              <w:left w:val="nil" w:sz="6" w:space="0" w:color="auto"/>
              <w:right w:val="single" w:sz="4" w:space="0" w:color="41B7EE"/>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0"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465" w:type="dxa"/>
            <w:vMerge w:val="restart"/>
            <w:tcBorders>
              <w:top w:val="single" w:sz="23" w:space="0" w:color="41B7EE"/>
              <w:left w:val="single" w:sz="4" w:space="0" w:color="41B7EE"/>
              <w:right w:val="single" w:sz="4" w:space="0" w:color="41B7EE"/>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3857" w:type="dxa"/>
            <w:gridSpan w:val="4"/>
            <w:tcBorders>
              <w:top w:val="single" w:sz="23" w:space="0" w:color="41B7EE"/>
              <w:left w:val="single" w:sz="4" w:space="0" w:color="41B7EE"/>
              <w:bottom w:val="single" w:sz="4" w:space="0" w:color="41B7EE"/>
              <w:right w:val="single" w:sz="4" w:space="0" w:color="41B7EE"/>
            </w:tcBorders>
          </w:tcPr>
          <w:p>
            <w:pPr>
              <w:pStyle w:val="TableParagraph"/>
              <w:spacing w:line="240" w:lineRule="auto" w:before="4"/>
              <w:ind w:left="1291" w:right="0"/>
              <w:jc w:val="left"/>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330" w:type="dxa"/>
            <w:vMerge w:val="restart"/>
            <w:tcBorders>
              <w:top w:val="single" w:sz="23" w:space="0" w:color="41B7EE"/>
              <w:left w:val="single" w:sz="4" w:space="0" w:color="41B7EE"/>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7" w:hRule="exact"/>
        </w:trPr>
        <w:tc>
          <w:tcPr>
            <w:tcW w:w="2297" w:type="dxa"/>
            <w:vMerge/>
            <w:tcBorders>
              <w:left w:val="nil" w:sz="6" w:space="0" w:color="auto"/>
              <w:bottom w:val="single" w:sz="4" w:space="0" w:color="41B7EE"/>
              <w:right w:val="single" w:sz="4" w:space="0" w:color="41B7EE"/>
            </w:tcBorders>
          </w:tcPr>
          <w:p>
            <w:pPr/>
          </w:p>
        </w:tc>
        <w:tc>
          <w:tcPr>
            <w:tcW w:w="1465" w:type="dxa"/>
            <w:vMerge/>
            <w:tcBorders>
              <w:left w:val="single" w:sz="4" w:space="0" w:color="41B7EE"/>
              <w:bottom w:val="single" w:sz="4" w:space="0" w:color="41B7EE"/>
              <w:right w:val="single" w:sz="4" w:space="0" w:color="41B7EE"/>
            </w:tcBorders>
          </w:tcPr>
          <w:p>
            <w:pPr/>
          </w:p>
        </w:tc>
        <w:tc>
          <w:tcPr>
            <w:tcW w:w="10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989" w:type="dxa"/>
            <w:tcBorders>
              <w:top w:val="single" w:sz="4" w:space="0" w:color="41B7EE"/>
              <w:left w:val="single" w:sz="4" w:space="0" w:color="41B7EE"/>
              <w:bottom w:val="single" w:sz="4" w:space="0" w:color="41B7EE"/>
              <w:right w:val="single" w:sz="4" w:space="0" w:color="41B7EE"/>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收回或转</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回</w:t>
            </w:r>
            <w:r>
              <w:rPr>
                <w:rFonts w:ascii="宋体" w:hAnsi="宋体" w:cs="宋体" w:eastAsia="宋体" w:hint="default"/>
                <w:sz w:val="21"/>
                <w:szCs w:val="21"/>
              </w:rPr>
              <w:t> </w:t>
            </w:r>
          </w:p>
        </w:tc>
        <w:tc>
          <w:tcPr>
            <w:tcW w:w="1231" w:type="dxa"/>
            <w:tcBorders>
              <w:top w:val="single" w:sz="4" w:space="0" w:color="41B7EE"/>
              <w:left w:val="single" w:sz="4" w:space="0" w:color="41B7EE"/>
              <w:bottom w:val="single" w:sz="4" w:space="0" w:color="41B7EE"/>
              <w:right w:val="single" w:sz="20" w:space="0" w:color="FFFFFF"/>
            </w:tcBorders>
          </w:tcPr>
          <w:p>
            <w:pPr>
              <w:pStyle w:val="TableParagraph"/>
              <w:spacing w:line="240" w:lineRule="auto" w:before="102"/>
              <w:ind w:left="81" w:right="-38"/>
              <w:jc w:val="left"/>
              <w:rPr>
                <w:rFonts w:ascii="宋体" w:hAnsi="宋体" w:cs="宋体" w:eastAsia="宋体" w:hint="default"/>
                <w:sz w:val="21"/>
                <w:szCs w:val="21"/>
              </w:rPr>
            </w:pPr>
            <w:r>
              <w:rPr>
                <w:rFonts w:ascii="宋体" w:hAnsi="宋体" w:cs="宋体" w:eastAsia="宋体" w:hint="default"/>
                <w:sz w:val="21"/>
                <w:szCs w:val="21"/>
              </w:rPr>
              <w:t>转销或核销</w:t>
            </w:r>
            <w:r>
              <w:rPr>
                <w:rFonts w:ascii="宋体" w:hAnsi="宋体" w:cs="宋体" w:eastAsia="宋体" w:hint="default"/>
                <w:sz w:val="21"/>
                <w:szCs w:val="21"/>
              </w:rPr>
              <w:t> </w:t>
            </w:r>
          </w:p>
        </w:tc>
        <w:tc>
          <w:tcPr>
            <w:tcW w:w="554" w:type="dxa"/>
            <w:tcBorders>
              <w:top w:val="single" w:sz="4" w:space="0" w:color="41B7EE"/>
              <w:left w:val="single" w:sz="20" w:space="0" w:color="FFFFFF"/>
              <w:bottom w:val="single" w:sz="4" w:space="0" w:color="41B7EE"/>
              <w:right w:val="single" w:sz="4" w:space="0" w:color="41B7EE"/>
            </w:tcBorders>
          </w:tcPr>
          <w:p>
            <w:pPr>
              <w:pStyle w:val="TableParagraph"/>
              <w:spacing w:line="241" w:lineRule="exact"/>
              <w:ind w:left="39" w:right="-41"/>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3" w:lineRule="exact"/>
              <w:ind w:left="39" w:right="-41"/>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330" w:type="dxa"/>
            <w:vMerge/>
            <w:tcBorders>
              <w:left w:val="single" w:sz="4" w:space="0" w:color="41B7EE"/>
              <w:bottom w:val="single" w:sz="4" w:space="0" w:color="41B7EE"/>
              <w:right w:val="nil" w:sz="6" w:space="0" w:color="auto"/>
            </w:tcBorders>
          </w:tcPr>
          <w:p>
            <w:pPr/>
          </w:p>
        </w:tc>
      </w:tr>
      <w:tr>
        <w:trPr>
          <w:trHeight w:val="355" w:hRule="exact"/>
        </w:trPr>
        <w:tc>
          <w:tcPr>
            <w:tcW w:w="229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57" w:right="0"/>
              <w:jc w:val="left"/>
              <w:rPr>
                <w:rFonts w:ascii="宋体" w:hAnsi="宋体" w:cs="宋体" w:eastAsia="宋体" w:hint="default"/>
                <w:sz w:val="21"/>
                <w:szCs w:val="21"/>
              </w:rPr>
            </w:pPr>
            <w:r>
              <w:rPr>
                <w:rFonts w:ascii="宋体" w:hAnsi="宋体" w:cs="宋体" w:eastAsia="宋体" w:hint="default"/>
                <w:b/>
                <w:bCs/>
                <w:sz w:val="21"/>
                <w:szCs w:val="21"/>
              </w:rPr>
              <w:t>单项计提</w:t>
            </w:r>
            <w:r>
              <w:rPr>
                <w:rFonts w:ascii="宋体" w:hAnsi="宋体" w:cs="宋体" w:eastAsia="宋体" w:hint="default"/>
                <w:w w:val="100"/>
                <w:sz w:val="21"/>
                <w:szCs w:val="21"/>
              </w:rPr>
              <w:t> </w:t>
            </w:r>
          </w:p>
        </w:tc>
        <w:tc>
          <w:tcPr>
            <w:tcW w:w="1465" w:type="dxa"/>
            <w:tcBorders>
              <w:top w:val="single" w:sz="4" w:space="0" w:color="41B7EE"/>
              <w:left w:val="single" w:sz="4" w:space="0" w:color="41B7EE"/>
              <w:bottom w:val="single" w:sz="4" w:space="0" w:color="41B7EE"/>
              <w:right w:val="single" w:sz="4" w:space="0" w:color="41B7EE"/>
            </w:tcBorders>
          </w:tcPr>
          <w:p>
            <w:pPr/>
          </w:p>
        </w:tc>
        <w:tc>
          <w:tcPr>
            <w:tcW w:w="1082" w:type="dxa"/>
            <w:tcBorders>
              <w:top w:val="single" w:sz="4" w:space="0" w:color="41B7EE"/>
              <w:left w:val="single" w:sz="4" w:space="0" w:color="41B7EE"/>
              <w:bottom w:val="single" w:sz="4" w:space="0" w:color="41B7EE"/>
              <w:right w:val="single" w:sz="4" w:space="0" w:color="41B7EE"/>
            </w:tcBorders>
          </w:tcPr>
          <w:p>
            <w:pPr/>
          </w:p>
        </w:tc>
        <w:tc>
          <w:tcPr>
            <w:tcW w:w="989" w:type="dxa"/>
            <w:tcBorders>
              <w:top w:val="single" w:sz="4" w:space="0" w:color="41B7EE"/>
              <w:left w:val="single" w:sz="4" w:space="0" w:color="41B7EE"/>
              <w:bottom w:val="single" w:sz="4" w:space="0" w:color="41B7EE"/>
              <w:right w:val="single" w:sz="4" w:space="0" w:color="41B7EE"/>
            </w:tcBorders>
          </w:tcPr>
          <w:p>
            <w:pPr/>
          </w:p>
        </w:tc>
        <w:tc>
          <w:tcPr>
            <w:tcW w:w="1231" w:type="dxa"/>
            <w:tcBorders>
              <w:top w:val="single" w:sz="4" w:space="0" w:color="41B7EE"/>
              <w:left w:val="single" w:sz="4" w:space="0" w:color="41B7EE"/>
              <w:bottom w:val="single" w:sz="4" w:space="0" w:color="41B7EE"/>
              <w:right w:val="single" w:sz="4" w:space="0" w:color="41B7EE"/>
            </w:tcBorders>
          </w:tcPr>
          <w:p>
            <w:pPr/>
          </w:p>
        </w:tc>
        <w:tc>
          <w:tcPr>
            <w:tcW w:w="554" w:type="dxa"/>
            <w:tcBorders>
              <w:top w:val="single" w:sz="4" w:space="0" w:color="41B7EE"/>
              <w:left w:val="single" w:sz="4" w:space="0" w:color="41B7EE"/>
              <w:bottom w:val="single" w:sz="4" w:space="0" w:color="41B7EE"/>
              <w:right w:val="single" w:sz="4" w:space="0" w:color="41B7EE"/>
            </w:tcBorders>
          </w:tcPr>
          <w:p>
            <w:pPr/>
          </w:p>
        </w:tc>
        <w:tc>
          <w:tcPr>
            <w:tcW w:w="1330" w:type="dxa"/>
            <w:tcBorders>
              <w:top w:val="single" w:sz="4" w:space="0" w:color="41B7EE"/>
              <w:left w:val="single" w:sz="4" w:space="0" w:color="41B7EE"/>
              <w:bottom w:val="single" w:sz="4" w:space="0" w:color="41B7EE"/>
              <w:right w:val="nil" w:sz="6" w:space="0" w:color="auto"/>
            </w:tcBorders>
          </w:tcPr>
          <w:p>
            <w:pPr/>
          </w:p>
        </w:tc>
      </w:tr>
      <w:tr>
        <w:trPr>
          <w:trHeight w:val="554" w:hRule="exact"/>
        </w:trPr>
        <w:tc>
          <w:tcPr>
            <w:tcW w:w="2297" w:type="dxa"/>
            <w:tcBorders>
              <w:top w:val="single" w:sz="4" w:space="0" w:color="41B7EE"/>
              <w:left w:val="nil" w:sz="6" w:space="0" w:color="auto"/>
              <w:bottom w:val="single" w:sz="4" w:space="0" w:color="41B7EE"/>
              <w:right w:val="single" w:sz="4" w:space="0" w:color="41B7EE"/>
            </w:tcBorders>
          </w:tcPr>
          <w:p>
            <w:pPr>
              <w:pStyle w:val="TableParagraph"/>
              <w:spacing w:line="240" w:lineRule="exact"/>
              <w:ind w:left="57" w:right="0"/>
              <w:jc w:val="left"/>
              <w:rPr>
                <w:rFonts w:ascii="宋体" w:hAnsi="宋体" w:cs="宋体" w:eastAsia="宋体" w:hint="default"/>
                <w:sz w:val="21"/>
                <w:szCs w:val="21"/>
              </w:rPr>
            </w:pPr>
            <w:r>
              <w:rPr>
                <w:rFonts w:ascii="宋体" w:hAnsi="宋体" w:cs="宋体" w:eastAsia="宋体" w:hint="default"/>
                <w:sz w:val="21"/>
                <w:szCs w:val="21"/>
              </w:rPr>
              <w:t>其中：单项金额重大并</w:t>
            </w:r>
          </w:p>
          <w:p>
            <w:pPr>
              <w:pStyle w:val="TableParagraph"/>
              <w:spacing w:line="274" w:lineRule="exact"/>
              <w:ind w:left="57" w:right="0"/>
              <w:jc w:val="left"/>
              <w:rPr>
                <w:rFonts w:ascii="宋体" w:hAnsi="宋体" w:cs="宋体" w:eastAsia="宋体" w:hint="default"/>
                <w:sz w:val="21"/>
                <w:szCs w:val="21"/>
              </w:rPr>
            </w:pPr>
            <w:r>
              <w:rPr>
                <w:rFonts w:ascii="宋体" w:hAnsi="宋体" w:cs="宋体" w:eastAsia="宋体" w:hint="default"/>
                <w:sz w:val="21"/>
                <w:szCs w:val="21"/>
              </w:rPr>
              <w:t>单独计提坏账准备</w:t>
            </w:r>
            <w:r>
              <w:rPr>
                <w:rFonts w:ascii="宋体" w:hAnsi="宋体" w:cs="宋体" w:eastAsia="宋体" w:hint="default"/>
                <w:sz w:val="21"/>
                <w:szCs w:val="21"/>
              </w:rPr>
              <w:t> </w:t>
            </w:r>
          </w:p>
        </w:tc>
        <w:tc>
          <w:tcPr>
            <w:tcW w:w="146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49"/>
              <w:jc w:val="right"/>
              <w:rPr>
                <w:rFonts w:ascii="Arial" w:hAnsi="Arial" w:cs="Arial" w:eastAsia="Arial" w:hint="default"/>
                <w:sz w:val="21"/>
                <w:szCs w:val="21"/>
              </w:rPr>
            </w:pPr>
            <w:r>
              <w:rPr>
                <w:rFonts w:ascii="Arial"/>
                <w:spacing w:val="-2"/>
                <w:w w:val="80"/>
                <w:sz w:val="21"/>
              </w:rPr>
              <w:t>249,447,737.95</w:t>
            </w:r>
            <w:r>
              <w:rPr>
                <w:rFonts w:ascii="Arial"/>
                <w:sz w:val="21"/>
              </w:rPr>
            </w:r>
          </w:p>
        </w:tc>
        <w:tc>
          <w:tcPr>
            <w:tcW w:w="1082" w:type="dxa"/>
            <w:tcBorders>
              <w:top w:val="single" w:sz="4" w:space="0" w:color="41B7EE"/>
              <w:left w:val="single" w:sz="4" w:space="0" w:color="41B7EE"/>
              <w:bottom w:val="single" w:sz="4" w:space="0" w:color="41B7EE"/>
              <w:right w:val="single" w:sz="4" w:space="0" w:color="41B7EE"/>
            </w:tcBorders>
          </w:tcPr>
          <w:p>
            <w:pPr/>
          </w:p>
        </w:tc>
        <w:tc>
          <w:tcPr>
            <w:tcW w:w="989" w:type="dxa"/>
            <w:tcBorders>
              <w:top w:val="single" w:sz="4" w:space="0" w:color="41B7EE"/>
              <w:left w:val="single" w:sz="4" w:space="0" w:color="41B7EE"/>
              <w:bottom w:val="single" w:sz="4" w:space="0" w:color="41B7EE"/>
              <w:right w:val="single" w:sz="4" w:space="0" w:color="41B7EE"/>
            </w:tcBorders>
          </w:tcPr>
          <w:p>
            <w:pPr/>
          </w:p>
        </w:tc>
        <w:tc>
          <w:tcPr>
            <w:tcW w:w="123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left="64" w:right="0"/>
              <w:jc w:val="left"/>
              <w:rPr>
                <w:rFonts w:ascii="Arial" w:hAnsi="Arial" w:cs="Arial" w:eastAsia="Arial" w:hint="default"/>
                <w:sz w:val="21"/>
                <w:szCs w:val="21"/>
              </w:rPr>
            </w:pPr>
            <w:r>
              <w:rPr>
                <w:rFonts w:ascii="Arial"/>
                <w:w w:val="80"/>
                <w:sz w:val="21"/>
              </w:rPr>
              <w:t>18,726,738.00</w:t>
            </w:r>
            <w:r>
              <w:rPr>
                <w:rFonts w:ascii="Arial"/>
                <w:sz w:val="21"/>
              </w:rPr>
            </w:r>
          </w:p>
        </w:tc>
        <w:tc>
          <w:tcPr>
            <w:tcW w:w="554" w:type="dxa"/>
            <w:tcBorders>
              <w:top w:val="single" w:sz="4" w:space="0" w:color="41B7EE"/>
              <w:left w:val="single" w:sz="4" w:space="0" w:color="41B7EE"/>
              <w:bottom w:val="single" w:sz="4" w:space="0" w:color="41B7EE"/>
              <w:right w:val="single" w:sz="4" w:space="0" w:color="41B7EE"/>
            </w:tcBorders>
          </w:tcPr>
          <w:p>
            <w:pPr/>
          </w:p>
        </w:tc>
        <w:tc>
          <w:tcPr>
            <w:tcW w:w="133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8"/>
              <w:ind w:right="54"/>
              <w:jc w:val="right"/>
              <w:rPr>
                <w:rFonts w:ascii="Arial" w:hAnsi="Arial" w:cs="Arial" w:eastAsia="Arial" w:hint="default"/>
                <w:sz w:val="21"/>
                <w:szCs w:val="21"/>
              </w:rPr>
            </w:pPr>
            <w:r>
              <w:rPr>
                <w:rFonts w:ascii="Arial"/>
                <w:spacing w:val="-2"/>
                <w:w w:val="80"/>
                <w:sz w:val="21"/>
              </w:rPr>
              <w:t>230,720,999.95</w:t>
            </w:r>
            <w:r>
              <w:rPr>
                <w:rFonts w:ascii="Arial"/>
                <w:sz w:val="21"/>
              </w:rPr>
            </w:r>
          </w:p>
        </w:tc>
      </w:tr>
      <w:tr>
        <w:trPr>
          <w:trHeight w:val="557" w:hRule="exact"/>
        </w:trPr>
        <w:tc>
          <w:tcPr>
            <w:tcW w:w="2297" w:type="dxa"/>
            <w:tcBorders>
              <w:top w:val="single" w:sz="4" w:space="0" w:color="41B7EE"/>
              <w:left w:val="nil" w:sz="6" w:space="0" w:color="auto"/>
              <w:bottom w:val="single" w:sz="4" w:space="0" w:color="41B7EE"/>
              <w:right w:val="single" w:sz="4" w:space="0" w:color="41B7EE"/>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单项金额不重大</w:t>
            </w:r>
          </w:p>
          <w:p>
            <w:pPr>
              <w:pStyle w:val="TableParagraph"/>
              <w:spacing w:line="273" w:lineRule="exact"/>
              <w:ind w:left="57" w:right="0"/>
              <w:jc w:val="left"/>
              <w:rPr>
                <w:rFonts w:ascii="宋体" w:hAnsi="宋体" w:cs="宋体" w:eastAsia="宋体" w:hint="default"/>
                <w:sz w:val="21"/>
                <w:szCs w:val="21"/>
              </w:rPr>
            </w:pPr>
            <w:r>
              <w:rPr>
                <w:rFonts w:ascii="宋体" w:hAnsi="宋体" w:cs="宋体" w:eastAsia="宋体" w:hint="default"/>
                <w:sz w:val="21"/>
                <w:szCs w:val="21"/>
              </w:rPr>
              <w:t>但单独计提坏账准备</w:t>
            </w:r>
            <w:r>
              <w:rPr>
                <w:rFonts w:ascii="宋体" w:hAnsi="宋体" w:cs="宋体" w:eastAsia="宋体" w:hint="default"/>
                <w:sz w:val="21"/>
                <w:szCs w:val="21"/>
              </w:rPr>
              <w:t> </w:t>
            </w:r>
          </w:p>
        </w:tc>
        <w:tc>
          <w:tcPr>
            <w:tcW w:w="146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49"/>
              <w:jc w:val="right"/>
              <w:rPr>
                <w:rFonts w:ascii="Arial" w:hAnsi="Arial" w:cs="Arial" w:eastAsia="Arial" w:hint="default"/>
                <w:sz w:val="21"/>
                <w:szCs w:val="21"/>
              </w:rPr>
            </w:pPr>
            <w:r>
              <w:rPr>
                <w:rFonts w:ascii="Arial"/>
                <w:spacing w:val="-2"/>
                <w:w w:val="80"/>
                <w:sz w:val="21"/>
              </w:rPr>
              <w:t>76,025,058.36</w:t>
            </w:r>
            <w:r>
              <w:rPr>
                <w:rFonts w:ascii="Arial"/>
                <w:sz w:val="21"/>
              </w:rPr>
            </w:r>
          </w:p>
        </w:tc>
        <w:tc>
          <w:tcPr>
            <w:tcW w:w="10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left="107" w:right="0"/>
              <w:jc w:val="center"/>
              <w:rPr>
                <w:rFonts w:ascii="Arial" w:hAnsi="Arial" w:cs="Arial" w:eastAsia="Arial" w:hint="default"/>
                <w:sz w:val="21"/>
                <w:szCs w:val="21"/>
              </w:rPr>
            </w:pPr>
            <w:r>
              <w:rPr>
                <w:rFonts w:ascii="Arial"/>
                <w:w w:val="80"/>
                <w:sz w:val="21"/>
              </w:rPr>
              <w:t>388,216.00</w:t>
            </w:r>
            <w:r>
              <w:rPr>
                <w:rFonts w:ascii="Arial"/>
                <w:sz w:val="21"/>
              </w:rPr>
            </w:r>
          </w:p>
        </w:tc>
        <w:tc>
          <w:tcPr>
            <w:tcW w:w="98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left="13" w:right="0"/>
              <w:jc w:val="center"/>
              <w:rPr>
                <w:rFonts w:ascii="Arial" w:hAnsi="Arial" w:cs="Arial" w:eastAsia="Arial" w:hint="default"/>
                <w:sz w:val="21"/>
                <w:szCs w:val="21"/>
              </w:rPr>
            </w:pPr>
            <w:r>
              <w:rPr>
                <w:rFonts w:ascii="Arial"/>
                <w:w w:val="80"/>
                <w:sz w:val="21"/>
              </w:rPr>
              <w:t>517,673.91</w:t>
            </w:r>
            <w:r>
              <w:rPr>
                <w:rFonts w:ascii="Arial"/>
                <w:sz w:val="21"/>
              </w:rPr>
            </w:r>
          </w:p>
        </w:tc>
        <w:tc>
          <w:tcPr>
            <w:tcW w:w="1231" w:type="dxa"/>
            <w:tcBorders>
              <w:top w:val="single" w:sz="4" w:space="0" w:color="41B7EE"/>
              <w:left w:val="single" w:sz="4" w:space="0" w:color="41B7EE"/>
              <w:bottom w:val="single" w:sz="4" w:space="0" w:color="41B7EE"/>
              <w:right w:val="single" w:sz="4" w:space="0" w:color="41B7EE"/>
            </w:tcBorders>
          </w:tcPr>
          <w:p>
            <w:pPr/>
          </w:p>
        </w:tc>
        <w:tc>
          <w:tcPr>
            <w:tcW w:w="554" w:type="dxa"/>
            <w:tcBorders>
              <w:top w:val="single" w:sz="4" w:space="0" w:color="41B7EE"/>
              <w:left w:val="single" w:sz="4" w:space="0" w:color="41B7EE"/>
              <w:bottom w:val="single" w:sz="4" w:space="0" w:color="41B7EE"/>
              <w:right w:val="single" w:sz="4" w:space="0" w:color="41B7EE"/>
            </w:tcBorders>
          </w:tcPr>
          <w:p>
            <w:pPr/>
          </w:p>
        </w:tc>
        <w:tc>
          <w:tcPr>
            <w:tcW w:w="133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8"/>
              <w:ind w:right="54"/>
              <w:jc w:val="right"/>
              <w:rPr>
                <w:rFonts w:ascii="Arial" w:hAnsi="Arial" w:cs="Arial" w:eastAsia="Arial" w:hint="default"/>
                <w:sz w:val="21"/>
                <w:szCs w:val="21"/>
              </w:rPr>
            </w:pPr>
            <w:r>
              <w:rPr>
                <w:rFonts w:ascii="Arial"/>
                <w:spacing w:val="-2"/>
                <w:w w:val="80"/>
                <w:sz w:val="21"/>
              </w:rPr>
              <w:t>75,895,600.45</w:t>
            </w:r>
            <w:r>
              <w:rPr>
                <w:rFonts w:ascii="Arial"/>
                <w:sz w:val="21"/>
              </w:rPr>
            </w:r>
          </w:p>
        </w:tc>
      </w:tr>
      <w:tr>
        <w:trPr>
          <w:trHeight w:val="356" w:hRule="exact"/>
        </w:trPr>
        <w:tc>
          <w:tcPr>
            <w:tcW w:w="229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57" w:right="0"/>
              <w:jc w:val="left"/>
              <w:rPr>
                <w:rFonts w:ascii="宋体" w:hAnsi="宋体" w:cs="宋体" w:eastAsia="宋体" w:hint="default"/>
                <w:sz w:val="21"/>
                <w:szCs w:val="21"/>
              </w:rPr>
            </w:pPr>
            <w:r>
              <w:rPr>
                <w:rFonts w:ascii="宋体" w:hAnsi="宋体" w:cs="宋体" w:eastAsia="宋体" w:hint="default"/>
                <w:b/>
                <w:bCs/>
                <w:sz w:val="21"/>
                <w:szCs w:val="21"/>
              </w:rPr>
              <w:t>组合计提</w:t>
            </w:r>
            <w:r>
              <w:rPr>
                <w:rFonts w:ascii="宋体" w:hAnsi="宋体" w:cs="宋体" w:eastAsia="宋体" w:hint="default"/>
                <w:w w:val="100"/>
                <w:sz w:val="21"/>
                <w:szCs w:val="21"/>
              </w:rPr>
              <w:t> </w:t>
            </w:r>
          </w:p>
        </w:tc>
        <w:tc>
          <w:tcPr>
            <w:tcW w:w="1465" w:type="dxa"/>
            <w:tcBorders>
              <w:top w:val="single" w:sz="4" w:space="0" w:color="41B7EE"/>
              <w:left w:val="single" w:sz="4" w:space="0" w:color="41B7EE"/>
              <w:bottom w:val="single" w:sz="4" w:space="0" w:color="41B7EE"/>
              <w:right w:val="single" w:sz="4" w:space="0" w:color="41B7EE"/>
            </w:tcBorders>
          </w:tcPr>
          <w:p>
            <w:pPr/>
          </w:p>
        </w:tc>
        <w:tc>
          <w:tcPr>
            <w:tcW w:w="1082" w:type="dxa"/>
            <w:tcBorders>
              <w:top w:val="single" w:sz="4" w:space="0" w:color="41B7EE"/>
              <w:left w:val="single" w:sz="4" w:space="0" w:color="41B7EE"/>
              <w:bottom w:val="single" w:sz="4" w:space="0" w:color="41B7EE"/>
              <w:right w:val="single" w:sz="4" w:space="0" w:color="41B7EE"/>
            </w:tcBorders>
          </w:tcPr>
          <w:p>
            <w:pPr/>
          </w:p>
        </w:tc>
        <w:tc>
          <w:tcPr>
            <w:tcW w:w="989" w:type="dxa"/>
            <w:tcBorders>
              <w:top w:val="single" w:sz="4" w:space="0" w:color="41B7EE"/>
              <w:left w:val="single" w:sz="4" w:space="0" w:color="41B7EE"/>
              <w:bottom w:val="single" w:sz="4" w:space="0" w:color="41B7EE"/>
              <w:right w:val="single" w:sz="4" w:space="0" w:color="41B7EE"/>
            </w:tcBorders>
          </w:tcPr>
          <w:p>
            <w:pPr/>
          </w:p>
        </w:tc>
        <w:tc>
          <w:tcPr>
            <w:tcW w:w="1231" w:type="dxa"/>
            <w:tcBorders>
              <w:top w:val="single" w:sz="4" w:space="0" w:color="41B7EE"/>
              <w:left w:val="single" w:sz="4" w:space="0" w:color="41B7EE"/>
              <w:bottom w:val="single" w:sz="4" w:space="0" w:color="41B7EE"/>
              <w:right w:val="single" w:sz="4" w:space="0" w:color="41B7EE"/>
            </w:tcBorders>
          </w:tcPr>
          <w:p>
            <w:pPr/>
          </w:p>
        </w:tc>
        <w:tc>
          <w:tcPr>
            <w:tcW w:w="554" w:type="dxa"/>
            <w:tcBorders>
              <w:top w:val="single" w:sz="4" w:space="0" w:color="41B7EE"/>
              <w:left w:val="single" w:sz="4" w:space="0" w:color="41B7EE"/>
              <w:bottom w:val="single" w:sz="4" w:space="0" w:color="41B7EE"/>
              <w:right w:val="single" w:sz="4" w:space="0" w:color="41B7EE"/>
            </w:tcBorders>
          </w:tcPr>
          <w:p>
            <w:pPr/>
          </w:p>
        </w:tc>
        <w:tc>
          <w:tcPr>
            <w:tcW w:w="1330"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229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7" w:right="0"/>
              <w:jc w:val="left"/>
              <w:rPr>
                <w:rFonts w:ascii="宋体" w:hAnsi="宋体" w:cs="宋体" w:eastAsia="宋体" w:hint="default"/>
                <w:sz w:val="21"/>
                <w:szCs w:val="21"/>
              </w:rPr>
            </w:pPr>
            <w:r>
              <w:rPr>
                <w:rFonts w:ascii="宋体" w:hAnsi="宋体" w:cs="宋体" w:eastAsia="宋体" w:hint="default"/>
                <w:sz w:val="21"/>
                <w:szCs w:val="21"/>
              </w:rPr>
              <w:t>其中：账龄组合</w:t>
            </w:r>
            <w:r>
              <w:rPr>
                <w:rFonts w:ascii="宋体" w:hAnsi="宋体" w:cs="宋体" w:eastAsia="宋体" w:hint="default"/>
                <w:sz w:val="21"/>
                <w:szCs w:val="21"/>
              </w:rPr>
              <w:t> </w:t>
            </w:r>
          </w:p>
        </w:tc>
        <w:tc>
          <w:tcPr>
            <w:tcW w:w="146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48"/>
              <w:jc w:val="right"/>
              <w:rPr>
                <w:rFonts w:ascii="Arial" w:hAnsi="Arial" w:cs="Arial" w:eastAsia="Arial" w:hint="default"/>
                <w:sz w:val="21"/>
                <w:szCs w:val="21"/>
              </w:rPr>
            </w:pPr>
            <w:r>
              <w:rPr>
                <w:rFonts w:ascii="Arial"/>
                <w:spacing w:val="-2"/>
                <w:w w:val="80"/>
                <w:sz w:val="21"/>
              </w:rPr>
              <w:t>194,108.00</w:t>
            </w:r>
            <w:r>
              <w:rPr>
                <w:rFonts w:ascii="Arial"/>
                <w:sz w:val="21"/>
              </w:rPr>
            </w:r>
          </w:p>
        </w:tc>
        <w:tc>
          <w:tcPr>
            <w:tcW w:w="10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left="50" w:right="0"/>
              <w:jc w:val="center"/>
              <w:rPr>
                <w:rFonts w:ascii="Arial" w:hAnsi="Arial" w:cs="Arial" w:eastAsia="Arial" w:hint="default"/>
                <w:sz w:val="21"/>
                <w:szCs w:val="21"/>
              </w:rPr>
            </w:pPr>
            <w:r>
              <w:rPr>
                <w:rFonts w:ascii="Arial"/>
                <w:w w:val="80"/>
                <w:sz w:val="21"/>
              </w:rPr>
              <w:t>-195,608.00</w:t>
            </w:r>
            <w:r>
              <w:rPr>
                <w:rFonts w:ascii="Arial"/>
                <w:sz w:val="21"/>
              </w:rPr>
            </w:r>
          </w:p>
        </w:tc>
        <w:tc>
          <w:tcPr>
            <w:tcW w:w="98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left="148" w:right="0"/>
              <w:jc w:val="center"/>
              <w:rPr>
                <w:rFonts w:ascii="Arial" w:hAnsi="Arial" w:cs="Arial" w:eastAsia="Arial" w:hint="default"/>
                <w:sz w:val="21"/>
                <w:szCs w:val="21"/>
              </w:rPr>
            </w:pPr>
            <w:r>
              <w:rPr>
                <w:rFonts w:ascii="Arial"/>
                <w:w w:val="85"/>
                <w:sz w:val="21"/>
              </w:rPr>
              <w:t>-1,500.00</w:t>
            </w:r>
            <w:r>
              <w:rPr>
                <w:rFonts w:ascii="Arial"/>
                <w:sz w:val="21"/>
              </w:rPr>
            </w:r>
          </w:p>
        </w:tc>
        <w:tc>
          <w:tcPr>
            <w:tcW w:w="1231" w:type="dxa"/>
            <w:tcBorders>
              <w:top w:val="single" w:sz="4" w:space="0" w:color="41B7EE"/>
              <w:left w:val="single" w:sz="4" w:space="0" w:color="41B7EE"/>
              <w:bottom w:val="single" w:sz="4" w:space="0" w:color="41B7EE"/>
              <w:right w:val="single" w:sz="4" w:space="0" w:color="41B7EE"/>
            </w:tcBorders>
          </w:tcPr>
          <w:p>
            <w:pPr/>
          </w:p>
        </w:tc>
        <w:tc>
          <w:tcPr>
            <w:tcW w:w="554" w:type="dxa"/>
            <w:tcBorders>
              <w:top w:val="single" w:sz="4" w:space="0" w:color="41B7EE"/>
              <w:left w:val="single" w:sz="4" w:space="0" w:color="41B7EE"/>
              <w:bottom w:val="single" w:sz="4" w:space="0" w:color="41B7EE"/>
              <w:right w:val="single" w:sz="4" w:space="0" w:color="41B7EE"/>
            </w:tcBorders>
          </w:tcPr>
          <w:p>
            <w:pPr/>
          </w:p>
        </w:tc>
        <w:tc>
          <w:tcPr>
            <w:tcW w:w="1330" w:type="dxa"/>
            <w:tcBorders>
              <w:top w:val="single" w:sz="4" w:space="0" w:color="41B7EE"/>
              <w:left w:val="single" w:sz="4" w:space="0" w:color="41B7EE"/>
              <w:bottom w:val="single" w:sz="4" w:space="0" w:color="41B7EE"/>
              <w:right w:val="nil" w:sz="6" w:space="0" w:color="auto"/>
            </w:tcBorders>
          </w:tcPr>
          <w:p>
            <w:pPr/>
          </w:p>
        </w:tc>
      </w:tr>
      <w:tr>
        <w:trPr>
          <w:trHeight w:val="384" w:hRule="exact"/>
        </w:trPr>
        <w:tc>
          <w:tcPr>
            <w:tcW w:w="2297"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11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65"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49"/>
              <w:jc w:val="right"/>
              <w:rPr>
                <w:rFonts w:ascii="Arial" w:hAnsi="Arial" w:cs="Arial" w:eastAsia="Arial" w:hint="default"/>
                <w:sz w:val="21"/>
                <w:szCs w:val="21"/>
              </w:rPr>
            </w:pPr>
            <w:r>
              <w:rPr>
                <w:rFonts w:ascii="Arial"/>
                <w:spacing w:val="-2"/>
                <w:w w:val="80"/>
                <w:sz w:val="21"/>
              </w:rPr>
              <w:t>325,666,904.31</w:t>
            </w:r>
            <w:r>
              <w:rPr>
                <w:rFonts w:ascii="Arial"/>
                <w:sz w:val="21"/>
              </w:rPr>
            </w:r>
          </w:p>
        </w:tc>
        <w:tc>
          <w:tcPr>
            <w:tcW w:w="1082"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left="107" w:right="0"/>
              <w:jc w:val="center"/>
              <w:rPr>
                <w:rFonts w:ascii="Arial" w:hAnsi="Arial" w:cs="Arial" w:eastAsia="Arial" w:hint="default"/>
                <w:sz w:val="21"/>
                <w:szCs w:val="21"/>
              </w:rPr>
            </w:pPr>
            <w:r>
              <w:rPr>
                <w:rFonts w:ascii="Arial"/>
                <w:w w:val="80"/>
                <w:sz w:val="21"/>
              </w:rPr>
              <w:t>192,608.00</w:t>
            </w:r>
            <w:r>
              <w:rPr>
                <w:rFonts w:ascii="Arial"/>
                <w:sz w:val="21"/>
              </w:rPr>
            </w:r>
          </w:p>
        </w:tc>
        <w:tc>
          <w:tcPr>
            <w:tcW w:w="989"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left="13" w:right="0"/>
              <w:jc w:val="center"/>
              <w:rPr>
                <w:rFonts w:ascii="Arial" w:hAnsi="Arial" w:cs="Arial" w:eastAsia="Arial" w:hint="default"/>
                <w:sz w:val="21"/>
                <w:szCs w:val="21"/>
              </w:rPr>
            </w:pPr>
            <w:r>
              <w:rPr>
                <w:rFonts w:ascii="Arial"/>
                <w:w w:val="80"/>
                <w:sz w:val="21"/>
              </w:rPr>
              <w:t>516,173.91</w:t>
            </w:r>
            <w:r>
              <w:rPr>
                <w:rFonts w:ascii="Arial"/>
                <w:sz w:val="21"/>
              </w:rPr>
            </w:r>
          </w:p>
        </w:tc>
        <w:tc>
          <w:tcPr>
            <w:tcW w:w="1231"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left="64" w:right="0"/>
              <w:jc w:val="left"/>
              <w:rPr>
                <w:rFonts w:ascii="Arial" w:hAnsi="Arial" w:cs="Arial" w:eastAsia="Arial" w:hint="default"/>
                <w:sz w:val="21"/>
                <w:szCs w:val="21"/>
              </w:rPr>
            </w:pPr>
            <w:r>
              <w:rPr>
                <w:rFonts w:ascii="Arial"/>
                <w:w w:val="80"/>
                <w:sz w:val="21"/>
              </w:rPr>
              <w:t>18,726,738.00</w:t>
            </w:r>
            <w:r>
              <w:rPr>
                <w:rFonts w:ascii="Arial"/>
                <w:sz w:val="21"/>
              </w:rPr>
            </w:r>
          </w:p>
        </w:tc>
        <w:tc>
          <w:tcPr>
            <w:tcW w:w="554" w:type="dxa"/>
            <w:tcBorders>
              <w:top w:val="single" w:sz="4" w:space="0" w:color="41B7EE"/>
              <w:left w:val="single" w:sz="4" w:space="0" w:color="41B7EE"/>
              <w:bottom w:val="single" w:sz="23" w:space="0" w:color="41B7EE"/>
              <w:right w:val="single" w:sz="4" w:space="0" w:color="41B7EE"/>
            </w:tcBorders>
          </w:tcPr>
          <w:p>
            <w:pPr/>
          </w:p>
        </w:tc>
        <w:tc>
          <w:tcPr>
            <w:tcW w:w="1330"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54"/>
              <w:jc w:val="right"/>
              <w:rPr>
                <w:rFonts w:ascii="Arial" w:hAnsi="Arial" w:cs="Arial" w:eastAsia="Arial" w:hint="default"/>
                <w:sz w:val="21"/>
                <w:szCs w:val="21"/>
              </w:rPr>
            </w:pPr>
            <w:r>
              <w:rPr>
                <w:rFonts w:ascii="Arial"/>
                <w:spacing w:val="-2"/>
                <w:w w:val="80"/>
                <w:sz w:val="21"/>
              </w:rPr>
              <w:t>306,616,600.40</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360" w:bottom="1380" w:left="1020" w:right="1520"/>
        </w:sectPr>
      </w:pPr>
    </w:p>
    <w:p>
      <w:pPr>
        <w:pStyle w:val="BodyText"/>
        <w:spacing w:line="239" w:lineRule="exact"/>
        <w:ind w:left="256"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73" w:lineRule="exact"/>
        <w:ind w:left="2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19"/>
          <w:szCs w:val="19"/>
        </w:rPr>
      </w:pPr>
    </w:p>
    <w:p>
      <w:pPr>
        <w:pStyle w:val="BodyText"/>
        <w:spacing w:line="240" w:lineRule="auto"/>
        <w:ind w:left="2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020" w:right="1520"/>
          <w:cols w:num="2" w:equalWidth="0">
            <w:col w:w="4355" w:space="2167"/>
            <w:col w:w="284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2"/>
        <w:gridCol w:w="2907"/>
        <w:gridCol w:w="2801"/>
      </w:tblGrid>
      <w:tr>
        <w:trPr>
          <w:trHeight w:val="384" w:hRule="exact"/>
        </w:trPr>
        <w:tc>
          <w:tcPr>
            <w:tcW w:w="3342"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left="110" w:right="0"/>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2907"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left="710" w:right="0"/>
              <w:jc w:val="left"/>
              <w:rPr>
                <w:rFonts w:ascii="宋体" w:hAnsi="宋体" w:cs="宋体" w:eastAsia="宋体" w:hint="default"/>
                <w:sz w:val="21"/>
                <w:szCs w:val="21"/>
              </w:rPr>
            </w:pPr>
            <w:r>
              <w:rPr>
                <w:rFonts w:ascii="宋体" w:hAnsi="宋体" w:cs="宋体" w:eastAsia="宋体" w:hint="default"/>
                <w:sz w:val="21"/>
                <w:szCs w:val="21"/>
              </w:rPr>
              <w:t>收回或转回金额</w:t>
            </w:r>
            <w:r>
              <w:rPr>
                <w:rFonts w:ascii="宋体" w:hAnsi="宋体" w:cs="宋体" w:eastAsia="宋体" w:hint="default"/>
                <w:sz w:val="21"/>
                <w:szCs w:val="21"/>
              </w:rPr>
              <w:t> </w:t>
            </w:r>
          </w:p>
        </w:tc>
        <w:tc>
          <w:tcPr>
            <w:tcW w:w="2801"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974" w:right="0"/>
              <w:jc w:val="left"/>
              <w:rPr>
                <w:rFonts w:ascii="宋体" w:hAnsi="宋体" w:cs="宋体" w:eastAsia="宋体" w:hint="default"/>
                <w:sz w:val="21"/>
                <w:szCs w:val="21"/>
              </w:rPr>
            </w:pPr>
            <w:r>
              <w:rPr>
                <w:rFonts w:ascii="宋体" w:hAnsi="宋体" w:cs="宋体" w:eastAsia="宋体" w:hint="default"/>
                <w:sz w:val="21"/>
                <w:szCs w:val="21"/>
              </w:rPr>
              <w:t>收回方式</w:t>
            </w:r>
            <w:r>
              <w:rPr>
                <w:rFonts w:ascii="宋体" w:hAnsi="宋体" w:cs="宋体" w:eastAsia="宋体" w:hint="default"/>
                <w:sz w:val="21"/>
                <w:szCs w:val="21"/>
              </w:rPr>
              <w:t> </w:t>
            </w:r>
          </w:p>
        </w:tc>
      </w:tr>
      <w:tr>
        <w:trPr>
          <w:trHeight w:val="365" w:hRule="exact"/>
        </w:trPr>
        <w:tc>
          <w:tcPr>
            <w:tcW w:w="3342"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广东省杰丰纸品贸易有限公司</w:t>
            </w:r>
            <w:r>
              <w:rPr>
                <w:rFonts w:ascii="宋体" w:hAnsi="宋体" w:cs="宋体" w:eastAsia="宋体" w:hint="default"/>
                <w:sz w:val="21"/>
                <w:szCs w:val="21"/>
              </w:rPr>
              <w:t> </w:t>
            </w:r>
          </w:p>
        </w:tc>
        <w:tc>
          <w:tcPr>
            <w:tcW w:w="2907"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left="1857" w:right="0"/>
              <w:jc w:val="left"/>
              <w:rPr>
                <w:rFonts w:ascii="Arial" w:hAnsi="Arial" w:cs="Arial" w:eastAsia="Arial" w:hint="default"/>
                <w:sz w:val="21"/>
                <w:szCs w:val="21"/>
              </w:rPr>
            </w:pPr>
            <w:r>
              <w:rPr>
                <w:rFonts w:ascii="Arial"/>
                <w:sz w:val="21"/>
              </w:rPr>
              <w:t>52,507.75</w:t>
            </w:r>
          </w:p>
        </w:tc>
        <w:tc>
          <w:tcPr>
            <w:tcW w:w="2801"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货币</w:t>
            </w:r>
            <w:r>
              <w:rPr>
                <w:rFonts w:ascii="宋体" w:hAnsi="宋体" w:cs="宋体" w:eastAsia="宋体" w:hint="default"/>
                <w:sz w:val="21"/>
                <w:szCs w:val="21"/>
              </w:rPr>
              <w:t> </w:t>
            </w:r>
          </w:p>
        </w:tc>
      </w:tr>
    </w:tbl>
    <w:p>
      <w:pPr>
        <w:spacing w:line="20" w:lineRule="exact"/>
        <w:ind w:left="139"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337;height:2" coordorigin="10,10" coordsize="3337,2">
              <v:shape style="position:absolute;left:10;top:10;width:3337;height:2" coordorigin="10,10" coordsize="3337,0" path="m10,10l3347,10e" filled="false" stroked="true" strokeweight=".96002pt" strokecolor="#41b7ee">
                <v:path arrowok="t"/>
              </v:shape>
            </v:group>
            <v:group style="position:absolute;left:3347;top:10;width:58;height:2" coordorigin="3347,10" coordsize="58,2">
              <v:shape style="position:absolute;left:3347;top:10;width:58;height:2" coordorigin="3347,10" coordsize="58,0" path="m3347,10l3404,10e" filled="false" stroked="true" strokeweight=".96002pt" strokecolor="#41b7ee">
                <v:path arrowok="t"/>
              </v:shape>
            </v:group>
            <v:group style="position:absolute;left:3404;top:10;width:2850;height:2" coordorigin="3404,10" coordsize="2850,2">
              <v:shape style="position:absolute;left:3404;top:10;width:2850;height:2" coordorigin="3404,10" coordsize="2850,0" path="m3404,10l6253,10e" filled="false" stroked="true" strokeweight=".96002pt" strokecolor="#41b7ee">
                <v:path arrowok="t"/>
              </v:shape>
            </v:group>
            <v:group style="position:absolute;left:6253;top:10;width:58;height:2" coordorigin="6253,10" coordsize="58,2">
              <v:shape style="position:absolute;left:6253;top:10;width:58;height:2" coordorigin="6253,10" coordsize="58,0" path="m6253,10l6311,10e" filled="false" stroked="true" strokeweight=".96002pt" strokecolor="#41b7ee">
                <v:path arrowok="t"/>
              </v:shape>
            </v:group>
            <v:group style="position:absolute;left:6311;top:10;width:2749;height:2" coordorigin="6311,10" coordsize="2749,2">
              <v:shape style="position:absolute;left:6311;top:10;width:2749;height:2" coordorigin="6311,10" coordsize="2749,0" path="m6311,10l9059,10e" filled="false" stroked="true" strokeweight=".96002pt" strokecolor="#41b7ee">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360" w:bottom="1380" w:left="1020" w:right="1520"/>
        </w:sectPr>
      </w:pPr>
    </w:p>
    <w:p>
      <w:pPr>
        <w:spacing w:line="240" w:lineRule="auto" w:before="11"/>
        <w:rPr>
          <w:rFonts w:ascii="宋体" w:hAnsi="宋体" w:cs="宋体" w:eastAsia="宋体" w:hint="default"/>
          <w:sz w:val="3"/>
          <w:szCs w:val="3"/>
        </w:rPr>
      </w:pPr>
    </w:p>
    <w:p>
      <w:pPr>
        <w:spacing w:line="20" w:lineRule="exact"/>
        <w:ind w:left="22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4"/>
          <w:szCs w:val="4"/>
        </w:rPr>
      </w:pPr>
    </w:p>
    <w:p>
      <w:pPr>
        <w:spacing w:line="20" w:lineRule="exact"/>
        <w:ind w:left="139"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337;height:2" coordorigin="10,10" coordsize="3337,2">
              <v:shape style="position:absolute;left:10;top:10;width:3337;height:2" coordorigin="10,10" coordsize="3337,0" path="m10,10l3347,10e" filled="false" stroked="true" strokeweight=".96pt" strokecolor="#41b7ee">
                <v:path arrowok="t"/>
              </v:shape>
            </v:group>
            <v:group style="position:absolute;left:3347;top:10;width:58;height:2" coordorigin="3347,10" coordsize="58,2">
              <v:shape style="position:absolute;left:3347;top:10;width:58;height:2" coordorigin="3347,10" coordsize="58,0" path="m3347,10l3404,10e" filled="false" stroked="true" strokeweight=".96pt" strokecolor="#41b7ee">
                <v:path arrowok="t"/>
              </v:shape>
            </v:group>
            <v:group style="position:absolute;left:3404;top:10;width:2850;height:2" coordorigin="3404,10" coordsize="2850,2">
              <v:shape style="position:absolute;left:3404;top:10;width:2850;height:2" coordorigin="3404,10" coordsize="2850,0" path="m3404,10l6253,10e" filled="false" stroked="true" strokeweight=".96pt" strokecolor="#41b7ee">
                <v:path arrowok="t"/>
              </v:shape>
            </v:group>
            <v:group style="position:absolute;left:6253;top:10;width:58;height:2" coordorigin="6253,10" coordsize="58,2">
              <v:shape style="position:absolute;left:6253;top:10;width:58;height:2" coordorigin="6253,10" coordsize="58,0" path="m6253,10l6311,10e" filled="false" stroked="true" strokeweight=".96pt" strokecolor="#41b7ee">
                <v:path arrowok="t"/>
              </v:shape>
            </v:group>
            <v:group style="position:absolute;left:6311;top:10;width:2749;height:2" coordorigin="6311,10" coordsize="2749,2">
              <v:shape style="position:absolute;left:6311;top:10;width:2749;height:2" coordorigin="6311,10" coordsize="2749,0" path="m6311,10l9059,10e" filled="false" stroked="true" strokeweight=".96pt" strokecolor="#41b7ee">
                <v:path arrowok="t"/>
              </v:shape>
            </v:group>
          </v:group>
        </w:pict>
      </w:r>
      <w:r>
        <w:rPr>
          <w:rFonts w:ascii="宋体" w:hAnsi="宋体" w:cs="宋体" w:eastAsia="宋体" w:hint="default"/>
          <w:sz w:val="2"/>
          <w:szCs w:val="2"/>
        </w:rPr>
      </w:r>
    </w:p>
    <w:tbl>
      <w:tblPr>
        <w:tblW w:w="0" w:type="auto"/>
        <w:jc w:val="left"/>
        <w:tblInd w:w="119" w:type="dxa"/>
        <w:tblLayout w:type="fixed"/>
        <w:tblCellMar>
          <w:top w:w="0" w:type="dxa"/>
          <w:left w:w="0" w:type="dxa"/>
          <w:bottom w:w="0" w:type="dxa"/>
          <w:right w:w="0" w:type="dxa"/>
        </w:tblCellMar>
        <w:tblLook w:val="01E0"/>
      </w:tblPr>
      <w:tblGrid>
        <w:gridCol w:w="3342"/>
        <w:gridCol w:w="2907"/>
        <w:gridCol w:w="2801"/>
      </w:tblGrid>
      <w:tr>
        <w:trPr>
          <w:trHeight w:val="365" w:hRule="exact"/>
        </w:trPr>
        <w:tc>
          <w:tcPr>
            <w:tcW w:w="3342"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6"/>
              <w:ind w:left="108" w:right="0"/>
              <w:jc w:val="left"/>
              <w:rPr>
                <w:rFonts w:ascii="宋体" w:hAnsi="宋体" w:cs="宋体" w:eastAsia="宋体" w:hint="default"/>
                <w:sz w:val="21"/>
                <w:szCs w:val="21"/>
              </w:rPr>
            </w:pPr>
            <w:r>
              <w:rPr>
                <w:rFonts w:ascii="宋体" w:hAnsi="宋体" w:cs="宋体" w:eastAsia="宋体" w:hint="default"/>
                <w:sz w:val="21"/>
                <w:szCs w:val="21"/>
              </w:rPr>
              <w:t>黑龙江省二九〇农场正纪面粉厂</w:t>
            </w:r>
            <w:r>
              <w:rPr>
                <w:rFonts w:ascii="宋体" w:hAnsi="宋体" w:cs="宋体" w:eastAsia="宋体" w:hint="default"/>
                <w:sz w:val="21"/>
                <w:szCs w:val="21"/>
              </w:rPr>
              <w:t> </w:t>
            </w:r>
          </w:p>
        </w:tc>
        <w:tc>
          <w:tcPr>
            <w:tcW w:w="2907"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337,707.55</w:t>
            </w:r>
          </w:p>
        </w:tc>
        <w:tc>
          <w:tcPr>
            <w:tcW w:w="2801"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货币</w:t>
            </w:r>
            <w:r>
              <w:rPr>
                <w:rFonts w:ascii="宋体" w:hAnsi="宋体" w:cs="宋体" w:eastAsia="宋体" w:hint="default"/>
                <w:sz w:val="21"/>
                <w:szCs w:val="21"/>
              </w:rPr>
              <w:t> </w:t>
            </w:r>
          </w:p>
        </w:tc>
      </w:tr>
      <w:tr>
        <w:trPr>
          <w:trHeight w:val="355" w:hRule="exact"/>
        </w:trPr>
        <w:tc>
          <w:tcPr>
            <w:tcW w:w="334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农户转回（家庭农场承包费）</w:t>
            </w:r>
            <w:r>
              <w:rPr>
                <w:rFonts w:ascii="宋体" w:hAnsi="宋体" w:cs="宋体" w:eastAsia="宋体" w:hint="default"/>
                <w:sz w:val="21"/>
                <w:szCs w:val="21"/>
              </w:rPr>
              <w:t> </w:t>
            </w:r>
          </w:p>
        </w:tc>
        <w:tc>
          <w:tcPr>
            <w:tcW w:w="290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127,458.61</w:t>
            </w:r>
          </w:p>
        </w:tc>
        <w:tc>
          <w:tcPr>
            <w:tcW w:w="28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货币</w:t>
            </w:r>
            <w:r>
              <w:rPr>
                <w:rFonts w:ascii="宋体" w:hAnsi="宋体" w:cs="宋体" w:eastAsia="宋体" w:hint="default"/>
                <w:sz w:val="21"/>
                <w:szCs w:val="21"/>
              </w:rPr>
              <w:t>/</w:t>
            </w:r>
            <w:r>
              <w:rPr>
                <w:rFonts w:ascii="宋体" w:hAnsi="宋体" w:cs="宋体" w:eastAsia="宋体" w:hint="default"/>
                <w:sz w:val="21"/>
                <w:szCs w:val="21"/>
              </w:rPr>
              <w:t>转账</w:t>
            </w:r>
            <w:r>
              <w:rPr>
                <w:rFonts w:ascii="宋体" w:hAnsi="宋体" w:cs="宋体" w:eastAsia="宋体" w:hint="default"/>
                <w:sz w:val="21"/>
                <w:szCs w:val="21"/>
              </w:rPr>
              <w:t> </w:t>
            </w:r>
          </w:p>
        </w:tc>
      </w:tr>
      <w:tr>
        <w:trPr>
          <w:trHeight w:val="358" w:hRule="exact"/>
        </w:trPr>
        <w:tc>
          <w:tcPr>
            <w:tcW w:w="334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农户收回（家庭农场承包费）</w:t>
            </w:r>
            <w:r>
              <w:rPr>
                <w:rFonts w:ascii="宋体" w:hAnsi="宋体" w:cs="宋体" w:eastAsia="宋体" w:hint="default"/>
                <w:sz w:val="21"/>
                <w:szCs w:val="21"/>
              </w:rPr>
              <w:t> </w:t>
            </w:r>
          </w:p>
        </w:tc>
        <w:tc>
          <w:tcPr>
            <w:tcW w:w="290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0"/>
              <w:jc w:val="right"/>
              <w:rPr>
                <w:rFonts w:ascii="Arial" w:hAnsi="Arial" w:cs="Arial" w:eastAsia="Arial" w:hint="default"/>
                <w:sz w:val="21"/>
                <w:szCs w:val="21"/>
              </w:rPr>
            </w:pPr>
            <w:r>
              <w:rPr>
                <w:rFonts w:ascii="Arial"/>
                <w:spacing w:val="-1"/>
                <w:sz w:val="21"/>
              </w:rPr>
              <w:t>-1,500.00</w:t>
            </w:r>
          </w:p>
        </w:tc>
        <w:tc>
          <w:tcPr>
            <w:tcW w:w="28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货币</w:t>
            </w:r>
            <w:r>
              <w:rPr>
                <w:rFonts w:ascii="宋体" w:hAnsi="宋体" w:cs="宋体" w:eastAsia="宋体" w:hint="default"/>
                <w:sz w:val="21"/>
                <w:szCs w:val="21"/>
              </w:rPr>
              <w:t> </w:t>
            </w:r>
          </w:p>
        </w:tc>
      </w:tr>
      <w:tr>
        <w:trPr>
          <w:trHeight w:val="384" w:hRule="exact"/>
        </w:trPr>
        <w:tc>
          <w:tcPr>
            <w:tcW w:w="3342"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07"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516,173.91</w:t>
            </w:r>
          </w:p>
        </w:tc>
        <w:tc>
          <w:tcPr>
            <w:tcW w:w="2801"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
              <w:ind w:left="97" w:right="0"/>
              <w:jc w:val="center"/>
              <w:rPr>
                <w:rFonts w:ascii="宋体" w:hAnsi="宋体" w:cs="宋体" w:eastAsia="宋体" w:hint="default"/>
                <w:sz w:val="21"/>
                <w:szCs w:val="21"/>
              </w:rPr>
            </w:pPr>
            <w:r>
              <w:rPr>
                <w:rFonts w:ascii="宋体"/>
                <w:sz w:val="21"/>
              </w:rPr>
              <w:t>/ </w:t>
            </w:r>
          </w:p>
        </w:tc>
      </w:tr>
    </w:tbl>
    <w:p>
      <w:pPr>
        <w:pStyle w:val="BodyText"/>
        <w:spacing w:line="257" w:lineRule="exact"/>
        <w:ind w:left="256" w:right="5964"/>
        <w:jc w:val="left"/>
        <w:rPr>
          <w:rFonts w:ascii="宋体" w:hAnsi="宋体" w:cs="宋体" w:eastAsia="宋体" w:hint="default"/>
        </w:rPr>
      </w:pPr>
      <w:r>
        <w:rPr/>
        <w:t>其他说明：</w:t>
      </w:r>
      <w:r>
        <w:rPr>
          <w:rFonts w:ascii="宋体" w:hAnsi="宋体" w:cs="宋体" w:eastAsia="宋体" w:hint="default"/>
        </w:rPr>
        <w:t> </w:t>
      </w:r>
    </w:p>
    <w:p>
      <w:pPr>
        <w:pStyle w:val="BodyText"/>
        <w:spacing w:line="274" w:lineRule="exact" w:before="24"/>
        <w:ind w:left="256" w:right="310" w:firstLine="420"/>
        <w:jc w:val="left"/>
        <w:rPr>
          <w:rFonts w:ascii="宋体" w:hAnsi="宋体" w:cs="宋体" w:eastAsia="宋体" w:hint="default"/>
        </w:rPr>
      </w:pPr>
      <w:r>
        <w:rPr/>
        <w:t>原按个别认定法计提坏账转回金额为</w:t>
      </w:r>
      <w:r>
        <w:rPr>
          <w:spacing w:val="-57"/>
        </w:rPr>
        <w:t> </w:t>
      </w:r>
      <w:r>
        <w:rPr>
          <w:rFonts w:ascii="Arial" w:hAnsi="Arial" w:cs="Arial" w:eastAsia="Arial" w:hint="default"/>
        </w:rPr>
        <w:t>517,673.91</w:t>
      </w:r>
      <w:r>
        <w:rPr>
          <w:rFonts w:ascii="Arial" w:hAnsi="Arial" w:cs="Arial" w:eastAsia="Arial" w:hint="default"/>
          <w:spacing w:val="-10"/>
        </w:rPr>
        <w:t> </w:t>
      </w:r>
      <w:r>
        <w:rPr/>
        <w:t>元，收回核销坏账</w:t>
      </w:r>
      <w:r>
        <w:rPr>
          <w:spacing w:val="-56"/>
        </w:rPr>
        <w:t> </w:t>
      </w:r>
      <w:r>
        <w:rPr>
          <w:rFonts w:ascii="Arial" w:hAnsi="Arial" w:cs="Arial" w:eastAsia="Arial" w:hint="default"/>
        </w:rPr>
        <w:t>1,500.00</w:t>
      </w:r>
      <w:r>
        <w:rPr>
          <w:rFonts w:ascii="Arial" w:hAnsi="Arial" w:cs="Arial" w:eastAsia="Arial" w:hint="default"/>
          <w:spacing w:val="-12"/>
        </w:rPr>
        <w:t> </w:t>
      </w:r>
      <w:r>
        <w:rPr/>
        <w:t>元。上述款项</w:t>
      </w:r>
      <w:r>
        <w:rPr>
          <w:w w:val="100"/>
        </w:rPr>
        <w:t> </w:t>
      </w:r>
      <w:r>
        <w:rPr/>
        <w:t>以货币和转账方式转回或收回。</w:t>
      </w:r>
      <w:r>
        <w:rPr>
          <w:rFonts w:ascii="宋体" w:hAnsi="宋体" w:cs="宋体" w:eastAsia="宋体" w:hint="default"/>
        </w:rPr>
        <w:t> </w:t>
      </w:r>
    </w:p>
    <w:p>
      <w:pPr>
        <w:pStyle w:val="Heading2"/>
        <w:spacing w:line="240" w:lineRule="auto" w:before="31"/>
        <w:ind w:left="256" w:right="5753"/>
        <w:jc w:val="left"/>
        <w:rPr>
          <w:rFonts w:ascii="宋体" w:hAnsi="宋体" w:cs="宋体" w:eastAsia="宋体" w:hint="default"/>
          <w:b w:val="0"/>
          <w:bCs w:val="0"/>
        </w:rPr>
      </w:pPr>
      <w:r>
        <w:rPr>
          <w:rFonts w:ascii="宋体" w:hAnsi="宋体" w:cs="宋体" w:eastAsia="宋体" w:hint="default"/>
        </w:rPr>
        <w:t>(4).</w:t>
      </w:r>
      <w:r>
        <w:rPr/>
        <w:t>本期实际核销的应收账款情况</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56" w:right="374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left="256" w:right="5964"/>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9" w:lineRule="auto"/>
        <w:ind w:left="256" w:right="0" w:firstLine="420"/>
        <w:jc w:val="left"/>
        <w:rPr>
          <w:rFonts w:ascii="宋体" w:hAnsi="宋体" w:cs="宋体" w:eastAsia="宋体" w:hint="default"/>
        </w:rPr>
      </w:pPr>
      <w:r>
        <w:rPr>
          <w:spacing w:val="-2"/>
          <w:w w:val="100"/>
        </w:rPr>
        <w:t>本公司按欠款方归集的年末余额前五名应收账款汇总金额为</w:t>
      </w:r>
      <w:r>
        <w:rPr>
          <w:spacing w:val="-49"/>
          <w:w w:val="100"/>
        </w:rPr>
        <w:t> </w:t>
      </w:r>
      <w:r>
        <w:rPr>
          <w:rFonts w:ascii="Arial" w:hAnsi="Arial" w:cs="Arial" w:eastAsia="Arial" w:hint="default"/>
          <w:spacing w:val="-1"/>
          <w:w w:val="100"/>
        </w:rPr>
        <w:t>203,435,898.58</w:t>
      </w:r>
      <w:r>
        <w:rPr>
          <w:rFonts w:ascii="Arial" w:hAnsi="Arial" w:cs="Arial" w:eastAsia="Arial" w:hint="default"/>
          <w:spacing w:val="-4"/>
          <w:w w:val="100"/>
        </w:rPr>
        <w:t> </w:t>
      </w:r>
      <w:r>
        <w:rPr>
          <w:spacing w:val="-13"/>
          <w:w w:val="100"/>
        </w:rPr>
        <w:t>元，占应收账款</w:t>
      </w:r>
      <w:r>
        <w:rPr>
          <w:w w:val="100"/>
        </w:rPr>
        <w:t> </w:t>
      </w:r>
      <w:r>
        <w:rPr>
          <w:spacing w:val="-2"/>
          <w:w w:val="100"/>
        </w:rPr>
        <w:t>年末余额合计数的比例为</w:t>
      </w:r>
      <w:r>
        <w:rPr>
          <w:spacing w:val="-48"/>
          <w:w w:val="100"/>
        </w:rPr>
        <w:t> </w:t>
      </w:r>
      <w:r>
        <w:rPr>
          <w:rFonts w:ascii="Arial" w:hAnsi="Arial" w:cs="Arial" w:eastAsia="Arial" w:hint="default"/>
          <w:spacing w:val="-6"/>
          <w:w w:val="100"/>
        </w:rPr>
        <w:t>63.67%</w:t>
      </w:r>
      <w:r>
        <w:rPr>
          <w:spacing w:val="-6"/>
          <w:w w:val="100"/>
        </w:rPr>
        <w:t>，相应计提的坏账准备年末余额汇总金额为</w:t>
      </w:r>
      <w:r>
        <w:rPr>
          <w:spacing w:val="-49"/>
          <w:w w:val="100"/>
        </w:rPr>
        <w:t> </w:t>
      </w:r>
      <w:r>
        <w:rPr>
          <w:rFonts w:ascii="Arial" w:hAnsi="Arial" w:cs="Arial" w:eastAsia="Arial" w:hint="default"/>
          <w:spacing w:val="-1"/>
          <w:w w:val="100"/>
        </w:rPr>
        <w:t>190,521,980.32 </w:t>
      </w:r>
      <w:r>
        <w:rPr>
          <w:spacing w:val="-3"/>
          <w:w w:val="100"/>
        </w:rPr>
        <w:t>元。</w:t>
      </w:r>
      <w:r>
        <w:rPr>
          <w:spacing w:val="-102"/>
          <w:w w:val="100"/>
        </w:rPr>
        <w:t> </w:t>
      </w:r>
      <w:r>
        <w:rPr>
          <w:rFonts w:ascii="宋体" w:hAnsi="宋体" w:cs="宋体" w:eastAsia="宋体" w:hint="default"/>
          <w:b/>
          <w:bCs/>
        </w:rPr>
        <w:t>(6).</w:t>
      </w:r>
      <w:r>
        <w:rPr>
          <w:rFonts w:ascii="宋体" w:hAnsi="宋体" w:cs="宋体" w:eastAsia="宋体" w:hint="default"/>
          <w:b/>
          <w:bCs/>
        </w:rPr>
        <w:t>因金融资产转移而终止确认的应收账款</w:t>
      </w:r>
      <w:r>
        <w:rPr>
          <w:rFonts w:ascii="宋体" w:hAnsi="宋体" w:cs="宋体" w:eastAsia="宋体" w:hint="default"/>
          <w:b/>
          <w:bCs/>
          <w:w w:val="99"/>
        </w:rPr>
        <w:t> </w:t>
      </w:r>
      <w:r>
        <w:rPr>
          <w:rFonts w:ascii="宋体" w:hAnsi="宋体" w:cs="宋体" w:eastAsia="宋体" w:hint="default"/>
        </w:rPr>
      </w:r>
    </w:p>
    <w:p>
      <w:pPr>
        <w:spacing w:line="290" w:lineRule="auto" w:before="50"/>
        <w:ind w:left="256" w:right="374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转移应收账款且继续涉入形成的资产、负债金额</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56" w:right="713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应收款项融资</w:t>
      </w:r>
      <w:r>
        <w:rPr>
          <w:rFonts w:ascii="宋体" w:hAnsi="宋体" w:cs="宋体" w:eastAsia="宋体" w:hint="default"/>
          <w:sz w:val="21"/>
          <w:szCs w:val="21"/>
        </w:rPr>
      </w:r>
    </w:p>
    <w:p>
      <w:pPr>
        <w:spacing w:line="290" w:lineRule="auto" w:before="14"/>
        <w:ind w:left="256" w:right="723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预付款项</w:t>
      </w:r>
      <w:r>
        <w:rPr>
          <w:rFonts w:ascii="宋体" w:hAnsi="宋体" w:cs="宋体" w:eastAsia="宋体" w:hint="default"/>
          <w:sz w:val="21"/>
          <w:szCs w:val="21"/>
        </w:rPr>
      </w:r>
    </w:p>
    <w:p>
      <w:pPr>
        <w:pStyle w:val="Heading2"/>
        <w:spacing w:line="240" w:lineRule="auto" w:before="12"/>
        <w:ind w:left="256" w:right="5964"/>
        <w:jc w:val="left"/>
        <w:rPr>
          <w:rFonts w:ascii="宋体" w:hAnsi="宋体" w:cs="宋体" w:eastAsia="宋体" w:hint="default"/>
          <w:b w:val="0"/>
          <w:bCs w:val="0"/>
        </w:rPr>
      </w:pPr>
      <w:r>
        <w:rPr>
          <w:rFonts w:ascii="宋体" w:hAnsi="宋体" w:cs="宋体" w:eastAsia="宋体" w:hint="default"/>
        </w:rPr>
        <w:t>(1).</w:t>
      </w:r>
      <w:r>
        <w:rPr/>
        <w:t>预付款项按账龄列示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56" w:right="5964"/>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0" w:right="16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line="240" w:lineRule="auto" w:before="7"/>
        <w:rPr>
          <w:rFonts w:ascii="宋体" w:hAnsi="宋体" w:cs="宋体" w:eastAsia="宋体" w:hint="default"/>
          <w:b/>
          <w:bCs/>
          <w:sz w:val="2"/>
          <w:szCs w:val="2"/>
        </w:rPr>
      </w:pPr>
    </w:p>
    <w:tbl>
      <w:tblPr>
        <w:tblW w:w="0" w:type="auto"/>
        <w:jc w:val="left"/>
        <w:tblInd w:w="115" w:type="dxa"/>
        <w:tblLayout w:type="fixed"/>
        <w:tblCellMar>
          <w:top w:w="0" w:type="dxa"/>
          <w:left w:w="0" w:type="dxa"/>
          <w:bottom w:w="0" w:type="dxa"/>
          <w:right w:w="0" w:type="dxa"/>
        </w:tblCellMar>
        <w:tblLook w:val="01E0"/>
      </w:tblPr>
      <w:tblGrid>
        <w:gridCol w:w="1385"/>
        <w:gridCol w:w="1928"/>
        <w:gridCol w:w="1910"/>
        <w:gridCol w:w="1911"/>
        <w:gridCol w:w="1928"/>
      </w:tblGrid>
      <w:tr>
        <w:trPr>
          <w:trHeight w:val="382" w:hRule="exact"/>
        </w:trPr>
        <w:tc>
          <w:tcPr>
            <w:tcW w:w="1385" w:type="dxa"/>
            <w:vMerge w:val="restart"/>
            <w:tcBorders>
              <w:top w:val="single" w:sz="23" w:space="0" w:color="41B7EE"/>
              <w:left w:val="nil" w:sz="6" w:space="0" w:color="auto"/>
              <w:right w:val="single" w:sz="4" w:space="0" w:color="41B7EE"/>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80"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3838" w:type="dxa"/>
            <w:gridSpan w:val="2"/>
            <w:tcBorders>
              <w:top w:val="single" w:sz="23" w:space="0" w:color="41B7EE"/>
              <w:left w:val="single" w:sz="4" w:space="0" w:color="41B7EE"/>
              <w:bottom w:val="single" w:sz="4" w:space="0" w:color="41B7EE"/>
              <w:right w:val="single" w:sz="4" w:space="0" w:color="41B7EE"/>
            </w:tcBorders>
          </w:tcPr>
          <w:p>
            <w:pPr>
              <w:pStyle w:val="TableParagraph"/>
              <w:spacing w:line="240" w:lineRule="auto" w:before="4"/>
              <w:ind w:left="99"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39" w:type="dxa"/>
            <w:gridSpan w:val="2"/>
            <w:tcBorders>
              <w:top w:val="single" w:sz="23" w:space="0" w:color="41B7EE"/>
              <w:left w:val="single" w:sz="4" w:space="0" w:color="41B7EE"/>
              <w:bottom w:val="single" w:sz="4" w:space="0" w:color="41B7EE"/>
              <w:right w:val="nil" w:sz="6" w:space="0" w:color="auto"/>
            </w:tcBorders>
          </w:tcPr>
          <w:p>
            <w:pPr>
              <w:pStyle w:val="TableParagraph"/>
              <w:spacing w:line="240" w:lineRule="auto" w:before="4"/>
              <w:ind w:left="9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58" w:hRule="exact"/>
        </w:trPr>
        <w:tc>
          <w:tcPr>
            <w:tcW w:w="1385" w:type="dxa"/>
            <w:vMerge/>
            <w:tcBorders>
              <w:left w:val="nil" w:sz="6" w:space="0" w:color="auto"/>
              <w:bottom w:val="single" w:sz="4" w:space="0" w:color="41B7EE"/>
              <w:right w:val="single" w:sz="4" w:space="0" w:color="41B7EE"/>
            </w:tcBorders>
          </w:tcPr>
          <w:p>
            <w:pPr/>
          </w:p>
        </w:tc>
        <w:tc>
          <w:tcPr>
            <w:tcW w:w="192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95"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52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1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9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2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535"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358" w:hRule="exact"/>
        </w:trPr>
        <w:tc>
          <w:tcPr>
            <w:tcW w:w="138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12"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4"/>
                <w:sz w:val="21"/>
                <w:szCs w:val="21"/>
              </w:rPr>
              <w:t> </w:t>
            </w:r>
            <w:r>
              <w:rPr>
                <w:rFonts w:ascii="宋体" w:hAnsi="宋体" w:cs="宋体" w:eastAsia="宋体" w:hint="default"/>
                <w:sz w:val="21"/>
                <w:szCs w:val="21"/>
              </w:rPr>
              <w:t>年以内</w:t>
            </w:r>
          </w:p>
        </w:tc>
        <w:tc>
          <w:tcPr>
            <w:tcW w:w="192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39,695,425.50</w:t>
            </w:r>
          </w:p>
        </w:tc>
        <w:tc>
          <w:tcPr>
            <w:tcW w:w="19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88.93</w:t>
            </w:r>
          </w:p>
        </w:tc>
        <w:tc>
          <w:tcPr>
            <w:tcW w:w="191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48,435,362.36</w:t>
            </w:r>
          </w:p>
        </w:tc>
        <w:tc>
          <w:tcPr>
            <w:tcW w:w="192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16"/>
              <w:jc w:val="right"/>
              <w:rPr>
                <w:rFonts w:ascii="Arial" w:hAnsi="Arial" w:cs="Arial" w:eastAsia="Arial" w:hint="default"/>
                <w:sz w:val="21"/>
                <w:szCs w:val="21"/>
              </w:rPr>
            </w:pPr>
            <w:r>
              <w:rPr>
                <w:rFonts w:ascii="Arial"/>
                <w:spacing w:val="-1"/>
                <w:sz w:val="21"/>
              </w:rPr>
              <w:t>81.69</w:t>
            </w:r>
          </w:p>
        </w:tc>
      </w:tr>
      <w:tr>
        <w:trPr>
          <w:trHeight w:val="358" w:hRule="exact"/>
        </w:trPr>
        <w:tc>
          <w:tcPr>
            <w:tcW w:w="138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12"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92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2,675,059.21</w:t>
            </w:r>
          </w:p>
        </w:tc>
        <w:tc>
          <w:tcPr>
            <w:tcW w:w="19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5.99</w:t>
            </w:r>
          </w:p>
        </w:tc>
        <w:tc>
          <w:tcPr>
            <w:tcW w:w="1911" w:type="dxa"/>
            <w:tcBorders>
              <w:top w:val="single" w:sz="4" w:space="0" w:color="41B7EE"/>
              <w:left w:val="single" w:sz="4" w:space="0" w:color="41B7EE"/>
              <w:bottom w:val="single" w:sz="4" w:space="0" w:color="41B7EE"/>
              <w:right w:val="single" w:sz="4" w:space="0" w:color="41B7EE"/>
            </w:tcBorders>
          </w:tcPr>
          <w:p>
            <w:pPr/>
          </w:p>
        </w:tc>
        <w:tc>
          <w:tcPr>
            <w:tcW w:w="1928" w:type="dxa"/>
            <w:tcBorders>
              <w:top w:val="single" w:sz="4" w:space="0" w:color="41B7EE"/>
              <w:left w:val="single" w:sz="4" w:space="0" w:color="41B7EE"/>
              <w:bottom w:val="single" w:sz="4" w:space="0" w:color="41B7EE"/>
              <w:right w:val="nil" w:sz="6" w:space="0" w:color="auto"/>
            </w:tcBorders>
          </w:tcPr>
          <w:p>
            <w:pPr/>
          </w:p>
        </w:tc>
      </w:tr>
      <w:tr>
        <w:trPr>
          <w:trHeight w:val="355" w:hRule="exact"/>
        </w:trPr>
        <w:tc>
          <w:tcPr>
            <w:tcW w:w="138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12"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928" w:type="dxa"/>
            <w:tcBorders>
              <w:top w:val="single" w:sz="4" w:space="0" w:color="41B7EE"/>
              <w:left w:val="single" w:sz="4" w:space="0" w:color="41B7EE"/>
              <w:bottom w:val="single" w:sz="4" w:space="0" w:color="41B7EE"/>
              <w:right w:val="single" w:sz="4" w:space="0" w:color="41B7EE"/>
            </w:tcBorders>
          </w:tcPr>
          <w:p>
            <w:pPr/>
          </w:p>
        </w:tc>
        <w:tc>
          <w:tcPr>
            <w:tcW w:w="1910" w:type="dxa"/>
            <w:tcBorders>
              <w:top w:val="single" w:sz="4" w:space="0" w:color="41B7EE"/>
              <w:left w:val="single" w:sz="4" w:space="0" w:color="41B7EE"/>
              <w:bottom w:val="single" w:sz="4" w:space="0" w:color="41B7EE"/>
              <w:right w:val="single" w:sz="4" w:space="0" w:color="41B7EE"/>
            </w:tcBorders>
          </w:tcPr>
          <w:p>
            <w:pPr/>
          </w:p>
        </w:tc>
        <w:tc>
          <w:tcPr>
            <w:tcW w:w="191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390,778.00</w:t>
            </w:r>
          </w:p>
        </w:tc>
        <w:tc>
          <w:tcPr>
            <w:tcW w:w="192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15"/>
              <w:jc w:val="right"/>
              <w:rPr>
                <w:rFonts w:ascii="Arial" w:hAnsi="Arial" w:cs="Arial" w:eastAsia="Arial" w:hint="default"/>
                <w:sz w:val="21"/>
                <w:szCs w:val="21"/>
              </w:rPr>
            </w:pPr>
            <w:r>
              <w:rPr>
                <w:rFonts w:ascii="Arial"/>
                <w:spacing w:val="-1"/>
                <w:sz w:val="21"/>
              </w:rPr>
              <w:t>0.66</w:t>
            </w:r>
          </w:p>
        </w:tc>
      </w:tr>
      <w:tr>
        <w:trPr>
          <w:trHeight w:val="358" w:hRule="exact"/>
        </w:trPr>
        <w:tc>
          <w:tcPr>
            <w:tcW w:w="138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12"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4"/>
                <w:sz w:val="21"/>
                <w:szCs w:val="21"/>
              </w:rPr>
              <w:t> </w:t>
            </w:r>
            <w:r>
              <w:rPr>
                <w:rFonts w:ascii="宋体" w:hAnsi="宋体" w:cs="宋体" w:eastAsia="宋体" w:hint="default"/>
                <w:sz w:val="21"/>
                <w:szCs w:val="21"/>
              </w:rPr>
              <w:t>年以上</w:t>
            </w:r>
          </w:p>
        </w:tc>
        <w:tc>
          <w:tcPr>
            <w:tcW w:w="192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111"/>
              <w:jc w:val="right"/>
              <w:rPr>
                <w:rFonts w:ascii="Arial" w:hAnsi="Arial" w:cs="Arial" w:eastAsia="Arial" w:hint="default"/>
                <w:sz w:val="21"/>
                <w:szCs w:val="21"/>
              </w:rPr>
            </w:pPr>
            <w:r>
              <w:rPr>
                <w:rFonts w:ascii="Arial"/>
                <w:spacing w:val="-1"/>
                <w:sz w:val="21"/>
              </w:rPr>
              <w:t>2,268,383.31</w:t>
            </w:r>
          </w:p>
        </w:tc>
        <w:tc>
          <w:tcPr>
            <w:tcW w:w="19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108"/>
              <w:jc w:val="right"/>
              <w:rPr>
                <w:rFonts w:ascii="Arial" w:hAnsi="Arial" w:cs="Arial" w:eastAsia="Arial" w:hint="default"/>
                <w:sz w:val="21"/>
                <w:szCs w:val="21"/>
              </w:rPr>
            </w:pPr>
            <w:r>
              <w:rPr>
                <w:rFonts w:ascii="Arial"/>
                <w:spacing w:val="-1"/>
                <w:sz w:val="21"/>
              </w:rPr>
              <w:t>5.08</w:t>
            </w:r>
          </w:p>
        </w:tc>
        <w:tc>
          <w:tcPr>
            <w:tcW w:w="191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108"/>
              <w:jc w:val="right"/>
              <w:rPr>
                <w:rFonts w:ascii="Arial" w:hAnsi="Arial" w:cs="Arial" w:eastAsia="Arial" w:hint="default"/>
                <w:sz w:val="21"/>
                <w:szCs w:val="21"/>
              </w:rPr>
            </w:pPr>
            <w:r>
              <w:rPr>
                <w:rFonts w:ascii="Arial"/>
                <w:spacing w:val="-1"/>
                <w:sz w:val="21"/>
              </w:rPr>
              <w:t>10,463,803.95</w:t>
            </w:r>
          </w:p>
        </w:tc>
        <w:tc>
          <w:tcPr>
            <w:tcW w:w="192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right="116"/>
              <w:jc w:val="right"/>
              <w:rPr>
                <w:rFonts w:ascii="Arial" w:hAnsi="Arial" w:cs="Arial" w:eastAsia="Arial" w:hint="default"/>
                <w:sz w:val="21"/>
                <w:szCs w:val="21"/>
              </w:rPr>
            </w:pPr>
            <w:r>
              <w:rPr>
                <w:rFonts w:ascii="Arial"/>
                <w:spacing w:val="-1"/>
                <w:sz w:val="21"/>
              </w:rPr>
              <w:t>17.65</w:t>
            </w:r>
          </w:p>
        </w:tc>
      </w:tr>
      <w:tr>
        <w:trPr>
          <w:trHeight w:val="384" w:hRule="exact"/>
        </w:trPr>
        <w:tc>
          <w:tcPr>
            <w:tcW w:w="1385"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48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28"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44,638,868.02</w:t>
            </w:r>
          </w:p>
        </w:tc>
        <w:tc>
          <w:tcPr>
            <w:tcW w:w="1910"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109"/>
              <w:jc w:val="right"/>
              <w:rPr>
                <w:rFonts w:ascii="Arial" w:hAnsi="Arial" w:cs="Arial" w:eastAsia="Arial" w:hint="default"/>
                <w:sz w:val="21"/>
                <w:szCs w:val="21"/>
              </w:rPr>
            </w:pPr>
            <w:r>
              <w:rPr>
                <w:rFonts w:ascii="Arial"/>
                <w:w w:val="100"/>
                <w:sz w:val="21"/>
              </w:rPr>
              <w:t>/</w:t>
            </w:r>
          </w:p>
        </w:tc>
        <w:tc>
          <w:tcPr>
            <w:tcW w:w="1911"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59,289,944.31</w:t>
            </w:r>
          </w:p>
        </w:tc>
        <w:tc>
          <w:tcPr>
            <w:tcW w:w="1928"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116"/>
              <w:jc w:val="right"/>
              <w:rPr>
                <w:rFonts w:ascii="Arial" w:hAnsi="Arial" w:cs="Arial" w:eastAsia="Arial" w:hint="default"/>
                <w:sz w:val="21"/>
                <w:szCs w:val="21"/>
              </w:rPr>
            </w:pPr>
            <w:r>
              <w:rPr>
                <w:rFonts w:ascii="Arial"/>
                <w:w w:val="100"/>
                <w:sz w:val="21"/>
              </w:rPr>
              <w:t>/</w:t>
            </w:r>
          </w:p>
        </w:tc>
      </w:tr>
    </w:tbl>
    <w:p>
      <w:pPr>
        <w:pStyle w:val="BodyText"/>
        <w:spacing w:line="239" w:lineRule="exact"/>
        <w:ind w:left="256" w:right="0"/>
        <w:jc w:val="left"/>
        <w:rPr>
          <w:rFonts w:ascii="宋体" w:hAnsi="宋体" w:cs="宋体" w:eastAsia="宋体" w:hint="default"/>
        </w:rPr>
      </w:pPr>
      <w:r>
        <w:rPr/>
        <w:t>账龄超过</w:t>
      </w:r>
      <w:r>
        <w:rPr>
          <w:spacing w:val="-54"/>
        </w:rPr>
        <w:t> </w:t>
      </w:r>
      <w:r>
        <w:rPr>
          <w:rFonts w:ascii="宋体" w:hAnsi="宋体" w:cs="宋体" w:eastAsia="宋体" w:hint="default"/>
        </w:rPr>
        <w:t>1</w:t>
      </w:r>
      <w:r>
        <w:rPr>
          <w:rFonts w:ascii="宋体" w:hAnsi="宋体" w:cs="宋体" w:eastAsia="宋体" w:hint="default"/>
          <w:spacing w:val="-56"/>
        </w:rPr>
        <w:t> </w:t>
      </w:r>
      <w:r>
        <w:rPr/>
        <w:t>年且金额重要的预付款项未及时结算原因的说明：</w:t>
      </w:r>
      <w:r>
        <w:rPr>
          <w:rFonts w:ascii="宋体" w:hAnsi="宋体" w:cs="宋体" w:eastAsia="宋体" w:hint="default"/>
        </w:rPr>
        <w:t> </w:t>
      </w:r>
    </w:p>
    <w:p>
      <w:pPr>
        <w:pStyle w:val="BodyText"/>
        <w:spacing w:line="274" w:lineRule="exact" w:before="24"/>
        <w:ind w:left="256" w:right="265" w:firstLine="420"/>
        <w:jc w:val="left"/>
      </w:pPr>
      <w:r>
        <w:rPr/>
        <w:t>账龄超过</w:t>
      </w:r>
      <w:r>
        <w:rPr>
          <w:spacing w:val="-57"/>
        </w:rPr>
        <w:t> </w:t>
      </w:r>
      <w:r>
        <w:rPr>
          <w:rFonts w:ascii="Arial" w:hAnsi="Arial" w:cs="Arial" w:eastAsia="Arial" w:hint="default"/>
        </w:rPr>
        <w:t>1</w:t>
      </w:r>
      <w:r>
        <w:rPr>
          <w:rFonts w:ascii="Arial" w:hAnsi="Arial" w:cs="Arial" w:eastAsia="Arial" w:hint="default"/>
          <w:spacing w:val="-8"/>
        </w:rPr>
        <w:t> </w:t>
      </w:r>
      <w:r>
        <w:rPr/>
        <w:t>年且金额重要的预付款项主要为子公司鑫都公司预付在建开发产品采购款，由于</w:t>
      </w:r>
      <w:r>
        <w:rPr>
          <w:w w:val="100"/>
        </w:rPr>
        <w:t> </w:t>
      </w:r>
      <w:r>
        <w:rPr/>
        <w:t>项目在建尚未完工，款项尚未结算，预付的采购款作为预付款项列报。</w:t>
      </w:r>
    </w:p>
    <w:p>
      <w:pPr>
        <w:pStyle w:val="Heading2"/>
        <w:spacing w:line="240" w:lineRule="auto" w:before="31"/>
        <w:ind w:left="256" w:right="0"/>
        <w:jc w:val="left"/>
        <w:rPr>
          <w:rFonts w:ascii="宋体" w:hAnsi="宋体" w:cs="宋体" w:eastAsia="宋体" w:hint="default"/>
          <w:b w:val="0"/>
          <w:bCs w:val="0"/>
        </w:rPr>
      </w:pPr>
      <w:r>
        <w:rPr>
          <w:rFonts w:ascii="宋体" w:hAnsi="宋体" w:cs="宋体" w:eastAsia="宋体" w:hint="default"/>
        </w:rPr>
        <w:t>(2).</w:t>
      </w:r>
      <w:r>
        <w:rPr/>
        <w:t>按预付对象归集的期末余额前五名的预付款情况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56" w:right="5964"/>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before="24"/>
        <w:ind w:left="256" w:right="301" w:firstLine="420"/>
        <w:jc w:val="left"/>
        <w:rPr>
          <w:rFonts w:ascii="宋体" w:hAnsi="宋体" w:cs="宋体" w:eastAsia="宋体" w:hint="default"/>
        </w:rPr>
      </w:pPr>
      <w:r>
        <w:rPr/>
        <w:t>本公司按预付对象归集的年末余额前五名预付账款汇总金额为</w:t>
      </w:r>
      <w:r>
        <w:rPr>
          <w:spacing w:val="-57"/>
        </w:rPr>
        <w:t> </w:t>
      </w:r>
      <w:r>
        <w:rPr>
          <w:rFonts w:ascii="Arial" w:hAnsi="Arial" w:cs="Arial" w:eastAsia="Arial" w:hint="default"/>
        </w:rPr>
        <w:t>44,581,234.71</w:t>
      </w:r>
      <w:r>
        <w:rPr>
          <w:rFonts w:ascii="Arial" w:hAnsi="Arial" w:cs="Arial" w:eastAsia="Arial" w:hint="default"/>
          <w:spacing w:val="-10"/>
        </w:rPr>
        <w:t> </w:t>
      </w:r>
      <w:r>
        <w:rPr/>
        <w:t>元，占预付账</w:t>
      </w:r>
      <w:r>
        <w:rPr>
          <w:w w:val="100"/>
        </w:rPr>
        <w:t> </w:t>
      </w:r>
      <w:r>
        <w:rPr/>
        <w:t>款年末余额合计数的比例为</w:t>
      </w:r>
      <w:r>
        <w:rPr>
          <w:spacing w:val="-57"/>
        </w:rPr>
        <w:t> </w:t>
      </w:r>
      <w:r>
        <w:rPr>
          <w:rFonts w:ascii="Arial" w:hAnsi="Arial" w:cs="Arial" w:eastAsia="Arial" w:hint="default"/>
        </w:rPr>
        <w:t>99.87%</w:t>
      </w:r>
      <w:r>
        <w:rPr/>
        <w:t>。</w:t>
      </w:r>
      <w:r>
        <w:rPr>
          <w:rFonts w:ascii="宋体" w:hAnsi="宋体" w:cs="宋体" w:eastAsia="宋体" w:hint="default"/>
        </w:rPr>
        <w:t> </w:t>
      </w:r>
    </w:p>
    <w:p>
      <w:pPr>
        <w:pStyle w:val="Heading2"/>
        <w:spacing w:line="290" w:lineRule="auto" w:before="31"/>
        <w:ind w:left="256" w:right="7615"/>
        <w:jc w:val="left"/>
        <w:rPr>
          <w:rFonts w:ascii="宋体" w:hAnsi="宋体" w:cs="宋体" w:eastAsia="宋体" w:hint="default"/>
          <w:b w:val="0"/>
          <w:bCs w:val="0"/>
        </w:rPr>
      </w:pPr>
      <w:r>
        <w:rPr>
          <w:rFonts w:ascii="宋体" w:hAnsi="宋体" w:cs="宋体" w:eastAsia="宋体" w:hint="default"/>
        </w:rPr>
        <w:t>8</w:t>
      </w:r>
      <w:r>
        <w:rPr/>
        <w:t>、</w:t>
      </w:r>
      <w:r>
        <w:rPr>
          <w:spacing w:val="-2"/>
        </w:rPr>
        <w:t> </w:t>
      </w:r>
      <w:r>
        <w:rPr/>
        <w:t>其他应收款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56" w:right="59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6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3198"/>
        <w:gridCol w:w="2938"/>
        <w:gridCol w:w="2926"/>
      </w:tblGrid>
      <w:tr>
        <w:trPr>
          <w:trHeight w:val="391" w:hRule="exact"/>
        </w:trPr>
        <w:tc>
          <w:tcPr>
            <w:tcW w:w="3198" w:type="dxa"/>
            <w:tcBorders>
              <w:top w:val="single" w:sz="23" w:space="0" w:color="41B7EE"/>
              <w:left w:val="nil" w:sz="6" w:space="0" w:color="auto"/>
              <w:bottom w:val="single" w:sz="8" w:space="0" w:color="41B7EE"/>
              <w:right w:val="single" w:sz="4" w:space="0" w:color="41B7EE"/>
            </w:tcBorders>
          </w:tcPr>
          <w:p>
            <w:pPr>
              <w:pStyle w:val="TableParagraph"/>
              <w:spacing w:line="240" w:lineRule="auto" w:before="6"/>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38" w:type="dxa"/>
            <w:tcBorders>
              <w:top w:val="single" w:sz="23" w:space="0" w:color="41B7EE"/>
              <w:left w:val="single" w:sz="4" w:space="0" w:color="41B7EE"/>
              <w:bottom w:val="single" w:sz="8" w:space="0" w:color="41B7EE"/>
              <w:right w:val="single" w:sz="4" w:space="0" w:color="41B7EE"/>
            </w:tcBorders>
          </w:tcPr>
          <w:p>
            <w:pPr>
              <w:pStyle w:val="TableParagraph"/>
              <w:spacing w:line="240" w:lineRule="auto" w:before="6"/>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23" w:space="0" w:color="41B7EE"/>
              <w:left w:val="single" w:sz="4" w:space="0" w:color="41B7EE"/>
              <w:bottom w:val="single" w:sz="8" w:space="0" w:color="41B7EE"/>
              <w:right w:val="nil" w:sz="6" w:space="0" w:color="auto"/>
            </w:tcBorders>
          </w:tcPr>
          <w:p>
            <w:pPr>
              <w:pStyle w:val="TableParagraph"/>
              <w:spacing w:line="240" w:lineRule="auto" w:before="6"/>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bl>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454.05pt;height:1pt;mso-position-horizontal-relative:char;mso-position-vertical-relative:line" coordorigin="0,0" coordsize="9081,20">
            <v:group style="position:absolute;left:10;top:10;width:3193;height:2" coordorigin="10,10" coordsize="3193,2">
              <v:shape style="position:absolute;left:10;top:10;width:3193;height:2" coordorigin="10,10" coordsize="3193,0" path="m10,10l3203,10e" filled="false" stroked="true" strokeweight=".96002pt" strokecolor="#41b7ee">
                <v:path arrowok="t"/>
              </v:shape>
            </v:group>
            <v:group style="position:absolute;left:3203;top:10;width:58;height:2" coordorigin="3203,10" coordsize="58,2">
              <v:shape style="position:absolute;left:3203;top:10;width:58;height:2" coordorigin="3203,10" coordsize="58,0" path="m3203,10l3260,10e" filled="false" stroked="true" strokeweight=".96002pt" strokecolor="#41b7ee">
                <v:path arrowok="t"/>
              </v:shape>
            </v:group>
            <v:group style="position:absolute;left:3260;top:10;width:2881;height:2" coordorigin="3260,10" coordsize="2881,2">
              <v:shape style="position:absolute;left:3260;top:10;width:2881;height:2" coordorigin="3260,10" coordsize="2881,0" path="m3260,10l6141,10e" filled="false" stroked="true" strokeweight=".96002pt" strokecolor="#41b7ee">
                <v:path arrowok="t"/>
              </v:shape>
            </v:group>
            <v:group style="position:absolute;left:6141;top:10;width:58;height:2" coordorigin="6141,10" coordsize="58,2">
              <v:shape style="position:absolute;left:6141;top:10;width:58;height:2" coordorigin="6141,10" coordsize="58,0" path="m6141,10l6198,10e" filled="false" stroked="true" strokeweight=".96002pt" strokecolor="#41b7ee">
                <v:path arrowok="t"/>
              </v:shape>
            </v:group>
            <v:group style="position:absolute;left:6198;top:10;width:2874;height:2" coordorigin="6198,10" coordsize="2874,2">
              <v:shape style="position:absolute;left:6198;top:10;width:2874;height:2" coordorigin="6198,10" coordsize="2874,0" path="m6198,10l9071,10e" filled="false" stroked="true" strokeweight=".96002pt" strokecolor="#41b7ee">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5" w:top="1300" w:bottom="1380" w:left="1020" w:right="1520"/>
        </w:sectPr>
      </w:pPr>
    </w:p>
    <w:p>
      <w:pPr>
        <w:spacing w:line="240" w:lineRule="auto" w:before="2"/>
        <w:rPr>
          <w:rFonts w:ascii="宋体" w:hAnsi="宋体" w:cs="宋体" w:eastAsia="宋体"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3198"/>
        <w:gridCol w:w="2938"/>
        <w:gridCol w:w="2926"/>
      </w:tblGrid>
      <w:tr>
        <w:trPr>
          <w:trHeight w:val="365" w:hRule="exact"/>
        </w:trPr>
        <w:tc>
          <w:tcPr>
            <w:tcW w:w="3198"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6"/>
              <w:ind w:left="112"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938" w:type="dxa"/>
            <w:tcBorders>
              <w:top w:val="single" w:sz="8" w:space="0" w:color="41B7EE"/>
              <w:left w:val="single" w:sz="4" w:space="0" w:color="41B7EE"/>
              <w:bottom w:val="single" w:sz="4" w:space="0" w:color="41B7EE"/>
              <w:right w:val="single" w:sz="4" w:space="0" w:color="41B7EE"/>
            </w:tcBorders>
          </w:tcPr>
          <w:p>
            <w:pPr/>
          </w:p>
        </w:tc>
        <w:tc>
          <w:tcPr>
            <w:tcW w:w="2926" w:type="dxa"/>
            <w:tcBorders>
              <w:top w:val="single" w:sz="8" w:space="0" w:color="41B7EE"/>
              <w:left w:val="single" w:sz="4" w:space="0" w:color="41B7EE"/>
              <w:bottom w:val="single" w:sz="4" w:space="0" w:color="41B7EE"/>
              <w:right w:val="nil" w:sz="6" w:space="0" w:color="auto"/>
            </w:tcBorders>
          </w:tcPr>
          <w:p>
            <w:pPr/>
          </w:p>
        </w:tc>
      </w:tr>
      <w:tr>
        <w:trPr>
          <w:trHeight w:val="355" w:hRule="exact"/>
        </w:trPr>
        <w:tc>
          <w:tcPr>
            <w:tcW w:w="319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938" w:type="dxa"/>
            <w:tcBorders>
              <w:top w:val="single" w:sz="4" w:space="0" w:color="41B7EE"/>
              <w:left w:val="single" w:sz="4" w:space="0" w:color="41B7EE"/>
              <w:bottom w:val="single" w:sz="4" w:space="0" w:color="41B7EE"/>
              <w:right w:val="single" w:sz="4" w:space="0" w:color="41B7EE"/>
            </w:tcBorders>
          </w:tcPr>
          <w:p>
            <w:pPr/>
          </w:p>
        </w:tc>
        <w:tc>
          <w:tcPr>
            <w:tcW w:w="2926"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19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93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204,588,311.74</w:t>
            </w:r>
          </w:p>
        </w:tc>
        <w:tc>
          <w:tcPr>
            <w:tcW w:w="292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16"/>
              <w:jc w:val="right"/>
              <w:rPr>
                <w:rFonts w:ascii="Arial" w:hAnsi="Arial" w:cs="Arial" w:eastAsia="Arial" w:hint="default"/>
                <w:sz w:val="21"/>
                <w:szCs w:val="21"/>
              </w:rPr>
            </w:pPr>
            <w:r>
              <w:rPr>
                <w:rFonts w:ascii="Arial"/>
                <w:spacing w:val="-1"/>
                <w:sz w:val="21"/>
              </w:rPr>
              <w:t>225,781,611.54</w:t>
            </w:r>
          </w:p>
        </w:tc>
      </w:tr>
      <w:tr>
        <w:trPr>
          <w:trHeight w:val="384" w:hRule="exact"/>
        </w:trPr>
        <w:tc>
          <w:tcPr>
            <w:tcW w:w="3198"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38"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204,588,311.74</w:t>
            </w:r>
          </w:p>
        </w:tc>
        <w:tc>
          <w:tcPr>
            <w:tcW w:w="2926"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225,781,611.54</w:t>
            </w:r>
          </w:p>
        </w:tc>
      </w:tr>
    </w:tbl>
    <w:p>
      <w:pPr>
        <w:spacing w:after="0" w:line="240" w:lineRule="auto"/>
        <w:jc w:val="right"/>
        <w:rPr>
          <w:rFonts w:ascii="Arial" w:hAnsi="Arial" w:cs="Arial" w:eastAsia="Arial" w:hint="default"/>
          <w:sz w:val="21"/>
          <w:szCs w:val="21"/>
        </w:rPr>
        <w:sectPr>
          <w:headerReference w:type="default" r:id="rId61"/>
          <w:pgSz w:w="11910" w:h="16840"/>
          <w:pgMar w:header="826" w:footer="1195" w:top="1300" w:bottom="1380" w:left="1020" w:right="1520"/>
        </w:sectPr>
      </w:pPr>
    </w:p>
    <w:p>
      <w:pPr>
        <w:pStyle w:val="Heading2"/>
        <w:spacing w:line="290" w:lineRule="auto" w:before="26"/>
        <w:ind w:left="256" w:right="977"/>
        <w:jc w:val="left"/>
        <w:rPr>
          <w:rFonts w:ascii="宋体" w:hAnsi="宋体" w:cs="宋体" w:eastAsia="宋体" w:hint="default"/>
          <w:b w:val="0"/>
          <w:bCs w:val="0"/>
        </w:rPr>
      </w:pPr>
      <w:r>
        <w:rPr/>
        <w:t>应收利息</w:t>
      </w:r>
      <w:r>
        <w:rPr>
          <w:rFonts w:ascii="宋体" w:hAnsi="宋体" w:cs="宋体" w:eastAsia="宋体" w:hint="default"/>
          <w:w w:val="99"/>
        </w:rPr>
        <w:t> </w:t>
      </w: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256" w:right="97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56" w:right="97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56" w:right="139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应收股利</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5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56" w:right="97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56" w:right="97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其他应收款</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按账龄披露</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56" w:right="97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ind w:left="2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020" w:right="1520"/>
          <w:cols w:num="2" w:equalWidth="0">
            <w:col w:w="3746" w:space="2777"/>
            <w:col w:w="2847"/>
          </w:cols>
        </w:sectPr>
      </w:pP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4590"/>
        <w:gridCol w:w="4472"/>
      </w:tblGrid>
      <w:tr>
        <w:trPr>
          <w:trHeight w:val="384" w:hRule="exact"/>
        </w:trPr>
        <w:tc>
          <w:tcPr>
            <w:tcW w:w="4590"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left="107"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4472"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95"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358" w:hRule="exact"/>
        </w:trPr>
        <w:tc>
          <w:tcPr>
            <w:tcW w:w="459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12"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年以内小计</w:t>
            </w:r>
          </w:p>
        </w:tc>
        <w:tc>
          <w:tcPr>
            <w:tcW w:w="447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4,347,641.90</w:t>
            </w:r>
          </w:p>
        </w:tc>
      </w:tr>
      <w:tr>
        <w:trPr>
          <w:trHeight w:val="358" w:hRule="exact"/>
        </w:trPr>
        <w:tc>
          <w:tcPr>
            <w:tcW w:w="459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12"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447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1,977,081.25</w:t>
            </w:r>
          </w:p>
        </w:tc>
      </w:tr>
      <w:tr>
        <w:trPr>
          <w:trHeight w:val="355" w:hRule="exact"/>
        </w:trPr>
        <w:tc>
          <w:tcPr>
            <w:tcW w:w="459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12"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447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338,139.14</w:t>
            </w:r>
          </w:p>
        </w:tc>
      </w:tr>
      <w:tr>
        <w:trPr>
          <w:trHeight w:val="358" w:hRule="exact"/>
        </w:trPr>
        <w:tc>
          <w:tcPr>
            <w:tcW w:w="459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12"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447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8,874,091.67</w:t>
            </w:r>
          </w:p>
        </w:tc>
      </w:tr>
      <w:tr>
        <w:trPr>
          <w:trHeight w:val="358" w:hRule="exact"/>
        </w:trPr>
        <w:tc>
          <w:tcPr>
            <w:tcW w:w="459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12" w:right="0"/>
              <w:jc w:val="left"/>
              <w:rPr>
                <w:rFonts w:ascii="宋体" w:hAnsi="宋体" w:cs="宋体" w:eastAsia="宋体" w:hint="default"/>
                <w:sz w:val="21"/>
                <w:szCs w:val="21"/>
              </w:rPr>
            </w:pPr>
            <w:r>
              <w:rPr>
                <w:rFonts w:ascii="Arial" w:hAnsi="Arial" w:cs="Arial" w:eastAsia="Arial" w:hint="default"/>
                <w:sz w:val="21"/>
                <w:szCs w:val="21"/>
              </w:rPr>
              <w:t>4</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447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13,963,558.32</w:t>
            </w:r>
          </w:p>
        </w:tc>
      </w:tr>
      <w:tr>
        <w:trPr>
          <w:trHeight w:val="358" w:hRule="exact"/>
        </w:trPr>
        <w:tc>
          <w:tcPr>
            <w:tcW w:w="459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12" w:right="0"/>
              <w:jc w:val="left"/>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4"/>
                <w:sz w:val="21"/>
                <w:szCs w:val="21"/>
              </w:rPr>
              <w:t> </w:t>
            </w:r>
            <w:r>
              <w:rPr>
                <w:rFonts w:ascii="宋体" w:hAnsi="宋体" w:cs="宋体" w:eastAsia="宋体" w:hint="default"/>
                <w:sz w:val="21"/>
                <w:szCs w:val="21"/>
              </w:rPr>
              <w:t>年以上</w:t>
            </w:r>
          </w:p>
        </w:tc>
        <w:tc>
          <w:tcPr>
            <w:tcW w:w="447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906,065,026.81</w:t>
            </w:r>
          </w:p>
        </w:tc>
      </w:tr>
      <w:tr>
        <w:trPr>
          <w:trHeight w:val="382" w:hRule="exact"/>
        </w:trPr>
        <w:tc>
          <w:tcPr>
            <w:tcW w:w="4590"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472"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935,565,539.09</w:t>
            </w:r>
          </w:p>
        </w:tc>
      </w:tr>
    </w:tbl>
    <w:p>
      <w:pPr>
        <w:spacing w:after="0" w:line="240" w:lineRule="auto"/>
        <w:jc w:val="right"/>
        <w:rPr>
          <w:rFonts w:ascii="Arial" w:hAnsi="Arial" w:cs="Arial" w:eastAsia="Arial" w:hint="default"/>
          <w:sz w:val="21"/>
          <w:szCs w:val="21"/>
        </w:rPr>
        <w:sectPr>
          <w:type w:val="continuous"/>
          <w:pgSz w:w="11910" w:h="16840"/>
          <w:pgMar w:top="1360" w:bottom="1380" w:left="1020" w:right="1520"/>
        </w:sectPr>
      </w:pPr>
    </w:p>
    <w:p>
      <w:pPr>
        <w:pStyle w:val="Heading2"/>
        <w:spacing w:line="240" w:lineRule="auto" w:before="26"/>
        <w:ind w:left="256" w:right="0"/>
        <w:jc w:val="left"/>
        <w:rPr>
          <w:rFonts w:ascii="宋体" w:hAnsi="宋体" w:cs="宋体" w:eastAsia="宋体" w:hint="default"/>
          <w:b w:val="0"/>
          <w:bCs w:val="0"/>
        </w:rPr>
      </w:pPr>
      <w:r>
        <w:rPr>
          <w:rFonts w:ascii="宋体" w:hAnsi="宋体" w:cs="宋体" w:eastAsia="宋体" w:hint="default"/>
        </w:rPr>
        <w:t>(2).</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spacing w:line="240" w:lineRule="auto"/>
        <w:ind w:left="2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020" w:right="1520"/>
          <w:cols w:num="2" w:equalWidth="0">
            <w:col w:w="2689" w:space="3824"/>
            <w:col w:w="2857"/>
          </w:cols>
        </w:sectPr>
      </w:pP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078"/>
        <w:gridCol w:w="2981"/>
        <w:gridCol w:w="2991"/>
      </w:tblGrid>
      <w:tr>
        <w:trPr>
          <w:trHeight w:val="382" w:hRule="exact"/>
        </w:trPr>
        <w:tc>
          <w:tcPr>
            <w:tcW w:w="3078"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4"/>
              <w:ind w:left="1118"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4"/>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4"/>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358" w:hRule="exact"/>
        </w:trPr>
        <w:tc>
          <w:tcPr>
            <w:tcW w:w="307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29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734,114,883.37</w:t>
            </w:r>
          </w:p>
        </w:tc>
        <w:tc>
          <w:tcPr>
            <w:tcW w:w="299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799,227,290.18</w:t>
            </w:r>
          </w:p>
        </w:tc>
      </w:tr>
      <w:tr>
        <w:trPr>
          <w:trHeight w:val="358" w:hRule="exact"/>
        </w:trPr>
        <w:tc>
          <w:tcPr>
            <w:tcW w:w="307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应收家庭农场款</w:t>
            </w:r>
            <w:r>
              <w:rPr>
                <w:rFonts w:ascii="宋体" w:hAnsi="宋体" w:cs="宋体" w:eastAsia="宋体" w:hint="default"/>
                <w:sz w:val="21"/>
                <w:szCs w:val="21"/>
              </w:rPr>
              <w:t> </w:t>
            </w:r>
          </w:p>
        </w:tc>
        <w:tc>
          <w:tcPr>
            <w:tcW w:w="29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160,976,453.33</w:t>
            </w:r>
          </w:p>
        </w:tc>
        <w:tc>
          <w:tcPr>
            <w:tcW w:w="299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161,262,917.19</w:t>
            </w:r>
          </w:p>
        </w:tc>
      </w:tr>
      <w:tr>
        <w:trPr>
          <w:trHeight w:val="358" w:hRule="exact"/>
        </w:trPr>
        <w:tc>
          <w:tcPr>
            <w:tcW w:w="307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承包结算款</w:t>
            </w:r>
            <w:r>
              <w:rPr>
                <w:rFonts w:ascii="宋体" w:hAnsi="宋体" w:cs="宋体" w:eastAsia="宋体" w:hint="default"/>
                <w:sz w:val="21"/>
                <w:szCs w:val="21"/>
              </w:rPr>
              <w:t> </w:t>
            </w:r>
          </w:p>
        </w:tc>
        <w:tc>
          <w:tcPr>
            <w:tcW w:w="29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9,259,057.94</w:t>
            </w:r>
          </w:p>
        </w:tc>
        <w:tc>
          <w:tcPr>
            <w:tcW w:w="299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9,259,057.94</w:t>
            </w:r>
          </w:p>
        </w:tc>
      </w:tr>
      <w:tr>
        <w:trPr>
          <w:trHeight w:val="355" w:hRule="exact"/>
        </w:trPr>
        <w:tc>
          <w:tcPr>
            <w:tcW w:w="307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存出保证金</w:t>
            </w:r>
            <w:r>
              <w:rPr>
                <w:rFonts w:ascii="宋体" w:hAnsi="宋体" w:cs="宋体" w:eastAsia="宋体" w:hint="default"/>
                <w:sz w:val="21"/>
                <w:szCs w:val="21"/>
              </w:rPr>
              <w:t> </w:t>
            </w:r>
          </w:p>
        </w:tc>
        <w:tc>
          <w:tcPr>
            <w:tcW w:w="29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2"/>
              <w:jc w:val="right"/>
              <w:rPr>
                <w:rFonts w:ascii="Arial" w:hAnsi="Arial" w:cs="Arial" w:eastAsia="Arial" w:hint="default"/>
                <w:sz w:val="21"/>
                <w:szCs w:val="21"/>
              </w:rPr>
            </w:pPr>
            <w:r>
              <w:rPr>
                <w:rFonts w:ascii="Arial"/>
                <w:spacing w:val="-1"/>
                <w:sz w:val="21"/>
              </w:rPr>
              <w:t>12,070,852.12</w:t>
            </w:r>
          </w:p>
        </w:tc>
        <w:tc>
          <w:tcPr>
            <w:tcW w:w="299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6,177,950.00</w:t>
            </w:r>
          </w:p>
        </w:tc>
      </w:tr>
      <w:tr>
        <w:trPr>
          <w:trHeight w:val="365" w:hRule="exact"/>
        </w:trPr>
        <w:tc>
          <w:tcPr>
            <w:tcW w:w="3078"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资产转售款</w:t>
            </w:r>
            <w:r>
              <w:rPr>
                <w:rFonts w:ascii="宋体" w:hAnsi="宋体" w:cs="宋体" w:eastAsia="宋体" w:hint="default"/>
                <w:sz w:val="21"/>
                <w:szCs w:val="21"/>
              </w:rPr>
              <w:t> </w:t>
            </w:r>
          </w:p>
        </w:tc>
        <w:tc>
          <w:tcPr>
            <w:tcW w:w="2981"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7"/>
              <w:ind w:right="101"/>
              <w:jc w:val="right"/>
              <w:rPr>
                <w:rFonts w:ascii="Arial" w:hAnsi="Arial" w:cs="Arial" w:eastAsia="Arial" w:hint="default"/>
                <w:sz w:val="21"/>
                <w:szCs w:val="21"/>
              </w:rPr>
            </w:pPr>
            <w:r>
              <w:rPr>
                <w:rFonts w:ascii="Arial"/>
                <w:spacing w:val="-1"/>
                <w:sz w:val="21"/>
              </w:rPr>
              <w:t>3,448,353.31</w:t>
            </w:r>
          </w:p>
        </w:tc>
        <w:tc>
          <w:tcPr>
            <w:tcW w:w="2991"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7"/>
              <w:ind w:right="104"/>
              <w:jc w:val="right"/>
              <w:rPr>
                <w:rFonts w:ascii="Arial" w:hAnsi="Arial" w:cs="Arial" w:eastAsia="Arial" w:hint="default"/>
                <w:sz w:val="21"/>
                <w:szCs w:val="21"/>
              </w:rPr>
            </w:pPr>
            <w:r>
              <w:rPr>
                <w:rFonts w:ascii="Arial"/>
                <w:spacing w:val="-1"/>
                <w:sz w:val="21"/>
              </w:rPr>
              <w:t>3,455,853.31</w:t>
            </w:r>
          </w:p>
        </w:tc>
      </w:tr>
    </w:tbl>
    <w:p>
      <w:pPr>
        <w:spacing w:line="20" w:lineRule="exact"/>
        <w:ind w:left="139"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073;height:2" coordorigin="10,10" coordsize="3073,2">
              <v:shape style="position:absolute;left:10;top:10;width:3073;height:2" coordorigin="10,10" coordsize="3073,0" path="m10,10l3083,10e" filled="false" stroked="true" strokeweight=".96002pt" strokecolor="#41b7ee">
                <v:path arrowok="t"/>
              </v:shape>
            </v:group>
            <v:group style="position:absolute;left:3083;top:10;width:58;height:2" coordorigin="3083,10" coordsize="58,2">
              <v:shape style="position:absolute;left:3083;top:10;width:58;height:2" coordorigin="3083,10" coordsize="58,0" path="m3083,10l3140,10e" filled="false" stroked="true" strokeweight=".96002pt" strokecolor="#41b7ee">
                <v:path arrowok="t"/>
              </v:shape>
            </v:group>
            <v:group style="position:absolute;left:3140;top:10;width:2924;height:2" coordorigin="3140,10" coordsize="2924,2">
              <v:shape style="position:absolute;left:3140;top:10;width:2924;height:2" coordorigin="3140,10" coordsize="2924,0" path="m3140,10l6064,10e" filled="false" stroked="true" strokeweight=".96002pt" strokecolor="#41b7ee">
                <v:path arrowok="t"/>
              </v:shape>
            </v:group>
            <v:group style="position:absolute;left:6064;top:10;width:58;height:2" coordorigin="6064,10" coordsize="58,2">
              <v:shape style="position:absolute;left:6064;top:10;width:58;height:2" coordorigin="6064,10" coordsize="58,0" path="m6064,10l6121,10e" filled="false" stroked="true" strokeweight=".96002pt" strokecolor="#41b7ee">
                <v:path arrowok="t"/>
              </v:shape>
            </v:group>
            <v:group style="position:absolute;left:6121;top:10;width:2938;height:2" coordorigin="6121,10" coordsize="2938,2">
              <v:shape style="position:absolute;left:6121;top:10;width:2938;height:2" coordorigin="6121,10" coordsize="2938,0" path="m6121,10l9059,10e" filled="false" stroked="true" strokeweight=".96002pt" strokecolor="#41b7ee">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360" w:bottom="1380" w:left="1020" w:right="1520"/>
        </w:sectPr>
      </w:pPr>
    </w:p>
    <w:tbl>
      <w:tblPr>
        <w:tblW w:w="0" w:type="auto"/>
        <w:jc w:val="left"/>
        <w:tblInd w:w="100" w:type="dxa"/>
        <w:tblLayout w:type="fixed"/>
        <w:tblCellMar>
          <w:top w:w="0" w:type="dxa"/>
          <w:left w:w="0" w:type="dxa"/>
          <w:bottom w:w="0" w:type="dxa"/>
          <w:right w:w="0" w:type="dxa"/>
        </w:tblCellMar>
        <w:tblLook w:val="01E0"/>
      </w:tblPr>
      <w:tblGrid>
        <w:gridCol w:w="3078"/>
        <w:gridCol w:w="2981"/>
        <w:gridCol w:w="2991"/>
      </w:tblGrid>
      <w:tr>
        <w:trPr>
          <w:trHeight w:val="365" w:hRule="exact"/>
        </w:trPr>
        <w:tc>
          <w:tcPr>
            <w:tcW w:w="3078"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6"/>
              <w:ind w:left="108" w:right="0"/>
              <w:jc w:val="left"/>
              <w:rPr>
                <w:rFonts w:ascii="宋体" w:hAnsi="宋体" w:cs="宋体" w:eastAsia="宋体" w:hint="default"/>
                <w:sz w:val="21"/>
                <w:szCs w:val="21"/>
              </w:rPr>
            </w:pPr>
            <w:r>
              <w:rPr>
                <w:rFonts w:ascii="宋体" w:hAnsi="宋体" w:cs="宋体" w:eastAsia="宋体" w:hint="default"/>
                <w:sz w:val="21"/>
                <w:szCs w:val="21"/>
              </w:rPr>
              <w:t>应收职员款</w:t>
            </w:r>
            <w:r>
              <w:rPr>
                <w:rFonts w:ascii="宋体" w:hAnsi="宋体" w:cs="宋体" w:eastAsia="宋体" w:hint="default"/>
                <w:sz w:val="21"/>
                <w:szCs w:val="21"/>
              </w:rPr>
              <w:t> </w:t>
            </w:r>
          </w:p>
        </w:tc>
        <w:tc>
          <w:tcPr>
            <w:tcW w:w="2981"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3,218,918.89</w:t>
            </w:r>
          </w:p>
        </w:tc>
        <w:tc>
          <w:tcPr>
            <w:tcW w:w="2991"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50"/>
              <w:ind w:right="104"/>
              <w:jc w:val="right"/>
              <w:rPr>
                <w:rFonts w:ascii="Arial" w:hAnsi="Arial" w:cs="Arial" w:eastAsia="Arial" w:hint="default"/>
                <w:sz w:val="21"/>
                <w:szCs w:val="21"/>
              </w:rPr>
            </w:pPr>
            <w:r>
              <w:rPr>
                <w:rFonts w:ascii="Arial"/>
                <w:spacing w:val="-1"/>
                <w:sz w:val="21"/>
              </w:rPr>
              <w:t>3,861,336.97</w:t>
            </w:r>
          </w:p>
        </w:tc>
      </w:tr>
      <w:tr>
        <w:trPr>
          <w:trHeight w:val="355" w:hRule="exact"/>
        </w:trPr>
        <w:tc>
          <w:tcPr>
            <w:tcW w:w="307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2"/>
              <w:jc w:val="right"/>
              <w:rPr>
                <w:rFonts w:ascii="Arial" w:hAnsi="Arial" w:cs="Arial" w:eastAsia="Arial" w:hint="default"/>
                <w:sz w:val="21"/>
                <w:szCs w:val="21"/>
              </w:rPr>
            </w:pPr>
            <w:r>
              <w:rPr>
                <w:rFonts w:ascii="Arial"/>
                <w:spacing w:val="-1"/>
                <w:sz w:val="21"/>
              </w:rPr>
              <w:t>12,477,020.13</w:t>
            </w:r>
          </w:p>
        </w:tc>
        <w:tc>
          <w:tcPr>
            <w:tcW w:w="299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13,940,315.04</w:t>
            </w:r>
          </w:p>
        </w:tc>
      </w:tr>
      <w:tr>
        <w:trPr>
          <w:trHeight w:val="384" w:hRule="exact"/>
        </w:trPr>
        <w:tc>
          <w:tcPr>
            <w:tcW w:w="3078"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935,565,539.09</w:t>
            </w:r>
          </w:p>
        </w:tc>
        <w:tc>
          <w:tcPr>
            <w:tcW w:w="2991"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997,184,720.63</w:t>
            </w:r>
          </w:p>
        </w:tc>
      </w:tr>
    </w:tbl>
    <w:p>
      <w:pPr>
        <w:spacing w:after="0" w:line="240" w:lineRule="auto"/>
        <w:jc w:val="right"/>
        <w:rPr>
          <w:rFonts w:ascii="Arial" w:hAnsi="Arial" w:cs="Arial" w:eastAsia="Arial" w:hint="default"/>
          <w:sz w:val="21"/>
          <w:szCs w:val="21"/>
        </w:rPr>
        <w:sectPr>
          <w:pgSz w:w="11910" w:h="16840"/>
          <w:pgMar w:header="826" w:footer="1195" w:top="1440" w:bottom="1380" w:left="1040" w:right="1520"/>
        </w:sectPr>
      </w:pPr>
    </w:p>
    <w:p>
      <w:pPr>
        <w:pStyle w:val="Heading2"/>
        <w:spacing w:line="240" w:lineRule="auto" w:before="45"/>
        <w:ind w:left="236" w:right="0"/>
        <w:jc w:val="left"/>
        <w:rPr>
          <w:rFonts w:ascii="宋体" w:hAnsi="宋体" w:cs="宋体" w:eastAsia="宋体" w:hint="default"/>
          <w:b w:val="0"/>
          <w:bCs w:val="0"/>
        </w:rPr>
      </w:pPr>
      <w:r>
        <w:rPr>
          <w:rFonts w:ascii="宋体" w:hAnsi="宋体" w:cs="宋体" w:eastAsia="宋体" w:hint="default"/>
        </w:rPr>
        <w:t>(3).</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9"/>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040" w:right="1520"/>
          <w:cols w:num="2" w:equalWidth="0">
            <w:col w:w="2458" w:space="3961"/>
            <w:col w:w="2931"/>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141"/>
        <w:gridCol w:w="1573"/>
        <w:gridCol w:w="1712"/>
        <w:gridCol w:w="1709"/>
        <w:gridCol w:w="1757"/>
      </w:tblGrid>
      <w:tr>
        <w:trPr>
          <w:trHeight w:val="382" w:hRule="exact"/>
        </w:trPr>
        <w:tc>
          <w:tcPr>
            <w:tcW w:w="2141" w:type="dxa"/>
            <w:vMerge w:val="restart"/>
            <w:tcBorders>
              <w:top w:val="single" w:sz="23" w:space="0" w:color="41B7EE"/>
              <w:left w:val="nil" w:sz="6" w:space="0" w:color="auto"/>
              <w:right w:val="single" w:sz="4" w:space="0" w:color="41B7EE"/>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65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73"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4"/>
              <w:ind w:left="360" w:right="0"/>
              <w:jc w:val="left"/>
              <w:rPr>
                <w:rFonts w:ascii="宋体" w:hAnsi="宋体" w:cs="宋体" w:eastAsia="宋体" w:hint="default"/>
                <w:sz w:val="21"/>
                <w:szCs w:val="21"/>
              </w:rPr>
            </w:pPr>
            <w:r>
              <w:rPr>
                <w:rFonts w:ascii="宋体" w:hAnsi="宋体" w:cs="宋体" w:eastAsia="宋体" w:hint="default"/>
                <w:sz w:val="21"/>
                <w:szCs w:val="21"/>
              </w:rPr>
              <w:t>第一阶段</w:t>
            </w:r>
          </w:p>
        </w:tc>
        <w:tc>
          <w:tcPr>
            <w:tcW w:w="1712"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4"/>
              <w:ind w:left="429" w:right="0"/>
              <w:jc w:val="left"/>
              <w:rPr>
                <w:rFonts w:ascii="宋体" w:hAnsi="宋体" w:cs="宋体" w:eastAsia="宋体" w:hint="default"/>
                <w:sz w:val="21"/>
                <w:szCs w:val="21"/>
              </w:rPr>
            </w:pPr>
            <w:r>
              <w:rPr>
                <w:rFonts w:ascii="宋体" w:hAnsi="宋体" w:cs="宋体" w:eastAsia="宋体" w:hint="default"/>
                <w:sz w:val="21"/>
                <w:szCs w:val="21"/>
              </w:rPr>
              <w:t>第二阶段</w:t>
            </w:r>
          </w:p>
        </w:tc>
        <w:tc>
          <w:tcPr>
            <w:tcW w:w="1709"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4"/>
              <w:ind w:left="427" w:right="0"/>
              <w:jc w:val="left"/>
              <w:rPr>
                <w:rFonts w:ascii="宋体" w:hAnsi="宋体" w:cs="宋体" w:eastAsia="宋体" w:hint="default"/>
                <w:sz w:val="21"/>
                <w:szCs w:val="21"/>
              </w:rPr>
            </w:pPr>
            <w:r>
              <w:rPr>
                <w:rFonts w:ascii="宋体" w:hAnsi="宋体" w:cs="宋体" w:eastAsia="宋体" w:hint="default"/>
                <w:sz w:val="21"/>
                <w:szCs w:val="21"/>
              </w:rPr>
              <w:t>第三阶段</w:t>
            </w:r>
          </w:p>
        </w:tc>
        <w:tc>
          <w:tcPr>
            <w:tcW w:w="1757" w:type="dxa"/>
            <w:vMerge w:val="restart"/>
            <w:tcBorders>
              <w:top w:val="single" w:sz="23" w:space="0" w:color="41B7EE"/>
              <w:left w:val="single" w:sz="4" w:space="0" w:color="41B7EE"/>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2"/>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828" w:hRule="exact"/>
        </w:trPr>
        <w:tc>
          <w:tcPr>
            <w:tcW w:w="2141" w:type="dxa"/>
            <w:vMerge/>
            <w:tcBorders>
              <w:left w:val="nil" w:sz="6" w:space="0" w:color="auto"/>
              <w:bottom w:val="single" w:sz="4" w:space="0" w:color="41B7EE"/>
              <w:right w:val="single" w:sz="4" w:space="0" w:color="41B7EE"/>
            </w:tcBorders>
          </w:tcPr>
          <w:p>
            <w:pPr/>
          </w:p>
        </w:tc>
        <w:tc>
          <w:tcPr>
            <w:tcW w:w="1573" w:type="dxa"/>
            <w:tcBorders>
              <w:top w:val="single" w:sz="4" w:space="0" w:color="41B7EE"/>
              <w:left w:val="single" w:sz="4" w:space="0" w:color="41B7EE"/>
              <w:bottom w:val="single" w:sz="4" w:space="0" w:color="41B7EE"/>
              <w:right w:val="single" w:sz="4" w:space="0" w:color="41B7EE"/>
            </w:tcBorders>
          </w:tcPr>
          <w:p>
            <w:pPr>
              <w:pStyle w:val="TableParagraph"/>
              <w:spacing w:line="272" w:lineRule="exact" w:before="130"/>
              <w:ind w:left="360" w:right="31" w:hanging="327"/>
              <w:jc w:val="left"/>
              <w:rPr>
                <w:rFonts w:ascii="宋体" w:hAnsi="宋体" w:cs="宋体" w:eastAsia="宋体" w:hint="default"/>
                <w:sz w:val="21"/>
                <w:szCs w:val="21"/>
              </w:rPr>
            </w:pPr>
            <w:r>
              <w:rPr>
                <w:rFonts w:ascii="宋体" w:hAnsi="宋体" w:cs="宋体" w:eastAsia="宋体" w:hint="default"/>
                <w:sz w:val="21"/>
                <w:szCs w:val="21"/>
              </w:rPr>
              <w:t>未来</w:t>
            </w:r>
            <w:r>
              <w:rPr>
                <w:rFonts w:ascii="Arial" w:hAnsi="Arial" w:cs="Arial" w:eastAsia="Arial" w:hint="default"/>
                <w:sz w:val="21"/>
                <w:szCs w:val="21"/>
              </w:rPr>
              <w:t>12</w:t>
            </w:r>
            <w:r>
              <w:rPr>
                <w:rFonts w:ascii="宋体" w:hAnsi="宋体" w:cs="宋体" w:eastAsia="宋体" w:hint="default"/>
                <w:sz w:val="21"/>
                <w:szCs w:val="21"/>
              </w:rPr>
              <w:t>个月预期</w:t>
            </w:r>
            <w:r>
              <w:rPr>
                <w:rFonts w:ascii="宋体" w:hAnsi="宋体" w:cs="宋体" w:eastAsia="宋体" w:hint="default"/>
                <w:w w:val="100"/>
                <w:sz w:val="21"/>
                <w:szCs w:val="21"/>
              </w:rPr>
              <w:t> </w:t>
            </w:r>
            <w:r>
              <w:rPr>
                <w:rFonts w:ascii="宋体" w:hAnsi="宋体" w:cs="宋体" w:eastAsia="宋体" w:hint="default"/>
                <w:sz w:val="21"/>
                <w:szCs w:val="21"/>
              </w:rPr>
              <w:t>信用损失</w:t>
            </w:r>
          </w:p>
        </w:tc>
        <w:tc>
          <w:tcPr>
            <w:tcW w:w="1712" w:type="dxa"/>
            <w:tcBorders>
              <w:top w:val="single" w:sz="4" w:space="0" w:color="41B7EE"/>
              <w:left w:val="single" w:sz="4" w:space="0" w:color="41B7EE"/>
              <w:bottom w:val="single" w:sz="4" w:space="0" w:color="41B7EE"/>
              <w:right w:val="single" w:sz="4" w:space="0" w:color="41B7EE"/>
            </w:tcBorders>
          </w:tcPr>
          <w:p>
            <w:pPr>
              <w:pStyle w:val="TableParagraph"/>
              <w:spacing w:line="240" w:lineRule="exact"/>
              <w:ind w:left="21" w:right="0" w:firstLine="91"/>
              <w:jc w:val="left"/>
              <w:rPr>
                <w:rFonts w:ascii="宋体" w:hAnsi="宋体" w:cs="宋体" w:eastAsia="宋体" w:hint="default"/>
                <w:sz w:val="21"/>
                <w:szCs w:val="21"/>
              </w:rPr>
            </w:pPr>
            <w:r>
              <w:rPr>
                <w:rFonts w:ascii="宋体" w:hAnsi="宋体" w:cs="宋体" w:eastAsia="宋体" w:hint="default"/>
                <w:sz w:val="21"/>
                <w:szCs w:val="21"/>
              </w:rPr>
              <w:t>整个存续期预期</w:t>
            </w:r>
          </w:p>
          <w:p>
            <w:pPr>
              <w:pStyle w:val="TableParagraph"/>
              <w:spacing w:line="272" w:lineRule="exact" w:before="27"/>
              <w:ind w:left="393" w:right="19" w:hanging="372"/>
              <w:jc w:val="left"/>
              <w:rPr>
                <w:rFonts w:ascii="Arial" w:hAnsi="Arial" w:cs="Arial" w:eastAsia="Arial" w:hint="default"/>
                <w:sz w:val="21"/>
                <w:szCs w:val="21"/>
              </w:rPr>
            </w:pPr>
            <w:r>
              <w:rPr>
                <w:rFonts w:ascii="宋体" w:hAnsi="宋体" w:cs="宋体" w:eastAsia="宋体" w:hint="default"/>
                <w:spacing w:val="-5"/>
                <w:sz w:val="21"/>
                <w:szCs w:val="21"/>
              </w:rPr>
              <w:t>信用损失（未发生</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信用减值</w:t>
            </w:r>
            <w:r>
              <w:rPr>
                <w:rFonts w:ascii="Arial" w:hAnsi="Arial" w:cs="Arial" w:eastAsia="Arial" w:hint="default"/>
                <w:sz w:val="21"/>
                <w:szCs w:val="21"/>
              </w:rPr>
              <w:t>)</w:t>
            </w:r>
          </w:p>
        </w:tc>
        <w:tc>
          <w:tcPr>
            <w:tcW w:w="1709" w:type="dxa"/>
            <w:tcBorders>
              <w:top w:val="single" w:sz="4" w:space="0" w:color="41B7EE"/>
              <w:left w:val="single" w:sz="4" w:space="0" w:color="41B7EE"/>
              <w:bottom w:val="single" w:sz="4" w:space="0" w:color="41B7EE"/>
              <w:right w:val="single" w:sz="4" w:space="0" w:color="41B7EE"/>
            </w:tcBorders>
          </w:tcPr>
          <w:p>
            <w:pPr>
              <w:pStyle w:val="TableParagraph"/>
              <w:spacing w:line="240" w:lineRule="exact"/>
              <w:ind w:left="21" w:right="0" w:firstLine="91"/>
              <w:jc w:val="left"/>
              <w:rPr>
                <w:rFonts w:ascii="宋体" w:hAnsi="宋体" w:cs="宋体" w:eastAsia="宋体" w:hint="default"/>
                <w:sz w:val="21"/>
                <w:szCs w:val="21"/>
              </w:rPr>
            </w:pPr>
            <w:r>
              <w:rPr>
                <w:rFonts w:ascii="宋体" w:hAnsi="宋体" w:cs="宋体" w:eastAsia="宋体" w:hint="default"/>
                <w:sz w:val="21"/>
                <w:szCs w:val="21"/>
              </w:rPr>
              <w:t>整个存续期预期</w:t>
            </w:r>
          </w:p>
          <w:p>
            <w:pPr>
              <w:pStyle w:val="TableParagraph"/>
              <w:spacing w:line="272" w:lineRule="exact" w:before="27"/>
              <w:ind w:left="393" w:right="19" w:hanging="372"/>
              <w:jc w:val="left"/>
              <w:rPr>
                <w:rFonts w:ascii="Arial" w:hAnsi="Arial" w:cs="Arial" w:eastAsia="Arial" w:hint="default"/>
                <w:sz w:val="21"/>
                <w:szCs w:val="21"/>
              </w:rPr>
            </w:pPr>
            <w:r>
              <w:rPr>
                <w:rFonts w:ascii="宋体" w:hAnsi="宋体" w:cs="宋体" w:eastAsia="宋体" w:hint="default"/>
                <w:spacing w:val="-5"/>
                <w:sz w:val="21"/>
                <w:szCs w:val="21"/>
              </w:rPr>
              <w:t>信用损失（已发生</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信用减值</w:t>
            </w:r>
            <w:r>
              <w:rPr>
                <w:rFonts w:ascii="Arial" w:hAnsi="Arial" w:cs="Arial" w:eastAsia="Arial" w:hint="default"/>
                <w:sz w:val="21"/>
                <w:szCs w:val="21"/>
              </w:rPr>
              <w:t>)</w:t>
            </w:r>
          </w:p>
        </w:tc>
        <w:tc>
          <w:tcPr>
            <w:tcW w:w="1757" w:type="dxa"/>
            <w:vMerge/>
            <w:tcBorders>
              <w:left w:val="single" w:sz="4" w:space="0" w:color="41B7EE"/>
              <w:bottom w:val="single" w:sz="4" w:space="0" w:color="41B7EE"/>
              <w:right w:val="nil" w:sz="6" w:space="0" w:color="auto"/>
            </w:tcBorders>
          </w:tcPr>
          <w:p>
            <w:pPr/>
          </w:p>
        </w:tc>
      </w:tr>
      <w:tr>
        <w:trPr>
          <w:trHeight w:val="355" w:hRule="exact"/>
        </w:trPr>
        <w:tc>
          <w:tcPr>
            <w:tcW w:w="21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Arial" w:hAnsi="Arial" w:cs="Arial" w:eastAsia="Arial" w:hint="default"/>
                <w:sz w:val="21"/>
                <w:szCs w:val="21"/>
              </w:rPr>
              <w:t>2019</w:t>
            </w:r>
            <w:r>
              <w:rPr>
                <w:rFonts w:ascii="宋体" w:hAnsi="宋体" w:cs="宋体" w:eastAsia="宋体" w:hint="default"/>
                <w:sz w:val="21"/>
                <w:szCs w:val="21"/>
              </w:rPr>
              <w:t>年</w:t>
            </w:r>
            <w:r>
              <w:rPr>
                <w:rFonts w:ascii="Arial" w:hAnsi="Arial" w:cs="Arial" w:eastAsia="Arial" w:hint="default"/>
                <w:sz w:val="21"/>
                <w:szCs w:val="21"/>
              </w:rPr>
              <w:t>1</w:t>
            </w:r>
            <w:r>
              <w:rPr>
                <w:rFonts w:ascii="宋体" w:hAnsi="宋体" w:cs="宋体" w:eastAsia="宋体" w:hint="default"/>
                <w:sz w:val="21"/>
                <w:szCs w:val="21"/>
              </w:rPr>
              <w:t>月</w:t>
            </w:r>
            <w:r>
              <w:rPr>
                <w:rFonts w:ascii="Arial" w:hAnsi="Arial" w:cs="Arial" w:eastAsia="Arial" w:hint="default"/>
                <w:sz w:val="21"/>
                <w:szCs w:val="21"/>
              </w:rPr>
              <w:t>1</w:t>
            </w:r>
            <w:r>
              <w:rPr>
                <w:rFonts w:ascii="宋体" w:hAnsi="宋体" w:cs="宋体" w:eastAsia="宋体" w:hint="default"/>
                <w:sz w:val="21"/>
                <w:szCs w:val="21"/>
              </w:rPr>
              <w:t>日余额</w:t>
            </w:r>
          </w:p>
        </w:tc>
        <w:tc>
          <w:tcPr>
            <w:tcW w:w="157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55,159.15</w:t>
            </w:r>
          </w:p>
        </w:tc>
        <w:tc>
          <w:tcPr>
            <w:tcW w:w="171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1,466,696.09</w:t>
            </w:r>
          </w:p>
        </w:tc>
        <w:tc>
          <w:tcPr>
            <w:tcW w:w="17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769,881,253.85</w:t>
            </w:r>
          </w:p>
        </w:tc>
        <w:tc>
          <w:tcPr>
            <w:tcW w:w="17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771,403,109.09</w:t>
            </w:r>
          </w:p>
        </w:tc>
      </w:tr>
      <w:tr>
        <w:trPr>
          <w:trHeight w:val="358" w:hRule="exact"/>
        </w:trPr>
        <w:tc>
          <w:tcPr>
            <w:tcW w:w="21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5"/>
              <w:ind w:left="28"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57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1"/>
              <w:ind w:right="19"/>
              <w:jc w:val="right"/>
              <w:rPr>
                <w:rFonts w:ascii="Arial" w:hAnsi="Arial" w:cs="Arial" w:eastAsia="Arial" w:hint="default"/>
                <w:sz w:val="21"/>
                <w:szCs w:val="21"/>
              </w:rPr>
            </w:pPr>
            <w:r>
              <w:rPr>
                <w:rFonts w:ascii="Arial"/>
                <w:spacing w:val="-1"/>
                <w:sz w:val="21"/>
              </w:rPr>
              <w:t>-131,112.62</w:t>
            </w:r>
          </w:p>
        </w:tc>
        <w:tc>
          <w:tcPr>
            <w:tcW w:w="171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1"/>
              <w:ind w:right="20"/>
              <w:jc w:val="right"/>
              <w:rPr>
                <w:rFonts w:ascii="Arial" w:hAnsi="Arial" w:cs="Arial" w:eastAsia="Arial" w:hint="default"/>
                <w:sz w:val="21"/>
                <w:szCs w:val="21"/>
              </w:rPr>
            </w:pPr>
            <w:r>
              <w:rPr>
                <w:rFonts w:ascii="Arial"/>
                <w:spacing w:val="-1"/>
                <w:sz w:val="21"/>
              </w:rPr>
              <w:t>-484,708.92</w:t>
            </w:r>
          </w:p>
        </w:tc>
        <w:tc>
          <w:tcPr>
            <w:tcW w:w="17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1"/>
              <w:ind w:right="19"/>
              <w:jc w:val="right"/>
              <w:rPr>
                <w:rFonts w:ascii="Arial" w:hAnsi="Arial" w:cs="Arial" w:eastAsia="Arial" w:hint="default"/>
                <w:sz w:val="21"/>
                <w:szCs w:val="21"/>
              </w:rPr>
            </w:pPr>
            <w:r>
              <w:rPr>
                <w:rFonts w:ascii="Arial"/>
                <w:spacing w:val="-1"/>
                <w:sz w:val="21"/>
              </w:rPr>
              <w:t>602,862.09</w:t>
            </w:r>
          </w:p>
        </w:tc>
        <w:tc>
          <w:tcPr>
            <w:tcW w:w="17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1"/>
              <w:ind w:right="24"/>
              <w:jc w:val="right"/>
              <w:rPr>
                <w:rFonts w:ascii="Arial" w:hAnsi="Arial" w:cs="Arial" w:eastAsia="Arial" w:hint="default"/>
                <w:sz w:val="21"/>
                <w:szCs w:val="21"/>
              </w:rPr>
            </w:pPr>
            <w:r>
              <w:rPr>
                <w:rFonts w:ascii="Arial"/>
                <w:spacing w:val="-1"/>
                <w:sz w:val="21"/>
              </w:rPr>
              <w:t>-12,959.45</w:t>
            </w:r>
          </w:p>
        </w:tc>
      </w:tr>
      <w:tr>
        <w:trPr>
          <w:trHeight w:val="358" w:hRule="exact"/>
        </w:trPr>
        <w:tc>
          <w:tcPr>
            <w:tcW w:w="21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本期转回</w:t>
            </w:r>
          </w:p>
        </w:tc>
        <w:tc>
          <w:tcPr>
            <w:tcW w:w="157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-81,438.95</w:t>
            </w:r>
          </w:p>
        </w:tc>
        <w:tc>
          <w:tcPr>
            <w:tcW w:w="1712" w:type="dxa"/>
            <w:tcBorders>
              <w:top w:val="single" w:sz="4" w:space="0" w:color="41B7EE"/>
              <w:left w:val="single" w:sz="4" w:space="0" w:color="41B7EE"/>
              <w:bottom w:val="single" w:sz="4" w:space="0" w:color="41B7EE"/>
              <w:right w:val="single" w:sz="4" w:space="0" w:color="41B7EE"/>
            </w:tcBorders>
          </w:tcPr>
          <w:p>
            <w:pPr/>
          </w:p>
        </w:tc>
        <w:tc>
          <w:tcPr>
            <w:tcW w:w="17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677,595.55</w:t>
            </w:r>
          </w:p>
        </w:tc>
        <w:tc>
          <w:tcPr>
            <w:tcW w:w="17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596,156.60</w:t>
            </w:r>
          </w:p>
        </w:tc>
      </w:tr>
      <w:tr>
        <w:trPr>
          <w:trHeight w:val="358" w:hRule="exact"/>
        </w:trPr>
        <w:tc>
          <w:tcPr>
            <w:tcW w:w="21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本期转销</w:t>
            </w:r>
          </w:p>
        </w:tc>
        <w:tc>
          <w:tcPr>
            <w:tcW w:w="1573" w:type="dxa"/>
            <w:tcBorders>
              <w:top w:val="single" w:sz="4" w:space="0" w:color="41B7EE"/>
              <w:left w:val="single" w:sz="4" w:space="0" w:color="41B7EE"/>
              <w:bottom w:val="single" w:sz="4" w:space="0" w:color="41B7EE"/>
              <w:right w:val="single" w:sz="4" w:space="0" w:color="41B7EE"/>
            </w:tcBorders>
          </w:tcPr>
          <w:p>
            <w:pPr/>
          </w:p>
        </w:tc>
        <w:tc>
          <w:tcPr>
            <w:tcW w:w="1712" w:type="dxa"/>
            <w:tcBorders>
              <w:top w:val="single" w:sz="4" w:space="0" w:color="41B7EE"/>
              <w:left w:val="single" w:sz="4" w:space="0" w:color="41B7EE"/>
              <w:bottom w:val="single" w:sz="4" w:space="0" w:color="41B7EE"/>
              <w:right w:val="single" w:sz="4" w:space="0" w:color="41B7EE"/>
            </w:tcBorders>
          </w:tcPr>
          <w:p>
            <w:pPr/>
          </w:p>
        </w:tc>
        <w:tc>
          <w:tcPr>
            <w:tcW w:w="170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39,816,765.69</w:t>
            </w:r>
          </w:p>
        </w:tc>
        <w:tc>
          <w:tcPr>
            <w:tcW w:w="17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5"/>
              <w:jc w:val="right"/>
              <w:rPr>
                <w:rFonts w:ascii="Arial" w:hAnsi="Arial" w:cs="Arial" w:eastAsia="Arial" w:hint="default"/>
                <w:sz w:val="21"/>
                <w:szCs w:val="21"/>
              </w:rPr>
            </w:pPr>
            <w:r>
              <w:rPr>
                <w:rFonts w:ascii="Arial"/>
                <w:spacing w:val="-1"/>
                <w:sz w:val="21"/>
              </w:rPr>
              <w:t>39,816,765.69</w:t>
            </w:r>
          </w:p>
        </w:tc>
      </w:tr>
      <w:tr>
        <w:trPr>
          <w:trHeight w:val="382" w:hRule="exact"/>
        </w:trPr>
        <w:tc>
          <w:tcPr>
            <w:tcW w:w="2141"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Arial" w:hAnsi="Arial" w:cs="Arial" w:eastAsia="Arial" w:hint="default"/>
                <w:sz w:val="21"/>
                <w:szCs w:val="21"/>
              </w:rPr>
              <w:t>2019</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31</w:t>
            </w:r>
            <w:r>
              <w:rPr>
                <w:rFonts w:ascii="宋体" w:hAnsi="宋体" w:cs="宋体" w:eastAsia="宋体" w:hint="default"/>
                <w:sz w:val="21"/>
                <w:szCs w:val="21"/>
              </w:rPr>
              <w:t>日余额</w:t>
            </w:r>
          </w:p>
        </w:tc>
        <w:tc>
          <w:tcPr>
            <w:tcW w:w="1573"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5,485.48</w:t>
            </w:r>
          </w:p>
        </w:tc>
        <w:tc>
          <w:tcPr>
            <w:tcW w:w="1712"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981,987.17</w:t>
            </w:r>
          </w:p>
        </w:tc>
        <w:tc>
          <w:tcPr>
            <w:tcW w:w="1709"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729,989,754.70</w:t>
            </w:r>
          </w:p>
        </w:tc>
        <w:tc>
          <w:tcPr>
            <w:tcW w:w="1757"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730,977,227.35</w:t>
            </w:r>
          </w:p>
        </w:tc>
      </w:tr>
    </w:tbl>
    <w:p>
      <w:pPr>
        <w:pStyle w:val="BodyText"/>
        <w:spacing w:line="240" w:lineRule="exact"/>
        <w:ind w:left="236" w:right="0"/>
        <w:jc w:val="left"/>
      </w:pPr>
      <w:r>
        <w:rPr/>
        <w:t>对本期发生损失准备变动的其他应收款账面余额显著变动的情况说明：</w:t>
      </w:r>
    </w:p>
    <w:p>
      <w:pPr>
        <w:pStyle w:val="BodyText"/>
        <w:spacing w:line="272" w:lineRule="exact" w:before="27"/>
        <w:ind w:left="236" w:right="135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本期坏账准备计提金额以及评估金融工具的信用风险是否显著增加的采用依据：</w:t>
      </w:r>
      <w:r>
        <w:rPr>
          <w:rFonts w:ascii="宋体" w:hAnsi="宋体" w:cs="宋体" w:eastAsia="宋体" w:hint="default"/>
        </w:rPr>
        <w:t> </w:t>
      </w:r>
    </w:p>
    <w:p>
      <w:pPr>
        <w:pStyle w:val="BodyText"/>
        <w:spacing w:line="249"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(4).</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51" w:val="left" w:leader="none"/>
        </w:tabs>
        <w:spacing w:line="271" w:lineRule="exact"/>
        <w:ind w:left="0" w:right="27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50" w:type="dxa"/>
        <w:tblLayout w:type="fixed"/>
        <w:tblCellMar>
          <w:top w:w="0" w:type="dxa"/>
          <w:left w:w="0" w:type="dxa"/>
          <w:bottom w:w="0" w:type="dxa"/>
          <w:right w:w="0" w:type="dxa"/>
        </w:tblCellMar>
        <w:tblLook w:val="01E0"/>
      </w:tblPr>
      <w:tblGrid>
        <w:gridCol w:w="2256"/>
        <w:gridCol w:w="1333"/>
        <w:gridCol w:w="1150"/>
        <w:gridCol w:w="1006"/>
        <w:gridCol w:w="1291"/>
        <w:gridCol w:w="583"/>
        <w:gridCol w:w="1330"/>
      </w:tblGrid>
      <w:tr>
        <w:trPr>
          <w:trHeight w:val="382" w:hRule="exact"/>
        </w:trPr>
        <w:tc>
          <w:tcPr>
            <w:tcW w:w="2256" w:type="dxa"/>
            <w:vMerge w:val="restart"/>
            <w:tcBorders>
              <w:top w:val="single" w:sz="23" w:space="0" w:color="41B7EE"/>
              <w:left w:val="nil" w:sz="6" w:space="0" w:color="auto"/>
              <w:right w:val="single" w:sz="4" w:space="0" w:color="41B7EE"/>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3"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333" w:type="dxa"/>
            <w:vMerge w:val="restart"/>
            <w:tcBorders>
              <w:top w:val="single" w:sz="23" w:space="0" w:color="41B7EE"/>
              <w:left w:val="single" w:sz="4" w:space="0" w:color="41B7EE"/>
              <w:right w:val="single" w:sz="4" w:space="0" w:color="41B7EE"/>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030" w:type="dxa"/>
            <w:gridSpan w:val="4"/>
            <w:tcBorders>
              <w:top w:val="single" w:sz="23" w:space="0" w:color="41B7EE"/>
              <w:left w:val="single" w:sz="4" w:space="0" w:color="41B7EE"/>
              <w:bottom w:val="single" w:sz="4" w:space="0" w:color="41B7EE"/>
              <w:right w:val="single" w:sz="4" w:space="0" w:color="41B7EE"/>
            </w:tcBorders>
          </w:tcPr>
          <w:p>
            <w:pPr>
              <w:pStyle w:val="TableParagraph"/>
              <w:spacing w:line="240" w:lineRule="auto" w:before="4"/>
              <w:ind w:left="1377" w:right="0"/>
              <w:jc w:val="left"/>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330" w:type="dxa"/>
            <w:vMerge w:val="restart"/>
            <w:tcBorders>
              <w:top w:val="single" w:sz="23" w:space="0" w:color="41B7EE"/>
              <w:left w:val="single" w:sz="4" w:space="0" w:color="41B7EE"/>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2256" w:type="dxa"/>
            <w:vMerge/>
            <w:tcBorders>
              <w:left w:val="nil" w:sz="6" w:space="0" w:color="auto"/>
              <w:bottom w:val="single" w:sz="4" w:space="0" w:color="41B7EE"/>
              <w:right w:val="single" w:sz="4" w:space="0" w:color="41B7EE"/>
            </w:tcBorders>
          </w:tcPr>
          <w:p>
            <w:pPr/>
          </w:p>
        </w:tc>
        <w:tc>
          <w:tcPr>
            <w:tcW w:w="1333" w:type="dxa"/>
            <w:vMerge/>
            <w:tcBorders>
              <w:left w:val="single" w:sz="4" w:space="0" w:color="41B7EE"/>
              <w:bottom w:val="single" w:sz="4" w:space="0" w:color="41B7EE"/>
              <w:right w:val="single" w:sz="4" w:space="0" w:color="41B7EE"/>
            </w:tcBorders>
          </w:tcPr>
          <w:p>
            <w:pPr/>
          </w:p>
        </w:tc>
        <w:tc>
          <w:tcPr>
            <w:tcW w:w="115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357"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006" w:type="dxa"/>
            <w:tcBorders>
              <w:top w:val="single" w:sz="4" w:space="0" w:color="41B7EE"/>
              <w:left w:val="single" w:sz="4" w:space="0" w:color="41B7EE"/>
              <w:bottom w:val="single" w:sz="4" w:space="0" w:color="41B7EE"/>
              <w:right w:val="single" w:sz="4" w:space="0" w:color="41B7EE"/>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收回或转</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回</w:t>
            </w:r>
            <w:r>
              <w:rPr>
                <w:rFonts w:ascii="宋体" w:hAnsi="宋体" w:cs="宋体" w:eastAsia="宋体" w:hint="default"/>
                <w:sz w:val="21"/>
                <w:szCs w:val="21"/>
              </w:rPr>
              <w:t> </w:t>
            </w:r>
          </w:p>
        </w:tc>
        <w:tc>
          <w:tcPr>
            <w:tcW w:w="12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right="11"/>
              <w:jc w:val="right"/>
              <w:rPr>
                <w:rFonts w:ascii="宋体" w:hAnsi="宋体" w:cs="宋体" w:eastAsia="宋体" w:hint="default"/>
                <w:sz w:val="21"/>
                <w:szCs w:val="21"/>
              </w:rPr>
            </w:pPr>
            <w:r>
              <w:rPr>
                <w:rFonts w:ascii="宋体" w:hAnsi="宋体" w:cs="宋体" w:eastAsia="宋体" w:hint="default"/>
                <w:spacing w:val="-2"/>
                <w:sz w:val="21"/>
                <w:szCs w:val="21"/>
              </w:rPr>
              <w:t>转销或核销</w:t>
            </w:r>
            <w:r>
              <w:rPr>
                <w:rFonts w:ascii="宋体" w:hAnsi="宋体" w:cs="宋体" w:eastAsia="宋体" w:hint="default"/>
                <w:sz w:val="21"/>
                <w:szCs w:val="21"/>
              </w:rPr>
              <w:t> </w:t>
            </w:r>
          </w:p>
        </w:tc>
        <w:tc>
          <w:tcPr>
            <w:tcW w:w="583" w:type="dxa"/>
            <w:tcBorders>
              <w:top w:val="single" w:sz="4" w:space="0" w:color="41B7EE"/>
              <w:left w:val="single" w:sz="4" w:space="0" w:color="41B7EE"/>
              <w:bottom w:val="single" w:sz="4" w:space="0" w:color="41B7EE"/>
              <w:right w:val="single" w:sz="4" w:space="0" w:color="41B7EE"/>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变动</w:t>
            </w:r>
          </w:p>
        </w:tc>
        <w:tc>
          <w:tcPr>
            <w:tcW w:w="1330" w:type="dxa"/>
            <w:vMerge/>
            <w:tcBorders>
              <w:left w:val="single" w:sz="4" w:space="0" w:color="41B7EE"/>
              <w:bottom w:val="single" w:sz="4" w:space="0" w:color="41B7EE"/>
              <w:right w:val="nil" w:sz="6" w:space="0" w:color="auto"/>
            </w:tcBorders>
          </w:tcPr>
          <w:p>
            <w:pPr/>
          </w:p>
        </w:tc>
      </w:tr>
      <w:tr>
        <w:trPr>
          <w:trHeight w:val="358" w:hRule="exact"/>
        </w:trPr>
        <w:tc>
          <w:tcPr>
            <w:tcW w:w="225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7" w:right="0"/>
              <w:jc w:val="left"/>
              <w:rPr>
                <w:rFonts w:ascii="宋体" w:hAnsi="宋体" w:cs="宋体" w:eastAsia="宋体" w:hint="default"/>
                <w:sz w:val="21"/>
                <w:szCs w:val="21"/>
              </w:rPr>
            </w:pPr>
            <w:r>
              <w:rPr>
                <w:rFonts w:ascii="宋体" w:hAnsi="宋体" w:cs="宋体" w:eastAsia="宋体" w:hint="default"/>
                <w:b/>
                <w:bCs/>
                <w:sz w:val="21"/>
                <w:szCs w:val="21"/>
              </w:rPr>
              <w:t>单项计提</w:t>
            </w:r>
            <w:r>
              <w:rPr>
                <w:rFonts w:ascii="宋体" w:hAnsi="宋体" w:cs="宋体" w:eastAsia="宋体" w:hint="default"/>
                <w:w w:val="100"/>
                <w:sz w:val="21"/>
                <w:szCs w:val="21"/>
              </w:rPr>
              <w:t> </w:t>
            </w:r>
          </w:p>
        </w:tc>
        <w:tc>
          <w:tcPr>
            <w:tcW w:w="1333" w:type="dxa"/>
            <w:tcBorders>
              <w:top w:val="single" w:sz="4" w:space="0" w:color="41B7EE"/>
              <w:left w:val="single" w:sz="4" w:space="0" w:color="41B7EE"/>
              <w:bottom w:val="single" w:sz="4" w:space="0" w:color="41B7EE"/>
              <w:right w:val="single" w:sz="4" w:space="0" w:color="41B7EE"/>
            </w:tcBorders>
          </w:tcPr>
          <w:p>
            <w:pPr/>
          </w:p>
        </w:tc>
        <w:tc>
          <w:tcPr>
            <w:tcW w:w="1150" w:type="dxa"/>
            <w:tcBorders>
              <w:top w:val="single" w:sz="4" w:space="0" w:color="41B7EE"/>
              <w:left w:val="single" w:sz="4" w:space="0" w:color="41B7EE"/>
              <w:bottom w:val="single" w:sz="4" w:space="0" w:color="41B7EE"/>
              <w:right w:val="single" w:sz="4" w:space="0" w:color="41B7EE"/>
            </w:tcBorders>
          </w:tcPr>
          <w:p>
            <w:pPr/>
          </w:p>
        </w:tc>
        <w:tc>
          <w:tcPr>
            <w:tcW w:w="1006" w:type="dxa"/>
            <w:tcBorders>
              <w:top w:val="single" w:sz="4" w:space="0" w:color="41B7EE"/>
              <w:left w:val="single" w:sz="4" w:space="0" w:color="41B7EE"/>
              <w:bottom w:val="single" w:sz="4" w:space="0" w:color="41B7EE"/>
              <w:right w:val="single" w:sz="4" w:space="0" w:color="41B7EE"/>
            </w:tcBorders>
          </w:tcPr>
          <w:p>
            <w:pPr/>
          </w:p>
        </w:tc>
        <w:tc>
          <w:tcPr>
            <w:tcW w:w="1291" w:type="dxa"/>
            <w:tcBorders>
              <w:top w:val="single" w:sz="4" w:space="0" w:color="41B7EE"/>
              <w:left w:val="single" w:sz="4" w:space="0" w:color="41B7EE"/>
              <w:bottom w:val="single" w:sz="4" w:space="0" w:color="41B7EE"/>
              <w:right w:val="single" w:sz="4" w:space="0" w:color="41B7EE"/>
            </w:tcBorders>
          </w:tcPr>
          <w:p>
            <w:pPr/>
          </w:p>
        </w:tc>
        <w:tc>
          <w:tcPr>
            <w:tcW w:w="583" w:type="dxa"/>
            <w:tcBorders>
              <w:top w:val="single" w:sz="4" w:space="0" w:color="41B7EE"/>
              <w:left w:val="single" w:sz="4" w:space="0" w:color="41B7EE"/>
              <w:bottom w:val="single" w:sz="4" w:space="0" w:color="41B7EE"/>
              <w:right w:val="single" w:sz="4" w:space="0" w:color="41B7EE"/>
            </w:tcBorders>
          </w:tcPr>
          <w:p>
            <w:pPr/>
          </w:p>
        </w:tc>
        <w:tc>
          <w:tcPr>
            <w:tcW w:w="1330" w:type="dxa"/>
            <w:tcBorders>
              <w:top w:val="single" w:sz="4" w:space="0" w:color="41B7EE"/>
              <w:left w:val="single" w:sz="4" w:space="0" w:color="41B7EE"/>
              <w:bottom w:val="single" w:sz="4" w:space="0" w:color="41B7EE"/>
              <w:right w:val="nil" w:sz="6" w:space="0" w:color="auto"/>
            </w:tcBorders>
          </w:tcPr>
          <w:p>
            <w:pPr/>
          </w:p>
        </w:tc>
      </w:tr>
      <w:tr>
        <w:trPr>
          <w:trHeight w:val="554" w:hRule="exact"/>
        </w:trPr>
        <w:tc>
          <w:tcPr>
            <w:tcW w:w="2256" w:type="dxa"/>
            <w:tcBorders>
              <w:top w:val="single" w:sz="4" w:space="0" w:color="41B7EE"/>
              <w:left w:val="nil" w:sz="6" w:space="0" w:color="auto"/>
              <w:bottom w:val="single" w:sz="4" w:space="0" w:color="41B7EE"/>
              <w:right w:val="single" w:sz="4" w:space="0" w:color="41B7EE"/>
            </w:tcBorders>
          </w:tcPr>
          <w:p>
            <w:pPr>
              <w:pStyle w:val="TableParagraph"/>
              <w:spacing w:line="240" w:lineRule="exact"/>
              <w:ind w:left="57" w:right="0"/>
              <w:jc w:val="left"/>
              <w:rPr>
                <w:rFonts w:ascii="宋体" w:hAnsi="宋体" w:cs="宋体" w:eastAsia="宋体" w:hint="default"/>
                <w:sz w:val="21"/>
                <w:szCs w:val="21"/>
              </w:rPr>
            </w:pPr>
            <w:r>
              <w:rPr>
                <w:rFonts w:ascii="宋体" w:hAnsi="宋体" w:cs="宋体" w:eastAsia="宋体" w:hint="default"/>
                <w:sz w:val="21"/>
                <w:szCs w:val="21"/>
              </w:rPr>
              <w:t>其中：单项金额重大并</w:t>
            </w:r>
          </w:p>
          <w:p>
            <w:pPr>
              <w:pStyle w:val="TableParagraph"/>
              <w:spacing w:line="274" w:lineRule="exact"/>
              <w:ind w:left="57" w:right="0"/>
              <w:jc w:val="left"/>
              <w:rPr>
                <w:rFonts w:ascii="宋体" w:hAnsi="宋体" w:cs="宋体" w:eastAsia="宋体" w:hint="default"/>
                <w:sz w:val="21"/>
                <w:szCs w:val="21"/>
              </w:rPr>
            </w:pPr>
            <w:r>
              <w:rPr>
                <w:rFonts w:ascii="宋体" w:hAnsi="宋体" w:cs="宋体" w:eastAsia="宋体" w:hint="default"/>
                <w:sz w:val="21"/>
                <w:szCs w:val="21"/>
              </w:rPr>
              <w:t>单独计提坏账准备</w:t>
            </w:r>
            <w:r>
              <w:rPr>
                <w:rFonts w:ascii="宋体" w:hAnsi="宋体" w:cs="宋体" w:eastAsia="宋体" w:hint="default"/>
                <w:sz w:val="21"/>
                <w:szCs w:val="21"/>
              </w:rPr>
              <w:t> </w:t>
            </w:r>
          </w:p>
        </w:tc>
        <w:tc>
          <w:tcPr>
            <w:tcW w:w="13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49"/>
              <w:jc w:val="right"/>
              <w:rPr>
                <w:rFonts w:ascii="Arial" w:hAnsi="Arial" w:cs="Arial" w:eastAsia="Arial" w:hint="default"/>
                <w:sz w:val="21"/>
                <w:szCs w:val="21"/>
              </w:rPr>
            </w:pPr>
            <w:r>
              <w:rPr>
                <w:rFonts w:ascii="Arial"/>
                <w:spacing w:val="-2"/>
                <w:w w:val="80"/>
                <w:sz w:val="21"/>
              </w:rPr>
              <w:t>546,269,887.79</w:t>
            </w:r>
            <w:r>
              <w:rPr>
                <w:rFonts w:ascii="Arial"/>
                <w:sz w:val="21"/>
              </w:rPr>
            </w:r>
          </w:p>
        </w:tc>
        <w:tc>
          <w:tcPr>
            <w:tcW w:w="115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51"/>
              <w:jc w:val="right"/>
              <w:rPr>
                <w:rFonts w:ascii="Arial" w:hAnsi="Arial" w:cs="Arial" w:eastAsia="Arial" w:hint="default"/>
                <w:sz w:val="21"/>
                <w:szCs w:val="21"/>
              </w:rPr>
            </w:pPr>
            <w:r>
              <w:rPr>
                <w:rFonts w:ascii="Arial"/>
                <w:spacing w:val="-2"/>
                <w:w w:val="80"/>
                <w:sz w:val="21"/>
              </w:rPr>
              <w:t>345,632.50</w:t>
            </w:r>
            <w:r>
              <w:rPr>
                <w:rFonts w:ascii="Arial"/>
                <w:sz w:val="21"/>
              </w:rPr>
            </w:r>
          </w:p>
        </w:tc>
        <w:tc>
          <w:tcPr>
            <w:tcW w:w="100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49"/>
              <w:jc w:val="right"/>
              <w:rPr>
                <w:rFonts w:ascii="Arial" w:hAnsi="Arial" w:cs="Arial" w:eastAsia="Arial" w:hint="default"/>
                <w:sz w:val="21"/>
                <w:szCs w:val="21"/>
              </w:rPr>
            </w:pPr>
            <w:r>
              <w:rPr>
                <w:rFonts w:ascii="Arial"/>
                <w:spacing w:val="-2"/>
                <w:w w:val="80"/>
                <w:sz w:val="21"/>
              </w:rPr>
              <w:t>16,008.99</w:t>
            </w:r>
            <w:r>
              <w:rPr>
                <w:rFonts w:ascii="Arial"/>
                <w:sz w:val="21"/>
              </w:rPr>
            </w:r>
          </w:p>
        </w:tc>
        <w:tc>
          <w:tcPr>
            <w:tcW w:w="12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48"/>
              <w:jc w:val="right"/>
              <w:rPr>
                <w:rFonts w:ascii="Arial" w:hAnsi="Arial" w:cs="Arial" w:eastAsia="Arial" w:hint="default"/>
                <w:sz w:val="21"/>
                <w:szCs w:val="21"/>
              </w:rPr>
            </w:pPr>
            <w:r>
              <w:rPr>
                <w:rFonts w:ascii="Arial"/>
                <w:spacing w:val="-2"/>
                <w:w w:val="80"/>
                <w:sz w:val="21"/>
              </w:rPr>
              <w:t>39,816,765.69</w:t>
            </w:r>
            <w:r>
              <w:rPr>
                <w:rFonts w:ascii="Arial"/>
                <w:sz w:val="21"/>
              </w:rPr>
            </w:r>
          </w:p>
        </w:tc>
        <w:tc>
          <w:tcPr>
            <w:tcW w:w="583" w:type="dxa"/>
            <w:tcBorders>
              <w:top w:val="single" w:sz="4" w:space="0" w:color="41B7EE"/>
              <w:left w:val="single" w:sz="4" w:space="0" w:color="41B7EE"/>
              <w:bottom w:val="single" w:sz="4" w:space="0" w:color="41B7EE"/>
              <w:right w:val="single" w:sz="4" w:space="0" w:color="41B7EE"/>
            </w:tcBorders>
          </w:tcPr>
          <w:p>
            <w:pPr/>
          </w:p>
        </w:tc>
        <w:tc>
          <w:tcPr>
            <w:tcW w:w="133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8"/>
              <w:ind w:right="54"/>
              <w:jc w:val="right"/>
              <w:rPr>
                <w:rFonts w:ascii="Arial" w:hAnsi="Arial" w:cs="Arial" w:eastAsia="Arial" w:hint="default"/>
                <w:sz w:val="21"/>
                <w:szCs w:val="21"/>
              </w:rPr>
            </w:pPr>
            <w:r>
              <w:rPr>
                <w:rFonts w:ascii="Arial"/>
                <w:spacing w:val="-2"/>
                <w:w w:val="80"/>
                <w:sz w:val="21"/>
              </w:rPr>
              <w:t>506,782,745.61</w:t>
            </w:r>
            <w:r>
              <w:rPr>
                <w:rFonts w:ascii="Arial"/>
                <w:sz w:val="21"/>
              </w:rPr>
            </w:r>
          </w:p>
        </w:tc>
      </w:tr>
      <w:tr>
        <w:trPr>
          <w:trHeight w:val="554" w:hRule="exact"/>
        </w:trPr>
        <w:tc>
          <w:tcPr>
            <w:tcW w:w="2256" w:type="dxa"/>
            <w:tcBorders>
              <w:top w:val="single" w:sz="4" w:space="0" w:color="41B7EE"/>
              <w:left w:val="nil" w:sz="6" w:space="0" w:color="auto"/>
              <w:bottom w:val="single" w:sz="4" w:space="0" w:color="41B7EE"/>
              <w:right w:val="single" w:sz="4" w:space="0" w:color="41B7EE"/>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单项金额不重大</w:t>
            </w:r>
          </w:p>
          <w:p>
            <w:pPr>
              <w:pStyle w:val="TableParagraph"/>
              <w:spacing w:line="273" w:lineRule="exact"/>
              <w:ind w:left="57" w:right="0"/>
              <w:jc w:val="left"/>
              <w:rPr>
                <w:rFonts w:ascii="宋体" w:hAnsi="宋体" w:cs="宋体" w:eastAsia="宋体" w:hint="default"/>
                <w:sz w:val="21"/>
                <w:szCs w:val="21"/>
              </w:rPr>
            </w:pPr>
            <w:r>
              <w:rPr>
                <w:rFonts w:ascii="宋体" w:hAnsi="宋体" w:cs="宋体" w:eastAsia="宋体" w:hint="default"/>
                <w:sz w:val="21"/>
                <w:szCs w:val="21"/>
              </w:rPr>
              <w:t>但单独计提坏账准备</w:t>
            </w:r>
            <w:r>
              <w:rPr>
                <w:rFonts w:ascii="宋体" w:hAnsi="宋体" w:cs="宋体" w:eastAsia="宋体" w:hint="default"/>
                <w:sz w:val="21"/>
                <w:szCs w:val="21"/>
              </w:rPr>
              <w:t> </w:t>
            </w:r>
          </w:p>
        </w:tc>
        <w:tc>
          <w:tcPr>
            <w:tcW w:w="13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49"/>
              <w:jc w:val="right"/>
              <w:rPr>
                <w:rFonts w:ascii="Arial" w:hAnsi="Arial" w:cs="Arial" w:eastAsia="Arial" w:hint="default"/>
                <w:sz w:val="21"/>
                <w:szCs w:val="21"/>
              </w:rPr>
            </w:pPr>
            <w:r>
              <w:rPr>
                <w:rFonts w:ascii="Arial"/>
                <w:spacing w:val="-2"/>
                <w:w w:val="80"/>
                <w:sz w:val="21"/>
              </w:rPr>
              <w:t>223,611,366.06</w:t>
            </w:r>
            <w:r>
              <w:rPr>
                <w:rFonts w:ascii="Arial"/>
                <w:sz w:val="21"/>
              </w:rPr>
            </w:r>
          </w:p>
        </w:tc>
        <w:tc>
          <w:tcPr>
            <w:tcW w:w="115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51"/>
              <w:jc w:val="right"/>
              <w:rPr>
                <w:rFonts w:ascii="Arial" w:hAnsi="Arial" w:cs="Arial" w:eastAsia="Arial" w:hint="default"/>
                <w:sz w:val="21"/>
                <w:szCs w:val="21"/>
              </w:rPr>
            </w:pPr>
            <w:r>
              <w:rPr>
                <w:rFonts w:ascii="Arial"/>
                <w:spacing w:val="-2"/>
                <w:w w:val="80"/>
                <w:sz w:val="21"/>
              </w:rPr>
              <w:t>257,229.59</w:t>
            </w:r>
            <w:r>
              <w:rPr>
                <w:rFonts w:ascii="Arial"/>
                <w:sz w:val="21"/>
              </w:rPr>
            </w:r>
          </w:p>
        </w:tc>
        <w:tc>
          <w:tcPr>
            <w:tcW w:w="100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49"/>
              <w:jc w:val="right"/>
              <w:rPr>
                <w:rFonts w:ascii="Arial" w:hAnsi="Arial" w:cs="Arial" w:eastAsia="Arial" w:hint="default"/>
                <w:sz w:val="21"/>
                <w:szCs w:val="21"/>
              </w:rPr>
            </w:pPr>
            <w:r>
              <w:rPr>
                <w:rFonts w:ascii="Arial"/>
                <w:spacing w:val="-2"/>
                <w:w w:val="80"/>
                <w:sz w:val="21"/>
              </w:rPr>
              <w:t>661,586.56</w:t>
            </w:r>
            <w:r>
              <w:rPr>
                <w:rFonts w:ascii="Arial"/>
                <w:sz w:val="21"/>
              </w:rPr>
            </w:r>
          </w:p>
        </w:tc>
        <w:tc>
          <w:tcPr>
            <w:tcW w:w="1291" w:type="dxa"/>
            <w:tcBorders>
              <w:top w:val="single" w:sz="4" w:space="0" w:color="41B7EE"/>
              <w:left w:val="single" w:sz="4" w:space="0" w:color="41B7EE"/>
              <w:bottom w:val="single" w:sz="4" w:space="0" w:color="41B7EE"/>
              <w:right w:val="single" w:sz="4" w:space="0" w:color="41B7EE"/>
            </w:tcBorders>
          </w:tcPr>
          <w:p>
            <w:pPr/>
          </w:p>
        </w:tc>
        <w:tc>
          <w:tcPr>
            <w:tcW w:w="583" w:type="dxa"/>
            <w:tcBorders>
              <w:top w:val="single" w:sz="4" w:space="0" w:color="41B7EE"/>
              <w:left w:val="single" w:sz="4" w:space="0" w:color="41B7EE"/>
              <w:bottom w:val="single" w:sz="4" w:space="0" w:color="41B7EE"/>
              <w:right w:val="single" w:sz="4" w:space="0" w:color="41B7EE"/>
            </w:tcBorders>
          </w:tcPr>
          <w:p>
            <w:pPr/>
          </w:p>
        </w:tc>
        <w:tc>
          <w:tcPr>
            <w:tcW w:w="133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8"/>
              <w:ind w:right="54"/>
              <w:jc w:val="right"/>
              <w:rPr>
                <w:rFonts w:ascii="Arial" w:hAnsi="Arial" w:cs="Arial" w:eastAsia="Arial" w:hint="default"/>
                <w:sz w:val="21"/>
                <w:szCs w:val="21"/>
              </w:rPr>
            </w:pPr>
            <w:r>
              <w:rPr>
                <w:rFonts w:ascii="Arial"/>
                <w:spacing w:val="-2"/>
                <w:w w:val="80"/>
                <w:sz w:val="21"/>
              </w:rPr>
              <w:t>223,207,009.09</w:t>
            </w:r>
            <w:r>
              <w:rPr>
                <w:rFonts w:ascii="Arial"/>
                <w:sz w:val="21"/>
              </w:rPr>
            </w:r>
          </w:p>
        </w:tc>
      </w:tr>
      <w:tr>
        <w:trPr>
          <w:trHeight w:val="358" w:hRule="exact"/>
        </w:trPr>
        <w:tc>
          <w:tcPr>
            <w:tcW w:w="225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7" w:right="0"/>
              <w:jc w:val="left"/>
              <w:rPr>
                <w:rFonts w:ascii="宋体" w:hAnsi="宋体" w:cs="宋体" w:eastAsia="宋体" w:hint="default"/>
                <w:sz w:val="21"/>
                <w:szCs w:val="21"/>
              </w:rPr>
            </w:pPr>
            <w:r>
              <w:rPr>
                <w:rFonts w:ascii="宋体" w:hAnsi="宋体" w:cs="宋体" w:eastAsia="宋体" w:hint="default"/>
                <w:b/>
                <w:bCs/>
                <w:sz w:val="21"/>
                <w:szCs w:val="21"/>
              </w:rPr>
              <w:t>组合计提</w:t>
            </w:r>
            <w:r>
              <w:rPr>
                <w:rFonts w:ascii="宋体" w:hAnsi="宋体" w:cs="宋体" w:eastAsia="宋体" w:hint="default"/>
                <w:w w:val="100"/>
                <w:sz w:val="21"/>
                <w:szCs w:val="21"/>
              </w:rPr>
              <w:t> </w:t>
            </w:r>
          </w:p>
        </w:tc>
        <w:tc>
          <w:tcPr>
            <w:tcW w:w="1333" w:type="dxa"/>
            <w:tcBorders>
              <w:top w:val="single" w:sz="4" w:space="0" w:color="41B7EE"/>
              <w:left w:val="single" w:sz="4" w:space="0" w:color="41B7EE"/>
              <w:bottom w:val="single" w:sz="4" w:space="0" w:color="41B7EE"/>
              <w:right w:val="single" w:sz="4" w:space="0" w:color="41B7EE"/>
            </w:tcBorders>
          </w:tcPr>
          <w:p>
            <w:pPr/>
          </w:p>
        </w:tc>
        <w:tc>
          <w:tcPr>
            <w:tcW w:w="1150" w:type="dxa"/>
            <w:tcBorders>
              <w:top w:val="single" w:sz="4" w:space="0" w:color="41B7EE"/>
              <w:left w:val="single" w:sz="4" w:space="0" w:color="41B7EE"/>
              <w:bottom w:val="single" w:sz="4" w:space="0" w:color="41B7EE"/>
              <w:right w:val="single" w:sz="4" w:space="0" w:color="41B7EE"/>
            </w:tcBorders>
          </w:tcPr>
          <w:p>
            <w:pPr/>
          </w:p>
        </w:tc>
        <w:tc>
          <w:tcPr>
            <w:tcW w:w="1006" w:type="dxa"/>
            <w:tcBorders>
              <w:top w:val="single" w:sz="4" w:space="0" w:color="41B7EE"/>
              <w:left w:val="single" w:sz="4" w:space="0" w:color="41B7EE"/>
              <w:bottom w:val="single" w:sz="4" w:space="0" w:color="41B7EE"/>
              <w:right w:val="single" w:sz="4" w:space="0" w:color="41B7EE"/>
            </w:tcBorders>
          </w:tcPr>
          <w:p>
            <w:pPr/>
          </w:p>
        </w:tc>
        <w:tc>
          <w:tcPr>
            <w:tcW w:w="1291" w:type="dxa"/>
            <w:tcBorders>
              <w:top w:val="single" w:sz="4" w:space="0" w:color="41B7EE"/>
              <w:left w:val="single" w:sz="4" w:space="0" w:color="41B7EE"/>
              <w:bottom w:val="single" w:sz="4" w:space="0" w:color="41B7EE"/>
              <w:right w:val="single" w:sz="4" w:space="0" w:color="41B7EE"/>
            </w:tcBorders>
          </w:tcPr>
          <w:p>
            <w:pPr/>
          </w:p>
        </w:tc>
        <w:tc>
          <w:tcPr>
            <w:tcW w:w="583" w:type="dxa"/>
            <w:tcBorders>
              <w:top w:val="single" w:sz="4" w:space="0" w:color="41B7EE"/>
              <w:left w:val="single" w:sz="4" w:space="0" w:color="41B7EE"/>
              <w:bottom w:val="single" w:sz="4" w:space="0" w:color="41B7EE"/>
              <w:right w:val="single" w:sz="4" w:space="0" w:color="41B7EE"/>
            </w:tcBorders>
          </w:tcPr>
          <w:p>
            <w:pPr/>
          </w:p>
        </w:tc>
        <w:tc>
          <w:tcPr>
            <w:tcW w:w="1330"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225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7" w:right="0"/>
              <w:jc w:val="left"/>
              <w:rPr>
                <w:rFonts w:ascii="宋体" w:hAnsi="宋体" w:cs="宋体" w:eastAsia="宋体" w:hint="default"/>
                <w:sz w:val="21"/>
                <w:szCs w:val="21"/>
              </w:rPr>
            </w:pPr>
            <w:r>
              <w:rPr>
                <w:rFonts w:ascii="宋体" w:hAnsi="宋体" w:cs="宋体" w:eastAsia="宋体" w:hint="default"/>
                <w:sz w:val="21"/>
                <w:szCs w:val="21"/>
              </w:rPr>
              <w:t>其中：账龄组合</w:t>
            </w:r>
            <w:r>
              <w:rPr>
                <w:rFonts w:ascii="宋体" w:hAnsi="宋体" w:cs="宋体" w:eastAsia="宋体" w:hint="default"/>
                <w:sz w:val="21"/>
                <w:szCs w:val="21"/>
              </w:rPr>
              <w:t> </w:t>
            </w:r>
          </w:p>
        </w:tc>
        <w:tc>
          <w:tcPr>
            <w:tcW w:w="13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9"/>
              <w:jc w:val="right"/>
              <w:rPr>
                <w:rFonts w:ascii="Arial" w:hAnsi="Arial" w:cs="Arial" w:eastAsia="Arial" w:hint="default"/>
                <w:sz w:val="21"/>
                <w:szCs w:val="21"/>
              </w:rPr>
            </w:pPr>
            <w:r>
              <w:rPr>
                <w:rFonts w:ascii="Arial"/>
                <w:spacing w:val="-2"/>
                <w:w w:val="80"/>
                <w:sz w:val="21"/>
              </w:rPr>
              <w:t>1,521,855.24</w:t>
            </w:r>
            <w:r>
              <w:rPr>
                <w:rFonts w:ascii="Arial"/>
                <w:sz w:val="21"/>
              </w:rPr>
            </w:r>
          </w:p>
        </w:tc>
        <w:tc>
          <w:tcPr>
            <w:tcW w:w="115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51"/>
              <w:jc w:val="right"/>
              <w:rPr>
                <w:rFonts w:ascii="Arial" w:hAnsi="Arial" w:cs="Arial" w:eastAsia="Arial" w:hint="default"/>
                <w:sz w:val="21"/>
                <w:szCs w:val="21"/>
              </w:rPr>
            </w:pPr>
            <w:r>
              <w:rPr>
                <w:rFonts w:ascii="Arial"/>
                <w:spacing w:val="-2"/>
                <w:w w:val="80"/>
                <w:sz w:val="21"/>
              </w:rPr>
              <w:t>-615,821.54</w:t>
            </w:r>
            <w:r>
              <w:rPr>
                <w:rFonts w:ascii="Arial"/>
                <w:sz w:val="21"/>
              </w:rPr>
            </w:r>
          </w:p>
        </w:tc>
        <w:tc>
          <w:tcPr>
            <w:tcW w:w="100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9"/>
              <w:jc w:val="right"/>
              <w:rPr>
                <w:rFonts w:ascii="Arial" w:hAnsi="Arial" w:cs="Arial" w:eastAsia="Arial" w:hint="default"/>
                <w:sz w:val="21"/>
                <w:szCs w:val="21"/>
              </w:rPr>
            </w:pPr>
            <w:r>
              <w:rPr>
                <w:rFonts w:ascii="Arial"/>
                <w:spacing w:val="-2"/>
                <w:w w:val="80"/>
                <w:sz w:val="21"/>
              </w:rPr>
              <w:t>-81,438.95</w:t>
            </w:r>
            <w:r>
              <w:rPr>
                <w:rFonts w:ascii="Arial"/>
                <w:sz w:val="21"/>
              </w:rPr>
            </w:r>
          </w:p>
        </w:tc>
        <w:tc>
          <w:tcPr>
            <w:tcW w:w="1291" w:type="dxa"/>
            <w:tcBorders>
              <w:top w:val="single" w:sz="4" w:space="0" w:color="41B7EE"/>
              <w:left w:val="single" w:sz="4" w:space="0" w:color="41B7EE"/>
              <w:bottom w:val="single" w:sz="4" w:space="0" w:color="41B7EE"/>
              <w:right w:val="single" w:sz="4" w:space="0" w:color="41B7EE"/>
            </w:tcBorders>
          </w:tcPr>
          <w:p>
            <w:pPr/>
          </w:p>
        </w:tc>
        <w:tc>
          <w:tcPr>
            <w:tcW w:w="583" w:type="dxa"/>
            <w:tcBorders>
              <w:top w:val="single" w:sz="4" w:space="0" w:color="41B7EE"/>
              <w:left w:val="single" w:sz="4" w:space="0" w:color="41B7EE"/>
              <w:bottom w:val="single" w:sz="4" w:space="0" w:color="41B7EE"/>
              <w:right w:val="single" w:sz="4" w:space="0" w:color="41B7EE"/>
            </w:tcBorders>
          </w:tcPr>
          <w:p>
            <w:pPr/>
          </w:p>
        </w:tc>
        <w:tc>
          <w:tcPr>
            <w:tcW w:w="133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53"/>
              <w:jc w:val="right"/>
              <w:rPr>
                <w:rFonts w:ascii="Arial" w:hAnsi="Arial" w:cs="Arial" w:eastAsia="Arial" w:hint="default"/>
                <w:sz w:val="21"/>
                <w:szCs w:val="21"/>
              </w:rPr>
            </w:pPr>
            <w:r>
              <w:rPr>
                <w:rFonts w:ascii="Arial"/>
                <w:spacing w:val="-2"/>
                <w:w w:val="80"/>
                <w:sz w:val="21"/>
              </w:rPr>
              <w:t>987,472.65</w:t>
            </w:r>
            <w:r>
              <w:rPr>
                <w:rFonts w:ascii="Arial"/>
                <w:sz w:val="21"/>
              </w:rPr>
            </w:r>
          </w:p>
        </w:tc>
      </w:tr>
      <w:tr>
        <w:trPr>
          <w:trHeight w:val="384" w:hRule="exact"/>
        </w:trPr>
        <w:tc>
          <w:tcPr>
            <w:tcW w:w="2256"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11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33"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49"/>
              <w:jc w:val="right"/>
              <w:rPr>
                <w:rFonts w:ascii="Arial" w:hAnsi="Arial" w:cs="Arial" w:eastAsia="Arial" w:hint="default"/>
                <w:sz w:val="21"/>
                <w:szCs w:val="21"/>
              </w:rPr>
            </w:pPr>
            <w:r>
              <w:rPr>
                <w:rFonts w:ascii="Arial"/>
                <w:spacing w:val="-2"/>
                <w:w w:val="80"/>
                <w:sz w:val="21"/>
              </w:rPr>
              <w:t>771,403,109.09</w:t>
            </w:r>
            <w:r>
              <w:rPr>
                <w:rFonts w:ascii="Arial"/>
                <w:sz w:val="21"/>
              </w:rPr>
            </w:r>
          </w:p>
        </w:tc>
        <w:tc>
          <w:tcPr>
            <w:tcW w:w="1150"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51"/>
              <w:jc w:val="right"/>
              <w:rPr>
                <w:rFonts w:ascii="Arial" w:hAnsi="Arial" w:cs="Arial" w:eastAsia="Arial" w:hint="default"/>
                <w:sz w:val="21"/>
                <w:szCs w:val="21"/>
              </w:rPr>
            </w:pPr>
            <w:r>
              <w:rPr>
                <w:rFonts w:ascii="Arial"/>
                <w:spacing w:val="-2"/>
                <w:w w:val="80"/>
                <w:sz w:val="21"/>
              </w:rPr>
              <w:t>-12,959.45</w:t>
            </w:r>
            <w:r>
              <w:rPr>
                <w:rFonts w:ascii="Arial"/>
                <w:sz w:val="21"/>
              </w:rPr>
            </w:r>
          </w:p>
        </w:tc>
        <w:tc>
          <w:tcPr>
            <w:tcW w:w="1006"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49"/>
              <w:jc w:val="right"/>
              <w:rPr>
                <w:rFonts w:ascii="Arial" w:hAnsi="Arial" w:cs="Arial" w:eastAsia="Arial" w:hint="default"/>
                <w:sz w:val="21"/>
                <w:szCs w:val="21"/>
              </w:rPr>
            </w:pPr>
            <w:r>
              <w:rPr>
                <w:rFonts w:ascii="Arial"/>
                <w:spacing w:val="-2"/>
                <w:w w:val="80"/>
                <w:sz w:val="21"/>
              </w:rPr>
              <w:t>596,156.60</w:t>
            </w:r>
            <w:r>
              <w:rPr>
                <w:rFonts w:ascii="Arial"/>
                <w:sz w:val="21"/>
              </w:rPr>
            </w:r>
          </w:p>
        </w:tc>
        <w:tc>
          <w:tcPr>
            <w:tcW w:w="1291"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48"/>
              <w:jc w:val="right"/>
              <w:rPr>
                <w:rFonts w:ascii="Arial" w:hAnsi="Arial" w:cs="Arial" w:eastAsia="Arial" w:hint="default"/>
                <w:sz w:val="21"/>
                <w:szCs w:val="21"/>
              </w:rPr>
            </w:pPr>
            <w:r>
              <w:rPr>
                <w:rFonts w:ascii="Arial"/>
                <w:spacing w:val="-2"/>
                <w:w w:val="80"/>
                <w:sz w:val="21"/>
              </w:rPr>
              <w:t>39,816,765.69</w:t>
            </w:r>
            <w:r>
              <w:rPr>
                <w:rFonts w:ascii="Arial"/>
                <w:sz w:val="21"/>
              </w:rPr>
            </w:r>
          </w:p>
        </w:tc>
        <w:tc>
          <w:tcPr>
            <w:tcW w:w="583" w:type="dxa"/>
            <w:tcBorders>
              <w:top w:val="single" w:sz="4" w:space="0" w:color="41B7EE"/>
              <w:left w:val="single" w:sz="4" w:space="0" w:color="41B7EE"/>
              <w:bottom w:val="single" w:sz="23" w:space="0" w:color="41B7EE"/>
              <w:right w:val="single" w:sz="4" w:space="0" w:color="41B7EE"/>
            </w:tcBorders>
          </w:tcPr>
          <w:p>
            <w:pPr/>
          </w:p>
        </w:tc>
        <w:tc>
          <w:tcPr>
            <w:tcW w:w="1330"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54"/>
              <w:jc w:val="right"/>
              <w:rPr>
                <w:rFonts w:ascii="Arial" w:hAnsi="Arial" w:cs="Arial" w:eastAsia="Arial" w:hint="default"/>
                <w:sz w:val="21"/>
                <w:szCs w:val="21"/>
              </w:rPr>
            </w:pPr>
            <w:r>
              <w:rPr>
                <w:rFonts w:ascii="Arial"/>
                <w:spacing w:val="-2"/>
                <w:w w:val="80"/>
                <w:sz w:val="21"/>
              </w:rPr>
              <w:t>730,977,227.35</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360" w:bottom="1380" w:left="1040" w:right="1520"/>
        </w:sectPr>
      </w:pPr>
    </w:p>
    <w:p>
      <w:pPr>
        <w:pStyle w:val="BodyText"/>
        <w:spacing w:line="240" w:lineRule="exact"/>
        <w:ind w:left="236" w:right="0"/>
        <w:jc w:val="left"/>
        <w:rPr>
          <w:rFonts w:ascii="宋体" w:hAnsi="宋体" w:cs="宋体" w:eastAsia="宋体" w:hint="default"/>
        </w:rPr>
      </w:pPr>
      <w:r>
        <w:rPr/>
        <w:t>其中本期坏账准备转回或收回金额重要的：</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040" w:right="1520"/>
          <w:cols w:num="2" w:equalWidth="0">
            <w:col w:w="4335" w:space="2187"/>
            <w:col w:w="282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632"/>
        <w:gridCol w:w="2760"/>
        <w:gridCol w:w="2657"/>
      </w:tblGrid>
      <w:tr>
        <w:trPr>
          <w:trHeight w:val="384" w:hRule="exact"/>
        </w:trPr>
        <w:tc>
          <w:tcPr>
            <w:tcW w:w="3632"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left="107" w:right="0"/>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2760"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left="638" w:right="0"/>
              <w:jc w:val="left"/>
              <w:rPr>
                <w:rFonts w:ascii="宋体" w:hAnsi="宋体" w:cs="宋体" w:eastAsia="宋体" w:hint="default"/>
                <w:sz w:val="21"/>
                <w:szCs w:val="21"/>
              </w:rPr>
            </w:pPr>
            <w:r>
              <w:rPr>
                <w:rFonts w:ascii="宋体" w:hAnsi="宋体" w:cs="宋体" w:eastAsia="宋体" w:hint="default"/>
                <w:sz w:val="21"/>
                <w:szCs w:val="21"/>
              </w:rPr>
              <w:t>转回或收回金额</w:t>
            </w:r>
            <w:r>
              <w:rPr>
                <w:rFonts w:ascii="宋体" w:hAnsi="宋体" w:cs="宋体" w:eastAsia="宋体" w:hint="default"/>
                <w:sz w:val="21"/>
                <w:szCs w:val="21"/>
              </w:rPr>
              <w:t> </w:t>
            </w:r>
          </w:p>
        </w:tc>
        <w:tc>
          <w:tcPr>
            <w:tcW w:w="2657"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902" w:right="0"/>
              <w:jc w:val="left"/>
              <w:rPr>
                <w:rFonts w:ascii="宋体" w:hAnsi="宋体" w:cs="宋体" w:eastAsia="宋体" w:hint="default"/>
                <w:sz w:val="21"/>
                <w:szCs w:val="21"/>
              </w:rPr>
            </w:pPr>
            <w:r>
              <w:rPr>
                <w:rFonts w:ascii="宋体" w:hAnsi="宋体" w:cs="宋体" w:eastAsia="宋体" w:hint="default"/>
                <w:sz w:val="21"/>
                <w:szCs w:val="21"/>
              </w:rPr>
              <w:t>收回方式</w:t>
            </w:r>
            <w:r>
              <w:rPr>
                <w:rFonts w:ascii="宋体" w:hAnsi="宋体" w:cs="宋体" w:eastAsia="宋体" w:hint="default"/>
                <w:sz w:val="21"/>
                <w:szCs w:val="21"/>
              </w:rPr>
              <w:t> </w:t>
            </w:r>
          </w:p>
        </w:tc>
      </w:tr>
      <w:tr>
        <w:trPr>
          <w:trHeight w:val="355" w:hRule="exact"/>
        </w:trPr>
        <w:tc>
          <w:tcPr>
            <w:tcW w:w="363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邹平汇超保温节能科技有限公司</w:t>
            </w:r>
            <w:r>
              <w:rPr>
                <w:rFonts w:ascii="宋体" w:hAnsi="宋体" w:cs="宋体" w:eastAsia="宋体" w:hint="default"/>
                <w:sz w:val="21"/>
                <w:szCs w:val="21"/>
              </w:rPr>
              <w:t> </w:t>
            </w:r>
          </w:p>
        </w:tc>
        <w:tc>
          <w:tcPr>
            <w:tcW w:w="276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367,622.70</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转账</w:t>
            </w:r>
            <w:r>
              <w:rPr>
                <w:rFonts w:ascii="宋体" w:hAnsi="宋体" w:cs="宋体" w:eastAsia="宋体" w:hint="default"/>
                <w:sz w:val="21"/>
                <w:szCs w:val="21"/>
              </w:rPr>
              <w:t> </w:t>
            </w:r>
          </w:p>
        </w:tc>
      </w:tr>
      <w:tr>
        <w:trPr>
          <w:trHeight w:val="358" w:hRule="exact"/>
        </w:trPr>
        <w:tc>
          <w:tcPr>
            <w:tcW w:w="363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哈尔滨乔仕房地产开发有限公司</w:t>
            </w:r>
            <w:r>
              <w:rPr>
                <w:rFonts w:ascii="宋体" w:hAnsi="宋体" w:cs="宋体" w:eastAsia="宋体" w:hint="default"/>
                <w:sz w:val="21"/>
                <w:szCs w:val="21"/>
              </w:rPr>
              <w:t> </w:t>
            </w:r>
          </w:p>
        </w:tc>
        <w:tc>
          <w:tcPr>
            <w:tcW w:w="276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16,008.99</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转账</w:t>
            </w:r>
            <w:r>
              <w:rPr>
                <w:rFonts w:ascii="宋体" w:hAnsi="宋体" w:cs="宋体" w:eastAsia="宋体" w:hint="default"/>
                <w:sz w:val="21"/>
                <w:szCs w:val="21"/>
              </w:rPr>
              <w:t> </w:t>
            </w:r>
          </w:p>
        </w:tc>
      </w:tr>
      <w:tr>
        <w:trPr>
          <w:trHeight w:val="358" w:hRule="exact"/>
        </w:trPr>
        <w:tc>
          <w:tcPr>
            <w:tcW w:w="363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农户转回（家庭农场承包费）</w:t>
            </w:r>
            <w:r>
              <w:rPr>
                <w:rFonts w:ascii="宋体" w:hAnsi="宋体" w:cs="宋体" w:eastAsia="宋体" w:hint="default"/>
                <w:sz w:val="21"/>
                <w:szCs w:val="21"/>
              </w:rPr>
              <w:t> </w:t>
            </w:r>
          </w:p>
        </w:tc>
        <w:tc>
          <w:tcPr>
            <w:tcW w:w="276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293,963.86</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货币</w:t>
            </w:r>
            <w:r>
              <w:rPr>
                <w:rFonts w:ascii="宋体" w:hAnsi="宋体" w:cs="宋体" w:eastAsia="宋体" w:hint="default"/>
                <w:sz w:val="21"/>
                <w:szCs w:val="21"/>
              </w:rPr>
              <w:t>/</w:t>
            </w:r>
            <w:r>
              <w:rPr>
                <w:rFonts w:ascii="宋体" w:hAnsi="宋体" w:cs="宋体" w:eastAsia="宋体" w:hint="default"/>
                <w:sz w:val="21"/>
                <w:szCs w:val="21"/>
              </w:rPr>
              <w:t>转账</w:t>
            </w:r>
            <w:r>
              <w:rPr>
                <w:rFonts w:ascii="宋体" w:hAnsi="宋体" w:cs="宋体" w:eastAsia="宋体" w:hint="default"/>
                <w:sz w:val="21"/>
                <w:szCs w:val="21"/>
              </w:rPr>
              <w:t> </w:t>
            </w:r>
          </w:p>
        </w:tc>
      </w:tr>
      <w:tr>
        <w:trPr>
          <w:trHeight w:val="358" w:hRule="exact"/>
        </w:trPr>
        <w:tc>
          <w:tcPr>
            <w:tcW w:w="363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农户收回（家庭农场承包费）</w:t>
            </w:r>
            <w:r>
              <w:rPr>
                <w:rFonts w:ascii="宋体" w:hAnsi="宋体" w:cs="宋体" w:eastAsia="宋体" w:hint="default"/>
                <w:sz w:val="21"/>
                <w:szCs w:val="21"/>
              </w:rPr>
              <w:t> </w:t>
            </w:r>
          </w:p>
        </w:tc>
        <w:tc>
          <w:tcPr>
            <w:tcW w:w="276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-81,438.95</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货币</w:t>
            </w:r>
            <w:r>
              <w:rPr>
                <w:rFonts w:ascii="宋体" w:hAnsi="宋体" w:cs="宋体" w:eastAsia="宋体" w:hint="default"/>
                <w:sz w:val="21"/>
                <w:szCs w:val="21"/>
              </w:rPr>
              <w:t> </w:t>
            </w:r>
          </w:p>
        </w:tc>
      </w:tr>
      <w:tr>
        <w:trPr>
          <w:trHeight w:val="365" w:hRule="exact"/>
        </w:trPr>
        <w:tc>
          <w:tcPr>
            <w:tcW w:w="3632"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2"/>
              <w:ind w:left="11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760"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596,156.60</w:t>
            </w:r>
          </w:p>
        </w:tc>
        <w:tc>
          <w:tcPr>
            <w:tcW w:w="2657"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2"/>
              <w:ind w:left="97" w:right="0"/>
              <w:jc w:val="center"/>
              <w:rPr>
                <w:rFonts w:ascii="宋体" w:hAnsi="宋体" w:cs="宋体" w:eastAsia="宋体" w:hint="default"/>
                <w:sz w:val="21"/>
                <w:szCs w:val="21"/>
              </w:rPr>
            </w:pPr>
            <w:r>
              <w:rPr>
                <w:rFonts w:ascii="宋体"/>
                <w:sz w:val="21"/>
              </w:rPr>
              <w:t>/ </w:t>
            </w:r>
          </w:p>
        </w:tc>
      </w:tr>
    </w:tbl>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628;height:2" coordorigin="10,10" coordsize="3628,2">
              <v:shape style="position:absolute;left:10;top:10;width:3628;height:2" coordorigin="10,10" coordsize="3628,0" path="m10,10l3637,10e" filled="false" stroked="true" strokeweight=".96002pt" strokecolor="#41b7ee">
                <v:path arrowok="t"/>
              </v:shape>
            </v:group>
            <v:group style="position:absolute;left:3637;top:10;width:58;height:2" coordorigin="3637,10" coordsize="58,2">
              <v:shape style="position:absolute;left:3637;top:10;width:58;height:2" coordorigin="3637,10" coordsize="58,0" path="m3637,10l3695,10e" filled="false" stroked="true" strokeweight=".96002pt" strokecolor="#41b7ee">
                <v:path arrowok="t"/>
              </v:shape>
            </v:group>
            <v:group style="position:absolute;left:3695;top:10;width:2703;height:2" coordorigin="3695,10" coordsize="2703,2">
              <v:shape style="position:absolute;left:3695;top:10;width:2703;height:2" coordorigin="3695,10" coordsize="2703,0" path="m3695,10l6397,10e" filled="false" stroked="true" strokeweight=".96002pt" strokecolor="#41b7ee">
                <v:path arrowok="t"/>
              </v:shape>
            </v:group>
            <v:group style="position:absolute;left:6397;top:10;width:58;height:2" coordorigin="6397,10" coordsize="58,2">
              <v:shape style="position:absolute;left:6397;top:10;width:58;height:2" coordorigin="6397,10" coordsize="58,0" path="m6397,10l6455,10e" filled="false" stroked="true" strokeweight=".96002pt" strokecolor="#41b7ee">
                <v:path arrowok="t"/>
              </v:shape>
            </v:group>
            <v:group style="position:absolute;left:6455;top:10;width:2605;height:2" coordorigin="6455,10" coordsize="2605,2">
              <v:shape style="position:absolute;left:6455;top:10;width:2605;height:2" coordorigin="6455,10" coordsize="2605,0" path="m6455,10l9059,10e" filled="false" stroked="true" strokeweight=".96002pt" strokecolor="#41b7ee">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360" w:bottom="1380" w:left="1040" w:right="1520"/>
        </w:sectPr>
      </w:pPr>
    </w:p>
    <w:p>
      <w:pPr>
        <w:pStyle w:val="BodyText"/>
        <w:spacing w:line="273" w:lineRule="exact" w:before="35"/>
        <w:ind w:left="15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4" w:lineRule="exact" w:before="24"/>
        <w:ind w:left="156" w:right="0" w:firstLine="420"/>
        <w:jc w:val="left"/>
        <w:rPr>
          <w:rFonts w:ascii="宋体" w:hAnsi="宋体" w:cs="宋体" w:eastAsia="宋体" w:hint="default"/>
        </w:rPr>
      </w:pPr>
      <w:r>
        <w:rPr/>
        <w:t>原按个别认定法计提坏账转回金额为</w:t>
      </w:r>
      <w:r>
        <w:rPr>
          <w:spacing w:val="-49"/>
        </w:rPr>
        <w:t> </w:t>
      </w:r>
      <w:r>
        <w:rPr>
          <w:rFonts w:ascii="Arial" w:hAnsi="Arial" w:cs="Arial" w:eastAsia="Arial" w:hint="default"/>
        </w:rPr>
        <w:t>677,595.55</w:t>
      </w:r>
      <w:r>
        <w:rPr>
          <w:rFonts w:ascii="Arial" w:hAnsi="Arial" w:cs="Arial" w:eastAsia="Arial" w:hint="default"/>
          <w:spacing w:val="-2"/>
        </w:rPr>
        <w:t> </w:t>
      </w:r>
      <w:r>
        <w:rPr>
          <w:spacing w:val="-7"/>
        </w:rPr>
        <w:t>元，收回核销坏账</w:t>
      </w:r>
      <w:r>
        <w:rPr>
          <w:spacing w:val="-49"/>
        </w:rPr>
        <w:t> </w:t>
      </w:r>
      <w:r>
        <w:rPr>
          <w:rFonts w:ascii="Arial" w:hAnsi="Arial" w:cs="Arial" w:eastAsia="Arial" w:hint="default"/>
        </w:rPr>
        <w:t>81,438.95</w:t>
      </w:r>
      <w:r>
        <w:rPr>
          <w:rFonts w:ascii="Arial" w:hAnsi="Arial" w:cs="Arial" w:eastAsia="Arial" w:hint="default"/>
          <w:spacing w:val="-2"/>
        </w:rPr>
        <w:t> </w:t>
      </w:r>
      <w:r>
        <w:rPr>
          <w:spacing w:val="-9"/>
        </w:rPr>
        <w:t>元。上述款项</w:t>
      </w:r>
      <w:r>
        <w:rPr>
          <w:w w:val="100"/>
        </w:rPr>
        <w:t> </w:t>
      </w:r>
      <w:r>
        <w:rPr/>
        <w:t>以货币和转账方式转回或收回。</w:t>
      </w:r>
      <w:r>
        <w:rPr>
          <w:rFonts w:ascii="宋体" w:hAnsi="宋体" w:cs="宋体" w:eastAsia="宋体" w:hint="default"/>
        </w:rPr>
        <w:t> </w:t>
      </w:r>
    </w:p>
    <w:p>
      <w:pPr>
        <w:pStyle w:val="Heading2"/>
        <w:spacing w:line="240" w:lineRule="auto" w:before="31"/>
        <w:ind w:left="156" w:right="0"/>
        <w:jc w:val="left"/>
        <w:rPr>
          <w:rFonts w:ascii="宋体" w:hAnsi="宋体" w:cs="宋体" w:eastAsia="宋体" w:hint="default"/>
          <w:b w:val="0"/>
          <w:bCs w:val="0"/>
        </w:rPr>
      </w:pPr>
      <w:r>
        <w:rPr>
          <w:rFonts w:ascii="宋体" w:hAnsi="宋体" w:cs="宋体" w:eastAsia="宋体" w:hint="default"/>
        </w:rPr>
        <w:t>(5).</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156" w:right="312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1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0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2422;height:2" coordorigin="10,10" coordsize="2422,2">
              <v:shape style="position:absolute;left:10;top:10;width:2422;height:2" coordorigin="10,10" coordsize="2422,0" path="m10,10l2432,10e" filled="false" stroked="true" strokeweight=".95999pt" strokecolor="#41b7ee">
                <v:path arrowok="t"/>
              </v:shape>
            </v:group>
            <v:group style="position:absolute;left:2432;top:10;width:58;height:2" coordorigin="2432,10" coordsize="58,2">
              <v:shape style="position:absolute;left:2432;top:10;width:58;height:2" coordorigin="2432,10" coordsize="58,0" path="m2432,10l2489,10e" filled="false" stroked="true" strokeweight=".95999pt" strokecolor="#41b7ee">
                <v:path arrowok="t"/>
              </v:shape>
            </v:group>
            <v:group style="position:absolute;left:2489;top:10;width:1230;height:2" coordorigin="2489,10" coordsize="1230,2">
              <v:shape style="position:absolute;left:2489;top:10;width:1230;height:2" coordorigin="2489,10" coordsize="1230,0" path="m2489,10l3718,10e" filled="false" stroked="true" strokeweight=".95999pt" strokecolor="#41b7ee">
                <v:path arrowok="t"/>
              </v:shape>
            </v:group>
            <v:group style="position:absolute;left:3719;top:10;width:58;height:2" coordorigin="3719,10" coordsize="58,2">
              <v:shape style="position:absolute;left:3719;top:10;width:58;height:2" coordorigin="3719,10" coordsize="58,0" path="m3719,10l3776,10e" filled="false" stroked="true" strokeweight=".95999pt" strokecolor="#41b7ee">
                <v:path arrowok="t"/>
              </v:shape>
            </v:group>
            <v:group style="position:absolute;left:3776;top:10;width:1655;height:2" coordorigin="3776,10" coordsize="1655,2">
              <v:shape style="position:absolute;left:3776;top:10;width:1655;height:2" coordorigin="3776,10" coordsize="1655,0" path="m3776,10l5430,10e" filled="false" stroked="true" strokeweight=".95999pt" strokecolor="#41b7ee">
                <v:path arrowok="t"/>
              </v:shape>
            </v:group>
            <v:group style="position:absolute;left:5430;top:10;width:58;height:2" coordorigin="5430,10" coordsize="58,2">
              <v:shape style="position:absolute;left:5430;top:10;width:58;height:2" coordorigin="5430,10" coordsize="58,0" path="m5430,10l5488,10e" filled="false" stroked="true" strokeweight=".95999pt" strokecolor="#41b7ee">
                <v:path arrowok="t"/>
              </v:shape>
            </v:group>
            <v:group style="position:absolute;left:5488;top:10;width:944;height:2" coordorigin="5488,10" coordsize="944,2">
              <v:shape style="position:absolute;left:5488;top:10;width:944;height:2" coordorigin="5488,10" coordsize="944,0" path="m5488,10l6431,10e" filled="false" stroked="true" strokeweight=".95999pt" strokecolor="#41b7ee">
                <v:path arrowok="t"/>
              </v:shape>
            </v:group>
            <v:group style="position:absolute;left:6431;top:10;width:58;height:2" coordorigin="6431,10" coordsize="58,2">
              <v:shape style="position:absolute;left:6431;top:10;width:58;height:2" coordorigin="6431,10" coordsize="58,0" path="m6431,10l6489,10e" filled="false" stroked="true" strokeweight=".95999pt" strokecolor="#41b7ee">
                <v:path arrowok="t"/>
              </v:shape>
            </v:group>
            <v:group style="position:absolute;left:6489;top:10;width:814;height:2" coordorigin="6489,10" coordsize="814,2">
              <v:shape style="position:absolute;left:6489;top:10;width:814;height:2" coordorigin="6489,10" coordsize="814,0" path="m6489,10l7302,10e" filled="false" stroked="true" strokeweight=".95999pt" strokecolor="#41b7ee">
                <v:path arrowok="t"/>
              </v:shape>
            </v:group>
            <v:group style="position:absolute;left:7302;top:10;width:58;height:2" coordorigin="7302,10" coordsize="58,2">
              <v:shape style="position:absolute;left:7302;top:10;width:58;height:2" coordorigin="7302,10" coordsize="58,0" path="m7302,10l7360,10e" filled="false" stroked="true" strokeweight=".95999pt" strokecolor="#41b7ee">
                <v:path arrowok="t"/>
              </v:shape>
            </v:group>
            <v:group style="position:absolute;left:7360;top:10;width:1547;height:2" coordorigin="7360,10" coordsize="1547,2">
              <v:shape style="position:absolute;left:7360;top:10;width:1547;height:2" coordorigin="7360,10" coordsize="1547,0" path="m7360,10l8906,10e" filled="false" stroked="true" strokeweight=".95999pt" strokecolor="#41b7ee">
                <v:path arrowok="t"/>
              </v:shape>
            </v:group>
          </v:group>
        </w:pict>
      </w:r>
      <w:r>
        <w:rPr>
          <w:rFonts w:ascii="宋体" w:hAnsi="宋体" w:cs="宋体" w:eastAsia="宋体" w:hint="default"/>
          <w:sz w:val="2"/>
          <w:szCs w:val="2"/>
        </w:rPr>
      </w:r>
    </w:p>
    <w:tbl>
      <w:tblPr>
        <w:tblW w:w="0" w:type="auto"/>
        <w:jc w:val="left"/>
        <w:tblInd w:w="116" w:type="dxa"/>
        <w:tblLayout w:type="fixed"/>
        <w:tblCellMar>
          <w:top w:w="0" w:type="dxa"/>
          <w:left w:w="0" w:type="dxa"/>
          <w:bottom w:w="0" w:type="dxa"/>
          <w:right w:w="0" w:type="dxa"/>
        </w:tblCellMar>
        <w:tblLook w:val="01E0"/>
      </w:tblPr>
      <w:tblGrid>
        <w:gridCol w:w="2427"/>
        <w:gridCol w:w="1287"/>
        <w:gridCol w:w="1712"/>
        <w:gridCol w:w="1001"/>
        <w:gridCol w:w="871"/>
        <w:gridCol w:w="1599"/>
      </w:tblGrid>
      <w:tr>
        <w:trPr>
          <w:trHeight w:val="1183" w:hRule="exact"/>
        </w:trPr>
        <w:tc>
          <w:tcPr>
            <w:tcW w:w="2427" w:type="dxa"/>
            <w:tcBorders>
              <w:top w:val="single" w:sz="8" w:space="0" w:color="41B7EE"/>
              <w:left w:val="nil" w:sz="6" w:space="0" w:color="auto"/>
              <w:bottom w:val="single" w:sz="4" w:space="0" w:color="41B7EE"/>
              <w:right w:val="single" w:sz="4" w:space="0" w:color="41B7EE"/>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742"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287"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76" w:right="0"/>
              <w:jc w:val="left"/>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712"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39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001"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216"/>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871" w:type="dxa"/>
            <w:tcBorders>
              <w:top w:val="single" w:sz="8" w:space="0" w:color="41B7EE"/>
              <w:left w:val="single" w:sz="4" w:space="0" w:color="41B7EE"/>
              <w:bottom w:val="single" w:sz="4" w:space="0" w:color="41B7EE"/>
              <w:right w:val="single" w:sz="4" w:space="0" w:color="41B7EE"/>
            </w:tcBorders>
          </w:tcPr>
          <w:p>
            <w:pPr>
              <w:pStyle w:val="TableParagraph"/>
              <w:spacing w:line="206" w:lineRule="exact"/>
              <w:ind w:left="69" w:right="0"/>
              <w:jc w:val="both"/>
              <w:rPr>
                <w:rFonts w:ascii="宋体" w:hAnsi="宋体" w:cs="宋体" w:eastAsia="宋体" w:hint="default"/>
                <w:sz w:val="18"/>
                <w:szCs w:val="18"/>
              </w:rPr>
            </w:pPr>
            <w:r>
              <w:rPr>
                <w:rFonts w:ascii="宋体" w:hAnsi="宋体" w:cs="宋体" w:eastAsia="宋体" w:hint="default"/>
                <w:sz w:val="18"/>
                <w:szCs w:val="18"/>
              </w:rPr>
              <w:t>占其他应</w:t>
            </w:r>
          </w:p>
          <w:p>
            <w:pPr>
              <w:pStyle w:val="TableParagraph"/>
              <w:spacing w:line="237" w:lineRule="auto"/>
              <w:ind w:left="69" w:right="71"/>
              <w:jc w:val="both"/>
              <w:rPr>
                <w:rFonts w:ascii="宋体" w:hAnsi="宋体" w:cs="宋体" w:eastAsia="宋体" w:hint="default"/>
                <w:sz w:val="18"/>
                <w:szCs w:val="18"/>
              </w:rPr>
            </w:pPr>
            <w:r>
              <w:rPr>
                <w:rFonts w:ascii="宋体" w:hAnsi="宋体" w:cs="宋体" w:eastAsia="宋体" w:hint="default"/>
                <w:sz w:val="18"/>
                <w:szCs w:val="18"/>
              </w:rPr>
              <w:t>收款期末 余额合计 数的比例</w:t>
            </w:r>
          </w:p>
          <w:p>
            <w:pPr>
              <w:pStyle w:val="TableParagraph"/>
              <w:spacing w:line="233" w:lineRule="exact"/>
              <w:ind w:left="87"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1599"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72" w:lineRule="exact"/>
              <w:ind w:left="374" w:right="271"/>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5" w:hRule="exact"/>
        </w:trPr>
        <w:tc>
          <w:tcPr>
            <w:tcW w:w="2427" w:type="dxa"/>
            <w:tcBorders>
              <w:top w:val="single" w:sz="4" w:space="0" w:color="41B7EE"/>
              <w:left w:val="nil" w:sz="6" w:space="0" w:color="auto"/>
              <w:bottom w:val="single" w:sz="4" w:space="0" w:color="41B7EE"/>
              <w:right w:val="single" w:sz="4" w:space="0" w:color="41B7EE"/>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哈尔滨乔仕房地产开发</w:t>
            </w:r>
          </w:p>
          <w:p>
            <w:pPr>
              <w:pStyle w:val="TableParagraph"/>
              <w:spacing w:line="274" w:lineRule="exact"/>
              <w:ind w:left="3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8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71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7"/>
              <w:ind w:right="94"/>
              <w:jc w:val="right"/>
              <w:rPr>
                <w:rFonts w:ascii="Arial" w:hAnsi="Arial" w:cs="Arial" w:eastAsia="Arial" w:hint="default"/>
                <w:sz w:val="21"/>
                <w:szCs w:val="21"/>
              </w:rPr>
            </w:pPr>
            <w:r>
              <w:rPr>
                <w:rFonts w:ascii="Arial"/>
                <w:spacing w:val="-1"/>
                <w:sz w:val="21"/>
              </w:rPr>
              <w:t>323,380,021.84</w:t>
            </w:r>
          </w:p>
        </w:tc>
        <w:tc>
          <w:tcPr>
            <w:tcW w:w="10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3"/>
              <w:ind w:right="161"/>
              <w:jc w:val="right"/>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87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7"/>
              <w:ind w:right="22"/>
              <w:jc w:val="right"/>
              <w:rPr>
                <w:rFonts w:ascii="Arial" w:hAnsi="Arial" w:cs="Arial" w:eastAsia="Arial" w:hint="default"/>
                <w:sz w:val="21"/>
                <w:szCs w:val="21"/>
              </w:rPr>
            </w:pPr>
            <w:r>
              <w:rPr>
                <w:rFonts w:ascii="Arial"/>
                <w:spacing w:val="-1"/>
                <w:sz w:val="21"/>
              </w:rPr>
              <w:t>34.57</w:t>
            </w:r>
          </w:p>
        </w:tc>
        <w:tc>
          <w:tcPr>
            <w:tcW w:w="15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7"/>
              <w:ind w:left="73" w:right="0"/>
              <w:jc w:val="center"/>
              <w:rPr>
                <w:rFonts w:ascii="Arial" w:hAnsi="Arial" w:cs="Arial" w:eastAsia="Arial" w:hint="default"/>
                <w:sz w:val="21"/>
                <w:szCs w:val="21"/>
              </w:rPr>
            </w:pPr>
            <w:r>
              <w:rPr>
                <w:rFonts w:ascii="Arial"/>
                <w:sz w:val="21"/>
              </w:rPr>
              <w:t>160,911,072.49</w:t>
            </w:r>
          </w:p>
        </w:tc>
      </w:tr>
      <w:tr>
        <w:trPr>
          <w:trHeight w:val="554" w:hRule="exact"/>
        </w:trPr>
        <w:tc>
          <w:tcPr>
            <w:tcW w:w="2427" w:type="dxa"/>
            <w:tcBorders>
              <w:top w:val="single" w:sz="4" w:space="0" w:color="41B7EE"/>
              <w:left w:val="nil" w:sz="6" w:space="0" w:color="auto"/>
              <w:bottom w:val="single" w:sz="4" w:space="0" w:color="41B7EE"/>
              <w:right w:val="single" w:sz="4" w:space="0" w:color="41B7EE"/>
            </w:tcBorders>
          </w:tcPr>
          <w:p>
            <w:pPr>
              <w:pStyle w:val="TableParagraph"/>
              <w:spacing w:line="240" w:lineRule="exact"/>
              <w:ind w:left="31" w:right="0"/>
              <w:jc w:val="left"/>
              <w:rPr>
                <w:rFonts w:ascii="宋体" w:hAnsi="宋体" w:cs="宋体" w:eastAsia="宋体" w:hint="default"/>
                <w:sz w:val="21"/>
                <w:szCs w:val="21"/>
              </w:rPr>
            </w:pPr>
            <w:r>
              <w:rPr>
                <w:rFonts w:ascii="宋体" w:hAnsi="宋体" w:cs="宋体" w:eastAsia="宋体" w:hint="default"/>
                <w:sz w:val="21"/>
                <w:szCs w:val="21"/>
              </w:rPr>
              <w:t>鸡东弘霖煤炭经销有限</w:t>
            </w:r>
          </w:p>
          <w:p>
            <w:pPr>
              <w:pStyle w:val="TableParagraph"/>
              <w:spacing w:line="274" w:lineRule="exact"/>
              <w:ind w:left="3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8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预借采购款</w:t>
            </w:r>
          </w:p>
        </w:tc>
        <w:tc>
          <w:tcPr>
            <w:tcW w:w="171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94"/>
              <w:jc w:val="right"/>
              <w:rPr>
                <w:rFonts w:ascii="Arial" w:hAnsi="Arial" w:cs="Arial" w:eastAsia="Arial" w:hint="default"/>
                <w:sz w:val="21"/>
                <w:szCs w:val="21"/>
              </w:rPr>
            </w:pPr>
            <w:r>
              <w:rPr>
                <w:rFonts w:ascii="Arial"/>
                <w:spacing w:val="-1"/>
                <w:sz w:val="21"/>
              </w:rPr>
              <w:t>110,271,886.43</w:t>
            </w:r>
          </w:p>
        </w:tc>
        <w:tc>
          <w:tcPr>
            <w:tcW w:w="10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right="161"/>
              <w:jc w:val="right"/>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87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22"/>
              <w:jc w:val="right"/>
              <w:rPr>
                <w:rFonts w:ascii="Arial" w:hAnsi="Arial" w:cs="Arial" w:eastAsia="Arial" w:hint="default"/>
                <w:sz w:val="21"/>
                <w:szCs w:val="21"/>
              </w:rPr>
            </w:pPr>
            <w:r>
              <w:rPr>
                <w:rFonts w:ascii="Arial"/>
                <w:spacing w:val="-1"/>
                <w:sz w:val="21"/>
              </w:rPr>
              <w:t>11.79</w:t>
            </w:r>
          </w:p>
        </w:tc>
        <w:tc>
          <w:tcPr>
            <w:tcW w:w="15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8"/>
              <w:ind w:left="73" w:right="0"/>
              <w:jc w:val="center"/>
              <w:rPr>
                <w:rFonts w:ascii="Arial" w:hAnsi="Arial" w:cs="Arial" w:eastAsia="Arial" w:hint="default"/>
                <w:sz w:val="21"/>
                <w:szCs w:val="21"/>
              </w:rPr>
            </w:pPr>
            <w:r>
              <w:rPr>
                <w:rFonts w:ascii="Arial"/>
                <w:sz w:val="21"/>
              </w:rPr>
              <w:t>110,271,886.43</w:t>
            </w:r>
          </w:p>
        </w:tc>
      </w:tr>
      <w:tr>
        <w:trPr>
          <w:trHeight w:val="557" w:hRule="exact"/>
        </w:trPr>
        <w:tc>
          <w:tcPr>
            <w:tcW w:w="2427" w:type="dxa"/>
            <w:tcBorders>
              <w:top w:val="single" w:sz="4" w:space="0" w:color="41B7EE"/>
              <w:left w:val="nil" w:sz="6" w:space="0" w:color="auto"/>
              <w:bottom w:val="single" w:sz="4" w:space="0" w:color="41B7EE"/>
              <w:right w:val="single" w:sz="4" w:space="0" w:color="41B7EE"/>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哈尔滨中青房地产开发</w:t>
            </w:r>
          </w:p>
          <w:p>
            <w:pPr>
              <w:pStyle w:val="TableParagraph"/>
              <w:spacing w:line="273" w:lineRule="exact"/>
              <w:ind w:left="3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8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71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94"/>
              <w:jc w:val="right"/>
              <w:rPr>
                <w:rFonts w:ascii="Arial" w:hAnsi="Arial" w:cs="Arial" w:eastAsia="Arial" w:hint="default"/>
                <w:sz w:val="21"/>
                <w:szCs w:val="21"/>
              </w:rPr>
            </w:pPr>
            <w:r>
              <w:rPr>
                <w:rFonts w:ascii="Arial"/>
                <w:spacing w:val="-1"/>
                <w:sz w:val="21"/>
              </w:rPr>
              <w:t>44,059,405.94</w:t>
            </w:r>
          </w:p>
        </w:tc>
        <w:tc>
          <w:tcPr>
            <w:tcW w:w="10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right="161"/>
              <w:jc w:val="right"/>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87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22"/>
              <w:jc w:val="right"/>
              <w:rPr>
                <w:rFonts w:ascii="Arial" w:hAnsi="Arial" w:cs="Arial" w:eastAsia="Arial" w:hint="default"/>
                <w:sz w:val="21"/>
                <w:szCs w:val="21"/>
              </w:rPr>
            </w:pPr>
            <w:r>
              <w:rPr>
                <w:rFonts w:ascii="Arial"/>
                <w:spacing w:val="-1"/>
                <w:sz w:val="21"/>
              </w:rPr>
              <w:t>4.71</w:t>
            </w:r>
          </w:p>
        </w:tc>
        <w:tc>
          <w:tcPr>
            <w:tcW w:w="15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8"/>
              <w:ind w:left="188" w:right="0"/>
              <w:jc w:val="center"/>
              <w:rPr>
                <w:rFonts w:ascii="Arial" w:hAnsi="Arial" w:cs="Arial" w:eastAsia="Arial" w:hint="default"/>
                <w:sz w:val="21"/>
                <w:szCs w:val="21"/>
              </w:rPr>
            </w:pPr>
            <w:r>
              <w:rPr>
                <w:rFonts w:ascii="Arial"/>
                <w:sz w:val="21"/>
              </w:rPr>
              <w:t>33,044,554.45</w:t>
            </w:r>
          </w:p>
        </w:tc>
      </w:tr>
      <w:tr>
        <w:trPr>
          <w:trHeight w:val="355" w:hRule="exact"/>
        </w:trPr>
        <w:tc>
          <w:tcPr>
            <w:tcW w:w="242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鸡东县忠旺粮库</w:t>
            </w:r>
          </w:p>
        </w:tc>
        <w:tc>
          <w:tcPr>
            <w:tcW w:w="128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预借采购款</w:t>
            </w:r>
          </w:p>
        </w:tc>
        <w:tc>
          <w:tcPr>
            <w:tcW w:w="171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4"/>
              <w:jc w:val="right"/>
              <w:rPr>
                <w:rFonts w:ascii="Arial" w:hAnsi="Arial" w:cs="Arial" w:eastAsia="Arial" w:hint="default"/>
                <w:sz w:val="21"/>
                <w:szCs w:val="21"/>
              </w:rPr>
            </w:pPr>
            <w:r>
              <w:rPr>
                <w:rFonts w:ascii="Arial"/>
                <w:spacing w:val="-1"/>
                <w:sz w:val="21"/>
              </w:rPr>
              <w:t>26,723,794.95</w:t>
            </w:r>
          </w:p>
        </w:tc>
        <w:tc>
          <w:tcPr>
            <w:tcW w:w="10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right="161"/>
              <w:jc w:val="right"/>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87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2.86</w:t>
            </w:r>
          </w:p>
        </w:tc>
        <w:tc>
          <w:tcPr>
            <w:tcW w:w="15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left="188" w:right="0"/>
              <w:jc w:val="center"/>
              <w:rPr>
                <w:rFonts w:ascii="Arial" w:hAnsi="Arial" w:cs="Arial" w:eastAsia="Arial" w:hint="default"/>
                <w:sz w:val="21"/>
                <w:szCs w:val="21"/>
              </w:rPr>
            </w:pPr>
            <w:r>
              <w:rPr>
                <w:rFonts w:ascii="Arial"/>
                <w:sz w:val="21"/>
              </w:rPr>
              <w:t>26,723,794.95</w:t>
            </w:r>
          </w:p>
        </w:tc>
      </w:tr>
      <w:tr>
        <w:trPr>
          <w:trHeight w:val="554" w:hRule="exact"/>
        </w:trPr>
        <w:tc>
          <w:tcPr>
            <w:tcW w:w="2427" w:type="dxa"/>
            <w:tcBorders>
              <w:top w:val="single" w:sz="4" w:space="0" w:color="41B7EE"/>
              <w:left w:val="nil" w:sz="6" w:space="0" w:color="auto"/>
              <w:bottom w:val="single" w:sz="4" w:space="0" w:color="41B7EE"/>
              <w:right w:val="single" w:sz="4" w:space="0" w:color="41B7EE"/>
            </w:tcBorders>
          </w:tcPr>
          <w:p>
            <w:pPr>
              <w:pStyle w:val="TableParagraph"/>
              <w:spacing w:line="240" w:lineRule="exact"/>
              <w:ind w:left="31" w:right="0"/>
              <w:jc w:val="left"/>
              <w:rPr>
                <w:rFonts w:ascii="宋体" w:hAnsi="宋体" w:cs="宋体" w:eastAsia="宋体" w:hint="default"/>
                <w:sz w:val="21"/>
                <w:szCs w:val="21"/>
              </w:rPr>
            </w:pPr>
            <w:r>
              <w:rPr>
                <w:rFonts w:ascii="宋体" w:hAnsi="宋体" w:cs="宋体" w:eastAsia="宋体" w:hint="default"/>
                <w:sz w:val="21"/>
                <w:szCs w:val="21"/>
              </w:rPr>
              <w:t>呼和浩特市环通工贸有</w:t>
            </w:r>
          </w:p>
          <w:p>
            <w:pPr>
              <w:pStyle w:val="TableParagraph"/>
              <w:spacing w:line="274" w:lineRule="exact"/>
              <w:ind w:left="31"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128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煤炭款</w:t>
            </w:r>
          </w:p>
        </w:tc>
        <w:tc>
          <w:tcPr>
            <w:tcW w:w="171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94"/>
              <w:jc w:val="right"/>
              <w:rPr>
                <w:rFonts w:ascii="Arial" w:hAnsi="Arial" w:cs="Arial" w:eastAsia="Arial" w:hint="default"/>
                <w:sz w:val="21"/>
                <w:szCs w:val="21"/>
              </w:rPr>
            </w:pPr>
            <w:r>
              <w:rPr>
                <w:rFonts w:ascii="Arial"/>
                <w:spacing w:val="-1"/>
                <w:sz w:val="21"/>
              </w:rPr>
              <w:t>25,709,448.21</w:t>
            </w:r>
          </w:p>
        </w:tc>
        <w:tc>
          <w:tcPr>
            <w:tcW w:w="10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right="161"/>
              <w:jc w:val="right"/>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87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22"/>
              <w:jc w:val="right"/>
              <w:rPr>
                <w:rFonts w:ascii="Arial" w:hAnsi="Arial" w:cs="Arial" w:eastAsia="Arial" w:hint="default"/>
                <w:sz w:val="21"/>
                <w:szCs w:val="21"/>
              </w:rPr>
            </w:pPr>
            <w:r>
              <w:rPr>
                <w:rFonts w:ascii="Arial"/>
                <w:spacing w:val="-1"/>
                <w:sz w:val="21"/>
              </w:rPr>
              <w:t>2.75</w:t>
            </w:r>
          </w:p>
        </w:tc>
        <w:tc>
          <w:tcPr>
            <w:tcW w:w="159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8"/>
              <w:ind w:left="188" w:right="0"/>
              <w:jc w:val="center"/>
              <w:rPr>
                <w:rFonts w:ascii="Arial" w:hAnsi="Arial" w:cs="Arial" w:eastAsia="Arial" w:hint="default"/>
                <w:sz w:val="21"/>
                <w:szCs w:val="21"/>
              </w:rPr>
            </w:pPr>
            <w:r>
              <w:rPr>
                <w:rFonts w:ascii="Arial"/>
                <w:sz w:val="21"/>
              </w:rPr>
              <w:t>25,709,448.21</w:t>
            </w:r>
          </w:p>
        </w:tc>
      </w:tr>
      <w:tr>
        <w:trPr>
          <w:trHeight w:val="365" w:hRule="exact"/>
        </w:trPr>
        <w:tc>
          <w:tcPr>
            <w:tcW w:w="2427"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4"/>
              <w:ind w:right="97"/>
              <w:jc w:val="center"/>
              <w:rPr>
                <w:rFonts w:ascii="宋体" w:hAnsi="宋体" w:cs="宋体" w:eastAsia="宋体" w:hint="default"/>
                <w:sz w:val="21"/>
                <w:szCs w:val="21"/>
              </w:rPr>
            </w:pPr>
            <w:r>
              <w:rPr>
                <w:rFonts w:ascii="宋体" w:hAnsi="宋体" w:cs="宋体" w:eastAsia="宋体" w:hint="default"/>
                <w:sz w:val="21"/>
                <w:szCs w:val="21"/>
              </w:rPr>
              <w:t>合计</w:t>
            </w:r>
          </w:p>
        </w:tc>
        <w:tc>
          <w:tcPr>
            <w:tcW w:w="1287"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0"/>
              <w:ind w:right="68"/>
              <w:jc w:val="center"/>
              <w:rPr>
                <w:rFonts w:ascii="Arial" w:hAnsi="Arial" w:cs="Arial" w:eastAsia="Arial" w:hint="default"/>
                <w:sz w:val="21"/>
                <w:szCs w:val="21"/>
              </w:rPr>
            </w:pPr>
            <w:r>
              <w:rPr>
                <w:rFonts w:ascii="Arial"/>
                <w:w w:val="100"/>
                <w:sz w:val="21"/>
              </w:rPr>
              <w:t>/</w:t>
            </w:r>
          </w:p>
        </w:tc>
        <w:tc>
          <w:tcPr>
            <w:tcW w:w="1712"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0"/>
              <w:ind w:right="94"/>
              <w:jc w:val="right"/>
              <w:rPr>
                <w:rFonts w:ascii="Arial" w:hAnsi="Arial" w:cs="Arial" w:eastAsia="Arial" w:hint="default"/>
                <w:sz w:val="21"/>
                <w:szCs w:val="21"/>
              </w:rPr>
            </w:pPr>
            <w:r>
              <w:rPr>
                <w:rFonts w:ascii="Arial"/>
                <w:spacing w:val="-1"/>
                <w:sz w:val="21"/>
              </w:rPr>
              <w:t>530,144,557.37</w:t>
            </w:r>
          </w:p>
        </w:tc>
        <w:tc>
          <w:tcPr>
            <w:tcW w:w="1001"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0"/>
              <w:ind w:right="71"/>
              <w:jc w:val="center"/>
              <w:rPr>
                <w:rFonts w:ascii="Arial" w:hAnsi="Arial" w:cs="Arial" w:eastAsia="Arial" w:hint="default"/>
                <w:sz w:val="21"/>
                <w:szCs w:val="21"/>
              </w:rPr>
            </w:pPr>
            <w:r>
              <w:rPr>
                <w:rFonts w:ascii="Arial"/>
                <w:w w:val="100"/>
                <w:sz w:val="21"/>
              </w:rPr>
              <w:t>/</w:t>
            </w:r>
          </w:p>
        </w:tc>
        <w:tc>
          <w:tcPr>
            <w:tcW w:w="871"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0"/>
              <w:ind w:right="22"/>
              <w:jc w:val="right"/>
              <w:rPr>
                <w:rFonts w:ascii="Arial" w:hAnsi="Arial" w:cs="Arial" w:eastAsia="Arial" w:hint="default"/>
                <w:sz w:val="21"/>
                <w:szCs w:val="21"/>
              </w:rPr>
            </w:pPr>
            <w:r>
              <w:rPr>
                <w:rFonts w:ascii="Arial"/>
                <w:spacing w:val="-1"/>
                <w:sz w:val="21"/>
              </w:rPr>
              <w:t>56.68</w:t>
            </w:r>
          </w:p>
        </w:tc>
        <w:tc>
          <w:tcPr>
            <w:tcW w:w="1599"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50"/>
              <w:ind w:left="73" w:right="0"/>
              <w:jc w:val="center"/>
              <w:rPr>
                <w:rFonts w:ascii="Arial" w:hAnsi="Arial" w:cs="Arial" w:eastAsia="Arial" w:hint="default"/>
                <w:sz w:val="21"/>
                <w:szCs w:val="21"/>
              </w:rPr>
            </w:pPr>
            <w:r>
              <w:rPr>
                <w:rFonts w:ascii="Arial"/>
                <w:sz w:val="21"/>
              </w:rPr>
              <w:t>356,660,756.53</w:t>
            </w:r>
          </w:p>
        </w:tc>
      </w:tr>
    </w:tbl>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2422;height:2" coordorigin="10,10" coordsize="2422,2">
              <v:shape style="position:absolute;left:10;top:10;width:2422;height:2" coordorigin="10,10" coordsize="2422,0" path="m10,10l2432,10e" filled="false" stroked="true" strokeweight=".96002pt" strokecolor="#41b7ee">
                <v:path arrowok="t"/>
              </v:shape>
            </v:group>
            <v:group style="position:absolute;left:2432;top:10;width:58;height:2" coordorigin="2432,10" coordsize="58,2">
              <v:shape style="position:absolute;left:2432;top:10;width:58;height:2" coordorigin="2432,10" coordsize="58,0" path="m2432,10l2489,10e" filled="false" stroked="true" strokeweight=".96002pt" strokecolor="#41b7ee">
                <v:path arrowok="t"/>
              </v:shape>
            </v:group>
            <v:group style="position:absolute;left:2489;top:10;width:1230;height:2" coordorigin="2489,10" coordsize="1230,2">
              <v:shape style="position:absolute;left:2489;top:10;width:1230;height:2" coordorigin="2489,10" coordsize="1230,0" path="m2489,10l3718,10e" filled="false" stroked="true" strokeweight=".96002pt" strokecolor="#41b7ee">
                <v:path arrowok="t"/>
              </v:shape>
            </v:group>
            <v:group style="position:absolute;left:3719;top:10;width:58;height:2" coordorigin="3719,10" coordsize="58,2">
              <v:shape style="position:absolute;left:3719;top:10;width:58;height:2" coordorigin="3719,10" coordsize="58,0" path="m3719,10l3776,10e" filled="false" stroked="true" strokeweight=".96002pt" strokecolor="#41b7ee">
                <v:path arrowok="t"/>
              </v:shape>
            </v:group>
            <v:group style="position:absolute;left:3776;top:10;width:1655;height:2" coordorigin="3776,10" coordsize="1655,2">
              <v:shape style="position:absolute;left:3776;top:10;width:1655;height:2" coordorigin="3776,10" coordsize="1655,0" path="m3776,10l5430,10e" filled="false" stroked="true" strokeweight=".96002pt" strokecolor="#41b7ee">
                <v:path arrowok="t"/>
              </v:shape>
            </v:group>
            <v:group style="position:absolute;left:5430;top:10;width:58;height:2" coordorigin="5430,10" coordsize="58,2">
              <v:shape style="position:absolute;left:5430;top:10;width:58;height:2" coordorigin="5430,10" coordsize="58,0" path="m5430,10l5488,10e" filled="false" stroked="true" strokeweight=".96002pt" strokecolor="#41b7ee">
                <v:path arrowok="t"/>
              </v:shape>
            </v:group>
            <v:group style="position:absolute;left:5488;top:10;width:944;height:2" coordorigin="5488,10" coordsize="944,2">
              <v:shape style="position:absolute;left:5488;top:10;width:944;height:2" coordorigin="5488,10" coordsize="944,0" path="m5488,10l6431,10e" filled="false" stroked="true" strokeweight=".96002pt" strokecolor="#41b7ee">
                <v:path arrowok="t"/>
              </v:shape>
            </v:group>
            <v:group style="position:absolute;left:6431;top:10;width:58;height:2" coordorigin="6431,10" coordsize="58,2">
              <v:shape style="position:absolute;left:6431;top:10;width:58;height:2" coordorigin="6431,10" coordsize="58,0" path="m6431,10l6489,10e" filled="false" stroked="true" strokeweight=".96002pt" strokecolor="#41b7ee">
                <v:path arrowok="t"/>
              </v:shape>
            </v:group>
            <v:group style="position:absolute;left:6489;top:10;width:814;height:2" coordorigin="6489,10" coordsize="814,2">
              <v:shape style="position:absolute;left:6489;top:10;width:814;height:2" coordorigin="6489,10" coordsize="814,0" path="m6489,10l7302,10e" filled="false" stroked="true" strokeweight=".96002pt" strokecolor="#41b7ee">
                <v:path arrowok="t"/>
              </v:shape>
            </v:group>
            <v:group style="position:absolute;left:7302;top:10;width:58;height:2" coordorigin="7302,10" coordsize="58,2">
              <v:shape style="position:absolute;left:7302;top:10;width:58;height:2" coordorigin="7302,10" coordsize="58,0" path="m7302,10l7360,10e" filled="false" stroked="true" strokeweight=".96002pt" strokecolor="#41b7ee">
                <v:path arrowok="t"/>
              </v:shape>
            </v:group>
            <v:group style="position:absolute;left:7360;top:10;width:1547;height:2" coordorigin="7360,10" coordsize="1547,2">
              <v:shape style="position:absolute;left:7360;top:10;width:1547;height:2" coordorigin="7360,10" coordsize="1547,0" path="m7360,10l8906,10e" filled="false" stroked="true" strokeweight=".96002pt" strokecolor="#41b7ee">
                <v:path arrowok="t"/>
              </v:shape>
            </v:group>
          </v:group>
        </w:pict>
      </w:r>
      <w:r>
        <w:rPr>
          <w:rFonts w:ascii="宋体" w:hAnsi="宋体" w:cs="宋体" w:eastAsia="宋体" w:hint="default"/>
          <w:sz w:val="2"/>
          <w:szCs w:val="2"/>
        </w:rPr>
      </w:r>
    </w:p>
    <w:p>
      <w:pPr>
        <w:pStyle w:val="Heading2"/>
        <w:spacing w:line="240" w:lineRule="auto" w:before="25"/>
        <w:ind w:left="156" w:right="0"/>
        <w:jc w:val="left"/>
        <w:rPr>
          <w:rFonts w:ascii="宋体" w:hAnsi="宋体" w:cs="宋体" w:eastAsia="宋体" w:hint="default"/>
          <w:b w:val="0"/>
          <w:bCs w:val="0"/>
        </w:rPr>
      </w:pPr>
      <w:r>
        <w:rPr>
          <w:rFonts w:ascii="宋体" w:hAnsi="宋体" w:cs="宋体" w:eastAsia="宋体" w:hint="default"/>
        </w:rPr>
        <w:t>(7).</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156" w:right="392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(8).</w:t>
      </w:r>
      <w:r>
        <w:rPr>
          <w:rFonts w:ascii="宋体" w:hAnsi="宋体" w:cs="宋体" w:eastAsia="宋体" w:hint="default"/>
          <w:b/>
          <w:bCs/>
          <w:sz w:val="21"/>
          <w:szCs w:val="21"/>
        </w:rPr>
        <w:t>因金融资产转移而终止确认的其他应收款</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156" w:right="312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(9).</w:t>
      </w:r>
      <w:r>
        <w:rPr>
          <w:rFonts w:ascii="宋体" w:hAnsi="宋体" w:cs="宋体" w:eastAsia="宋体" w:hint="default"/>
          <w:b/>
          <w:bCs/>
          <w:sz w:val="21"/>
          <w:szCs w:val="21"/>
        </w:rPr>
        <w:t>转移其他应收款且继续涉入形成的资产、负债的金额</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left="15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5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26" w:footer="1195" w:top="1360" w:bottom="1380" w:left="1120" w:right="1580"/>
        </w:sectPr>
      </w:pPr>
    </w:p>
    <w:p>
      <w:pPr>
        <w:spacing w:line="240" w:lineRule="auto" w:before="1"/>
        <w:rPr>
          <w:rFonts w:ascii="宋体" w:hAnsi="宋体" w:cs="宋体" w:eastAsia="宋体" w:hint="default"/>
          <w:sz w:val="6"/>
          <w:szCs w:val="6"/>
        </w:rPr>
      </w:pPr>
    </w:p>
    <w:p>
      <w:pPr>
        <w:spacing w:line="544" w:lineRule="exact"/>
        <w:ind w:left="208"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696.35pt;height:27.25pt;mso-position-horizontal-relative:char;mso-position-vertical-relative:line" coordorigin="0,0" coordsize="13927,545">
            <v:group style="position:absolute;left:7;top:538;width:13913;height:2" coordorigin="7,538" coordsize="13913,2">
              <v:shape style="position:absolute;left:7;top:538;width:13913;height:2" coordorigin="7,538" coordsize="13913,0" path="m7,538l13920,538e" filled="false" stroked="true" strokeweight=".72pt" strokecolor="#000000">
                <v:path arrowok="t"/>
              </v:shape>
              <v:shape style="position:absolute;left:99;top:0;width:4665;height:480" type="#_x0000_t75" stroked="false">
                <v:imagedata r:id="rId16" o:title=""/>
              </v:shape>
              <v:shape style="position:absolute;left:0;top:0;width:13927;height:545" type="#_x0000_t202" filled="false" stroked="false">
                <v:textbox inset="0,0,0,0">
                  <w:txbxContent>
                    <w:p>
                      <w:pPr>
                        <w:spacing w:line="454" w:lineRule="exact" w:before="0"/>
                        <w:ind w:left="0" w:right="31" w:firstLine="0"/>
                        <w:jc w:val="right"/>
                        <w:rPr>
                          <w:rFonts w:ascii="微软雅黑" w:hAnsi="微软雅黑" w:cs="微软雅黑" w:eastAsia="微软雅黑" w:hint="default"/>
                          <w:sz w:val="28"/>
                          <w:szCs w:val="28"/>
                        </w:rPr>
                      </w:pPr>
                      <w:r>
                        <w:rPr>
                          <w:rFonts w:ascii="微软雅黑" w:hAnsi="微软雅黑" w:cs="微软雅黑" w:eastAsia="微软雅黑" w:hint="default"/>
                          <w:b/>
                          <w:bCs/>
                          <w:sz w:val="28"/>
                          <w:szCs w:val="28"/>
                        </w:rPr>
                        <w:t>2019</w:t>
                      </w:r>
                      <w:r>
                        <w:rPr>
                          <w:rFonts w:ascii="微软雅黑" w:hAnsi="微软雅黑" w:cs="微软雅黑" w:eastAsia="微软雅黑" w:hint="default"/>
                          <w:b/>
                          <w:bCs/>
                          <w:spacing w:val="-17"/>
                          <w:sz w:val="28"/>
                          <w:szCs w:val="28"/>
                        </w:rPr>
                        <w:t> </w:t>
                      </w:r>
                      <w:r>
                        <w:rPr>
                          <w:rFonts w:ascii="微软雅黑" w:hAnsi="微软雅黑" w:cs="微软雅黑" w:eastAsia="微软雅黑" w:hint="default"/>
                          <w:b/>
                          <w:bCs/>
                          <w:sz w:val="28"/>
                          <w:szCs w:val="28"/>
                        </w:rPr>
                        <w:t>年年度报告</w:t>
                      </w:r>
                      <w:r>
                        <w:rPr>
                          <w:rFonts w:ascii="微软雅黑" w:hAnsi="微软雅黑" w:cs="微软雅黑" w:eastAsia="微软雅黑" w:hint="default"/>
                          <w:sz w:val="28"/>
                          <w:szCs w:val="28"/>
                        </w:rPr>
                      </w:r>
                    </w:p>
                  </w:txbxContent>
                </v:textbox>
                <w10:wrap type="none"/>
              </v:shape>
            </v:group>
          </v:group>
        </w:pict>
      </w:r>
      <w:r>
        <w:rPr>
          <w:rFonts w:ascii="宋体" w:hAnsi="宋体" w:cs="宋体" w:eastAsia="宋体" w:hint="default"/>
          <w:position w:val="-10"/>
          <w:sz w:val="20"/>
          <w:szCs w:val="20"/>
        </w:rPr>
      </w:r>
    </w:p>
    <w:p>
      <w:pPr>
        <w:spacing w:after="0" w:line="544" w:lineRule="exact"/>
        <w:rPr>
          <w:rFonts w:ascii="宋体" w:hAnsi="宋体" w:cs="宋体" w:eastAsia="宋体" w:hint="default"/>
          <w:sz w:val="20"/>
          <w:szCs w:val="20"/>
        </w:rPr>
        <w:sectPr>
          <w:headerReference w:type="default" r:id="rId62"/>
          <w:footerReference w:type="default" r:id="rId63"/>
          <w:pgSz w:w="16840" w:h="11910" w:orient="landscape"/>
          <w:pgMar w:header="0" w:footer="0" w:top="740" w:bottom="280" w:left="1280" w:right="1160"/>
        </w:sectPr>
      </w:pPr>
    </w:p>
    <w:p>
      <w:pPr>
        <w:pStyle w:val="Heading2"/>
        <w:spacing w:line="242" w:lineRule="exact" w:before="0"/>
        <w:ind w:left="244" w:right="0"/>
        <w:jc w:val="left"/>
        <w:rPr>
          <w:b w:val="0"/>
          <w:bCs w:val="0"/>
        </w:rPr>
      </w:pPr>
      <w:r>
        <w:rPr>
          <w:rFonts w:ascii="宋体" w:hAnsi="宋体" w:cs="宋体" w:eastAsia="宋体" w:hint="default"/>
        </w:rPr>
        <w:t>9</w:t>
      </w:r>
      <w:r>
        <w:rPr/>
        <w:t>、</w:t>
      </w:r>
      <w:r>
        <w:rPr>
          <w:spacing w:val="-3"/>
        </w:rPr>
        <w:t> </w:t>
      </w:r>
      <w:r>
        <w:rPr/>
        <w:t>存货</w:t>
      </w:r>
      <w:r>
        <w:rPr>
          <w:b w:val="0"/>
          <w:bCs w:val="0"/>
        </w:rPr>
      </w:r>
    </w:p>
    <w:p>
      <w:pPr>
        <w:pStyle w:val="Heading2"/>
        <w:spacing w:line="240" w:lineRule="auto" w:before="58"/>
        <w:ind w:left="244" w:right="0"/>
        <w:jc w:val="left"/>
        <w:rPr>
          <w:rFonts w:ascii="宋体" w:hAnsi="宋体" w:cs="宋体" w:eastAsia="宋体" w:hint="default"/>
          <w:b w:val="0"/>
          <w:bCs w:val="0"/>
        </w:rPr>
      </w:pPr>
      <w:r>
        <w:rPr>
          <w:rFonts w:ascii="宋体" w:hAnsi="宋体" w:cs="宋体" w:eastAsia="宋体" w:hint="default"/>
        </w:rPr>
        <w:t>(1).</w:t>
      </w:r>
      <w:r>
        <w:rPr/>
        <w:t>存货分类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ind w:left="24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360" w:bottom="1380" w:left="1280" w:right="1160"/>
          <w:cols w:num="2" w:equalWidth="0">
            <w:col w:w="2031" w:space="9532"/>
            <w:col w:w="2837"/>
          </w:cols>
        </w:sectPr>
      </w:pPr>
    </w:p>
    <w:p>
      <w:pPr>
        <w:spacing w:line="240" w:lineRule="auto" w:before="4"/>
        <w:rPr>
          <w:rFonts w:ascii="宋体" w:hAnsi="宋体" w:cs="宋体" w:eastAsia="宋体" w:hint="default"/>
          <w:sz w:val="2"/>
          <w:szCs w:val="2"/>
        </w:rPr>
      </w:pPr>
    </w:p>
    <w:p>
      <w:pPr>
        <w:spacing w:line="20" w:lineRule="exact"/>
        <w:ind w:left="203" w:right="0" w:firstLine="0"/>
        <w:rPr>
          <w:rFonts w:ascii="宋体" w:hAnsi="宋体" w:cs="宋体" w:eastAsia="宋体" w:hint="default"/>
          <w:sz w:val="2"/>
          <w:szCs w:val="2"/>
        </w:rPr>
      </w:pPr>
      <w:r>
        <w:rPr>
          <w:rFonts w:ascii="宋体" w:hAnsi="宋体" w:cs="宋体" w:eastAsia="宋体" w:hint="default"/>
          <w:sz w:val="2"/>
          <w:szCs w:val="2"/>
        </w:rPr>
        <w:pict>
          <v:group style="width:697.8pt;height:1pt;mso-position-horizontal-relative:char;mso-position-vertical-relative:line" coordorigin="0,0" coordsize="13956,20">
            <v:group style="position:absolute;left:10;top:10;width:2233;height:2" coordorigin="10,10" coordsize="2233,2">
              <v:shape style="position:absolute;left:10;top:10;width:2233;height:2" coordorigin="10,10" coordsize="2233,0" path="m10,10l2242,10e" filled="false" stroked="true" strokeweight=".95999pt" strokecolor="#41b7ee">
                <v:path arrowok="t"/>
              </v:shape>
            </v:group>
            <v:group style="position:absolute;left:2242;top:10;width:58;height:2" coordorigin="2242,10" coordsize="58,2">
              <v:shape style="position:absolute;left:2242;top:10;width:58;height:2" coordorigin="2242,10" coordsize="58,0" path="m2242,10l2300,10e" filled="false" stroked="true" strokeweight=".95999pt" strokecolor="#41b7ee">
                <v:path arrowok="t"/>
              </v:shape>
            </v:group>
            <v:group style="position:absolute;left:2300;top:10;width:5891;height:2" coordorigin="2300,10" coordsize="5891,2">
              <v:shape style="position:absolute;left:2300;top:10;width:5891;height:2" coordorigin="2300,10" coordsize="5891,0" path="m2300,10l8190,10e" filled="false" stroked="true" strokeweight=".95999pt" strokecolor="#41b7ee">
                <v:path arrowok="t"/>
              </v:shape>
            </v:group>
            <v:group style="position:absolute;left:8190;top:10;width:58;height:2" coordorigin="8190,10" coordsize="58,2">
              <v:shape style="position:absolute;left:8190;top:10;width:58;height:2" coordorigin="8190,10" coordsize="58,0" path="m8190,10l8248,10e" filled="false" stroked="true" strokeweight=".95999pt" strokecolor="#41b7ee">
                <v:path arrowok="t"/>
              </v:shape>
            </v:group>
            <v:group style="position:absolute;left:8248;top:10;width:5698;height:2" coordorigin="8248,10" coordsize="5698,2">
              <v:shape style="position:absolute;left:8248;top:10;width:5698;height:2" coordorigin="8248,10" coordsize="5698,0" path="m8248,10l13946,10e" filled="false" stroked="true" strokeweight=".95999pt" strokecolor="#41b7ee">
                <v:path arrowok="t"/>
              </v:shape>
            </v:group>
          </v:group>
        </w:pict>
      </w:r>
      <w:r>
        <w:rPr>
          <w:rFonts w:ascii="宋体" w:hAnsi="宋体" w:cs="宋体" w:eastAsia="宋体" w:hint="default"/>
          <w:sz w:val="2"/>
          <w:szCs w:val="2"/>
        </w:rPr>
      </w:r>
    </w:p>
    <w:tbl>
      <w:tblPr>
        <w:tblW w:w="0" w:type="auto"/>
        <w:jc w:val="left"/>
        <w:tblInd w:w="184" w:type="dxa"/>
        <w:tblLayout w:type="fixed"/>
        <w:tblCellMar>
          <w:top w:w="0" w:type="dxa"/>
          <w:left w:w="0" w:type="dxa"/>
          <w:bottom w:w="0" w:type="dxa"/>
          <w:right w:w="0" w:type="dxa"/>
        </w:tblCellMar>
        <w:tblLook w:val="01E0"/>
      </w:tblPr>
      <w:tblGrid>
        <w:gridCol w:w="2237"/>
        <w:gridCol w:w="1868"/>
        <w:gridCol w:w="2146"/>
        <w:gridCol w:w="1935"/>
        <w:gridCol w:w="1915"/>
        <w:gridCol w:w="2139"/>
        <w:gridCol w:w="1697"/>
      </w:tblGrid>
      <w:tr>
        <w:trPr>
          <w:trHeight w:val="329" w:hRule="exact"/>
        </w:trPr>
        <w:tc>
          <w:tcPr>
            <w:tcW w:w="2237" w:type="dxa"/>
            <w:vMerge w:val="restart"/>
            <w:tcBorders>
              <w:top w:val="single" w:sz="8" w:space="0" w:color="41B7EE"/>
              <w:left w:val="nil" w:sz="6" w:space="0" w:color="auto"/>
              <w:right w:val="single" w:sz="4" w:space="0" w:color="41B7EE"/>
            </w:tcBorders>
          </w:tcPr>
          <w:p>
            <w:pPr>
              <w:pStyle w:val="TableParagraph"/>
              <w:spacing w:line="240" w:lineRule="auto" w:before="150"/>
              <w:ind w:left="108"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5948" w:type="dxa"/>
            <w:gridSpan w:val="3"/>
            <w:tcBorders>
              <w:top w:val="single" w:sz="8" w:space="0" w:color="41B7EE"/>
              <w:left w:val="single" w:sz="4" w:space="0" w:color="41B7EE"/>
              <w:bottom w:val="single" w:sz="4" w:space="0" w:color="41B7EE"/>
              <w:right w:val="single" w:sz="4" w:space="0" w:color="41B7EE"/>
            </w:tcBorders>
          </w:tcPr>
          <w:p>
            <w:pPr>
              <w:pStyle w:val="TableParagraph"/>
              <w:spacing w:line="265"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5751" w:type="dxa"/>
            <w:gridSpan w:val="3"/>
            <w:tcBorders>
              <w:top w:val="single" w:sz="8" w:space="0" w:color="41B7EE"/>
              <w:left w:val="single" w:sz="4" w:space="0" w:color="41B7EE"/>
              <w:bottom w:val="single" w:sz="4" w:space="0" w:color="41B7EE"/>
              <w:right w:val="nil" w:sz="6" w:space="0" w:color="auto"/>
            </w:tcBorders>
          </w:tcPr>
          <w:p>
            <w:pPr>
              <w:pStyle w:val="TableParagraph"/>
              <w:spacing w:line="265"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2237" w:type="dxa"/>
            <w:vMerge/>
            <w:tcBorders>
              <w:left w:val="nil" w:sz="6" w:space="0" w:color="auto"/>
              <w:bottom w:val="single" w:sz="4" w:space="0" w:color="41B7EE"/>
              <w:right w:val="single" w:sz="4" w:space="0" w:color="41B7EE"/>
            </w:tcBorders>
          </w:tcPr>
          <w:p>
            <w:pPr/>
          </w:p>
        </w:tc>
        <w:tc>
          <w:tcPr>
            <w:tcW w:w="1868" w:type="dxa"/>
            <w:tcBorders>
              <w:top w:val="single" w:sz="4" w:space="0" w:color="41B7EE"/>
              <w:left w:val="single" w:sz="4" w:space="0" w:color="41B7EE"/>
              <w:bottom w:val="single" w:sz="4" w:space="0" w:color="41B7EE"/>
              <w:right w:val="single" w:sz="4" w:space="0" w:color="41B7EE"/>
            </w:tcBorders>
          </w:tcPr>
          <w:p>
            <w:pPr>
              <w:pStyle w:val="TableParagraph"/>
              <w:spacing w:line="262" w:lineRule="exact"/>
              <w:ind w:left="506"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146" w:type="dxa"/>
            <w:tcBorders>
              <w:top w:val="single" w:sz="4" w:space="0" w:color="41B7EE"/>
              <w:left w:val="single" w:sz="4" w:space="0" w:color="41B7EE"/>
              <w:bottom w:val="single" w:sz="4" w:space="0" w:color="41B7EE"/>
              <w:right w:val="single" w:sz="4" w:space="0" w:color="41B7EE"/>
            </w:tcBorders>
          </w:tcPr>
          <w:p>
            <w:pPr>
              <w:pStyle w:val="TableParagraph"/>
              <w:spacing w:line="262" w:lineRule="exact"/>
              <w:ind w:left="645" w:right="0"/>
              <w:jc w:val="left"/>
              <w:rPr>
                <w:rFonts w:ascii="宋体" w:hAnsi="宋体" w:cs="宋体" w:eastAsia="宋体" w:hint="default"/>
                <w:sz w:val="21"/>
                <w:szCs w:val="21"/>
              </w:rPr>
            </w:pPr>
            <w:r>
              <w:rPr>
                <w:rFonts w:ascii="宋体" w:hAnsi="宋体" w:cs="宋体" w:eastAsia="宋体" w:hint="default"/>
                <w:sz w:val="21"/>
                <w:szCs w:val="21"/>
              </w:rPr>
              <w:t>跌价准备</w:t>
            </w:r>
            <w:r>
              <w:rPr>
                <w:rFonts w:ascii="宋体" w:hAnsi="宋体" w:cs="宋体" w:eastAsia="宋体" w:hint="default"/>
                <w:sz w:val="21"/>
                <w:szCs w:val="21"/>
              </w:rPr>
              <w:t> </w:t>
            </w:r>
          </w:p>
        </w:tc>
        <w:tc>
          <w:tcPr>
            <w:tcW w:w="1935" w:type="dxa"/>
            <w:tcBorders>
              <w:top w:val="single" w:sz="4" w:space="0" w:color="41B7EE"/>
              <w:left w:val="single" w:sz="4" w:space="0" w:color="41B7EE"/>
              <w:bottom w:val="single" w:sz="4" w:space="0" w:color="41B7EE"/>
              <w:right w:val="single" w:sz="4" w:space="0" w:color="41B7EE"/>
            </w:tcBorders>
          </w:tcPr>
          <w:p>
            <w:pPr>
              <w:pStyle w:val="TableParagraph"/>
              <w:spacing w:line="262" w:lineRule="exact"/>
              <w:ind w:left="540"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915" w:type="dxa"/>
            <w:tcBorders>
              <w:top w:val="single" w:sz="4" w:space="0" w:color="41B7EE"/>
              <w:left w:val="single" w:sz="4" w:space="0" w:color="41B7EE"/>
              <w:bottom w:val="single" w:sz="4" w:space="0" w:color="41B7EE"/>
              <w:right w:val="single" w:sz="4" w:space="0" w:color="41B7EE"/>
            </w:tcBorders>
          </w:tcPr>
          <w:p>
            <w:pPr>
              <w:pStyle w:val="TableParagraph"/>
              <w:spacing w:line="262" w:lineRule="exact"/>
              <w:ind w:left="530"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139" w:type="dxa"/>
            <w:tcBorders>
              <w:top w:val="single" w:sz="4" w:space="0" w:color="41B7EE"/>
              <w:left w:val="single" w:sz="4" w:space="0" w:color="41B7EE"/>
              <w:bottom w:val="single" w:sz="4" w:space="0" w:color="41B7EE"/>
              <w:right w:val="single" w:sz="4" w:space="0" w:color="41B7EE"/>
            </w:tcBorders>
          </w:tcPr>
          <w:p>
            <w:pPr>
              <w:pStyle w:val="TableParagraph"/>
              <w:spacing w:line="262" w:lineRule="exact"/>
              <w:ind w:left="643" w:right="0"/>
              <w:jc w:val="left"/>
              <w:rPr>
                <w:rFonts w:ascii="宋体" w:hAnsi="宋体" w:cs="宋体" w:eastAsia="宋体" w:hint="default"/>
                <w:sz w:val="21"/>
                <w:szCs w:val="21"/>
              </w:rPr>
            </w:pPr>
            <w:r>
              <w:rPr>
                <w:rFonts w:ascii="宋体" w:hAnsi="宋体" w:cs="宋体" w:eastAsia="宋体" w:hint="default"/>
                <w:sz w:val="21"/>
                <w:szCs w:val="21"/>
              </w:rPr>
              <w:t>跌价准备</w:t>
            </w:r>
            <w:r>
              <w:rPr>
                <w:rFonts w:ascii="宋体" w:hAnsi="宋体" w:cs="宋体" w:eastAsia="宋体" w:hint="default"/>
                <w:sz w:val="21"/>
                <w:szCs w:val="21"/>
              </w:rPr>
              <w:t> </w:t>
            </w:r>
          </w:p>
        </w:tc>
        <w:tc>
          <w:tcPr>
            <w:tcW w:w="1697" w:type="dxa"/>
            <w:tcBorders>
              <w:top w:val="single" w:sz="4" w:space="0" w:color="41B7EE"/>
              <w:left w:val="single" w:sz="4" w:space="0" w:color="41B7EE"/>
              <w:bottom w:val="single" w:sz="4" w:space="0" w:color="41B7EE"/>
              <w:right w:val="nil" w:sz="6" w:space="0" w:color="auto"/>
            </w:tcBorders>
          </w:tcPr>
          <w:p>
            <w:pPr>
              <w:pStyle w:val="TableParagraph"/>
              <w:spacing w:line="262" w:lineRule="exact"/>
              <w:ind w:left="422"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324" w:hRule="exact"/>
        </w:trPr>
        <w:tc>
          <w:tcPr>
            <w:tcW w:w="2237"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31"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186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7"/>
              <w:jc w:val="right"/>
              <w:rPr>
                <w:rFonts w:ascii="Arial" w:hAnsi="Arial" w:cs="Arial" w:eastAsia="Arial" w:hint="default"/>
                <w:sz w:val="21"/>
                <w:szCs w:val="21"/>
              </w:rPr>
            </w:pPr>
            <w:r>
              <w:rPr>
                <w:rFonts w:ascii="Arial"/>
                <w:spacing w:val="-1"/>
                <w:sz w:val="21"/>
              </w:rPr>
              <w:t>66,764,789.55</w:t>
            </w:r>
          </w:p>
        </w:tc>
        <w:tc>
          <w:tcPr>
            <w:tcW w:w="214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7"/>
              <w:jc w:val="right"/>
              <w:rPr>
                <w:rFonts w:ascii="Arial" w:hAnsi="Arial" w:cs="Arial" w:eastAsia="Arial" w:hint="default"/>
                <w:sz w:val="21"/>
                <w:szCs w:val="21"/>
              </w:rPr>
            </w:pPr>
            <w:r>
              <w:rPr>
                <w:rFonts w:ascii="Arial"/>
                <w:spacing w:val="-1"/>
                <w:sz w:val="21"/>
              </w:rPr>
              <w:t>22,197,329.50</w:t>
            </w:r>
          </w:p>
        </w:tc>
        <w:tc>
          <w:tcPr>
            <w:tcW w:w="193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7"/>
              <w:jc w:val="right"/>
              <w:rPr>
                <w:rFonts w:ascii="Arial" w:hAnsi="Arial" w:cs="Arial" w:eastAsia="Arial" w:hint="default"/>
                <w:sz w:val="21"/>
                <w:szCs w:val="21"/>
              </w:rPr>
            </w:pPr>
            <w:r>
              <w:rPr>
                <w:rFonts w:ascii="Arial"/>
                <w:spacing w:val="-1"/>
                <w:sz w:val="21"/>
              </w:rPr>
              <w:t>44,567,460.05</w:t>
            </w:r>
          </w:p>
        </w:tc>
        <w:tc>
          <w:tcPr>
            <w:tcW w:w="191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4"/>
              <w:jc w:val="right"/>
              <w:rPr>
                <w:rFonts w:ascii="Arial" w:hAnsi="Arial" w:cs="Arial" w:eastAsia="Arial" w:hint="default"/>
                <w:sz w:val="21"/>
                <w:szCs w:val="21"/>
              </w:rPr>
            </w:pPr>
            <w:r>
              <w:rPr>
                <w:rFonts w:ascii="Arial"/>
                <w:spacing w:val="-1"/>
                <w:sz w:val="21"/>
              </w:rPr>
              <w:t>99,689,831.07</w:t>
            </w:r>
          </w:p>
        </w:tc>
        <w:tc>
          <w:tcPr>
            <w:tcW w:w="213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4"/>
              <w:jc w:val="right"/>
              <w:rPr>
                <w:rFonts w:ascii="Arial" w:hAnsi="Arial" w:cs="Arial" w:eastAsia="Arial" w:hint="default"/>
                <w:sz w:val="21"/>
                <w:szCs w:val="21"/>
              </w:rPr>
            </w:pPr>
            <w:r>
              <w:rPr>
                <w:rFonts w:ascii="Arial"/>
                <w:spacing w:val="-1"/>
                <w:sz w:val="21"/>
              </w:rPr>
              <w:t>34,689,382.57</w:t>
            </w:r>
          </w:p>
        </w:tc>
        <w:tc>
          <w:tcPr>
            <w:tcW w:w="169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29"/>
              <w:jc w:val="right"/>
              <w:rPr>
                <w:rFonts w:ascii="Arial" w:hAnsi="Arial" w:cs="Arial" w:eastAsia="Arial" w:hint="default"/>
                <w:sz w:val="21"/>
                <w:szCs w:val="21"/>
              </w:rPr>
            </w:pPr>
            <w:r>
              <w:rPr>
                <w:rFonts w:ascii="Arial"/>
                <w:spacing w:val="-1"/>
                <w:sz w:val="21"/>
              </w:rPr>
              <w:t>65,000,448.50</w:t>
            </w:r>
          </w:p>
        </w:tc>
      </w:tr>
      <w:tr>
        <w:trPr>
          <w:trHeight w:val="322" w:hRule="exact"/>
        </w:trPr>
        <w:tc>
          <w:tcPr>
            <w:tcW w:w="2237"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186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235,839,240.05</w:t>
            </w:r>
          </w:p>
        </w:tc>
        <w:tc>
          <w:tcPr>
            <w:tcW w:w="214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63,845,510.54</w:t>
            </w:r>
          </w:p>
        </w:tc>
        <w:tc>
          <w:tcPr>
            <w:tcW w:w="193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27"/>
              <w:jc w:val="right"/>
              <w:rPr>
                <w:rFonts w:ascii="Arial" w:hAnsi="Arial" w:cs="Arial" w:eastAsia="Arial" w:hint="default"/>
                <w:sz w:val="21"/>
                <w:szCs w:val="21"/>
              </w:rPr>
            </w:pPr>
            <w:r>
              <w:rPr>
                <w:rFonts w:ascii="Arial"/>
                <w:spacing w:val="-1"/>
                <w:sz w:val="21"/>
              </w:rPr>
              <w:t>171,993,729.51</w:t>
            </w:r>
          </w:p>
        </w:tc>
        <w:tc>
          <w:tcPr>
            <w:tcW w:w="191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242,839,691.55</w:t>
            </w:r>
          </w:p>
        </w:tc>
        <w:tc>
          <w:tcPr>
            <w:tcW w:w="213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24"/>
              <w:jc w:val="right"/>
              <w:rPr>
                <w:rFonts w:ascii="Arial" w:hAnsi="Arial" w:cs="Arial" w:eastAsia="Arial" w:hint="default"/>
                <w:sz w:val="21"/>
                <w:szCs w:val="21"/>
              </w:rPr>
            </w:pPr>
            <w:r>
              <w:rPr>
                <w:rFonts w:ascii="Arial"/>
                <w:spacing w:val="-1"/>
                <w:sz w:val="21"/>
              </w:rPr>
              <w:t>63,561,868.99</w:t>
            </w:r>
          </w:p>
        </w:tc>
        <w:tc>
          <w:tcPr>
            <w:tcW w:w="169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8"/>
              <w:ind w:right="29"/>
              <w:jc w:val="right"/>
              <w:rPr>
                <w:rFonts w:ascii="Arial" w:hAnsi="Arial" w:cs="Arial" w:eastAsia="Arial" w:hint="default"/>
                <w:sz w:val="21"/>
                <w:szCs w:val="21"/>
              </w:rPr>
            </w:pPr>
            <w:r>
              <w:rPr>
                <w:rFonts w:ascii="Arial"/>
                <w:spacing w:val="-1"/>
                <w:sz w:val="21"/>
              </w:rPr>
              <w:t>179,277,822.56</w:t>
            </w:r>
          </w:p>
        </w:tc>
      </w:tr>
      <w:tr>
        <w:trPr>
          <w:trHeight w:val="322" w:hRule="exact"/>
        </w:trPr>
        <w:tc>
          <w:tcPr>
            <w:tcW w:w="2237"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周转材料</w:t>
            </w:r>
            <w:r>
              <w:rPr>
                <w:rFonts w:ascii="宋体" w:hAnsi="宋体" w:cs="宋体" w:eastAsia="宋体" w:hint="default"/>
                <w:sz w:val="21"/>
                <w:szCs w:val="21"/>
              </w:rPr>
              <w:t> </w:t>
            </w:r>
          </w:p>
        </w:tc>
        <w:tc>
          <w:tcPr>
            <w:tcW w:w="186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2"/>
              <w:jc w:val="right"/>
              <w:rPr>
                <w:rFonts w:ascii="Arial" w:hAnsi="Arial" w:cs="Arial" w:eastAsia="Arial" w:hint="default"/>
                <w:sz w:val="21"/>
                <w:szCs w:val="21"/>
              </w:rPr>
            </w:pPr>
            <w:r>
              <w:rPr>
                <w:rFonts w:ascii="Arial"/>
                <w:spacing w:val="-1"/>
                <w:sz w:val="21"/>
              </w:rPr>
              <w:t>1,812,543.11</w:t>
            </w:r>
          </w:p>
        </w:tc>
        <w:tc>
          <w:tcPr>
            <w:tcW w:w="214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2"/>
              <w:jc w:val="right"/>
              <w:rPr>
                <w:rFonts w:ascii="Arial" w:hAnsi="Arial" w:cs="Arial" w:eastAsia="Arial" w:hint="default"/>
                <w:sz w:val="21"/>
                <w:szCs w:val="21"/>
              </w:rPr>
            </w:pPr>
            <w:r>
              <w:rPr>
                <w:rFonts w:ascii="Arial"/>
                <w:spacing w:val="-1"/>
                <w:sz w:val="21"/>
              </w:rPr>
              <w:t>977,363.40</w:t>
            </w:r>
          </w:p>
        </w:tc>
        <w:tc>
          <w:tcPr>
            <w:tcW w:w="193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2"/>
              <w:jc w:val="right"/>
              <w:rPr>
                <w:rFonts w:ascii="Arial" w:hAnsi="Arial" w:cs="Arial" w:eastAsia="Arial" w:hint="default"/>
                <w:sz w:val="21"/>
                <w:szCs w:val="21"/>
              </w:rPr>
            </w:pPr>
            <w:r>
              <w:rPr>
                <w:rFonts w:ascii="Arial"/>
                <w:spacing w:val="-1"/>
                <w:sz w:val="21"/>
              </w:rPr>
              <w:t>835,179.71</w:t>
            </w:r>
          </w:p>
        </w:tc>
        <w:tc>
          <w:tcPr>
            <w:tcW w:w="191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4"/>
              <w:jc w:val="right"/>
              <w:rPr>
                <w:rFonts w:ascii="Arial" w:hAnsi="Arial" w:cs="Arial" w:eastAsia="Arial" w:hint="default"/>
                <w:sz w:val="21"/>
                <w:szCs w:val="21"/>
              </w:rPr>
            </w:pPr>
            <w:r>
              <w:rPr>
                <w:rFonts w:ascii="Arial"/>
                <w:spacing w:val="-1"/>
                <w:sz w:val="21"/>
              </w:rPr>
              <w:t>2,584,226.85</w:t>
            </w:r>
          </w:p>
        </w:tc>
        <w:tc>
          <w:tcPr>
            <w:tcW w:w="213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4"/>
              <w:jc w:val="right"/>
              <w:rPr>
                <w:rFonts w:ascii="Arial" w:hAnsi="Arial" w:cs="Arial" w:eastAsia="Arial" w:hint="default"/>
                <w:sz w:val="21"/>
                <w:szCs w:val="21"/>
              </w:rPr>
            </w:pPr>
            <w:r>
              <w:rPr>
                <w:rFonts w:ascii="Arial"/>
                <w:spacing w:val="-1"/>
                <w:sz w:val="21"/>
              </w:rPr>
              <w:t>688,204.21</w:t>
            </w:r>
          </w:p>
        </w:tc>
        <w:tc>
          <w:tcPr>
            <w:tcW w:w="169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29"/>
              <w:jc w:val="right"/>
              <w:rPr>
                <w:rFonts w:ascii="Arial" w:hAnsi="Arial" w:cs="Arial" w:eastAsia="Arial" w:hint="default"/>
                <w:sz w:val="21"/>
                <w:szCs w:val="21"/>
              </w:rPr>
            </w:pPr>
            <w:r>
              <w:rPr>
                <w:rFonts w:ascii="Arial"/>
                <w:spacing w:val="-1"/>
                <w:sz w:val="21"/>
              </w:rPr>
              <w:t>1,896,022.64</w:t>
            </w:r>
          </w:p>
        </w:tc>
      </w:tr>
      <w:tr>
        <w:trPr>
          <w:trHeight w:val="322" w:hRule="exact"/>
        </w:trPr>
        <w:tc>
          <w:tcPr>
            <w:tcW w:w="2237"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消耗性生物资产</w:t>
            </w:r>
            <w:r>
              <w:rPr>
                <w:rFonts w:ascii="宋体" w:hAnsi="宋体" w:cs="宋体" w:eastAsia="宋体" w:hint="default"/>
                <w:sz w:val="21"/>
                <w:szCs w:val="21"/>
              </w:rPr>
              <w:t> </w:t>
            </w:r>
          </w:p>
        </w:tc>
        <w:tc>
          <w:tcPr>
            <w:tcW w:w="186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2"/>
              <w:jc w:val="right"/>
              <w:rPr>
                <w:rFonts w:ascii="Arial" w:hAnsi="Arial" w:cs="Arial" w:eastAsia="Arial" w:hint="default"/>
                <w:sz w:val="21"/>
                <w:szCs w:val="21"/>
              </w:rPr>
            </w:pPr>
            <w:r>
              <w:rPr>
                <w:rFonts w:ascii="Arial"/>
                <w:spacing w:val="-1"/>
                <w:sz w:val="21"/>
              </w:rPr>
              <w:t>369,080.00</w:t>
            </w:r>
          </w:p>
        </w:tc>
        <w:tc>
          <w:tcPr>
            <w:tcW w:w="2146" w:type="dxa"/>
            <w:tcBorders>
              <w:top w:val="single" w:sz="4" w:space="0" w:color="41B7EE"/>
              <w:left w:val="single" w:sz="4" w:space="0" w:color="41B7EE"/>
              <w:bottom w:val="single" w:sz="4" w:space="0" w:color="41B7EE"/>
              <w:right w:val="single" w:sz="4" w:space="0" w:color="41B7EE"/>
            </w:tcBorders>
          </w:tcPr>
          <w:p>
            <w:pPr/>
          </w:p>
        </w:tc>
        <w:tc>
          <w:tcPr>
            <w:tcW w:w="193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2"/>
              <w:jc w:val="right"/>
              <w:rPr>
                <w:rFonts w:ascii="Arial" w:hAnsi="Arial" w:cs="Arial" w:eastAsia="Arial" w:hint="default"/>
                <w:sz w:val="21"/>
                <w:szCs w:val="21"/>
              </w:rPr>
            </w:pPr>
            <w:r>
              <w:rPr>
                <w:rFonts w:ascii="Arial"/>
                <w:spacing w:val="-1"/>
                <w:sz w:val="21"/>
              </w:rPr>
              <w:t>369,080.00</w:t>
            </w:r>
          </w:p>
        </w:tc>
        <w:tc>
          <w:tcPr>
            <w:tcW w:w="191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4"/>
              <w:jc w:val="right"/>
              <w:rPr>
                <w:rFonts w:ascii="Arial" w:hAnsi="Arial" w:cs="Arial" w:eastAsia="Arial" w:hint="default"/>
                <w:sz w:val="21"/>
                <w:szCs w:val="21"/>
              </w:rPr>
            </w:pPr>
            <w:r>
              <w:rPr>
                <w:rFonts w:ascii="Arial"/>
                <w:spacing w:val="-1"/>
                <w:sz w:val="21"/>
              </w:rPr>
              <w:t>369,080.00</w:t>
            </w:r>
          </w:p>
        </w:tc>
        <w:tc>
          <w:tcPr>
            <w:tcW w:w="2139" w:type="dxa"/>
            <w:tcBorders>
              <w:top w:val="single" w:sz="4" w:space="0" w:color="41B7EE"/>
              <w:left w:val="single" w:sz="4" w:space="0" w:color="41B7EE"/>
              <w:bottom w:val="single" w:sz="4" w:space="0" w:color="41B7EE"/>
              <w:right w:val="single" w:sz="4" w:space="0" w:color="41B7EE"/>
            </w:tcBorders>
          </w:tcPr>
          <w:p>
            <w:pPr/>
          </w:p>
        </w:tc>
        <w:tc>
          <w:tcPr>
            <w:tcW w:w="169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29"/>
              <w:jc w:val="right"/>
              <w:rPr>
                <w:rFonts w:ascii="Arial" w:hAnsi="Arial" w:cs="Arial" w:eastAsia="Arial" w:hint="default"/>
                <w:sz w:val="21"/>
                <w:szCs w:val="21"/>
              </w:rPr>
            </w:pPr>
            <w:r>
              <w:rPr>
                <w:rFonts w:ascii="Arial"/>
                <w:spacing w:val="-1"/>
                <w:sz w:val="21"/>
              </w:rPr>
              <w:t>369,080.00</w:t>
            </w:r>
          </w:p>
        </w:tc>
      </w:tr>
      <w:tr>
        <w:trPr>
          <w:trHeight w:val="322" w:hRule="exact"/>
        </w:trPr>
        <w:tc>
          <w:tcPr>
            <w:tcW w:w="2237"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31" w:right="0"/>
              <w:jc w:val="left"/>
              <w:rPr>
                <w:rFonts w:ascii="宋体" w:hAnsi="宋体" w:cs="宋体" w:eastAsia="宋体" w:hint="default"/>
                <w:sz w:val="21"/>
                <w:szCs w:val="21"/>
              </w:rPr>
            </w:pPr>
            <w:r>
              <w:rPr>
                <w:rFonts w:ascii="宋体" w:hAnsi="宋体" w:cs="宋体" w:eastAsia="宋体" w:hint="default"/>
                <w:sz w:val="21"/>
                <w:szCs w:val="21"/>
              </w:rPr>
              <w:t>发出商品</w:t>
            </w:r>
            <w:r>
              <w:rPr>
                <w:rFonts w:ascii="宋体" w:hAnsi="宋体" w:cs="宋体" w:eastAsia="宋体" w:hint="default"/>
                <w:sz w:val="21"/>
                <w:szCs w:val="21"/>
              </w:rPr>
              <w:t> </w:t>
            </w:r>
          </w:p>
        </w:tc>
        <w:tc>
          <w:tcPr>
            <w:tcW w:w="186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7"/>
              <w:jc w:val="right"/>
              <w:rPr>
                <w:rFonts w:ascii="Arial" w:hAnsi="Arial" w:cs="Arial" w:eastAsia="Arial" w:hint="default"/>
                <w:sz w:val="21"/>
                <w:szCs w:val="21"/>
              </w:rPr>
            </w:pPr>
            <w:r>
              <w:rPr>
                <w:rFonts w:ascii="Arial"/>
                <w:spacing w:val="-1"/>
                <w:sz w:val="21"/>
              </w:rPr>
              <w:t>6,462,417.07</w:t>
            </w:r>
          </w:p>
        </w:tc>
        <w:tc>
          <w:tcPr>
            <w:tcW w:w="214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7"/>
              <w:jc w:val="right"/>
              <w:rPr>
                <w:rFonts w:ascii="Arial" w:hAnsi="Arial" w:cs="Arial" w:eastAsia="Arial" w:hint="default"/>
                <w:sz w:val="21"/>
                <w:szCs w:val="21"/>
              </w:rPr>
            </w:pPr>
            <w:r>
              <w:rPr>
                <w:rFonts w:ascii="Arial"/>
                <w:spacing w:val="-1"/>
                <w:sz w:val="21"/>
              </w:rPr>
              <w:t>6,462,417.07</w:t>
            </w:r>
          </w:p>
        </w:tc>
        <w:tc>
          <w:tcPr>
            <w:tcW w:w="1935" w:type="dxa"/>
            <w:tcBorders>
              <w:top w:val="single" w:sz="4" w:space="0" w:color="41B7EE"/>
              <w:left w:val="single" w:sz="4" w:space="0" w:color="41B7EE"/>
              <w:bottom w:val="single" w:sz="4" w:space="0" w:color="41B7EE"/>
              <w:right w:val="single" w:sz="4" w:space="0" w:color="41B7EE"/>
            </w:tcBorders>
          </w:tcPr>
          <w:p>
            <w:pPr/>
          </w:p>
        </w:tc>
        <w:tc>
          <w:tcPr>
            <w:tcW w:w="191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4"/>
              <w:jc w:val="right"/>
              <w:rPr>
                <w:rFonts w:ascii="Arial" w:hAnsi="Arial" w:cs="Arial" w:eastAsia="Arial" w:hint="default"/>
                <w:sz w:val="21"/>
                <w:szCs w:val="21"/>
              </w:rPr>
            </w:pPr>
            <w:r>
              <w:rPr>
                <w:rFonts w:ascii="Arial"/>
                <w:spacing w:val="-1"/>
                <w:sz w:val="21"/>
              </w:rPr>
              <w:t>6,462,417.07</w:t>
            </w:r>
          </w:p>
        </w:tc>
        <w:tc>
          <w:tcPr>
            <w:tcW w:w="213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24"/>
              <w:jc w:val="right"/>
              <w:rPr>
                <w:rFonts w:ascii="Arial" w:hAnsi="Arial" w:cs="Arial" w:eastAsia="Arial" w:hint="default"/>
                <w:sz w:val="21"/>
                <w:szCs w:val="21"/>
              </w:rPr>
            </w:pPr>
            <w:r>
              <w:rPr>
                <w:rFonts w:ascii="Arial"/>
                <w:spacing w:val="-1"/>
                <w:sz w:val="21"/>
              </w:rPr>
              <w:t>6,462,417.07</w:t>
            </w:r>
          </w:p>
        </w:tc>
        <w:tc>
          <w:tcPr>
            <w:tcW w:w="1697" w:type="dxa"/>
            <w:tcBorders>
              <w:top w:val="single" w:sz="4" w:space="0" w:color="41B7EE"/>
              <w:left w:val="single" w:sz="4" w:space="0" w:color="41B7EE"/>
              <w:bottom w:val="single" w:sz="4" w:space="0" w:color="41B7EE"/>
              <w:right w:val="nil" w:sz="6" w:space="0" w:color="auto"/>
            </w:tcBorders>
          </w:tcPr>
          <w:p>
            <w:pPr/>
          </w:p>
        </w:tc>
      </w:tr>
      <w:tr>
        <w:trPr>
          <w:trHeight w:val="348" w:hRule="exact"/>
        </w:trPr>
        <w:tc>
          <w:tcPr>
            <w:tcW w:w="2237" w:type="dxa"/>
            <w:tcBorders>
              <w:top w:val="single" w:sz="4" w:space="0" w:color="41B7EE"/>
              <w:left w:val="nil" w:sz="6" w:space="0" w:color="auto"/>
              <w:bottom w:val="single" w:sz="23" w:space="0" w:color="41B7EE"/>
              <w:right w:val="single" w:sz="4" w:space="0" w:color="41B7EE"/>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68"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31"/>
              <w:ind w:right="27"/>
              <w:jc w:val="right"/>
              <w:rPr>
                <w:rFonts w:ascii="Arial" w:hAnsi="Arial" w:cs="Arial" w:eastAsia="Arial" w:hint="default"/>
                <w:sz w:val="21"/>
                <w:szCs w:val="21"/>
              </w:rPr>
            </w:pPr>
            <w:r>
              <w:rPr>
                <w:rFonts w:ascii="Arial"/>
                <w:spacing w:val="-1"/>
                <w:sz w:val="21"/>
              </w:rPr>
              <w:t>311,248,069.78</w:t>
            </w:r>
          </w:p>
        </w:tc>
        <w:tc>
          <w:tcPr>
            <w:tcW w:w="2146"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31"/>
              <w:ind w:right="27"/>
              <w:jc w:val="right"/>
              <w:rPr>
                <w:rFonts w:ascii="Arial" w:hAnsi="Arial" w:cs="Arial" w:eastAsia="Arial" w:hint="default"/>
                <w:sz w:val="21"/>
                <w:szCs w:val="21"/>
              </w:rPr>
            </w:pPr>
            <w:r>
              <w:rPr>
                <w:rFonts w:ascii="Arial"/>
                <w:spacing w:val="-1"/>
                <w:sz w:val="21"/>
              </w:rPr>
              <w:t>93,482,620.51</w:t>
            </w:r>
          </w:p>
        </w:tc>
        <w:tc>
          <w:tcPr>
            <w:tcW w:w="1935"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31"/>
              <w:ind w:right="27"/>
              <w:jc w:val="right"/>
              <w:rPr>
                <w:rFonts w:ascii="Arial" w:hAnsi="Arial" w:cs="Arial" w:eastAsia="Arial" w:hint="default"/>
                <w:sz w:val="21"/>
                <w:szCs w:val="21"/>
              </w:rPr>
            </w:pPr>
            <w:r>
              <w:rPr>
                <w:rFonts w:ascii="Arial"/>
                <w:spacing w:val="-1"/>
                <w:sz w:val="21"/>
              </w:rPr>
              <w:t>217,765,449.27</w:t>
            </w:r>
          </w:p>
        </w:tc>
        <w:tc>
          <w:tcPr>
            <w:tcW w:w="1915"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31"/>
              <w:ind w:right="24"/>
              <w:jc w:val="right"/>
              <w:rPr>
                <w:rFonts w:ascii="Arial" w:hAnsi="Arial" w:cs="Arial" w:eastAsia="Arial" w:hint="default"/>
                <w:sz w:val="21"/>
                <w:szCs w:val="21"/>
              </w:rPr>
            </w:pPr>
            <w:r>
              <w:rPr>
                <w:rFonts w:ascii="Arial"/>
                <w:spacing w:val="-1"/>
                <w:sz w:val="21"/>
              </w:rPr>
              <w:t>351,945,246.54</w:t>
            </w:r>
          </w:p>
        </w:tc>
        <w:tc>
          <w:tcPr>
            <w:tcW w:w="2139"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31"/>
              <w:ind w:right="25"/>
              <w:jc w:val="right"/>
              <w:rPr>
                <w:rFonts w:ascii="Arial" w:hAnsi="Arial" w:cs="Arial" w:eastAsia="Arial" w:hint="default"/>
                <w:sz w:val="21"/>
                <w:szCs w:val="21"/>
              </w:rPr>
            </w:pPr>
            <w:r>
              <w:rPr>
                <w:rFonts w:ascii="Arial"/>
                <w:spacing w:val="-1"/>
                <w:sz w:val="21"/>
              </w:rPr>
              <w:t>105,401,872.84</w:t>
            </w:r>
          </w:p>
        </w:tc>
        <w:tc>
          <w:tcPr>
            <w:tcW w:w="1697"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31"/>
              <w:ind w:right="29"/>
              <w:jc w:val="right"/>
              <w:rPr>
                <w:rFonts w:ascii="Arial" w:hAnsi="Arial" w:cs="Arial" w:eastAsia="Arial" w:hint="default"/>
                <w:sz w:val="21"/>
                <w:szCs w:val="21"/>
              </w:rPr>
            </w:pPr>
            <w:r>
              <w:rPr>
                <w:rFonts w:ascii="Arial"/>
                <w:spacing w:val="-1"/>
                <w:sz w:val="21"/>
              </w:rPr>
              <w:t>246,543,373.70</w:t>
            </w:r>
          </w:p>
        </w:tc>
      </w:tr>
    </w:tbl>
    <w:p>
      <w:pPr>
        <w:pStyle w:val="BodyText"/>
        <w:spacing w:line="259" w:lineRule="exact"/>
        <w:ind w:left="244" w:right="0"/>
        <w:jc w:val="left"/>
      </w:pPr>
      <w:r>
        <w:rPr/>
        <w:t>其他说明</w:t>
      </w:r>
    </w:p>
    <w:p>
      <w:pPr>
        <w:pStyle w:val="BodyText"/>
        <w:spacing w:line="280" w:lineRule="exact"/>
        <w:ind w:left="664" w:right="0"/>
        <w:jc w:val="left"/>
      </w:pPr>
      <w:r>
        <w:rPr/>
        <w:t>①子公司鑫亚公司与北大荒青枫亚麻纺织有限公司因货款结算纠纷提起诉讼，法院查封鑫亚公司亚麻纱</w:t>
      </w:r>
      <w:r>
        <w:rPr>
          <w:spacing w:val="-50"/>
        </w:rPr>
        <w:t> </w:t>
      </w:r>
      <w:r>
        <w:rPr>
          <w:rFonts w:ascii="Arial" w:hAnsi="Arial" w:cs="Arial" w:eastAsia="Arial" w:hint="default"/>
        </w:rPr>
        <w:t>699,411.41</w:t>
      </w:r>
      <w:r>
        <w:rPr>
          <w:rFonts w:ascii="Arial" w:hAnsi="Arial" w:cs="Arial" w:eastAsia="Arial" w:hint="default"/>
          <w:spacing w:val="-2"/>
        </w:rPr>
        <w:t> </w:t>
      </w:r>
      <w:r>
        <w:rPr/>
        <w:t>元、亚麻布</w:t>
      </w:r>
      <w:r>
        <w:rPr>
          <w:spacing w:val="-50"/>
        </w:rPr>
        <w:t> </w:t>
      </w:r>
      <w:r>
        <w:rPr>
          <w:rFonts w:ascii="Arial" w:hAnsi="Arial" w:cs="Arial" w:eastAsia="Arial" w:hint="default"/>
        </w:rPr>
        <w:t>10,385,432.88</w:t>
      </w:r>
      <w:r>
        <w:rPr>
          <w:rFonts w:ascii="Arial" w:hAnsi="Arial" w:cs="Arial" w:eastAsia="Arial" w:hint="default"/>
          <w:spacing w:val="-1"/>
        </w:rPr>
        <w:t> </w:t>
      </w:r>
      <w:r>
        <w:rPr/>
        <w:t>元。</w:t>
      </w:r>
    </w:p>
    <w:p>
      <w:pPr>
        <w:pStyle w:val="BodyText"/>
        <w:spacing w:line="274" w:lineRule="exact" w:before="16"/>
        <w:ind w:left="244" w:right="0" w:firstLine="420"/>
        <w:jc w:val="left"/>
        <w:rPr>
          <w:rFonts w:ascii="宋体" w:hAnsi="宋体" w:cs="宋体" w:eastAsia="宋体" w:hint="default"/>
        </w:rPr>
      </w:pPr>
      <w:r>
        <w:rPr>
          <w:spacing w:val="-2"/>
        </w:rPr>
        <w:t>②由于采购成本提高、行业竞争加剧及原库存商品品质下降等原因，导致浩良河化肥分公司、纸业公司、鑫亚公司等期末存货可变现净值低于存货</w:t>
      </w:r>
      <w:r>
        <w:rPr>
          <w:w w:val="100"/>
        </w:rPr>
        <w:t> </w:t>
      </w:r>
      <w:r>
        <w:rPr/>
        <w:t>成本。计提存货跌价准备的具体依据见附注五、</w:t>
      </w:r>
      <w:r>
        <w:rPr>
          <w:rFonts w:ascii="Arial" w:hAnsi="Arial" w:cs="Arial" w:eastAsia="Arial" w:hint="default"/>
        </w:rPr>
        <w:t>15</w:t>
      </w:r>
      <w:r>
        <w:rPr/>
        <w:t>（</w:t>
      </w:r>
      <w:r>
        <w:rPr>
          <w:rFonts w:ascii="Arial" w:hAnsi="Arial" w:cs="Arial" w:eastAsia="Arial" w:hint="default"/>
        </w:rPr>
        <w:t>3</w:t>
      </w:r>
      <w:r>
        <w:rPr/>
        <w:t>）注。</w:t>
      </w:r>
      <w:r>
        <w:rPr>
          <w:rFonts w:ascii="宋体" w:hAnsi="宋体" w:cs="宋体" w:eastAsia="宋体" w:hint="default"/>
          <w:color w:val="FF6600"/>
        </w:rPr>
        <w:t> </w:t>
      </w:r>
      <w:r>
        <w:rPr>
          <w:rFonts w:ascii="宋体" w:hAnsi="宋体" w:cs="宋体" w:eastAsia="宋体" w:hint="default"/>
        </w:rPr>
      </w:r>
    </w:p>
    <w:p>
      <w:pPr>
        <w:pStyle w:val="Heading2"/>
        <w:spacing w:line="240" w:lineRule="auto" w:before="31"/>
        <w:ind w:left="244" w:right="0"/>
        <w:jc w:val="left"/>
        <w:rPr>
          <w:rFonts w:ascii="宋体" w:hAnsi="宋体" w:cs="宋体" w:eastAsia="宋体" w:hint="default"/>
          <w:b w:val="0"/>
          <w:bCs w:val="0"/>
        </w:rPr>
      </w:pPr>
      <w:r>
        <w:rPr>
          <w:rFonts w:ascii="宋体" w:hAnsi="宋体" w:cs="宋体" w:eastAsia="宋体" w:hint="default"/>
        </w:rPr>
        <w:t>(2).</w:t>
      </w:r>
      <w:r>
        <w:rPr/>
        <w:t>存货跌价准备</w:t>
      </w:r>
      <w:r>
        <w:rPr>
          <w:rFonts w:ascii="宋体" w:hAnsi="宋体" w:cs="宋体" w:eastAsia="宋体" w:hint="default"/>
          <w:b w:val="0"/>
          <w:bCs w:val="0"/>
          <w:w w:val="100"/>
        </w:rPr>
        <w:t> </w:t>
      </w:r>
    </w:p>
    <w:p>
      <w:pPr>
        <w:pStyle w:val="BodyText"/>
        <w:spacing w:line="240" w:lineRule="auto" w:before="58"/>
        <w:ind w:left="2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72"/>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302"/>
        <w:gridCol w:w="2163"/>
        <w:gridCol w:w="2201"/>
        <w:gridCol w:w="1853"/>
        <w:gridCol w:w="1872"/>
        <w:gridCol w:w="1858"/>
        <w:gridCol w:w="1841"/>
      </w:tblGrid>
      <w:tr>
        <w:trPr>
          <w:trHeight w:val="348" w:hRule="exact"/>
        </w:trPr>
        <w:tc>
          <w:tcPr>
            <w:tcW w:w="2302" w:type="dxa"/>
            <w:vMerge w:val="restart"/>
            <w:tcBorders>
              <w:top w:val="single" w:sz="23" w:space="0" w:color="41B7EE"/>
              <w:left w:val="nil" w:sz="6" w:space="0" w:color="auto"/>
              <w:right w:val="single" w:sz="4" w:space="0" w:color="41B7EE"/>
            </w:tcBorders>
          </w:tcPr>
          <w:p>
            <w:pPr>
              <w:pStyle w:val="TableParagraph"/>
              <w:spacing w:line="240" w:lineRule="auto" w:before="148"/>
              <w:ind w:left="11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163" w:type="dxa"/>
            <w:vMerge w:val="restart"/>
            <w:tcBorders>
              <w:top w:val="single" w:sz="23" w:space="0" w:color="41B7EE"/>
              <w:left w:val="single" w:sz="4" w:space="0" w:color="41B7EE"/>
              <w:right w:val="single" w:sz="4" w:space="0" w:color="41B7EE"/>
            </w:tcBorders>
          </w:tcPr>
          <w:p>
            <w:pPr>
              <w:pStyle w:val="TableParagraph"/>
              <w:spacing w:line="240" w:lineRule="auto" w:before="148"/>
              <w:ind w:left="65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054" w:type="dxa"/>
            <w:gridSpan w:val="2"/>
            <w:tcBorders>
              <w:top w:val="single" w:sz="23" w:space="0" w:color="41B7EE"/>
              <w:left w:val="single" w:sz="4" w:space="0" w:color="41B7EE"/>
              <w:bottom w:val="single" w:sz="4" w:space="0" w:color="41B7EE"/>
              <w:right w:val="single" w:sz="4" w:space="0" w:color="41B7EE"/>
            </w:tcBorders>
          </w:tcPr>
          <w:p>
            <w:pPr>
              <w:pStyle w:val="TableParagraph"/>
              <w:spacing w:line="262" w:lineRule="exact"/>
              <w:ind w:left="1392" w:right="0"/>
              <w:jc w:val="left"/>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3730" w:type="dxa"/>
            <w:gridSpan w:val="2"/>
            <w:tcBorders>
              <w:top w:val="single" w:sz="23" w:space="0" w:color="41B7EE"/>
              <w:left w:val="single" w:sz="4" w:space="0" w:color="41B7EE"/>
              <w:bottom w:val="single" w:sz="4" w:space="0" w:color="41B7EE"/>
              <w:right w:val="single" w:sz="4" w:space="0" w:color="41B7EE"/>
            </w:tcBorders>
          </w:tcPr>
          <w:p>
            <w:pPr>
              <w:pStyle w:val="TableParagraph"/>
              <w:spacing w:line="262" w:lineRule="exact"/>
              <w:ind w:left="1231" w:right="0"/>
              <w:jc w:val="left"/>
              <w:rPr>
                <w:rFonts w:ascii="宋体" w:hAnsi="宋体" w:cs="宋体" w:eastAsia="宋体" w:hint="default"/>
                <w:sz w:val="21"/>
                <w:szCs w:val="21"/>
              </w:rPr>
            </w:pP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841" w:type="dxa"/>
            <w:vMerge w:val="restart"/>
            <w:tcBorders>
              <w:top w:val="single" w:sz="23" w:space="0" w:color="41B7EE"/>
              <w:left w:val="single" w:sz="4" w:space="0" w:color="41B7EE"/>
              <w:right w:val="nil" w:sz="6" w:space="0" w:color="auto"/>
            </w:tcBorders>
          </w:tcPr>
          <w:p>
            <w:pPr>
              <w:pStyle w:val="TableParagraph"/>
              <w:spacing w:line="240" w:lineRule="auto" w:before="148"/>
              <w:ind w:left="49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22" w:hRule="exact"/>
        </w:trPr>
        <w:tc>
          <w:tcPr>
            <w:tcW w:w="2302" w:type="dxa"/>
            <w:vMerge/>
            <w:tcBorders>
              <w:left w:val="nil" w:sz="6" w:space="0" w:color="auto"/>
              <w:bottom w:val="single" w:sz="4" w:space="0" w:color="41B7EE"/>
              <w:right w:val="single" w:sz="4" w:space="0" w:color="41B7EE"/>
            </w:tcBorders>
          </w:tcPr>
          <w:p>
            <w:pPr/>
          </w:p>
        </w:tc>
        <w:tc>
          <w:tcPr>
            <w:tcW w:w="2163" w:type="dxa"/>
            <w:vMerge/>
            <w:tcBorders>
              <w:left w:val="single" w:sz="4" w:space="0" w:color="41B7EE"/>
              <w:bottom w:val="single" w:sz="4" w:space="0" w:color="41B7EE"/>
              <w:right w:val="single" w:sz="4" w:space="0" w:color="41B7EE"/>
            </w:tcBorders>
          </w:tcPr>
          <w:p>
            <w:pPr/>
          </w:p>
        </w:tc>
        <w:tc>
          <w:tcPr>
            <w:tcW w:w="2201" w:type="dxa"/>
            <w:tcBorders>
              <w:top w:val="single" w:sz="4" w:space="0" w:color="41B7EE"/>
              <w:left w:val="single" w:sz="4" w:space="0" w:color="41B7EE"/>
              <w:bottom w:val="single" w:sz="4" w:space="0" w:color="41B7EE"/>
              <w:right w:val="single" w:sz="4" w:space="0" w:color="41B7EE"/>
            </w:tcBorders>
          </w:tcPr>
          <w:p>
            <w:pPr>
              <w:pStyle w:val="TableParagraph"/>
              <w:spacing w:line="260" w:lineRule="exact"/>
              <w:ind w:left="105"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853" w:type="dxa"/>
            <w:tcBorders>
              <w:top w:val="single" w:sz="4" w:space="0" w:color="41B7EE"/>
              <w:left w:val="single" w:sz="4" w:space="0" w:color="41B7EE"/>
              <w:bottom w:val="single" w:sz="4" w:space="0" w:color="41B7EE"/>
              <w:right w:val="single" w:sz="4" w:space="0" w:color="41B7EE"/>
            </w:tcBorders>
          </w:tcPr>
          <w:p>
            <w:pPr>
              <w:pStyle w:val="TableParagraph"/>
              <w:spacing w:line="260" w:lineRule="exact"/>
              <w:ind w:left="71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872" w:type="dxa"/>
            <w:tcBorders>
              <w:top w:val="single" w:sz="4" w:space="0" w:color="41B7EE"/>
              <w:left w:val="single" w:sz="4" w:space="0" w:color="41B7EE"/>
              <w:bottom w:val="single" w:sz="4" w:space="0" w:color="41B7EE"/>
              <w:right w:val="single" w:sz="4" w:space="0" w:color="41B7EE"/>
            </w:tcBorders>
          </w:tcPr>
          <w:p>
            <w:pPr>
              <w:pStyle w:val="TableParagraph"/>
              <w:spacing w:line="260" w:lineRule="exact"/>
              <w:ind w:left="407" w:right="0"/>
              <w:jc w:val="left"/>
              <w:rPr>
                <w:rFonts w:ascii="宋体" w:hAnsi="宋体" w:cs="宋体" w:eastAsia="宋体" w:hint="default"/>
                <w:sz w:val="21"/>
                <w:szCs w:val="21"/>
              </w:rPr>
            </w:pPr>
            <w:r>
              <w:rPr>
                <w:rFonts w:ascii="宋体" w:hAnsi="宋体" w:cs="宋体" w:eastAsia="宋体" w:hint="default"/>
                <w:sz w:val="21"/>
                <w:szCs w:val="21"/>
              </w:rPr>
              <w:t>转回或转销</w:t>
            </w:r>
            <w:r>
              <w:rPr>
                <w:rFonts w:ascii="宋体" w:hAnsi="宋体" w:cs="宋体" w:eastAsia="宋体" w:hint="default"/>
                <w:sz w:val="21"/>
                <w:szCs w:val="21"/>
              </w:rPr>
              <w:t> </w:t>
            </w:r>
          </w:p>
        </w:tc>
        <w:tc>
          <w:tcPr>
            <w:tcW w:w="1858" w:type="dxa"/>
            <w:tcBorders>
              <w:top w:val="single" w:sz="4" w:space="0" w:color="41B7EE"/>
              <w:left w:val="single" w:sz="4" w:space="0" w:color="41B7EE"/>
              <w:bottom w:val="single" w:sz="4" w:space="0" w:color="41B7EE"/>
              <w:right w:val="single" w:sz="4" w:space="0" w:color="41B7EE"/>
            </w:tcBorders>
          </w:tcPr>
          <w:p>
            <w:pPr>
              <w:pStyle w:val="TableParagraph"/>
              <w:spacing w:line="260" w:lineRule="exact"/>
              <w:ind w:left="71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841" w:type="dxa"/>
            <w:vMerge/>
            <w:tcBorders>
              <w:left w:val="single" w:sz="4" w:space="0" w:color="41B7EE"/>
              <w:bottom w:val="single" w:sz="4" w:space="0" w:color="41B7EE"/>
              <w:right w:val="nil" w:sz="6" w:space="0" w:color="auto"/>
            </w:tcBorders>
          </w:tcPr>
          <w:p>
            <w:pPr/>
          </w:p>
        </w:tc>
      </w:tr>
      <w:tr>
        <w:trPr>
          <w:trHeight w:val="322" w:hRule="exact"/>
        </w:trPr>
        <w:tc>
          <w:tcPr>
            <w:tcW w:w="2302" w:type="dxa"/>
            <w:tcBorders>
              <w:top w:val="single" w:sz="4" w:space="0" w:color="41B7EE"/>
              <w:left w:val="nil" w:sz="6" w:space="0" w:color="auto"/>
              <w:bottom w:val="single" w:sz="4" w:space="0" w:color="41B7EE"/>
              <w:right w:val="single" w:sz="4" w:space="0" w:color="41B7EE"/>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216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104"/>
              <w:jc w:val="right"/>
              <w:rPr>
                <w:rFonts w:ascii="Arial" w:hAnsi="Arial" w:cs="Arial" w:eastAsia="Arial" w:hint="default"/>
                <w:sz w:val="21"/>
                <w:szCs w:val="21"/>
              </w:rPr>
            </w:pPr>
            <w:r>
              <w:rPr>
                <w:rFonts w:ascii="Arial"/>
                <w:spacing w:val="-1"/>
                <w:sz w:val="21"/>
              </w:rPr>
              <w:t>34,689,382.57</w:t>
            </w:r>
          </w:p>
        </w:tc>
        <w:tc>
          <w:tcPr>
            <w:tcW w:w="22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99"/>
              <w:jc w:val="right"/>
              <w:rPr>
                <w:rFonts w:ascii="Arial" w:hAnsi="Arial" w:cs="Arial" w:eastAsia="Arial" w:hint="default"/>
                <w:sz w:val="21"/>
                <w:szCs w:val="21"/>
              </w:rPr>
            </w:pPr>
            <w:r>
              <w:rPr>
                <w:rFonts w:ascii="Arial"/>
                <w:spacing w:val="-1"/>
                <w:sz w:val="21"/>
              </w:rPr>
              <w:t>3,449,976.36</w:t>
            </w:r>
          </w:p>
        </w:tc>
        <w:tc>
          <w:tcPr>
            <w:tcW w:w="1853" w:type="dxa"/>
            <w:tcBorders>
              <w:top w:val="single" w:sz="4" w:space="0" w:color="41B7EE"/>
              <w:left w:val="single" w:sz="4" w:space="0" w:color="41B7EE"/>
              <w:bottom w:val="single" w:sz="4" w:space="0" w:color="41B7EE"/>
              <w:right w:val="single" w:sz="4" w:space="0" w:color="41B7EE"/>
            </w:tcBorders>
          </w:tcPr>
          <w:p>
            <w:pPr/>
          </w:p>
        </w:tc>
        <w:tc>
          <w:tcPr>
            <w:tcW w:w="187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15,942,029.43</w:t>
            </w:r>
          </w:p>
        </w:tc>
        <w:tc>
          <w:tcPr>
            <w:tcW w:w="1858" w:type="dxa"/>
            <w:tcBorders>
              <w:top w:val="single" w:sz="4" w:space="0" w:color="41B7EE"/>
              <w:left w:val="single" w:sz="4" w:space="0" w:color="41B7EE"/>
              <w:bottom w:val="single" w:sz="4" w:space="0" w:color="41B7EE"/>
              <w:right w:val="single" w:sz="4" w:space="0" w:color="41B7EE"/>
            </w:tcBorders>
          </w:tcPr>
          <w:p>
            <w:pPr/>
          </w:p>
        </w:tc>
        <w:tc>
          <w:tcPr>
            <w:tcW w:w="184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106"/>
              <w:jc w:val="right"/>
              <w:rPr>
                <w:rFonts w:ascii="Arial" w:hAnsi="Arial" w:cs="Arial" w:eastAsia="Arial" w:hint="default"/>
                <w:sz w:val="21"/>
                <w:szCs w:val="21"/>
              </w:rPr>
            </w:pPr>
            <w:r>
              <w:rPr>
                <w:rFonts w:ascii="Arial"/>
                <w:spacing w:val="-1"/>
                <w:sz w:val="21"/>
              </w:rPr>
              <w:t>22,197,329.50</w:t>
            </w:r>
          </w:p>
        </w:tc>
      </w:tr>
      <w:tr>
        <w:trPr>
          <w:trHeight w:val="322" w:hRule="exact"/>
        </w:trPr>
        <w:tc>
          <w:tcPr>
            <w:tcW w:w="2302"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216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104"/>
              <w:jc w:val="right"/>
              <w:rPr>
                <w:rFonts w:ascii="Arial" w:hAnsi="Arial" w:cs="Arial" w:eastAsia="Arial" w:hint="default"/>
                <w:sz w:val="21"/>
                <w:szCs w:val="21"/>
              </w:rPr>
            </w:pPr>
            <w:r>
              <w:rPr>
                <w:rFonts w:ascii="Arial"/>
                <w:spacing w:val="-1"/>
                <w:sz w:val="21"/>
              </w:rPr>
              <w:t>63,561,868.99</w:t>
            </w:r>
          </w:p>
        </w:tc>
        <w:tc>
          <w:tcPr>
            <w:tcW w:w="22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99"/>
              <w:jc w:val="right"/>
              <w:rPr>
                <w:rFonts w:ascii="Arial" w:hAnsi="Arial" w:cs="Arial" w:eastAsia="Arial" w:hint="default"/>
                <w:sz w:val="21"/>
                <w:szCs w:val="21"/>
              </w:rPr>
            </w:pPr>
            <w:r>
              <w:rPr>
                <w:rFonts w:ascii="Arial"/>
                <w:spacing w:val="-1"/>
                <w:sz w:val="21"/>
              </w:rPr>
              <w:t>353,293.36</w:t>
            </w:r>
          </w:p>
        </w:tc>
        <w:tc>
          <w:tcPr>
            <w:tcW w:w="1853" w:type="dxa"/>
            <w:tcBorders>
              <w:top w:val="single" w:sz="4" w:space="0" w:color="41B7EE"/>
              <w:left w:val="single" w:sz="4" w:space="0" w:color="41B7EE"/>
              <w:bottom w:val="single" w:sz="4" w:space="0" w:color="41B7EE"/>
              <w:right w:val="single" w:sz="4" w:space="0" w:color="41B7EE"/>
            </w:tcBorders>
          </w:tcPr>
          <w:p>
            <w:pPr/>
          </w:p>
        </w:tc>
        <w:tc>
          <w:tcPr>
            <w:tcW w:w="187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69,651.81</w:t>
            </w:r>
          </w:p>
        </w:tc>
        <w:tc>
          <w:tcPr>
            <w:tcW w:w="1858" w:type="dxa"/>
            <w:tcBorders>
              <w:top w:val="single" w:sz="4" w:space="0" w:color="41B7EE"/>
              <w:left w:val="single" w:sz="4" w:space="0" w:color="41B7EE"/>
              <w:bottom w:val="single" w:sz="4" w:space="0" w:color="41B7EE"/>
              <w:right w:val="single" w:sz="4" w:space="0" w:color="41B7EE"/>
            </w:tcBorders>
          </w:tcPr>
          <w:p>
            <w:pPr/>
          </w:p>
        </w:tc>
        <w:tc>
          <w:tcPr>
            <w:tcW w:w="184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106"/>
              <w:jc w:val="right"/>
              <w:rPr>
                <w:rFonts w:ascii="Arial" w:hAnsi="Arial" w:cs="Arial" w:eastAsia="Arial" w:hint="default"/>
                <w:sz w:val="21"/>
                <w:szCs w:val="21"/>
              </w:rPr>
            </w:pPr>
            <w:r>
              <w:rPr>
                <w:rFonts w:ascii="Arial"/>
                <w:spacing w:val="-1"/>
                <w:sz w:val="21"/>
              </w:rPr>
              <w:t>63,845,510.54</w:t>
            </w:r>
          </w:p>
        </w:tc>
      </w:tr>
      <w:tr>
        <w:trPr>
          <w:trHeight w:val="322" w:hRule="exact"/>
        </w:trPr>
        <w:tc>
          <w:tcPr>
            <w:tcW w:w="2302" w:type="dxa"/>
            <w:tcBorders>
              <w:top w:val="single" w:sz="4" w:space="0" w:color="41B7EE"/>
              <w:left w:val="nil" w:sz="6" w:space="0" w:color="auto"/>
              <w:bottom w:val="single" w:sz="4" w:space="0" w:color="41B7EE"/>
              <w:right w:val="single" w:sz="4" w:space="0" w:color="41B7EE"/>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周转材料</w:t>
            </w:r>
            <w:r>
              <w:rPr>
                <w:rFonts w:ascii="宋体" w:hAnsi="宋体" w:cs="宋体" w:eastAsia="宋体" w:hint="default"/>
                <w:sz w:val="21"/>
                <w:szCs w:val="21"/>
              </w:rPr>
              <w:t> </w:t>
            </w:r>
          </w:p>
        </w:tc>
        <w:tc>
          <w:tcPr>
            <w:tcW w:w="216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104"/>
              <w:jc w:val="right"/>
              <w:rPr>
                <w:rFonts w:ascii="Arial" w:hAnsi="Arial" w:cs="Arial" w:eastAsia="Arial" w:hint="default"/>
                <w:sz w:val="21"/>
                <w:szCs w:val="21"/>
              </w:rPr>
            </w:pPr>
            <w:r>
              <w:rPr>
                <w:rFonts w:ascii="Arial"/>
                <w:spacing w:val="-1"/>
                <w:sz w:val="21"/>
              </w:rPr>
              <w:t>688,204.21</w:t>
            </w:r>
          </w:p>
        </w:tc>
        <w:tc>
          <w:tcPr>
            <w:tcW w:w="22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99"/>
              <w:jc w:val="right"/>
              <w:rPr>
                <w:rFonts w:ascii="Arial" w:hAnsi="Arial" w:cs="Arial" w:eastAsia="Arial" w:hint="default"/>
                <w:sz w:val="21"/>
                <w:szCs w:val="21"/>
              </w:rPr>
            </w:pPr>
            <w:r>
              <w:rPr>
                <w:rFonts w:ascii="Arial"/>
                <w:spacing w:val="-1"/>
                <w:sz w:val="21"/>
              </w:rPr>
              <w:t>936,451.73</w:t>
            </w:r>
          </w:p>
        </w:tc>
        <w:tc>
          <w:tcPr>
            <w:tcW w:w="1853" w:type="dxa"/>
            <w:tcBorders>
              <w:top w:val="single" w:sz="4" w:space="0" w:color="41B7EE"/>
              <w:left w:val="single" w:sz="4" w:space="0" w:color="41B7EE"/>
              <w:bottom w:val="single" w:sz="4" w:space="0" w:color="41B7EE"/>
              <w:right w:val="single" w:sz="4" w:space="0" w:color="41B7EE"/>
            </w:tcBorders>
          </w:tcPr>
          <w:p>
            <w:pPr/>
          </w:p>
        </w:tc>
        <w:tc>
          <w:tcPr>
            <w:tcW w:w="187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647,292.54</w:t>
            </w:r>
          </w:p>
        </w:tc>
        <w:tc>
          <w:tcPr>
            <w:tcW w:w="1858" w:type="dxa"/>
            <w:tcBorders>
              <w:top w:val="single" w:sz="4" w:space="0" w:color="41B7EE"/>
              <w:left w:val="single" w:sz="4" w:space="0" w:color="41B7EE"/>
              <w:bottom w:val="single" w:sz="4" w:space="0" w:color="41B7EE"/>
              <w:right w:val="single" w:sz="4" w:space="0" w:color="41B7EE"/>
            </w:tcBorders>
          </w:tcPr>
          <w:p>
            <w:pPr/>
          </w:p>
        </w:tc>
        <w:tc>
          <w:tcPr>
            <w:tcW w:w="184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101"/>
              <w:jc w:val="right"/>
              <w:rPr>
                <w:rFonts w:ascii="Arial" w:hAnsi="Arial" w:cs="Arial" w:eastAsia="Arial" w:hint="default"/>
                <w:sz w:val="21"/>
                <w:szCs w:val="21"/>
              </w:rPr>
            </w:pPr>
            <w:r>
              <w:rPr>
                <w:rFonts w:ascii="Arial"/>
                <w:spacing w:val="-1"/>
                <w:sz w:val="21"/>
              </w:rPr>
              <w:t>977,363.40</w:t>
            </w:r>
          </w:p>
        </w:tc>
      </w:tr>
      <w:tr>
        <w:trPr>
          <w:trHeight w:val="325" w:hRule="exact"/>
        </w:trPr>
        <w:tc>
          <w:tcPr>
            <w:tcW w:w="2302" w:type="dxa"/>
            <w:tcBorders>
              <w:top w:val="single" w:sz="4" w:space="0" w:color="41B7EE"/>
              <w:left w:val="nil" w:sz="6" w:space="0" w:color="auto"/>
              <w:bottom w:val="single" w:sz="4" w:space="0" w:color="41B7EE"/>
              <w:right w:val="single" w:sz="4" w:space="0" w:color="41B7EE"/>
            </w:tcBorders>
          </w:tcPr>
          <w:p>
            <w:pPr>
              <w:pStyle w:val="TableParagraph"/>
              <w:spacing w:line="263" w:lineRule="exact"/>
              <w:ind w:left="108" w:right="0"/>
              <w:jc w:val="left"/>
              <w:rPr>
                <w:rFonts w:ascii="宋体" w:hAnsi="宋体" w:cs="宋体" w:eastAsia="宋体" w:hint="default"/>
                <w:sz w:val="21"/>
                <w:szCs w:val="21"/>
              </w:rPr>
            </w:pPr>
            <w:r>
              <w:rPr>
                <w:rFonts w:ascii="宋体" w:hAnsi="宋体" w:cs="宋体" w:eastAsia="宋体" w:hint="default"/>
                <w:sz w:val="21"/>
                <w:szCs w:val="21"/>
              </w:rPr>
              <w:t>发出商品</w:t>
            </w:r>
            <w:r>
              <w:rPr>
                <w:rFonts w:ascii="宋体" w:hAnsi="宋体" w:cs="宋体" w:eastAsia="宋体" w:hint="default"/>
                <w:sz w:val="21"/>
                <w:szCs w:val="21"/>
              </w:rPr>
              <w:t> </w:t>
            </w:r>
          </w:p>
        </w:tc>
        <w:tc>
          <w:tcPr>
            <w:tcW w:w="216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104"/>
              <w:jc w:val="right"/>
              <w:rPr>
                <w:rFonts w:ascii="Arial" w:hAnsi="Arial" w:cs="Arial" w:eastAsia="Arial" w:hint="default"/>
                <w:sz w:val="21"/>
                <w:szCs w:val="21"/>
              </w:rPr>
            </w:pPr>
            <w:r>
              <w:rPr>
                <w:rFonts w:ascii="Arial"/>
                <w:spacing w:val="-1"/>
                <w:sz w:val="21"/>
              </w:rPr>
              <w:t>6,462,417.07</w:t>
            </w:r>
          </w:p>
        </w:tc>
        <w:tc>
          <w:tcPr>
            <w:tcW w:w="2201" w:type="dxa"/>
            <w:tcBorders>
              <w:top w:val="single" w:sz="4" w:space="0" w:color="41B7EE"/>
              <w:left w:val="single" w:sz="4" w:space="0" w:color="41B7EE"/>
              <w:bottom w:val="single" w:sz="4" w:space="0" w:color="41B7EE"/>
              <w:right w:val="single" w:sz="4" w:space="0" w:color="41B7EE"/>
            </w:tcBorders>
          </w:tcPr>
          <w:p>
            <w:pPr/>
          </w:p>
        </w:tc>
        <w:tc>
          <w:tcPr>
            <w:tcW w:w="1853" w:type="dxa"/>
            <w:tcBorders>
              <w:top w:val="single" w:sz="4" w:space="0" w:color="41B7EE"/>
              <w:left w:val="single" w:sz="4" w:space="0" w:color="41B7EE"/>
              <w:bottom w:val="single" w:sz="4" w:space="0" w:color="41B7EE"/>
              <w:right w:val="single" w:sz="4" w:space="0" w:color="41B7EE"/>
            </w:tcBorders>
          </w:tcPr>
          <w:p>
            <w:pPr/>
          </w:p>
        </w:tc>
        <w:tc>
          <w:tcPr>
            <w:tcW w:w="1872" w:type="dxa"/>
            <w:tcBorders>
              <w:top w:val="single" w:sz="4" w:space="0" w:color="41B7EE"/>
              <w:left w:val="single" w:sz="4" w:space="0" w:color="41B7EE"/>
              <w:bottom w:val="single" w:sz="4" w:space="0" w:color="41B7EE"/>
              <w:right w:val="single" w:sz="4" w:space="0" w:color="41B7EE"/>
            </w:tcBorders>
          </w:tcPr>
          <w:p>
            <w:pPr/>
          </w:p>
        </w:tc>
        <w:tc>
          <w:tcPr>
            <w:tcW w:w="1858" w:type="dxa"/>
            <w:tcBorders>
              <w:top w:val="single" w:sz="4" w:space="0" w:color="41B7EE"/>
              <w:left w:val="single" w:sz="4" w:space="0" w:color="41B7EE"/>
              <w:bottom w:val="single" w:sz="4" w:space="0" w:color="41B7EE"/>
              <w:right w:val="single" w:sz="4" w:space="0" w:color="41B7EE"/>
            </w:tcBorders>
          </w:tcPr>
          <w:p>
            <w:pPr/>
          </w:p>
        </w:tc>
        <w:tc>
          <w:tcPr>
            <w:tcW w:w="184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106"/>
              <w:jc w:val="right"/>
              <w:rPr>
                <w:rFonts w:ascii="Arial" w:hAnsi="Arial" w:cs="Arial" w:eastAsia="Arial" w:hint="default"/>
                <w:sz w:val="21"/>
                <w:szCs w:val="21"/>
              </w:rPr>
            </w:pPr>
            <w:r>
              <w:rPr>
                <w:rFonts w:ascii="Arial"/>
                <w:spacing w:val="-1"/>
                <w:sz w:val="21"/>
              </w:rPr>
              <w:t>6,462,417.07</w:t>
            </w:r>
          </w:p>
        </w:tc>
      </w:tr>
      <w:tr>
        <w:trPr>
          <w:trHeight w:val="329" w:hRule="exact"/>
        </w:trPr>
        <w:tc>
          <w:tcPr>
            <w:tcW w:w="2302" w:type="dxa"/>
            <w:tcBorders>
              <w:top w:val="single" w:sz="4" w:space="0" w:color="41B7EE"/>
              <w:left w:val="nil" w:sz="6" w:space="0" w:color="auto"/>
              <w:bottom w:val="single" w:sz="8" w:space="0" w:color="41B7EE"/>
              <w:right w:val="single" w:sz="4" w:space="0" w:color="41B7EE"/>
            </w:tcBorders>
          </w:tcPr>
          <w:p>
            <w:pPr>
              <w:pStyle w:val="TableParagraph"/>
              <w:spacing w:line="260" w:lineRule="exact"/>
              <w:ind w:left="11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63"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28"/>
              <w:ind w:right="104"/>
              <w:jc w:val="right"/>
              <w:rPr>
                <w:rFonts w:ascii="Arial" w:hAnsi="Arial" w:cs="Arial" w:eastAsia="Arial" w:hint="default"/>
                <w:sz w:val="21"/>
                <w:szCs w:val="21"/>
              </w:rPr>
            </w:pPr>
            <w:r>
              <w:rPr>
                <w:rFonts w:ascii="Arial"/>
                <w:spacing w:val="-1"/>
                <w:sz w:val="21"/>
              </w:rPr>
              <w:t>105,401,872.84</w:t>
            </w:r>
          </w:p>
        </w:tc>
        <w:tc>
          <w:tcPr>
            <w:tcW w:w="2201"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4,739,721.45</w:t>
            </w:r>
          </w:p>
        </w:tc>
        <w:tc>
          <w:tcPr>
            <w:tcW w:w="1853" w:type="dxa"/>
            <w:tcBorders>
              <w:top w:val="single" w:sz="4" w:space="0" w:color="41B7EE"/>
              <w:left w:val="single" w:sz="4" w:space="0" w:color="41B7EE"/>
              <w:bottom w:val="single" w:sz="8" w:space="0" w:color="41B7EE"/>
              <w:right w:val="single" w:sz="4" w:space="0" w:color="41B7EE"/>
            </w:tcBorders>
          </w:tcPr>
          <w:p>
            <w:pPr/>
          </w:p>
        </w:tc>
        <w:tc>
          <w:tcPr>
            <w:tcW w:w="1872"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28"/>
              <w:ind w:right="96"/>
              <w:jc w:val="right"/>
              <w:rPr>
                <w:rFonts w:ascii="Arial" w:hAnsi="Arial" w:cs="Arial" w:eastAsia="Arial" w:hint="default"/>
                <w:sz w:val="21"/>
                <w:szCs w:val="21"/>
              </w:rPr>
            </w:pPr>
            <w:r>
              <w:rPr>
                <w:rFonts w:ascii="Arial"/>
                <w:spacing w:val="-1"/>
                <w:sz w:val="21"/>
              </w:rPr>
              <w:t>16,658,973.78</w:t>
            </w:r>
          </w:p>
        </w:tc>
        <w:tc>
          <w:tcPr>
            <w:tcW w:w="1858" w:type="dxa"/>
            <w:tcBorders>
              <w:top w:val="single" w:sz="4" w:space="0" w:color="41B7EE"/>
              <w:left w:val="single" w:sz="4" w:space="0" w:color="41B7EE"/>
              <w:bottom w:val="single" w:sz="8" w:space="0" w:color="41B7EE"/>
              <w:right w:val="single" w:sz="4" w:space="0" w:color="41B7EE"/>
            </w:tcBorders>
          </w:tcPr>
          <w:p>
            <w:pPr/>
          </w:p>
        </w:tc>
        <w:tc>
          <w:tcPr>
            <w:tcW w:w="1841"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28"/>
              <w:ind w:right="106"/>
              <w:jc w:val="right"/>
              <w:rPr>
                <w:rFonts w:ascii="Arial" w:hAnsi="Arial" w:cs="Arial" w:eastAsia="Arial" w:hint="default"/>
                <w:sz w:val="21"/>
                <w:szCs w:val="21"/>
              </w:rPr>
            </w:pPr>
            <w:r>
              <w:rPr>
                <w:rFonts w:ascii="Arial"/>
                <w:spacing w:val="-1"/>
                <w:sz w:val="21"/>
              </w:rPr>
              <w:t>93,482,620.51</w:t>
            </w:r>
          </w:p>
        </w:tc>
      </w:tr>
    </w:tbl>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705.5pt;height:1pt;mso-position-horizontal-relative:char;mso-position-vertical-relative:line" coordorigin="0,0" coordsize="14110,20">
            <v:group style="position:absolute;left:10;top:10;width:2298;height:2" coordorigin="10,10" coordsize="2298,2">
              <v:shape style="position:absolute;left:10;top:10;width:2298;height:2" coordorigin="10,10" coordsize="2298,0" path="m10,10l2307,10e" filled="false" stroked="true" strokeweight=".96002pt" strokecolor="#41b7ee">
                <v:path arrowok="t"/>
              </v:shape>
            </v:group>
            <v:group style="position:absolute;left:2307;top:10;width:58;height:2" coordorigin="2307,10" coordsize="58,2">
              <v:shape style="position:absolute;left:2307;top:10;width:58;height:2" coordorigin="2307,10" coordsize="58,0" path="m2307,10l2364,10e" filled="false" stroked="true" strokeweight=".96002pt" strokecolor="#41b7ee">
                <v:path arrowok="t"/>
              </v:shape>
            </v:group>
            <v:group style="position:absolute;left:2364;top:10;width:2106;height:2" coordorigin="2364,10" coordsize="2106,2">
              <v:shape style="position:absolute;left:2364;top:10;width:2106;height:2" coordorigin="2364,10" coordsize="2106,0" path="m2364,10l4470,10e" filled="false" stroked="true" strokeweight=".96002pt" strokecolor="#41b7ee">
                <v:path arrowok="t"/>
              </v:shape>
            </v:group>
            <v:group style="position:absolute;left:4470;top:10;width:58;height:2" coordorigin="4470,10" coordsize="58,2">
              <v:shape style="position:absolute;left:4470;top:10;width:58;height:2" coordorigin="4470,10" coordsize="58,0" path="m4470,10l4527,10e" filled="false" stroked="true" strokeweight=".96002pt" strokecolor="#41b7ee">
                <v:path arrowok="t"/>
              </v:shape>
            </v:group>
            <v:group style="position:absolute;left:4527;top:10;width:2144;height:2" coordorigin="4527,10" coordsize="2144,2">
              <v:shape style="position:absolute;left:4527;top:10;width:2144;height:2" coordorigin="4527,10" coordsize="2144,0" path="m4527,10l6671,10e" filled="false" stroked="true" strokeweight=".96002pt" strokecolor="#41b7ee">
                <v:path arrowok="t"/>
              </v:shape>
            </v:group>
            <v:group style="position:absolute;left:6671;top:10;width:58;height:2" coordorigin="6671,10" coordsize="58,2">
              <v:shape style="position:absolute;left:6671;top:10;width:58;height:2" coordorigin="6671,10" coordsize="58,0" path="m6671,10l6728,10e" filled="false" stroked="true" strokeweight=".96002pt" strokecolor="#41b7ee">
                <v:path arrowok="t"/>
              </v:shape>
            </v:group>
            <v:group style="position:absolute;left:6728;top:10;width:1796;height:2" coordorigin="6728,10" coordsize="1796,2">
              <v:shape style="position:absolute;left:6728;top:10;width:1796;height:2" coordorigin="6728,10" coordsize="1796,0" path="m6728,10l8524,10e" filled="false" stroked="true" strokeweight=".96002pt" strokecolor="#41b7ee">
                <v:path arrowok="t"/>
              </v:shape>
            </v:group>
            <v:group style="position:absolute;left:8524;top:10;width:58;height:2" coordorigin="8524,10" coordsize="58,2">
              <v:shape style="position:absolute;left:8524;top:10;width:58;height:2" coordorigin="8524,10" coordsize="58,0" path="m8524,10l8581,10e" filled="false" stroked="true" strokeweight=".96002pt" strokecolor="#41b7ee">
                <v:path arrowok="t"/>
              </v:shape>
            </v:group>
            <v:group style="position:absolute;left:8581;top:10;width:1815;height:2" coordorigin="8581,10" coordsize="1815,2">
              <v:shape style="position:absolute;left:8581;top:10;width:1815;height:2" coordorigin="8581,10" coordsize="1815,0" path="m8581,10l10396,10e" filled="false" stroked="true" strokeweight=".96002pt" strokecolor="#41b7ee">
                <v:path arrowok="t"/>
              </v:shape>
            </v:group>
            <v:group style="position:absolute;left:10396;top:10;width:58;height:2" coordorigin="10396,10" coordsize="58,2">
              <v:shape style="position:absolute;left:10396;top:10;width:58;height:2" coordorigin="10396,10" coordsize="58,0" path="m10396,10l10453,10e" filled="false" stroked="true" strokeweight=".96002pt" strokecolor="#41b7ee">
                <v:path arrowok="t"/>
              </v:shape>
            </v:group>
            <v:group style="position:absolute;left:10453;top:10;width:1801;height:2" coordorigin="10453,10" coordsize="1801,2">
              <v:shape style="position:absolute;left:10453;top:10;width:1801;height:2" coordorigin="10453,10" coordsize="1801,0" path="m10453,10l12254,10e" filled="false" stroked="true" strokeweight=".96002pt" strokecolor="#41b7ee">
                <v:path arrowok="t"/>
              </v:shape>
            </v:group>
            <v:group style="position:absolute;left:12254;top:10;width:58;height:2" coordorigin="12254,10" coordsize="58,2">
              <v:shape style="position:absolute;left:12254;top:10;width:58;height:2" coordorigin="12254,10" coordsize="58,0" path="m12254,10l12312,10e" filled="false" stroked="true" strokeweight=".96002pt" strokecolor="#41b7ee">
                <v:path arrowok="t"/>
              </v:shape>
            </v:group>
            <v:group style="position:absolute;left:12312;top:10;width:1788;height:2" coordorigin="12312,10" coordsize="1788,2">
              <v:shape style="position:absolute;left:12312;top:10;width:1788;height:2" coordorigin="12312,10" coordsize="1788,0" path="m12312,10l14100,10e" filled="false" stroked="true" strokeweight=".96002pt" strokecolor="#41b7ee">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63"/>
        <w:ind w:left="6810" w:right="6846" w:firstLine="0"/>
        <w:jc w:val="center"/>
        <w:rPr>
          <w:rFonts w:ascii="Calibri" w:hAnsi="Calibri" w:cs="Calibri" w:eastAsia="Calibri" w:hint="default"/>
          <w:sz w:val="18"/>
          <w:szCs w:val="18"/>
        </w:rPr>
      </w:pPr>
      <w:r>
        <w:rPr>
          <w:rFonts w:ascii="Calibri"/>
          <w:b/>
          <w:sz w:val="18"/>
        </w:rPr>
        <w:t>118 </w:t>
      </w:r>
      <w:r>
        <w:rPr>
          <w:rFonts w:ascii="Calibri"/>
          <w:sz w:val="18"/>
        </w:rPr>
        <w:t>/</w:t>
      </w:r>
      <w:r>
        <w:rPr>
          <w:rFonts w:ascii="Calibri"/>
          <w:spacing w:val="-5"/>
          <w:sz w:val="18"/>
        </w:rPr>
        <w:t> </w:t>
      </w:r>
      <w:r>
        <w:rPr>
          <w:rFonts w:ascii="Calibri"/>
          <w:b/>
          <w:sz w:val="18"/>
        </w:rPr>
        <w:t>173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360" w:bottom="1380" w:left="1280" w:right="1160"/>
        </w:sectPr>
      </w:pPr>
    </w:p>
    <w:p>
      <w:pPr>
        <w:spacing w:line="240" w:lineRule="auto" w:before="1"/>
        <w:rPr>
          <w:rFonts w:ascii="Calibri" w:hAnsi="Calibri" w:cs="Calibri" w:eastAsia="Calibri" w:hint="default"/>
          <w:b/>
          <w:bCs/>
          <w:sz w:val="4"/>
          <w:szCs w:val="4"/>
        </w:rPr>
      </w:pPr>
    </w:p>
    <w:p>
      <w:pPr>
        <w:spacing w:line="20" w:lineRule="exact"/>
        <w:ind w:left="200" w:right="0" w:firstLine="0"/>
        <w:rPr>
          <w:rFonts w:ascii="Calibri" w:hAnsi="Calibri" w:cs="Calibri" w:eastAsia="Calibri" w:hint="default"/>
          <w:sz w:val="2"/>
          <w:szCs w:val="2"/>
        </w:rPr>
      </w:pPr>
      <w:r>
        <w:rPr>
          <w:rFonts w:ascii="Calibri" w:hAnsi="Calibri" w:cs="Calibri" w:eastAsia="Calibri"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Calibri" w:hAnsi="Calibri" w:cs="Calibri" w:eastAsia="Calibri" w:hint="default"/>
          <w:sz w:val="2"/>
          <w:szCs w:val="2"/>
        </w:rPr>
      </w:r>
    </w:p>
    <w:p>
      <w:pPr>
        <w:spacing w:after="0" w:line="20" w:lineRule="exact"/>
        <w:rPr>
          <w:rFonts w:ascii="Calibri" w:hAnsi="Calibri" w:cs="Calibri" w:eastAsia="Calibri" w:hint="default"/>
          <w:sz w:val="2"/>
          <w:szCs w:val="2"/>
        </w:rPr>
        <w:sectPr>
          <w:footerReference w:type="default" r:id="rId64"/>
          <w:pgSz w:w="11910" w:h="16840"/>
          <w:pgMar w:footer="1195" w:header="0" w:top="1300" w:bottom="1380" w:left="1040" w:right="1560"/>
          <w:pgNumType w:start="11"/>
        </w:sectPr>
      </w:pPr>
    </w:p>
    <w:p>
      <w:pPr>
        <w:pStyle w:val="Heading2"/>
        <w:spacing w:line="240" w:lineRule="auto" w:before="90"/>
        <w:ind w:left="236" w:right="0"/>
        <w:jc w:val="left"/>
        <w:rPr>
          <w:rFonts w:ascii="宋体" w:hAnsi="宋体" w:cs="宋体" w:eastAsia="宋体" w:hint="default"/>
          <w:b w:val="0"/>
          <w:bCs w:val="0"/>
        </w:rPr>
      </w:pPr>
      <w:r>
        <w:rPr>
          <w:rFonts w:ascii="宋体" w:hAnsi="宋体" w:cs="宋体" w:eastAsia="宋体" w:hint="default"/>
        </w:rPr>
        <w:t>(3).</w:t>
      </w:r>
      <w:r>
        <w:rPr/>
        <w:t>存货期末余额含有借款费用资本化金额的说明</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36"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期末建造合同形成的已完工未结算资产情况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36" w:right="266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0"/>
        <w:ind w:left="236" w:right="266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10</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持有待售资产</w:t>
      </w:r>
      <w:r>
        <w:rPr>
          <w:rFonts w:ascii="宋体" w:hAnsi="宋体" w:cs="宋体" w:eastAsia="宋体" w:hint="default"/>
          <w:sz w:val="21"/>
          <w:szCs w:val="21"/>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left="236" w:right="0"/>
        <w:jc w:val="left"/>
        <w:rPr>
          <w:b w:val="0"/>
          <w:bCs w:val="0"/>
        </w:rPr>
      </w:pPr>
      <w:r>
        <w:rPr>
          <w:rFonts w:ascii="宋体" w:hAnsi="宋体" w:cs="宋体" w:eastAsia="宋体" w:hint="default"/>
        </w:rPr>
        <w:t>11</w:t>
      </w:r>
      <w:r>
        <w:rPr/>
        <w:t>、</w:t>
      </w:r>
      <w:r>
        <w:rPr>
          <w:spacing w:val="-24"/>
        </w:rPr>
        <w:t> </w:t>
      </w:r>
      <w:r>
        <w:rPr/>
        <w:t>一年内到期的非流动资产</w:t>
      </w:r>
      <w:r>
        <w:rPr>
          <w:b w:val="0"/>
          <w:bCs w:val="0"/>
        </w:rPr>
      </w:r>
    </w:p>
    <w:p>
      <w:pPr>
        <w:pStyle w:val="BodyText"/>
        <w:spacing w:line="240" w:lineRule="auto" w:before="56"/>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期末重要的债权投资和其他债权投资：</w:t>
      </w:r>
      <w:r>
        <w:rPr>
          <w:rFonts w:ascii="宋体" w:hAnsi="宋体" w:cs="宋体" w:eastAsia="宋体" w:hint="default"/>
        </w:rPr>
        <w:t> </w:t>
      </w:r>
    </w:p>
    <w:p>
      <w:pPr>
        <w:spacing w:line="292" w:lineRule="auto" w:before="0"/>
        <w:ind w:left="236" w:right="296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12</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其他流动资产</w:t>
      </w:r>
      <w:r>
        <w:rPr>
          <w:rFonts w:ascii="宋体" w:hAnsi="宋体" w:cs="宋体" w:eastAsia="宋体" w:hint="default"/>
          <w:sz w:val="21"/>
          <w:szCs w:val="21"/>
        </w:rPr>
      </w:r>
    </w:p>
    <w:p>
      <w:pPr>
        <w:pStyle w:val="BodyText"/>
        <w:spacing w:line="240" w:lineRule="auto" w:before="10"/>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040" w:right="1560"/>
          <w:cols w:num="2" w:equalWidth="0">
            <w:col w:w="4988" w:space="1534"/>
            <w:col w:w="2788"/>
          </w:cols>
        </w:sectPr>
      </w:pPr>
    </w:p>
    <w:p>
      <w:pPr>
        <w:spacing w:line="240" w:lineRule="auto" w:before="4"/>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285;height:2" coordorigin="10,10" coordsize="3285,2">
              <v:shape style="position:absolute;left:10;top:10;width:3285;height:2" coordorigin="10,10" coordsize="3285,0" path="m10,10l3294,10e" filled="false" stroked="true" strokeweight=".96002pt" strokecolor="#41b7ee">
                <v:path arrowok="t"/>
              </v:shape>
            </v:group>
            <v:group style="position:absolute;left:3294;top:10;width:58;height:2" coordorigin="3294,10" coordsize="58,2">
              <v:shape style="position:absolute;left:3294;top:10;width:58;height:2" coordorigin="3294,10" coordsize="58,0" path="m3294,10l3351,10e" filled="false" stroked="true" strokeweight=".96002pt" strokecolor="#41b7ee">
                <v:path arrowok="t"/>
              </v:shape>
            </v:group>
            <v:group style="position:absolute;left:3351;top:10;width:2859;height:2" coordorigin="3351,10" coordsize="2859,2">
              <v:shape style="position:absolute;left:3351;top:10;width:2859;height:2" coordorigin="3351,10" coordsize="2859,0" path="m3351,10l6210,10e" filled="false" stroked="true" strokeweight=".96002pt" strokecolor="#41b7ee">
                <v:path arrowok="t"/>
              </v:shape>
            </v:group>
            <v:group style="position:absolute;left:6210;top:10;width:58;height:2" coordorigin="6210,10" coordsize="58,2">
              <v:shape style="position:absolute;left:6210;top:10;width:58;height:2" coordorigin="6210,10" coordsize="58,0" path="m6210,10l6268,10e" filled="false" stroked="true" strokeweight=".96002pt" strokecolor="#41b7ee">
                <v:path arrowok="t"/>
              </v:shape>
            </v:group>
            <v:group style="position:absolute;left:6268;top:10;width:2792;height:2" coordorigin="6268,10" coordsize="2792,2">
              <v:shape style="position:absolute;left:6268;top:10;width:2792;height:2" coordorigin="6268,10" coordsize="2792,0" path="m6268,10l9059,10e" filled="false" stroked="true" strokeweight=".96002pt" strokecolor="#41b7ee">
                <v:path arrowok="t"/>
              </v:shape>
            </v:group>
          </v:group>
        </w:pict>
      </w:r>
      <w:r>
        <w:rPr>
          <w:rFonts w:ascii="宋体" w:hAnsi="宋体" w:cs="宋体" w:eastAsia="宋体" w:hint="default"/>
          <w:sz w:val="2"/>
          <w:szCs w:val="2"/>
        </w:rPr>
      </w:r>
    </w:p>
    <w:tbl>
      <w:tblPr>
        <w:tblW w:w="0" w:type="auto"/>
        <w:jc w:val="left"/>
        <w:tblInd w:w="119" w:type="dxa"/>
        <w:tblLayout w:type="fixed"/>
        <w:tblCellMar>
          <w:top w:w="0" w:type="dxa"/>
          <w:left w:w="0" w:type="dxa"/>
          <w:bottom w:w="0" w:type="dxa"/>
          <w:right w:w="0" w:type="dxa"/>
        </w:tblCellMar>
        <w:tblLook w:val="01E0"/>
      </w:tblPr>
      <w:tblGrid>
        <w:gridCol w:w="3289"/>
        <w:gridCol w:w="2916"/>
        <w:gridCol w:w="2844"/>
      </w:tblGrid>
      <w:tr>
        <w:trPr>
          <w:trHeight w:val="365" w:hRule="exact"/>
        </w:trPr>
        <w:tc>
          <w:tcPr>
            <w:tcW w:w="3289"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6"/>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6"/>
              <w:ind w:left="102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44"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6"/>
              <w:ind w:left="99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55" w:hRule="exact"/>
        </w:trPr>
        <w:tc>
          <w:tcPr>
            <w:tcW w:w="328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right="0"/>
              <w:jc w:val="left"/>
              <w:rPr>
                <w:rFonts w:ascii="宋体" w:hAnsi="宋体" w:cs="宋体" w:eastAsia="宋体" w:hint="default"/>
                <w:sz w:val="21"/>
                <w:szCs w:val="21"/>
              </w:rPr>
            </w:pPr>
            <w:r>
              <w:rPr>
                <w:rFonts w:ascii="宋体" w:hAnsi="宋体" w:cs="宋体" w:eastAsia="宋体" w:hint="default"/>
                <w:sz w:val="21"/>
                <w:szCs w:val="21"/>
              </w:rPr>
              <w:t>应交增值税（进项税额等）</w:t>
            </w:r>
            <w:r>
              <w:rPr>
                <w:rFonts w:ascii="宋体" w:hAnsi="宋体" w:cs="宋体" w:eastAsia="宋体" w:hint="default"/>
                <w:sz w:val="21"/>
                <w:szCs w:val="21"/>
              </w:rPr>
              <w:t> </w:t>
            </w:r>
          </w:p>
        </w:tc>
        <w:tc>
          <w:tcPr>
            <w:tcW w:w="291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2"/>
              <w:jc w:val="right"/>
              <w:rPr>
                <w:rFonts w:ascii="Arial" w:hAnsi="Arial" w:cs="Arial" w:eastAsia="Arial" w:hint="default"/>
                <w:sz w:val="21"/>
                <w:szCs w:val="21"/>
              </w:rPr>
            </w:pPr>
            <w:r>
              <w:rPr>
                <w:rFonts w:ascii="Arial"/>
                <w:spacing w:val="-1"/>
                <w:sz w:val="21"/>
              </w:rPr>
              <w:t>19,789,510.67</w:t>
            </w:r>
          </w:p>
        </w:tc>
        <w:tc>
          <w:tcPr>
            <w:tcW w:w="284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20,564,561.00</w:t>
            </w:r>
          </w:p>
        </w:tc>
      </w:tr>
      <w:tr>
        <w:trPr>
          <w:trHeight w:val="358" w:hRule="exact"/>
        </w:trPr>
        <w:tc>
          <w:tcPr>
            <w:tcW w:w="328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right="0"/>
              <w:jc w:val="left"/>
              <w:rPr>
                <w:rFonts w:ascii="宋体" w:hAnsi="宋体" w:cs="宋体" w:eastAsia="宋体" w:hint="default"/>
                <w:sz w:val="21"/>
                <w:szCs w:val="21"/>
              </w:rPr>
            </w:pPr>
            <w:r>
              <w:rPr>
                <w:rFonts w:ascii="宋体" w:hAnsi="宋体" w:cs="宋体" w:eastAsia="宋体" w:hint="default"/>
                <w:sz w:val="21"/>
                <w:szCs w:val="21"/>
              </w:rPr>
              <w:t>待抵扣的进项税</w:t>
            </w:r>
            <w:r>
              <w:rPr>
                <w:rFonts w:ascii="宋体" w:hAnsi="宋体" w:cs="宋体" w:eastAsia="宋体" w:hint="default"/>
                <w:sz w:val="21"/>
                <w:szCs w:val="21"/>
              </w:rPr>
              <w:t> </w:t>
            </w:r>
          </w:p>
        </w:tc>
        <w:tc>
          <w:tcPr>
            <w:tcW w:w="2916" w:type="dxa"/>
            <w:tcBorders>
              <w:top w:val="single" w:sz="4" w:space="0" w:color="41B7EE"/>
              <w:left w:val="single" w:sz="4" w:space="0" w:color="41B7EE"/>
              <w:bottom w:val="single" w:sz="4" w:space="0" w:color="41B7EE"/>
              <w:right w:val="single" w:sz="4" w:space="0" w:color="41B7EE"/>
            </w:tcBorders>
          </w:tcPr>
          <w:p>
            <w:pPr/>
          </w:p>
        </w:tc>
        <w:tc>
          <w:tcPr>
            <w:tcW w:w="284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right="103"/>
              <w:jc w:val="right"/>
              <w:rPr>
                <w:rFonts w:ascii="Arial" w:hAnsi="Arial" w:cs="Arial" w:eastAsia="Arial" w:hint="default"/>
                <w:sz w:val="21"/>
                <w:szCs w:val="21"/>
              </w:rPr>
            </w:pPr>
            <w:r>
              <w:rPr>
                <w:rFonts w:ascii="Arial"/>
                <w:spacing w:val="-1"/>
                <w:sz w:val="21"/>
              </w:rPr>
              <w:t>86,218.23</w:t>
            </w:r>
          </w:p>
        </w:tc>
      </w:tr>
      <w:tr>
        <w:trPr>
          <w:trHeight w:val="358" w:hRule="exact"/>
        </w:trPr>
        <w:tc>
          <w:tcPr>
            <w:tcW w:w="328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right="0"/>
              <w:jc w:val="left"/>
              <w:rPr>
                <w:rFonts w:ascii="宋体" w:hAnsi="宋体" w:cs="宋体" w:eastAsia="宋体" w:hint="default"/>
                <w:sz w:val="21"/>
                <w:szCs w:val="21"/>
              </w:rPr>
            </w:pPr>
            <w:r>
              <w:rPr>
                <w:rFonts w:ascii="宋体" w:hAnsi="宋体" w:cs="宋体" w:eastAsia="宋体" w:hint="default"/>
                <w:sz w:val="21"/>
                <w:szCs w:val="21"/>
              </w:rPr>
              <w:t>待认证进项税</w:t>
            </w:r>
            <w:r>
              <w:rPr>
                <w:rFonts w:ascii="宋体" w:hAnsi="宋体" w:cs="宋体" w:eastAsia="宋体" w:hint="default"/>
                <w:sz w:val="21"/>
                <w:szCs w:val="21"/>
              </w:rPr>
              <w:t> </w:t>
            </w:r>
          </w:p>
        </w:tc>
        <w:tc>
          <w:tcPr>
            <w:tcW w:w="291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47,607.86</w:t>
            </w:r>
          </w:p>
        </w:tc>
        <w:tc>
          <w:tcPr>
            <w:tcW w:w="284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46,607.92</w:t>
            </w:r>
          </w:p>
        </w:tc>
      </w:tr>
      <w:tr>
        <w:trPr>
          <w:trHeight w:val="358" w:hRule="exact"/>
        </w:trPr>
        <w:tc>
          <w:tcPr>
            <w:tcW w:w="328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right="0"/>
              <w:jc w:val="left"/>
              <w:rPr>
                <w:rFonts w:ascii="宋体" w:hAnsi="宋体" w:cs="宋体" w:eastAsia="宋体" w:hint="default"/>
                <w:sz w:val="21"/>
                <w:szCs w:val="21"/>
              </w:rPr>
            </w:pPr>
            <w:r>
              <w:rPr>
                <w:rFonts w:ascii="宋体" w:hAnsi="宋体" w:cs="宋体" w:eastAsia="宋体" w:hint="default"/>
                <w:sz w:val="21"/>
                <w:szCs w:val="21"/>
              </w:rPr>
              <w:t>预付保险费</w:t>
            </w:r>
            <w:r>
              <w:rPr>
                <w:rFonts w:ascii="宋体" w:hAnsi="宋体" w:cs="宋体" w:eastAsia="宋体" w:hint="default"/>
                <w:sz w:val="21"/>
                <w:szCs w:val="21"/>
              </w:rPr>
              <w:t> </w:t>
            </w:r>
          </w:p>
        </w:tc>
        <w:tc>
          <w:tcPr>
            <w:tcW w:w="291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2,727,455.54</w:t>
            </w:r>
          </w:p>
        </w:tc>
        <w:tc>
          <w:tcPr>
            <w:tcW w:w="284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3,141,960.37</w:t>
            </w:r>
          </w:p>
        </w:tc>
      </w:tr>
      <w:tr>
        <w:trPr>
          <w:trHeight w:val="355" w:hRule="exact"/>
        </w:trPr>
        <w:tc>
          <w:tcPr>
            <w:tcW w:w="328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right="0"/>
              <w:jc w:val="left"/>
              <w:rPr>
                <w:rFonts w:ascii="宋体" w:hAnsi="宋体" w:cs="宋体" w:eastAsia="宋体" w:hint="default"/>
                <w:sz w:val="21"/>
                <w:szCs w:val="21"/>
              </w:rPr>
            </w:pPr>
            <w:r>
              <w:rPr>
                <w:rFonts w:ascii="宋体" w:hAnsi="宋体" w:cs="宋体" w:eastAsia="宋体" w:hint="default"/>
                <w:sz w:val="21"/>
                <w:szCs w:val="21"/>
              </w:rPr>
              <w:t>预缴税金</w:t>
            </w:r>
            <w:r>
              <w:rPr>
                <w:rFonts w:ascii="宋体" w:hAnsi="宋体" w:cs="宋体" w:eastAsia="宋体" w:hint="default"/>
                <w:sz w:val="21"/>
                <w:szCs w:val="21"/>
              </w:rPr>
              <w:t> </w:t>
            </w:r>
          </w:p>
        </w:tc>
        <w:tc>
          <w:tcPr>
            <w:tcW w:w="291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1,177,715.59</w:t>
            </w:r>
          </w:p>
        </w:tc>
        <w:tc>
          <w:tcPr>
            <w:tcW w:w="284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67,887.04</w:t>
            </w:r>
          </w:p>
        </w:tc>
      </w:tr>
      <w:tr>
        <w:trPr>
          <w:trHeight w:val="358" w:hRule="exact"/>
        </w:trPr>
        <w:tc>
          <w:tcPr>
            <w:tcW w:w="328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right="0"/>
              <w:jc w:val="left"/>
              <w:rPr>
                <w:rFonts w:ascii="宋体" w:hAnsi="宋体" w:cs="宋体" w:eastAsia="宋体" w:hint="default"/>
                <w:sz w:val="21"/>
                <w:szCs w:val="21"/>
              </w:rPr>
            </w:pPr>
            <w:r>
              <w:rPr>
                <w:rFonts w:ascii="宋体" w:hAnsi="宋体" w:cs="宋体" w:eastAsia="宋体" w:hint="default"/>
                <w:sz w:val="21"/>
                <w:szCs w:val="21"/>
              </w:rPr>
              <w:t>预付报刊费</w:t>
            </w:r>
            <w:r>
              <w:rPr>
                <w:rFonts w:ascii="宋体" w:hAnsi="宋体" w:cs="宋体" w:eastAsia="宋体" w:hint="default"/>
                <w:sz w:val="21"/>
                <w:szCs w:val="21"/>
              </w:rPr>
              <w:t> </w:t>
            </w:r>
          </w:p>
        </w:tc>
        <w:tc>
          <w:tcPr>
            <w:tcW w:w="291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3,541,046.00</w:t>
            </w:r>
          </w:p>
        </w:tc>
        <w:tc>
          <w:tcPr>
            <w:tcW w:w="284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right="104"/>
              <w:jc w:val="right"/>
              <w:rPr>
                <w:rFonts w:ascii="Arial" w:hAnsi="Arial" w:cs="Arial" w:eastAsia="Arial" w:hint="default"/>
                <w:sz w:val="21"/>
                <w:szCs w:val="21"/>
              </w:rPr>
            </w:pPr>
            <w:r>
              <w:rPr>
                <w:rFonts w:ascii="Arial"/>
                <w:spacing w:val="-1"/>
                <w:sz w:val="21"/>
              </w:rPr>
              <w:t>3,807,450.00</w:t>
            </w:r>
          </w:p>
        </w:tc>
      </w:tr>
      <w:tr>
        <w:trPr>
          <w:trHeight w:val="358" w:hRule="exact"/>
        </w:trPr>
        <w:tc>
          <w:tcPr>
            <w:tcW w:w="328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right="0"/>
              <w:jc w:val="left"/>
              <w:rPr>
                <w:rFonts w:ascii="宋体" w:hAnsi="宋体" w:cs="宋体" w:eastAsia="宋体" w:hint="default"/>
                <w:sz w:val="21"/>
                <w:szCs w:val="21"/>
              </w:rPr>
            </w:pPr>
            <w:r>
              <w:rPr>
                <w:rFonts w:ascii="宋体" w:hAnsi="宋体" w:cs="宋体" w:eastAsia="宋体" w:hint="default"/>
                <w:sz w:val="21"/>
                <w:szCs w:val="21"/>
              </w:rPr>
              <w:t>预付租金</w:t>
            </w:r>
            <w:r>
              <w:rPr>
                <w:rFonts w:ascii="宋体" w:hAnsi="宋体" w:cs="宋体" w:eastAsia="宋体" w:hint="default"/>
                <w:sz w:val="21"/>
                <w:szCs w:val="21"/>
              </w:rPr>
              <w:t> </w:t>
            </w:r>
          </w:p>
        </w:tc>
        <w:tc>
          <w:tcPr>
            <w:tcW w:w="291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190,000.00</w:t>
            </w:r>
          </w:p>
        </w:tc>
        <w:tc>
          <w:tcPr>
            <w:tcW w:w="284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151,833.36</w:t>
            </w:r>
          </w:p>
        </w:tc>
      </w:tr>
      <w:tr>
        <w:trPr>
          <w:trHeight w:val="358" w:hRule="exact"/>
        </w:trPr>
        <w:tc>
          <w:tcPr>
            <w:tcW w:w="328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right="0"/>
              <w:jc w:val="left"/>
              <w:rPr>
                <w:rFonts w:ascii="宋体" w:hAnsi="宋体" w:cs="宋体" w:eastAsia="宋体" w:hint="default"/>
                <w:sz w:val="21"/>
                <w:szCs w:val="21"/>
              </w:rPr>
            </w:pPr>
            <w:r>
              <w:rPr>
                <w:rFonts w:ascii="宋体" w:hAnsi="宋体" w:cs="宋体" w:eastAsia="宋体" w:hint="default"/>
                <w:sz w:val="21"/>
                <w:szCs w:val="21"/>
              </w:rPr>
              <w:t>预付服务费</w:t>
            </w:r>
            <w:r>
              <w:rPr>
                <w:rFonts w:ascii="宋体" w:hAnsi="宋体" w:cs="宋体" w:eastAsia="宋体" w:hint="default"/>
                <w:sz w:val="21"/>
                <w:szCs w:val="21"/>
              </w:rPr>
              <w:t> </w:t>
            </w:r>
          </w:p>
        </w:tc>
        <w:tc>
          <w:tcPr>
            <w:tcW w:w="291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338,360.15</w:t>
            </w:r>
          </w:p>
        </w:tc>
        <w:tc>
          <w:tcPr>
            <w:tcW w:w="284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160,134.64</w:t>
            </w:r>
          </w:p>
        </w:tc>
      </w:tr>
      <w:tr>
        <w:trPr>
          <w:trHeight w:val="355" w:hRule="exact"/>
        </w:trPr>
        <w:tc>
          <w:tcPr>
            <w:tcW w:w="328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right="0"/>
              <w:jc w:val="left"/>
              <w:rPr>
                <w:rFonts w:ascii="宋体" w:hAnsi="宋体" w:cs="宋体" w:eastAsia="宋体" w:hint="default"/>
                <w:sz w:val="21"/>
                <w:szCs w:val="21"/>
              </w:rPr>
            </w:pPr>
            <w:r>
              <w:rPr>
                <w:rFonts w:ascii="宋体" w:hAnsi="宋体" w:cs="宋体" w:eastAsia="宋体" w:hint="default"/>
                <w:sz w:val="21"/>
                <w:szCs w:val="21"/>
              </w:rPr>
              <w:t>预付取暖费</w:t>
            </w:r>
            <w:r>
              <w:rPr>
                <w:rFonts w:ascii="宋体" w:hAnsi="宋体" w:cs="宋体" w:eastAsia="宋体" w:hint="default"/>
                <w:sz w:val="21"/>
                <w:szCs w:val="21"/>
              </w:rPr>
              <w:t> </w:t>
            </w:r>
          </w:p>
        </w:tc>
        <w:tc>
          <w:tcPr>
            <w:tcW w:w="291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6,273,494.96</w:t>
            </w:r>
          </w:p>
        </w:tc>
        <w:tc>
          <w:tcPr>
            <w:tcW w:w="284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5,590,047.77</w:t>
            </w:r>
          </w:p>
        </w:tc>
      </w:tr>
      <w:tr>
        <w:trPr>
          <w:trHeight w:val="358" w:hRule="exact"/>
        </w:trPr>
        <w:tc>
          <w:tcPr>
            <w:tcW w:w="328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1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100"/>
              <w:jc w:val="right"/>
              <w:rPr>
                <w:rFonts w:ascii="Arial" w:hAnsi="Arial" w:cs="Arial" w:eastAsia="Arial" w:hint="default"/>
                <w:sz w:val="21"/>
                <w:szCs w:val="21"/>
              </w:rPr>
            </w:pPr>
            <w:r>
              <w:rPr>
                <w:rFonts w:ascii="Arial"/>
                <w:sz w:val="21"/>
              </w:rPr>
              <w:t>842.38</w:t>
            </w:r>
          </w:p>
        </w:tc>
        <w:tc>
          <w:tcPr>
            <w:tcW w:w="284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right="103"/>
              <w:jc w:val="right"/>
              <w:rPr>
                <w:rFonts w:ascii="Arial" w:hAnsi="Arial" w:cs="Arial" w:eastAsia="Arial" w:hint="default"/>
                <w:sz w:val="21"/>
                <w:szCs w:val="21"/>
              </w:rPr>
            </w:pPr>
            <w:r>
              <w:rPr>
                <w:rFonts w:ascii="Arial"/>
                <w:sz w:val="21"/>
              </w:rPr>
              <w:t>813.50</w:t>
            </w:r>
          </w:p>
        </w:tc>
      </w:tr>
      <w:tr>
        <w:trPr>
          <w:trHeight w:val="365" w:hRule="exact"/>
        </w:trPr>
        <w:tc>
          <w:tcPr>
            <w:tcW w:w="3289"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102"/>
              <w:jc w:val="right"/>
              <w:rPr>
                <w:rFonts w:ascii="Arial" w:hAnsi="Arial" w:cs="Arial" w:eastAsia="Arial" w:hint="default"/>
                <w:sz w:val="21"/>
                <w:szCs w:val="21"/>
              </w:rPr>
            </w:pPr>
            <w:r>
              <w:rPr>
                <w:rFonts w:ascii="Arial"/>
                <w:spacing w:val="-1"/>
                <w:sz w:val="21"/>
              </w:rPr>
              <w:t>34,086,033.15</w:t>
            </w:r>
          </w:p>
        </w:tc>
        <w:tc>
          <w:tcPr>
            <w:tcW w:w="2844"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33,617,513.83</w:t>
            </w:r>
          </w:p>
        </w:tc>
      </w:tr>
    </w:tbl>
    <w:p>
      <w:pPr>
        <w:spacing w:line="240" w:lineRule="auto" w:before="11"/>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285;height:2" coordorigin="10,10" coordsize="3285,2">
              <v:shape style="position:absolute;left:10;top:10;width:3285;height:2" coordorigin="10,10" coordsize="3285,0" path="m10,10l3294,10e" filled="false" stroked="true" strokeweight=".95996pt" strokecolor="#41b7ee">
                <v:path arrowok="t"/>
              </v:shape>
            </v:group>
            <v:group style="position:absolute;left:3294;top:10;width:58;height:2" coordorigin="3294,10" coordsize="58,2">
              <v:shape style="position:absolute;left:3294;top:10;width:58;height:2" coordorigin="3294,10" coordsize="58,0" path="m3294,10l3351,10e" filled="false" stroked="true" strokeweight=".95996pt" strokecolor="#41b7ee">
                <v:path arrowok="t"/>
              </v:shape>
            </v:group>
            <v:group style="position:absolute;left:3351;top:10;width:2859;height:2" coordorigin="3351,10" coordsize="2859,2">
              <v:shape style="position:absolute;left:3351;top:10;width:2859;height:2" coordorigin="3351,10" coordsize="2859,0" path="m3351,10l6210,10e" filled="false" stroked="true" strokeweight=".95996pt" strokecolor="#41b7ee">
                <v:path arrowok="t"/>
              </v:shape>
            </v:group>
            <v:group style="position:absolute;left:6210;top:10;width:58;height:2" coordorigin="6210,10" coordsize="58,2">
              <v:shape style="position:absolute;left:6210;top:10;width:58;height:2" coordorigin="6210,10" coordsize="58,0" path="m6210,10l6268,10e" filled="false" stroked="true" strokeweight=".95996pt" strokecolor="#41b7ee">
                <v:path arrowok="t"/>
              </v:shape>
            </v:group>
            <v:group style="position:absolute;left:6268;top:10;width:2792;height:2" coordorigin="6268,10" coordsize="2792,2">
              <v:shape style="position:absolute;left:6268;top:10;width:2792;height:2" coordorigin="6268,10" coordsize="2792,0" path="m6268,10l9059,10e" filled="false" stroked="true" strokeweight=".95996pt" strokecolor="#41b7ee">
                <v:path arrowok="t"/>
              </v:shape>
            </v:group>
          </v:group>
        </w:pict>
      </w:r>
      <w:r>
        <w:rPr>
          <w:rFonts w:ascii="宋体" w:hAnsi="宋体" w:cs="宋体" w:eastAsia="宋体" w:hint="default"/>
          <w:sz w:val="2"/>
          <w:szCs w:val="2"/>
        </w:rPr>
      </w:r>
    </w:p>
    <w:p>
      <w:pPr>
        <w:pStyle w:val="Heading2"/>
        <w:spacing w:line="290" w:lineRule="auto" w:before="25"/>
        <w:ind w:left="236" w:right="6219"/>
        <w:jc w:val="left"/>
        <w:rPr>
          <w:rFonts w:ascii="宋体" w:hAnsi="宋体" w:cs="宋体" w:eastAsia="宋体" w:hint="default"/>
          <w:b w:val="0"/>
          <w:bCs w:val="0"/>
        </w:rPr>
      </w:pPr>
      <w:r>
        <w:rPr>
          <w:rFonts w:ascii="宋体" w:hAnsi="宋体" w:cs="宋体" w:eastAsia="宋体" w:hint="default"/>
        </w:rPr>
        <w:t>13</w:t>
      </w:r>
      <w:r>
        <w:rPr/>
        <w:t>、</w:t>
      </w:r>
      <w:r>
        <w:rPr>
          <w:spacing w:val="-25"/>
        </w:rPr>
        <w:t> </w:t>
      </w:r>
      <w:r>
        <w:rPr/>
        <w:t>债权投资</w:t>
      </w:r>
      <w:r>
        <w:rPr>
          <w:w w:val="100"/>
        </w:rPr>
        <w:t> </w:t>
      </w:r>
      <w:r>
        <w:rPr>
          <w:rFonts w:ascii="宋体" w:hAnsi="宋体" w:cs="宋体" w:eastAsia="宋体" w:hint="default"/>
        </w:rPr>
        <w:t>(1).</w:t>
      </w:r>
      <w:r>
        <w:rPr/>
        <w:t>债权投资情况</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236" w:right="62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期末重要的债权投资</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36" w:right="62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减值准备计提情况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left="236" w:right="444"/>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本期减值准备计提金额以及评估金融工具的信用风险是否显著增加的采用依据</w:t>
      </w:r>
    </w:p>
    <w:p>
      <w:pPr>
        <w:pStyle w:val="BodyText"/>
        <w:spacing w:line="249"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ind w:left="236" w:right="6219"/>
        <w:jc w:val="left"/>
        <w:rPr>
          <w:rFonts w:ascii="宋体" w:hAnsi="宋体" w:cs="宋体" w:eastAsia="宋体" w:hint="default"/>
          <w:b w:val="0"/>
          <w:bCs w:val="0"/>
        </w:rPr>
      </w:pPr>
      <w:r>
        <w:rPr>
          <w:rFonts w:ascii="宋体" w:hAnsi="宋体" w:cs="宋体" w:eastAsia="宋体" w:hint="default"/>
        </w:rPr>
        <w:t>14</w:t>
      </w:r>
      <w:r>
        <w:rPr/>
        <w:t>、</w:t>
      </w:r>
      <w:r>
        <w:rPr>
          <w:spacing w:val="-25"/>
        </w:rPr>
        <w:t> </w:t>
      </w:r>
      <w:r>
        <w:rPr/>
        <w:t>其他债权投资</w:t>
      </w:r>
      <w:r>
        <w:rPr>
          <w:w w:val="100"/>
        </w:rPr>
        <w:t> </w:t>
      </w:r>
      <w:r>
        <w:rPr>
          <w:rFonts w:ascii="宋体" w:hAnsi="宋体" w:cs="宋体" w:eastAsia="宋体" w:hint="default"/>
        </w:rPr>
        <w:t>(1).</w:t>
      </w:r>
      <w:r>
        <w:rPr/>
        <w:t>其他债权投资情况</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236" w:right="62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期末重要的其他债权投资</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040" w:right="1560"/>
        </w:sectPr>
      </w:pPr>
    </w:p>
    <w:p>
      <w:pPr>
        <w:spacing w:line="240" w:lineRule="auto" w:before="11"/>
        <w:rPr>
          <w:rFonts w:ascii="宋体" w:hAnsi="宋体" w:cs="宋体" w:eastAsia="宋体" w:hint="default"/>
          <w:sz w:val="3"/>
          <w:szCs w:val="3"/>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pStyle w:val="Heading2"/>
        <w:spacing w:line="240" w:lineRule="auto" w:before="30"/>
        <w:ind w:left="136" w:right="0"/>
        <w:jc w:val="left"/>
        <w:rPr>
          <w:rFonts w:ascii="宋体" w:hAnsi="宋体" w:cs="宋体" w:eastAsia="宋体" w:hint="default"/>
          <w:b w:val="0"/>
          <w:bCs w:val="0"/>
        </w:rPr>
      </w:pPr>
      <w:r>
        <w:rPr>
          <w:rFonts w:ascii="宋体" w:hAnsi="宋体" w:cs="宋体" w:eastAsia="宋体" w:hint="default"/>
        </w:rPr>
        <w:t>(3).</w:t>
      </w:r>
      <w:r>
        <w:rPr/>
        <w:t>减值准备计提情况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743"/>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本期减值准备计提金额以及评估金融工具的信用风险是否显著增加的采用依据</w:t>
      </w:r>
    </w:p>
    <w:p>
      <w:pPr>
        <w:spacing w:line="290" w:lineRule="auto" w:before="0"/>
        <w:ind w:left="136" w:right="695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长期应收款</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长期应收款情况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136" w:right="641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color w:val="FF0000"/>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right="743"/>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本期坏账准备计提金额以及评估金融工具的信用风险是否显著增加的采用依据</w:t>
      </w:r>
    </w:p>
    <w:p>
      <w:pPr>
        <w:pStyle w:val="BodyText"/>
        <w:spacing w:line="24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left="136" w:right="0"/>
        <w:jc w:val="left"/>
        <w:rPr>
          <w:rFonts w:ascii="宋体" w:hAnsi="宋体" w:cs="宋体" w:eastAsia="宋体" w:hint="default"/>
          <w:b w:val="0"/>
          <w:bCs w:val="0"/>
        </w:rPr>
      </w:pPr>
      <w:r>
        <w:rPr>
          <w:rFonts w:ascii="宋体" w:hAnsi="宋体" w:cs="宋体" w:eastAsia="宋体" w:hint="default"/>
        </w:rPr>
        <w:t>(3).</w:t>
      </w:r>
      <w:r>
        <w:rPr/>
        <w:t>因金融资产转移而终止确认的长期应收款</w:t>
      </w:r>
      <w:r>
        <w:rPr>
          <w:rFonts w:ascii="宋体" w:hAnsi="宋体" w:cs="宋体" w:eastAsia="宋体" w:hint="default"/>
          <w:w w:val="99"/>
        </w:rPr>
        <w:t> </w:t>
      </w:r>
      <w:r>
        <w:rPr>
          <w:rFonts w:ascii="宋体" w:hAnsi="宋体" w:cs="宋体" w:eastAsia="宋体" w:hint="default"/>
          <w:b w:val="0"/>
          <w:bCs w:val="0"/>
        </w:rPr>
      </w:r>
    </w:p>
    <w:p>
      <w:pPr>
        <w:spacing w:line="290" w:lineRule="auto" w:before="59"/>
        <w:ind w:left="136" w:right="345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转移长期应收款且继续涉入形成的资产、负债金额</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0" w:footer="1195" w:top="1300" w:bottom="1380" w:left="1140" w:right="1660"/>
        </w:sectPr>
      </w:pPr>
    </w:p>
    <w:p>
      <w:pPr>
        <w:spacing w:line="240" w:lineRule="auto" w:before="1"/>
        <w:rPr>
          <w:rFonts w:ascii="宋体" w:hAnsi="宋体" w:cs="宋体" w:eastAsia="宋体" w:hint="default"/>
          <w:sz w:val="6"/>
          <w:szCs w:val="6"/>
        </w:rPr>
      </w:pPr>
    </w:p>
    <w:p>
      <w:pPr>
        <w:spacing w:line="544" w:lineRule="exact"/>
        <w:ind w:left="108"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696.35pt;height:27.25pt;mso-position-horizontal-relative:char;mso-position-vertical-relative:line" coordorigin="0,0" coordsize="13927,545">
            <v:group style="position:absolute;left:7;top:538;width:13913;height:2" coordorigin="7,538" coordsize="13913,2">
              <v:shape style="position:absolute;left:7;top:538;width:13913;height:2" coordorigin="7,538" coordsize="13913,0" path="m7,538l13920,538e" filled="false" stroked="true" strokeweight=".72pt" strokecolor="#000000">
                <v:path arrowok="t"/>
              </v:shape>
              <v:shape style="position:absolute;left:99;top:0;width:4665;height:480" type="#_x0000_t75" stroked="false">
                <v:imagedata r:id="rId16" o:title=""/>
              </v:shape>
              <v:shape style="position:absolute;left:0;top:0;width:13927;height:545" type="#_x0000_t202" filled="false" stroked="false">
                <v:textbox inset="0,0,0,0">
                  <w:txbxContent>
                    <w:p>
                      <w:pPr>
                        <w:spacing w:line="454" w:lineRule="exact" w:before="0"/>
                        <w:ind w:left="0" w:right="31" w:firstLine="0"/>
                        <w:jc w:val="right"/>
                        <w:rPr>
                          <w:rFonts w:ascii="微软雅黑" w:hAnsi="微软雅黑" w:cs="微软雅黑" w:eastAsia="微软雅黑" w:hint="default"/>
                          <w:sz w:val="28"/>
                          <w:szCs w:val="28"/>
                        </w:rPr>
                      </w:pPr>
                      <w:r>
                        <w:rPr>
                          <w:rFonts w:ascii="微软雅黑" w:hAnsi="微软雅黑" w:cs="微软雅黑" w:eastAsia="微软雅黑" w:hint="default"/>
                          <w:b/>
                          <w:bCs/>
                          <w:sz w:val="28"/>
                          <w:szCs w:val="28"/>
                        </w:rPr>
                        <w:t>2019</w:t>
                      </w:r>
                      <w:r>
                        <w:rPr>
                          <w:rFonts w:ascii="微软雅黑" w:hAnsi="微软雅黑" w:cs="微软雅黑" w:eastAsia="微软雅黑" w:hint="default"/>
                          <w:b/>
                          <w:bCs/>
                          <w:spacing w:val="-17"/>
                          <w:sz w:val="28"/>
                          <w:szCs w:val="28"/>
                        </w:rPr>
                        <w:t> </w:t>
                      </w:r>
                      <w:r>
                        <w:rPr>
                          <w:rFonts w:ascii="微软雅黑" w:hAnsi="微软雅黑" w:cs="微软雅黑" w:eastAsia="微软雅黑" w:hint="default"/>
                          <w:b/>
                          <w:bCs/>
                          <w:sz w:val="28"/>
                          <w:szCs w:val="28"/>
                        </w:rPr>
                        <w:t>年年度报告</w:t>
                      </w:r>
                      <w:r>
                        <w:rPr>
                          <w:rFonts w:ascii="微软雅黑" w:hAnsi="微软雅黑" w:cs="微软雅黑" w:eastAsia="微软雅黑" w:hint="default"/>
                          <w:sz w:val="28"/>
                          <w:szCs w:val="28"/>
                        </w:rPr>
                      </w:r>
                    </w:p>
                  </w:txbxContent>
                </v:textbox>
                <w10:wrap type="none"/>
              </v:shape>
            </v:group>
          </v:group>
        </w:pict>
      </w:r>
      <w:r>
        <w:rPr>
          <w:rFonts w:ascii="宋体" w:hAnsi="宋体" w:cs="宋体" w:eastAsia="宋体" w:hint="default"/>
          <w:position w:val="-10"/>
          <w:sz w:val="20"/>
          <w:szCs w:val="20"/>
        </w:rPr>
      </w:r>
    </w:p>
    <w:p>
      <w:pPr>
        <w:spacing w:after="0" w:line="544" w:lineRule="exact"/>
        <w:rPr>
          <w:rFonts w:ascii="宋体" w:hAnsi="宋体" w:cs="宋体" w:eastAsia="宋体" w:hint="default"/>
          <w:sz w:val="20"/>
          <w:szCs w:val="20"/>
        </w:rPr>
        <w:sectPr>
          <w:headerReference w:type="default" r:id="rId65"/>
          <w:footerReference w:type="default" r:id="rId66"/>
          <w:pgSz w:w="16840" w:h="11910" w:orient="landscape"/>
          <w:pgMar w:header="0" w:footer="0" w:top="740" w:bottom="280" w:left="1380" w:right="1220"/>
        </w:sectPr>
      </w:pPr>
    </w:p>
    <w:p>
      <w:pPr>
        <w:pStyle w:val="Heading2"/>
        <w:spacing w:line="240" w:lineRule="auto" w:before="26"/>
        <w:ind w:left="144" w:right="0"/>
        <w:jc w:val="left"/>
        <w:rPr>
          <w:rFonts w:ascii="宋体" w:hAnsi="宋体" w:cs="宋体" w:eastAsia="宋体" w:hint="default"/>
          <w:b w:val="0"/>
          <w:bCs w:val="0"/>
        </w:rPr>
      </w:pPr>
      <w:r>
        <w:rPr>
          <w:rFonts w:ascii="宋体" w:hAnsi="宋体" w:cs="宋体" w:eastAsia="宋体" w:hint="default"/>
        </w:rPr>
        <w:t>16</w:t>
      </w:r>
      <w:r>
        <w:rPr/>
        <w:t>、</w:t>
      </w:r>
      <w:r>
        <w:rPr>
          <w:spacing w:val="-25"/>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spacing w:line="240" w:lineRule="auto"/>
        <w:ind w:left="14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360" w:bottom="1380" w:left="1380" w:right="1220"/>
          <w:cols w:num="2" w:equalWidth="0">
            <w:col w:w="2019" w:space="9543"/>
            <w:col w:w="2678"/>
          </w:cols>
        </w:sectPr>
      </w:pPr>
    </w:p>
    <w:p>
      <w:pPr>
        <w:spacing w:line="240" w:lineRule="auto" w:before="7"/>
        <w:rPr>
          <w:rFonts w:ascii="宋体" w:hAnsi="宋体" w:cs="宋体" w:eastAsia="宋体" w:hint="default"/>
          <w:sz w:val="2"/>
          <w:szCs w:val="2"/>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697.55pt;height:1pt;mso-position-horizontal-relative:char;mso-position-vertical-relative:line" coordorigin="0,0" coordsize="13951,20">
            <v:group style="position:absolute;left:10;top:10;width:3524;height:2" coordorigin="10,10" coordsize="3524,2">
              <v:shape style="position:absolute;left:10;top:10;width:3524;height:2" coordorigin="10,10" coordsize="3524,0" path="m10,10l3533,10e" filled="false" stroked="true" strokeweight=".96pt" strokecolor="#41b7ee">
                <v:path arrowok="t"/>
              </v:shape>
            </v:group>
            <v:group style="position:absolute;left:3533;top:10;width:58;height:2" coordorigin="3533,10" coordsize="58,2">
              <v:shape style="position:absolute;left:3533;top:10;width:58;height:2" coordorigin="3533,10" coordsize="58,0" path="m3533,10l3591,10e" filled="false" stroked="true" strokeweight=".96pt" strokecolor="#41b7ee">
                <v:path arrowok="t"/>
              </v:shape>
            </v:group>
            <v:group style="position:absolute;left:3591;top:10;width:1611;height:2" coordorigin="3591,10" coordsize="1611,2">
              <v:shape style="position:absolute;left:3591;top:10;width:1611;height:2" coordorigin="3591,10" coordsize="1611,0" path="m3591,10l5202,10e" filled="false" stroked="true" strokeweight=".96pt" strokecolor="#41b7ee">
                <v:path arrowok="t"/>
              </v:shape>
            </v:group>
            <v:group style="position:absolute;left:5202;top:10;width:58;height:2" coordorigin="5202,10" coordsize="58,2">
              <v:shape style="position:absolute;left:5202;top:10;width:58;height:2" coordorigin="5202,10" coordsize="58,0" path="m5202,10l5259,10e" filled="false" stroked="true" strokeweight=".96pt" strokecolor="#41b7ee">
                <v:path arrowok="t"/>
              </v:shape>
            </v:group>
            <v:group style="position:absolute;left:5259;top:10;width:5747;height:2" coordorigin="5259,10" coordsize="5747,2">
              <v:shape style="position:absolute;left:5259;top:10;width:5747;height:2" coordorigin="5259,10" coordsize="5747,0" path="m5259,10l11006,10e" filled="false" stroked="true" strokeweight=".96pt" strokecolor="#41b7ee">
                <v:path arrowok="t"/>
              </v:shape>
            </v:group>
            <v:group style="position:absolute;left:11006;top:10;width:58;height:2" coordorigin="11006,10" coordsize="58,2">
              <v:shape style="position:absolute;left:11006;top:10;width:58;height:2" coordorigin="11006,10" coordsize="58,0" path="m11006,10l11064,10e" filled="false" stroked="true" strokeweight=".96pt" strokecolor="#41b7ee">
                <v:path arrowok="t"/>
              </v:shape>
            </v:group>
            <v:group style="position:absolute;left:11064;top:10;width:1460;height:2" coordorigin="11064,10" coordsize="1460,2">
              <v:shape style="position:absolute;left:11064;top:10;width:1460;height:2" coordorigin="11064,10" coordsize="1460,0" path="m11064,10l12523,10e" filled="false" stroked="true" strokeweight=".96pt" strokecolor="#41b7ee">
                <v:path arrowok="t"/>
              </v:shape>
            </v:group>
            <v:group style="position:absolute;left:12523;top:10;width:58;height:2" coordorigin="12523,10" coordsize="58,2">
              <v:shape style="position:absolute;left:12523;top:10;width:58;height:2" coordorigin="12523,10" coordsize="58,0" path="m12523,10l12580,10e" filled="false" stroked="true" strokeweight=".96pt" strokecolor="#41b7ee">
                <v:path arrowok="t"/>
              </v:shape>
            </v:group>
            <v:group style="position:absolute;left:12580;top:10;width:1361;height:2" coordorigin="12580,10" coordsize="1361,2">
              <v:shape style="position:absolute;left:12580;top:10;width:1361;height:2" coordorigin="12580,10" coordsize="1361,0" path="m12580,10l13941,10e" filled="false" stroked="true" strokeweight=".96pt" strokecolor="#41b7ee">
                <v:path arrowok="t"/>
              </v:shape>
            </v:group>
          </v:group>
        </w:pict>
      </w:r>
      <w:r>
        <w:rPr>
          <w:rFonts w:ascii="宋体" w:hAnsi="宋体" w:cs="宋体" w:eastAsia="宋体" w:hint="default"/>
          <w:sz w:val="2"/>
          <w:szCs w:val="2"/>
        </w:rPr>
      </w:r>
    </w:p>
    <w:tbl>
      <w:tblPr>
        <w:tblW w:w="0" w:type="auto"/>
        <w:jc w:val="left"/>
        <w:tblInd w:w="115" w:type="dxa"/>
        <w:tblLayout w:type="fixed"/>
        <w:tblCellMar>
          <w:top w:w="0" w:type="dxa"/>
          <w:left w:w="0" w:type="dxa"/>
          <w:bottom w:w="0" w:type="dxa"/>
          <w:right w:w="0" w:type="dxa"/>
        </w:tblCellMar>
        <w:tblLook w:val="01E0"/>
      </w:tblPr>
      <w:tblGrid>
        <w:gridCol w:w="3528"/>
        <w:gridCol w:w="1669"/>
        <w:gridCol w:w="818"/>
        <w:gridCol w:w="816"/>
        <w:gridCol w:w="1532"/>
        <w:gridCol w:w="1243"/>
        <w:gridCol w:w="1395"/>
        <w:gridCol w:w="1517"/>
        <w:gridCol w:w="1414"/>
      </w:tblGrid>
      <w:tr>
        <w:trPr>
          <w:trHeight w:val="367" w:hRule="exact"/>
        </w:trPr>
        <w:tc>
          <w:tcPr>
            <w:tcW w:w="3528" w:type="dxa"/>
            <w:vMerge w:val="restart"/>
            <w:tcBorders>
              <w:top w:val="single" w:sz="8" w:space="0" w:color="41B7EE"/>
              <w:left w:val="nil" w:sz="6" w:space="0" w:color="auto"/>
              <w:right w:val="single" w:sz="4" w:space="0" w:color="41B7EE"/>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238" w:right="0"/>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669" w:type="dxa"/>
            <w:vMerge w:val="restart"/>
            <w:tcBorders>
              <w:top w:val="single" w:sz="8" w:space="0" w:color="41B7EE"/>
              <w:left w:val="single" w:sz="4" w:space="0" w:color="41B7EE"/>
              <w:right w:val="single" w:sz="4" w:space="0" w:color="41B7EE"/>
            </w:tcBorders>
          </w:tcPr>
          <w:p>
            <w:pPr>
              <w:pStyle w:val="TableParagraph"/>
              <w:spacing w:line="240" w:lineRule="auto" w:before="146"/>
              <w:ind w:left="619" w:right="511"/>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5804" w:type="dxa"/>
            <w:gridSpan w:val="5"/>
            <w:tcBorders>
              <w:top w:val="single" w:sz="8" w:space="0" w:color="41B7EE"/>
              <w:left w:val="single" w:sz="4" w:space="0" w:color="41B7EE"/>
              <w:bottom w:val="single" w:sz="4" w:space="0" w:color="41B7EE"/>
              <w:right w:val="single" w:sz="4" w:space="0" w:color="41B7EE"/>
            </w:tcBorders>
          </w:tcPr>
          <w:p>
            <w:pPr>
              <w:pStyle w:val="TableParagraph"/>
              <w:spacing w:line="240" w:lineRule="auto" w:before="4"/>
              <w:ind w:left="107" w:right="0"/>
              <w:jc w:val="center"/>
              <w:rPr>
                <w:rFonts w:ascii="宋体" w:hAnsi="宋体" w:cs="宋体" w:eastAsia="宋体" w:hint="default"/>
                <w:sz w:val="21"/>
                <w:szCs w:val="21"/>
              </w:rPr>
            </w:pPr>
            <w:r>
              <w:rPr>
                <w:rFonts w:ascii="宋体" w:hAnsi="宋体" w:cs="宋体" w:eastAsia="宋体" w:hint="default"/>
                <w:sz w:val="21"/>
                <w:szCs w:val="21"/>
              </w:rPr>
              <w:t>本期增减变动</w:t>
            </w:r>
            <w:r>
              <w:rPr>
                <w:rFonts w:ascii="宋体" w:hAnsi="宋体" w:cs="宋体" w:eastAsia="宋体" w:hint="default"/>
                <w:sz w:val="21"/>
                <w:szCs w:val="21"/>
              </w:rPr>
              <w:t> </w:t>
            </w:r>
          </w:p>
        </w:tc>
        <w:tc>
          <w:tcPr>
            <w:tcW w:w="1517" w:type="dxa"/>
            <w:vMerge w:val="restart"/>
            <w:tcBorders>
              <w:top w:val="single" w:sz="8" w:space="0" w:color="41B7EE"/>
              <w:left w:val="single" w:sz="4" w:space="0" w:color="41B7EE"/>
              <w:right w:val="single" w:sz="4" w:space="0" w:color="41B7EE"/>
            </w:tcBorders>
          </w:tcPr>
          <w:p>
            <w:pPr>
              <w:pStyle w:val="TableParagraph"/>
              <w:spacing w:line="240" w:lineRule="auto" w:before="146"/>
              <w:ind w:left="542" w:right="437"/>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1414" w:type="dxa"/>
            <w:vMerge w:val="restart"/>
            <w:tcBorders>
              <w:top w:val="single" w:sz="8" w:space="0" w:color="41B7EE"/>
              <w:left w:val="single" w:sz="4" w:space="0" w:color="41B7EE"/>
              <w:right w:val="nil" w:sz="6" w:space="0" w:color="auto"/>
            </w:tcBorders>
          </w:tcPr>
          <w:p>
            <w:pPr>
              <w:pStyle w:val="TableParagraph"/>
              <w:spacing w:line="240" w:lineRule="auto" w:before="146"/>
              <w:ind w:left="492" w:right="72" w:hanging="420"/>
              <w:jc w:val="left"/>
              <w:rPr>
                <w:rFonts w:ascii="宋体" w:hAnsi="宋体" w:cs="宋体" w:eastAsia="宋体" w:hint="default"/>
                <w:sz w:val="21"/>
                <w:szCs w:val="21"/>
              </w:rPr>
            </w:pPr>
            <w:r>
              <w:rPr>
                <w:rFonts w:ascii="宋体" w:hAnsi="宋体" w:cs="宋体" w:eastAsia="宋体" w:hint="default"/>
                <w:spacing w:val="-1"/>
                <w:sz w:val="21"/>
                <w:szCs w:val="21"/>
              </w:rPr>
              <w:t>减值准备期末</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557" w:hRule="exact"/>
        </w:trPr>
        <w:tc>
          <w:tcPr>
            <w:tcW w:w="3528" w:type="dxa"/>
            <w:vMerge/>
            <w:tcBorders>
              <w:left w:val="nil" w:sz="6" w:space="0" w:color="auto"/>
              <w:bottom w:val="single" w:sz="4" w:space="0" w:color="41B7EE"/>
              <w:right w:val="single" w:sz="4" w:space="0" w:color="41B7EE"/>
            </w:tcBorders>
          </w:tcPr>
          <w:p>
            <w:pPr/>
          </w:p>
        </w:tc>
        <w:tc>
          <w:tcPr>
            <w:tcW w:w="1669" w:type="dxa"/>
            <w:vMerge/>
            <w:tcBorders>
              <w:left w:val="single" w:sz="4" w:space="0" w:color="41B7EE"/>
              <w:bottom w:val="single" w:sz="4" w:space="0" w:color="41B7EE"/>
              <w:right w:val="single" w:sz="4" w:space="0" w:color="41B7EE"/>
            </w:tcBorders>
          </w:tcPr>
          <w:p>
            <w:pPr/>
          </w:p>
        </w:tc>
        <w:tc>
          <w:tcPr>
            <w:tcW w:w="818" w:type="dxa"/>
            <w:tcBorders>
              <w:top w:val="single" w:sz="4" w:space="0" w:color="41B7EE"/>
              <w:left w:val="single" w:sz="4" w:space="0" w:color="41B7EE"/>
              <w:bottom w:val="single" w:sz="4" w:space="0" w:color="41B7EE"/>
              <w:right w:val="single" w:sz="4" w:space="0" w:color="41B7EE"/>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追加投</w:t>
            </w:r>
          </w:p>
          <w:p>
            <w:pPr>
              <w:pStyle w:val="TableParagraph"/>
              <w:spacing w:line="273" w:lineRule="exact"/>
              <w:ind w:left="108" w:right="0"/>
              <w:jc w:val="center"/>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z w:val="21"/>
                <w:szCs w:val="21"/>
              </w:rPr>
              <w:t> </w:t>
            </w:r>
          </w:p>
        </w:tc>
        <w:tc>
          <w:tcPr>
            <w:tcW w:w="816" w:type="dxa"/>
            <w:tcBorders>
              <w:top w:val="single" w:sz="4" w:space="0" w:color="41B7EE"/>
              <w:left w:val="single" w:sz="4" w:space="0" w:color="41B7EE"/>
              <w:bottom w:val="single" w:sz="4" w:space="0" w:color="41B7EE"/>
              <w:right w:val="single" w:sz="4" w:space="0" w:color="41B7EE"/>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减少投</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z w:val="21"/>
                <w:szCs w:val="21"/>
              </w:rPr>
              <w:t> </w:t>
            </w:r>
          </w:p>
        </w:tc>
        <w:tc>
          <w:tcPr>
            <w:tcW w:w="1532" w:type="dxa"/>
            <w:tcBorders>
              <w:top w:val="single" w:sz="4" w:space="0" w:color="41B7EE"/>
              <w:left w:val="single" w:sz="4" w:space="0" w:color="41B7EE"/>
              <w:bottom w:val="single" w:sz="4" w:space="0" w:color="41B7EE"/>
              <w:right w:val="single" w:sz="4" w:space="0" w:color="41B7EE"/>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权益法下确认的</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投资损益</w:t>
            </w:r>
            <w:r>
              <w:rPr>
                <w:rFonts w:ascii="宋体" w:hAnsi="宋体" w:cs="宋体" w:eastAsia="宋体" w:hint="default"/>
                <w:sz w:val="21"/>
                <w:szCs w:val="21"/>
              </w:rPr>
              <w:t> </w:t>
            </w:r>
          </w:p>
        </w:tc>
        <w:tc>
          <w:tcPr>
            <w:tcW w:w="1243" w:type="dxa"/>
            <w:tcBorders>
              <w:top w:val="single" w:sz="4" w:space="0" w:color="41B7EE"/>
              <w:left w:val="single" w:sz="4" w:space="0" w:color="41B7EE"/>
              <w:bottom w:val="single" w:sz="4" w:space="0" w:color="41B7EE"/>
              <w:right w:val="single" w:sz="4" w:space="0" w:color="41B7EE"/>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其他综合收</w:t>
            </w:r>
          </w:p>
          <w:p>
            <w:pPr>
              <w:pStyle w:val="TableParagraph"/>
              <w:spacing w:line="273" w:lineRule="exact"/>
              <w:ind w:left="107" w:right="0"/>
              <w:jc w:val="center"/>
              <w:rPr>
                <w:rFonts w:ascii="宋体" w:hAnsi="宋体" w:cs="宋体" w:eastAsia="宋体" w:hint="default"/>
                <w:sz w:val="21"/>
                <w:szCs w:val="21"/>
              </w:rPr>
            </w:pPr>
            <w:r>
              <w:rPr>
                <w:rFonts w:ascii="宋体" w:hAnsi="宋体" w:cs="宋体" w:eastAsia="宋体" w:hint="default"/>
                <w:sz w:val="21"/>
                <w:szCs w:val="21"/>
              </w:rPr>
              <w:t>益调整</w:t>
            </w:r>
            <w:r>
              <w:rPr>
                <w:rFonts w:ascii="宋体" w:hAnsi="宋体" w:cs="宋体" w:eastAsia="宋体" w:hint="default"/>
                <w:sz w:val="21"/>
                <w:szCs w:val="21"/>
              </w:rPr>
              <w:t> </w:t>
            </w:r>
          </w:p>
        </w:tc>
        <w:tc>
          <w:tcPr>
            <w:tcW w:w="139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17" w:type="dxa"/>
            <w:vMerge/>
            <w:tcBorders>
              <w:left w:val="single" w:sz="4" w:space="0" w:color="41B7EE"/>
              <w:bottom w:val="single" w:sz="4" w:space="0" w:color="41B7EE"/>
              <w:right w:val="single" w:sz="4" w:space="0" w:color="41B7EE"/>
            </w:tcBorders>
          </w:tcPr>
          <w:p>
            <w:pPr/>
          </w:p>
        </w:tc>
        <w:tc>
          <w:tcPr>
            <w:tcW w:w="1414" w:type="dxa"/>
            <w:vMerge/>
            <w:tcBorders>
              <w:left w:val="single" w:sz="4" w:space="0" w:color="41B7EE"/>
              <w:bottom w:val="single" w:sz="4" w:space="0" w:color="41B7EE"/>
              <w:right w:val="nil" w:sz="6" w:space="0" w:color="auto"/>
            </w:tcBorders>
          </w:tcPr>
          <w:p>
            <w:pPr/>
          </w:p>
        </w:tc>
      </w:tr>
      <w:tr>
        <w:trPr>
          <w:trHeight w:val="355" w:hRule="exact"/>
        </w:trPr>
        <w:tc>
          <w:tcPr>
            <w:tcW w:w="13932" w:type="dxa"/>
            <w:gridSpan w:val="9"/>
            <w:tcBorders>
              <w:top w:val="single" w:sz="4" w:space="0" w:color="41B7EE"/>
              <w:left w:val="nil" w:sz="6" w:space="0" w:color="auto"/>
              <w:bottom w:val="single" w:sz="4" w:space="0" w:color="41B7EE"/>
              <w:right w:val="nil" w:sz="6" w:space="0" w:color="auto"/>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一、合营企业</w:t>
            </w:r>
            <w:r>
              <w:rPr>
                <w:rFonts w:ascii="宋体" w:hAnsi="宋体" w:cs="宋体" w:eastAsia="宋体" w:hint="default"/>
                <w:sz w:val="21"/>
                <w:szCs w:val="21"/>
              </w:rPr>
              <w:t> </w:t>
            </w:r>
          </w:p>
        </w:tc>
      </w:tr>
      <w:tr>
        <w:trPr>
          <w:trHeight w:val="358" w:hRule="exact"/>
        </w:trPr>
        <w:tc>
          <w:tcPr>
            <w:tcW w:w="352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5"/>
              <w:ind w:left="28"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669" w:type="dxa"/>
            <w:tcBorders>
              <w:top w:val="single" w:sz="4" w:space="0" w:color="41B7EE"/>
              <w:left w:val="single" w:sz="4" w:space="0" w:color="41B7EE"/>
              <w:bottom w:val="single" w:sz="4" w:space="0" w:color="41B7EE"/>
              <w:right w:val="single" w:sz="4" w:space="0" w:color="41B7EE"/>
            </w:tcBorders>
          </w:tcPr>
          <w:p>
            <w:pPr/>
          </w:p>
        </w:tc>
        <w:tc>
          <w:tcPr>
            <w:tcW w:w="818" w:type="dxa"/>
            <w:tcBorders>
              <w:top w:val="single" w:sz="4" w:space="0" w:color="41B7EE"/>
              <w:left w:val="single" w:sz="4" w:space="0" w:color="41B7EE"/>
              <w:bottom w:val="single" w:sz="4" w:space="0" w:color="41B7EE"/>
              <w:right w:val="single" w:sz="4" w:space="0" w:color="41B7EE"/>
            </w:tcBorders>
          </w:tcPr>
          <w:p>
            <w:pPr/>
          </w:p>
        </w:tc>
        <w:tc>
          <w:tcPr>
            <w:tcW w:w="816" w:type="dxa"/>
            <w:tcBorders>
              <w:top w:val="single" w:sz="4" w:space="0" w:color="41B7EE"/>
              <w:left w:val="single" w:sz="4" w:space="0" w:color="41B7EE"/>
              <w:bottom w:val="single" w:sz="4" w:space="0" w:color="41B7EE"/>
              <w:right w:val="single" w:sz="4" w:space="0" w:color="41B7EE"/>
            </w:tcBorders>
          </w:tcPr>
          <w:p>
            <w:pPr/>
          </w:p>
        </w:tc>
        <w:tc>
          <w:tcPr>
            <w:tcW w:w="1532" w:type="dxa"/>
            <w:tcBorders>
              <w:top w:val="single" w:sz="4" w:space="0" w:color="41B7EE"/>
              <w:left w:val="single" w:sz="4" w:space="0" w:color="41B7EE"/>
              <w:bottom w:val="single" w:sz="4" w:space="0" w:color="41B7EE"/>
              <w:right w:val="single" w:sz="4" w:space="0" w:color="41B7EE"/>
            </w:tcBorders>
          </w:tcPr>
          <w:p>
            <w:pPr/>
          </w:p>
        </w:tc>
        <w:tc>
          <w:tcPr>
            <w:tcW w:w="1243" w:type="dxa"/>
            <w:tcBorders>
              <w:top w:val="single" w:sz="4" w:space="0" w:color="41B7EE"/>
              <w:left w:val="single" w:sz="4" w:space="0" w:color="41B7EE"/>
              <w:bottom w:val="single" w:sz="4" w:space="0" w:color="41B7EE"/>
              <w:right w:val="single" w:sz="4" w:space="0" w:color="41B7EE"/>
            </w:tcBorders>
          </w:tcPr>
          <w:p>
            <w:pPr/>
          </w:p>
        </w:tc>
        <w:tc>
          <w:tcPr>
            <w:tcW w:w="1395" w:type="dxa"/>
            <w:tcBorders>
              <w:top w:val="single" w:sz="4" w:space="0" w:color="41B7EE"/>
              <w:left w:val="single" w:sz="4" w:space="0" w:color="41B7EE"/>
              <w:bottom w:val="single" w:sz="4" w:space="0" w:color="41B7EE"/>
              <w:right w:val="single" w:sz="4" w:space="0" w:color="41B7EE"/>
            </w:tcBorders>
          </w:tcPr>
          <w:p>
            <w:pPr/>
          </w:p>
        </w:tc>
        <w:tc>
          <w:tcPr>
            <w:tcW w:w="1517" w:type="dxa"/>
            <w:tcBorders>
              <w:top w:val="single" w:sz="4" w:space="0" w:color="41B7EE"/>
              <w:left w:val="single" w:sz="4" w:space="0" w:color="41B7EE"/>
              <w:bottom w:val="single" w:sz="4" w:space="0" w:color="41B7EE"/>
              <w:right w:val="single" w:sz="4" w:space="0" w:color="41B7EE"/>
            </w:tcBorders>
          </w:tcPr>
          <w:p>
            <w:pPr/>
          </w:p>
        </w:tc>
        <w:tc>
          <w:tcPr>
            <w:tcW w:w="1414"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13932" w:type="dxa"/>
            <w:gridSpan w:val="9"/>
            <w:tcBorders>
              <w:top w:val="single" w:sz="4" w:space="0" w:color="41B7EE"/>
              <w:left w:val="nil" w:sz="6" w:space="0" w:color="auto"/>
              <w:bottom w:val="single" w:sz="4" w:space="0" w:color="41B7EE"/>
              <w:right w:val="nil" w:sz="6" w:space="0" w:color="auto"/>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358" w:hRule="exact"/>
        </w:trPr>
        <w:tc>
          <w:tcPr>
            <w:tcW w:w="352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北大荒龙麦农业股份有限公司</w:t>
            </w:r>
            <w:r>
              <w:rPr>
                <w:rFonts w:ascii="宋体" w:hAnsi="宋体" w:cs="宋体" w:eastAsia="宋体" w:hint="default"/>
                <w:sz w:val="21"/>
                <w:szCs w:val="21"/>
              </w:rPr>
              <w:t> </w:t>
            </w:r>
          </w:p>
        </w:tc>
        <w:tc>
          <w:tcPr>
            <w:tcW w:w="166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178,459,164.51</w:t>
            </w:r>
          </w:p>
        </w:tc>
        <w:tc>
          <w:tcPr>
            <w:tcW w:w="818" w:type="dxa"/>
            <w:tcBorders>
              <w:top w:val="single" w:sz="4" w:space="0" w:color="41B7EE"/>
              <w:left w:val="single" w:sz="4" w:space="0" w:color="41B7EE"/>
              <w:bottom w:val="single" w:sz="4" w:space="0" w:color="41B7EE"/>
              <w:right w:val="single" w:sz="4" w:space="0" w:color="41B7EE"/>
            </w:tcBorders>
          </w:tcPr>
          <w:p>
            <w:pPr/>
          </w:p>
        </w:tc>
        <w:tc>
          <w:tcPr>
            <w:tcW w:w="816" w:type="dxa"/>
            <w:tcBorders>
              <w:top w:val="single" w:sz="4" w:space="0" w:color="41B7EE"/>
              <w:left w:val="single" w:sz="4" w:space="0" w:color="41B7EE"/>
              <w:bottom w:val="single" w:sz="4" w:space="0" w:color="41B7EE"/>
              <w:right w:val="single" w:sz="4" w:space="0" w:color="41B7EE"/>
            </w:tcBorders>
          </w:tcPr>
          <w:p>
            <w:pPr/>
          </w:p>
        </w:tc>
        <w:tc>
          <w:tcPr>
            <w:tcW w:w="153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8"/>
              <w:jc w:val="right"/>
              <w:rPr>
                <w:rFonts w:ascii="Arial" w:hAnsi="Arial" w:cs="Arial" w:eastAsia="Arial" w:hint="default"/>
                <w:sz w:val="21"/>
                <w:szCs w:val="21"/>
              </w:rPr>
            </w:pPr>
            <w:r>
              <w:rPr>
                <w:rFonts w:ascii="Arial"/>
                <w:spacing w:val="-1"/>
                <w:sz w:val="21"/>
              </w:rPr>
              <w:t>-14,913,042.13</w:t>
            </w:r>
          </w:p>
        </w:tc>
        <w:tc>
          <w:tcPr>
            <w:tcW w:w="1243" w:type="dxa"/>
            <w:tcBorders>
              <w:top w:val="single" w:sz="4" w:space="0" w:color="41B7EE"/>
              <w:left w:val="single" w:sz="4" w:space="0" w:color="41B7EE"/>
              <w:bottom w:val="single" w:sz="4" w:space="0" w:color="41B7EE"/>
              <w:right w:val="single" w:sz="4" w:space="0" w:color="41B7EE"/>
            </w:tcBorders>
          </w:tcPr>
          <w:p>
            <w:pPr/>
          </w:p>
        </w:tc>
        <w:tc>
          <w:tcPr>
            <w:tcW w:w="1395" w:type="dxa"/>
            <w:tcBorders>
              <w:top w:val="single" w:sz="4" w:space="0" w:color="41B7EE"/>
              <w:left w:val="single" w:sz="4" w:space="0" w:color="41B7EE"/>
              <w:bottom w:val="single" w:sz="4" w:space="0" w:color="41B7EE"/>
              <w:right w:val="single" w:sz="4" w:space="0" w:color="41B7EE"/>
            </w:tcBorders>
          </w:tcPr>
          <w:p>
            <w:pPr/>
          </w:p>
        </w:tc>
        <w:tc>
          <w:tcPr>
            <w:tcW w:w="151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163,546,122.38</w:t>
            </w:r>
          </w:p>
        </w:tc>
        <w:tc>
          <w:tcPr>
            <w:tcW w:w="1414" w:type="dxa"/>
            <w:tcBorders>
              <w:top w:val="single" w:sz="4" w:space="0" w:color="41B7EE"/>
              <w:left w:val="single" w:sz="4" w:space="0" w:color="41B7EE"/>
              <w:bottom w:val="single" w:sz="4" w:space="0" w:color="41B7EE"/>
              <w:right w:val="nil" w:sz="6" w:space="0" w:color="auto"/>
            </w:tcBorders>
          </w:tcPr>
          <w:p>
            <w:pPr/>
          </w:p>
        </w:tc>
      </w:tr>
      <w:tr>
        <w:trPr>
          <w:trHeight w:val="355" w:hRule="exact"/>
        </w:trPr>
        <w:tc>
          <w:tcPr>
            <w:tcW w:w="352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黑龙江北大荒投资担保股份有限公司</w:t>
            </w:r>
            <w:r>
              <w:rPr>
                <w:rFonts w:ascii="宋体" w:hAnsi="宋体" w:cs="宋体" w:eastAsia="宋体" w:hint="default"/>
                <w:sz w:val="21"/>
                <w:szCs w:val="21"/>
              </w:rPr>
              <w:t> </w:t>
            </w:r>
          </w:p>
        </w:tc>
        <w:tc>
          <w:tcPr>
            <w:tcW w:w="166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69,097,697.61</w:t>
            </w:r>
          </w:p>
        </w:tc>
        <w:tc>
          <w:tcPr>
            <w:tcW w:w="818" w:type="dxa"/>
            <w:tcBorders>
              <w:top w:val="single" w:sz="4" w:space="0" w:color="41B7EE"/>
              <w:left w:val="single" w:sz="4" w:space="0" w:color="41B7EE"/>
              <w:bottom w:val="single" w:sz="4" w:space="0" w:color="41B7EE"/>
              <w:right w:val="single" w:sz="4" w:space="0" w:color="41B7EE"/>
            </w:tcBorders>
          </w:tcPr>
          <w:p>
            <w:pPr/>
          </w:p>
        </w:tc>
        <w:tc>
          <w:tcPr>
            <w:tcW w:w="816" w:type="dxa"/>
            <w:tcBorders>
              <w:top w:val="single" w:sz="4" w:space="0" w:color="41B7EE"/>
              <w:left w:val="single" w:sz="4" w:space="0" w:color="41B7EE"/>
              <w:bottom w:val="single" w:sz="4" w:space="0" w:color="41B7EE"/>
              <w:right w:val="single" w:sz="4" w:space="0" w:color="41B7EE"/>
            </w:tcBorders>
          </w:tcPr>
          <w:p>
            <w:pPr/>
          </w:p>
        </w:tc>
        <w:tc>
          <w:tcPr>
            <w:tcW w:w="153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2,674,906.76</w:t>
            </w:r>
          </w:p>
        </w:tc>
        <w:tc>
          <w:tcPr>
            <w:tcW w:w="1243" w:type="dxa"/>
            <w:tcBorders>
              <w:top w:val="single" w:sz="4" w:space="0" w:color="41B7EE"/>
              <w:left w:val="single" w:sz="4" w:space="0" w:color="41B7EE"/>
              <w:bottom w:val="single" w:sz="4" w:space="0" w:color="41B7EE"/>
              <w:right w:val="single" w:sz="4" w:space="0" w:color="41B7EE"/>
            </w:tcBorders>
          </w:tcPr>
          <w:p>
            <w:pPr/>
          </w:p>
        </w:tc>
        <w:tc>
          <w:tcPr>
            <w:tcW w:w="1395" w:type="dxa"/>
            <w:tcBorders>
              <w:top w:val="single" w:sz="4" w:space="0" w:color="41B7EE"/>
              <w:left w:val="single" w:sz="4" w:space="0" w:color="41B7EE"/>
              <w:bottom w:val="single" w:sz="4" w:space="0" w:color="41B7EE"/>
              <w:right w:val="single" w:sz="4" w:space="0" w:color="41B7EE"/>
            </w:tcBorders>
          </w:tcPr>
          <w:p>
            <w:pPr/>
          </w:p>
        </w:tc>
        <w:tc>
          <w:tcPr>
            <w:tcW w:w="151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71,772,604.37</w:t>
            </w:r>
          </w:p>
        </w:tc>
        <w:tc>
          <w:tcPr>
            <w:tcW w:w="1414"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2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黑龙江北大荒全利选煤有限公司</w:t>
            </w:r>
            <w:r>
              <w:rPr>
                <w:rFonts w:ascii="宋体" w:hAnsi="宋体" w:cs="宋体" w:eastAsia="宋体" w:hint="default"/>
                <w:sz w:val="21"/>
                <w:szCs w:val="21"/>
              </w:rPr>
              <w:t> </w:t>
            </w:r>
          </w:p>
        </w:tc>
        <w:tc>
          <w:tcPr>
            <w:tcW w:w="166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4,987,562.60</w:t>
            </w:r>
          </w:p>
        </w:tc>
        <w:tc>
          <w:tcPr>
            <w:tcW w:w="818" w:type="dxa"/>
            <w:tcBorders>
              <w:top w:val="single" w:sz="4" w:space="0" w:color="41B7EE"/>
              <w:left w:val="single" w:sz="4" w:space="0" w:color="41B7EE"/>
              <w:bottom w:val="single" w:sz="4" w:space="0" w:color="41B7EE"/>
              <w:right w:val="single" w:sz="4" w:space="0" w:color="41B7EE"/>
            </w:tcBorders>
          </w:tcPr>
          <w:p>
            <w:pPr/>
          </w:p>
        </w:tc>
        <w:tc>
          <w:tcPr>
            <w:tcW w:w="816" w:type="dxa"/>
            <w:tcBorders>
              <w:top w:val="single" w:sz="4" w:space="0" w:color="41B7EE"/>
              <w:left w:val="single" w:sz="4" w:space="0" w:color="41B7EE"/>
              <w:bottom w:val="single" w:sz="4" w:space="0" w:color="41B7EE"/>
              <w:right w:val="single" w:sz="4" w:space="0" w:color="41B7EE"/>
            </w:tcBorders>
          </w:tcPr>
          <w:p>
            <w:pPr/>
          </w:p>
        </w:tc>
        <w:tc>
          <w:tcPr>
            <w:tcW w:w="153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-154,536.83</w:t>
            </w:r>
          </w:p>
        </w:tc>
        <w:tc>
          <w:tcPr>
            <w:tcW w:w="1243" w:type="dxa"/>
            <w:tcBorders>
              <w:top w:val="single" w:sz="4" w:space="0" w:color="41B7EE"/>
              <w:left w:val="single" w:sz="4" w:space="0" w:color="41B7EE"/>
              <w:bottom w:val="single" w:sz="4" w:space="0" w:color="41B7EE"/>
              <w:right w:val="single" w:sz="4" w:space="0" w:color="41B7EE"/>
            </w:tcBorders>
          </w:tcPr>
          <w:p>
            <w:pPr/>
          </w:p>
        </w:tc>
        <w:tc>
          <w:tcPr>
            <w:tcW w:w="1395" w:type="dxa"/>
            <w:tcBorders>
              <w:top w:val="single" w:sz="4" w:space="0" w:color="41B7EE"/>
              <w:left w:val="single" w:sz="4" w:space="0" w:color="41B7EE"/>
              <w:bottom w:val="single" w:sz="4" w:space="0" w:color="41B7EE"/>
              <w:right w:val="single" w:sz="4" w:space="0" w:color="41B7EE"/>
            </w:tcBorders>
          </w:tcPr>
          <w:p>
            <w:pPr/>
          </w:p>
        </w:tc>
        <w:tc>
          <w:tcPr>
            <w:tcW w:w="151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4,833,025.77</w:t>
            </w:r>
          </w:p>
        </w:tc>
        <w:tc>
          <w:tcPr>
            <w:tcW w:w="1414"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2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黑龙江北大荒浩良河化肥有限公司</w:t>
            </w:r>
            <w:r>
              <w:rPr>
                <w:rFonts w:ascii="宋体" w:hAnsi="宋体" w:cs="宋体" w:eastAsia="宋体" w:hint="default"/>
                <w:sz w:val="21"/>
                <w:szCs w:val="21"/>
              </w:rPr>
              <w:t> </w:t>
            </w:r>
          </w:p>
        </w:tc>
        <w:tc>
          <w:tcPr>
            <w:tcW w:w="166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407,653,675.49</w:t>
            </w:r>
          </w:p>
        </w:tc>
        <w:tc>
          <w:tcPr>
            <w:tcW w:w="818" w:type="dxa"/>
            <w:tcBorders>
              <w:top w:val="single" w:sz="4" w:space="0" w:color="41B7EE"/>
              <w:left w:val="single" w:sz="4" w:space="0" w:color="41B7EE"/>
              <w:bottom w:val="single" w:sz="4" w:space="0" w:color="41B7EE"/>
              <w:right w:val="single" w:sz="4" w:space="0" w:color="41B7EE"/>
            </w:tcBorders>
          </w:tcPr>
          <w:p>
            <w:pPr/>
          </w:p>
        </w:tc>
        <w:tc>
          <w:tcPr>
            <w:tcW w:w="816" w:type="dxa"/>
            <w:tcBorders>
              <w:top w:val="single" w:sz="4" w:space="0" w:color="41B7EE"/>
              <w:left w:val="single" w:sz="4" w:space="0" w:color="41B7EE"/>
              <w:bottom w:val="single" w:sz="4" w:space="0" w:color="41B7EE"/>
              <w:right w:val="single" w:sz="4" w:space="0" w:color="41B7EE"/>
            </w:tcBorders>
          </w:tcPr>
          <w:p>
            <w:pPr/>
          </w:p>
        </w:tc>
        <w:tc>
          <w:tcPr>
            <w:tcW w:w="153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8"/>
              <w:jc w:val="right"/>
              <w:rPr>
                <w:rFonts w:ascii="Arial" w:hAnsi="Arial" w:cs="Arial" w:eastAsia="Arial" w:hint="default"/>
                <w:sz w:val="21"/>
                <w:szCs w:val="21"/>
              </w:rPr>
            </w:pPr>
            <w:r>
              <w:rPr>
                <w:rFonts w:ascii="Arial"/>
                <w:spacing w:val="-1"/>
                <w:sz w:val="21"/>
              </w:rPr>
              <w:t>-29,898,884.16</w:t>
            </w:r>
          </w:p>
        </w:tc>
        <w:tc>
          <w:tcPr>
            <w:tcW w:w="1243" w:type="dxa"/>
            <w:tcBorders>
              <w:top w:val="single" w:sz="4" w:space="0" w:color="41B7EE"/>
              <w:left w:val="single" w:sz="4" w:space="0" w:color="41B7EE"/>
              <w:bottom w:val="single" w:sz="4" w:space="0" w:color="41B7EE"/>
              <w:right w:val="single" w:sz="4" w:space="0" w:color="41B7EE"/>
            </w:tcBorders>
          </w:tcPr>
          <w:p>
            <w:pPr/>
          </w:p>
        </w:tc>
        <w:tc>
          <w:tcPr>
            <w:tcW w:w="1395" w:type="dxa"/>
            <w:tcBorders>
              <w:top w:val="single" w:sz="4" w:space="0" w:color="41B7EE"/>
              <w:left w:val="single" w:sz="4" w:space="0" w:color="41B7EE"/>
              <w:bottom w:val="single" w:sz="4" w:space="0" w:color="41B7EE"/>
              <w:right w:val="single" w:sz="4" w:space="0" w:color="41B7EE"/>
            </w:tcBorders>
          </w:tcPr>
          <w:p>
            <w:pPr/>
          </w:p>
        </w:tc>
        <w:tc>
          <w:tcPr>
            <w:tcW w:w="151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377,754,791.33</w:t>
            </w:r>
          </w:p>
        </w:tc>
        <w:tc>
          <w:tcPr>
            <w:tcW w:w="1414"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2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哈尔滨乔仕房地产开发有限公司</w:t>
            </w:r>
            <w:r>
              <w:rPr>
                <w:rFonts w:ascii="宋体" w:hAnsi="宋体" w:cs="宋体" w:eastAsia="宋体" w:hint="default"/>
                <w:sz w:val="21"/>
                <w:szCs w:val="21"/>
              </w:rPr>
              <w:t> </w:t>
            </w:r>
          </w:p>
        </w:tc>
        <w:tc>
          <w:tcPr>
            <w:tcW w:w="166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36,698,286.49</w:t>
            </w:r>
          </w:p>
        </w:tc>
        <w:tc>
          <w:tcPr>
            <w:tcW w:w="818" w:type="dxa"/>
            <w:tcBorders>
              <w:top w:val="single" w:sz="4" w:space="0" w:color="41B7EE"/>
              <w:left w:val="single" w:sz="4" w:space="0" w:color="41B7EE"/>
              <w:bottom w:val="single" w:sz="4" w:space="0" w:color="41B7EE"/>
              <w:right w:val="single" w:sz="4" w:space="0" w:color="41B7EE"/>
            </w:tcBorders>
          </w:tcPr>
          <w:p>
            <w:pPr/>
          </w:p>
        </w:tc>
        <w:tc>
          <w:tcPr>
            <w:tcW w:w="816" w:type="dxa"/>
            <w:tcBorders>
              <w:top w:val="single" w:sz="4" w:space="0" w:color="41B7EE"/>
              <w:left w:val="single" w:sz="4" w:space="0" w:color="41B7EE"/>
              <w:bottom w:val="single" w:sz="4" w:space="0" w:color="41B7EE"/>
              <w:right w:val="single" w:sz="4" w:space="0" w:color="41B7EE"/>
            </w:tcBorders>
          </w:tcPr>
          <w:p>
            <w:pPr/>
          </w:p>
        </w:tc>
        <w:tc>
          <w:tcPr>
            <w:tcW w:w="1532" w:type="dxa"/>
            <w:tcBorders>
              <w:top w:val="single" w:sz="4" w:space="0" w:color="41B7EE"/>
              <w:left w:val="single" w:sz="4" w:space="0" w:color="41B7EE"/>
              <w:bottom w:val="single" w:sz="4" w:space="0" w:color="41B7EE"/>
              <w:right w:val="single" w:sz="4" w:space="0" w:color="41B7EE"/>
            </w:tcBorders>
          </w:tcPr>
          <w:p>
            <w:pPr/>
          </w:p>
        </w:tc>
        <w:tc>
          <w:tcPr>
            <w:tcW w:w="1243" w:type="dxa"/>
            <w:tcBorders>
              <w:top w:val="single" w:sz="4" w:space="0" w:color="41B7EE"/>
              <w:left w:val="single" w:sz="4" w:space="0" w:color="41B7EE"/>
              <w:bottom w:val="single" w:sz="4" w:space="0" w:color="41B7EE"/>
              <w:right w:val="single" w:sz="4" w:space="0" w:color="41B7EE"/>
            </w:tcBorders>
          </w:tcPr>
          <w:p>
            <w:pPr/>
          </w:p>
        </w:tc>
        <w:tc>
          <w:tcPr>
            <w:tcW w:w="1395" w:type="dxa"/>
            <w:tcBorders>
              <w:top w:val="single" w:sz="4" w:space="0" w:color="41B7EE"/>
              <w:left w:val="single" w:sz="4" w:space="0" w:color="41B7EE"/>
              <w:bottom w:val="single" w:sz="4" w:space="0" w:color="41B7EE"/>
              <w:right w:val="single" w:sz="4" w:space="0" w:color="41B7EE"/>
            </w:tcBorders>
          </w:tcPr>
          <w:p>
            <w:pPr/>
          </w:p>
        </w:tc>
        <w:tc>
          <w:tcPr>
            <w:tcW w:w="151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36,698,286.49</w:t>
            </w:r>
          </w:p>
        </w:tc>
        <w:tc>
          <w:tcPr>
            <w:tcW w:w="141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36,698,286.49</w:t>
            </w:r>
          </w:p>
        </w:tc>
      </w:tr>
      <w:tr>
        <w:trPr>
          <w:trHeight w:val="356" w:hRule="exact"/>
        </w:trPr>
        <w:tc>
          <w:tcPr>
            <w:tcW w:w="352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佳沃北大荒农业控股有限公司</w:t>
            </w:r>
            <w:r>
              <w:rPr>
                <w:rFonts w:ascii="宋体" w:hAnsi="宋体" w:cs="宋体" w:eastAsia="宋体" w:hint="default"/>
                <w:sz w:val="21"/>
                <w:szCs w:val="21"/>
              </w:rPr>
              <w:t> </w:t>
            </w:r>
          </w:p>
        </w:tc>
        <w:tc>
          <w:tcPr>
            <w:tcW w:w="166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55,792,597.32</w:t>
            </w:r>
          </w:p>
        </w:tc>
        <w:tc>
          <w:tcPr>
            <w:tcW w:w="818" w:type="dxa"/>
            <w:tcBorders>
              <w:top w:val="single" w:sz="4" w:space="0" w:color="41B7EE"/>
              <w:left w:val="single" w:sz="4" w:space="0" w:color="41B7EE"/>
              <w:bottom w:val="single" w:sz="4" w:space="0" w:color="41B7EE"/>
              <w:right w:val="single" w:sz="4" w:space="0" w:color="41B7EE"/>
            </w:tcBorders>
          </w:tcPr>
          <w:p>
            <w:pPr/>
          </w:p>
        </w:tc>
        <w:tc>
          <w:tcPr>
            <w:tcW w:w="816" w:type="dxa"/>
            <w:tcBorders>
              <w:top w:val="single" w:sz="4" w:space="0" w:color="41B7EE"/>
              <w:left w:val="single" w:sz="4" w:space="0" w:color="41B7EE"/>
              <w:bottom w:val="single" w:sz="4" w:space="0" w:color="41B7EE"/>
              <w:right w:val="single" w:sz="4" w:space="0" w:color="41B7EE"/>
            </w:tcBorders>
          </w:tcPr>
          <w:p>
            <w:pPr/>
          </w:p>
        </w:tc>
        <w:tc>
          <w:tcPr>
            <w:tcW w:w="153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-1,024,432.54</w:t>
            </w:r>
          </w:p>
        </w:tc>
        <w:tc>
          <w:tcPr>
            <w:tcW w:w="124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153,306.00</w:t>
            </w:r>
          </w:p>
        </w:tc>
        <w:tc>
          <w:tcPr>
            <w:tcW w:w="1395" w:type="dxa"/>
            <w:tcBorders>
              <w:top w:val="single" w:sz="4" w:space="0" w:color="41B7EE"/>
              <w:left w:val="single" w:sz="4" w:space="0" w:color="41B7EE"/>
              <w:bottom w:val="single" w:sz="4" w:space="0" w:color="41B7EE"/>
              <w:right w:val="single" w:sz="4" w:space="0" w:color="41B7EE"/>
            </w:tcBorders>
          </w:tcPr>
          <w:p>
            <w:pPr/>
          </w:p>
        </w:tc>
        <w:tc>
          <w:tcPr>
            <w:tcW w:w="151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54,921,470.78</w:t>
            </w:r>
          </w:p>
        </w:tc>
        <w:tc>
          <w:tcPr>
            <w:tcW w:w="1414"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2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黑龙江省克东腐乳有限公司</w:t>
            </w:r>
            <w:r>
              <w:rPr>
                <w:rFonts w:ascii="宋体" w:hAnsi="宋体" w:cs="宋体" w:eastAsia="宋体" w:hint="default"/>
                <w:sz w:val="21"/>
                <w:szCs w:val="21"/>
              </w:rPr>
              <w:t> </w:t>
            </w:r>
          </w:p>
        </w:tc>
        <w:tc>
          <w:tcPr>
            <w:tcW w:w="1669" w:type="dxa"/>
            <w:tcBorders>
              <w:top w:val="single" w:sz="4" w:space="0" w:color="41B7EE"/>
              <w:left w:val="single" w:sz="4" w:space="0" w:color="41B7EE"/>
              <w:bottom w:val="single" w:sz="4" w:space="0" w:color="41B7EE"/>
              <w:right w:val="single" w:sz="4" w:space="0" w:color="41B7EE"/>
            </w:tcBorders>
          </w:tcPr>
          <w:p>
            <w:pPr/>
          </w:p>
        </w:tc>
        <w:tc>
          <w:tcPr>
            <w:tcW w:w="818" w:type="dxa"/>
            <w:tcBorders>
              <w:top w:val="single" w:sz="4" w:space="0" w:color="41B7EE"/>
              <w:left w:val="single" w:sz="4" w:space="0" w:color="41B7EE"/>
              <w:bottom w:val="single" w:sz="4" w:space="0" w:color="41B7EE"/>
              <w:right w:val="single" w:sz="4" w:space="0" w:color="41B7EE"/>
            </w:tcBorders>
          </w:tcPr>
          <w:p>
            <w:pPr/>
          </w:p>
        </w:tc>
        <w:tc>
          <w:tcPr>
            <w:tcW w:w="816" w:type="dxa"/>
            <w:tcBorders>
              <w:top w:val="single" w:sz="4" w:space="0" w:color="41B7EE"/>
              <w:left w:val="single" w:sz="4" w:space="0" w:color="41B7EE"/>
              <w:bottom w:val="single" w:sz="4" w:space="0" w:color="41B7EE"/>
              <w:right w:val="single" w:sz="4" w:space="0" w:color="41B7EE"/>
            </w:tcBorders>
          </w:tcPr>
          <w:p>
            <w:pPr/>
          </w:p>
        </w:tc>
        <w:tc>
          <w:tcPr>
            <w:tcW w:w="153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-761,973.88</w:t>
            </w:r>
          </w:p>
        </w:tc>
        <w:tc>
          <w:tcPr>
            <w:tcW w:w="1243" w:type="dxa"/>
            <w:tcBorders>
              <w:top w:val="single" w:sz="4" w:space="0" w:color="41B7EE"/>
              <w:left w:val="single" w:sz="4" w:space="0" w:color="41B7EE"/>
              <w:bottom w:val="single" w:sz="4" w:space="0" w:color="41B7EE"/>
              <w:right w:val="single" w:sz="4" w:space="0" w:color="41B7EE"/>
            </w:tcBorders>
          </w:tcPr>
          <w:p>
            <w:pPr/>
          </w:p>
        </w:tc>
        <w:tc>
          <w:tcPr>
            <w:tcW w:w="139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left="116" w:right="0"/>
              <w:jc w:val="center"/>
              <w:rPr>
                <w:rFonts w:ascii="Arial" w:hAnsi="Arial" w:cs="Arial" w:eastAsia="Arial" w:hint="default"/>
                <w:sz w:val="21"/>
                <w:szCs w:val="21"/>
              </w:rPr>
            </w:pPr>
            <w:r>
              <w:rPr>
                <w:rFonts w:ascii="Arial"/>
                <w:sz w:val="21"/>
              </w:rPr>
              <w:t>9,258,492.06</w:t>
            </w:r>
          </w:p>
        </w:tc>
        <w:tc>
          <w:tcPr>
            <w:tcW w:w="151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8,496,518.18</w:t>
            </w:r>
          </w:p>
        </w:tc>
        <w:tc>
          <w:tcPr>
            <w:tcW w:w="1414"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52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66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752,688,984.02</w:t>
            </w:r>
          </w:p>
        </w:tc>
        <w:tc>
          <w:tcPr>
            <w:tcW w:w="818" w:type="dxa"/>
            <w:tcBorders>
              <w:top w:val="single" w:sz="4" w:space="0" w:color="41B7EE"/>
              <w:left w:val="single" w:sz="4" w:space="0" w:color="41B7EE"/>
              <w:bottom w:val="single" w:sz="4" w:space="0" w:color="41B7EE"/>
              <w:right w:val="single" w:sz="4" w:space="0" w:color="41B7EE"/>
            </w:tcBorders>
          </w:tcPr>
          <w:p>
            <w:pPr/>
          </w:p>
        </w:tc>
        <w:tc>
          <w:tcPr>
            <w:tcW w:w="816" w:type="dxa"/>
            <w:tcBorders>
              <w:top w:val="single" w:sz="4" w:space="0" w:color="41B7EE"/>
              <w:left w:val="single" w:sz="4" w:space="0" w:color="41B7EE"/>
              <w:bottom w:val="single" w:sz="4" w:space="0" w:color="41B7EE"/>
              <w:right w:val="single" w:sz="4" w:space="0" w:color="41B7EE"/>
            </w:tcBorders>
          </w:tcPr>
          <w:p>
            <w:pPr/>
          </w:p>
        </w:tc>
        <w:tc>
          <w:tcPr>
            <w:tcW w:w="153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8"/>
              <w:jc w:val="right"/>
              <w:rPr>
                <w:rFonts w:ascii="Arial" w:hAnsi="Arial" w:cs="Arial" w:eastAsia="Arial" w:hint="default"/>
                <w:sz w:val="21"/>
                <w:szCs w:val="21"/>
              </w:rPr>
            </w:pPr>
            <w:r>
              <w:rPr>
                <w:rFonts w:ascii="Arial"/>
                <w:spacing w:val="-1"/>
                <w:sz w:val="21"/>
              </w:rPr>
              <w:t>-44,077,962.78</w:t>
            </w:r>
          </w:p>
        </w:tc>
        <w:tc>
          <w:tcPr>
            <w:tcW w:w="124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153,306.00</w:t>
            </w:r>
          </w:p>
        </w:tc>
        <w:tc>
          <w:tcPr>
            <w:tcW w:w="139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left="116" w:right="0"/>
              <w:jc w:val="center"/>
              <w:rPr>
                <w:rFonts w:ascii="Arial" w:hAnsi="Arial" w:cs="Arial" w:eastAsia="Arial" w:hint="default"/>
                <w:sz w:val="21"/>
                <w:szCs w:val="21"/>
              </w:rPr>
            </w:pPr>
            <w:r>
              <w:rPr>
                <w:rFonts w:ascii="Arial"/>
                <w:sz w:val="21"/>
              </w:rPr>
              <w:t>9,258,492.06</w:t>
            </w:r>
          </w:p>
        </w:tc>
        <w:tc>
          <w:tcPr>
            <w:tcW w:w="151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718,022,819.30</w:t>
            </w:r>
          </w:p>
        </w:tc>
        <w:tc>
          <w:tcPr>
            <w:tcW w:w="141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36,698,286.49</w:t>
            </w:r>
          </w:p>
        </w:tc>
      </w:tr>
      <w:tr>
        <w:trPr>
          <w:trHeight w:val="389" w:hRule="exact"/>
        </w:trPr>
        <w:tc>
          <w:tcPr>
            <w:tcW w:w="3528"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2"/>
              <w:ind w:left="10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69"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752,688,984.02</w:t>
            </w:r>
          </w:p>
        </w:tc>
        <w:tc>
          <w:tcPr>
            <w:tcW w:w="818" w:type="dxa"/>
            <w:tcBorders>
              <w:top w:val="single" w:sz="4" w:space="0" w:color="41B7EE"/>
              <w:left w:val="single" w:sz="4" w:space="0" w:color="41B7EE"/>
              <w:bottom w:val="single" w:sz="8" w:space="0" w:color="41B7EE"/>
              <w:right w:val="single" w:sz="4" w:space="0" w:color="41B7EE"/>
            </w:tcBorders>
          </w:tcPr>
          <w:p>
            <w:pPr/>
          </w:p>
        </w:tc>
        <w:tc>
          <w:tcPr>
            <w:tcW w:w="816" w:type="dxa"/>
            <w:tcBorders>
              <w:top w:val="single" w:sz="4" w:space="0" w:color="41B7EE"/>
              <w:left w:val="single" w:sz="4" w:space="0" w:color="41B7EE"/>
              <w:bottom w:val="single" w:sz="8" w:space="0" w:color="41B7EE"/>
              <w:right w:val="single" w:sz="4" w:space="0" w:color="41B7EE"/>
            </w:tcBorders>
          </w:tcPr>
          <w:p>
            <w:pPr/>
          </w:p>
        </w:tc>
        <w:tc>
          <w:tcPr>
            <w:tcW w:w="1532"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18"/>
              <w:jc w:val="right"/>
              <w:rPr>
                <w:rFonts w:ascii="Arial" w:hAnsi="Arial" w:cs="Arial" w:eastAsia="Arial" w:hint="default"/>
                <w:sz w:val="21"/>
                <w:szCs w:val="21"/>
              </w:rPr>
            </w:pPr>
            <w:r>
              <w:rPr>
                <w:rFonts w:ascii="Arial"/>
                <w:spacing w:val="-1"/>
                <w:sz w:val="21"/>
              </w:rPr>
              <w:t>-44,077,962.78</w:t>
            </w:r>
          </w:p>
        </w:tc>
        <w:tc>
          <w:tcPr>
            <w:tcW w:w="1243"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153,306.00</w:t>
            </w:r>
          </w:p>
        </w:tc>
        <w:tc>
          <w:tcPr>
            <w:tcW w:w="1395"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left="116" w:right="0"/>
              <w:jc w:val="center"/>
              <w:rPr>
                <w:rFonts w:ascii="Arial" w:hAnsi="Arial" w:cs="Arial" w:eastAsia="Arial" w:hint="default"/>
                <w:sz w:val="21"/>
                <w:szCs w:val="21"/>
              </w:rPr>
            </w:pPr>
            <w:r>
              <w:rPr>
                <w:rFonts w:ascii="Arial"/>
                <w:sz w:val="21"/>
              </w:rPr>
              <w:t>9,258,492.06</w:t>
            </w:r>
          </w:p>
        </w:tc>
        <w:tc>
          <w:tcPr>
            <w:tcW w:w="1517"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718,022,819.30</w:t>
            </w:r>
          </w:p>
        </w:tc>
        <w:tc>
          <w:tcPr>
            <w:tcW w:w="1414"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36,698,286.49</w:t>
            </w:r>
          </w:p>
        </w:tc>
      </w:tr>
    </w:tbl>
    <w:p>
      <w:pPr>
        <w:pStyle w:val="BodyText"/>
        <w:spacing w:line="267" w:lineRule="exact"/>
        <w:ind w:left="144" w:right="0"/>
        <w:jc w:val="left"/>
        <w:rPr>
          <w:rFonts w:ascii="宋体" w:hAnsi="宋体" w:cs="宋体" w:eastAsia="宋体" w:hint="default"/>
        </w:rPr>
      </w:pPr>
      <w:r>
        <w:rPr/>
        <w:pict>
          <v:group style="position:absolute;margin-left:74.280006pt;margin-top:.440005pt;width:697.55pt;height:1pt;mso-position-horizontal-relative:page;mso-position-vertical-relative:paragraph;z-index:-940696" coordorigin="1486,9" coordsize="13951,20">
            <v:group style="position:absolute;left:1495;top:18;width:3524;height:2" coordorigin="1495,18" coordsize="3524,2">
              <v:shape style="position:absolute;left:1495;top:18;width:3524;height:2" coordorigin="1495,18" coordsize="3524,0" path="m1495,18l5019,18e" filled="false" stroked="true" strokeweight=".95999pt" strokecolor="#41b7ee">
                <v:path arrowok="t"/>
              </v:shape>
            </v:group>
            <v:group style="position:absolute;left:5019;top:18;width:58;height:2" coordorigin="5019,18" coordsize="58,2">
              <v:shape style="position:absolute;left:5019;top:18;width:58;height:2" coordorigin="5019,18" coordsize="58,0" path="m5019,18l5076,18e" filled="false" stroked="true" strokeweight=".95999pt" strokecolor="#41b7ee">
                <v:path arrowok="t"/>
              </v:shape>
            </v:group>
            <v:group style="position:absolute;left:5076;top:18;width:1611;height:2" coordorigin="5076,18" coordsize="1611,2">
              <v:shape style="position:absolute;left:5076;top:18;width:1611;height:2" coordorigin="5076,18" coordsize="1611,0" path="m5076,18l6687,18e" filled="false" stroked="true" strokeweight=".95999pt" strokecolor="#41b7ee">
                <v:path arrowok="t"/>
              </v:shape>
            </v:group>
            <v:group style="position:absolute;left:6687;top:18;width:58;height:2" coordorigin="6687,18" coordsize="58,2">
              <v:shape style="position:absolute;left:6687;top:18;width:58;height:2" coordorigin="6687,18" coordsize="58,0" path="m6687,18l6745,18e" filled="false" stroked="true" strokeweight=".95999pt" strokecolor="#41b7ee">
                <v:path arrowok="t"/>
              </v:shape>
            </v:group>
            <v:group style="position:absolute;left:6745;top:18;width:761;height:2" coordorigin="6745,18" coordsize="761,2">
              <v:shape style="position:absolute;left:6745;top:18;width:761;height:2" coordorigin="6745,18" coordsize="761,0" path="m6745,18l7506,18e" filled="false" stroked="true" strokeweight=".95999pt" strokecolor="#41b7ee">
                <v:path arrowok="t"/>
              </v:shape>
            </v:group>
            <v:group style="position:absolute;left:7506;top:18;width:58;height:2" coordorigin="7506,18" coordsize="58,2">
              <v:shape style="position:absolute;left:7506;top:18;width:58;height:2" coordorigin="7506,18" coordsize="58,0" path="m7506,18l7563,18e" filled="false" stroked="true" strokeweight=".95999pt" strokecolor="#41b7ee">
                <v:path arrowok="t"/>
              </v:shape>
            </v:group>
            <v:group style="position:absolute;left:7563;top:18;width:759;height:2" coordorigin="7563,18" coordsize="759,2">
              <v:shape style="position:absolute;left:7563;top:18;width:759;height:2" coordorigin="7563,18" coordsize="759,0" path="m7563,18l8322,18e" filled="false" stroked="true" strokeweight=".95999pt" strokecolor="#41b7ee">
                <v:path arrowok="t"/>
              </v:shape>
            </v:group>
            <v:group style="position:absolute;left:8322;top:18;width:58;height:2" coordorigin="8322,18" coordsize="58,2">
              <v:shape style="position:absolute;left:8322;top:18;width:58;height:2" coordorigin="8322,18" coordsize="58,0" path="m8322,18l8379,18e" filled="false" stroked="true" strokeweight=".95999pt" strokecolor="#41b7ee">
                <v:path arrowok="t"/>
              </v:shape>
            </v:group>
            <v:group style="position:absolute;left:8379;top:18;width:1475;height:2" coordorigin="8379,18" coordsize="1475,2">
              <v:shape style="position:absolute;left:8379;top:18;width:1475;height:2" coordorigin="8379,18" coordsize="1475,0" path="m8379,18l9853,18e" filled="false" stroked="true" strokeweight=".95999pt" strokecolor="#41b7ee">
                <v:path arrowok="t"/>
              </v:shape>
            </v:group>
            <v:group style="position:absolute;left:9853;top:18;width:58;height:2" coordorigin="9853,18" coordsize="58,2">
              <v:shape style="position:absolute;left:9853;top:18;width:58;height:2" coordorigin="9853,18" coordsize="58,0" path="m9853,18l9911,18e" filled="false" stroked="true" strokeweight=".95999pt" strokecolor="#41b7ee">
                <v:path arrowok="t"/>
              </v:shape>
            </v:group>
            <v:group style="position:absolute;left:9911;top:18;width:1186;height:2" coordorigin="9911,18" coordsize="1186,2">
              <v:shape style="position:absolute;left:9911;top:18;width:1186;height:2" coordorigin="9911,18" coordsize="1186,0" path="m9911,18l11097,18e" filled="false" stroked="true" strokeweight=".95999pt" strokecolor="#41b7ee">
                <v:path arrowok="t"/>
              </v:shape>
            </v:group>
            <v:group style="position:absolute;left:11097;top:18;width:58;height:2" coordorigin="11097,18" coordsize="58,2">
              <v:shape style="position:absolute;left:11097;top:18;width:58;height:2" coordorigin="11097,18" coordsize="58,0" path="m11097,18l11154,18e" filled="false" stroked="true" strokeweight=".95999pt" strokecolor="#41b7ee">
                <v:path arrowok="t"/>
              </v:shape>
            </v:group>
            <v:group style="position:absolute;left:11154;top:18;width:1338;height:2" coordorigin="11154,18" coordsize="1338,2">
              <v:shape style="position:absolute;left:11154;top:18;width:1338;height:2" coordorigin="11154,18" coordsize="1338,0" path="m11154,18l12491,18e" filled="false" stroked="true" strokeweight=".95999pt" strokecolor="#41b7ee">
                <v:path arrowok="t"/>
              </v:shape>
            </v:group>
            <v:group style="position:absolute;left:12492;top:18;width:58;height:2" coordorigin="12492,18" coordsize="58,2">
              <v:shape style="position:absolute;left:12492;top:18;width:58;height:2" coordorigin="12492,18" coordsize="58,0" path="m12492,18l12549,18e" filled="false" stroked="true" strokeweight=".95999pt" strokecolor="#41b7ee">
                <v:path arrowok="t"/>
              </v:shape>
            </v:group>
            <v:group style="position:absolute;left:12549;top:18;width:1460;height:2" coordorigin="12549,18" coordsize="1460,2">
              <v:shape style="position:absolute;left:12549;top:18;width:1460;height:2" coordorigin="12549,18" coordsize="1460,0" path="m12549,18l14008,18e" filled="false" stroked="true" strokeweight=".95999pt" strokecolor="#41b7ee">
                <v:path arrowok="t"/>
              </v:shape>
            </v:group>
            <v:group style="position:absolute;left:14008;top:18;width:58;height:2" coordorigin="14008,18" coordsize="58,2">
              <v:shape style="position:absolute;left:14008;top:18;width:58;height:2" coordorigin="14008,18" coordsize="58,0" path="m14008,18l14066,18e" filled="false" stroked="true" strokeweight=".95999pt" strokecolor="#41b7ee">
                <v:path arrowok="t"/>
              </v:shape>
            </v:group>
            <v:group style="position:absolute;left:14066;top:18;width:1361;height:2" coordorigin="14066,18" coordsize="1361,2">
              <v:shape style="position:absolute;left:14066;top:18;width:1361;height:2" coordorigin="14066,18" coordsize="1361,0" path="m14066,18l15427,18e" filled="false" stroked="true" strokeweight=".95999pt" strokecolor="#41b7ee">
                <v:path arrowok="t"/>
              </v:shape>
            </v:group>
            <w10:wrap type="none"/>
          </v:group>
        </w:pict>
      </w:r>
      <w:r>
        <w:rPr/>
        <w:t>其他说明：</w:t>
      </w:r>
      <w:r>
        <w:rPr>
          <w:rFonts w:ascii="宋体" w:hAnsi="宋体" w:cs="宋体" w:eastAsia="宋体" w:hint="default"/>
        </w:rPr>
        <w:t> </w:t>
      </w:r>
    </w:p>
    <w:p>
      <w:pPr>
        <w:pStyle w:val="BodyText"/>
        <w:spacing w:line="279" w:lineRule="exact"/>
        <w:ind w:left="564" w:right="0"/>
        <w:jc w:val="left"/>
      </w:pPr>
      <w:r>
        <w:rPr/>
        <w:t>哈尔滨乔仕房地产开发有限公司因停业且主要管理人员涉诉，未来经营存在重大不确定性，截止</w:t>
      </w:r>
      <w:r>
        <w:rPr>
          <w:spacing w:val="-55"/>
        </w:rPr>
        <w:t> </w:t>
      </w:r>
      <w:r>
        <w:rPr>
          <w:rFonts w:ascii="Arial" w:hAnsi="Arial" w:cs="Arial" w:eastAsia="Arial" w:hint="default"/>
        </w:rPr>
        <w:t>2019</w:t>
      </w:r>
      <w:r>
        <w:rPr>
          <w:rFonts w:ascii="Arial" w:hAnsi="Arial" w:cs="Arial" w:eastAsia="Arial" w:hint="default"/>
          <w:spacing w:val="-8"/>
        </w:rPr>
        <w:t> </w:t>
      </w:r>
      <w:r>
        <w:rPr/>
        <w:t>年</w:t>
      </w:r>
      <w:r>
        <w:rPr>
          <w:spacing w:val="-55"/>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10"/>
        </w:rPr>
        <w:t> </w:t>
      </w:r>
      <w:r>
        <w:rPr/>
        <w:t>日，子公司鑫亚公司对持有的哈</w:t>
      </w:r>
    </w:p>
    <w:p>
      <w:pPr>
        <w:pStyle w:val="BodyText"/>
        <w:spacing w:line="272" w:lineRule="exact"/>
        <w:ind w:left="144" w:right="0"/>
        <w:jc w:val="left"/>
      </w:pPr>
      <w:r>
        <w:rPr/>
        <w:t>尔滨乔仕房地产开发有限公司长期股权投资全额计提减值准备</w:t>
      </w:r>
      <w:r>
        <w:rPr>
          <w:spacing w:val="-56"/>
        </w:rPr>
        <w:t> </w:t>
      </w:r>
      <w:r>
        <w:rPr>
          <w:rFonts w:ascii="Arial" w:hAnsi="Arial" w:cs="Arial" w:eastAsia="Arial" w:hint="default"/>
        </w:rPr>
        <w:t>36,698,286.49</w:t>
      </w:r>
      <w:r>
        <w:rPr>
          <w:rFonts w:ascii="Arial" w:hAnsi="Arial" w:cs="Arial" w:eastAsia="Arial" w:hint="default"/>
          <w:spacing w:val="-9"/>
        </w:rPr>
        <w:t> </w:t>
      </w:r>
      <w:r>
        <w:rPr/>
        <w:t>元。</w:t>
      </w:r>
    </w:p>
    <w:p>
      <w:pPr>
        <w:pStyle w:val="BodyText"/>
        <w:spacing w:line="265" w:lineRule="exact"/>
        <w:ind w:left="144" w:right="0"/>
        <w:jc w:val="left"/>
        <w:rPr>
          <w:rFonts w:ascii="宋体" w:hAnsi="宋体" w:cs="宋体" w:eastAsia="宋体" w:hint="default"/>
        </w:rPr>
      </w:pPr>
      <w:r>
        <w:rPr>
          <w:rFonts w:ascii="宋体"/>
          <w:w w:val="100"/>
        </w:rPr>
        <w:t> </w:t>
      </w:r>
    </w:p>
    <w:p>
      <w:pPr>
        <w:pStyle w:val="BodyText"/>
        <w:spacing w:line="273" w:lineRule="exact"/>
        <w:ind w:left="144"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0"/>
        <w:ind w:left="6665" w:right="6741" w:firstLine="0"/>
        <w:jc w:val="center"/>
        <w:rPr>
          <w:rFonts w:ascii="Calibri" w:hAnsi="Calibri" w:cs="Calibri" w:eastAsia="Calibri" w:hint="default"/>
          <w:sz w:val="18"/>
          <w:szCs w:val="18"/>
        </w:rPr>
      </w:pPr>
      <w:r>
        <w:rPr>
          <w:rFonts w:ascii="Calibri"/>
          <w:b/>
          <w:sz w:val="18"/>
        </w:rPr>
        <w:t>121 </w:t>
      </w:r>
      <w:r>
        <w:rPr>
          <w:rFonts w:ascii="Calibri"/>
          <w:sz w:val="18"/>
        </w:rPr>
        <w:t>/</w:t>
      </w:r>
      <w:r>
        <w:rPr>
          <w:rFonts w:ascii="Calibri"/>
          <w:spacing w:val="-5"/>
          <w:sz w:val="18"/>
        </w:rPr>
        <w:t> </w:t>
      </w:r>
      <w:r>
        <w:rPr>
          <w:rFonts w:ascii="Calibri"/>
          <w:b/>
          <w:sz w:val="18"/>
        </w:rPr>
        <w:t>173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360" w:bottom="1380" w:left="1380" w:right="1220"/>
        </w:sectPr>
      </w:pPr>
    </w:p>
    <w:p>
      <w:pPr>
        <w:pStyle w:val="Heading2"/>
        <w:spacing w:line="290" w:lineRule="auto" w:before="100"/>
        <w:ind w:left="236" w:right="0"/>
        <w:jc w:val="left"/>
        <w:rPr>
          <w:rFonts w:ascii="宋体" w:hAnsi="宋体" w:cs="宋体" w:eastAsia="宋体" w:hint="default"/>
          <w:b w:val="0"/>
          <w:bCs w:val="0"/>
        </w:rPr>
      </w:pPr>
      <w:r>
        <w:rPr/>
        <w:pict>
          <v:group style="position:absolute;margin-left:62.400002pt;margin-top:2.863657pt;width:443.65pt;height:.1pt;mso-position-horizontal-relative:page;mso-position-vertical-relative:paragraph;z-index:5848" coordorigin="1248,57" coordsize="8873,2">
            <v:shape style="position:absolute;left:1248;top:57;width:8873;height:2" coordorigin="1248,57" coordsize="8873,0" path="m1248,57l10120,57e" filled="false" stroked="true" strokeweight=".72pt" strokecolor="#000000">
              <v:path arrowok="t"/>
            </v:shape>
            <w10:wrap type="none"/>
          </v:group>
        </w:pict>
      </w:r>
      <w:r>
        <w:rPr>
          <w:rFonts w:ascii="宋体" w:hAnsi="宋体" w:cs="宋体" w:eastAsia="宋体" w:hint="default"/>
        </w:rPr>
        <w:t>17</w:t>
      </w:r>
      <w:r>
        <w:rPr/>
        <w:t>、</w:t>
      </w:r>
      <w:r>
        <w:rPr>
          <w:spacing w:val="-25"/>
        </w:rPr>
        <w:t> </w:t>
      </w:r>
      <w:r>
        <w:rPr/>
        <w:t>其他权益工具投资</w:t>
      </w:r>
      <w:r>
        <w:rPr>
          <w:spacing w:val="-104"/>
        </w:rPr>
        <w:t> </w:t>
      </w:r>
      <w:r>
        <w:rPr>
          <w:spacing w:val="-104"/>
        </w:rPr>
      </w:r>
      <w:r>
        <w:rPr>
          <w:rFonts w:ascii="宋体" w:hAnsi="宋体" w:cs="宋体" w:eastAsia="宋体" w:hint="default"/>
        </w:rPr>
        <w:t>(1).</w:t>
      </w:r>
      <w:r>
        <w:rPr/>
        <w:t>其他权益工具投资情况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67"/>
          <w:pgSz w:w="11910" w:h="16840"/>
          <w:pgMar w:footer="1195" w:header="0" w:top="1300" w:bottom="1380" w:left="1040" w:right="1520"/>
          <w:pgNumType w:start="122"/>
          <w:cols w:num="2" w:equalWidth="0">
            <w:col w:w="2878" w:space="3541"/>
            <w:col w:w="2931"/>
          </w:cols>
        </w:sectPr>
      </w:pPr>
    </w:p>
    <w:p>
      <w:pPr>
        <w:spacing w:line="240" w:lineRule="auto" w:before="7"/>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918;height:2" coordorigin="10,10" coordsize="3918,2">
              <v:shape style="position:absolute;left:10;top:10;width:3918;height:2" coordorigin="10,10" coordsize="3918,0" path="m10,10l3927,10e" filled="false" stroked="true" strokeweight=".96001pt" strokecolor="#41b7ee">
                <v:path arrowok="t"/>
              </v:shape>
            </v:group>
            <v:group style="position:absolute;left:3927;top:10;width:58;height:2" coordorigin="3927,10" coordsize="58,2">
              <v:shape style="position:absolute;left:3927;top:10;width:58;height:2" coordorigin="3927,10" coordsize="58,0" path="m3927,10l3985,10e" filled="false" stroked="true" strokeweight=".96001pt" strokecolor="#41b7ee">
                <v:path arrowok="t"/>
              </v:shape>
            </v:group>
            <v:group style="position:absolute;left:3985;top:10;width:2360;height:2" coordorigin="3985,10" coordsize="2360,2">
              <v:shape style="position:absolute;left:3985;top:10;width:2360;height:2" coordorigin="3985,10" coordsize="2360,0" path="m3985,10l6345,10e" filled="false" stroked="true" strokeweight=".96001pt" strokecolor="#41b7ee">
                <v:path arrowok="t"/>
              </v:shape>
            </v:group>
            <v:group style="position:absolute;left:6345;top:10;width:58;height:2" coordorigin="6345,10" coordsize="58,2">
              <v:shape style="position:absolute;left:6345;top:10;width:58;height:2" coordorigin="6345,10" coordsize="58,0" path="m6345,10l6402,10e" filled="false" stroked="true" strokeweight=".96001pt" strokecolor="#41b7ee">
                <v:path arrowok="t"/>
              </v:shape>
            </v:group>
            <v:group style="position:absolute;left:6402;top:10;width:2658;height:2" coordorigin="6402,10" coordsize="2658,2">
              <v:shape style="position:absolute;left:6402;top:10;width:2658;height:2" coordorigin="6402,10" coordsize="2658,0" path="m6402,10l9059,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3923"/>
        <w:gridCol w:w="2417"/>
        <w:gridCol w:w="2710"/>
      </w:tblGrid>
      <w:tr>
        <w:trPr>
          <w:trHeight w:val="362" w:hRule="exact"/>
        </w:trPr>
        <w:tc>
          <w:tcPr>
            <w:tcW w:w="3923"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4"/>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417"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4"/>
              <w:ind w:left="78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10"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4"/>
              <w:ind w:left="92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58" w:hRule="exact"/>
        </w:trPr>
        <w:tc>
          <w:tcPr>
            <w:tcW w:w="392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呼伦贝尔市红海种业科技有限公司</w:t>
            </w:r>
            <w:r>
              <w:rPr>
                <w:rFonts w:ascii="宋体" w:hAnsi="宋体" w:cs="宋体" w:eastAsia="宋体" w:hint="default"/>
                <w:sz w:val="21"/>
                <w:szCs w:val="21"/>
              </w:rPr>
              <w:t> </w:t>
            </w:r>
          </w:p>
        </w:tc>
        <w:tc>
          <w:tcPr>
            <w:tcW w:w="241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1.00</w:t>
            </w:r>
          </w:p>
        </w:tc>
        <w:tc>
          <w:tcPr>
            <w:tcW w:w="27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right="103"/>
              <w:jc w:val="right"/>
              <w:rPr>
                <w:rFonts w:ascii="Arial" w:hAnsi="Arial" w:cs="Arial" w:eastAsia="Arial" w:hint="default"/>
                <w:sz w:val="21"/>
                <w:szCs w:val="21"/>
              </w:rPr>
            </w:pPr>
            <w:r>
              <w:rPr>
                <w:rFonts w:ascii="Arial"/>
                <w:spacing w:val="-1"/>
                <w:sz w:val="21"/>
              </w:rPr>
              <w:t>1.00</w:t>
            </w:r>
          </w:p>
        </w:tc>
      </w:tr>
      <w:tr>
        <w:trPr>
          <w:trHeight w:val="358" w:hRule="exact"/>
        </w:trPr>
        <w:tc>
          <w:tcPr>
            <w:tcW w:w="392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大兴安岭农村商业银行股份有限公司</w:t>
            </w:r>
            <w:r>
              <w:rPr>
                <w:rFonts w:ascii="宋体" w:hAnsi="宋体" w:cs="宋体" w:eastAsia="宋体" w:hint="default"/>
                <w:sz w:val="21"/>
                <w:szCs w:val="21"/>
              </w:rPr>
              <w:t> </w:t>
            </w:r>
          </w:p>
        </w:tc>
        <w:tc>
          <w:tcPr>
            <w:tcW w:w="241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11,000,000.00</w:t>
            </w:r>
          </w:p>
        </w:tc>
        <w:tc>
          <w:tcPr>
            <w:tcW w:w="27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11,000,000.00</w:t>
            </w:r>
          </w:p>
        </w:tc>
      </w:tr>
      <w:tr>
        <w:trPr>
          <w:trHeight w:val="358" w:hRule="exact"/>
        </w:trPr>
        <w:tc>
          <w:tcPr>
            <w:tcW w:w="392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黑龙江省克东腐乳有限公司</w:t>
            </w:r>
            <w:r>
              <w:rPr>
                <w:rFonts w:ascii="宋体" w:hAnsi="宋体" w:cs="宋体" w:eastAsia="宋体" w:hint="default"/>
                <w:sz w:val="21"/>
                <w:szCs w:val="21"/>
              </w:rPr>
              <w:t> </w:t>
            </w:r>
          </w:p>
        </w:tc>
        <w:tc>
          <w:tcPr>
            <w:tcW w:w="2417" w:type="dxa"/>
            <w:tcBorders>
              <w:top w:val="single" w:sz="4" w:space="0" w:color="41B7EE"/>
              <w:left w:val="single" w:sz="4" w:space="0" w:color="41B7EE"/>
              <w:bottom w:val="single" w:sz="4" w:space="0" w:color="41B7EE"/>
              <w:right w:val="single" w:sz="4" w:space="0" w:color="41B7EE"/>
            </w:tcBorders>
          </w:tcPr>
          <w:p>
            <w:pPr/>
          </w:p>
        </w:tc>
        <w:tc>
          <w:tcPr>
            <w:tcW w:w="27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9,258,492.06</w:t>
            </w:r>
          </w:p>
        </w:tc>
      </w:tr>
      <w:tr>
        <w:trPr>
          <w:trHeight w:val="355" w:hRule="exact"/>
        </w:trPr>
        <w:tc>
          <w:tcPr>
            <w:tcW w:w="392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上海北奉食品有限公司</w:t>
            </w:r>
            <w:r>
              <w:rPr>
                <w:rFonts w:ascii="宋体" w:hAnsi="宋体" w:cs="宋体" w:eastAsia="宋体" w:hint="default"/>
                <w:sz w:val="21"/>
                <w:szCs w:val="21"/>
              </w:rPr>
              <w:t> </w:t>
            </w:r>
          </w:p>
        </w:tc>
        <w:tc>
          <w:tcPr>
            <w:tcW w:w="241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1.00</w:t>
            </w:r>
          </w:p>
        </w:tc>
        <w:tc>
          <w:tcPr>
            <w:tcW w:w="27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1.00</w:t>
            </w:r>
          </w:p>
        </w:tc>
      </w:tr>
      <w:tr>
        <w:trPr>
          <w:trHeight w:val="358" w:hRule="exact"/>
        </w:trPr>
        <w:tc>
          <w:tcPr>
            <w:tcW w:w="392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哈尔滨益源康科技开发有限公司</w:t>
            </w:r>
            <w:r>
              <w:rPr>
                <w:rFonts w:ascii="宋体" w:hAnsi="宋体" w:cs="宋体" w:eastAsia="宋体" w:hint="default"/>
                <w:sz w:val="21"/>
                <w:szCs w:val="21"/>
              </w:rPr>
              <w:t> </w:t>
            </w:r>
          </w:p>
        </w:tc>
        <w:tc>
          <w:tcPr>
            <w:tcW w:w="241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1.00</w:t>
            </w:r>
          </w:p>
        </w:tc>
        <w:tc>
          <w:tcPr>
            <w:tcW w:w="27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right="103"/>
              <w:jc w:val="right"/>
              <w:rPr>
                <w:rFonts w:ascii="Arial" w:hAnsi="Arial" w:cs="Arial" w:eastAsia="Arial" w:hint="default"/>
                <w:sz w:val="21"/>
                <w:szCs w:val="21"/>
              </w:rPr>
            </w:pPr>
            <w:r>
              <w:rPr>
                <w:rFonts w:ascii="Arial"/>
                <w:spacing w:val="-1"/>
                <w:sz w:val="21"/>
              </w:rPr>
              <w:t>1.00</w:t>
            </w:r>
          </w:p>
        </w:tc>
      </w:tr>
      <w:tr>
        <w:trPr>
          <w:trHeight w:val="358" w:hRule="exact"/>
        </w:trPr>
        <w:tc>
          <w:tcPr>
            <w:tcW w:w="392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北大荒青枫亚麻纺织有限公司</w:t>
            </w:r>
            <w:r>
              <w:rPr>
                <w:rFonts w:ascii="宋体" w:hAnsi="宋体" w:cs="宋体" w:eastAsia="宋体" w:hint="default"/>
                <w:sz w:val="21"/>
                <w:szCs w:val="21"/>
              </w:rPr>
              <w:t> </w:t>
            </w:r>
          </w:p>
        </w:tc>
        <w:tc>
          <w:tcPr>
            <w:tcW w:w="241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1.00</w:t>
            </w:r>
          </w:p>
        </w:tc>
        <w:tc>
          <w:tcPr>
            <w:tcW w:w="27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1.00</w:t>
            </w:r>
          </w:p>
        </w:tc>
      </w:tr>
      <w:tr>
        <w:trPr>
          <w:trHeight w:val="385" w:hRule="exact"/>
        </w:trPr>
        <w:tc>
          <w:tcPr>
            <w:tcW w:w="3923"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5"/>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17"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11,000,004.00</w:t>
            </w:r>
          </w:p>
        </w:tc>
        <w:tc>
          <w:tcPr>
            <w:tcW w:w="2710"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20,258,496.06</w:t>
            </w:r>
          </w:p>
        </w:tc>
      </w:tr>
    </w:tbl>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360" w:bottom="1380" w:left="1040" w:right="1520"/>
        </w:sectPr>
      </w:pPr>
    </w:p>
    <w:p>
      <w:pPr>
        <w:pStyle w:val="Heading2"/>
        <w:spacing w:line="240" w:lineRule="auto" w:before="36"/>
        <w:ind w:left="236" w:right="0"/>
        <w:jc w:val="left"/>
        <w:rPr>
          <w:rFonts w:ascii="宋体" w:hAnsi="宋体" w:cs="宋体" w:eastAsia="宋体" w:hint="default"/>
          <w:b w:val="0"/>
          <w:bCs w:val="0"/>
        </w:rPr>
      </w:pPr>
      <w:r>
        <w:rPr>
          <w:rFonts w:ascii="宋体" w:hAnsi="宋体" w:cs="宋体" w:eastAsia="宋体" w:hint="default"/>
        </w:rPr>
        <w:t>(2).</w:t>
      </w:r>
      <w:r>
        <w:rPr/>
        <w:t>非交易性权益工具投资的情况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040" w:right="1520"/>
          <w:cols w:num="2" w:equalWidth="0">
            <w:col w:w="3512" w:space="3010"/>
            <w:col w:w="282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146"/>
        <w:gridCol w:w="1143"/>
        <w:gridCol w:w="1140"/>
        <w:gridCol w:w="713"/>
        <w:gridCol w:w="1140"/>
        <w:gridCol w:w="1284"/>
        <w:gridCol w:w="1325"/>
      </w:tblGrid>
      <w:tr>
        <w:trPr>
          <w:trHeight w:val="970" w:hRule="exact"/>
        </w:trPr>
        <w:tc>
          <w:tcPr>
            <w:tcW w:w="2146"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2" w:right="0"/>
              <w:jc w:val="center"/>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sz w:val="20"/>
                <w:szCs w:val="20"/>
              </w:rPr>
              <w:t> </w:t>
            </w:r>
          </w:p>
        </w:tc>
        <w:tc>
          <w:tcPr>
            <w:tcW w:w="1143"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177"/>
              <w:ind w:left="163" w:right="68" w:hanging="101"/>
              <w:jc w:val="left"/>
              <w:rPr>
                <w:rFonts w:ascii="宋体" w:hAnsi="宋体" w:cs="宋体" w:eastAsia="宋体" w:hint="default"/>
                <w:sz w:val="20"/>
                <w:szCs w:val="20"/>
              </w:rPr>
            </w:pPr>
            <w:r>
              <w:rPr>
                <w:rFonts w:ascii="宋体" w:hAnsi="宋体" w:cs="宋体" w:eastAsia="宋体" w:hint="default"/>
                <w:sz w:val="20"/>
                <w:szCs w:val="20"/>
              </w:rPr>
              <w:t>本期确认的</w:t>
            </w:r>
            <w:r>
              <w:rPr>
                <w:rFonts w:ascii="宋体" w:hAnsi="宋体" w:cs="宋体" w:eastAsia="宋体" w:hint="default"/>
                <w:w w:val="99"/>
                <w:sz w:val="20"/>
                <w:szCs w:val="20"/>
              </w:rPr>
              <w:t> </w:t>
            </w:r>
            <w:r>
              <w:rPr>
                <w:rFonts w:ascii="宋体" w:hAnsi="宋体" w:cs="宋体" w:eastAsia="宋体" w:hint="default"/>
                <w:sz w:val="20"/>
                <w:szCs w:val="20"/>
              </w:rPr>
              <w:t>股利收入</w:t>
            </w:r>
            <w:r>
              <w:rPr>
                <w:rFonts w:ascii="宋体" w:hAnsi="宋体" w:cs="宋体" w:eastAsia="宋体" w:hint="default"/>
                <w:sz w:val="20"/>
                <w:szCs w:val="20"/>
              </w:rPr>
              <w:t> </w:t>
            </w:r>
          </w:p>
        </w:tc>
        <w:tc>
          <w:tcPr>
            <w:tcW w:w="1140"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94" w:right="0"/>
              <w:jc w:val="center"/>
              <w:rPr>
                <w:rFonts w:ascii="宋体" w:hAnsi="宋体" w:cs="宋体" w:eastAsia="宋体" w:hint="default"/>
                <w:sz w:val="20"/>
                <w:szCs w:val="20"/>
              </w:rPr>
            </w:pPr>
            <w:r>
              <w:rPr>
                <w:rFonts w:ascii="宋体" w:hAnsi="宋体" w:cs="宋体" w:eastAsia="宋体" w:hint="default"/>
                <w:sz w:val="20"/>
                <w:szCs w:val="20"/>
              </w:rPr>
              <w:t>累计利得</w:t>
            </w:r>
            <w:r>
              <w:rPr>
                <w:rFonts w:ascii="宋体" w:hAnsi="宋体" w:cs="宋体" w:eastAsia="宋体" w:hint="default"/>
                <w:sz w:val="20"/>
                <w:szCs w:val="20"/>
              </w:rPr>
              <w:t> </w:t>
            </w:r>
          </w:p>
        </w:tc>
        <w:tc>
          <w:tcPr>
            <w:tcW w:w="713"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177"/>
              <w:ind w:left="151" w:right="49"/>
              <w:jc w:val="left"/>
              <w:rPr>
                <w:rFonts w:ascii="宋体" w:hAnsi="宋体" w:cs="宋体" w:eastAsia="宋体" w:hint="default"/>
                <w:sz w:val="20"/>
                <w:szCs w:val="20"/>
              </w:rPr>
            </w:pPr>
            <w:r>
              <w:rPr>
                <w:rFonts w:ascii="宋体" w:hAnsi="宋体" w:cs="宋体" w:eastAsia="宋体" w:hint="default"/>
                <w:sz w:val="20"/>
                <w:szCs w:val="20"/>
              </w:rPr>
              <w:t>累计</w:t>
            </w:r>
            <w:r>
              <w:rPr>
                <w:rFonts w:ascii="宋体" w:hAnsi="宋体" w:cs="宋体" w:eastAsia="宋体" w:hint="default"/>
                <w:w w:val="99"/>
                <w:sz w:val="20"/>
                <w:szCs w:val="20"/>
              </w:rPr>
              <w:t> </w:t>
            </w:r>
            <w:r>
              <w:rPr>
                <w:rFonts w:ascii="宋体" w:hAnsi="宋体" w:cs="宋体" w:eastAsia="宋体" w:hint="default"/>
                <w:sz w:val="20"/>
                <w:szCs w:val="20"/>
              </w:rPr>
              <w:t>损失</w:t>
            </w:r>
            <w:r>
              <w:rPr>
                <w:rFonts w:ascii="宋体" w:hAnsi="宋体" w:cs="宋体" w:eastAsia="宋体" w:hint="default"/>
                <w:sz w:val="20"/>
                <w:szCs w:val="20"/>
              </w:rPr>
              <w:t> </w:t>
            </w:r>
          </w:p>
        </w:tc>
        <w:tc>
          <w:tcPr>
            <w:tcW w:w="1140" w:type="dxa"/>
            <w:tcBorders>
              <w:top w:val="single" w:sz="23" w:space="0" w:color="41B7EE"/>
              <w:left w:val="single" w:sz="4" w:space="0" w:color="41B7EE"/>
              <w:bottom w:val="single" w:sz="4" w:space="0" w:color="41B7EE"/>
              <w:right w:val="single" w:sz="4" w:space="0" w:color="41B7EE"/>
            </w:tcBorders>
          </w:tcPr>
          <w:p>
            <w:pPr>
              <w:pStyle w:val="TableParagraph"/>
              <w:spacing w:line="237" w:lineRule="auto" w:before="70"/>
              <w:ind w:left="91" w:right="-7"/>
              <w:jc w:val="both"/>
              <w:rPr>
                <w:rFonts w:ascii="宋体" w:hAnsi="宋体" w:cs="宋体" w:eastAsia="宋体" w:hint="default"/>
                <w:sz w:val="19"/>
                <w:szCs w:val="19"/>
              </w:rPr>
            </w:pPr>
            <w:r>
              <w:rPr>
                <w:rFonts w:ascii="宋体" w:hAnsi="宋体" w:cs="宋体" w:eastAsia="宋体" w:hint="default"/>
                <w:sz w:val="19"/>
                <w:szCs w:val="19"/>
              </w:rPr>
              <w:t>其他综合收</w:t>
            </w:r>
            <w:r>
              <w:rPr>
                <w:rFonts w:ascii="宋体" w:hAnsi="宋体" w:cs="宋体" w:eastAsia="宋体" w:hint="default"/>
                <w:w w:val="99"/>
                <w:sz w:val="19"/>
                <w:szCs w:val="19"/>
              </w:rPr>
              <w:t> </w:t>
            </w:r>
            <w:r>
              <w:rPr>
                <w:rFonts w:ascii="宋体" w:hAnsi="宋体" w:cs="宋体" w:eastAsia="宋体" w:hint="default"/>
                <w:sz w:val="19"/>
                <w:szCs w:val="19"/>
              </w:rPr>
              <w:t>益转入留存</w:t>
            </w:r>
            <w:r>
              <w:rPr>
                <w:rFonts w:ascii="宋体" w:hAnsi="宋体" w:cs="宋体" w:eastAsia="宋体" w:hint="default"/>
                <w:w w:val="99"/>
                <w:sz w:val="19"/>
                <w:szCs w:val="19"/>
              </w:rPr>
              <w:t> </w:t>
            </w:r>
            <w:r>
              <w:rPr>
                <w:rFonts w:ascii="宋体" w:hAnsi="宋体" w:cs="宋体" w:eastAsia="宋体" w:hint="default"/>
                <w:sz w:val="19"/>
                <w:szCs w:val="19"/>
              </w:rPr>
              <w:t>收益的金额</w:t>
            </w:r>
            <w:r>
              <w:rPr>
                <w:rFonts w:ascii="宋体" w:hAnsi="宋体" w:cs="宋体" w:eastAsia="宋体" w:hint="default"/>
                <w:sz w:val="19"/>
                <w:szCs w:val="19"/>
              </w:rPr>
              <w:t> </w:t>
            </w:r>
          </w:p>
        </w:tc>
        <w:tc>
          <w:tcPr>
            <w:tcW w:w="1284" w:type="dxa"/>
            <w:tcBorders>
              <w:top w:val="single" w:sz="23" w:space="0" w:color="41B7EE"/>
              <w:left w:val="single" w:sz="4" w:space="0" w:color="41B7EE"/>
              <w:bottom w:val="single" w:sz="4" w:space="0" w:color="41B7EE"/>
              <w:right w:val="single" w:sz="4" w:space="0" w:color="41B7EE"/>
            </w:tcBorders>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pacing w:val="-12"/>
                <w:sz w:val="18"/>
                <w:szCs w:val="18"/>
              </w:rPr>
              <w:t>指定为以公允价</w:t>
            </w:r>
            <w:r>
              <w:rPr>
                <w:rFonts w:ascii="宋体" w:hAnsi="宋体" w:cs="宋体" w:eastAsia="宋体" w:hint="default"/>
                <w:sz w:val="18"/>
                <w:szCs w:val="18"/>
              </w:rPr>
            </w:r>
          </w:p>
          <w:p>
            <w:pPr>
              <w:pStyle w:val="TableParagraph"/>
              <w:spacing w:line="237" w:lineRule="auto"/>
              <w:ind w:left="50" w:right="47"/>
              <w:jc w:val="center"/>
              <w:rPr>
                <w:rFonts w:ascii="宋体" w:hAnsi="宋体" w:cs="宋体" w:eastAsia="宋体" w:hint="default"/>
                <w:sz w:val="18"/>
                <w:szCs w:val="18"/>
              </w:rPr>
            </w:pPr>
            <w:r>
              <w:rPr>
                <w:rFonts w:ascii="宋体" w:hAnsi="宋体" w:cs="宋体" w:eastAsia="宋体" w:hint="default"/>
                <w:spacing w:val="-12"/>
                <w:sz w:val="18"/>
                <w:szCs w:val="18"/>
              </w:rPr>
              <w:t>值计量且其变动 计入其他综合收 益的原因</w:t>
            </w:r>
            <w:r>
              <w:rPr>
                <w:rFonts w:ascii="宋体" w:hAnsi="宋体" w:cs="宋体" w:eastAsia="宋体" w:hint="default"/>
                <w:sz w:val="18"/>
                <w:szCs w:val="18"/>
              </w:rPr>
              <w:t> </w:t>
            </w:r>
          </w:p>
        </w:tc>
        <w:tc>
          <w:tcPr>
            <w:tcW w:w="1325" w:type="dxa"/>
            <w:tcBorders>
              <w:top w:val="single" w:sz="23" w:space="0" w:color="41B7EE"/>
              <w:left w:val="single" w:sz="4" w:space="0" w:color="41B7EE"/>
              <w:bottom w:val="single" w:sz="4" w:space="0" w:color="41B7EE"/>
              <w:right w:val="nil" w:sz="6" w:space="0" w:color="auto"/>
            </w:tcBorders>
          </w:tcPr>
          <w:p>
            <w:pPr>
              <w:pStyle w:val="TableParagraph"/>
              <w:spacing w:line="237" w:lineRule="auto" w:before="70"/>
              <w:ind w:left="86" w:right="94"/>
              <w:jc w:val="center"/>
              <w:rPr>
                <w:rFonts w:ascii="宋体" w:hAnsi="宋体" w:cs="宋体" w:eastAsia="宋体" w:hint="default"/>
                <w:sz w:val="19"/>
                <w:szCs w:val="19"/>
              </w:rPr>
            </w:pPr>
            <w:r>
              <w:rPr>
                <w:rFonts w:ascii="宋体" w:hAnsi="宋体" w:cs="宋体" w:eastAsia="宋体" w:hint="default"/>
                <w:sz w:val="19"/>
                <w:szCs w:val="19"/>
              </w:rPr>
              <w:t>其他综合收益</w:t>
            </w:r>
            <w:r>
              <w:rPr>
                <w:rFonts w:ascii="宋体" w:hAnsi="宋体" w:cs="宋体" w:eastAsia="宋体" w:hint="default"/>
                <w:w w:val="99"/>
                <w:sz w:val="19"/>
                <w:szCs w:val="19"/>
              </w:rPr>
              <w:t> </w:t>
            </w:r>
            <w:r>
              <w:rPr>
                <w:rFonts w:ascii="宋体" w:hAnsi="宋体" w:cs="宋体" w:eastAsia="宋体" w:hint="default"/>
                <w:sz w:val="19"/>
                <w:szCs w:val="19"/>
              </w:rPr>
              <w:t>转入留存收益</w:t>
            </w:r>
            <w:r>
              <w:rPr>
                <w:rFonts w:ascii="宋体" w:hAnsi="宋体" w:cs="宋体" w:eastAsia="宋体" w:hint="default"/>
                <w:w w:val="99"/>
                <w:sz w:val="19"/>
                <w:szCs w:val="19"/>
              </w:rPr>
              <w:t> </w:t>
            </w:r>
            <w:r>
              <w:rPr>
                <w:rFonts w:ascii="宋体" w:hAnsi="宋体" w:cs="宋体" w:eastAsia="宋体" w:hint="default"/>
                <w:sz w:val="19"/>
                <w:szCs w:val="19"/>
              </w:rPr>
              <w:t>的原因</w:t>
            </w:r>
            <w:r>
              <w:rPr>
                <w:rFonts w:ascii="宋体" w:hAnsi="宋体" w:cs="宋体" w:eastAsia="宋体" w:hint="default"/>
                <w:sz w:val="19"/>
                <w:szCs w:val="19"/>
              </w:rPr>
              <w:t> </w:t>
            </w:r>
          </w:p>
        </w:tc>
      </w:tr>
      <w:tr>
        <w:trPr>
          <w:trHeight w:val="528" w:hRule="exact"/>
        </w:trPr>
        <w:tc>
          <w:tcPr>
            <w:tcW w:w="2146" w:type="dxa"/>
            <w:tcBorders>
              <w:top w:val="single" w:sz="4" w:space="0" w:color="41B7EE"/>
              <w:left w:val="nil" w:sz="6" w:space="0" w:color="auto"/>
              <w:bottom w:val="single" w:sz="4" w:space="0" w:color="41B7EE"/>
              <w:right w:val="single" w:sz="4" w:space="0" w:color="41B7EE"/>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z w:val="20"/>
                <w:szCs w:val="20"/>
              </w:rPr>
              <w:t>呼伦贝尔市红海种业科</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技有限公司</w:t>
            </w:r>
            <w:r>
              <w:rPr>
                <w:rFonts w:ascii="宋体" w:hAnsi="宋体" w:cs="宋体" w:eastAsia="宋体" w:hint="default"/>
                <w:sz w:val="20"/>
                <w:szCs w:val="20"/>
              </w:rPr>
              <w:t> </w:t>
            </w:r>
          </w:p>
        </w:tc>
        <w:tc>
          <w:tcPr>
            <w:tcW w:w="1143" w:type="dxa"/>
            <w:tcBorders>
              <w:top w:val="single" w:sz="4" w:space="0" w:color="41B7EE"/>
              <w:left w:val="single" w:sz="4" w:space="0" w:color="41B7EE"/>
              <w:bottom w:val="single" w:sz="4" w:space="0" w:color="41B7EE"/>
              <w:right w:val="single" w:sz="4" w:space="0" w:color="41B7EE"/>
            </w:tcBorders>
          </w:tcPr>
          <w:p>
            <w:pPr/>
          </w:p>
        </w:tc>
        <w:tc>
          <w:tcPr>
            <w:tcW w:w="1140" w:type="dxa"/>
            <w:tcBorders>
              <w:top w:val="single" w:sz="4" w:space="0" w:color="41B7EE"/>
              <w:left w:val="single" w:sz="4" w:space="0" w:color="41B7EE"/>
              <w:bottom w:val="single" w:sz="4" w:space="0" w:color="41B7EE"/>
              <w:right w:val="single" w:sz="4" w:space="0" w:color="41B7EE"/>
            </w:tcBorders>
          </w:tcPr>
          <w:p>
            <w:pPr/>
          </w:p>
        </w:tc>
        <w:tc>
          <w:tcPr>
            <w:tcW w:w="713" w:type="dxa"/>
            <w:tcBorders>
              <w:top w:val="single" w:sz="4" w:space="0" w:color="41B7EE"/>
              <w:left w:val="single" w:sz="4" w:space="0" w:color="41B7EE"/>
              <w:bottom w:val="single" w:sz="4" w:space="0" w:color="41B7EE"/>
              <w:right w:val="single" w:sz="4" w:space="0" w:color="41B7EE"/>
            </w:tcBorders>
          </w:tcPr>
          <w:p>
            <w:pPr/>
          </w:p>
        </w:tc>
        <w:tc>
          <w:tcPr>
            <w:tcW w:w="1140" w:type="dxa"/>
            <w:tcBorders>
              <w:top w:val="single" w:sz="4" w:space="0" w:color="41B7EE"/>
              <w:left w:val="single" w:sz="4" w:space="0" w:color="41B7EE"/>
              <w:bottom w:val="single" w:sz="4" w:space="0" w:color="41B7EE"/>
              <w:right w:val="single" w:sz="4" w:space="0" w:color="41B7EE"/>
            </w:tcBorders>
          </w:tcPr>
          <w:p>
            <w:pPr/>
          </w:p>
        </w:tc>
        <w:tc>
          <w:tcPr>
            <w:tcW w:w="1284" w:type="dxa"/>
            <w:tcBorders>
              <w:top w:val="single" w:sz="4" w:space="0" w:color="41B7EE"/>
              <w:left w:val="single" w:sz="4" w:space="0" w:color="41B7EE"/>
              <w:bottom w:val="single" w:sz="4" w:space="0" w:color="41B7EE"/>
              <w:right w:val="single" w:sz="4" w:space="0" w:color="41B7EE"/>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非交易性权益</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投资</w:t>
            </w:r>
            <w:r>
              <w:rPr>
                <w:rFonts w:ascii="宋体" w:hAnsi="宋体" w:cs="宋体" w:eastAsia="宋体" w:hint="default"/>
                <w:sz w:val="20"/>
                <w:szCs w:val="20"/>
              </w:rPr>
              <w:t> </w:t>
            </w:r>
          </w:p>
        </w:tc>
        <w:tc>
          <w:tcPr>
            <w:tcW w:w="132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97"/>
              <w:ind w:left="24" w:right="0"/>
              <w:jc w:val="left"/>
              <w:rPr>
                <w:rFonts w:ascii="宋体" w:hAnsi="宋体" w:cs="宋体" w:eastAsia="宋体" w:hint="default"/>
                <w:sz w:val="20"/>
                <w:szCs w:val="20"/>
              </w:rPr>
            </w:pPr>
            <w:r>
              <w:rPr>
                <w:rFonts w:ascii="宋体"/>
                <w:w w:val="99"/>
                <w:sz w:val="20"/>
              </w:rPr>
              <w:t> </w:t>
            </w:r>
            <w:r>
              <w:rPr>
                <w:rFonts w:ascii="宋体"/>
                <w:sz w:val="20"/>
              </w:rPr>
            </w:r>
          </w:p>
        </w:tc>
      </w:tr>
      <w:tr>
        <w:trPr>
          <w:trHeight w:val="531" w:hRule="exact"/>
        </w:trPr>
        <w:tc>
          <w:tcPr>
            <w:tcW w:w="2146" w:type="dxa"/>
            <w:tcBorders>
              <w:top w:val="single" w:sz="4" w:space="0" w:color="41B7EE"/>
              <w:left w:val="nil" w:sz="6" w:space="0" w:color="auto"/>
              <w:bottom w:val="single" w:sz="4" w:space="0" w:color="41B7EE"/>
              <w:right w:val="single" w:sz="4" w:space="0" w:color="41B7EE"/>
            </w:tcBorders>
          </w:tcPr>
          <w:p>
            <w:pPr>
              <w:pStyle w:val="TableParagraph"/>
              <w:spacing w:line="231" w:lineRule="exact"/>
              <w:ind w:left="28" w:right="0"/>
              <w:jc w:val="left"/>
              <w:rPr>
                <w:rFonts w:ascii="宋体" w:hAnsi="宋体" w:cs="宋体" w:eastAsia="宋体" w:hint="default"/>
                <w:sz w:val="20"/>
                <w:szCs w:val="20"/>
              </w:rPr>
            </w:pPr>
            <w:r>
              <w:rPr>
                <w:rFonts w:ascii="宋体" w:hAnsi="宋体" w:cs="宋体" w:eastAsia="宋体" w:hint="default"/>
                <w:sz w:val="20"/>
                <w:szCs w:val="20"/>
              </w:rPr>
              <w:t>大兴安岭农村商业银行</w:t>
            </w:r>
          </w:p>
          <w:p>
            <w:pPr>
              <w:pStyle w:val="TableParagraph"/>
              <w:spacing w:line="261" w:lineRule="exact"/>
              <w:ind w:left="28" w:right="0"/>
              <w:jc w:val="left"/>
              <w:rPr>
                <w:rFonts w:ascii="宋体" w:hAnsi="宋体" w:cs="宋体" w:eastAsia="宋体" w:hint="default"/>
                <w:sz w:val="20"/>
                <w:szCs w:val="20"/>
              </w:rPr>
            </w:pPr>
            <w:r>
              <w:rPr>
                <w:rFonts w:ascii="宋体" w:hAnsi="宋体" w:cs="宋体" w:eastAsia="宋体" w:hint="default"/>
                <w:sz w:val="20"/>
                <w:szCs w:val="20"/>
              </w:rPr>
              <w:t>股份有限公司</w:t>
            </w:r>
            <w:r>
              <w:rPr>
                <w:rFonts w:ascii="宋体" w:hAnsi="宋体" w:cs="宋体" w:eastAsia="宋体" w:hint="default"/>
                <w:sz w:val="20"/>
                <w:szCs w:val="20"/>
              </w:rPr>
              <w:t> </w:t>
            </w:r>
          </w:p>
        </w:tc>
        <w:tc>
          <w:tcPr>
            <w:tcW w:w="114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34"/>
              <w:ind w:left="100" w:right="0"/>
              <w:jc w:val="left"/>
              <w:rPr>
                <w:rFonts w:ascii="Arial" w:hAnsi="Arial" w:cs="Arial" w:eastAsia="Arial" w:hint="default"/>
                <w:sz w:val="21"/>
                <w:szCs w:val="21"/>
              </w:rPr>
            </w:pPr>
            <w:r>
              <w:rPr>
                <w:rFonts w:ascii="Arial"/>
                <w:spacing w:val="-2"/>
                <w:w w:val="85"/>
                <w:sz w:val="21"/>
              </w:rPr>
              <w:t>1,210,000.00</w:t>
            </w:r>
            <w:r>
              <w:rPr>
                <w:rFonts w:ascii="Arial"/>
                <w:sz w:val="21"/>
              </w:rPr>
            </w:r>
          </w:p>
        </w:tc>
        <w:tc>
          <w:tcPr>
            <w:tcW w:w="114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34"/>
              <w:ind w:left="78" w:right="0"/>
              <w:jc w:val="center"/>
              <w:rPr>
                <w:rFonts w:ascii="Arial" w:hAnsi="Arial" w:cs="Arial" w:eastAsia="Arial" w:hint="default"/>
                <w:sz w:val="21"/>
                <w:szCs w:val="21"/>
              </w:rPr>
            </w:pPr>
            <w:r>
              <w:rPr>
                <w:rFonts w:ascii="Arial"/>
                <w:spacing w:val="-2"/>
                <w:w w:val="80"/>
                <w:sz w:val="21"/>
              </w:rPr>
              <w:t>1,210,000.00</w:t>
            </w:r>
            <w:r>
              <w:rPr>
                <w:rFonts w:ascii="Arial"/>
                <w:sz w:val="21"/>
              </w:rPr>
            </w:r>
          </w:p>
        </w:tc>
        <w:tc>
          <w:tcPr>
            <w:tcW w:w="713" w:type="dxa"/>
            <w:tcBorders>
              <w:top w:val="single" w:sz="4" w:space="0" w:color="41B7EE"/>
              <w:left w:val="single" w:sz="4" w:space="0" w:color="41B7EE"/>
              <w:bottom w:val="single" w:sz="4" w:space="0" w:color="41B7EE"/>
              <w:right w:val="single" w:sz="4" w:space="0" w:color="41B7EE"/>
            </w:tcBorders>
          </w:tcPr>
          <w:p>
            <w:pPr/>
          </w:p>
        </w:tc>
        <w:tc>
          <w:tcPr>
            <w:tcW w:w="1140" w:type="dxa"/>
            <w:tcBorders>
              <w:top w:val="single" w:sz="4" w:space="0" w:color="41B7EE"/>
              <w:left w:val="single" w:sz="4" w:space="0" w:color="41B7EE"/>
              <w:bottom w:val="single" w:sz="4" w:space="0" w:color="41B7EE"/>
              <w:right w:val="single" w:sz="4" w:space="0" w:color="41B7EE"/>
            </w:tcBorders>
          </w:tcPr>
          <w:p>
            <w:pPr/>
          </w:p>
        </w:tc>
        <w:tc>
          <w:tcPr>
            <w:tcW w:w="1284" w:type="dxa"/>
            <w:tcBorders>
              <w:top w:val="single" w:sz="4" w:space="0" w:color="41B7EE"/>
              <w:left w:val="single" w:sz="4" w:space="0" w:color="41B7EE"/>
              <w:bottom w:val="single" w:sz="4" w:space="0" w:color="41B7EE"/>
              <w:right w:val="single" w:sz="4" w:space="0" w:color="41B7EE"/>
            </w:tcBorders>
          </w:tcPr>
          <w:p>
            <w:pPr>
              <w:pStyle w:val="TableParagraph"/>
              <w:spacing w:line="231" w:lineRule="exact"/>
              <w:ind w:left="23" w:right="0"/>
              <w:jc w:val="left"/>
              <w:rPr>
                <w:rFonts w:ascii="宋体" w:hAnsi="宋体" w:cs="宋体" w:eastAsia="宋体" w:hint="default"/>
                <w:sz w:val="20"/>
                <w:szCs w:val="20"/>
              </w:rPr>
            </w:pPr>
            <w:r>
              <w:rPr>
                <w:rFonts w:ascii="宋体" w:hAnsi="宋体" w:cs="宋体" w:eastAsia="宋体" w:hint="default"/>
                <w:sz w:val="20"/>
                <w:szCs w:val="20"/>
              </w:rPr>
              <w:t>非交易性权益</w:t>
            </w:r>
          </w:p>
          <w:p>
            <w:pPr>
              <w:pStyle w:val="TableParagraph"/>
              <w:spacing w:line="261" w:lineRule="exact"/>
              <w:ind w:left="23" w:right="0"/>
              <w:jc w:val="left"/>
              <w:rPr>
                <w:rFonts w:ascii="宋体" w:hAnsi="宋体" w:cs="宋体" w:eastAsia="宋体" w:hint="default"/>
                <w:sz w:val="20"/>
                <w:szCs w:val="20"/>
              </w:rPr>
            </w:pPr>
            <w:r>
              <w:rPr>
                <w:rFonts w:ascii="宋体" w:hAnsi="宋体" w:cs="宋体" w:eastAsia="宋体" w:hint="default"/>
                <w:sz w:val="20"/>
                <w:szCs w:val="20"/>
              </w:rPr>
              <w:t>投资</w:t>
            </w:r>
            <w:r>
              <w:rPr>
                <w:rFonts w:ascii="宋体" w:hAnsi="宋体" w:cs="宋体" w:eastAsia="宋体" w:hint="default"/>
                <w:sz w:val="20"/>
                <w:szCs w:val="20"/>
              </w:rPr>
              <w:t> </w:t>
            </w:r>
          </w:p>
        </w:tc>
        <w:tc>
          <w:tcPr>
            <w:tcW w:w="132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00"/>
              <w:ind w:left="24" w:right="0"/>
              <w:jc w:val="left"/>
              <w:rPr>
                <w:rFonts w:ascii="宋体" w:hAnsi="宋体" w:cs="宋体" w:eastAsia="宋体" w:hint="default"/>
                <w:sz w:val="20"/>
                <w:szCs w:val="20"/>
              </w:rPr>
            </w:pPr>
            <w:r>
              <w:rPr>
                <w:rFonts w:ascii="宋体"/>
                <w:w w:val="99"/>
                <w:sz w:val="20"/>
              </w:rPr>
              <w:t> </w:t>
            </w:r>
            <w:r>
              <w:rPr>
                <w:rFonts w:ascii="宋体"/>
                <w:sz w:val="20"/>
              </w:rPr>
            </w:r>
          </w:p>
        </w:tc>
      </w:tr>
      <w:tr>
        <w:trPr>
          <w:trHeight w:val="710" w:hRule="exact"/>
        </w:trPr>
        <w:tc>
          <w:tcPr>
            <w:tcW w:w="2146" w:type="dxa"/>
            <w:tcBorders>
              <w:top w:val="single" w:sz="4" w:space="0" w:color="41B7EE"/>
              <w:left w:val="nil" w:sz="6" w:space="0" w:color="auto"/>
              <w:bottom w:val="single" w:sz="4" w:space="0" w:color="41B7EE"/>
              <w:right w:val="single" w:sz="4" w:space="0" w:color="41B7EE"/>
            </w:tcBorders>
          </w:tcPr>
          <w:p>
            <w:pPr>
              <w:pStyle w:val="TableParagraph"/>
              <w:spacing w:line="260" w:lineRule="exact" w:before="84"/>
              <w:ind w:left="28" w:right="114"/>
              <w:jc w:val="left"/>
              <w:rPr>
                <w:rFonts w:ascii="宋体" w:hAnsi="宋体" w:cs="宋体" w:eastAsia="宋体" w:hint="default"/>
                <w:sz w:val="20"/>
                <w:szCs w:val="20"/>
              </w:rPr>
            </w:pPr>
            <w:r>
              <w:rPr>
                <w:rFonts w:ascii="宋体" w:hAnsi="宋体" w:cs="宋体" w:eastAsia="宋体" w:hint="default"/>
                <w:sz w:val="20"/>
                <w:szCs w:val="20"/>
              </w:rPr>
              <w:t>黑龙江省克东腐乳有限</w:t>
            </w:r>
            <w:r>
              <w:rPr>
                <w:rFonts w:ascii="宋体" w:hAnsi="宋体" w:cs="宋体" w:eastAsia="宋体" w:hint="default"/>
                <w:w w:val="99"/>
                <w:sz w:val="20"/>
                <w:szCs w:val="20"/>
              </w:rPr>
              <w:t> </w:t>
            </w:r>
            <w:r>
              <w:rPr>
                <w:rFonts w:ascii="宋体" w:hAnsi="宋体" w:cs="宋体" w:eastAsia="宋体" w:hint="default"/>
                <w:sz w:val="20"/>
                <w:szCs w:val="20"/>
              </w:rPr>
              <w:t>公司</w:t>
            </w:r>
            <w:r>
              <w:rPr>
                <w:rFonts w:ascii="宋体" w:hAnsi="宋体" w:cs="宋体" w:eastAsia="宋体" w:hint="default"/>
                <w:sz w:val="20"/>
                <w:szCs w:val="20"/>
              </w:rPr>
              <w:t> </w:t>
            </w:r>
          </w:p>
        </w:tc>
        <w:tc>
          <w:tcPr>
            <w:tcW w:w="1143" w:type="dxa"/>
            <w:tcBorders>
              <w:top w:val="single" w:sz="4" w:space="0" w:color="41B7EE"/>
              <w:left w:val="single" w:sz="4" w:space="0" w:color="41B7EE"/>
              <w:bottom w:val="single" w:sz="4" w:space="0" w:color="41B7EE"/>
              <w:right w:val="single" w:sz="4" w:space="0" w:color="41B7EE"/>
            </w:tcBorders>
          </w:tcPr>
          <w:p>
            <w:pPr/>
          </w:p>
        </w:tc>
        <w:tc>
          <w:tcPr>
            <w:tcW w:w="1140" w:type="dxa"/>
            <w:tcBorders>
              <w:top w:val="single" w:sz="4" w:space="0" w:color="41B7EE"/>
              <w:left w:val="single" w:sz="4" w:space="0" w:color="41B7EE"/>
              <w:bottom w:val="single" w:sz="4" w:space="0" w:color="41B7EE"/>
              <w:right w:val="single" w:sz="4" w:space="0" w:color="41B7EE"/>
            </w:tcBorders>
          </w:tcPr>
          <w:p>
            <w:pPr/>
          </w:p>
        </w:tc>
        <w:tc>
          <w:tcPr>
            <w:tcW w:w="713" w:type="dxa"/>
            <w:tcBorders>
              <w:top w:val="single" w:sz="4" w:space="0" w:color="41B7EE"/>
              <w:left w:val="single" w:sz="4" w:space="0" w:color="41B7EE"/>
              <w:bottom w:val="single" w:sz="4" w:space="0" w:color="41B7EE"/>
              <w:right w:val="single" w:sz="4" w:space="0" w:color="41B7EE"/>
            </w:tcBorders>
          </w:tcPr>
          <w:p>
            <w:pPr/>
          </w:p>
        </w:tc>
        <w:tc>
          <w:tcPr>
            <w:tcW w:w="114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90" w:right="0"/>
              <w:jc w:val="left"/>
              <w:rPr>
                <w:rFonts w:ascii="Arial" w:hAnsi="Arial" w:cs="Arial" w:eastAsia="Arial" w:hint="default"/>
                <w:sz w:val="21"/>
                <w:szCs w:val="21"/>
              </w:rPr>
            </w:pPr>
            <w:r>
              <w:rPr>
                <w:rFonts w:ascii="Arial"/>
                <w:w w:val="80"/>
                <w:sz w:val="21"/>
              </w:rPr>
              <w:t>-741,507.94</w:t>
            </w:r>
            <w:r>
              <w:rPr>
                <w:rFonts w:ascii="Arial"/>
                <w:sz w:val="21"/>
              </w:rPr>
            </w:r>
          </w:p>
        </w:tc>
        <w:tc>
          <w:tcPr>
            <w:tcW w:w="1284" w:type="dxa"/>
            <w:tcBorders>
              <w:top w:val="single" w:sz="4" w:space="0" w:color="41B7EE"/>
              <w:left w:val="single" w:sz="4" w:space="0" w:color="41B7EE"/>
              <w:bottom w:val="single" w:sz="4" w:space="0" w:color="41B7EE"/>
              <w:right w:val="single" w:sz="4" w:space="0" w:color="41B7EE"/>
            </w:tcBorders>
          </w:tcPr>
          <w:p>
            <w:pPr>
              <w:pStyle w:val="TableParagraph"/>
              <w:spacing w:line="260" w:lineRule="exact" w:before="84"/>
              <w:ind w:left="23" w:right="51"/>
              <w:jc w:val="left"/>
              <w:rPr>
                <w:rFonts w:ascii="宋体" w:hAnsi="宋体" w:cs="宋体" w:eastAsia="宋体" w:hint="default"/>
                <w:sz w:val="20"/>
                <w:szCs w:val="20"/>
              </w:rPr>
            </w:pPr>
            <w:r>
              <w:rPr>
                <w:rFonts w:ascii="宋体" w:hAnsi="宋体" w:cs="宋体" w:eastAsia="宋体" w:hint="default"/>
                <w:sz w:val="20"/>
                <w:szCs w:val="20"/>
              </w:rPr>
              <w:t>非交易性权益</w:t>
            </w:r>
            <w:r>
              <w:rPr>
                <w:rFonts w:ascii="宋体" w:hAnsi="宋体" w:cs="宋体" w:eastAsia="宋体" w:hint="default"/>
                <w:w w:val="99"/>
                <w:sz w:val="20"/>
                <w:szCs w:val="20"/>
              </w:rPr>
              <w:t> </w:t>
            </w:r>
            <w:r>
              <w:rPr>
                <w:rFonts w:ascii="宋体" w:hAnsi="宋体" w:cs="宋体" w:eastAsia="宋体" w:hint="default"/>
                <w:sz w:val="20"/>
                <w:szCs w:val="20"/>
              </w:rPr>
              <w:t>投资</w:t>
            </w:r>
            <w:r>
              <w:rPr>
                <w:rFonts w:ascii="宋体" w:hAnsi="宋体" w:cs="宋体" w:eastAsia="宋体" w:hint="default"/>
                <w:sz w:val="20"/>
                <w:szCs w:val="20"/>
              </w:rPr>
              <w:t> </w:t>
            </w:r>
          </w:p>
        </w:tc>
        <w:tc>
          <w:tcPr>
            <w:tcW w:w="1325" w:type="dxa"/>
            <w:tcBorders>
              <w:top w:val="single" w:sz="4" w:space="0" w:color="41B7EE"/>
              <w:left w:val="single" w:sz="4" w:space="0" w:color="41B7EE"/>
              <w:bottom w:val="single" w:sz="4" w:space="0" w:color="41B7EE"/>
              <w:right w:val="nil" w:sz="6" w:space="0" w:color="auto"/>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能够施加“重大</w:t>
            </w:r>
          </w:p>
          <w:p>
            <w:pPr>
              <w:pStyle w:val="TableParagraph"/>
              <w:spacing w:line="232" w:lineRule="exact" w:before="23"/>
              <w:ind w:left="24" w:right="33"/>
              <w:jc w:val="left"/>
              <w:rPr>
                <w:rFonts w:ascii="宋体" w:hAnsi="宋体" w:cs="宋体" w:eastAsia="宋体" w:hint="default"/>
                <w:sz w:val="18"/>
                <w:szCs w:val="18"/>
              </w:rPr>
            </w:pPr>
            <w:r>
              <w:rPr>
                <w:rFonts w:ascii="宋体" w:hAnsi="宋体" w:cs="宋体" w:eastAsia="宋体" w:hint="default"/>
                <w:sz w:val="18"/>
                <w:szCs w:val="18"/>
              </w:rPr>
              <w:t>影响”，改按权 益法核算</w:t>
            </w:r>
            <w:r>
              <w:rPr>
                <w:rFonts w:ascii="宋体" w:hAnsi="宋体" w:cs="宋体" w:eastAsia="宋体" w:hint="default"/>
                <w:sz w:val="18"/>
                <w:szCs w:val="18"/>
              </w:rPr>
              <w:t> </w:t>
            </w:r>
          </w:p>
        </w:tc>
      </w:tr>
      <w:tr>
        <w:trPr>
          <w:trHeight w:val="528" w:hRule="exact"/>
        </w:trPr>
        <w:tc>
          <w:tcPr>
            <w:tcW w:w="214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97"/>
              <w:ind w:left="15" w:right="0"/>
              <w:jc w:val="center"/>
              <w:rPr>
                <w:rFonts w:ascii="宋体" w:hAnsi="宋体" w:cs="宋体" w:eastAsia="宋体" w:hint="default"/>
                <w:sz w:val="20"/>
                <w:szCs w:val="20"/>
              </w:rPr>
            </w:pPr>
            <w:r>
              <w:rPr>
                <w:rFonts w:ascii="宋体" w:hAnsi="宋体" w:cs="宋体" w:eastAsia="宋体" w:hint="default"/>
                <w:sz w:val="20"/>
                <w:szCs w:val="20"/>
              </w:rPr>
              <w:t>上海北奉食品有限公司</w:t>
            </w:r>
            <w:r>
              <w:rPr>
                <w:rFonts w:ascii="宋体" w:hAnsi="宋体" w:cs="宋体" w:eastAsia="宋体" w:hint="default"/>
                <w:sz w:val="20"/>
                <w:szCs w:val="20"/>
              </w:rPr>
              <w:t> </w:t>
            </w:r>
          </w:p>
        </w:tc>
        <w:tc>
          <w:tcPr>
            <w:tcW w:w="1143" w:type="dxa"/>
            <w:tcBorders>
              <w:top w:val="single" w:sz="4" w:space="0" w:color="41B7EE"/>
              <w:left w:val="single" w:sz="4" w:space="0" w:color="41B7EE"/>
              <w:bottom w:val="single" w:sz="4" w:space="0" w:color="41B7EE"/>
              <w:right w:val="single" w:sz="4" w:space="0" w:color="41B7EE"/>
            </w:tcBorders>
          </w:tcPr>
          <w:p>
            <w:pPr/>
          </w:p>
        </w:tc>
        <w:tc>
          <w:tcPr>
            <w:tcW w:w="1140" w:type="dxa"/>
            <w:tcBorders>
              <w:top w:val="single" w:sz="4" w:space="0" w:color="41B7EE"/>
              <w:left w:val="single" w:sz="4" w:space="0" w:color="41B7EE"/>
              <w:bottom w:val="single" w:sz="4" w:space="0" w:color="41B7EE"/>
              <w:right w:val="single" w:sz="4" w:space="0" w:color="41B7EE"/>
            </w:tcBorders>
          </w:tcPr>
          <w:p>
            <w:pPr/>
          </w:p>
        </w:tc>
        <w:tc>
          <w:tcPr>
            <w:tcW w:w="713" w:type="dxa"/>
            <w:tcBorders>
              <w:top w:val="single" w:sz="4" w:space="0" w:color="41B7EE"/>
              <w:left w:val="single" w:sz="4" w:space="0" w:color="41B7EE"/>
              <w:bottom w:val="single" w:sz="4" w:space="0" w:color="41B7EE"/>
              <w:right w:val="single" w:sz="4" w:space="0" w:color="41B7EE"/>
            </w:tcBorders>
          </w:tcPr>
          <w:p>
            <w:pPr/>
          </w:p>
        </w:tc>
        <w:tc>
          <w:tcPr>
            <w:tcW w:w="1140" w:type="dxa"/>
            <w:tcBorders>
              <w:top w:val="single" w:sz="4" w:space="0" w:color="41B7EE"/>
              <w:left w:val="single" w:sz="4" w:space="0" w:color="41B7EE"/>
              <w:bottom w:val="single" w:sz="4" w:space="0" w:color="41B7EE"/>
              <w:right w:val="single" w:sz="4" w:space="0" w:color="41B7EE"/>
            </w:tcBorders>
          </w:tcPr>
          <w:p>
            <w:pPr/>
          </w:p>
        </w:tc>
        <w:tc>
          <w:tcPr>
            <w:tcW w:w="1284" w:type="dxa"/>
            <w:tcBorders>
              <w:top w:val="single" w:sz="4" w:space="0" w:color="41B7EE"/>
              <w:left w:val="single" w:sz="4" w:space="0" w:color="41B7EE"/>
              <w:bottom w:val="single" w:sz="4" w:space="0" w:color="41B7EE"/>
              <w:right w:val="single" w:sz="4" w:space="0" w:color="41B7EE"/>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非交易性权益</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投资</w:t>
            </w:r>
            <w:r>
              <w:rPr>
                <w:rFonts w:ascii="宋体" w:hAnsi="宋体" w:cs="宋体" w:eastAsia="宋体" w:hint="default"/>
                <w:sz w:val="20"/>
                <w:szCs w:val="20"/>
              </w:rPr>
              <w:t> </w:t>
            </w:r>
          </w:p>
        </w:tc>
        <w:tc>
          <w:tcPr>
            <w:tcW w:w="132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97"/>
              <w:ind w:left="24" w:right="0"/>
              <w:jc w:val="left"/>
              <w:rPr>
                <w:rFonts w:ascii="宋体" w:hAnsi="宋体" w:cs="宋体" w:eastAsia="宋体" w:hint="default"/>
                <w:sz w:val="20"/>
                <w:szCs w:val="20"/>
              </w:rPr>
            </w:pPr>
            <w:r>
              <w:rPr>
                <w:rFonts w:ascii="宋体"/>
                <w:w w:val="99"/>
                <w:sz w:val="20"/>
              </w:rPr>
              <w:t> </w:t>
            </w:r>
            <w:r>
              <w:rPr>
                <w:rFonts w:ascii="宋体"/>
                <w:sz w:val="20"/>
              </w:rPr>
            </w:r>
          </w:p>
        </w:tc>
      </w:tr>
      <w:tr>
        <w:trPr>
          <w:trHeight w:val="528" w:hRule="exact"/>
        </w:trPr>
        <w:tc>
          <w:tcPr>
            <w:tcW w:w="2146" w:type="dxa"/>
            <w:tcBorders>
              <w:top w:val="single" w:sz="4" w:space="0" w:color="41B7EE"/>
              <w:left w:val="nil" w:sz="6" w:space="0" w:color="auto"/>
              <w:bottom w:val="single" w:sz="4" w:space="0" w:color="41B7EE"/>
              <w:right w:val="single" w:sz="4" w:space="0" w:color="41B7EE"/>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z w:val="20"/>
                <w:szCs w:val="20"/>
              </w:rPr>
              <w:t>哈尔滨益源康科技开发</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有限公司</w:t>
            </w:r>
            <w:r>
              <w:rPr>
                <w:rFonts w:ascii="宋体" w:hAnsi="宋体" w:cs="宋体" w:eastAsia="宋体" w:hint="default"/>
                <w:sz w:val="20"/>
                <w:szCs w:val="20"/>
              </w:rPr>
              <w:t> </w:t>
            </w:r>
          </w:p>
        </w:tc>
        <w:tc>
          <w:tcPr>
            <w:tcW w:w="1143" w:type="dxa"/>
            <w:tcBorders>
              <w:top w:val="single" w:sz="4" w:space="0" w:color="41B7EE"/>
              <w:left w:val="single" w:sz="4" w:space="0" w:color="41B7EE"/>
              <w:bottom w:val="single" w:sz="4" w:space="0" w:color="41B7EE"/>
              <w:right w:val="single" w:sz="4" w:space="0" w:color="41B7EE"/>
            </w:tcBorders>
          </w:tcPr>
          <w:p>
            <w:pPr/>
          </w:p>
        </w:tc>
        <w:tc>
          <w:tcPr>
            <w:tcW w:w="1140" w:type="dxa"/>
            <w:tcBorders>
              <w:top w:val="single" w:sz="4" w:space="0" w:color="41B7EE"/>
              <w:left w:val="single" w:sz="4" w:space="0" w:color="41B7EE"/>
              <w:bottom w:val="single" w:sz="4" w:space="0" w:color="41B7EE"/>
              <w:right w:val="single" w:sz="4" w:space="0" w:color="41B7EE"/>
            </w:tcBorders>
          </w:tcPr>
          <w:p>
            <w:pPr/>
          </w:p>
        </w:tc>
        <w:tc>
          <w:tcPr>
            <w:tcW w:w="713" w:type="dxa"/>
            <w:tcBorders>
              <w:top w:val="single" w:sz="4" w:space="0" w:color="41B7EE"/>
              <w:left w:val="single" w:sz="4" w:space="0" w:color="41B7EE"/>
              <w:bottom w:val="single" w:sz="4" w:space="0" w:color="41B7EE"/>
              <w:right w:val="single" w:sz="4" w:space="0" w:color="41B7EE"/>
            </w:tcBorders>
          </w:tcPr>
          <w:p>
            <w:pPr/>
          </w:p>
        </w:tc>
        <w:tc>
          <w:tcPr>
            <w:tcW w:w="1140" w:type="dxa"/>
            <w:tcBorders>
              <w:top w:val="single" w:sz="4" w:space="0" w:color="41B7EE"/>
              <w:left w:val="single" w:sz="4" w:space="0" w:color="41B7EE"/>
              <w:bottom w:val="single" w:sz="4" w:space="0" w:color="41B7EE"/>
              <w:right w:val="single" w:sz="4" w:space="0" w:color="41B7EE"/>
            </w:tcBorders>
          </w:tcPr>
          <w:p>
            <w:pPr/>
          </w:p>
        </w:tc>
        <w:tc>
          <w:tcPr>
            <w:tcW w:w="1284" w:type="dxa"/>
            <w:tcBorders>
              <w:top w:val="single" w:sz="4" w:space="0" w:color="41B7EE"/>
              <w:left w:val="single" w:sz="4" w:space="0" w:color="41B7EE"/>
              <w:bottom w:val="single" w:sz="4" w:space="0" w:color="41B7EE"/>
              <w:right w:val="single" w:sz="4" w:space="0" w:color="41B7EE"/>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非交易性权益</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投资</w:t>
            </w:r>
            <w:r>
              <w:rPr>
                <w:rFonts w:ascii="宋体" w:hAnsi="宋体" w:cs="宋体" w:eastAsia="宋体" w:hint="default"/>
                <w:sz w:val="20"/>
                <w:szCs w:val="20"/>
              </w:rPr>
              <w:t> </w:t>
            </w:r>
          </w:p>
        </w:tc>
        <w:tc>
          <w:tcPr>
            <w:tcW w:w="132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97"/>
              <w:ind w:left="24" w:right="0"/>
              <w:jc w:val="left"/>
              <w:rPr>
                <w:rFonts w:ascii="宋体" w:hAnsi="宋体" w:cs="宋体" w:eastAsia="宋体" w:hint="default"/>
                <w:sz w:val="20"/>
                <w:szCs w:val="20"/>
              </w:rPr>
            </w:pPr>
            <w:r>
              <w:rPr>
                <w:rFonts w:ascii="宋体"/>
                <w:w w:val="99"/>
                <w:sz w:val="20"/>
              </w:rPr>
              <w:t> </w:t>
            </w:r>
            <w:r>
              <w:rPr>
                <w:rFonts w:ascii="宋体"/>
                <w:sz w:val="20"/>
              </w:rPr>
            </w:r>
          </w:p>
        </w:tc>
      </w:tr>
      <w:tr>
        <w:trPr>
          <w:trHeight w:val="538" w:hRule="exact"/>
        </w:trPr>
        <w:tc>
          <w:tcPr>
            <w:tcW w:w="2146" w:type="dxa"/>
            <w:tcBorders>
              <w:top w:val="single" w:sz="4" w:space="0" w:color="41B7EE"/>
              <w:left w:val="nil" w:sz="6" w:space="0" w:color="auto"/>
              <w:bottom w:val="single" w:sz="8" w:space="0" w:color="41B7EE"/>
              <w:right w:val="single" w:sz="4" w:space="0" w:color="41B7EE"/>
            </w:tcBorders>
          </w:tcPr>
          <w:p>
            <w:pPr>
              <w:pStyle w:val="TableParagraph"/>
              <w:spacing w:line="230" w:lineRule="exact"/>
              <w:ind w:left="28" w:right="0"/>
              <w:jc w:val="left"/>
              <w:rPr>
                <w:rFonts w:ascii="宋体" w:hAnsi="宋体" w:cs="宋体" w:eastAsia="宋体" w:hint="default"/>
                <w:sz w:val="20"/>
                <w:szCs w:val="20"/>
              </w:rPr>
            </w:pPr>
            <w:r>
              <w:rPr>
                <w:rFonts w:ascii="宋体" w:hAnsi="宋体" w:cs="宋体" w:eastAsia="宋体" w:hint="default"/>
                <w:sz w:val="20"/>
                <w:szCs w:val="20"/>
              </w:rPr>
              <w:t>北大荒青枫亚麻纺织有</w:t>
            </w:r>
          </w:p>
          <w:p>
            <w:pPr>
              <w:pStyle w:val="TableParagraph"/>
              <w:spacing w:line="240" w:lineRule="auto"/>
              <w:ind w:left="28" w:right="0"/>
              <w:jc w:val="left"/>
              <w:rPr>
                <w:rFonts w:ascii="宋体" w:hAnsi="宋体" w:cs="宋体" w:eastAsia="宋体" w:hint="default"/>
                <w:sz w:val="20"/>
                <w:szCs w:val="20"/>
              </w:rPr>
            </w:pPr>
            <w:r>
              <w:rPr>
                <w:rFonts w:ascii="宋体" w:hAnsi="宋体" w:cs="宋体" w:eastAsia="宋体" w:hint="default"/>
                <w:sz w:val="20"/>
                <w:szCs w:val="20"/>
              </w:rPr>
              <w:t>限公司</w:t>
            </w:r>
            <w:r>
              <w:rPr>
                <w:rFonts w:ascii="宋体" w:hAnsi="宋体" w:cs="宋体" w:eastAsia="宋体" w:hint="default"/>
                <w:sz w:val="20"/>
                <w:szCs w:val="20"/>
              </w:rPr>
              <w:t> </w:t>
            </w:r>
          </w:p>
        </w:tc>
        <w:tc>
          <w:tcPr>
            <w:tcW w:w="1143" w:type="dxa"/>
            <w:tcBorders>
              <w:top w:val="single" w:sz="4" w:space="0" w:color="41B7EE"/>
              <w:left w:val="single" w:sz="4" w:space="0" w:color="41B7EE"/>
              <w:bottom w:val="single" w:sz="8" w:space="0" w:color="41B7EE"/>
              <w:right w:val="single" w:sz="4" w:space="0" w:color="41B7EE"/>
            </w:tcBorders>
          </w:tcPr>
          <w:p>
            <w:pPr/>
          </w:p>
        </w:tc>
        <w:tc>
          <w:tcPr>
            <w:tcW w:w="1140" w:type="dxa"/>
            <w:tcBorders>
              <w:top w:val="single" w:sz="4" w:space="0" w:color="41B7EE"/>
              <w:left w:val="single" w:sz="4" w:space="0" w:color="41B7EE"/>
              <w:bottom w:val="single" w:sz="8" w:space="0" w:color="41B7EE"/>
              <w:right w:val="single" w:sz="4" w:space="0" w:color="41B7EE"/>
            </w:tcBorders>
          </w:tcPr>
          <w:p>
            <w:pPr/>
          </w:p>
        </w:tc>
        <w:tc>
          <w:tcPr>
            <w:tcW w:w="713" w:type="dxa"/>
            <w:tcBorders>
              <w:top w:val="single" w:sz="4" w:space="0" w:color="41B7EE"/>
              <w:left w:val="single" w:sz="4" w:space="0" w:color="41B7EE"/>
              <w:bottom w:val="single" w:sz="8" w:space="0" w:color="41B7EE"/>
              <w:right w:val="single" w:sz="4" w:space="0" w:color="41B7EE"/>
            </w:tcBorders>
          </w:tcPr>
          <w:p>
            <w:pPr/>
          </w:p>
        </w:tc>
        <w:tc>
          <w:tcPr>
            <w:tcW w:w="1140" w:type="dxa"/>
            <w:tcBorders>
              <w:top w:val="single" w:sz="4" w:space="0" w:color="41B7EE"/>
              <w:left w:val="single" w:sz="4" w:space="0" w:color="41B7EE"/>
              <w:bottom w:val="single" w:sz="8" w:space="0" w:color="41B7EE"/>
              <w:right w:val="single" w:sz="4" w:space="0" w:color="41B7EE"/>
            </w:tcBorders>
          </w:tcPr>
          <w:p>
            <w:pPr/>
          </w:p>
        </w:tc>
        <w:tc>
          <w:tcPr>
            <w:tcW w:w="1284" w:type="dxa"/>
            <w:tcBorders>
              <w:top w:val="single" w:sz="4" w:space="0" w:color="41B7EE"/>
              <w:left w:val="single" w:sz="4" w:space="0" w:color="41B7EE"/>
              <w:bottom w:val="single" w:sz="8" w:space="0" w:color="41B7EE"/>
              <w:right w:val="single" w:sz="4" w:space="0" w:color="41B7EE"/>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z w:val="20"/>
                <w:szCs w:val="20"/>
              </w:rPr>
              <w:t>非交易性权益</w:t>
            </w: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投资</w:t>
            </w:r>
            <w:r>
              <w:rPr>
                <w:rFonts w:ascii="宋体" w:hAnsi="宋体" w:cs="宋体" w:eastAsia="宋体" w:hint="default"/>
                <w:sz w:val="20"/>
                <w:szCs w:val="20"/>
              </w:rPr>
              <w:t> </w:t>
            </w:r>
          </w:p>
        </w:tc>
        <w:tc>
          <w:tcPr>
            <w:tcW w:w="1325"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97"/>
              <w:ind w:left="24" w:right="0"/>
              <w:jc w:val="left"/>
              <w:rPr>
                <w:rFonts w:ascii="宋体" w:hAnsi="宋体" w:cs="宋体" w:eastAsia="宋体" w:hint="default"/>
                <w:sz w:val="20"/>
                <w:szCs w:val="20"/>
              </w:rPr>
            </w:pPr>
            <w:r>
              <w:rPr>
                <w:rFonts w:ascii="宋体"/>
                <w:w w:val="99"/>
                <w:sz w:val="20"/>
              </w:rPr>
              <w:t> </w:t>
            </w:r>
            <w:r>
              <w:rPr>
                <w:rFonts w:ascii="宋体"/>
                <w:sz w:val="20"/>
              </w:rPr>
            </w:r>
          </w:p>
        </w:tc>
      </w:tr>
    </w:tbl>
    <w:p>
      <w:pPr>
        <w:spacing w:line="20" w:lineRule="exact"/>
        <w:ind w:left="198"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2142;height:2" coordorigin="10,10" coordsize="2142,2">
              <v:shape style="position:absolute;left:10;top:10;width:2142;height:2" coordorigin="10,10" coordsize="2142,0" path="m10,10l2151,10e" filled="false" stroked="true" strokeweight=".96002pt" strokecolor="#41b7ee">
                <v:path arrowok="t"/>
              </v:shape>
            </v:group>
            <v:group style="position:absolute;left:2151;top:10;width:58;height:2" coordorigin="2151,10" coordsize="58,2">
              <v:shape style="position:absolute;left:2151;top:10;width:58;height:2" coordorigin="2151,10" coordsize="58,0" path="m2151,10l2208,10e" filled="false" stroked="true" strokeweight=".96002pt" strokecolor="#41b7ee">
                <v:path arrowok="t"/>
              </v:shape>
            </v:group>
            <v:group style="position:absolute;left:2208;top:10;width:1086;height:2" coordorigin="2208,10" coordsize="1086,2">
              <v:shape style="position:absolute;left:2208;top:10;width:1086;height:2" coordorigin="2208,10" coordsize="1086,0" path="m2208,10l3294,10e" filled="false" stroked="true" strokeweight=".96002pt" strokecolor="#41b7ee">
                <v:path arrowok="t"/>
              </v:shape>
            </v:group>
            <v:group style="position:absolute;left:3294;top:10;width:58;height:2" coordorigin="3294,10" coordsize="58,2">
              <v:shape style="position:absolute;left:3294;top:10;width:58;height:2" coordorigin="3294,10" coordsize="58,0" path="m3294,10l3351,10e" filled="false" stroked="true" strokeweight=".96002pt" strokecolor="#41b7ee">
                <v:path arrowok="t"/>
              </v:shape>
            </v:group>
            <v:group style="position:absolute;left:3351;top:10;width:1083;height:2" coordorigin="3351,10" coordsize="1083,2">
              <v:shape style="position:absolute;left:3351;top:10;width:1083;height:2" coordorigin="3351,10" coordsize="1083,0" path="m3351,10l4434,10e" filled="false" stroked="true" strokeweight=".96002pt" strokecolor="#41b7ee">
                <v:path arrowok="t"/>
              </v:shape>
            </v:group>
            <v:group style="position:absolute;left:4434;top:10;width:58;height:2" coordorigin="4434,10" coordsize="58,2">
              <v:shape style="position:absolute;left:4434;top:10;width:58;height:2" coordorigin="4434,10" coordsize="58,0" path="m4434,10l4491,10e" filled="false" stroked="true" strokeweight=".96002pt" strokecolor="#41b7ee">
                <v:path arrowok="t"/>
              </v:shape>
            </v:group>
            <v:group style="position:absolute;left:4491;top:10;width:656;height:2" coordorigin="4491,10" coordsize="656,2">
              <v:shape style="position:absolute;left:4491;top:10;width:656;height:2" coordorigin="4491,10" coordsize="656,0" path="m4491,10l5147,10e" filled="false" stroked="true" strokeweight=".96002pt" strokecolor="#41b7ee">
                <v:path arrowok="t"/>
              </v:shape>
            </v:group>
            <v:group style="position:absolute;left:5147;top:10;width:58;height:2" coordorigin="5147,10" coordsize="58,2">
              <v:shape style="position:absolute;left:5147;top:10;width:58;height:2" coordorigin="5147,10" coordsize="58,0" path="m5147,10l5204,10e" filled="false" stroked="true" strokeweight=".96002pt" strokecolor="#41b7ee">
                <v:path arrowok="t"/>
              </v:shape>
            </v:group>
            <v:group style="position:absolute;left:5204;top:10;width:1083;height:2" coordorigin="5204,10" coordsize="1083,2">
              <v:shape style="position:absolute;left:5204;top:10;width:1083;height:2" coordorigin="5204,10" coordsize="1083,0" path="m5204,10l6287,10e" filled="false" stroked="true" strokeweight=".96002pt" strokecolor="#41b7ee">
                <v:path arrowok="t"/>
              </v:shape>
            </v:group>
            <v:group style="position:absolute;left:6287;top:10;width:58;height:2" coordorigin="6287,10" coordsize="58,2">
              <v:shape style="position:absolute;left:6287;top:10;width:58;height:2" coordorigin="6287,10" coordsize="58,0" path="m6287,10l6345,10e" filled="false" stroked="true" strokeweight=".96002pt" strokecolor="#41b7ee">
                <v:path arrowok="t"/>
              </v:shape>
            </v:group>
            <v:group style="position:absolute;left:6345;top:10;width:1227;height:2" coordorigin="6345,10" coordsize="1227,2">
              <v:shape style="position:absolute;left:6345;top:10;width:1227;height:2" coordorigin="6345,10" coordsize="1227,0" path="m6345,10l7571,10e" filled="false" stroked="true" strokeweight=".96002pt" strokecolor="#41b7ee">
                <v:path arrowok="t"/>
              </v:shape>
            </v:group>
            <v:group style="position:absolute;left:7571;top:10;width:58;height:2" coordorigin="7571,10" coordsize="58,2">
              <v:shape style="position:absolute;left:7571;top:10;width:58;height:2" coordorigin="7571,10" coordsize="58,0" path="m7571,10l7629,10e" filled="false" stroked="true" strokeweight=".96002pt" strokecolor="#41b7ee">
                <v:path arrowok="t"/>
              </v:shape>
            </v:group>
            <v:group style="position:absolute;left:7629;top:10;width:1273;height:2" coordorigin="7629,10" coordsize="1273,2">
              <v:shape style="position:absolute;left:7629;top:10;width:1273;height:2" coordorigin="7629,10" coordsize="1273,0" path="m7629,10l8901,10e" filled="false" stroked="true" strokeweight=".96002pt" strokecolor="#41b7ee">
                <v:path arrowok="t"/>
              </v:shape>
            </v:group>
          </v:group>
        </w:pict>
      </w:r>
      <w:r>
        <w:rPr>
          <w:rFonts w:ascii="宋体" w:hAnsi="宋体" w:cs="宋体" w:eastAsia="宋体" w:hint="default"/>
          <w:sz w:val="2"/>
          <w:szCs w:val="2"/>
        </w:rPr>
      </w:r>
    </w:p>
    <w:p>
      <w:pPr>
        <w:pStyle w:val="BodyText"/>
        <w:spacing w:line="272" w:lineRule="exact" w:before="12"/>
        <w:ind w:left="236" w:right="0"/>
        <w:jc w:val="left"/>
        <w:rPr>
          <w:rFonts w:ascii="宋体" w:hAnsi="宋体" w:cs="宋体" w:eastAsia="宋体" w:hint="default"/>
        </w:rPr>
      </w:pPr>
      <w:r>
        <w:rPr>
          <w:rFonts w:ascii="宋体" w:hAnsi="宋体" w:cs="宋体" w:eastAsia="宋体" w:hint="default"/>
          <w:color w:val="333333"/>
          <w:w w:val="100"/>
        </w:rPr>
        <w:t>  </w:t>
      </w:r>
      <w:r>
        <w:rPr>
          <w:w w:val="100"/>
        </w:rPr>
        <w:t>其他</w:t>
      </w:r>
      <w:r>
        <w:rPr>
          <w:spacing w:val="-3"/>
          <w:w w:val="100"/>
        </w:rPr>
        <w:t>说</w:t>
      </w:r>
      <w:r>
        <w:rPr>
          <w:spacing w:val="-1"/>
          <w:w w:val="100"/>
        </w:rPr>
        <w:t>明</w:t>
      </w:r>
      <w:r>
        <w:rPr>
          <w:spacing w:val="-3"/>
          <w:w w:val="100"/>
        </w:rPr>
        <w:t>：</w:t>
      </w:r>
      <w:r>
        <w:rPr>
          <w:rFonts w:ascii="宋体" w:hAnsi="宋体" w:cs="宋体" w:eastAsia="宋体" w:hint="default"/>
          <w:w w:val="100"/>
        </w:rPr>
        <w:t> </w:t>
      </w:r>
    </w:p>
    <w:p>
      <w:pPr>
        <w:pStyle w:val="BodyText"/>
        <w:spacing w:line="249"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7"/>
        <w:ind w:left="236" w:right="0"/>
        <w:jc w:val="left"/>
        <w:rPr>
          <w:b w:val="0"/>
          <w:bCs w:val="0"/>
        </w:rPr>
      </w:pPr>
      <w:r>
        <w:rPr>
          <w:rFonts w:ascii="宋体" w:hAnsi="宋体" w:cs="宋体" w:eastAsia="宋体" w:hint="default"/>
        </w:rPr>
        <w:t>18</w:t>
      </w:r>
      <w:r>
        <w:rPr/>
        <w:t>、</w:t>
      </w:r>
      <w:r>
        <w:rPr>
          <w:spacing w:val="-22"/>
        </w:rPr>
        <w:t> </w:t>
      </w:r>
      <w:r>
        <w:rPr/>
        <w:t>其他非流动金融资产</w:t>
      </w:r>
      <w:r>
        <w:rPr>
          <w:b w:val="0"/>
          <w:bCs w:val="0"/>
        </w:rPr>
      </w:r>
    </w:p>
    <w:p>
      <w:pPr>
        <w:pStyle w:val="BodyText"/>
        <w:spacing w:line="240" w:lineRule="auto" w:before="56"/>
        <w:ind w:left="236" w:right="655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0"/>
        <w:ind w:left="236" w:right="698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36" w:right="6557"/>
        <w:jc w:val="left"/>
        <w:rPr>
          <w:rFonts w:ascii="宋体" w:hAnsi="宋体" w:cs="宋体" w:eastAsia="宋体" w:hint="default"/>
        </w:rPr>
      </w:pPr>
      <w:r>
        <w:rPr/>
        <w:t>投资性房地产计量模式</w:t>
      </w:r>
      <w:r>
        <w:rPr>
          <w:rFonts w:ascii="宋体" w:hAnsi="宋体" w:cs="宋体" w:eastAsia="宋体" w:hint="default"/>
          <w:w w:val="100"/>
        </w:rPr>
        <w:t> </w:t>
      </w:r>
      <w:r>
        <w:rPr/>
        <w:t>不适用</w:t>
      </w:r>
      <w:r>
        <w:rPr>
          <w:rFonts w:ascii="宋体" w:hAnsi="宋体" w:cs="宋体" w:eastAsia="宋体" w:hint="default"/>
        </w:rPr>
        <w:t> </w:t>
      </w:r>
    </w:p>
    <w:p>
      <w:pPr>
        <w:pStyle w:val="BodyText"/>
        <w:spacing w:line="271" w:lineRule="exact"/>
        <w:ind w:left="236" w:right="0"/>
        <w:jc w:val="left"/>
        <w:rPr>
          <w:rFonts w:ascii="宋体" w:hAnsi="宋体" w:cs="宋体" w:eastAsia="宋体" w:hint="default"/>
        </w:rPr>
      </w:pPr>
      <w:r>
        <w:rPr>
          <w:rFonts w:ascii="宋体"/>
          <w:w w:val="100"/>
        </w:rPr>
        <w:t> </w:t>
      </w:r>
    </w:p>
    <w:p>
      <w:pPr>
        <w:spacing w:after="0" w:line="271" w:lineRule="exact"/>
        <w:jc w:val="left"/>
        <w:rPr>
          <w:rFonts w:ascii="宋体" w:hAnsi="宋体" w:cs="宋体" w:eastAsia="宋体" w:hint="default"/>
        </w:rPr>
        <w:sectPr>
          <w:type w:val="continuous"/>
          <w:pgSz w:w="11910" w:h="16840"/>
          <w:pgMar w:top="1360" w:bottom="1380" w:left="1040" w:right="1520"/>
        </w:sectPr>
      </w:pPr>
    </w:p>
    <w:p>
      <w:pPr>
        <w:pStyle w:val="Heading2"/>
        <w:spacing w:line="290" w:lineRule="auto" w:before="100"/>
        <w:ind w:left="316" w:right="0"/>
        <w:jc w:val="left"/>
        <w:rPr>
          <w:rFonts w:ascii="宋体" w:hAnsi="宋体" w:cs="宋体" w:eastAsia="宋体" w:hint="default"/>
          <w:b w:val="0"/>
          <w:bCs w:val="0"/>
        </w:rPr>
      </w:pPr>
      <w:r>
        <w:rPr/>
        <w:pict>
          <v:group style="position:absolute;margin-left:62.400002pt;margin-top:2.863657pt;width:443.65pt;height:.1pt;mso-position-horizontal-relative:page;mso-position-vertical-relative:paragraph;z-index:5920" coordorigin="1248,57" coordsize="8873,2">
            <v:shape style="position:absolute;left:1248;top:57;width:8873;height:2" coordorigin="1248,57" coordsize="8873,0" path="m1248,57l10120,57e" filled="false" stroked="true" strokeweight=".72pt" strokecolor="#000000">
              <v:path arrowok="t"/>
            </v:shape>
            <w10:wrap type="none"/>
          </v:group>
        </w:pict>
      </w:r>
      <w:r>
        <w:rPr>
          <w:rFonts w:ascii="宋体" w:hAnsi="宋体" w:cs="宋体" w:eastAsia="宋体" w:hint="default"/>
        </w:rPr>
        <w:t>20</w:t>
      </w:r>
      <w:r>
        <w:rPr/>
        <w:t>、</w:t>
      </w:r>
      <w:r>
        <w:rPr>
          <w:spacing w:val="-26"/>
        </w:rPr>
        <w:t> </w:t>
      </w:r>
      <w:r>
        <w:rPr/>
        <w:t>固定资产</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3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240" w:lineRule="auto"/>
        <w:ind w:left="3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195" w:top="1300" w:bottom="1380" w:left="960" w:right="1440"/>
          <w:cols w:num="2" w:equalWidth="0">
            <w:col w:w="2103" w:space="4419"/>
            <w:col w:w="2988"/>
          </w:cols>
        </w:sectPr>
      </w:pPr>
    </w:p>
    <w:p>
      <w:pPr>
        <w:spacing w:line="240" w:lineRule="auto" w:before="7"/>
        <w:rPr>
          <w:rFonts w:ascii="宋体" w:hAnsi="宋体" w:cs="宋体" w:eastAsia="宋体" w:hint="default"/>
          <w:sz w:val="2"/>
          <w:szCs w:val="2"/>
        </w:rPr>
      </w:pPr>
    </w:p>
    <w:p>
      <w:pPr>
        <w:spacing w:line="20" w:lineRule="exact"/>
        <w:ind w:left="199"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304;height:2" coordorigin="10,10" coordsize="3304,2">
              <v:shape style="position:absolute;left:10;top:10;width:3304;height:2" coordorigin="10,10" coordsize="3304,0" path="m10,10l3313,10e" filled="false" stroked="true" strokeweight=".96001pt" strokecolor="#41b7ee">
                <v:path arrowok="t"/>
              </v:shape>
            </v:group>
            <v:group style="position:absolute;left:3313;top:10;width:58;height:2" coordorigin="3313,10" coordsize="58,2">
              <v:shape style="position:absolute;left:3313;top:10;width:58;height:2" coordorigin="3313,10" coordsize="58,0" path="m3313,10l3371,10e" filled="false" stroked="true" strokeweight=".96001pt" strokecolor="#41b7ee">
                <v:path arrowok="t"/>
              </v:shape>
            </v:group>
            <v:group style="position:absolute;left:3371;top:10;width:2806;height:2" coordorigin="3371,10" coordsize="2806,2">
              <v:shape style="position:absolute;left:3371;top:10;width:2806;height:2" coordorigin="3371,10" coordsize="2806,0" path="m3371,10l6177,10e" filled="false" stroked="true" strokeweight=".96001pt" strokecolor="#41b7ee">
                <v:path arrowok="t"/>
              </v:shape>
            </v:group>
            <v:group style="position:absolute;left:6177;top:10;width:58;height:2" coordorigin="6177,10" coordsize="58,2">
              <v:shape style="position:absolute;left:6177;top:10;width:58;height:2" coordorigin="6177,10" coordsize="58,0" path="m6177,10l6234,10e" filled="false" stroked="true" strokeweight=".96001pt" strokecolor="#41b7ee">
                <v:path arrowok="t"/>
              </v:shape>
            </v:group>
            <v:group style="position:absolute;left:6234;top:10;width:2826;height:2" coordorigin="6234,10" coordsize="2826,2">
              <v:shape style="position:absolute;left:6234;top:10;width:2826;height:2" coordorigin="6234,10" coordsize="2826,0" path="m6234,10l9059,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80" w:type="dxa"/>
        <w:tblLayout w:type="fixed"/>
        <w:tblCellMar>
          <w:top w:w="0" w:type="dxa"/>
          <w:left w:w="0" w:type="dxa"/>
          <w:bottom w:w="0" w:type="dxa"/>
          <w:right w:w="0" w:type="dxa"/>
        </w:tblCellMar>
        <w:tblLook w:val="01E0"/>
      </w:tblPr>
      <w:tblGrid>
        <w:gridCol w:w="3308"/>
        <w:gridCol w:w="2864"/>
        <w:gridCol w:w="2878"/>
      </w:tblGrid>
      <w:tr>
        <w:trPr>
          <w:trHeight w:val="362" w:hRule="exact"/>
        </w:trPr>
        <w:tc>
          <w:tcPr>
            <w:tcW w:w="3308"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4"/>
              <w:ind w:right="133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4"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4"/>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4"/>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58" w:hRule="exact"/>
        </w:trPr>
        <w:tc>
          <w:tcPr>
            <w:tcW w:w="330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86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3,192,519,671.30</w:t>
            </w:r>
          </w:p>
        </w:tc>
        <w:tc>
          <w:tcPr>
            <w:tcW w:w="287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right="105"/>
              <w:jc w:val="right"/>
              <w:rPr>
                <w:rFonts w:ascii="Arial" w:hAnsi="Arial" w:cs="Arial" w:eastAsia="Arial" w:hint="default"/>
                <w:sz w:val="21"/>
                <w:szCs w:val="21"/>
              </w:rPr>
            </w:pPr>
            <w:r>
              <w:rPr>
                <w:rFonts w:ascii="Arial"/>
                <w:spacing w:val="-1"/>
                <w:sz w:val="21"/>
              </w:rPr>
              <w:t>3,184,953,180.39</w:t>
            </w:r>
          </w:p>
        </w:tc>
      </w:tr>
      <w:tr>
        <w:trPr>
          <w:trHeight w:val="358" w:hRule="exact"/>
        </w:trPr>
        <w:tc>
          <w:tcPr>
            <w:tcW w:w="330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固定资产清理</w:t>
            </w:r>
            <w:r>
              <w:rPr>
                <w:rFonts w:ascii="宋体" w:hAnsi="宋体" w:cs="宋体" w:eastAsia="宋体" w:hint="default"/>
                <w:sz w:val="21"/>
                <w:szCs w:val="21"/>
              </w:rPr>
              <w:t> </w:t>
            </w:r>
          </w:p>
        </w:tc>
        <w:tc>
          <w:tcPr>
            <w:tcW w:w="2864" w:type="dxa"/>
            <w:tcBorders>
              <w:top w:val="single" w:sz="4" w:space="0" w:color="41B7EE"/>
              <w:left w:val="single" w:sz="4" w:space="0" w:color="41B7EE"/>
              <w:bottom w:val="single" w:sz="4" w:space="0" w:color="41B7EE"/>
              <w:right w:val="single" w:sz="4" w:space="0" w:color="41B7EE"/>
            </w:tcBorders>
          </w:tcPr>
          <w:p>
            <w:pPr/>
          </w:p>
        </w:tc>
        <w:tc>
          <w:tcPr>
            <w:tcW w:w="2878" w:type="dxa"/>
            <w:tcBorders>
              <w:top w:val="single" w:sz="4" w:space="0" w:color="41B7EE"/>
              <w:left w:val="single" w:sz="4" w:space="0" w:color="41B7EE"/>
              <w:bottom w:val="single" w:sz="4" w:space="0" w:color="41B7EE"/>
              <w:right w:val="nil" w:sz="6" w:space="0" w:color="auto"/>
            </w:tcBorders>
          </w:tcPr>
          <w:p>
            <w:pPr/>
          </w:p>
        </w:tc>
      </w:tr>
      <w:tr>
        <w:trPr>
          <w:trHeight w:val="384" w:hRule="exact"/>
        </w:trPr>
        <w:tc>
          <w:tcPr>
            <w:tcW w:w="3308"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right="133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4"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3,192,519,671.30</w:t>
            </w:r>
          </w:p>
        </w:tc>
        <w:tc>
          <w:tcPr>
            <w:tcW w:w="2878"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105"/>
              <w:jc w:val="right"/>
              <w:rPr>
                <w:rFonts w:ascii="Arial" w:hAnsi="Arial" w:cs="Arial" w:eastAsia="Arial" w:hint="default"/>
                <w:sz w:val="21"/>
                <w:szCs w:val="21"/>
              </w:rPr>
            </w:pPr>
            <w:r>
              <w:rPr>
                <w:rFonts w:ascii="Arial"/>
                <w:spacing w:val="-1"/>
                <w:sz w:val="21"/>
              </w:rPr>
              <w:t>3,184,953,180.39</w:t>
            </w:r>
          </w:p>
        </w:tc>
      </w:tr>
    </w:tbl>
    <w:p>
      <w:pPr>
        <w:spacing w:after="0" w:line="240" w:lineRule="auto"/>
        <w:jc w:val="right"/>
        <w:rPr>
          <w:rFonts w:ascii="Arial" w:hAnsi="Arial" w:cs="Arial" w:eastAsia="Arial" w:hint="default"/>
          <w:sz w:val="21"/>
          <w:szCs w:val="21"/>
        </w:rPr>
        <w:sectPr>
          <w:type w:val="continuous"/>
          <w:pgSz w:w="11910" w:h="16840"/>
          <w:pgMar w:top="1360" w:bottom="1380" w:left="960" w:right="1440"/>
        </w:sectPr>
      </w:pPr>
    </w:p>
    <w:p>
      <w:pPr>
        <w:pStyle w:val="Heading2"/>
        <w:spacing w:line="290" w:lineRule="auto" w:before="44"/>
        <w:ind w:left="316" w:right="0"/>
        <w:jc w:val="left"/>
        <w:rPr>
          <w:rFonts w:ascii="宋体" w:hAnsi="宋体" w:cs="宋体" w:eastAsia="宋体" w:hint="default"/>
          <w:b w:val="0"/>
          <w:bCs w:val="0"/>
        </w:rPr>
      </w:pPr>
      <w:r>
        <w:rPr/>
        <w:t>固定资产</w:t>
      </w:r>
      <w:r>
        <w:rPr>
          <w:rFonts w:ascii="宋体" w:hAnsi="宋体" w:cs="宋体" w:eastAsia="宋体" w:hint="default"/>
          <w:w w:val="99"/>
        </w:rPr>
        <w:t> </w:t>
      </w:r>
      <w:r>
        <w:rPr>
          <w:rFonts w:ascii="宋体" w:hAnsi="宋体" w:cs="宋体" w:eastAsia="宋体" w:hint="default"/>
        </w:rPr>
        <w:t>(1).</w:t>
      </w:r>
      <w:r>
        <w:rPr/>
        <w:t>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3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left="3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960" w:right="1440"/>
          <w:cols w:num="2" w:equalWidth="0">
            <w:col w:w="2115" w:space="4407"/>
            <w:col w:w="2988"/>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144"/>
        <w:gridCol w:w="1501"/>
        <w:gridCol w:w="1481"/>
        <w:gridCol w:w="1217"/>
        <w:gridCol w:w="1315"/>
        <w:gridCol w:w="1539"/>
      </w:tblGrid>
      <w:tr>
        <w:trPr>
          <w:trHeight w:val="382" w:hRule="exact"/>
        </w:trPr>
        <w:tc>
          <w:tcPr>
            <w:tcW w:w="2144"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13"/>
              <w:ind w:left="100" w:right="0"/>
              <w:jc w:val="center"/>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sz w:val="20"/>
                <w:szCs w:val="20"/>
              </w:rPr>
              <w:t> </w:t>
            </w:r>
          </w:p>
        </w:tc>
        <w:tc>
          <w:tcPr>
            <w:tcW w:w="1501"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13"/>
              <w:ind w:right="44"/>
              <w:jc w:val="right"/>
              <w:rPr>
                <w:rFonts w:ascii="宋体" w:hAnsi="宋体" w:cs="宋体" w:eastAsia="宋体" w:hint="default"/>
                <w:sz w:val="20"/>
                <w:szCs w:val="20"/>
              </w:rPr>
            </w:pPr>
            <w:r>
              <w:rPr>
                <w:rFonts w:ascii="宋体" w:hAnsi="宋体" w:cs="宋体" w:eastAsia="宋体" w:hint="default"/>
                <w:sz w:val="20"/>
                <w:szCs w:val="20"/>
              </w:rPr>
              <w:t>房屋及建筑物</w:t>
            </w:r>
            <w:r>
              <w:rPr>
                <w:rFonts w:ascii="宋体" w:hAnsi="宋体" w:cs="宋体" w:eastAsia="宋体" w:hint="default"/>
                <w:sz w:val="20"/>
                <w:szCs w:val="20"/>
              </w:rPr>
              <w:t> </w:t>
            </w:r>
          </w:p>
        </w:tc>
        <w:tc>
          <w:tcPr>
            <w:tcW w:w="1481"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13"/>
              <w:ind w:left="335" w:right="0"/>
              <w:jc w:val="left"/>
              <w:rPr>
                <w:rFonts w:ascii="宋体" w:hAnsi="宋体" w:cs="宋体" w:eastAsia="宋体" w:hint="default"/>
                <w:sz w:val="20"/>
                <w:szCs w:val="20"/>
              </w:rPr>
            </w:pPr>
            <w:r>
              <w:rPr>
                <w:rFonts w:ascii="宋体" w:hAnsi="宋体" w:cs="宋体" w:eastAsia="宋体" w:hint="default"/>
                <w:sz w:val="20"/>
                <w:szCs w:val="20"/>
              </w:rPr>
              <w:t>机器设备</w:t>
            </w:r>
            <w:r>
              <w:rPr>
                <w:rFonts w:ascii="宋体" w:hAnsi="宋体" w:cs="宋体" w:eastAsia="宋体" w:hint="default"/>
                <w:sz w:val="20"/>
                <w:szCs w:val="20"/>
              </w:rPr>
              <w:t> </w:t>
            </w:r>
          </w:p>
        </w:tc>
        <w:tc>
          <w:tcPr>
            <w:tcW w:w="1217"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13"/>
              <w:ind w:left="201" w:right="0"/>
              <w:jc w:val="left"/>
              <w:rPr>
                <w:rFonts w:ascii="宋体" w:hAnsi="宋体" w:cs="宋体" w:eastAsia="宋体" w:hint="default"/>
                <w:sz w:val="20"/>
                <w:szCs w:val="20"/>
              </w:rPr>
            </w:pPr>
            <w:r>
              <w:rPr>
                <w:rFonts w:ascii="宋体" w:hAnsi="宋体" w:cs="宋体" w:eastAsia="宋体" w:hint="default"/>
                <w:sz w:val="20"/>
                <w:szCs w:val="20"/>
              </w:rPr>
              <w:t>运输工具</w:t>
            </w:r>
            <w:r>
              <w:rPr>
                <w:rFonts w:ascii="宋体" w:hAnsi="宋体" w:cs="宋体" w:eastAsia="宋体" w:hint="default"/>
                <w:sz w:val="20"/>
                <w:szCs w:val="20"/>
              </w:rPr>
              <w:t> </w:t>
            </w:r>
          </w:p>
        </w:tc>
        <w:tc>
          <w:tcPr>
            <w:tcW w:w="1315"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13"/>
              <w:ind w:right="14"/>
              <w:jc w:val="right"/>
              <w:rPr>
                <w:rFonts w:ascii="宋体" w:hAnsi="宋体" w:cs="宋体" w:eastAsia="宋体" w:hint="default"/>
                <w:sz w:val="20"/>
                <w:szCs w:val="20"/>
              </w:rPr>
            </w:pPr>
            <w:r>
              <w:rPr>
                <w:rFonts w:ascii="宋体" w:hAnsi="宋体" w:cs="宋体" w:eastAsia="宋体" w:hint="default"/>
                <w:spacing w:val="-22"/>
                <w:sz w:val="20"/>
                <w:szCs w:val="20"/>
              </w:rPr>
              <w:t>办公设备及其他</w:t>
            </w:r>
          </w:p>
        </w:tc>
        <w:tc>
          <w:tcPr>
            <w:tcW w:w="1539"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13"/>
              <w:ind w:left="564" w:right="0"/>
              <w:jc w:val="left"/>
              <w:rPr>
                <w:rFonts w:ascii="宋体" w:hAnsi="宋体" w:cs="宋体" w:eastAsia="宋体" w:hint="default"/>
                <w:sz w:val="20"/>
                <w:szCs w:val="20"/>
              </w:rPr>
            </w:pPr>
            <w:r>
              <w:rPr>
                <w:rFonts w:ascii="宋体" w:hAnsi="宋体" w:cs="宋体" w:eastAsia="宋体" w:hint="default"/>
                <w:sz w:val="20"/>
                <w:szCs w:val="20"/>
              </w:rPr>
              <w:t>合计</w:t>
            </w:r>
            <w:r>
              <w:rPr>
                <w:rFonts w:ascii="宋体" w:hAnsi="宋体" w:cs="宋体" w:eastAsia="宋体" w:hint="default"/>
                <w:sz w:val="20"/>
                <w:szCs w:val="20"/>
              </w:rPr>
              <w:t> </w:t>
            </w:r>
          </w:p>
        </w:tc>
      </w:tr>
      <w:tr>
        <w:trPr>
          <w:trHeight w:val="358" w:hRule="exact"/>
        </w:trPr>
        <w:tc>
          <w:tcPr>
            <w:tcW w:w="214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3"/>
              <w:ind w:left="26" w:right="0"/>
              <w:jc w:val="left"/>
              <w:rPr>
                <w:rFonts w:ascii="宋体" w:hAnsi="宋体" w:cs="宋体" w:eastAsia="宋体" w:hint="default"/>
                <w:sz w:val="20"/>
                <w:szCs w:val="20"/>
              </w:rPr>
            </w:pPr>
            <w:r>
              <w:rPr>
                <w:rFonts w:ascii="宋体" w:hAnsi="宋体" w:cs="宋体" w:eastAsia="宋体" w:hint="default"/>
                <w:spacing w:val="-17"/>
                <w:sz w:val="20"/>
                <w:szCs w:val="20"/>
              </w:rPr>
              <w:t>一、账面原值：</w:t>
            </w:r>
            <w:r>
              <w:rPr>
                <w:rFonts w:ascii="宋体" w:hAnsi="宋体" w:cs="宋体" w:eastAsia="宋体" w:hint="default"/>
                <w:sz w:val="20"/>
                <w:szCs w:val="20"/>
              </w:rPr>
              <w:t> </w:t>
            </w:r>
          </w:p>
        </w:tc>
        <w:tc>
          <w:tcPr>
            <w:tcW w:w="1501" w:type="dxa"/>
            <w:tcBorders>
              <w:top w:val="single" w:sz="4" w:space="0" w:color="41B7EE"/>
              <w:left w:val="single" w:sz="4" w:space="0" w:color="41B7EE"/>
              <w:bottom w:val="single" w:sz="4" w:space="0" w:color="41B7EE"/>
              <w:right w:val="single" w:sz="4" w:space="0" w:color="41B7EE"/>
            </w:tcBorders>
          </w:tcPr>
          <w:p>
            <w:pPr/>
          </w:p>
        </w:tc>
        <w:tc>
          <w:tcPr>
            <w:tcW w:w="1481" w:type="dxa"/>
            <w:tcBorders>
              <w:top w:val="single" w:sz="4" w:space="0" w:color="41B7EE"/>
              <w:left w:val="single" w:sz="4" w:space="0" w:color="41B7EE"/>
              <w:bottom w:val="single" w:sz="4" w:space="0" w:color="41B7EE"/>
              <w:right w:val="single" w:sz="4" w:space="0" w:color="41B7EE"/>
            </w:tcBorders>
          </w:tcPr>
          <w:p>
            <w:pPr/>
          </w:p>
        </w:tc>
        <w:tc>
          <w:tcPr>
            <w:tcW w:w="1217" w:type="dxa"/>
            <w:tcBorders>
              <w:top w:val="single" w:sz="4" w:space="0" w:color="41B7EE"/>
              <w:left w:val="single" w:sz="4" w:space="0" w:color="41B7EE"/>
              <w:bottom w:val="single" w:sz="4" w:space="0" w:color="41B7EE"/>
              <w:right w:val="single" w:sz="4" w:space="0" w:color="41B7EE"/>
            </w:tcBorders>
          </w:tcPr>
          <w:p>
            <w:pPr/>
          </w:p>
        </w:tc>
        <w:tc>
          <w:tcPr>
            <w:tcW w:w="1315" w:type="dxa"/>
            <w:tcBorders>
              <w:top w:val="single" w:sz="4" w:space="0" w:color="41B7EE"/>
              <w:left w:val="single" w:sz="4" w:space="0" w:color="41B7EE"/>
              <w:bottom w:val="single" w:sz="4" w:space="0" w:color="41B7EE"/>
              <w:right w:val="single" w:sz="4" w:space="0" w:color="41B7EE"/>
            </w:tcBorders>
          </w:tcPr>
          <w:p>
            <w:pPr/>
          </w:p>
        </w:tc>
        <w:tc>
          <w:tcPr>
            <w:tcW w:w="1539"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214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1"/>
              <w:ind w:left="427" w:right="0"/>
              <w:jc w:val="left"/>
              <w:rPr>
                <w:rFonts w:ascii="宋体" w:hAnsi="宋体" w:cs="宋体" w:eastAsia="宋体" w:hint="default"/>
                <w:sz w:val="20"/>
                <w:szCs w:val="20"/>
              </w:rPr>
            </w:pPr>
            <w:r>
              <w:rPr>
                <w:rFonts w:ascii="宋体" w:hAnsi="宋体" w:cs="宋体" w:eastAsia="宋体" w:hint="default"/>
                <w:spacing w:val="-15"/>
                <w:sz w:val="20"/>
                <w:szCs w:val="20"/>
              </w:rPr>
              <w:t>1.</w:t>
            </w:r>
            <w:r>
              <w:rPr>
                <w:rFonts w:ascii="宋体" w:hAnsi="宋体" w:cs="宋体" w:eastAsia="宋体" w:hint="default"/>
                <w:spacing w:val="-15"/>
                <w:sz w:val="20"/>
                <w:szCs w:val="20"/>
              </w:rPr>
              <w:t>期初余额</w:t>
            </w:r>
            <w:r>
              <w:rPr>
                <w:rFonts w:ascii="宋体" w:hAnsi="宋体" w:cs="宋体" w:eastAsia="宋体" w:hint="default"/>
                <w:sz w:val="20"/>
                <w:szCs w:val="20"/>
              </w:rPr>
              <w:t> </w:t>
            </w:r>
          </w:p>
        </w:tc>
        <w:tc>
          <w:tcPr>
            <w:tcW w:w="15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0"/>
              <w:jc w:val="right"/>
              <w:rPr>
                <w:rFonts w:ascii="Arial" w:hAnsi="Arial" w:cs="Arial" w:eastAsia="Arial" w:hint="default"/>
                <w:sz w:val="18"/>
                <w:szCs w:val="18"/>
              </w:rPr>
            </w:pPr>
            <w:r>
              <w:rPr>
                <w:rFonts w:ascii="Arial"/>
                <w:spacing w:val="-1"/>
                <w:sz w:val="18"/>
              </w:rPr>
              <w:t>4,990,054,647.57</w:t>
            </w:r>
          </w:p>
        </w:tc>
        <w:tc>
          <w:tcPr>
            <w:tcW w:w="14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2"/>
              <w:jc w:val="right"/>
              <w:rPr>
                <w:rFonts w:ascii="Arial" w:hAnsi="Arial" w:cs="Arial" w:eastAsia="Arial" w:hint="default"/>
                <w:sz w:val="18"/>
                <w:szCs w:val="18"/>
              </w:rPr>
            </w:pPr>
            <w:r>
              <w:rPr>
                <w:rFonts w:ascii="Arial"/>
                <w:spacing w:val="-1"/>
                <w:sz w:val="18"/>
              </w:rPr>
              <w:t>1,369,146,422.01</w:t>
            </w:r>
          </w:p>
        </w:tc>
        <w:tc>
          <w:tcPr>
            <w:tcW w:w="121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36,663,284.55</w:t>
            </w:r>
          </w:p>
        </w:tc>
        <w:tc>
          <w:tcPr>
            <w:tcW w:w="131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122,843,054.12</w:t>
            </w:r>
          </w:p>
        </w:tc>
        <w:tc>
          <w:tcPr>
            <w:tcW w:w="153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68"/>
              <w:ind w:right="27"/>
              <w:jc w:val="right"/>
              <w:rPr>
                <w:rFonts w:ascii="Arial" w:hAnsi="Arial" w:cs="Arial" w:eastAsia="Arial" w:hint="default"/>
                <w:sz w:val="18"/>
                <w:szCs w:val="18"/>
              </w:rPr>
            </w:pPr>
            <w:r>
              <w:rPr>
                <w:rFonts w:ascii="Arial"/>
                <w:spacing w:val="-1"/>
                <w:sz w:val="18"/>
              </w:rPr>
              <w:t>6,518,707,408.25</w:t>
            </w:r>
          </w:p>
        </w:tc>
      </w:tr>
      <w:tr>
        <w:trPr>
          <w:trHeight w:val="355" w:hRule="exact"/>
        </w:trPr>
        <w:tc>
          <w:tcPr>
            <w:tcW w:w="214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1"/>
              <w:ind w:left="427" w:right="0"/>
              <w:jc w:val="left"/>
              <w:rPr>
                <w:rFonts w:ascii="宋体" w:hAnsi="宋体" w:cs="宋体" w:eastAsia="宋体" w:hint="default"/>
                <w:sz w:val="20"/>
                <w:szCs w:val="20"/>
              </w:rPr>
            </w:pPr>
            <w:r>
              <w:rPr>
                <w:rFonts w:ascii="宋体" w:hAnsi="宋体" w:cs="宋体" w:eastAsia="宋体" w:hint="default"/>
                <w:spacing w:val="-15"/>
                <w:sz w:val="20"/>
                <w:szCs w:val="20"/>
              </w:rPr>
              <w:t>2.</w:t>
            </w:r>
            <w:r>
              <w:rPr>
                <w:rFonts w:ascii="宋体" w:hAnsi="宋体" w:cs="宋体" w:eastAsia="宋体" w:hint="default"/>
                <w:spacing w:val="-15"/>
                <w:sz w:val="20"/>
                <w:szCs w:val="20"/>
              </w:rPr>
              <w:t>本期增加金额</w:t>
            </w:r>
            <w:r>
              <w:rPr>
                <w:rFonts w:ascii="宋体" w:hAnsi="宋体" w:cs="宋体" w:eastAsia="宋体" w:hint="default"/>
                <w:sz w:val="20"/>
                <w:szCs w:val="20"/>
              </w:rPr>
              <w:t> </w:t>
            </w:r>
          </w:p>
        </w:tc>
        <w:tc>
          <w:tcPr>
            <w:tcW w:w="15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19"/>
              <w:jc w:val="right"/>
              <w:rPr>
                <w:rFonts w:ascii="Arial" w:hAnsi="Arial" w:cs="Arial" w:eastAsia="Arial" w:hint="default"/>
                <w:sz w:val="18"/>
                <w:szCs w:val="18"/>
              </w:rPr>
            </w:pPr>
            <w:r>
              <w:rPr>
                <w:rFonts w:ascii="Arial"/>
                <w:spacing w:val="-1"/>
                <w:sz w:val="18"/>
              </w:rPr>
              <w:t>257,851,067.76</w:t>
            </w:r>
          </w:p>
        </w:tc>
        <w:tc>
          <w:tcPr>
            <w:tcW w:w="14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22,314,686.43</w:t>
            </w:r>
          </w:p>
        </w:tc>
        <w:tc>
          <w:tcPr>
            <w:tcW w:w="121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994,829.72</w:t>
            </w:r>
          </w:p>
        </w:tc>
        <w:tc>
          <w:tcPr>
            <w:tcW w:w="131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-39,752,741.90</w:t>
            </w:r>
          </w:p>
        </w:tc>
        <w:tc>
          <w:tcPr>
            <w:tcW w:w="153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68"/>
              <w:ind w:right="26"/>
              <w:jc w:val="right"/>
              <w:rPr>
                <w:rFonts w:ascii="Arial" w:hAnsi="Arial" w:cs="Arial" w:eastAsia="Arial" w:hint="default"/>
                <w:sz w:val="18"/>
                <w:szCs w:val="18"/>
              </w:rPr>
            </w:pPr>
            <w:r>
              <w:rPr>
                <w:rFonts w:ascii="Arial"/>
                <w:spacing w:val="-1"/>
                <w:sz w:val="18"/>
              </w:rPr>
              <w:t>241,407,842.01</w:t>
            </w:r>
          </w:p>
        </w:tc>
      </w:tr>
      <w:tr>
        <w:trPr>
          <w:trHeight w:val="358" w:hRule="exact"/>
        </w:trPr>
        <w:tc>
          <w:tcPr>
            <w:tcW w:w="214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3"/>
              <w:ind w:left="626" w:right="0"/>
              <w:jc w:val="left"/>
              <w:rPr>
                <w:rFonts w:ascii="宋体" w:hAnsi="宋体" w:cs="宋体" w:eastAsia="宋体" w:hint="default"/>
                <w:sz w:val="20"/>
                <w:szCs w:val="20"/>
              </w:rPr>
            </w:pPr>
            <w:r>
              <w:rPr>
                <w:rFonts w:ascii="宋体" w:hAnsi="宋体" w:cs="宋体" w:eastAsia="宋体" w:hint="default"/>
                <w:spacing w:val="-16"/>
                <w:sz w:val="20"/>
                <w:szCs w:val="20"/>
              </w:rPr>
              <w:t>（</w:t>
            </w:r>
            <w:r>
              <w:rPr>
                <w:rFonts w:ascii="宋体" w:hAnsi="宋体" w:cs="宋体" w:eastAsia="宋体" w:hint="default"/>
                <w:spacing w:val="-16"/>
                <w:sz w:val="20"/>
                <w:szCs w:val="20"/>
              </w:rPr>
              <w:t>1</w:t>
            </w:r>
            <w:r>
              <w:rPr>
                <w:rFonts w:ascii="宋体" w:hAnsi="宋体" w:cs="宋体" w:eastAsia="宋体" w:hint="default"/>
                <w:spacing w:val="-16"/>
                <w:sz w:val="20"/>
                <w:szCs w:val="20"/>
              </w:rPr>
              <w:t>）购置</w:t>
            </w:r>
            <w:r>
              <w:rPr>
                <w:rFonts w:ascii="宋体" w:hAnsi="宋体" w:cs="宋体" w:eastAsia="宋体" w:hint="default"/>
                <w:sz w:val="20"/>
                <w:szCs w:val="20"/>
              </w:rPr>
              <w:t> </w:t>
            </w:r>
          </w:p>
        </w:tc>
        <w:tc>
          <w:tcPr>
            <w:tcW w:w="15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19"/>
              <w:jc w:val="right"/>
              <w:rPr>
                <w:rFonts w:ascii="Arial" w:hAnsi="Arial" w:cs="Arial" w:eastAsia="Arial" w:hint="default"/>
                <w:sz w:val="18"/>
                <w:szCs w:val="18"/>
              </w:rPr>
            </w:pPr>
            <w:r>
              <w:rPr>
                <w:rFonts w:ascii="Arial"/>
                <w:spacing w:val="-1"/>
                <w:sz w:val="18"/>
              </w:rPr>
              <w:t>17,097,214.50</w:t>
            </w:r>
          </w:p>
        </w:tc>
        <w:tc>
          <w:tcPr>
            <w:tcW w:w="14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21"/>
              <w:jc w:val="right"/>
              <w:rPr>
                <w:rFonts w:ascii="Arial" w:hAnsi="Arial" w:cs="Arial" w:eastAsia="Arial" w:hint="default"/>
                <w:sz w:val="18"/>
                <w:szCs w:val="18"/>
              </w:rPr>
            </w:pPr>
            <w:r>
              <w:rPr>
                <w:rFonts w:ascii="Arial"/>
                <w:spacing w:val="-1"/>
                <w:sz w:val="18"/>
              </w:rPr>
              <w:t>22,958,747.08</w:t>
            </w:r>
          </w:p>
        </w:tc>
        <w:tc>
          <w:tcPr>
            <w:tcW w:w="121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22"/>
              <w:jc w:val="right"/>
              <w:rPr>
                <w:rFonts w:ascii="Arial" w:hAnsi="Arial" w:cs="Arial" w:eastAsia="Arial" w:hint="default"/>
                <w:sz w:val="18"/>
                <w:szCs w:val="18"/>
              </w:rPr>
            </w:pPr>
            <w:r>
              <w:rPr>
                <w:rFonts w:ascii="Arial"/>
                <w:spacing w:val="-1"/>
                <w:sz w:val="18"/>
              </w:rPr>
              <w:t>1,327,445.10</w:t>
            </w:r>
          </w:p>
        </w:tc>
        <w:tc>
          <w:tcPr>
            <w:tcW w:w="131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21"/>
              <w:jc w:val="right"/>
              <w:rPr>
                <w:rFonts w:ascii="Arial" w:hAnsi="Arial" w:cs="Arial" w:eastAsia="Arial" w:hint="default"/>
                <w:sz w:val="18"/>
                <w:szCs w:val="18"/>
              </w:rPr>
            </w:pPr>
            <w:r>
              <w:rPr>
                <w:rFonts w:ascii="Arial"/>
                <w:spacing w:val="-1"/>
                <w:sz w:val="18"/>
              </w:rPr>
              <w:t>8,584,369.63</w:t>
            </w:r>
          </w:p>
        </w:tc>
        <w:tc>
          <w:tcPr>
            <w:tcW w:w="153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71"/>
              <w:ind w:right="26"/>
              <w:jc w:val="right"/>
              <w:rPr>
                <w:rFonts w:ascii="Arial" w:hAnsi="Arial" w:cs="Arial" w:eastAsia="Arial" w:hint="default"/>
                <w:sz w:val="18"/>
                <w:szCs w:val="18"/>
              </w:rPr>
            </w:pPr>
            <w:r>
              <w:rPr>
                <w:rFonts w:ascii="Arial"/>
                <w:spacing w:val="-1"/>
                <w:sz w:val="18"/>
              </w:rPr>
              <w:t>49,967,776.31</w:t>
            </w:r>
          </w:p>
        </w:tc>
      </w:tr>
      <w:tr>
        <w:trPr>
          <w:trHeight w:val="358" w:hRule="exact"/>
        </w:trPr>
        <w:tc>
          <w:tcPr>
            <w:tcW w:w="214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3"/>
              <w:ind w:right="22"/>
              <w:jc w:val="right"/>
              <w:rPr>
                <w:rFonts w:ascii="宋体" w:hAnsi="宋体" w:cs="宋体" w:eastAsia="宋体" w:hint="default"/>
                <w:sz w:val="20"/>
                <w:szCs w:val="20"/>
              </w:rPr>
            </w:pPr>
            <w:r>
              <w:rPr>
                <w:rFonts w:ascii="宋体" w:hAnsi="宋体" w:cs="宋体" w:eastAsia="宋体" w:hint="default"/>
                <w:spacing w:val="-25"/>
                <w:sz w:val="20"/>
                <w:szCs w:val="20"/>
              </w:rPr>
              <w:t>（</w:t>
            </w:r>
            <w:r>
              <w:rPr>
                <w:rFonts w:ascii="宋体" w:hAnsi="宋体" w:cs="宋体" w:eastAsia="宋体" w:hint="default"/>
                <w:spacing w:val="-25"/>
                <w:sz w:val="20"/>
                <w:szCs w:val="20"/>
              </w:rPr>
              <w:t>2</w:t>
            </w:r>
            <w:r>
              <w:rPr>
                <w:rFonts w:ascii="宋体" w:hAnsi="宋体" w:cs="宋体" w:eastAsia="宋体" w:hint="default"/>
                <w:spacing w:val="-25"/>
                <w:sz w:val="20"/>
                <w:szCs w:val="20"/>
              </w:rPr>
              <w:t>）在建工程转入</w:t>
            </w:r>
          </w:p>
        </w:tc>
        <w:tc>
          <w:tcPr>
            <w:tcW w:w="15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19"/>
              <w:jc w:val="right"/>
              <w:rPr>
                <w:rFonts w:ascii="Arial" w:hAnsi="Arial" w:cs="Arial" w:eastAsia="Arial" w:hint="default"/>
                <w:sz w:val="18"/>
                <w:szCs w:val="18"/>
              </w:rPr>
            </w:pPr>
            <w:r>
              <w:rPr>
                <w:rFonts w:ascii="Arial"/>
                <w:spacing w:val="-1"/>
                <w:sz w:val="18"/>
              </w:rPr>
              <w:t>170,312,275.69</w:t>
            </w:r>
          </w:p>
        </w:tc>
        <w:tc>
          <w:tcPr>
            <w:tcW w:w="14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21"/>
              <w:jc w:val="right"/>
              <w:rPr>
                <w:rFonts w:ascii="Arial" w:hAnsi="Arial" w:cs="Arial" w:eastAsia="Arial" w:hint="default"/>
                <w:sz w:val="18"/>
                <w:szCs w:val="18"/>
              </w:rPr>
            </w:pPr>
            <w:r>
              <w:rPr>
                <w:rFonts w:ascii="Arial"/>
                <w:spacing w:val="-1"/>
                <w:sz w:val="18"/>
              </w:rPr>
              <w:t>7,549,323.14</w:t>
            </w:r>
          </w:p>
        </w:tc>
        <w:tc>
          <w:tcPr>
            <w:tcW w:w="1217" w:type="dxa"/>
            <w:tcBorders>
              <w:top w:val="single" w:sz="4" w:space="0" w:color="41B7EE"/>
              <w:left w:val="single" w:sz="4" w:space="0" w:color="41B7EE"/>
              <w:bottom w:val="single" w:sz="4" w:space="0" w:color="41B7EE"/>
              <w:right w:val="single" w:sz="4" w:space="0" w:color="41B7EE"/>
            </w:tcBorders>
          </w:tcPr>
          <w:p>
            <w:pPr/>
          </w:p>
        </w:tc>
        <w:tc>
          <w:tcPr>
            <w:tcW w:w="131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21"/>
              <w:jc w:val="right"/>
              <w:rPr>
                <w:rFonts w:ascii="Arial" w:hAnsi="Arial" w:cs="Arial" w:eastAsia="Arial" w:hint="default"/>
                <w:sz w:val="18"/>
                <w:szCs w:val="18"/>
              </w:rPr>
            </w:pPr>
            <w:r>
              <w:rPr>
                <w:rFonts w:ascii="Arial"/>
                <w:spacing w:val="-1"/>
                <w:sz w:val="18"/>
              </w:rPr>
              <w:t>1,535,972.82</w:t>
            </w:r>
          </w:p>
        </w:tc>
        <w:tc>
          <w:tcPr>
            <w:tcW w:w="153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71"/>
              <w:ind w:right="26"/>
              <w:jc w:val="right"/>
              <w:rPr>
                <w:rFonts w:ascii="Arial" w:hAnsi="Arial" w:cs="Arial" w:eastAsia="Arial" w:hint="default"/>
                <w:sz w:val="18"/>
                <w:szCs w:val="18"/>
              </w:rPr>
            </w:pPr>
            <w:r>
              <w:rPr>
                <w:rFonts w:ascii="Arial"/>
                <w:spacing w:val="-1"/>
                <w:sz w:val="18"/>
              </w:rPr>
              <w:t>179,397,571.65</w:t>
            </w:r>
          </w:p>
        </w:tc>
      </w:tr>
      <w:tr>
        <w:trPr>
          <w:trHeight w:val="358" w:hRule="exact"/>
        </w:trPr>
        <w:tc>
          <w:tcPr>
            <w:tcW w:w="214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1"/>
              <w:ind w:left="626" w:right="0"/>
              <w:jc w:val="left"/>
              <w:rPr>
                <w:rFonts w:ascii="宋体" w:hAnsi="宋体" w:cs="宋体" w:eastAsia="宋体" w:hint="default"/>
                <w:sz w:val="20"/>
                <w:szCs w:val="20"/>
              </w:rPr>
            </w:pPr>
            <w:r>
              <w:rPr>
                <w:rFonts w:ascii="宋体" w:hAnsi="宋体" w:cs="宋体" w:eastAsia="宋体" w:hint="default"/>
                <w:spacing w:val="-16"/>
                <w:sz w:val="20"/>
                <w:szCs w:val="20"/>
              </w:rPr>
              <w:t>（</w:t>
            </w:r>
            <w:r>
              <w:rPr>
                <w:rFonts w:ascii="宋体" w:hAnsi="宋体" w:cs="宋体" w:eastAsia="宋体" w:hint="default"/>
                <w:spacing w:val="-16"/>
                <w:sz w:val="20"/>
                <w:szCs w:val="20"/>
              </w:rPr>
              <w:t>3</w:t>
            </w:r>
            <w:r>
              <w:rPr>
                <w:rFonts w:ascii="宋体" w:hAnsi="宋体" w:cs="宋体" w:eastAsia="宋体" w:hint="default"/>
                <w:spacing w:val="-16"/>
                <w:sz w:val="20"/>
                <w:szCs w:val="20"/>
              </w:rPr>
              <w:t>）其他</w:t>
            </w:r>
            <w:r>
              <w:rPr>
                <w:rFonts w:ascii="宋体" w:hAnsi="宋体" w:cs="宋体" w:eastAsia="宋体" w:hint="default"/>
                <w:sz w:val="20"/>
                <w:szCs w:val="20"/>
              </w:rPr>
              <w:t> </w:t>
            </w:r>
          </w:p>
        </w:tc>
        <w:tc>
          <w:tcPr>
            <w:tcW w:w="15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19"/>
              <w:jc w:val="right"/>
              <w:rPr>
                <w:rFonts w:ascii="Arial" w:hAnsi="Arial" w:cs="Arial" w:eastAsia="Arial" w:hint="default"/>
                <w:sz w:val="18"/>
                <w:szCs w:val="18"/>
              </w:rPr>
            </w:pPr>
            <w:r>
              <w:rPr>
                <w:rFonts w:ascii="Arial"/>
                <w:spacing w:val="-1"/>
                <w:sz w:val="18"/>
              </w:rPr>
              <w:t>70,441,577.57</w:t>
            </w:r>
          </w:p>
        </w:tc>
        <w:tc>
          <w:tcPr>
            <w:tcW w:w="14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-8,193,383.79</w:t>
            </w:r>
          </w:p>
        </w:tc>
        <w:tc>
          <w:tcPr>
            <w:tcW w:w="121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-332,615.38</w:t>
            </w:r>
          </w:p>
        </w:tc>
        <w:tc>
          <w:tcPr>
            <w:tcW w:w="131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-49,873,084.35</w:t>
            </w:r>
          </w:p>
        </w:tc>
        <w:tc>
          <w:tcPr>
            <w:tcW w:w="153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68"/>
              <w:ind w:right="26"/>
              <w:jc w:val="right"/>
              <w:rPr>
                <w:rFonts w:ascii="Arial" w:hAnsi="Arial" w:cs="Arial" w:eastAsia="Arial" w:hint="default"/>
                <w:sz w:val="18"/>
                <w:szCs w:val="18"/>
              </w:rPr>
            </w:pPr>
            <w:r>
              <w:rPr>
                <w:rFonts w:ascii="Arial"/>
                <w:spacing w:val="-1"/>
                <w:sz w:val="18"/>
              </w:rPr>
              <w:t>12,042,494.05</w:t>
            </w:r>
          </w:p>
        </w:tc>
      </w:tr>
      <w:tr>
        <w:trPr>
          <w:trHeight w:val="355" w:hRule="exact"/>
        </w:trPr>
        <w:tc>
          <w:tcPr>
            <w:tcW w:w="214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1"/>
              <w:ind w:left="430" w:right="0"/>
              <w:jc w:val="left"/>
              <w:rPr>
                <w:rFonts w:ascii="宋体" w:hAnsi="宋体" w:cs="宋体" w:eastAsia="宋体" w:hint="default"/>
                <w:sz w:val="20"/>
                <w:szCs w:val="20"/>
              </w:rPr>
            </w:pPr>
            <w:r>
              <w:rPr>
                <w:rFonts w:ascii="宋体" w:hAnsi="宋体" w:cs="宋体" w:eastAsia="宋体" w:hint="default"/>
                <w:spacing w:val="-15"/>
                <w:sz w:val="20"/>
                <w:szCs w:val="20"/>
              </w:rPr>
              <w:t>3.</w:t>
            </w:r>
            <w:r>
              <w:rPr>
                <w:rFonts w:ascii="宋体" w:hAnsi="宋体" w:cs="宋体" w:eastAsia="宋体" w:hint="default"/>
                <w:spacing w:val="-15"/>
                <w:sz w:val="20"/>
                <w:szCs w:val="20"/>
              </w:rPr>
              <w:t>本期减少金额</w:t>
            </w:r>
            <w:r>
              <w:rPr>
                <w:rFonts w:ascii="宋体" w:hAnsi="宋体" w:cs="宋体" w:eastAsia="宋体" w:hint="default"/>
                <w:sz w:val="20"/>
                <w:szCs w:val="20"/>
              </w:rPr>
              <w:t> </w:t>
            </w:r>
          </w:p>
        </w:tc>
        <w:tc>
          <w:tcPr>
            <w:tcW w:w="15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19"/>
              <w:jc w:val="right"/>
              <w:rPr>
                <w:rFonts w:ascii="Arial" w:hAnsi="Arial" w:cs="Arial" w:eastAsia="Arial" w:hint="default"/>
                <w:sz w:val="18"/>
                <w:szCs w:val="18"/>
              </w:rPr>
            </w:pPr>
            <w:r>
              <w:rPr>
                <w:rFonts w:ascii="Arial"/>
                <w:spacing w:val="-1"/>
                <w:sz w:val="18"/>
              </w:rPr>
              <w:t>80,962,053.80</w:t>
            </w:r>
          </w:p>
        </w:tc>
        <w:tc>
          <w:tcPr>
            <w:tcW w:w="14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42,726,508.27</w:t>
            </w:r>
          </w:p>
        </w:tc>
        <w:tc>
          <w:tcPr>
            <w:tcW w:w="121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2"/>
              <w:jc w:val="right"/>
              <w:rPr>
                <w:rFonts w:ascii="Arial" w:hAnsi="Arial" w:cs="Arial" w:eastAsia="Arial" w:hint="default"/>
                <w:sz w:val="18"/>
                <w:szCs w:val="18"/>
              </w:rPr>
            </w:pPr>
            <w:r>
              <w:rPr>
                <w:rFonts w:ascii="Arial"/>
                <w:spacing w:val="-1"/>
                <w:sz w:val="18"/>
              </w:rPr>
              <w:t>3,323,750.00</w:t>
            </w:r>
          </w:p>
        </w:tc>
        <w:tc>
          <w:tcPr>
            <w:tcW w:w="131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5,286,939.59</w:t>
            </w:r>
          </w:p>
        </w:tc>
        <w:tc>
          <w:tcPr>
            <w:tcW w:w="153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68"/>
              <w:ind w:right="26"/>
              <w:jc w:val="right"/>
              <w:rPr>
                <w:rFonts w:ascii="Arial" w:hAnsi="Arial" w:cs="Arial" w:eastAsia="Arial" w:hint="default"/>
                <w:sz w:val="18"/>
                <w:szCs w:val="18"/>
              </w:rPr>
            </w:pPr>
            <w:r>
              <w:rPr>
                <w:rFonts w:ascii="Arial"/>
                <w:spacing w:val="-1"/>
                <w:sz w:val="18"/>
              </w:rPr>
              <w:t>132,299,251.66</w:t>
            </w:r>
          </w:p>
        </w:tc>
      </w:tr>
      <w:tr>
        <w:trPr>
          <w:trHeight w:val="358" w:hRule="exact"/>
        </w:trPr>
        <w:tc>
          <w:tcPr>
            <w:tcW w:w="214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3"/>
              <w:ind w:right="30"/>
              <w:jc w:val="right"/>
              <w:rPr>
                <w:rFonts w:ascii="宋体" w:hAnsi="宋体" w:cs="宋体" w:eastAsia="宋体" w:hint="default"/>
                <w:sz w:val="20"/>
                <w:szCs w:val="20"/>
              </w:rPr>
            </w:pPr>
            <w:r>
              <w:rPr>
                <w:rFonts w:ascii="宋体" w:hAnsi="宋体" w:cs="宋体" w:eastAsia="宋体" w:hint="default"/>
                <w:spacing w:val="-16"/>
                <w:sz w:val="20"/>
                <w:szCs w:val="20"/>
              </w:rPr>
              <w:t>（</w:t>
            </w:r>
            <w:r>
              <w:rPr>
                <w:rFonts w:ascii="宋体" w:hAnsi="宋体" w:cs="宋体" w:eastAsia="宋体" w:hint="default"/>
                <w:spacing w:val="-16"/>
                <w:sz w:val="20"/>
                <w:szCs w:val="20"/>
              </w:rPr>
              <w:t>1</w:t>
            </w:r>
            <w:r>
              <w:rPr>
                <w:rFonts w:ascii="宋体" w:hAnsi="宋体" w:cs="宋体" w:eastAsia="宋体" w:hint="default"/>
                <w:spacing w:val="-16"/>
                <w:sz w:val="20"/>
                <w:szCs w:val="20"/>
              </w:rPr>
              <w:t>）处置或报废</w:t>
            </w:r>
            <w:r>
              <w:rPr>
                <w:rFonts w:ascii="宋体" w:hAnsi="宋体" w:cs="宋体" w:eastAsia="宋体" w:hint="default"/>
                <w:sz w:val="20"/>
                <w:szCs w:val="20"/>
              </w:rPr>
              <w:t> </w:t>
            </w:r>
          </w:p>
        </w:tc>
        <w:tc>
          <w:tcPr>
            <w:tcW w:w="15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19"/>
              <w:jc w:val="right"/>
              <w:rPr>
                <w:rFonts w:ascii="Arial" w:hAnsi="Arial" w:cs="Arial" w:eastAsia="Arial" w:hint="default"/>
                <w:sz w:val="18"/>
                <w:szCs w:val="18"/>
              </w:rPr>
            </w:pPr>
            <w:r>
              <w:rPr>
                <w:rFonts w:ascii="Arial"/>
                <w:spacing w:val="-1"/>
                <w:sz w:val="18"/>
              </w:rPr>
              <w:t>2,081,322.50</w:t>
            </w:r>
          </w:p>
        </w:tc>
        <w:tc>
          <w:tcPr>
            <w:tcW w:w="14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21"/>
              <w:jc w:val="right"/>
              <w:rPr>
                <w:rFonts w:ascii="Arial" w:hAnsi="Arial" w:cs="Arial" w:eastAsia="Arial" w:hint="default"/>
                <w:sz w:val="18"/>
                <w:szCs w:val="18"/>
              </w:rPr>
            </w:pPr>
            <w:r>
              <w:rPr>
                <w:rFonts w:ascii="Arial"/>
                <w:spacing w:val="-1"/>
                <w:sz w:val="18"/>
              </w:rPr>
              <w:t>28,981,924.90</w:t>
            </w:r>
          </w:p>
        </w:tc>
        <w:tc>
          <w:tcPr>
            <w:tcW w:w="1217" w:type="dxa"/>
            <w:tcBorders>
              <w:top w:val="single" w:sz="4" w:space="0" w:color="41B7EE"/>
              <w:left w:val="single" w:sz="4" w:space="0" w:color="41B7EE"/>
              <w:bottom w:val="single" w:sz="4" w:space="0" w:color="41B7EE"/>
              <w:right w:val="single" w:sz="4" w:space="0" w:color="41B7EE"/>
            </w:tcBorders>
          </w:tcPr>
          <w:p>
            <w:pPr/>
          </w:p>
        </w:tc>
        <w:tc>
          <w:tcPr>
            <w:tcW w:w="1315" w:type="dxa"/>
            <w:tcBorders>
              <w:top w:val="single" w:sz="4" w:space="0" w:color="41B7EE"/>
              <w:left w:val="single" w:sz="4" w:space="0" w:color="41B7EE"/>
              <w:bottom w:val="single" w:sz="4" w:space="0" w:color="41B7EE"/>
              <w:right w:val="single" w:sz="4" w:space="0" w:color="41B7EE"/>
            </w:tcBorders>
          </w:tcPr>
          <w:p>
            <w:pPr/>
          </w:p>
        </w:tc>
        <w:tc>
          <w:tcPr>
            <w:tcW w:w="153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71"/>
              <w:ind w:right="26"/>
              <w:jc w:val="right"/>
              <w:rPr>
                <w:rFonts w:ascii="Arial" w:hAnsi="Arial" w:cs="Arial" w:eastAsia="Arial" w:hint="default"/>
                <w:sz w:val="18"/>
                <w:szCs w:val="18"/>
              </w:rPr>
            </w:pPr>
            <w:r>
              <w:rPr>
                <w:rFonts w:ascii="Arial"/>
                <w:spacing w:val="-1"/>
                <w:sz w:val="18"/>
              </w:rPr>
              <w:t>31,063,247.40</w:t>
            </w:r>
          </w:p>
        </w:tc>
      </w:tr>
      <w:tr>
        <w:trPr>
          <w:trHeight w:val="358" w:hRule="exact"/>
        </w:trPr>
        <w:tc>
          <w:tcPr>
            <w:tcW w:w="214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4"/>
              <w:ind w:right="30"/>
              <w:jc w:val="right"/>
              <w:rPr>
                <w:rFonts w:ascii="宋体" w:hAnsi="宋体" w:cs="宋体" w:eastAsia="宋体" w:hint="default"/>
                <w:sz w:val="20"/>
                <w:szCs w:val="20"/>
              </w:rPr>
            </w:pPr>
            <w:r>
              <w:rPr>
                <w:rFonts w:ascii="宋体" w:hAnsi="宋体" w:cs="宋体" w:eastAsia="宋体" w:hint="default"/>
                <w:spacing w:val="-16"/>
                <w:sz w:val="20"/>
                <w:szCs w:val="20"/>
              </w:rPr>
              <w:t>（</w:t>
            </w:r>
            <w:r>
              <w:rPr>
                <w:rFonts w:ascii="宋体" w:hAnsi="宋体" w:cs="宋体" w:eastAsia="宋体" w:hint="default"/>
                <w:spacing w:val="-16"/>
                <w:sz w:val="20"/>
                <w:szCs w:val="20"/>
              </w:rPr>
              <w:t>2</w:t>
            </w:r>
            <w:r>
              <w:rPr>
                <w:rFonts w:ascii="宋体" w:hAnsi="宋体" w:cs="宋体" w:eastAsia="宋体" w:hint="default"/>
                <w:spacing w:val="-16"/>
                <w:sz w:val="20"/>
                <w:szCs w:val="20"/>
              </w:rPr>
              <w:t>）报废和毁损</w:t>
            </w:r>
            <w:r>
              <w:rPr>
                <w:rFonts w:ascii="宋体" w:hAnsi="宋体" w:cs="宋体" w:eastAsia="宋体" w:hint="default"/>
                <w:sz w:val="20"/>
                <w:szCs w:val="20"/>
              </w:rPr>
              <w:t> </w:t>
            </w:r>
          </w:p>
        </w:tc>
        <w:tc>
          <w:tcPr>
            <w:tcW w:w="15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19"/>
              <w:jc w:val="right"/>
              <w:rPr>
                <w:rFonts w:ascii="Arial" w:hAnsi="Arial" w:cs="Arial" w:eastAsia="Arial" w:hint="default"/>
                <w:sz w:val="18"/>
                <w:szCs w:val="18"/>
              </w:rPr>
            </w:pPr>
            <w:r>
              <w:rPr>
                <w:rFonts w:ascii="Arial"/>
                <w:spacing w:val="-1"/>
                <w:sz w:val="18"/>
              </w:rPr>
              <w:t>74,311,638.30</w:t>
            </w:r>
          </w:p>
        </w:tc>
        <w:tc>
          <w:tcPr>
            <w:tcW w:w="14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21"/>
              <w:jc w:val="right"/>
              <w:rPr>
                <w:rFonts w:ascii="Arial" w:hAnsi="Arial" w:cs="Arial" w:eastAsia="Arial" w:hint="default"/>
                <w:sz w:val="18"/>
                <w:szCs w:val="18"/>
              </w:rPr>
            </w:pPr>
            <w:r>
              <w:rPr>
                <w:rFonts w:ascii="Arial"/>
                <w:spacing w:val="-1"/>
                <w:sz w:val="18"/>
              </w:rPr>
              <w:t>13,744,583.37</w:t>
            </w:r>
          </w:p>
        </w:tc>
        <w:tc>
          <w:tcPr>
            <w:tcW w:w="121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22"/>
              <w:jc w:val="right"/>
              <w:rPr>
                <w:rFonts w:ascii="Arial" w:hAnsi="Arial" w:cs="Arial" w:eastAsia="Arial" w:hint="default"/>
                <w:sz w:val="18"/>
                <w:szCs w:val="18"/>
              </w:rPr>
            </w:pPr>
            <w:r>
              <w:rPr>
                <w:rFonts w:ascii="Arial"/>
                <w:spacing w:val="-1"/>
                <w:sz w:val="18"/>
              </w:rPr>
              <w:t>3,323,750.00</w:t>
            </w:r>
          </w:p>
        </w:tc>
        <w:tc>
          <w:tcPr>
            <w:tcW w:w="131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21"/>
              <w:jc w:val="right"/>
              <w:rPr>
                <w:rFonts w:ascii="Arial" w:hAnsi="Arial" w:cs="Arial" w:eastAsia="Arial" w:hint="default"/>
                <w:sz w:val="18"/>
                <w:szCs w:val="18"/>
              </w:rPr>
            </w:pPr>
            <w:r>
              <w:rPr>
                <w:rFonts w:ascii="Arial"/>
                <w:spacing w:val="-1"/>
                <w:sz w:val="18"/>
              </w:rPr>
              <w:t>5,286,939.59</w:t>
            </w:r>
          </w:p>
        </w:tc>
        <w:tc>
          <w:tcPr>
            <w:tcW w:w="153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71"/>
              <w:ind w:right="26"/>
              <w:jc w:val="right"/>
              <w:rPr>
                <w:rFonts w:ascii="Arial" w:hAnsi="Arial" w:cs="Arial" w:eastAsia="Arial" w:hint="default"/>
                <w:sz w:val="18"/>
                <w:szCs w:val="18"/>
              </w:rPr>
            </w:pPr>
            <w:r>
              <w:rPr>
                <w:rFonts w:ascii="Arial"/>
                <w:spacing w:val="-1"/>
                <w:sz w:val="18"/>
              </w:rPr>
              <w:t>96,666,911.26</w:t>
            </w:r>
          </w:p>
        </w:tc>
      </w:tr>
      <w:tr>
        <w:trPr>
          <w:trHeight w:val="358" w:hRule="exact"/>
        </w:trPr>
        <w:tc>
          <w:tcPr>
            <w:tcW w:w="214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1"/>
              <w:ind w:left="626" w:right="0"/>
              <w:jc w:val="left"/>
              <w:rPr>
                <w:rFonts w:ascii="宋体" w:hAnsi="宋体" w:cs="宋体" w:eastAsia="宋体" w:hint="default"/>
                <w:sz w:val="20"/>
                <w:szCs w:val="20"/>
              </w:rPr>
            </w:pPr>
            <w:r>
              <w:rPr>
                <w:rFonts w:ascii="宋体" w:hAnsi="宋体" w:cs="宋体" w:eastAsia="宋体" w:hint="default"/>
                <w:spacing w:val="-16"/>
                <w:sz w:val="20"/>
                <w:szCs w:val="20"/>
              </w:rPr>
              <w:t>（</w:t>
            </w:r>
            <w:r>
              <w:rPr>
                <w:rFonts w:ascii="宋体" w:hAnsi="宋体" w:cs="宋体" w:eastAsia="宋体" w:hint="default"/>
                <w:spacing w:val="-16"/>
                <w:sz w:val="20"/>
                <w:szCs w:val="20"/>
              </w:rPr>
              <w:t>3</w:t>
            </w:r>
            <w:r>
              <w:rPr>
                <w:rFonts w:ascii="宋体" w:hAnsi="宋体" w:cs="宋体" w:eastAsia="宋体" w:hint="default"/>
                <w:spacing w:val="-16"/>
                <w:sz w:val="20"/>
                <w:szCs w:val="20"/>
              </w:rPr>
              <w:t>）其他</w:t>
            </w:r>
            <w:r>
              <w:rPr>
                <w:rFonts w:ascii="宋体" w:hAnsi="宋体" w:cs="宋体" w:eastAsia="宋体" w:hint="default"/>
                <w:sz w:val="20"/>
                <w:szCs w:val="20"/>
              </w:rPr>
              <w:t> </w:t>
            </w:r>
          </w:p>
        </w:tc>
        <w:tc>
          <w:tcPr>
            <w:tcW w:w="15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19"/>
              <w:jc w:val="right"/>
              <w:rPr>
                <w:rFonts w:ascii="Arial" w:hAnsi="Arial" w:cs="Arial" w:eastAsia="Arial" w:hint="default"/>
                <w:sz w:val="18"/>
                <w:szCs w:val="18"/>
              </w:rPr>
            </w:pPr>
            <w:r>
              <w:rPr>
                <w:rFonts w:ascii="Arial"/>
                <w:spacing w:val="-1"/>
                <w:sz w:val="18"/>
              </w:rPr>
              <w:t>4,569,093.00</w:t>
            </w:r>
          </w:p>
        </w:tc>
        <w:tc>
          <w:tcPr>
            <w:tcW w:w="1481" w:type="dxa"/>
            <w:tcBorders>
              <w:top w:val="single" w:sz="4" w:space="0" w:color="41B7EE"/>
              <w:left w:val="single" w:sz="4" w:space="0" w:color="41B7EE"/>
              <w:bottom w:val="single" w:sz="4" w:space="0" w:color="41B7EE"/>
              <w:right w:val="single" w:sz="4" w:space="0" w:color="41B7EE"/>
            </w:tcBorders>
          </w:tcPr>
          <w:p>
            <w:pPr/>
          </w:p>
        </w:tc>
        <w:tc>
          <w:tcPr>
            <w:tcW w:w="1217" w:type="dxa"/>
            <w:tcBorders>
              <w:top w:val="single" w:sz="4" w:space="0" w:color="41B7EE"/>
              <w:left w:val="single" w:sz="4" w:space="0" w:color="41B7EE"/>
              <w:bottom w:val="single" w:sz="4" w:space="0" w:color="41B7EE"/>
              <w:right w:val="single" w:sz="4" w:space="0" w:color="41B7EE"/>
            </w:tcBorders>
          </w:tcPr>
          <w:p>
            <w:pPr/>
          </w:p>
        </w:tc>
        <w:tc>
          <w:tcPr>
            <w:tcW w:w="1315" w:type="dxa"/>
            <w:tcBorders>
              <w:top w:val="single" w:sz="4" w:space="0" w:color="41B7EE"/>
              <w:left w:val="single" w:sz="4" w:space="0" w:color="41B7EE"/>
              <w:bottom w:val="single" w:sz="4" w:space="0" w:color="41B7EE"/>
              <w:right w:val="single" w:sz="4" w:space="0" w:color="41B7EE"/>
            </w:tcBorders>
          </w:tcPr>
          <w:p>
            <w:pPr/>
          </w:p>
        </w:tc>
        <w:tc>
          <w:tcPr>
            <w:tcW w:w="153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68"/>
              <w:ind w:right="26"/>
              <w:jc w:val="right"/>
              <w:rPr>
                <w:rFonts w:ascii="Arial" w:hAnsi="Arial" w:cs="Arial" w:eastAsia="Arial" w:hint="default"/>
                <w:sz w:val="18"/>
                <w:szCs w:val="18"/>
              </w:rPr>
            </w:pPr>
            <w:r>
              <w:rPr>
                <w:rFonts w:ascii="Arial"/>
                <w:spacing w:val="-1"/>
                <w:sz w:val="18"/>
              </w:rPr>
              <w:t>4,569,093.00</w:t>
            </w:r>
          </w:p>
        </w:tc>
      </w:tr>
      <w:tr>
        <w:trPr>
          <w:trHeight w:val="355" w:hRule="exact"/>
        </w:trPr>
        <w:tc>
          <w:tcPr>
            <w:tcW w:w="214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1"/>
              <w:ind w:left="427" w:right="0"/>
              <w:jc w:val="left"/>
              <w:rPr>
                <w:rFonts w:ascii="宋体" w:hAnsi="宋体" w:cs="宋体" w:eastAsia="宋体" w:hint="default"/>
                <w:sz w:val="20"/>
                <w:szCs w:val="20"/>
              </w:rPr>
            </w:pPr>
            <w:r>
              <w:rPr>
                <w:rFonts w:ascii="宋体" w:hAnsi="宋体" w:cs="宋体" w:eastAsia="宋体" w:hint="default"/>
                <w:spacing w:val="-15"/>
                <w:sz w:val="20"/>
                <w:szCs w:val="20"/>
              </w:rPr>
              <w:t>4.</w:t>
            </w:r>
            <w:r>
              <w:rPr>
                <w:rFonts w:ascii="宋体" w:hAnsi="宋体" w:cs="宋体" w:eastAsia="宋体" w:hint="default"/>
                <w:spacing w:val="-15"/>
                <w:sz w:val="20"/>
                <w:szCs w:val="20"/>
              </w:rPr>
              <w:t>期末余额</w:t>
            </w:r>
            <w:r>
              <w:rPr>
                <w:rFonts w:ascii="宋体" w:hAnsi="宋体" w:cs="宋体" w:eastAsia="宋体" w:hint="default"/>
                <w:sz w:val="20"/>
                <w:szCs w:val="20"/>
              </w:rPr>
              <w:t> </w:t>
            </w:r>
          </w:p>
        </w:tc>
        <w:tc>
          <w:tcPr>
            <w:tcW w:w="15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0"/>
              <w:jc w:val="right"/>
              <w:rPr>
                <w:rFonts w:ascii="Arial" w:hAnsi="Arial" w:cs="Arial" w:eastAsia="Arial" w:hint="default"/>
                <w:sz w:val="18"/>
                <w:szCs w:val="18"/>
              </w:rPr>
            </w:pPr>
            <w:r>
              <w:rPr>
                <w:rFonts w:ascii="Arial"/>
                <w:spacing w:val="-1"/>
                <w:sz w:val="18"/>
              </w:rPr>
              <w:t>5,166,943,661.53</w:t>
            </w:r>
          </w:p>
        </w:tc>
        <w:tc>
          <w:tcPr>
            <w:tcW w:w="14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2"/>
              <w:jc w:val="right"/>
              <w:rPr>
                <w:rFonts w:ascii="Arial" w:hAnsi="Arial" w:cs="Arial" w:eastAsia="Arial" w:hint="default"/>
                <w:sz w:val="18"/>
                <w:szCs w:val="18"/>
              </w:rPr>
            </w:pPr>
            <w:r>
              <w:rPr>
                <w:rFonts w:ascii="Arial"/>
                <w:spacing w:val="-1"/>
                <w:sz w:val="18"/>
              </w:rPr>
              <w:t>1,348,734,600.17</w:t>
            </w:r>
          </w:p>
        </w:tc>
        <w:tc>
          <w:tcPr>
            <w:tcW w:w="121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34,334,364.27</w:t>
            </w:r>
          </w:p>
        </w:tc>
        <w:tc>
          <w:tcPr>
            <w:tcW w:w="131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77,803,372.63</w:t>
            </w:r>
          </w:p>
        </w:tc>
        <w:tc>
          <w:tcPr>
            <w:tcW w:w="153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68"/>
              <w:ind w:right="27"/>
              <w:jc w:val="right"/>
              <w:rPr>
                <w:rFonts w:ascii="Arial" w:hAnsi="Arial" w:cs="Arial" w:eastAsia="Arial" w:hint="default"/>
                <w:sz w:val="18"/>
                <w:szCs w:val="18"/>
              </w:rPr>
            </w:pPr>
            <w:r>
              <w:rPr>
                <w:rFonts w:ascii="Arial"/>
                <w:spacing w:val="-1"/>
                <w:sz w:val="18"/>
              </w:rPr>
              <w:t>6,627,815,998.60</w:t>
            </w:r>
          </w:p>
        </w:tc>
      </w:tr>
      <w:tr>
        <w:trPr>
          <w:trHeight w:val="358" w:hRule="exact"/>
        </w:trPr>
        <w:tc>
          <w:tcPr>
            <w:tcW w:w="214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3"/>
              <w:ind w:left="26" w:right="0"/>
              <w:jc w:val="left"/>
              <w:rPr>
                <w:rFonts w:ascii="宋体" w:hAnsi="宋体" w:cs="宋体" w:eastAsia="宋体" w:hint="default"/>
                <w:sz w:val="20"/>
                <w:szCs w:val="20"/>
              </w:rPr>
            </w:pPr>
            <w:r>
              <w:rPr>
                <w:rFonts w:ascii="宋体" w:hAnsi="宋体" w:cs="宋体" w:eastAsia="宋体" w:hint="default"/>
                <w:spacing w:val="-17"/>
                <w:sz w:val="20"/>
                <w:szCs w:val="20"/>
              </w:rPr>
              <w:t>二、累计折旧</w:t>
            </w:r>
            <w:r>
              <w:rPr>
                <w:rFonts w:ascii="宋体" w:hAnsi="宋体" w:cs="宋体" w:eastAsia="宋体" w:hint="default"/>
                <w:sz w:val="20"/>
                <w:szCs w:val="20"/>
              </w:rPr>
              <w:t> </w:t>
            </w:r>
          </w:p>
        </w:tc>
        <w:tc>
          <w:tcPr>
            <w:tcW w:w="1501" w:type="dxa"/>
            <w:tcBorders>
              <w:top w:val="single" w:sz="4" w:space="0" w:color="41B7EE"/>
              <w:left w:val="single" w:sz="4" w:space="0" w:color="41B7EE"/>
              <w:bottom w:val="single" w:sz="4" w:space="0" w:color="41B7EE"/>
              <w:right w:val="single" w:sz="4" w:space="0" w:color="41B7EE"/>
            </w:tcBorders>
          </w:tcPr>
          <w:p>
            <w:pPr/>
          </w:p>
        </w:tc>
        <w:tc>
          <w:tcPr>
            <w:tcW w:w="1481" w:type="dxa"/>
            <w:tcBorders>
              <w:top w:val="single" w:sz="4" w:space="0" w:color="41B7EE"/>
              <w:left w:val="single" w:sz="4" w:space="0" w:color="41B7EE"/>
              <w:bottom w:val="single" w:sz="4" w:space="0" w:color="41B7EE"/>
              <w:right w:val="single" w:sz="4" w:space="0" w:color="41B7EE"/>
            </w:tcBorders>
          </w:tcPr>
          <w:p>
            <w:pPr/>
          </w:p>
        </w:tc>
        <w:tc>
          <w:tcPr>
            <w:tcW w:w="1217" w:type="dxa"/>
            <w:tcBorders>
              <w:top w:val="single" w:sz="4" w:space="0" w:color="41B7EE"/>
              <w:left w:val="single" w:sz="4" w:space="0" w:color="41B7EE"/>
              <w:bottom w:val="single" w:sz="4" w:space="0" w:color="41B7EE"/>
              <w:right w:val="single" w:sz="4" w:space="0" w:color="41B7EE"/>
            </w:tcBorders>
          </w:tcPr>
          <w:p>
            <w:pPr/>
          </w:p>
        </w:tc>
        <w:tc>
          <w:tcPr>
            <w:tcW w:w="1315" w:type="dxa"/>
            <w:tcBorders>
              <w:top w:val="single" w:sz="4" w:space="0" w:color="41B7EE"/>
              <w:left w:val="single" w:sz="4" w:space="0" w:color="41B7EE"/>
              <w:bottom w:val="single" w:sz="4" w:space="0" w:color="41B7EE"/>
              <w:right w:val="single" w:sz="4" w:space="0" w:color="41B7EE"/>
            </w:tcBorders>
          </w:tcPr>
          <w:p>
            <w:pPr/>
          </w:p>
        </w:tc>
        <w:tc>
          <w:tcPr>
            <w:tcW w:w="1539"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214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3"/>
              <w:ind w:left="427" w:right="0"/>
              <w:jc w:val="left"/>
              <w:rPr>
                <w:rFonts w:ascii="宋体" w:hAnsi="宋体" w:cs="宋体" w:eastAsia="宋体" w:hint="default"/>
                <w:sz w:val="20"/>
                <w:szCs w:val="20"/>
              </w:rPr>
            </w:pPr>
            <w:r>
              <w:rPr>
                <w:rFonts w:ascii="宋体" w:hAnsi="宋体" w:cs="宋体" w:eastAsia="宋体" w:hint="default"/>
                <w:spacing w:val="-15"/>
                <w:sz w:val="20"/>
                <w:szCs w:val="20"/>
              </w:rPr>
              <w:t>1.</w:t>
            </w:r>
            <w:r>
              <w:rPr>
                <w:rFonts w:ascii="宋体" w:hAnsi="宋体" w:cs="宋体" w:eastAsia="宋体" w:hint="default"/>
                <w:spacing w:val="-15"/>
                <w:sz w:val="20"/>
                <w:szCs w:val="20"/>
              </w:rPr>
              <w:t>期初余额</w:t>
            </w:r>
            <w:r>
              <w:rPr>
                <w:rFonts w:ascii="宋体" w:hAnsi="宋体" w:cs="宋体" w:eastAsia="宋体" w:hint="default"/>
                <w:sz w:val="20"/>
                <w:szCs w:val="20"/>
              </w:rPr>
              <w:t> </w:t>
            </w:r>
          </w:p>
        </w:tc>
        <w:tc>
          <w:tcPr>
            <w:tcW w:w="15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20"/>
              <w:jc w:val="right"/>
              <w:rPr>
                <w:rFonts w:ascii="Arial" w:hAnsi="Arial" w:cs="Arial" w:eastAsia="Arial" w:hint="default"/>
                <w:sz w:val="18"/>
                <w:szCs w:val="18"/>
              </w:rPr>
            </w:pPr>
            <w:r>
              <w:rPr>
                <w:rFonts w:ascii="Arial"/>
                <w:spacing w:val="-1"/>
                <w:sz w:val="18"/>
              </w:rPr>
              <w:t>2,000,259,173.28</w:t>
            </w:r>
          </w:p>
        </w:tc>
        <w:tc>
          <w:tcPr>
            <w:tcW w:w="14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21"/>
              <w:jc w:val="right"/>
              <w:rPr>
                <w:rFonts w:ascii="Arial" w:hAnsi="Arial" w:cs="Arial" w:eastAsia="Arial" w:hint="default"/>
                <w:sz w:val="18"/>
                <w:szCs w:val="18"/>
              </w:rPr>
            </w:pPr>
            <w:r>
              <w:rPr>
                <w:rFonts w:ascii="Arial"/>
                <w:spacing w:val="-1"/>
                <w:sz w:val="18"/>
              </w:rPr>
              <w:t>870,882,346.72</w:t>
            </w:r>
          </w:p>
        </w:tc>
        <w:tc>
          <w:tcPr>
            <w:tcW w:w="121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21"/>
              <w:jc w:val="right"/>
              <w:rPr>
                <w:rFonts w:ascii="Arial" w:hAnsi="Arial" w:cs="Arial" w:eastAsia="Arial" w:hint="default"/>
                <w:sz w:val="18"/>
                <w:szCs w:val="18"/>
              </w:rPr>
            </w:pPr>
            <w:r>
              <w:rPr>
                <w:rFonts w:ascii="Arial"/>
                <w:spacing w:val="-1"/>
                <w:sz w:val="18"/>
              </w:rPr>
              <w:t>24,417,197.84</w:t>
            </w:r>
          </w:p>
        </w:tc>
        <w:tc>
          <w:tcPr>
            <w:tcW w:w="131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21"/>
              <w:jc w:val="right"/>
              <w:rPr>
                <w:rFonts w:ascii="Arial" w:hAnsi="Arial" w:cs="Arial" w:eastAsia="Arial" w:hint="default"/>
                <w:sz w:val="18"/>
                <w:szCs w:val="18"/>
              </w:rPr>
            </w:pPr>
            <w:r>
              <w:rPr>
                <w:rFonts w:ascii="Arial"/>
                <w:spacing w:val="-1"/>
                <w:sz w:val="18"/>
              </w:rPr>
              <w:t>92,080,275.98</w:t>
            </w:r>
          </w:p>
        </w:tc>
        <w:tc>
          <w:tcPr>
            <w:tcW w:w="153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71"/>
              <w:ind w:right="27"/>
              <w:jc w:val="right"/>
              <w:rPr>
                <w:rFonts w:ascii="Arial" w:hAnsi="Arial" w:cs="Arial" w:eastAsia="Arial" w:hint="default"/>
                <w:sz w:val="18"/>
                <w:szCs w:val="18"/>
              </w:rPr>
            </w:pPr>
            <w:r>
              <w:rPr>
                <w:rFonts w:ascii="Arial"/>
                <w:spacing w:val="-1"/>
                <w:sz w:val="18"/>
              </w:rPr>
              <w:t>2,987,638,993.82</w:t>
            </w:r>
          </w:p>
        </w:tc>
      </w:tr>
      <w:tr>
        <w:trPr>
          <w:trHeight w:val="358" w:hRule="exact"/>
        </w:trPr>
        <w:tc>
          <w:tcPr>
            <w:tcW w:w="214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1"/>
              <w:ind w:left="427" w:right="0"/>
              <w:jc w:val="left"/>
              <w:rPr>
                <w:rFonts w:ascii="宋体" w:hAnsi="宋体" w:cs="宋体" w:eastAsia="宋体" w:hint="default"/>
                <w:sz w:val="20"/>
                <w:szCs w:val="20"/>
              </w:rPr>
            </w:pPr>
            <w:r>
              <w:rPr>
                <w:rFonts w:ascii="宋体" w:hAnsi="宋体" w:cs="宋体" w:eastAsia="宋体" w:hint="default"/>
                <w:spacing w:val="-15"/>
                <w:sz w:val="20"/>
                <w:szCs w:val="20"/>
              </w:rPr>
              <w:t>2.</w:t>
            </w:r>
            <w:r>
              <w:rPr>
                <w:rFonts w:ascii="宋体" w:hAnsi="宋体" w:cs="宋体" w:eastAsia="宋体" w:hint="default"/>
                <w:spacing w:val="-15"/>
                <w:sz w:val="20"/>
                <w:szCs w:val="20"/>
              </w:rPr>
              <w:t>本期增加金额</w:t>
            </w:r>
            <w:r>
              <w:rPr>
                <w:rFonts w:ascii="宋体" w:hAnsi="宋体" w:cs="宋体" w:eastAsia="宋体" w:hint="default"/>
                <w:sz w:val="20"/>
                <w:szCs w:val="20"/>
              </w:rPr>
              <w:t> </w:t>
            </w:r>
          </w:p>
        </w:tc>
        <w:tc>
          <w:tcPr>
            <w:tcW w:w="15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19"/>
              <w:jc w:val="right"/>
              <w:rPr>
                <w:rFonts w:ascii="Arial" w:hAnsi="Arial" w:cs="Arial" w:eastAsia="Arial" w:hint="default"/>
                <w:sz w:val="18"/>
                <w:szCs w:val="18"/>
              </w:rPr>
            </w:pPr>
            <w:r>
              <w:rPr>
                <w:rFonts w:ascii="Arial"/>
                <w:spacing w:val="-1"/>
                <w:sz w:val="18"/>
              </w:rPr>
              <w:t>221,306,596.81</w:t>
            </w:r>
          </w:p>
        </w:tc>
        <w:tc>
          <w:tcPr>
            <w:tcW w:w="14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22,733,394.85</w:t>
            </w:r>
          </w:p>
        </w:tc>
        <w:tc>
          <w:tcPr>
            <w:tcW w:w="121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2"/>
              <w:jc w:val="right"/>
              <w:rPr>
                <w:rFonts w:ascii="Arial" w:hAnsi="Arial" w:cs="Arial" w:eastAsia="Arial" w:hint="default"/>
                <w:sz w:val="18"/>
                <w:szCs w:val="18"/>
              </w:rPr>
            </w:pPr>
            <w:r>
              <w:rPr>
                <w:rFonts w:ascii="Arial"/>
                <w:spacing w:val="-1"/>
                <w:sz w:val="18"/>
              </w:rPr>
              <w:t>2,419,528.43</w:t>
            </w:r>
          </w:p>
        </w:tc>
        <w:tc>
          <w:tcPr>
            <w:tcW w:w="131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-40,808,310.08</w:t>
            </w:r>
          </w:p>
        </w:tc>
        <w:tc>
          <w:tcPr>
            <w:tcW w:w="153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68"/>
              <w:ind w:right="26"/>
              <w:jc w:val="right"/>
              <w:rPr>
                <w:rFonts w:ascii="Arial" w:hAnsi="Arial" w:cs="Arial" w:eastAsia="Arial" w:hint="default"/>
                <w:sz w:val="18"/>
                <w:szCs w:val="18"/>
              </w:rPr>
            </w:pPr>
            <w:r>
              <w:rPr>
                <w:rFonts w:ascii="Arial"/>
                <w:spacing w:val="-1"/>
                <w:sz w:val="18"/>
              </w:rPr>
              <w:t>205,651,210.01</w:t>
            </w:r>
          </w:p>
        </w:tc>
      </w:tr>
      <w:tr>
        <w:trPr>
          <w:trHeight w:val="355" w:hRule="exact"/>
        </w:trPr>
        <w:tc>
          <w:tcPr>
            <w:tcW w:w="214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1"/>
              <w:ind w:left="626" w:right="0"/>
              <w:jc w:val="left"/>
              <w:rPr>
                <w:rFonts w:ascii="宋体" w:hAnsi="宋体" w:cs="宋体" w:eastAsia="宋体" w:hint="default"/>
                <w:sz w:val="20"/>
                <w:szCs w:val="20"/>
              </w:rPr>
            </w:pPr>
            <w:r>
              <w:rPr>
                <w:rFonts w:ascii="宋体" w:hAnsi="宋体" w:cs="宋体" w:eastAsia="宋体" w:hint="default"/>
                <w:spacing w:val="-16"/>
                <w:sz w:val="20"/>
                <w:szCs w:val="20"/>
              </w:rPr>
              <w:t>（</w:t>
            </w:r>
            <w:r>
              <w:rPr>
                <w:rFonts w:ascii="宋体" w:hAnsi="宋体" w:cs="宋体" w:eastAsia="宋体" w:hint="default"/>
                <w:spacing w:val="-16"/>
                <w:sz w:val="20"/>
                <w:szCs w:val="20"/>
              </w:rPr>
              <w:t>1</w:t>
            </w:r>
            <w:r>
              <w:rPr>
                <w:rFonts w:ascii="宋体" w:hAnsi="宋体" w:cs="宋体" w:eastAsia="宋体" w:hint="default"/>
                <w:spacing w:val="-16"/>
                <w:sz w:val="20"/>
                <w:szCs w:val="20"/>
              </w:rPr>
              <w:t>）计提</w:t>
            </w:r>
            <w:r>
              <w:rPr>
                <w:rFonts w:ascii="宋体" w:hAnsi="宋体" w:cs="宋体" w:eastAsia="宋体" w:hint="default"/>
                <w:sz w:val="20"/>
                <w:szCs w:val="20"/>
              </w:rPr>
              <w:t> </w:t>
            </w:r>
          </w:p>
        </w:tc>
        <w:tc>
          <w:tcPr>
            <w:tcW w:w="15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19"/>
              <w:jc w:val="right"/>
              <w:rPr>
                <w:rFonts w:ascii="Arial" w:hAnsi="Arial" w:cs="Arial" w:eastAsia="Arial" w:hint="default"/>
                <w:sz w:val="18"/>
                <w:szCs w:val="18"/>
              </w:rPr>
            </w:pPr>
            <w:r>
              <w:rPr>
                <w:rFonts w:ascii="Arial"/>
                <w:spacing w:val="-1"/>
                <w:sz w:val="18"/>
              </w:rPr>
              <w:t>177,372,563.08</w:t>
            </w:r>
          </w:p>
        </w:tc>
        <w:tc>
          <w:tcPr>
            <w:tcW w:w="14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35,319,676.57</w:t>
            </w:r>
          </w:p>
        </w:tc>
        <w:tc>
          <w:tcPr>
            <w:tcW w:w="121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2"/>
              <w:jc w:val="right"/>
              <w:rPr>
                <w:rFonts w:ascii="Arial" w:hAnsi="Arial" w:cs="Arial" w:eastAsia="Arial" w:hint="default"/>
                <w:sz w:val="18"/>
                <w:szCs w:val="18"/>
              </w:rPr>
            </w:pPr>
            <w:r>
              <w:rPr>
                <w:rFonts w:ascii="Arial"/>
                <w:spacing w:val="-1"/>
                <w:sz w:val="18"/>
              </w:rPr>
              <w:t>2,480,239.08</w:t>
            </w:r>
          </w:p>
        </w:tc>
        <w:tc>
          <w:tcPr>
            <w:tcW w:w="131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5,715,438.10</w:t>
            </w:r>
          </w:p>
        </w:tc>
        <w:tc>
          <w:tcPr>
            <w:tcW w:w="153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68"/>
              <w:ind w:right="26"/>
              <w:jc w:val="right"/>
              <w:rPr>
                <w:rFonts w:ascii="Arial" w:hAnsi="Arial" w:cs="Arial" w:eastAsia="Arial" w:hint="default"/>
                <w:sz w:val="18"/>
                <w:szCs w:val="18"/>
              </w:rPr>
            </w:pPr>
            <w:r>
              <w:rPr>
                <w:rFonts w:ascii="Arial"/>
                <w:spacing w:val="-1"/>
                <w:sz w:val="18"/>
              </w:rPr>
              <w:t>220,887,916.83</w:t>
            </w:r>
          </w:p>
        </w:tc>
      </w:tr>
      <w:tr>
        <w:trPr>
          <w:trHeight w:val="358" w:hRule="exact"/>
        </w:trPr>
        <w:tc>
          <w:tcPr>
            <w:tcW w:w="214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3"/>
              <w:ind w:left="626" w:right="0"/>
              <w:jc w:val="left"/>
              <w:rPr>
                <w:rFonts w:ascii="宋体" w:hAnsi="宋体" w:cs="宋体" w:eastAsia="宋体" w:hint="default"/>
                <w:sz w:val="20"/>
                <w:szCs w:val="20"/>
              </w:rPr>
            </w:pPr>
            <w:r>
              <w:rPr>
                <w:rFonts w:ascii="宋体" w:hAnsi="宋体" w:cs="宋体" w:eastAsia="宋体" w:hint="default"/>
                <w:spacing w:val="-16"/>
                <w:sz w:val="20"/>
                <w:szCs w:val="20"/>
              </w:rPr>
              <w:t>（</w:t>
            </w:r>
            <w:r>
              <w:rPr>
                <w:rFonts w:ascii="宋体" w:hAnsi="宋体" w:cs="宋体" w:eastAsia="宋体" w:hint="default"/>
                <w:spacing w:val="-16"/>
                <w:sz w:val="20"/>
                <w:szCs w:val="20"/>
              </w:rPr>
              <w:t>2</w:t>
            </w:r>
            <w:r>
              <w:rPr>
                <w:rFonts w:ascii="宋体" w:hAnsi="宋体" w:cs="宋体" w:eastAsia="宋体" w:hint="default"/>
                <w:spacing w:val="-16"/>
                <w:sz w:val="20"/>
                <w:szCs w:val="20"/>
              </w:rPr>
              <w:t>）其他</w:t>
            </w:r>
            <w:r>
              <w:rPr>
                <w:rFonts w:ascii="宋体" w:hAnsi="宋体" w:cs="宋体" w:eastAsia="宋体" w:hint="default"/>
                <w:sz w:val="20"/>
                <w:szCs w:val="20"/>
              </w:rPr>
              <w:t> </w:t>
            </w:r>
          </w:p>
        </w:tc>
        <w:tc>
          <w:tcPr>
            <w:tcW w:w="15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19"/>
              <w:jc w:val="right"/>
              <w:rPr>
                <w:rFonts w:ascii="Arial" w:hAnsi="Arial" w:cs="Arial" w:eastAsia="Arial" w:hint="default"/>
                <w:sz w:val="18"/>
                <w:szCs w:val="18"/>
              </w:rPr>
            </w:pPr>
            <w:r>
              <w:rPr>
                <w:rFonts w:ascii="Arial"/>
                <w:spacing w:val="-1"/>
                <w:sz w:val="18"/>
              </w:rPr>
              <w:t>43,934,033.73</w:t>
            </w:r>
          </w:p>
        </w:tc>
        <w:tc>
          <w:tcPr>
            <w:tcW w:w="14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21"/>
              <w:jc w:val="right"/>
              <w:rPr>
                <w:rFonts w:ascii="Arial" w:hAnsi="Arial" w:cs="Arial" w:eastAsia="Arial" w:hint="default"/>
                <w:sz w:val="18"/>
                <w:szCs w:val="18"/>
              </w:rPr>
            </w:pPr>
            <w:r>
              <w:rPr>
                <w:rFonts w:ascii="Arial"/>
                <w:spacing w:val="-1"/>
                <w:sz w:val="18"/>
              </w:rPr>
              <w:t>-12,586,281.72</w:t>
            </w:r>
          </w:p>
        </w:tc>
        <w:tc>
          <w:tcPr>
            <w:tcW w:w="121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21"/>
              <w:jc w:val="right"/>
              <w:rPr>
                <w:rFonts w:ascii="Arial" w:hAnsi="Arial" w:cs="Arial" w:eastAsia="Arial" w:hint="default"/>
                <w:sz w:val="18"/>
                <w:szCs w:val="18"/>
              </w:rPr>
            </w:pPr>
            <w:r>
              <w:rPr>
                <w:rFonts w:ascii="Arial"/>
                <w:spacing w:val="-1"/>
                <w:sz w:val="18"/>
              </w:rPr>
              <w:t>-60,710.65</w:t>
            </w:r>
          </w:p>
        </w:tc>
        <w:tc>
          <w:tcPr>
            <w:tcW w:w="131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21"/>
              <w:jc w:val="right"/>
              <w:rPr>
                <w:rFonts w:ascii="Arial" w:hAnsi="Arial" w:cs="Arial" w:eastAsia="Arial" w:hint="default"/>
                <w:sz w:val="18"/>
                <w:szCs w:val="18"/>
              </w:rPr>
            </w:pPr>
            <w:r>
              <w:rPr>
                <w:rFonts w:ascii="Arial"/>
                <w:spacing w:val="-1"/>
                <w:sz w:val="18"/>
              </w:rPr>
              <w:t>-46,523,748.18</w:t>
            </w:r>
          </w:p>
        </w:tc>
        <w:tc>
          <w:tcPr>
            <w:tcW w:w="153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71"/>
              <w:ind w:right="26"/>
              <w:jc w:val="right"/>
              <w:rPr>
                <w:rFonts w:ascii="Arial" w:hAnsi="Arial" w:cs="Arial" w:eastAsia="Arial" w:hint="default"/>
                <w:sz w:val="18"/>
                <w:szCs w:val="18"/>
              </w:rPr>
            </w:pPr>
            <w:r>
              <w:rPr>
                <w:rFonts w:ascii="Arial"/>
                <w:spacing w:val="-1"/>
                <w:sz w:val="18"/>
              </w:rPr>
              <w:t>-15,236,706.82</w:t>
            </w:r>
          </w:p>
        </w:tc>
      </w:tr>
      <w:tr>
        <w:trPr>
          <w:trHeight w:val="358" w:hRule="exact"/>
        </w:trPr>
        <w:tc>
          <w:tcPr>
            <w:tcW w:w="214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3"/>
              <w:ind w:left="427" w:right="0"/>
              <w:jc w:val="left"/>
              <w:rPr>
                <w:rFonts w:ascii="宋体" w:hAnsi="宋体" w:cs="宋体" w:eastAsia="宋体" w:hint="default"/>
                <w:sz w:val="20"/>
                <w:szCs w:val="20"/>
              </w:rPr>
            </w:pPr>
            <w:r>
              <w:rPr>
                <w:rFonts w:ascii="宋体" w:hAnsi="宋体" w:cs="宋体" w:eastAsia="宋体" w:hint="default"/>
                <w:spacing w:val="-15"/>
                <w:sz w:val="20"/>
                <w:szCs w:val="20"/>
              </w:rPr>
              <w:t>3.</w:t>
            </w:r>
            <w:r>
              <w:rPr>
                <w:rFonts w:ascii="宋体" w:hAnsi="宋体" w:cs="宋体" w:eastAsia="宋体" w:hint="default"/>
                <w:spacing w:val="-15"/>
                <w:sz w:val="20"/>
                <w:szCs w:val="20"/>
              </w:rPr>
              <w:t>本期减少金额</w:t>
            </w:r>
            <w:r>
              <w:rPr>
                <w:rFonts w:ascii="宋体" w:hAnsi="宋体" w:cs="宋体" w:eastAsia="宋体" w:hint="default"/>
                <w:sz w:val="20"/>
                <w:szCs w:val="20"/>
              </w:rPr>
              <w:t> </w:t>
            </w:r>
          </w:p>
        </w:tc>
        <w:tc>
          <w:tcPr>
            <w:tcW w:w="15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19"/>
              <w:jc w:val="right"/>
              <w:rPr>
                <w:rFonts w:ascii="Arial" w:hAnsi="Arial" w:cs="Arial" w:eastAsia="Arial" w:hint="default"/>
                <w:sz w:val="18"/>
                <w:szCs w:val="18"/>
              </w:rPr>
            </w:pPr>
            <w:r>
              <w:rPr>
                <w:rFonts w:ascii="Arial"/>
                <w:spacing w:val="-1"/>
                <w:sz w:val="18"/>
              </w:rPr>
              <w:t>53,808,227.23</w:t>
            </w:r>
          </w:p>
        </w:tc>
        <w:tc>
          <w:tcPr>
            <w:tcW w:w="14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21"/>
              <w:jc w:val="right"/>
              <w:rPr>
                <w:rFonts w:ascii="Arial" w:hAnsi="Arial" w:cs="Arial" w:eastAsia="Arial" w:hint="default"/>
                <w:sz w:val="18"/>
                <w:szCs w:val="18"/>
              </w:rPr>
            </w:pPr>
            <w:r>
              <w:rPr>
                <w:rFonts w:ascii="Arial"/>
                <w:spacing w:val="-1"/>
                <w:sz w:val="18"/>
              </w:rPr>
              <w:t>35,349,201.79</w:t>
            </w:r>
          </w:p>
        </w:tc>
        <w:tc>
          <w:tcPr>
            <w:tcW w:w="121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22"/>
              <w:jc w:val="right"/>
              <w:rPr>
                <w:rFonts w:ascii="Arial" w:hAnsi="Arial" w:cs="Arial" w:eastAsia="Arial" w:hint="default"/>
                <w:sz w:val="18"/>
                <w:szCs w:val="18"/>
              </w:rPr>
            </w:pPr>
            <w:r>
              <w:rPr>
                <w:rFonts w:ascii="Arial"/>
                <w:spacing w:val="-1"/>
                <w:sz w:val="18"/>
              </w:rPr>
              <w:t>2,778,612.05</w:t>
            </w:r>
          </w:p>
        </w:tc>
        <w:tc>
          <w:tcPr>
            <w:tcW w:w="131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21"/>
              <w:jc w:val="right"/>
              <w:rPr>
                <w:rFonts w:ascii="Arial" w:hAnsi="Arial" w:cs="Arial" w:eastAsia="Arial" w:hint="default"/>
                <w:sz w:val="18"/>
                <w:szCs w:val="18"/>
              </w:rPr>
            </w:pPr>
            <w:r>
              <w:rPr>
                <w:rFonts w:ascii="Arial"/>
                <w:spacing w:val="-1"/>
                <w:sz w:val="18"/>
              </w:rPr>
              <w:t>5,049,387.33</w:t>
            </w:r>
          </w:p>
        </w:tc>
        <w:tc>
          <w:tcPr>
            <w:tcW w:w="153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71"/>
              <w:ind w:right="26"/>
              <w:jc w:val="right"/>
              <w:rPr>
                <w:rFonts w:ascii="Arial" w:hAnsi="Arial" w:cs="Arial" w:eastAsia="Arial" w:hint="default"/>
                <w:sz w:val="18"/>
                <w:szCs w:val="18"/>
              </w:rPr>
            </w:pPr>
            <w:r>
              <w:rPr>
                <w:rFonts w:ascii="Arial"/>
                <w:spacing w:val="-1"/>
                <w:sz w:val="18"/>
              </w:rPr>
              <w:t>96,985,428.40</w:t>
            </w:r>
          </w:p>
        </w:tc>
      </w:tr>
      <w:tr>
        <w:trPr>
          <w:trHeight w:val="358" w:hRule="exact"/>
        </w:trPr>
        <w:tc>
          <w:tcPr>
            <w:tcW w:w="214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1"/>
              <w:ind w:right="30"/>
              <w:jc w:val="right"/>
              <w:rPr>
                <w:rFonts w:ascii="宋体" w:hAnsi="宋体" w:cs="宋体" w:eastAsia="宋体" w:hint="default"/>
                <w:sz w:val="20"/>
                <w:szCs w:val="20"/>
              </w:rPr>
            </w:pPr>
            <w:r>
              <w:rPr>
                <w:rFonts w:ascii="宋体" w:hAnsi="宋体" w:cs="宋体" w:eastAsia="宋体" w:hint="default"/>
                <w:spacing w:val="-16"/>
                <w:sz w:val="20"/>
                <w:szCs w:val="20"/>
              </w:rPr>
              <w:t>（</w:t>
            </w:r>
            <w:r>
              <w:rPr>
                <w:rFonts w:ascii="宋体" w:hAnsi="宋体" w:cs="宋体" w:eastAsia="宋体" w:hint="default"/>
                <w:spacing w:val="-16"/>
                <w:sz w:val="20"/>
                <w:szCs w:val="20"/>
              </w:rPr>
              <w:t>1</w:t>
            </w:r>
            <w:r>
              <w:rPr>
                <w:rFonts w:ascii="宋体" w:hAnsi="宋体" w:cs="宋体" w:eastAsia="宋体" w:hint="default"/>
                <w:spacing w:val="-16"/>
                <w:sz w:val="20"/>
                <w:szCs w:val="20"/>
              </w:rPr>
              <w:t>）处置或报废</w:t>
            </w:r>
            <w:r>
              <w:rPr>
                <w:rFonts w:ascii="宋体" w:hAnsi="宋体" w:cs="宋体" w:eastAsia="宋体" w:hint="default"/>
                <w:sz w:val="20"/>
                <w:szCs w:val="20"/>
              </w:rPr>
              <w:t> </w:t>
            </w:r>
          </w:p>
        </w:tc>
        <w:tc>
          <w:tcPr>
            <w:tcW w:w="15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19"/>
              <w:jc w:val="right"/>
              <w:rPr>
                <w:rFonts w:ascii="Arial" w:hAnsi="Arial" w:cs="Arial" w:eastAsia="Arial" w:hint="default"/>
                <w:sz w:val="18"/>
                <w:szCs w:val="18"/>
              </w:rPr>
            </w:pPr>
            <w:r>
              <w:rPr>
                <w:rFonts w:ascii="Arial"/>
                <w:spacing w:val="-1"/>
                <w:sz w:val="18"/>
              </w:rPr>
              <w:t>308,451.99</w:t>
            </w:r>
          </w:p>
        </w:tc>
        <w:tc>
          <w:tcPr>
            <w:tcW w:w="14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22,781,566.96</w:t>
            </w:r>
          </w:p>
        </w:tc>
        <w:tc>
          <w:tcPr>
            <w:tcW w:w="1217" w:type="dxa"/>
            <w:tcBorders>
              <w:top w:val="single" w:sz="4" w:space="0" w:color="41B7EE"/>
              <w:left w:val="single" w:sz="4" w:space="0" w:color="41B7EE"/>
              <w:bottom w:val="single" w:sz="4" w:space="0" w:color="41B7EE"/>
              <w:right w:val="single" w:sz="4" w:space="0" w:color="41B7EE"/>
            </w:tcBorders>
          </w:tcPr>
          <w:p>
            <w:pPr/>
          </w:p>
        </w:tc>
        <w:tc>
          <w:tcPr>
            <w:tcW w:w="1315" w:type="dxa"/>
            <w:tcBorders>
              <w:top w:val="single" w:sz="4" w:space="0" w:color="41B7EE"/>
              <w:left w:val="single" w:sz="4" w:space="0" w:color="41B7EE"/>
              <w:bottom w:val="single" w:sz="4" w:space="0" w:color="41B7EE"/>
              <w:right w:val="single" w:sz="4" w:space="0" w:color="41B7EE"/>
            </w:tcBorders>
          </w:tcPr>
          <w:p>
            <w:pPr/>
          </w:p>
        </w:tc>
        <w:tc>
          <w:tcPr>
            <w:tcW w:w="153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68"/>
              <w:ind w:right="26"/>
              <w:jc w:val="right"/>
              <w:rPr>
                <w:rFonts w:ascii="Arial" w:hAnsi="Arial" w:cs="Arial" w:eastAsia="Arial" w:hint="default"/>
                <w:sz w:val="18"/>
                <w:szCs w:val="18"/>
              </w:rPr>
            </w:pPr>
            <w:r>
              <w:rPr>
                <w:rFonts w:ascii="Arial"/>
                <w:spacing w:val="-1"/>
                <w:sz w:val="18"/>
              </w:rPr>
              <w:t>23,090,018.95</w:t>
            </w:r>
          </w:p>
        </w:tc>
      </w:tr>
      <w:tr>
        <w:trPr>
          <w:trHeight w:val="355" w:hRule="exact"/>
        </w:trPr>
        <w:tc>
          <w:tcPr>
            <w:tcW w:w="214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1"/>
              <w:ind w:right="30"/>
              <w:jc w:val="right"/>
              <w:rPr>
                <w:rFonts w:ascii="宋体" w:hAnsi="宋体" w:cs="宋体" w:eastAsia="宋体" w:hint="default"/>
                <w:sz w:val="20"/>
                <w:szCs w:val="20"/>
              </w:rPr>
            </w:pPr>
            <w:r>
              <w:rPr>
                <w:rFonts w:ascii="宋体" w:hAnsi="宋体" w:cs="宋体" w:eastAsia="宋体" w:hint="default"/>
                <w:spacing w:val="-16"/>
                <w:sz w:val="20"/>
                <w:szCs w:val="20"/>
              </w:rPr>
              <w:t>（</w:t>
            </w:r>
            <w:r>
              <w:rPr>
                <w:rFonts w:ascii="宋体" w:hAnsi="宋体" w:cs="宋体" w:eastAsia="宋体" w:hint="default"/>
                <w:spacing w:val="-16"/>
                <w:sz w:val="20"/>
                <w:szCs w:val="20"/>
              </w:rPr>
              <w:t>2</w:t>
            </w:r>
            <w:r>
              <w:rPr>
                <w:rFonts w:ascii="宋体" w:hAnsi="宋体" w:cs="宋体" w:eastAsia="宋体" w:hint="default"/>
                <w:spacing w:val="-16"/>
                <w:sz w:val="20"/>
                <w:szCs w:val="20"/>
              </w:rPr>
              <w:t>）报废和毁损</w:t>
            </w:r>
            <w:r>
              <w:rPr>
                <w:rFonts w:ascii="宋体" w:hAnsi="宋体" w:cs="宋体" w:eastAsia="宋体" w:hint="default"/>
                <w:sz w:val="20"/>
                <w:szCs w:val="20"/>
              </w:rPr>
              <w:t> </w:t>
            </w:r>
          </w:p>
        </w:tc>
        <w:tc>
          <w:tcPr>
            <w:tcW w:w="15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19"/>
              <w:jc w:val="right"/>
              <w:rPr>
                <w:rFonts w:ascii="Arial" w:hAnsi="Arial" w:cs="Arial" w:eastAsia="Arial" w:hint="default"/>
                <w:sz w:val="18"/>
                <w:szCs w:val="18"/>
              </w:rPr>
            </w:pPr>
            <w:r>
              <w:rPr>
                <w:rFonts w:ascii="Arial"/>
                <w:spacing w:val="-1"/>
                <w:sz w:val="18"/>
              </w:rPr>
              <w:t>51,350,555.23</w:t>
            </w:r>
          </w:p>
        </w:tc>
        <w:tc>
          <w:tcPr>
            <w:tcW w:w="14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12,567,634.83</w:t>
            </w:r>
          </w:p>
        </w:tc>
        <w:tc>
          <w:tcPr>
            <w:tcW w:w="121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2"/>
              <w:jc w:val="right"/>
              <w:rPr>
                <w:rFonts w:ascii="Arial" w:hAnsi="Arial" w:cs="Arial" w:eastAsia="Arial" w:hint="default"/>
                <w:sz w:val="18"/>
                <w:szCs w:val="18"/>
              </w:rPr>
            </w:pPr>
            <w:r>
              <w:rPr>
                <w:rFonts w:ascii="Arial"/>
                <w:spacing w:val="-1"/>
                <w:sz w:val="18"/>
              </w:rPr>
              <w:t>2,778,612.05</w:t>
            </w:r>
          </w:p>
        </w:tc>
        <w:tc>
          <w:tcPr>
            <w:tcW w:w="131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5,049,387.33</w:t>
            </w:r>
          </w:p>
        </w:tc>
        <w:tc>
          <w:tcPr>
            <w:tcW w:w="153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68"/>
              <w:ind w:right="26"/>
              <w:jc w:val="right"/>
              <w:rPr>
                <w:rFonts w:ascii="Arial" w:hAnsi="Arial" w:cs="Arial" w:eastAsia="Arial" w:hint="default"/>
                <w:sz w:val="18"/>
                <w:szCs w:val="18"/>
              </w:rPr>
            </w:pPr>
            <w:r>
              <w:rPr>
                <w:rFonts w:ascii="Arial"/>
                <w:spacing w:val="-1"/>
                <w:sz w:val="18"/>
              </w:rPr>
              <w:t>71,746,189.44</w:t>
            </w:r>
          </w:p>
        </w:tc>
      </w:tr>
      <w:tr>
        <w:trPr>
          <w:trHeight w:val="358" w:hRule="exact"/>
        </w:trPr>
        <w:tc>
          <w:tcPr>
            <w:tcW w:w="214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3"/>
              <w:ind w:left="626" w:right="0"/>
              <w:jc w:val="left"/>
              <w:rPr>
                <w:rFonts w:ascii="宋体" w:hAnsi="宋体" w:cs="宋体" w:eastAsia="宋体" w:hint="default"/>
                <w:sz w:val="20"/>
                <w:szCs w:val="20"/>
              </w:rPr>
            </w:pPr>
            <w:r>
              <w:rPr>
                <w:rFonts w:ascii="宋体" w:hAnsi="宋体" w:cs="宋体" w:eastAsia="宋体" w:hint="default"/>
                <w:spacing w:val="-16"/>
                <w:sz w:val="20"/>
                <w:szCs w:val="20"/>
              </w:rPr>
              <w:t>（</w:t>
            </w:r>
            <w:r>
              <w:rPr>
                <w:rFonts w:ascii="宋体" w:hAnsi="宋体" w:cs="宋体" w:eastAsia="宋体" w:hint="default"/>
                <w:spacing w:val="-16"/>
                <w:sz w:val="20"/>
                <w:szCs w:val="20"/>
              </w:rPr>
              <w:t>3</w:t>
            </w:r>
            <w:r>
              <w:rPr>
                <w:rFonts w:ascii="宋体" w:hAnsi="宋体" w:cs="宋体" w:eastAsia="宋体" w:hint="default"/>
                <w:spacing w:val="-16"/>
                <w:sz w:val="20"/>
                <w:szCs w:val="20"/>
              </w:rPr>
              <w:t>）其他</w:t>
            </w:r>
            <w:r>
              <w:rPr>
                <w:rFonts w:ascii="宋体" w:hAnsi="宋体" w:cs="宋体" w:eastAsia="宋体" w:hint="default"/>
                <w:sz w:val="20"/>
                <w:szCs w:val="20"/>
              </w:rPr>
              <w:t> </w:t>
            </w:r>
          </w:p>
        </w:tc>
        <w:tc>
          <w:tcPr>
            <w:tcW w:w="15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19"/>
              <w:jc w:val="right"/>
              <w:rPr>
                <w:rFonts w:ascii="Arial" w:hAnsi="Arial" w:cs="Arial" w:eastAsia="Arial" w:hint="default"/>
                <w:sz w:val="18"/>
                <w:szCs w:val="18"/>
              </w:rPr>
            </w:pPr>
            <w:r>
              <w:rPr>
                <w:rFonts w:ascii="Arial"/>
                <w:spacing w:val="-1"/>
                <w:sz w:val="18"/>
              </w:rPr>
              <w:t>2,149,220.01</w:t>
            </w:r>
          </w:p>
        </w:tc>
        <w:tc>
          <w:tcPr>
            <w:tcW w:w="1481" w:type="dxa"/>
            <w:tcBorders>
              <w:top w:val="single" w:sz="4" w:space="0" w:color="41B7EE"/>
              <w:left w:val="single" w:sz="4" w:space="0" w:color="41B7EE"/>
              <w:bottom w:val="single" w:sz="4" w:space="0" w:color="41B7EE"/>
              <w:right w:val="single" w:sz="4" w:space="0" w:color="41B7EE"/>
            </w:tcBorders>
          </w:tcPr>
          <w:p>
            <w:pPr/>
          </w:p>
        </w:tc>
        <w:tc>
          <w:tcPr>
            <w:tcW w:w="1217" w:type="dxa"/>
            <w:tcBorders>
              <w:top w:val="single" w:sz="4" w:space="0" w:color="41B7EE"/>
              <w:left w:val="single" w:sz="4" w:space="0" w:color="41B7EE"/>
              <w:bottom w:val="single" w:sz="4" w:space="0" w:color="41B7EE"/>
              <w:right w:val="single" w:sz="4" w:space="0" w:color="41B7EE"/>
            </w:tcBorders>
          </w:tcPr>
          <w:p>
            <w:pPr/>
          </w:p>
        </w:tc>
        <w:tc>
          <w:tcPr>
            <w:tcW w:w="1315" w:type="dxa"/>
            <w:tcBorders>
              <w:top w:val="single" w:sz="4" w:space="0" w:color="41B7EE"/>
              <w:left w:val="single" w:sz="4" w:space="0" w:color="41B7EE"/>
              <w:bottom w:val="single" w:sz="4" w:space="0" w:color="41B7EE"/>
              <w:right w:val="single" w:sz="4" w:space="0" w:color="41B7EE"/>
            </w:tcBorders>
          </w:tcPr>
          <w:p>
            <w:pPr/>
          </w:p>
        </w:tc>
        <w:tc>
          <w:tcPr>
            <w:tcW w:w="153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71"/>
              <w:ind w:right="26"/>
              <w:jc w:val="right"/>
              <w:rPr>
                <w:rFonts w:ascii="Arial" w:hAnsi="Arial" w:cs="Arial" w:eastAsia="Arial" w:hint="default"/>
                <w:sz w:val="18"/>
                <w:szCs w:val="18"/>
              </w:rPr>
            </w:pPr>
            <w:r>
              <w:rPr>
                <w:rFonts w:ascii="Arial"/>
                <w:spacing w:val="-1"/>
                <w:sz w:val="18"/>
              </w:rPr>
              <w:t>2,149,220.01</w:t>
            </w:r>
          </w:p>
        </w:tc>
      </w:tr>
      <w:tr>
        <w:trPr>
          <w:trHeight w:val="358" w:hRule="exact"/>
        </w:trPr>
        <w:tc>
          <w:tcPr>
            <w:tcW w:w="214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3"/>
              <w:ind w:left="427" w:right="0"/>
              <w:jc w:val="left"/>
              <w:rPr>
                <w:rFonts w:ascii="宋体" w:hAnsi="宋体" w:cs="宋体" w:eastAsia="宋体" w:hint="default"/>
                <w:sz w:val="20"/>
                <w:szCs w:val="20"/>
              </w:rPr>
            </w:pPr>
            <w:r>
              <w:rPr>
                <w:rFonts w:ascii="宋体" w:hAnsi="宋体" w:cs="宋体" w:eastAsia="宋体" w:hint="default"/>
                <w:spacing w:val="-15"/>
                <w:sz w:val="20"/>
                <w:szCs w:val="20"/>
              </w:rPr>
              <w:t>4.</w:t>
            </w:r>
            <w:r>
              <w:rPr>
                <w:rFonts w:ascii="宋体" w:hAnsi="宋体" w:cs="宋体" w:eastAsia="宋体" w:hint="default"/>
                <w:spacing w:val="-15"/>
                <w:sz w:val="20"/>
                <w:szCs w:val="20"/>
              </w:rPr>
              <w:t>期末余额</w:t>
            </w:r>
            <w:r>
              <w:rPr>
                <w:rFonts w:ascii="宋体" w:hAnsi="宋体" w:cs="宋体" w:eastAsia="宋体" w:hint="default"/>
                <w:sz w:val="20"/>
                <w:szCs w:val="20"/>
              </w:rPr>
              <w:t> </w:t>
            </w:r>
          </w:p>
        </w:tc>
        <w:tc>
          <w:tcPr>
            <w:tcW w:w="15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20"/>
              <w:jc w:val="right"/>
              <w:rPr>
                <w:rFonts w:ascii="Arial" w:hAnsi="Arial" w:cs="Arial" w:eastAsia="Arial" w:hint="default"/>
                <w:sz w:val="18"/>
                <w:szCs w:val="18"/>
              </w:rPr>
            </w:pPr>
            <w:r>
              <w:rPr>
                <w:rFonts w:ascii="Arial"/>
                <w:spacing w:val="-1"/>
                <w:sz w:val="18"/>
              </w:rPr>
              <w:t>2,167,757,542.86</w:t>
            </w:r>
          </w:p>
        </w:tc>
        <w:tc>
          <w:tcPr>
            <w:tcW w:w="14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21"/>
              <w:jc w:val="right"/>
              <w:rPr>
                <w:rFonts w:ascii="Arial" w:hAnsi="Arial" w:cs="Arial" w:eastAsia="Arial" w:hint="default"/>
                <w:sz w:val="18"/>
                <w:szCs w:val="18"/>
              </w:rPr>
            </w:pPr>
            <w:r>
              <w:rPr>
                <w:rFonts w:ascii="Arial"/>
                <w:spacing w:val="-1"/>
                <w:sz w:val="18"/>
              </w:rPr>
              <w:t>858,266,539.78</w:t>
            </w:r>
          </w:p>
        </w:tc>
        <w:tc>
          <w:tcPr>
            <w:tcW w:w="121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21"/>
              <w:jc w:val="right"/>
              <w:rPr>
                <w:rFonts w:ascii="Arial" w:hAnsi="Arial" w:cs="Arial" w:eastAsia="Arial" w:hint="default"/>
                <w:sz w:val="18"/>
                <w:szCs w:val="18"/>
              </w:rPr>
            </w:pPr>
            <w:r>
              <w:rPr>
                <w:rFonts w:ascii="Arial"/>
                <w:spacing w:val="-1"/>
                <w:sz w:val="18"/>
              </w:rPr>
              <w:t>24,058,114.22</w:t>
            </w:r>
          </w:p>
        </w:tc>
        <w:tc>
          <w:tcPr>
            <w:tcW w:w="131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21"/>
              <w:jc w:val="right"/>
              <w:rPr>
                <w:rFonts w:ascii="Arial" w:hAnsi="Arial" w:cs="Arial" w:eastAsia="Arial" w:hint="default"/>
                <w:sz w:val="18"/>
                <w:szCs w:val="18"/>
              </w:rPr>
            </w:pPr>
            <w:r>
              <w:rPr>
                <w:rFonts w:ascii="Arial"/>
                <w:spacing w:val="-1"/>
                <w:sz w:val="18"/>
              </w:rPr>
              <w:t>46,222,578.57</w:t>
            </w:r>
          </w:p>
        </w:tc>
        <w:tc>
          <w:tcPr>
            <w:tcW w:w="153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71"/>
              <w:ind w:right="27"/>
              <w:jc w:val="right"/>
              <w:rPr>
                <w:rFonts w:ascii="Arial" w:hAnsi="Arial" w:cs="Arial" w:eastAsia="Arial" w:hint="default"/>
                <w:sz w:val="18"/>
                <w:szCs w:val="18"/>
              </w:rPr>
            </w:pPr>
            <w:r>
              <w:rPr>
                <w:rFonts w:ascii="Arial"/>
                <w:spacing w:val="-1"/>
                <w:sz w:val="18"/>
              </w:rPr>
              <w:t>3,096,304,775.43</w:t>
            </w:r>
          </w:p>
        </w:tc>
      </w:tr>
      <w:tr>
        <w:trPr>
          <w:trHeight w:val="358" w:hRule="exact"/>
        </w:trPr>
        <w:tc>
          <w:tcPr>
            <w:tcW w:w="214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1"/>
              <w:ind w:left="26" w:right="0"/>
              <w:jc w:val="left"/>
              <w:rPr>
                <w:rFonts w:ascii="宋体" w:hAnsi="宋体" w:cs="宋体" w:eastAsia="宋体" w:hint="default"/>
                <w:sz w:val="20"/>
                <w:szCs w:val="20"/>
              </w:rPr>
            </w:pPr>
            <w:r>
              <w:rPr>
                <w:rFonts w:ascii="宋体" w:hAnsi="宋体" w:cs="宋体" w:eastAsia="宋体" w:hint="default"/>
                <w:spacing w:val="-17"/>
                <w:sz w:val="20"/>
                <w:szCs w:val="20"/>
              </w:rPr>
              <w:t>三、减值准备</w:t>
            </w:r>
            <w:r>
              <w:rPr>
                <w:rFonts w:ascii="宋体" w:hAnsi="宋体" w:cs="宋体" w:eastAsia="宋体" w:hint="default"/>
                <w:sz w:val="20"/>
                <w:szCs w:val="20"/>
              </w:rPr>
              <w:t> </w:t>
            </w:r>
          </w:p>
        </w:tc>
        <w:tc>
          <w:tcPr>
            <w:tcW w:w="1501" w:type="dxa"/>
            <w:tcBorders>
              <w:top w:val="single" w:sz="4" w:space="0" w:color="41B7EE"/>
              <w:left w:val="single" w:sz="4" w:space="0" w:color="41B7EE"/>
              <w:bottom w:val="single" w:sz="4" w:space="0" w:color="41B7EE"/>
              <w:right w:val="single" w:sz="4" w:space="0" w:color="41B7EE"/>
            </w:tcBorders>
          </w:tcPr>
          <w:p>
            <w:pPr/>
          </w:p>
        </w:tc>
        <w:tc>
          <w:tcPr>
            <w:tcW w:w="1481" w:type="dxa"/>
            <w:tcBorders>
              <w:top w:val="single" w:sz="4" w:space="0" w:color="41B7EE"/>
              <w:left w:val="single" w:sz="4" w:space="0" w:color="41B7EE"/>
              <w:bottom w:val="single" w:sz="4" w:space="0" w:color="41B7EE"/>
              <w:right w:val="single" w:sz="4" w:space="0" w:color="41B7EE"/>
            </w:tcBorders>
          </w:tcPr>
          <w:p>
            <w:pPr/>
          </w:p>
        </w:tc>
        <w:tc>
          <w:tcPr>
            <w:tcW w:w="1217" w:type="dxa"/>
            <w:tcBorders>
              <w:top w:val="single" w:sz="4" w:space="0" w:color="41B7EE"/>
              <w:left w:val="single" w:sz="4" w:space="0" w:color="41B7EE"/>
              <w:bottom w:val="single" w:sz="4" w:space="0" w:color="41B7EE"/>
              <w:right w:val="single" w:sz="4" w:space="0" w:color="41B7EE"/>
            </w:tcBorders>
          </w:tcPr>
          <w:p>
            <w:pPr/>
          </w:p>
        </w:tc>
        <w:tc>
          <w:tcPr>
            <w:tcW w:w="1315" w:type="dxa"/>
            <w:tcBorders>
              <w:top w:val="single" w:sz="4" w:space="0" w:color="41B7EE"/>
              <w:left w:val="single" w:sz="4" w:space="0" w:color="41B7EE"/>
              <w:bottom w:val="single" w:sz="4" w:space="0" w:color="41B7EE"/>
              <w:right w:val="single" w:sz="4" w:space="0" w:color="41B7EE"/>
            </w:tcBorders>
          </w:tcPr>
          <w:p>
            <w:pPr/>
          </w:p>
        </w:tc>
        <w:tc>
          <w:tcPr>
            <w:tcW w:w="1539"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214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1"/>
              <w:ind w:left="427" w:right="0"/>
              <w:jc w:val="left"/>
              <w:rPr>
                <w:rFonts w:ascii="宋体" w:hAnsi="宋体" w:cs="宋体" w:eastAsia="宋体" w:hint="default"/>
                <w:sz w:val="20"/>
                <w:szCs w:val="20"/>
              </w:rPr>
            </w:pPr>
            <w:r>
              <w:rPr>
                <w:rFonts w:ascii="宋体" w:hAnsi="宋体" w:cs="宋体" w:eastAsia="宋体" w:hint="default"/>
                <w:spacing w:val="-15"/>
                <w:sz w:val="20"/>
                <w:szCs w:val="20"/>
              </w:rPr>
              <w:t>1.</w:t>
            </w:r>
            <w:r>
              <w:rPr>
                <w:rFonts w:ascii="宋体" w:hAnsi="宋体" w:cs="宋体" w:eastAsia="宋体" w:hint="default"/>
                <w:spacing w:val="-15"/>
                <w:sz w:val="20"/>
                <w:szCs w:val="20"/>
              </w:rPr>
              <w:t>期初余额</w:t>
            </w:r>
            <w:r>
              <w:rPr>
                <w:rFonts w:ascii="宋体" w:hAnsi="宋体" w:cs="宋体" w:eastAsia="宋体" w:hint="default"/>
                <w:sz w:val="20"/>
                <w:szCs w:val="20"/>
              </w:rPr>
              <w:t> </w:t>
            </w:r>
          </w:p>
        </w:tc>
        <w:tc>
          <w:tcPr>
            <w:tcW w:w="15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19"/>
              <w:jc w:val="right"/>
              <w:rPr>
                <w:rFonts w:ascii="Arial" w:hAnsi="Arial" w:cs="Arial" w:eastAsia="Arial" w:hint="default"/>
                <w:sz w:val="18"/>
                <w:szCs w:val="18"/>
              </w:rPr>
            </w:pPr>
            <w:r>
              <w:rPr>
                <w:rFonts w:ascii="Arial"/>
                <w:spacing w:val="-1"/>
                <w:sz w:val="18"/>
              </w:rPr>
              <w:t>99,635,699.36</w:t>
            </w:r>
          </w:p>
        </w:tc>
        <w:tc>
          <w:tcPr>
            <w:tcW w:w="14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243,854,069.17</w:t>
            </w:r>
          </w:p>
        </w:tc>
        <w:tc>
          <w:tcPr>
            <w:tcW w:w="121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2"/>
              <w:jc w:val="right"/>
              <w:rPr>
                <w:rFonts w:ascii="Arial" w:hAnsi="Arial" w:cs="Arial" w:eastAsia="Arial" w:hint="default"/>
                <w:sz w:val="18"/>
                <w:szCs w:val="18"/>
              </w:rPr>
            </w:pPr>
            <w:r>
              <w:rPr>
                <w:rFonts w:ascii="Arial"/>
                <w:spacing w:val="-1"/>
                <w:sz w:val="18"/>
              </w:rPr>
              <w:t>2,214,760.99</w:t>
            </w:r>
          </w:p>
        </w:tc>
        <w:tc>
          <w:tcPr>
            <w:tcW w:w="131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410,704.52</w:t>
            </w:r>
          </w:p>
        </w:tc>
        <w:tc>
          <w:tcPr>
            <w:tcW w:w="153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68"/>
              <w:ind w:right="26"/>
              <w:jc w:val="right"/>
              <w:rPr>
                <w:rFonts w:ascii="Arial" w:hAnsi="Arial" w:cs="Arial" w:eastAsia="Arial" w:hint="default"/>
                <w:sz w:val="18"/>
                <w:szCs w:val="18"/>
              </w:rPr>
            </w:pPr>
            <w:r>
              <w:rPr>
                <w:rFonts w:ascii="Arial"/>
                <w:spacing w:val="-1"/>
                <w:sz w:val="18"/>
              </w:rPr>
              <w:t>346,115,234.04</w:t>
            </w:r>
          </w:p>
        </w:tc>
      </w:tr>
      <w:tr>
        <w:trPr>
          <w:trHeight w:val="355" w:hRule="exact"/>
        </w:trPr>
        <w:tc>
          <w:tcPr>
            <w:tcW w:w="214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1"/>
              <w:ind w:left="427" w:right="0"/>
              <w:jc w:val="left"/>
              <w:rPr>
                <w:rFonts w:ascii="宋体" w:hAnsi="宋体" w:cs="宋体" w:eastAsia="宋体" w:hint="default"/>
                <w:sz w:val="20"/>
                <w:szCs w:val="20"/>
              </w:rPr>
            </w:pPr>
            <w:r>
              <w:rPr>
                <w:rFonts w:ascii="宋体" w:hAnsi="宋体" w:cs="宋体" w:eastAsia="宋体" w:hint="default"/>
                <w:spacing w:val="-15"/>
                <w:sz w:val="20"/>
                <w:szCs w:val="20"/>
              </w:rPr>
              <w:t>2.</w:t>
            </w:r>
            <w:r>
              <w:rPr>
                <w:rFonts w:ascii="宋体" w:hAnsi="宋体" w:cs="宋体" w:eastAsia="宋体" w:hint="default"/>
                <w:spacing w:val="-15"/>
                <w:sz w:val="20"/>
                <w:szCs w:val="20"/>
              </w:rPr>
              <w:t>本期增加金额</w:t>
            </w:r>
            <w:r>
              <w:rPr>
                <w:rFonts w:ascii="宋体" w:hAnsi="宋体" w:cs="宋体" w:eastAsia="宋体" w:hint="default"/>
                <w:sz w:val="20"/>
                <w:szCs w:val="20"/>
              </w:rPr>
              <w:t> </w:t>
            </w:r>
          </w:p>
        </w:tc>
        <w:tc>
          <w:tcPr>
            <w:tcW w:w="1501" w:type="dxa"/>
            <w:tcBorders>
              <w:top w:val="single" w:sz="4" w:space="0" w:color="41B7EE"/>
              <w:left w:val="single" w:sz="4" w:space="0" w:color="41B7EE"/>
              <w:bottom w:val="single" w:sz="4" w:space="0" w:color="41B7EE"/>
              <w:right w:val="single" w:sz="4" w:space="0" w:color="41B7EE"/>
            </w:tcBorders>
          </w:tcPr>
          <w:p>
            <w:pPr/>
          </w:p>
        </w:tc>
        <w:tc>
          <w:tcPr>
            <w:tcW w:w="14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-6,732.00</w:t>
            </w:r>
          </w:p>
        </w:tc>
        <w:tc>
          <w:tcPr>
            <w:tcW w:w="1217" w:type="dxa"/>
            <w:tcBorders>
              <w:top w:val="single" w:sz="4" w:space="0" w:color="41B7EE"/>
              <w:left w:val="single" w:sz="4" w:space="0" w:color="41B7EE"/>
              <w:bottom w:val="single" w:sz="4" w:space="0" w:color="41B7EE"/>
              <w:right w:val="single" w:sz="4" w:space="0" w:color="41B7EE"/>
            </w:tcBorders>
          </w:tcPr>
          <w:p>
            <w:pPr/>
          </w:p>
        </w:tc>
        <w:tc>
          <w:tcPr>
            <w:tcW w:w="131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6,732.00</w:t>
            </w:r>
          </w:p>
        </w:tc>
        <w:tc>
          <w:tcPr>
            <w:tcW w:w="1539"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214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3"/>
              <w:ind w:left="626" w:right="0"/>
              <w:jc w:val="left"/>
              <w:rPr>
                <w:rFonts w:ascii="宋体" w:hAnsi="宋体" w:cs="宋体" w:eastAsia="宋体" w:hint="default"/>
                <w:sz w:val="20"/>
                <w:szCs w:val="20"/>
              </w:rPr>
            </w:pPr>
            <w:r>
              <w:rPr>
                <w:rFonts w:ascii="宋体" w:hAnsi="宋体" w:cs="宋体" w:eastAsia="宋体" w:hint="default"/>
                <w:spacing w:val="-16"/>
                <w:sz w:val="20"/>
                <w:szCs w:val="20"/>
              </w:rPr>
              <w:t>（</w:t>
            </w:r>
            <w:r>
              <w:rPr>
                <w:rFonts w:ascii="宋体" w:hAnsi="宋体" w:cs="宋体" w:eastAsia="宋体" w:hint="default"/>
                <w:spacing w:val="-16"/>
                <w:sz w:val="20"/>
                <w:szCs w:val="20"/>
              </w:rPr>
              <w:t>1</w:t>
            </w:r>
            <w:r>
              <w:rPr>
                <w:rFonts w:ascii="宋体" w:hAnsi="宋体" w:cs="宋体" w:eastAsia="宋体" w:hint="default"/>
                <w:spacing w:val="-16"/>
                <w:sz w:val="20"/>
                <w:szCs w:val="20"/>
              </w:rPr>
              <w:t>）计提</w:t>
            </w:r>
            <w:r>
              <w:rPr>
                <w:rFonts w:ascii="宋体" w:hAnsi="宋体" w:cs="宋体" w:eastAsia="宋体" w:hint="default"/>
                <w:sz w:val="20"/>
                <w:szCs w:val="20"/>
              </w:rPr>
              <w:t> </w:t>
            </w:r>
          </w:p>
        </w:tc>
        <w:tc>
          <w:tcPr>
            <w:tcW w:w="1501" w:type="dxa"/>
            <w:tcBorders>
              <w:top w:val="single" w:sz="4" w:space="0" w:color="41B7EE"/>
              <w:left w:val="single" w:sz="4" w:space="0" w:color="41B7EE"/>
              <w:bottom w:val="single" w:sz="4" w:space="0" w:color="41B7EE"/>
              <w:right w:val="single" w:sz="4" w:space="0" w:color="41B7EE"/>
            </w:tcBorders>
          </w:tcPr>
          <w:p>
            <w:pPr/>
          </w:p>
        </w:tc>
        <w:tc>
          <w:tcPr>
            <w:tcW w:w="1481" w:type="dxa"/>
            <w:tcBorders>
              <w:top w:val="single" w:sz="4" w:space="0" w:color="41B7EE"/>
              <w:left w:val="single" w:sz="4" w:space="0" w:color="41B7EE"/>
              <w:bottom w:val="single" w:sz="4" w:space="0" w:color="41B7EE"/>
              <w:right w:val="single" w:sz="4" w:space="0" w:color="41B7EE"/>
            </w:tcBorders>
          </w:tcPr>
          <w:p>
            <w:pPr/>
          </w:p>
        </w:tc>
        <w:tc>
          <w:tcPr>
            <w:tcW w:w="1217" w:type="dxa"/>
            <w:tcBorders>
              <w:top w:val="single" w:sz="4" w:space="0" w:color="41B7EE"/>
              <w:left w:val="single" w:sz="4" w:space="0" w:color="41B7EE"/>
              <w:bottom w:val="single" w:sz="4" w:space="0" w:color="41B7EE"/>
              <w:right w:val="single" w:sz="4" w:space="0" w:color="41B7EE"/>
            </w:tcBorders>
          </w:tcPr>
          <w:p>
            <w:pPr/>
          </w:p>
        </w:tc>
        <w:tc>
          <w:tcPr>
            <w:tcW w:w="1315" w:type="dxa"/>
            <w:tcBorders>
              <w:top w:val="single" w:sz="4" w:space="0" w:color="41B7EE"/>
              <w:left w:val="single" w:sz="4" w:space="0" w:color="41B7EE"/>
              <w:bottom w:val="single" w:sz="4" w:space="0" w:color="41B7EE"/>
              <w:right w:val="single" w:sz="4" w:space="0" w:color="41B7EE"/>
            </w:tcBorders>
          </w:tcPr>
          <w:p>
            <w:pPr/>
          </w:p>
        </w:tc>
        <w:tc>
          <w:tcPr>
            <w:tcW w:w="1539" w:type="dxa"/>
            <w:tcBorders>
              <w:top w:val="single" w:sz="4" w:space="0" w:color="41B7EE"/>
              <w:left w:val="single" w:sz="4" w:space="0" w:color="41B7EE"/>
              <w:bottom w:val="single" w:sz="4" w:space="0" w:color="41B7EE"/>
              <w:right w:val="nil" w:sz="6" w:space="0" w:color="auto"/>
            </w:tcBorders>
          </w:tcPr>
          <w:p>
            <w:pPr/>
          </w:p>
        </w:tc>
      </w:tr>
      <w:tr>
        <w:trPr>
          <w:trHeight w:val="365" w:hRule="exact"/>
        </w:trPr>
        <w:tc>
          <w:tcPr>
            <w:tcW w:w="2144"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11"/>
              <w:ind w:left="626" w:right="0"/>
              <w:jc w:val="left"/>
              <w:rPr>
                <w:rFonts w:ascii="宋体" w:hAnsi="宋体" w:cs="宋体" w:eastAsia="宋体" w:hint="default"/>
                <w:sz w:val="20"/>
                <w:szCs w:val="20"/>
              </w:rPr>
            </w:pPr>
            <w:r>
              <w:rPr>
                <w:rFonts w:ascii="宋体" w:hAnsi="宋体" w:cs="宋体" w:eastAsia="宋体" w:hint="default"/>
                <w:spacing w:val="-16"/>
                <w:sz w:val="20"/>
                <w:szCs w:val="20"/>
              </w:rPr>
              <w:t>（</w:t>
            </w:r>
            <w:r>
              <w:rPr>
                <w:rFonts w:ascii="宋体" w:hAnsi="宋体" w:cs="宋体" w:eastAsia="宋体" w:hint="default"/>
                <w:spacing w:val="-16"/>
                <w:sz w:val="20"/>
                <w:szCs w:val="20"/>
              </w:rPr>
              <w:t>2</w:t>
            </w:r>
            <w:r>
              <w:rPr>
                <w:rFonts w:ascii="宋体" w:hAnsi="宋体" w:cs="宋体" w:eastAsia="宋体" w:hint="default"/>
                <w:spacing w:val="-16"/>
                <w:sz w:val="20"/>
                <w:szCs w:val="20"/>
              </w:rPr>
              <w:t>）其他</w:t>
            </w:r>
            <w:r>
              <w:rPr>
                <w:rFonts w:ascii="宋体" w:hAnsi="宋体" w:cs="宋体" w:eastAsia="宋体" w:hint="default"/>
                <w:sz w:val="20"/>
                <w:szCs w:val="20"/>
              </w:rPr>
              <w:t> </w:t>
            </w:r>
          </w:p>
        </w:tc>
        <w:tc>
          <w:tcPr>
            <w:tcW w:w="1501" w:type="dxa"/>
            <w:tcBorders>
              <w:top w:val="single" w:sz="4" w:space="0" w:color="41B7EE"/>
              <w:left w:val="single" w:sz="4" w:space="0" w:color="41B7EE"/>
              <w:bottom w:val="single" w:sz="8" w:space="0" w:color="41B7EE"/>
              <w:right w:val="single" w:sz="4" w:space="0" w:color="41B7EE"/>
            </w:tcBorders>
          </w:tcPr>
          <w:p>
            <w:pPr/>
          </w:p>
        </w:tc>
        <w:tc>
          <w:tcPr>
            <w:tcW w:w="1481"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-6,732.00</w:t>
            </w:r>
          </w:p>
        </w:tc>
        <w:tc>
          <w:tcPr>
            <w:tcW w:w="1217" w:type="dxa"/>
            <w:tcBorders>
              <w:top w:val="single" w:sz="4" w:space="0" w:color="41B7EE"/>
              <w:left w:val="single" w:sz="4" w:space="0" w:color="41B7EE"/>
              <w:bottom w:val="single" w:sz="8" w:space="0" w:color="41B7EE"/>
              <w:right w:val="single" w:sz="4" w:space="0" w:color="41B7EE"/>
            </w:tcBorders>
          </w:tcPr>
          <w:p>
            <w:pPr/>
          </w:p>
        </w:tc>
        <w:tc>
          <w:tcPr>
            <w:tcW w:w="1315"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6,732.00</w:t>
            </w:r>
          </w:p>
        </w:tc>
        <w:tc>
          <w:tcPr>
            <w:tcW w:w="1539" w:type="dxa"/>
            <w:tcBorders>
              <w:top w:val="single" w:sz="4" w:space="0" w:color="41B7EE"/>
              <w:left w:val="single" w:sz="4" w:space="0" w:color="41B7EE"/>
              <w:bottom w:val="single" w:sz="8" w:space="0" w:color="41B7EE"/>
              <w:right w:val="nil" w:sz="6" w:space="0" w:color="auto"/>
            </w:tcBorders>
          </w:tcPr>
          <w:p>
            <w:pPr/>
          </w:p>
        </w:tc>
      </w:tr>
    </w:tbl>
    <w:p>
      <w:pPr>
        <w:spacing w:line="20" w:lineRule="exact"/>
        <w:ind w:left="127" w:right="0" w:firstLine="0"/>
        <w:rPr>
          <w:rFonts w:ascii="宋体" w:hAnsi="宋体" w:cs="宋体" w:eastAsia="宋体" w:hint="default"/>
          <w:sz w:val="2"/>
          <w:szCs w:val="2"/>
        </w:rPr>
      </w:pPr>
      <w:r>
        <w:rPr>
          <w:rFonts w:ascii="宋体" w:hAnsi="宋体" w:cs="宋体" w:eastAsia="宋体" w:hint="default"/>
          <w:sz w:val="2"/>
          <w:szCs w:val="2"/>
        </w:rPr>
        <w:pict>
          <v:group style="width:460.8pt;height:1pt;mso-position-horizontal-relative:char;mso-position-vertical-relative:line" coordorigin="0,0" coordsize="9216,20">
            <v:group style="position:absolute;left:10;top:10;width:2139;height:2" coordorigin="10,10" coordsize="2139,2">
              <v:shape style="position:absolute;left:10;top:10;width:2139;height:2" coordorigin="10,10" coordsize="2139,0" path="m10,10l2148,10e" filled="false" stroked="true" strokeweight=".96002pt" strokecolor="#41b7ee">
                <v:path arrowok="t"/>
              </v:shape>
            </v:group>
            <v:group style="position:absolute;left:2148;top:10;width:58;height:2" coordorigin="2148,10" coordsize="58,2">
              <v:shape style="position:absolute;left:2148;top:10;width:58;height:2" coordorigin="2148,10" coordsize="58,0" path="m2148,10l2206,10e" filled="false" stroked="true" strokeweight=".96002pt" strokecolor="#41b7ee">
                <v:path arrowok="t"/>
              </v:shape>
            </v:group>
            <v:group style="position:absolute;left:2206;top:10;width:1443;height:2" coordorigin="2206,10" coordsize="1443,2">
              <v:shape style="position:absolute;left:2206;top:10;width:1443;height:2" coordorigin="2206,10" coordsize="1443,0" path="m2206,10l3649,10e" filled="false" stroked="true" strokeweight=".96002pt" strokecolor="#41b7ee">
                <v:path arrowok="t"/>
              </v:shape>
            </v:group>
            <v:group style="position:absolute;left:3649;top:10;width:58;height:2" coordorigin="3649,10" coordsize="58,2">
              <v:shape style="position:absolute;left:3649;top:10;width:58;height:2" coordorigin="3649,10" coordsize="58,0" path="m3649,10l3707,10e" filled="false" stroked="true" strokeweight=".96002pt" strokecolor="#41b7ee">
                <v:path arrowok="t"/>
              </v:shape>
            </v:group>
            <v:group style="position:absolute;left:3707;top:10;width:1424;height:2" coordorigin="3707,10" coordsize="1424,2">
              <v:shape style="position:absolute;left:3707;top:10;width:1424;height:2" coordorigin="3707,10" coordsize="1424,0" path="m3707,10l5130,10e" filled="false" stroked="true" strokeweight=".96002pt" strokecolor="#41b7ee">
                <v:path arrowok="t"/>
              </v:shape>
            </v:group>
            <v:group style="position:absolute;left:5130;top:10;width:58;height:2" coordorigin="5130,10" coordsize="58,2">
              <v:shape style="position:absolute;left:5130;top:10;width:58;height:2" coordorigin="5130,10" coordsize="58,0" path="m5130,10l5187,10e" filled="false" stroked="true" strokeweight=".96002pt" strokecolor="#41b7ee">
                <v:path arrowok="t"/>
              </v:shape>
            </v:group>
            <v:group style="position:absolute;left:5187;top:10;width:1160;height:2" coordorigin="5187,10" coordsize="1160,2">
              <v:shape style="position:absolute;left:5187;top:10;width:1160;height:2" coordorigin="5187,10" coordsize="1160,0" path="m5187,10l6347,10e" filled="false" stroked="true" strokeweight=".96002pt" strokecolor="#41b7ee">
                <v:path arrowok="t"/>
              </v:shape>
            </v:group>
            <v:group style="position:absolute;left:6347;top:10;width:58;height:2" coordorigin="6347,10" coordsize="58,2">
              <v:shape style="position:absolute;left:6347;top:10;width:58;height:2" coordorigin="6347,10" coordsize="58,0" path="m6347,10l6405,10e" filled="false" stroked="true" strokeweight=".96002pt" strokecolor="#41b7ee">
                <v:path arrowok="t"/>
              </v:shape>
            </v:group>
            <v:group style="position:absolute;left:6405;top:10;width:1258;height:2" coordorigin="6405,10" coordsize="1258,2">
              <v:shape style="position:absolute;left:6405;top:10;width:1258;height:2" coordorigin="6405,10" coordsize="1258,0" path="m6405,10l7662,10e" filled="false" stroked="true" strokeweight=".96002pt" strokecolor="#41b7ee">
                <v:path arrowok="t"/>
              </v:shape>
            </v:group>
            <v:group style="position:absolute;left:7662;top:10;width:58;height:2" coordorigin="7662,10" coordsize="58,2">
              <v:shape style="position:absolute;left:7662;top:10;width:58;height:2" coordorigin="7662,10" coordsize="58,0" path="m7662,10l7720,10e" filled="false" stroked="true" strokeweight=".96002pt" strokecolor="#41b7ee">
                <v:path arrowok="t"/>
              </v:shape>
            </v:group>
            <v:group style="position:absolute;left:7720;top:10;width:1487;height:2" coordorigin="7720,10" coordsize="1487,2">
              <v:shape style="position:absolute;left:7720;top:10;width:1487;height:2" coordorigin="7720,10" coordsize="1487,0" path="m7720,10l9206,10e" filled="false" stroked="true" strokeweight=".96002pt" strokecolor="#41b7ee">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360" w:bottom="1380" w:left="960" w:right="1440"/>
        </w:sectPr>
      </w:pPr>
    </w:p>
    <w:p>
      <w:pPr>
        <w:spacing w:line="240" w:lineRule="auto" w:before="11"/>
        <w:rPr>
          <w:rFonts w:ascii="宋体" w:hAnsi="宋体" w:cs="宋体" w:eastAsia="宋体" w:hint="default"/>
          <w:sz w:val="3"/>
          <w:szCs w:val="3"/>
        </w:rPr>
      </w:pPr>
    </w:p>
    <w:p>
      <w:pPr>
        <w:spacing w:line="20" w:lineRule="exact"/>
        <w:ind w:left="28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4"/>
          <w:szCs w:val="4"/>
        </w:rPr>
      </w:pPr>
    </w:p>
    <w:p>
      <w:pPr>
        <w:spacing w:line="20" w:lineRule="exact"/>
        <w:ind w:left="127" w:right="0" w:firstLine="0"/>
        <w:rPr>
          <w:rFonts w:ascii="宋体" w:hAnsi="宋体" w:cs="宋体" w:eastAsia="宋体" w:hint="default"/>
          <w:sz w:val="2"/>
          <w:szCs w:val="2"/>
        </w:rPr>
      </w:pPr>
      <w:r>
        <w:rPr>
          <w:rFonts w:ascii="宋体" w:hAnsi="宋体" w:cs="宋体" w:eastAsia="宋体" w:hint="default"/>
          <w:sz w:val="2"/>
          <w:szCs w:val="2"/>
        </w:rPr>
        <w:pict>
          <v:group style="width:460.8pt;height:1pt;mso-position-horizontal-relative:char;mso-position-vertical-relative:line" coordorigin="0,0" coordsize="9216,20">
            <v:group style="position:absolute;left:10;top:10;width:2139;height:2" coordorigin="10,10" coordsize="2139,2">
              <v:shape style="position:absolute;left:10;top:10;width:2139;height:2" coordorigin="10,10" coordsize="2139,0" path="m10,10l2148,10e" filled="false" stroked="true" strokeweight=".96pt" strokecolor="#41b7ee">
                <v:path arrowok="t"/>
              </v:shape>
            </v:group>
            <v:group style="position:absolute;left:2148;top:10;width:58;height:2" coordorigin="2148,10" coordsize="58,2">
              <v:shape style="position:absolute;left:2148;top:10;width:58;height:2" coordorigin="2148,10" coordsize="58,0" path="m2148,10l2206,10e" filled="false" stroked="true" strokeweight=".96pt" strokecolor="#41b7ee">
                <v:path arrowok="t"/>
              </v:shape>
            </v:group>
            <v:group style="position:absolute;left:2206;top:10;width:1443;height:2" coordorigin="2206,10" coordsize="1443,2">
              <v:shape style="position:absolute;left:2206;top:10;width:1443;height:2" coordorigin="2206,10" coordsize="1443,0" path="m2206,10l3649,10e" filled="false" stroked="true" strokeweight=".96pt" strokecolor="#41b7ee">
                <v:path arrowok="t"/>
              </v:shape>
            </v:group>
            <v:group style="position:absolute;left:3649;top:10;width:58;height:2" coordorigin="3649,10" coordsize="58,2">
              <v:shape style="position:absolute;left:3649;top:10;width:58;height:2" coordorigin="3649,10" coordsize="58,0" path="m3649,10l3707,10e" filled="false" stroked="true" strokeweight=".96pt" strokecolor="#41b7ee">
                <v:path arrowok="t"/>
              </v:shape>
            </v:group>
            <v:group style="position:absolute;left:3707;top:10;width:1424;height:2" coordorigin="3707,10" coordsize="1424,2">
              <v:shape style="position:absolute;left:3707;top:10;width:1424;height:2" coordorigin="3707,10" coordsize="1424,0" path="m3707,10l5130,10e" filled="false" stroked="true" strokeweight=".96pt" strokecolor="#41b7ee">
                <v:path arrowok="t"/>
              </v:shape>
            </v:group>
            <v:group style="position:absolute;left:5130;top:10;width:58;height:2" coordorigin="5130,10" coordsize="58,2">
              <v:shape style="position:absolute;left:5130;top:10;width:58;height:2" coordorigin="5130,10" coordsize="58,0" path="m5130,10l5187,10e" filled="false" stroked="true" strokeweight=".96pt" strokecolor="#41b7ee">
                <v:path arrowok="t"/>
              </v:shape>
            </v:group>
            <v:group style="position:absolute;left:5187;top:10;width:1160;height:2" coordorigin="5187,10" coordsize="1160,2">
              <v:shape style="position:absolute;left:5187;top:10;width:1160;height:2" coordorigin="5187,10" coordsize="1160,0" path="m5187,10l6347,10e" filled="false" stroked="true" strokeweight=".96pt" strokecolor="#41b7ee">
                <v:path arrowok="t"/>
              </v:shape>
            </v:group>
            <v:group style="position:absolute;left:6347;top:10;width:58;height:2" coordorigin="6347,10" coordsize="58,2">
              <v:shape style="position:absolute;left:6347;top:10;width:58;height:2" coordorigin="6347,10" coordsize="58,0" path="m6347,10l6405,10e" filled="false" stroked="true" strokeweight=".96pt" strokecolor="#41b7ee">
                <v:path arrowok="t"/>
              </v:shape>
            </v:group>
            <v:group style="position:absolute;left:6405;top:10;width:1258;height:2" coordorigin="6405,10" coordsize="1258,2">
              <v:shape style="position:absolute;left:6405;top:10;width:1258;height:2" coordorigin="6405,10" coordsize="1258,0" path="m6405,10l7662,10e" filled="false" stroked="true" strokeweight=".96pt" strokecolor="#41b7ee">
                <v:path arrowok="t"/>
              </v:shape>
            </v:group>
            <v:group style="position:absolute;left:7662;top:10;width:58;height:2" coordorigin="7662,10" coordsize="58,2">
              <v:shape style="position:absolute;left:7662;top:10;width:58;height:2" coordorigin="7662,10" coordsize="58,0" path="m7662,10l7720,10e" filled="false" stroked="true" strokeweight=".96pt" strokecolor="#41b7ee">
                <v:path arrowok="t"/>
              </v:shape>
            </v:group>
            <v:group style="position:absolute;left:7720;top:10;width:1487;height:2" coordorigin="7720,10" coordsize="1487,2">
              <v:shape style="position:absolute;left:7720;top:10;width:1487;height:2" coordorigin="7720,10" coordsize="1487,0" path="m7720,10l9206,10e" filled="false" stroked="true" strokeweight=".96pt" strokecolor="#41b7ee">
                <v:path arrowok="t"/>
              </v:shape>
            </v:group>
          </v:group>
        </w:pict>
      </w:r>
      <w:r>
        <w:rPr>
          <w:rFonts w:ascii="宋体" w:hAnsi="宋体" w:cs="宋体" w:eastAsia="宋体" w:hint="default"/>
          <w:sz w:val="2"/>
          <w:szCs w:val="2"/>
        </w:rPr>
      </w:r>
    </w:p>
    <w:tbl>
      <w:tblPr>
        <w:tblW w:w="0" w:type="auto"/>
        <w:jc w:val="left"/>
        <w:tblInd w:w="108" w:type="dxa"/>
        <w:tblLayout w:type="fixed"/>
        <w:tblCellMar>
          <w:top w:w="0" w:type="dxa"/>
          <w:left w:w="0" w:type="dxa"/>
          <w:bottom w:w="0" w:type="dxa"/>
          <w:right w:w="0" w:type="dxa"/>
        </w:tblCellMar>
        <w:tblLook w:val="01E0"/>
      </w:tblPr>
      <w:tblGrid>
        <w:gridCol w:w="2144"/>
        <w:gridCol w:w="1501"/>
        <w:gridCol w:w="1481"/>
        <w:gridCol w:w="1217"/>
        <w:gridCol w:w="1315"/>
        <w:gridCol w:w="1539"/>
      </w:tblGrid>
      <w:tr>
        <w:trPr>
          <w:trHeight w:val="365" w:hRule="exact"/>
        </w:trPr>
        <w:tc>
          <w:tcPr>
            <w:tcW w:w="2144"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13"/>
              <w:ind w:left="427" w:right="0"/>
              <w:jc w:val="left"/>
              <w:rPr>
                <w:rFonts w:ascii="宋体" w:hAnsi="宋体" w:cs="宋体" w:eastAsia="宋体" w:hint="default"/>
                <w:sz w:val="20"/>
                <w:szCs w:val="20"/>
              </w:rPr>
            </w:pPr>
            <w:r>
              <w:rPr>
                <w:rFonts w:ascii="宋体" w:hAnsi="宋体" w:cs="宋体" w:eastAsia="宋体" w:hint="default"/>
                <w:spacing w:val="-15"/>
                <w:sz w:val="20"/>
                <w:szCs w:val="20"/>
              </w:rPr>
              <w:t>3.</w:t>
            </w:r>
            <w:r>
              <w:rPr>
                <w:rFonts w:ascii="宋体" w:hAnsi="宋体" w:cs="宋体" w:eastAsia="宋体" w:hint="default"/>
                <w:spacing w:val="-15"/>
                <w:sz w:val="20"/>
                <w:szCs w:val="20"/>
              </w:rPr>
              <w:t>本期减少金额</w:t>
            </w:r>
            <w:r>
              <w:rPr>
                <w:rFonts w:ascii="宋体" w:hAnsi="宋体" w:cs="宋体" w:eastAsia="宋体" w:hint="default"/>
                <w:sz w:val="20"/>
                <w:szCs w:val="20"/>
              </w:rPr>
              <w:t> </w:t>
            </w:r>
          </w:p>
        </w:tc>
        <w:tc>
          <w:tcPr>
            <w:tcW w:w="1501"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71"/>
              <w:ind w:right="19"/>
              <w:jc w:val="right"/>
              <w:rPr>
                <w:rFonts w:ascii="Arial" w:hAnsi="Arial" w:cs="Arial" w:eastAsia="Arial" w:hint="default"/>
                <w:sz w:val="18"/>
                <w:szCs w:val="18"/>
              </w:rPr>
            </w:pPr>
            <w:r>
              <w:rPr>
                <w:rFonts w:ascii="Arial"/>
                <w:spacing w:val="-1"/>
                <w:sz w:val="18"/>
              </w:rPr>
              <w:t>1,053,480.34</w:t>
            </w:r>
          </w:p>
        </w:tc>
        <w:tc>
          <w:tcPr>
            <w:tcW w:w="1481"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71"/>
              <w:ind w:right="21"/>
              <w:jc w:val="right"/>
              <w:rPr>
                <w:rFonts w:ascii="Arial" w:hAnsi="Arial" w:cs="Arial" w:eastAsia="Arial" w:hint="default"/>
                <w:sz w:val="18"/>
                <w:szCs w:val="18"/>
              </w:rPr>
            </w:pPr>
            <w:r>
              <w:rPr>
                <w:rFonts w:ascii="Arial"/>
                <w:spacing w:val="-1"/>
                <w:sz w:val="18"/>
              </w:rPr>
              <w:t>5,565,131.88</w:t>
            </w:r>
          </w:p>
        </w:tc>
        <w:tc>
          <w:tcPr>
            <w:tcW w:w="1217"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71"/>
              <w:ind w:right="21"/>
              <w:jc w:val="right"/>
              <w:rPr>
                <w:rFonts w:ascii="Arial" w:hAnsi="Arial" w:cs="Arial" w:eastAsia="Arial" w:hint="default"/>
                <w:sz w:val="18"/>
                <w:szCs w:val="18"/>
              </w:rPr>
            </w:pPr>
            <w:r>
              <w:rPr>
                <w:rFonts w:ascii="Arial"/>
                <w:spacing w:val="-1"/>
                <w:sz w:val="18"/>
              </w:rPr>
              <w:t>505,069.95</w:t>
            </w:r>
          </w:p>
        </w:tc>
        <w:tc>
          <w:tcPr>
            <w:tcW w:w="1315" w:type="dxa"/>
            <w:tcBorders>
              <w:top w:val="single" w:sz="8" w:space="0" w:color="41B7EE"/>
              <w:left w:val="single" w:sz="4" w:space="0" w:color="41B7EE"/>
              <w:bottom w:val="single" w:sz="4" w:space="0" w:color="41B7EE"/>
              <w:right w:val="single" w:sz="4" w:space="0" w:color="41B7EE"/>
            </w:tcBorders>
          </w:tcPr>
          <w:p>
            <w:pPr/>
          </w:p>
        </w:tc>
        <w:tc>
          <w:tcPr>
            <w:tcW w:w="1539"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71"/>
              <w:ind w:right="26"/>
              <w:jc w:val="right"/>
              <w:rPr>
                <w:rFonts w:ascii="Arial" w:hAnsi="Arial" w:cs="Arial" w:eastAsia="Arial" w:hint="default"/>
                <w:sz w:val="18"/>
                <w:szCs w:val="18"/>
              </w:rPr>
            </w:pPr>
            <w:r>
              <w:rPr>
                <w:rFonts w:ascii="Arial"/>
                <w:spacing w:val="-1"/>
                <w:sz w:val="18"/>
              </w:rPr>
              <w:t>7,123,682.17</w:t>
            </w:r>
          </w:p>
        </w:tc>
      </w:tr>
      <w:tr>
        <w:trPr>
          <w:trHeight w:val="355" w:hRule="exact"/>
        </w:trPr>
        <w:tc>
          <w:tcPr>
            <w:tcW w:w="214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1"/>
              <w:ind w:right="30"/>
              <w:jc w:val="right"/>
              <w:rPr>
                <w:rFonts w:ascii="宋体" w:hAnsi="宋体" w:cs="宋体" w:eastAsia="宋体" w:hint="default"/>
                <w:sz w:val="20"/>
                <w:szCs w:val="20"/>
              </w:rPr>
            </w:pPr>
            <w:r>
              <w:rPr>
                <w:rFonts w:ascii="宋体" w:hAnsi="宋体" w:cs="宋体" w:eastAsia="宋体" w:hint="default"/>
                <w:spacing w:val="-16"/>
                <w:sz w:val="20"/>
                <w:szCs w:val="20"/>
              </w:rPr>
              <w:t>（</w:t>
            </w:r>
            <w:r>
              <w:rPr>
                <w:rFonts w:ascii="宋体" w:hAnsi="宋体" w:cs="宋体" w:eastAsia="宋体" w:hint="default"/>
                <w:spacing w:val="-16"/>
                <w:sz w:val="20"/>
                <w:szCs w:val="20"/>
              </w:rPr>
              <w:t>1</w:t>
            </w:r>
            <w:r>
              <w:rPr>
                <w:rFonts w:ascii="宋体" w:hAnsi="宋体" w:cs="宋体" w:eastAsia="宋体" w:hint="default"/>
                <w:spacing w:val="-16"/>
                <w:sz w:val="20"/>
                <w:szCs w:val="20"/>
              </w:rPr>
              <w:t>）处置或报废</w:t>
            </w:r>
            <w:r>
              <w:rPr>
                <w:rFonts w:ascii="宋体" w:hAnsi="宋体" w:cs="宋体" w:eastAsia="宋体" w:hint="default"/>
                <w:sz w:val="20"/>
                <w:szCs w:val="20"/>
              </w:rPr>
              <w:t> </w:t>
            </w:r>
          </w:p>
        </w:tc>
        <w:tc>
          <w:tcPr>
            <w:tcW w:w="15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19"/>
              <w:jc w:val="right"/>
              <w:rPr>
                <w:rFonts w:ascii="Arial" w:hAnsi="Arial" w:cs="Arial" w:eastAsia="Arial" w:hint="default"/>
                <w:sz w:val="18"/>
                <w:szCs w:val="18"/>
              </w:rPr>
            </w:pPr>
            <w:r>
              <w:rPr>
                <w:rFonts w:ascii="Arial"/>
                <w:spacing w:val="-1"/>
                <w:sz w:val="18"/>
              </w:rPr>
              <w:t>1,046,512.67</w:t>
            </w:r>
          </w:p>
        </w:tc>
        <w:tc>
          <w:tcPr>
            <w:tcW w:w="14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5,565,131.88</w:t>
            </w:r>
          </w:p>
        </w:tc>
        <w:tc>
          <w:tcPr>
            <w:tcW w:w="1217" w:type="dxa"/>
            <w:tcBorders>
              <w:top w:val="single" w:sz="4" w:space="0" w:color="41B7EE"/>
              <w:left w:val="single" w:sz="4" w:space="0" w:color="41B7EE"/>
              <w:bottom w:val="single" w:sz="4" w:space="0" w:color="41B7EE"/>
              <w:right w:val="single" w:sz="4" w:space="0" w:color="41B7EE"/>
            </w:tcBorders>
          </w:tcPr>
          <w:p>
            <w:pPr/>
          </w:p>
        </w:tc>
        <w:tc>
          <w:tcPr>
            <w:tcW w:w="1315" w:type="dxa"/>
            <w:tcBorders>
              <w:top w:val="single" w:sz="4" w:space="0" w:color="41B7EE"/>
              <w:left w:val="single" w:sz="4" w:space="0" w:color="41B7EE"/>
              <w:bottom w:val="single" w:sz="4" w:space="0" w:color="41B7EE"/>
              <w:right w:val="single" w:sz="4" w:space="0" w:color="41B7EE"/>
            </w:tcBorders>
          </w:tcPr>
          <w:p>
            <w:pPr/>
          </w:p>
        </w:tc>
        <w:tc>
          <w:tcPr>
            <w:tcW w:w="153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68"/>
              <w:ind w:right="26"/>
              <w:jc w:val="right"/>
              <w:rPr>
                <w:rFonts w:ascii="Arial" w:hAnsi="Arial" w:cs="Arial" w:eastAsia="Arial" w:hint="default"/>
                <w:sz w:val="18"/>
                <w:szCs w:val="18"/>
              </w:rPr>
            </w:pPr>
            <w:r>
              <w:rPr>
                <w:rFonts w:ascii="Arial"/>
                <w:spacing w:val="-1"/>
                <w:sz w:val="18"/>
              </w:rPr>
              <w:t>6,611,644.55</w:t>
            </w:r>
          </w:p>
        </w:tc>
      </w:tr>
      <w:tr>
        <w:trPr>
          <w:trHeight w:val="358" w:hRule="exact"/>
        </w:trPr>
        <w:tc>
          <w:tcPr>
            <w:tcW w:w="214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3"/>
              <w:ind w:right="30"/>
              <w:jc w:val="right"/>
              <w:rPr>
                <w:rFonts w:ascii="宋体" w:hAnsi="宋体" w:cs="宋体" w:eastAsia="宋体" w:hint="default"/>
                <w:sz w:val="20"/>
                <w:szCs w:val="20"/>
              </w:rPr>
            </w:pPr>
            <w:r>
              <w:rPr>
                <w:rFonts w:ascii="宋体" w:hAnsi="宋体" w:cs="宋体" w:eastAsia="宋体" w:hint="default"/>
                <w:spacing w:val="-16"/>
                <w:sz w:val="20"/>
                <w:szCs w:val="20"/>
              </w:rPr>
              <w:t>（</w:t>
            </w:r>
            <w:r>
              <w:rPr>
                <w:rFonts w:ascii="宋体" w:hAnsi="宋体" w:cs="宋体" w:eastAsia="宋体" w:hint="default"/>
                <w:spacing w:val="-16"/>
                <w:sz w:val="20"/>
                <w:szCs w:val="20"/>
              </w:rPr>
              <w:t>2</w:t>
            </w:r>
            <w:r>
              <w:rPr>
                <w:rFonts w:ascii="宋体" w:hAnsi="宋体" w:cs="宋体" w:eastAsia="宋体" w:hint="default"/>
                <w:spacing w:val="-16"/>
                <w:sz w:val="20"/>
                <w:szCs w:val="20"/>
              </w:rPr>
              <w:t>）报废和毁损</w:t>
            </w:r>
            <w:r>
              <w:rPr>
                <w:rFonts w:ascii="宋体" w:hAnsi="宋体" w:cs="宋体" w:eastAsia="宋体" w:hint="default"/>
                <w:sz w:val="20"/>
                <w:szCs w:val="20"/>
              </w:rPr>
              <w:t> </w:t>
            </w:r>
          </w:p>
        </w:tc>
        <w:tc>
          <w:tcPr>
            <w:tcW w:w="15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18"/>
              <w:jc w:val="right"/>
              <w:rPr>
                <w:rFonts w:ascii="Arial" w:hAnsi="Arial" w:cs="Arial" w:eastAsia="Arial" w:hint="default"/>
                <w:sz w:val="18"/>
                <w:szCs w:val="18"/>
              </w:rPr>
            </w:pPr>
            <w:r>
              <w:rPr>
                <w:rFonts w:ascii="Arial"/>
                <w:spacing w:val="-1"/>
                <w:sz w:val="18"/>
              </w:rPr>
              <w:t>6,967.67</w:t>
            </w:r>
          </w:p>
        </w:tc>
        <w:tc>
          <w:tcPr>
            <w:tcW w:w="1481" w:type="dxa"/>
            <w:tcBorders>
              <w:top w:val="single" w:sz="4" w:space="0" w:color="41B7EE"/>
              <w:left w:val="single" w:sz="4" w:space="0" w:color="41B7EE"/>
              <w:bottom w:val="single" w:sz="4" w:space="0" w:color="41B7EE"/>
              <w:right w:val="single" w:sz="4" w:space="0" w:color="41B7EE"/>
            </w:tcBorders>
          </w:tcPr>
          <w:p>
            <w:pPr/>
          </w:p>
        </w:tc>
        <w:tc>
          <w:tcPr>
            <w:tcW w:w="121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21"/>
              <w:jc w:val="right"/>
              <w:rPr>
                <w:rFonts w:ascii="Arial" w:hAnsi="Arial" w:cs="Arial" w:eastAsia="Arial" w:hint="default"/>
                <w:sz w:val="18"/>
                <w:szCs w:val="18"/>
              </w:rPr>
            </w:pPr>
            <w:r>
              <w:rPr>
                <w:rFonts w:ascii="Arial"/>
                <w:spacing w:val="-1"/>
                <w:sz w:val="18"/>
              </w:rPr>
              <w:t>505,069.95</w:t>
            </w:r>
          </w:p>
        </w:tc>
        <w:tc>
          <w:tcPr>
            <w:tcW w:w="1315" w:type="dxa"/>
            <w:tcBorders>
              <w:top w:val="single" w:sz="4" w:space="0" w:color="41B7EE"/>
              <w:left w:val="single" w:sz="4" w:space="0" w:color="41B7EE"/>
              <w:bottom w:val="single" w:sz="4" w:space="0" w:color="41B7EE"/>
              <w:right w:val="single" w:sz="4" w:space="0" w:color="41B7EE"/>
            </w:tcBorders>
          </w:tcPr>
          <w:p>
            <w:pPr/>
          </w:p>
        </w:tc>
        <w:tc>
          <w:tcPr>
            <w:tcW w:w="153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71"/>
              <w:ind w:right="25"/>
              <w:jc w:val="right"/>
              <w:rPr>
                <w:rFonts w:ascii="Arial" w:hAnsi="Arial" w:cs="Arial" w:eastAsia="Arial" w:hint="default"/>
                <w:sz w:val="18"/>
                <w:szCs w:val="18"/>
              </w:rPr>
            </w:pPr>
            <w:r>
              <w:rPr>
                <w:rFonts w:ascii="Arial"/>
                <w:spacing w:val="-1"/>
                <w:sz w:val="18"/>
              </w:rPr>
              <w:t>512,037.62</w:t>
            </w:r>
          </w:p>
        </w:tc>
      </w:tr>
      <w:tr>
        <w:trPr>
          <w:trHeight w:val="358" w:hRule="exact"/>
        </w:trPr>
        <w:tc>
          <w:tcPr>
            <w:tcW w:w="214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3"/>
              <w:ind w:left="626" w:right="0"/>
              <w:jc w:val="left"/>
              <w:rPr>
                <w:rFonts w:ascii="宋体" w:hAnsi="宋体" w:cs="宋体" w:eastAsia="宋体" w:hint="default"/>
                <w:sz w:val="20"/>
                <w:szCs w:val="20"/>
              </w:rPr>
            </w:pPr>
            <w:r>
              <w:rPr>
                <w:rFonts w:ascii="宋体" w:hAnsi="宋体" w:cs="宋体" w:eastAsia="宋体" w:hint="default"/>
                <w:spacing w:val="-16"/>
                <w:sz w:val="20"/>
                <w:szCs w:val="20"/>
              </w:rPr>
              <w:t>（</w:t>
            </w:r>
            <w:r>
              <w:rPr>
                <w:rFonts w:ascii="宋体" w:hAnsi="宋体" w:cs="宋体" w:eastAsia="宋体" w:hint="default"/>
                <w:spacing w:val="-16"/>
                <w:sz w:val="20"/>
                <w:szCs w:val="20"/>
              </w:rPr>
              <w:t>3</w:t>
            </w:r>
            <w:r>
              <w:rPr>
                <w:rFonts w:ascii="宋体" w:hAnsi="宋体" w:cs="宋体" w:eastAsia="宋体" w:hint="default"/>
                <w:spacing w:val="-16"/>
                <w:sz w:val="20"/>
                <w:szCs w:val="20"/>
              </w:rPr>
              <w:t>）其他</w:t>
            </w:r>
            <w:r>
              <w:rPr>
                <w:rFonts w:ascii="宋体" w:hAnsi="宋体" w:cs="宋体" w:eastAsia="宋体" w:hint="default"/>
                <w:sz w:val="20"/>
                <w:szCs w:val="20"/>
              </w:rPr>
              <w:t> </w:t>
            </w:r>
          </w:p>
        </w:tc>
        <w:tc>
          <w:tcPr>
            <w:tcW w:w="1501" w:type="dxa"/>
            <w:tcBorders>
              <w:top w:val="single" w:sz="4" w:space="0" w:color="41B7EE"/>
              <w:left w:val="single" w:sz="4" w:space="0" w:color="41B7EE"/>
              <w:bottom w:val="single" w:sz="4" w:space="0" w:color="41B7EE"/>
              <w:right w:val="single" w:sz="4" w:space="0" w:color="41B7EE"/>
            </w:tcBorders>
          </w:tcPr>
          <w:p>
            <w:pPr/>
          </w:p>
        </w:tc>
        <w:tc>
          <w:tcPr>
            <w:tcW w:w="1481" w:type="dxa"/>
            <w:tcBorders>
              <w:top w:val="single" w:sz="4" w:space="0" w:color="41B7EE"/>
              <w:left w:val="single" w:sz="4" w:space="0" w:color="41B7EE"/>
              <w:bottom w:val="single" w:sz="4" w:space="0" w:color="41B7EE"/>
              <w:right w:val="single" w:sz="4" w:space="0" w:color="41B7EE"/>
            </w:tcBorders>
          </w:tcPr>
          <w:p>
            <w:pPr/>
          </w:p>
        </w:tc>
        <w:tc>
          <w:tcPr>
            <w:tcW w:w="1217" w:type="dxa"/>
            <w:tcBorders>
              <w:top w:val="single" w:sz="4" w:space="0" w:color="41B7EE"/>
              <w:left w:val="single" w:sz="4" w:space="0" w:color="41B7EE"/>
              <w:bottom w:val="single" w:sz="4" w:space="0" w:color="41B7EE"/>
              <w:right w:val="single" w:sz="4" w:space="0" w:color="41B7EE"/>
            </w:tcBorders>
          </w:tcPr>
          <w:p>
            <w:pPr/>
          </w:p>
        </w:tc>
        <w:tc>
          <w:tcPr>
            <w:tcW w:w="1315" w:type="dxa"/>
            <w:tcBorders>
              <w:top w:val="single" w:sz="4" w:space="0" w:color="41B7EE"/>
              <w:left w:val="single" w:sz="4" w:space="0" w:color="41B7EE"/>
              <w:bottom w:val="single" w:sz="4" w:space="0" w:color="41B7EE"/>
              <w:right w:val="single" w:sz="4" w:space="0" w:color="41B7EE"/>
            </w:tcBorders>
          </w:tcPr>
          <w:p>
            <w:pPr/>
          </w:p>
        </w:tc>
        <w:tc>
          <w:tcPr>
            <w:tcW w:w="1539"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214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1"/>
              <w:ind w:left="427" w:right="0"/>
              <w:jc w:val="left"/>
              <w:rPr>
                <w:rFonts w:ascii="宋体" w:hAnsi="宋体" w:cs="宋体" w:eastAsia="宋体" w:hint="default"/>
                <w:sz w:val="20"/>
                <w:szCs w:val="20"/>
              </w:rPr>
            </w:pPr>
            <w:r>
              <w:rPr>
                <w:rFonts w:ascii="宋体" w:hAnsi="宋体" w:cs="宋体" w:eastAsia="宋体" w:hint="default"/>
                <w:spacing w:val="-15"/>
                <w:sz w:val="20"/>
                <w:szCs w:val="20"/>
              </w:rPr>
              <w:t>4.</w:t>
            </w:r>
            <w:r>
              <w:rPr>
                <w:rFonts w:ascii="宋体" w:hAnsi="宋体" w:cs="宋体" w:eastAsia="宋体" w:hint="default"/>
                <w:spacing w:val="-15"/>
                <w:sz w:val="20"/>
                <w:szCs w:val="20"/>
              </w:rPr>
              <w:t>期末余额</w:t>
            </w:r>
            <w:r>
              <w:rPr>
                <w:rFonts w:ascii="宋体" w:hAnsi="宋体" w:cs="宋体" w:eastAsia="宋体" w:hint="default"/>
                <w:sz w:val="20"/>
                <w:szCs w:val="20"/>
              </w:rPr>
              <w:t> </w:t>
            </w:r>
          </w:p>
        </w:tc>
        <w:tc>
          <w:tcPr>
            <w:tcW w:w="15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19"/>
              <w:jc w:val="right"/>
              <w:rPr>
                <w:rFonts w:ascii="Arial" w:hAnsi="Arial" w:cs="Arial" w:eastAsia="Arial" w:hint="default"/>
                <w:sz w:val="18"/>
                <w:szCs w:val="18"/>
              </w:rPr>
            </w:pPr>
            <w:r>
              <w:rPr>
                <w:rFonts w:ascii="Arial"/>
                <w:spacing w:val="-1"/>
                <w:sz w:val="18"/>
              </w:rPr>
              <w:t>98,582,219.02</w:t>
            </w:r>
          </w:p>
        </w:tc>
        <w:tc>
          <w:tcPr>
            <w:tcW w:w="14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238,282,205.29</w:t>
            </w:r>
          </w:p>
        </w:tc>
        <w:tc>
          <w:tcPr>
            <w:tcW w:w="121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2"/>
              <w:jc w:val="right"/>
              <w:rPr>
                <w:rFonts w:ascii="Arial" w:hAnsi="Arial" w:cs="Arial" w:eastAsia="Arial" w:hint="default"/>
                <w:sz w:val="18"/>
                <w:szCs w:val="18"/>
              </w:rPr>
            </w:pPr>
            <w:r>
              <w:rPr>
                <w:rFonts w:ascii="Arial"/>
                <w:spacing w:val="-1"/>
                <w:sz w:val="18"/>
              </w:rPr>
              <w:t>1,709,691.04</w:t>
            </w:r>
          </w:p>
        </w:tc>
        <w:tc>
          <w:tcPr>
            <w:tcW w:w="131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417,436.52</w:t>
            </w:r>
          </w:p>
        </w:tc>
        <w:tc>
          <w:tcPr>
            <w:tcW w:w="153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68"/>
              <w:ind w:right="26"/>
              <w:jc w:val="right"/>
              <w:rPr>
                <w:rFonts w:ascii="Arial" w:hAnsi="Arial" w:cs="Arial" w:eastAsia="Arial" w:hint="default"/>
                <w:sz w:val="18"/>
                <w:szCs w:val="18"/>
              </w:rPr>
            </w:pPr>
            <w:r>
              <w:rPr>
                <w:rFonts w:ascii="Arial"/>
                <w:spacing w:val="-1"/>
                <w:sz w:val="18"/>
              </w:rPr>
              <w:t>338,991,551.87</w:t>
            </w:r>
          </w:p>
        </w:tc>
      </w:tr>
      <w:tr>
        <w:trPr>
          <w:trHeight w:val="355" w:hRule="exact"/>
        </w:trPr>
        <w:tc>
          <w:tcPr>
            <w:tcW w:w="214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1"/>
              <w:ind w:left="26" w:right="0"/>
              <w:jc w:val="left"/>
              <w:rPr>
                <w:rFonts w:ascii="宋体" w:hAnsi="宋体" w:cs="宋体" w:eastAsia="宋体" w:hint="default"/>
                <w:sz w:val="20"/>
                <w:szCs w:val="20"/>
              </w:rPr>
            </w:pPr>
            <w:r>
              <w:rPr>
                <w:rFonts w:ascii="宋体" w:hAnsi="宋体" w:cs="宋体" w:eastAsia="宋体" w:hint="default"/>
                <w:spacing w:val="-17"/>
                <w:sz w:val="20"/>
                <w:szCs w:val="20"/>
              </w:rPr>
              <w:t>四、账面价值</w:t>
            </w:r>
            <w:r>
              <w:rPr>
                <w:rFonts w:ascii="宋体" w:hAnsi="宋体" w:cs="宋体" w:eastAsia="宋体" w:hint="default"/>
                <w:sz w:val="20"/>
                <w:szCs w:val="20"/>
              </w:rPr>
              <w:t> </w:t>
            </w:r>
          </w:p>
        </w:tc>
        <w:tc>
          <w:tcPr>
            <w:tcW w:w="1501" w:type="dxa"/>
            <w:tcBorders>
              <w:top w:val="single" w:sz="4" w:space="0" w:color="41B7EE"/>
              <w:left w:val="single" w:sz="4" w:space="0" w:color="41B7EE"/>
              <w:bottom w:val="single" w:sz="4" w:space="0" w:color="41B7EE"/>
              <w:right w:val="single" w:sz="4" w:space="0" w:color="41B7EE"/>
            </w:tcBorders>
          </w:tcPr>
          <w:p>
            <w:pPr/>
          </w:p>
        </w:tc>
        <w:tc>
          <w:tcPr>
            <w:tcW w:w="1481" w:type="dxa"/>
            <w:tcBorders>
              <w:top w:val="single" w:sz="4" w:space="0" w:color="41B7EE"/>
              <w:left w:val="single" w:sz="4" w:space="0" w:color="41B7EE"/>
              <w:bottom w:val="single" w:sz="4" w:space="0" w:color="41B7EE"/>
              <w:right w:val="single" w:sz="4" w:space="0" w:color="41B7EE"/>
            </w:tcBorders>
          </w:tcPr>
          <w:p>
            <w:pPr/>
          </w:p>
        </w:tc>
        <w:tc>
          <w:tcPr>
            <w:tcW w:w="1217" w:type="dxa"/>
            <w:tcBorders>
              <w:top w:val="single" w:sz="4" w:space="0" w:color="41B7EE"/>
              <w:left w:val="single" w:sz="4" w:space="0" w:color="41B7EE"/>
              <w:bottom w:val="single" w:sz="4" w:space="0" w:color="41B7EE"/>
              <w:right w:val="single" w:sz="4" w:space="0" w:color="41B7EE"/>
            </w:tcBorders>
          </w:tcPr>
          <w:p>
            <w:pPr/>
          </w:p>
        </w:tc>
        <w:tc>
          <w:tcPr>
            <w:tcW w:w="1315" w:type="dxa"/>
            <w:tcBorders>
              <w:top w:val="single" w:sz="4" w:space="0" w:color="41B7EE"/>
              <w:left w:val="single" w:sz="4" w:space="0" w:color="41B7EE"/>
              <w:bottom w:val="single" w:sz="4" w:space="0" w:color="41B7EE"/>
              <w:right w:val="single" w:sz="4" w:space="0" w:color="41B7EE"/>
            </w:tcBorders>
          </w:tcPr>
          <w:p>
            <w:pPr/>
          </w:p>
        </w:tc>
        <w:tc>
          <w:tcPr>
            <w:tcW w:w="1539"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214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3"/>
              <w:ind w:left="427" w:right="0"/>
              <w:jc w:val="left"/>
              <w:rPr>
                <w:rFonts w:ascii="宋体" w:hAnsi="宋体" w:cs="宋体" w:eastAsia="宋体" w:hint="default"/>
                <w:sz w:val="20"/>
                <w:szCs w:val="20"/>
              </w:rPr>
            </w:pPr>
            <w:r>
              <w:rPr>
                <w:rFonts w:ascii="宋体" w:hAnsi="宋体" w:cs="宋体" w:eastAsia="宋体" w:hint="default"/>
                <w:spacing w:val="-15"/>
                <w:sz w:val="20"/>
                <w:szCs w:val="20"/>
              </w:rPr>
              <w:t>1.</w:t>
            </w:r>
            <w:r>
              <w:rPr>
                <w:rFonts w:ascii="宋体" w:hAnsi="宋体" w:cs="宋体" w:eastAsia="宋体" w:hint="default"/>
                <w:spacing w:val="-15"/>
                <w:sz w:val="20"/>
                <w:szCs w:val="20"/>
              </w:rPr>
              <w:t>期末账面价值</w:t>
            </w:r>
            <w:r>
              <w:rPr>
                <w:rFonts w:ascii="宋体" w:hAnsi="宋体" w:cs="宋体" w:eastAsia="宋体" w:hint="default"/>
                <w:sz w:val="20"/>
                <w:szCs w:val="20"/>
              </w:rPr>
              <w:t> </w:t>
            </w:r>
          </w:p>
        </w:tc>
        <w:tc>
          <w:tcPr>
            <w:tcW w:w="15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20"/>
              <w:jc w:val="right"/>
              <w:rPr>
                <w:rFonts w:ascii="Arial" w:hAnsi="Arial" w:cs="Arial" w:eastAsia="Arial" w:hint="default"/>
                <w:sz w:val="18"/>
                <w:szCs w:val="18"/>
              </w:rPr>
            </w:pPr>
            <w:r>
              <w:rPr>
                <w:rFonts w:ascii="Arial"/>
                <w:spacing w:val="-1"/>
                <w:sz w:val="18"/>
              </w:rPr>
              <w:t>2,900,603,899.65</w:t>
            </w:r>
          </w:p>
        </w:tc>
        <w:tc>
          <w:tcPr>
            <w:tcW w:w="14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21"/>
              <w:jc w:val="right"/>
              <w:rPr>
                <w:rFonts w:ascii="Arial" w:hAnsi="Arial" w:cs="Arial" w:eastAsia="Arial" w:hint="default"/>
                <w:sz w:val="18"/>
                <w:szCs w:val="18"/>
              </w:rPr>
            </w:pPr>
            <w:r>
              <w:rPr>
                <w:rFonts w:ascii="Arial"/>
                <w:spacing w:val="-1"/>
                <w:sz w:val="18"/>
              </w:rPr>
              <w:t>252,185,855.10</w:t>
            </w:r>
          </w:p>
        </w:tc>
        <w:tc>
          <w:tcPr>
            <w:tcW w:w="121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22"/>
              <w:jc w:val="right"/>
              <w:rPr>
                <w:rFonts w:ascii="Arial" w:hAnsi="Arial" w:cs="Arial" w:eastAsia="Arial" w:hint="default"/>
                <w:sz w:val="18"/>
                <w:szCs w:val="18"/>
              </w:rPr>
            </w:pPr>
            <w:r>
              <w:rPr>
                <w:rFonts w:ascii="Arial"/>
                <w:spacing w:val="-1"/>
                <w:sz w:val="18"/>
              </w:rPr>
              <w:t>8,566,559.01</w:t>
            </w:r>
          </w:p>
        </w:tc>
        <w:tc>
          <w:tcPr>
            <w:tcW w:w="131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21"/>
              <w:jc w:val="right"/>
              <w:rPr>
                <w:rFonts w:ascii="Arial" w:hAnsi="Arial" w:cs="Arial" w:eastAsia="Arial" w:hint="default"/>
                <w:sz w:val="18"/>
                <w:szCs w:val="18"/>
              </w:rPr>
            </w:pPr>
            <w:r>
              <w:rPr>
                <w:rFonts w:ascii="Arial"/>
                <w:spacing w:val="-1"/>
                <w:sz w:val="18"/>
              </w:rPr>
              <w:t>31,163,357.54</w:t>
            </w:r>
          </w:p>
        </w:tc>
        <w:tc>
          <w:tcPr>
            <w:tcW w:w="153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71"/>
              <w:ind w:right="27"/>
              <w:jc w:val="right"/>
              <w:rPr>
                <w:rFonts w:ascii="Arial" w:hAnsi="Arial" w:cs="Arial" w:eastAsia="Arial" w:hint="default"/>
                <w:sz w:val="18"/>
                <w:szCs w:val="18"/>
              </w:rPr>
            </w:pPr>
            <w:r>
              <w:rPr>
                <w:rFonts w:ascii="Arial"/>
                <w:spacing w:val="-1"/>
                <w:sz w:val="18"/>
              </w:rPr>
              <w:t>3,192,519,671.30</w:t>
            </w:r>
          </w:p>
        </w:tc>
      </w:tr>
      <w:tr>
        <w:trPr>
          <w:trHeight w:val="384" w:hRule="exact"/>
        </w:trPr>
        <w:tc>
          <w:tcPr>
            <w:tcW w:w="2144"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13"/>
              <w:ind w:left="427" w:right="0"/>
              <w:jc w:val="left"/>
              <w:rPr>
                <w:rFonts w:ascii="宋体" w:hAnsi="宋体" w:cs="宋体" w:eastAsia="宋体" w:hint="default"/>
                <w:sz w:val="20"/>
                <w:szCs w:val="20"/>
              </w:rPr>
            </w:pPr>
            <w:r>
              <w:rPr>
                <w:rFonts w:ascii="宋体" w:hAnsi="宋体" w:cs="宋体" w:eastAsia="宋体" w:hint="default"/>
                <w:spacing w:val="-15"/>
                <w:sz w:val="20"/>
                <w:szCs w:val="20"/>
              </w:rPr>
              <w:t>2.</w:t>
            </w:r>
            <w:r>
              <w:rPr>
                <w:rFonts w:ascii="宋体" w:hAnsi="宋体" w:cs="宋体" w:eastAsia="宋体" w:hint="default"/>
                <w:spacing w:val="-15"/>
                <w:sz w:val="20"/>
                <w:szCs w:val="20"/>
              </w:rPr>
              <w:t>期初账面价值</w:t>
            </w:r>
            <w:r>
              <w:rPr>
                <w:rFonts w:ascii="宋体" w:hAnsi="宋体" w:cs="宋体" w:eastAsia="宋体" w:hint="default"/>
                <w:sz w:val="20"/>
                <w:szCs w:val="20"/>
              </w:rPr>
              <w:t> </w:t>
            </w:r>
          </w:p>
        </w:tc>
        <w:tc>
          <w:tcPr>
            <w:tcW w:w="1501"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68"/>
              <w:ind w:right="20"/>
              <w:jc w:val="right"/>
              <w:rPr>
                <w:rFonts w:ascii="Arial" w:hAnsi="Arial" w:cs="Arial" w:eastAsia="Arial" w:hint="default"/>
                <w:sz w:val="18"/>
                <w:szCs w:val="18"/>
              </w:rPr>
            </w:pPr>
            <w:r>
              <w:rPr>
                <w:rFonts w:ascii="Arial"/>
                <w:spacing w:val="-1"/>
                <w:sz w:val="18"/>
              </w:rPr>
              <w:t>2,890,159,774.93</w:t>
            </w:r>
          </w:p>
        </w:tc>
        <w:tc>
          <w:tcPr>
            <w:tcW w:w="1481"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254,410,006.12</w:t>
            </w:r>
          </w:p>
        </w:tc>
        <w:tc>
          <w:tcPr>
            <w:tcW w:w="1217"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10,031,325.72</w:t>
            </w:r>
          </w:p>
        </w:tc>
        <w:tc>
          <w:tcPr>
            <w:tcW w:w="1315"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30,352,073.62</w:t>
            </w:r>
          </w:p>
        </w:tc>
        <w:tc>
          <w:tcPr>
            <w:tcW w:w="1539"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68"/>
              <w:ind w:right="27"/>
              <w:jc w:val="right"/>
              <w:rPr>
                <w:rFonts w:ascii="Arial" w:hAnsi="Arial" w:cs="Arial" w:eastAsia="Arial" w:hint="default"/>
                <w:sz w:val="18"/>
                <w:szCs w:val="18"/>
              </w:rPr>
            </w:pPr>
            <w:r>
              <w:rPr>
                <w:rFonts w:ascii="Arial"/>
                <w:spacing w:val="-1"/>
                <w:sz w:val="18"/>
              </w:rPr>
              <w:t>3,184,953,180.39</w:t>
            </w:r>
          </w:p>
        </w:tc>
      </w:tr>
    </w:tbl>
    <w:p>
      <w:pPr>
        <w:spacing w:after="0" w:line="240" w:lineRule="auto"/>
        <w:jc w:val="right"/>
        <w:rPr>
          <w:rFonts w:ascii="Arial" w:hAnsi="Arial" w:cs="Arial" w:eastAsia="Arial" w:hint="default"/>
          <w:sz w:val="18"/>
          <w:szCs w:val="18"/>
        </w:rPr>
        <w:sectPr>
          <w:pgSz w:w="11910" w:h="16840"/>
          <w:pgMar w:header="0" w:footer="1195" w:top="1300" w:bottom="1380" w:left="960" w:right="1440"/>
        </w:sectPr>
      </w:pPr>
    </w:p>
    <w:p>
      <w:pPr>
        <w:pStyle w:val="Heading2"/>
        <w:spacing w:line="240" w:lineRule="auto" w:before="44"/>
        <w:ind w:left="316" w:right="0"/>
        <w:jc w:val="left"/>
        <w:rPr>
          <w:rFonts w:ascii="宋体" w:hAnsi="宋体" w:cs="宋体" w:eastAsia="宋体" w:hint="default"/>
          <w:b w:val="0"/>
          <w:bCs w:val="0"/>
        </w:rPr>
      </w:pPr>
      <w:r>
        <w:rPr>
          <w:rFonts w:ascii="宋体" w:hAnsi="宋体" w:cs="宋体" w:eastAsia="宋体" w:hint="default"/>
        </w:rPr>
        <w:t>(2).</w:t>
      </w:r>
      <w:r>
        <w:rPr/>
        <w:t>暂时闲置的固定资产情况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3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9"/>
        <w:rPr>
          <w:rFonts w:ascii="宋体" w:hAnsi="宋体" w:cs="宋体" w:eastAsia="宋体" w:hint="default"/>
          <w:sz w:val="29"/>
          <w:szCs w:val="29"/>
        </w:rPr>
      </w:pPr>
    </w:p>
    <w:p>
      <w:pPr>
        <w:pStyle w:val="BodyText"/>
        <w:spacing w:line="240" w:lineRule="auto"/>
        <w:ind w:left="3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960" w:right="1440"/>
          <w:cols w:num="2" w:equalWidth="0">
            <w:col w:w="3170" w:space="3353"/>
            <w:col w:w="2987"/>
          </w:cols>
        </w:sectPr>
      </w:pPr>
    </w:p>
    <w:p>
      <w:pPr>
        <w:spacing w:line="240" w:lineRule="auto" w:before="4"/>
        <w:rPr>
          <w:rFonts w:ascii="宋体" w:hAnsi="宋体" w:cs="宋体" w:eastAsia="宋体" w:hint="default"/>
          <w:sz w:val="2"/>
          <w:szCs w:val="2"/>
        </w:rPr>
      </w:pPr>
    </w:p>
    <w:tbl>
      <w:tblPr>
        <w:tblW w:w="0" w:type="auto"/>
        <w:jc w:val="left"/>
        <w:tblInd w:w="297" w:type="dxa"/>
        <w:tblLayout w:type="fixed"/>
        <w:tblCellMar>
          <w:top w:w="0" w:type="dxa"/>
          <w:left w:w="0" w:type="dxa"/>
          <w:bottom w:w="0" w:type="dxa"/>
          <w:right w:w="0" w:type="dxa"/>
        </w:tblCellMar>
        <w:tblLook w:val="01E0"/>
      </w:tblPr>
      <w:tblGrid>
        <w:gridCol w:w="1764"/>
        <w:gridCol w:w="1971"/>
        <w:gridCol w:w="1733"/>
        <w:gridCol w:w="1574"/>
        <w:gridCol w:w="1680"/>
      </w:tblGrid>
      <w:tr>
        <w:trPr>
          <w:trHeight w:val="384" w:hRule="exact"/>
        </w:trPr>
        <w:tc>
          <w:tcPr>
            <w:tcW w:w="1764"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left="670"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971"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left="559" w:right="0"/>
              <w:jc w:val="left"/>
              <w:rPr>
                <w:rFonts w:ascii="宋体" w:hAnsi="宋体" w:cs="宋体" w:eastAsia="宋体" w:hint="default"/>
                <w:sz w:val="21"/>
                <w:szCs w:val="21"/>
              </w:rPr>
            </w:pPr>
            <w:r>
              <w:rPr>
                <w:rFonts w:ascii="宋体" w:hAnsi="宋体" w:cs="宋体" w:eastAsia="宋体" w:hint="default"/>
                <w:sz w:val="21"/>
                <w:szCs w:val="21"/>
              </w:rPr>
              <w:t>账面原值</w:t>
            </w:r>
            <w:r>
              <w:rPr>
                <w:rFonts w:ascii="宋体" w:hAnsi="宋体" w:cs="宋体" w:eastAsia="宋体" w:hint="default"/>
                <w:sz w:val="21"/>
                <w:szCs w:val="21"/>
              </w:rPr>
              <w:t> </w:t>
            </w:r>
          </w:p>
        </w:tc>
        <w:tc>
          <w:tcPr>
            <w:tcW w:w="1733"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left="441" w:right="0"/>
              <w:jc w:val="left"/>
              <w:rPr>
                <w:rFonts w:ascii="宋体" w:hAnsi="宋体" w:cs="宋体" w:eastAsia="宋体" w:hint="default"/>
                <w:sz w:val="21"/>
                <w:szCs w:val="21"/>
              </w:rPr>
            </w:pPr>
            <w:r>
              <w:rPr>
                <w:rFonts w:ascii="宋体" w:hAnsi="宋体" w:cs="宋体" w:eastAsia="宋体" w:hint="default"/>
                <w:sz w:val="21"/>
                <w:szCs w:val="21"/>
              </w:rPr>
              <w:t>累计折旧</w:t>
            </w:r>
            <w:r>
              <w:rPr>
                <w:rFonts w:ascii="宋体" w:hAnsi="宋体" w:cs="宋体" w:eastAsia="宋体" w:hint="default"/>
                <w:sz w:val="21"/>
                <w:szCs w:val="21"/>
              </w:rPr>
              <w:t> </w:t>
            </w:r>
          </w:p>
        </w:tc>
        <w:tc>
          <w:tcPr>
            <w:tcW w:w="1574"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left="362" w:right="0"/>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1680"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412"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358" w:hRule="exact"/>
        </w:trPr>
        <w:tc>
          <w:tcPr>
            <w:tcW w:w="176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5"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197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9"/>
              <w:jc w:val="right"/>
              <w:rPr>
                <w:rFonts w:ascii="Arial" w:hAnsi="Arial" w:cs="Arial" w:eastAsia="Arial" w:hint="default"/>
                <w:sz w:val="21"/>
                <w:szCs w:val="21"/>
              </w:rPr>
            </w:pPr>
            <w:r>
              <w:rPr>
                <w:rFonts w:ascii="Arial"/>
                <w:spacing w:val="-1"/>
                <w:sz w:val="21"/>
              </w:rPr>
              <w:t>372,391,263.25</w:t>
            </w:r>
          </w:p>
        </w:tc>
        <w:tc>
          <w:tcPr>
            <w:tcW w:w="17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145,707,388.63</w:t>
            </w:r>
          </w:p>
        </w:tc>
        <w:tc>
          <w:tcPr>
            <w:tcW w:w="157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91,810,345.88</w:t>
            </w:r>
          </w:p>
        </w:tc>
        <w:tc>
          <w:tcPr>
            <w:tcW w:w="168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53"/>
              <w:jc w:val="right"/>
              <w:rPr>
                <w:rFonts w:ascii="Arial" w:hAnsi="Arial" w:cs="Arial" w:eastAsia="Arial" w:hint="default"/>
                <w:sz w:val="21"/>
                <w:szCs w:val="21"/>
              </w:rPr>
            </w:pPr>
            <w:r>
              <w:rPr>
                <w:rFonts w:ascii="Arial"/>
                <w:spacing w:val="-1"/>
                <w:sz w:val="21"/>
              </w:rPr>
              <w:t>134,873,528.74</w:t>
            </w:r>
          </w:p>
        </w:tc>
      </w:tr>
      <w:tr>
        <w:trPr>
          <w:trHeight w:val="355" w:hRule="exact"/>
        </w:trPr>
        <w:tc>
          <w:tcPr>
            <w:tcW w:w="176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55"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197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9"/>
              <w:jc w:val="right"/>
              <w:rPr>
                <w:rFonts w:ascii="Arial" w:hAnsi="Arial" w:cs="Arial" w:eastAsia="Arial" w:hint="default"/>
                <w:sz w:val="21"/>
                <w:szCs w:val="21"/>
              </w:rPr>
            </w:pPr>
            <w:r>
              <w:rPr>
                <w:rFonts w:ascii="Arial"/>
                <w:spacing w:val="-1"/>
                <w:sz w:val="21"/>
              </w:rPr>
              <w:t>813,565,152.72</w:t>
            </w:r>
          </w:p>
        </w:tc>
        <w:tc>
          <w:tcPr>
            <w:tcW w:w="17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516,866,795.11</w:t>
            </w:r>
          </w:p>
        </w:tc>
        <w:tc>
          <w:tcPr>
            <w:tcW w:w="157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236,828,282.77</w:t>
            </w:r>
          </w:p>
        </w:tc>
        <w:tc>
          <w:tcPr>
            <w:tcW w:w="168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54"/>
              <w:jc w:val="right"/>
              <w:rPr>
                <w:rFonts w:ascii="Arial" w:hAnsi="Arial" w:cs="Arial" w:eastAsia="Arial" w:hint="default"/>
                <w:sz w:val="21"/>
                <w:szCs w:val="21"/>
              </w:rPr>
            </w:pPr>
            <w:r>
              <w:rPr>
                <w:rFonts w:ascii="Arial"/>
                <w:spacing w:val="-1"/>
                <w:sz w:val="21"/>
              </w:rPr>
              <w:t>59,870,074.84</w:t>
            </w:r>
          </w:p>
        </w:tc>
      </w:tr>
      <w:tr>
        <w:trPr>
          <w:trHeight w:val="358" w:hRule="exact"/>
        </w:trPr>
        <w:tc>
          <w:tcPr>
            <w:tcW w:w="176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5" w:right="0"/>
              <w:jc w:val="left"/>
              <w:rPr>
                <w:rFonts w:ascii="宋体" w:hAnsi="宋体" w:cs="宋体" w:eastAsia="宋体" w:hint="default"/>
                <w:sz w:val="21"/>
                <w:szCs w:val="21"/>
              </w:rPr>
            </w:pPr>
            <w:r>
              <w:rPr>
                <w:rFonts w:ascii="宋体" w:hAnsi="宋体" w:cs="宋体" w:eastAsia="宋体" w:hint="default"/>
                <w:sz w:val="21"/>
                <w:szCs w:val="21"/>
              </w:rPr>
              <w:t>运输工具</w:t>
            </w:r>
            <w:r>
              <w:rPr>
                <w:rFonts w:ascii="宋体" w:hAnsi="宋体" w:cs="宋体" w:eastAsia="宋体" w:hint="default"/>
                <w:sz w:val="21"/>
                <w:szCs w:val="21"/>
              </w:rPr>
              <w:t> </w:t>
            </w:r>
          </w:p>
        </w:tc>
        <w:tc>
          <w:tcPr>
            <w:tcW w:w="197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49"/>
              <w:jc w:val="right"/>
              <w:rPr>
                <w:rFonts w:ascii="Arial" w:hAnsi="Arial" w:cs="Arial" w:eastAsia="Arial" w:hint="default"/>
                <w:sz w:val="21"/>
                <w:szCs w:val="21"/>
              </w:rPr>
            </w:pPr>
            <w:r>
              <w:rPr>
                <w:rFonts w:ascii="Arial"/>
                <w:spacing w:val="-1"/>
                <w:sz w:val="21"/>
              </w:rPr>
              <w:t>6,276,552.27</w:t>
            </w:r>
          </w:p>
        </w:tc>
        <w:tc>
          <w:tcPr>
            <w:tcW w:w="17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49"/>
              <w:jc w:val="right"/>
              <w:rPr>
                <w:rFonts w:ascii="Arial" w:hAnsi="Arial" w:cs="Arial" w:eastAsia="Arial" w:hint="default"/>
                <w:sz w:val="21"/>
                <w:szCs w:val="21"/>
              </w:rPr>
            </w:pPr>
            <w:r>
              <w:rPr>
                <w:rFonts w:ascii="Arial"/>
                <w:spacing w:val="-1"/>
                <w:sz w:val="21"/>
              </w:rPr>
              <w:t>3,915,401.21</w:t>
            </w:r>
          </w:p>
        </w:tc>
        <w:tc>
          <w:tcPr>
            <w:tcW w:w="157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48"/>
              <w:jc w:val="right"/>
              <w:rPr>
                <w:rFonts w:ascii="Arial" w:hAnsi="Arial" w:cs="Arial" w:eastAsia="Arial" w:hint="default"/>
                <w:sz w:val="21"/>
                <w:szCs w:val="21"/>
              </w:rPr>
            </w:pPr>
            <w:r>
              <w:rPr>
                <w:rFonts w:ascii="Arial"/>
                <w:spacing w:val="-1"/>
                <w:sz w:val="21"/>
              </w:rPr>
              <w:t>1,709,691.04</w:t>
            </w:r>
          </w:p>
        </w:tc>
        <w:tc>
          <w:tcPr>
            <w:tcW w:w="168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right="54"/>
              <w:jc w:val="right"/>
              <w:rPr>
                <w:rFonts w:ascii="Arial" w:hAnsi="Arial" w:cs="Arial" w:eastAsia="Arial" w:hint="default"/>
                <w:sz w:val="21"/>
                <w:szCs w:val="21"/>
              </w:rPr>
            </w:pPr>
            <w:r>
              <w:rPr>
                <w:rFonts w:ascii="Arial"/>
                <w:spacing w:val="-1"/>
                <w:sz w:val="21"/>
              </w:rPr>
              <w:t>651,460.02</w:t>
            </w:r>
          </w:p>
        </w:tc>
      </w:tr>
      <w:tr>
        <w:trPr>
          <w:trHeight w:val="358" w:hRule="exact"/>
        </w:trPr>
        <w:tc>
          <w:tcPr>
            <w:tcW w:w="176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5" w:right="0"/>
              <w:jc w:val="left"/>
              <w:rPr>
                <w:rFonts w:ascii="宋体" w:hAnsi="宋体" w:cs="宋体" w:eastAsia="宋体" w:hint="default"/>
                <w:sz w:val="21"/>
                <w:szCs w:val="21"/>
              </w:rPr>
            </w:pPr>
            <w:r>
              <w:rPr>
                <w:rFonts w:ascii="宋体" w:hAnsi="宋体" w:cs="宋体" w:eastAsia="宋体" w:hint="default"/>
                <w:sz w:val="21"/>
                <w:szCs w:val="21"/>
              </w:rPr>
              <w:t>办公设备及其他</w:t>
            </w:r>
            <w:r>
              <w:rPr>
                <w:rFonts w:ascii="宋体" w:hAnsi="宋体" w:cs="宋体" w:eastAsia="宋体" w:hint="default"/>
                <w:sz w:val="21"/>
                <w:szCs w:val="21"/>
              </w:rPr>
              <w:t> </w:t>
            </w:r>
          </w:p>
        </w:tc>
        <w:tc>
          <w:tcPr>
            <w:tcW w:w="197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9"/>
              <w:jc w:val="right"/>
              <w:rPr>
                <w:rFonts w:ascii="Arial" w:hAnsi="Arial" w:cs="Arial" w:eastAsia="Arial" w:hint="default"/>
                <w:sz w:val="21"/>
                <w:szCs w:val="21"/>
              </w:rPr>
            </w:pPr>
            <w:r>
              <w:rPr>
                <w:rFonts w:ascii="Arial"/>
                <w:spacing w:val="-1"/>
                <w:sz w:val="21"/>
              </w:rPr>
              <w:t>1,652,025.15</w:t>
            </w:r>
          </w:p>
        </w:tc>
        <w:tc>
          <w:tcPr>
            <w:tcW w:w="17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9"/>
              <w:jc w:val="right"/>
              <w:rPr>
                <w:rFonts w:ascii="Arial" w:hAnsi="Arial" w:cs="Arial" w:eastAsia="Arial" w:hint="default"/>
                <w:sz w:val="21"/>
                <w:szCs w:val="21"/>
              </w:rPr>
            </w:pPr>
            <w:r>
              <w:rPr>
                <w:rFonts w:ascii="Arial"/>
                <w:spacing w:val="-1"/>
                <w:sz w:val="21"/>
              </w:rPr>
              <w:t>1,113,938.75</w:t>
            </w:r>
          </w:p>
        </w:tc>
        <w:tc>
          <w:tcPr>
            <w:tcW w:w="157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409,566.52</w:t>
            </w:r>
          </w:p>
        </w:tc>
        <w:tc>
          <w:tcPr>
            <w:tcW w:w="168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54"/>
              <w:jc w:val="right"/>
              <w:rPr>
                <w:rFonts w:ascii="Arial" w:hAnsi="Arial" w:cs="Arial" w:eastAsia="Arial" w:hint="default"/>
                <w:sz w:val="21"/>
                <w:szCs w:val="21"/>
              </w:rPr>
            </w:pPr>
            <w:r>
              <w:rPr>
                <w:rFonts w:ascii="Arial"/>
                <w:spacing w:val="-1"/>
                <w:sz w:val="21"/>
              </w:rPr>
              <w:t>128,519.88</w:t>
            </w:r>
          </w:p>
        </w:tc>
      </w:tr>
      <w:tr>
        <w:trPr>
          <w:trHeight w:val="384" w:hRule="exact"/>
        </w:trPr>
        <w:tc>
          <w:tcPr>
            <w:tcW w:w="1764"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55"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1971"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50"/>
              <w:jc w:val="right"/>
              <w:rPr>
                <w:rFonts w:ascii="Arial" w:hAnsi="Arial" w:cs="Arial" w:eastAsia="Arial" w:hint="default"/>
                <w:sz w:val="21"/>
                <w:szCs w:val="21"/>
              </w:rPr>
            </w:pPr>
            <w:r>
              <w:rPr>
                <w:rFonts w:ascii="Arial"/>
                <w:spacing w:val="-1"/>
                <w:sz w:val="21"/>
              </w:rPr>
              <w:t>1,193,884,993.39</w:t>
            </w:r>
          </w:p>
        </w:tc>
        <w:tc>
          <w:tcPr>
            <w:tcW w:w="1733"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667,603,523.70</w:t>
            </w:r>
          </w:p>
        </w:tc>
        <w:tc>
          <w:tcPr>
            <w:tcW w:w="1574"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330,757,886.21</w:t>
            </w:r>
          </w:p>
        </w:tc>
        <w:tc>
          <w:tcPr>
            <w:tcW w:w="1680"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53"/>
              <w:jc w:val="right"/>
              <w:rPr>
                <w:rFonts w:ascii="Arial" w:hAnsi="Arial" w:cs="Arial" w:eastAsia="Arial" w:hint="default"/>
                <w:sz w:val="21"/>
                <w:szCs w:val="21"/>
              </w:rPr>
            </w:pPr>
            <w:r>
              <w:rPr>
                <w:rFonts w:ascii="Arial"/>
                <w:spacing w:val="-1"/>
                <w:sz w:val="21"/>
              </w:rPr>
              <w:t>195,523,583.48</w:t>
            </w:r>
          </w:p>
        </w:tc>
      </w:tr>
    </w:tbl>
    <w:p>
      <w:pPr>
        <w:spacing w:after="0" w:line="240" w:lineRule="auto"/>
        <w:jc w:val="right"/>
        <w:rPr>
          <w:rFonts w:ascii="Arial" w:hAnsi="Arial" w:cs="Arial" w:eastAsia="Arial" w:hint="default"/>
          <w:sz w:val="21"/>
          <w:szCs w:val="21"/>
        </w:rPr>
        <w:sectPr>
          <w:type w:val="continuous"/>
          <w:pgSz w:w="11910" w:h="16840"/>
          <w:pgMar w:top="1360" w:bottom="1380" w:left="960" w:right="1440"/>
        </w:sectPr>
      </w:pPr>
    </w:p>
    <w:p>
      <w:pPr>
        <w:pStyle w:val="Heading2"/>
        <w:spacing w:line="240" w:lineRule="auto" w:before="26"/>
        <w:ind w:left="316" w:right="0"/>
        <w:jc w:val="left"/>
        <w:rPr>
          <w:rFonts w:ascii="宋体" w:hAnsi="宋体" w:cs="宋体" w:eastAsia="宋体" w:hint="default"/>
          <w:b w:val="0"/>
          <w:bCs w:val="0"/>
        </w:rPr>
      </w:pPr>
      <w:r>
        <w:rPr>
          <w:rFonts w:ascii="宋体" w:hAnsi="宋体" w:cs="宋体" w:eastAsia="宋体" w:hint="default"/>
        </w:rPr>
        <w:t>(3).</w:t>
      </w:r>
      <w:r>
        <w:rPr/>
        <w:t>通过融资租赁租入的固定资产情况</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31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3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spacing w:line="240" w:lineRule="auto"/>
        <w:ind w:left="3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color w:val="FF0000"/>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360" w:bottom="1380" w:left="960" w:right="1440"/>
          <w:cols w:num="2" w:equalWidth="0">
            <w:col w:w="4012" w:space="2510"/>
            <w:col w:w="298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153"/>
        <w:gridCol w:w="4897"/>
      </w:tblGrid>
      <w:tr>
        <w:trPr>
          <w:trHeight w:val="384" w:hRule="exact"/>
        </w:trPr>
        <w:tc>
          <w:tcPr>
            <w:tcW w:w="4153"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897"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98" w:right="0"/>
              <w:jc w:val="center"/>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r>
      <w:tr>
        <w:trPr>
          <w:trHeight w:val="355" w:hRule="exact"/>
        </w:trPr>
        <w:tc>
          <w:tcPr>
            <w:tcW w:w="415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489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255,159,896.08</w:t>
            </w:r>
          </w:p>
        </w:tc>
      </w:tr>
      <w:tr>
        <w:trPr>
          <w:trHeight w:val="358" w:hRule="exact"/>
        </w:trPr>
        <w:tc>
          <w:tcPr>
            <w:tcW w:w="415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489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79,689,607.48</w:t>
            </w:r>
          </w:p>
        </w:tc>
      </w:tr>
      <w:tr>
        <w:trPr>
          <w:trHeight w:val="358" w:hRule="exact"/>
        </w:trPr>
        <w:tc>
          <w:tcPr>
            <w:tcW w:w="415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运输工具</w:t>
            </w:r>
            <w:r>
              <w:rPr>
                <w:rFonts w:ascii="宋体" w:hAnsi="宋体" w:cs="宋体" w:eastAsia="宋体" w:hint="default"/>
                <w:sz w:val="21"/>
                <w:szCs w:val="21"/>
              </w:rPr>
              <w:t> </w:t>
            </w:r>
          </w:p>
        </w:tc>
        <w:tc>
          <w:tcPr>
            <w:tcW w:w="489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108,168.77</w:t>
            </w:r>
          </w:p>
        </w:tc>
      </w:tr>
      <w:tr>
        <w:trPr>
          <w:trHeight w:val="358" w:hRule="exact"/>
        </w:trPr>
        <w:tc>
          <w:tcPr>
            <w:tcW w:w="415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办公设备及其他</w:t>
            </w:r>
            <w:r>
              <w:rPr>
                <w:rFonts w:ascii="宋体" w:hAnsi="宋体" w:cs="宋体" w:eastAsia="宋体" w:hint="default"/>
                <w:sz w:val="21"/>
                <w:szCs w:val="21"/>
              </w:rPr>
              <w:t> </w:t>
            </w:r>
          </w:p>
        </w:tc>
        <w:tc>
          <w:tcPr>
            <w:tcW w:w="489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600,128.16</w:t>
            </w:r>
          </w:p>
        </w:tc>
      </w:tr>
      <w:tr>
        <w:trPr>
          <w:trHeight w:val="382" w:hRule="exact"/>
        </w:trPr>
        <w:tc>
          <w:tcPr>
            <w:tcW w:w="4153"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4897"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335,557,800.49</w:t>
            </w:r>
          </w:p>
        </w:tc>
      </w:tr>
    </w:tbl>
    <w:p>
      <w:pPr>
        <w:spacing w:after="0" w:line="240" w:lineRule="auto"/>
        <w:jc w:val="right"/>
        <w:rPr>
          <w:rFonts w:ascii="Arial" w:hAnsi="Arial" w:cs="Arial" w:eastAsia="Arial" w:hint="default"/>
          <w:sz w:val="21"/>
          <w:szCs w:val="21"/>
        </w:rPr>
        <w:sectPr>
          <w:type w:val="continuous"/>
          <w:pgSz w:w="11910" w:h="16840"/>
          <w:pgMar w:top="1360" w:bottom="1380" w:left="960" w:right="1440"/>
        </w:sectPr>
      </w:pPr>
    </w:p>
    <w:p>
      <w:pPr>
        <w:pStyle w:val="Heading2"/>
        <w:spacing w:line="240" w:lineRule="auto" w:before="26"/>
        <w:ind w:left="316" w:right="0"/>
        <w:jc w:val="left"/>
        <w:rPr>
          <w:rFonts w:ascii="宋体" w:hAnsi="宋体" w:cs="宋体" w:eastAsia="宋体" w:hint="default"/>
          <w:b w:val="0"/>
          <w:bCs w:val="0"/>
        </w:rPr>
      </w:pPr>
      <w:r>
        <w:rPr>
          <w:rFonts w:ascii="宋体" w:hAnsi="宋体" w:cs="宋体" w:eastAsia="宋体" w:hint="default"/>
        </w:rPr>
        <w:t>(5).</w:t>
      </w:r>
      <w:r>
        <w:rPr/>
        <w:t>未办妥产权证书的固定资产情况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3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spacing w:line="240" w:lineRule="auto"/>
        <w:ind w:left="3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960" w:right="1440"/>
          <w:cols w:num="2" w:equalWidth="0">
            <w:col w:w="3803" w:space="2719"/>
            <w:col w:w="298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48"/>
        <w:gridCol w:w="3044"/>
        <w:gridCol w:w="3058"/>
      </w:tblGrid>
      <w:tr>
        <w:trPr>
          <w:trHeight w:val="382" w:hRule="exact"/>
        </w:trPr>
        <w:tc>
          <w:tcPr>
            <w:tcW w:w="2948"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4"/>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44"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4"/>
              <w:ind w:left="1096"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3058"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4"/>
              <w:ind w:left="475"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r>
              <w:rPr>
                <w:rFonts w:ascii="宋体" w:hAnsi="宋体" w:cs="宋体" w:eastAsia="宋体" w:hint="default"/>
                <w:sz w:val="21"/>
                <w:szCs w:val="21"/>
              </w:rPr>
              <w:t> </w:t>
            </w:r>
          </w:p>
        </w:tc>
      </w:tr>
      <w:tr>
        <w:trPr>
          <w:trHeight w:val="358" w:hRule="exact"/>
        </w:trPr>
        <w:tc>
          <w:tcPr>
            <w:tcW w:w="294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304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34,105,758.99</w:t>
            </w:r>
          </w:p>
        </w:tc>
        <w:tc>
          <w:tcPr>
            <w:tcW w:w="305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正在办理</w:t>
            </w:r>
            <w:r>
              <w:rPr>
                <w:rFonts w:ascii="宋体" w:hAnsi="宋体" w:cs="宋体" w:eastAsia="宋体" w:hint="default"/>
                <w:sz w:val="21"/>
                <w:szCs w:val="21"/>
              </w:rPr>
              <w:t> </w:t>
            </w:r>
          </w:p>
        </w:tc>
      </w:tr>
      <w:tr>
        <w:trPr>
          <w:trHeight w:val="365" w:hRule="exact"/>
        </w:trPr>
        <w:tc>
          <w:tcPr>
            <w:tcW w:w="2948"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运输工具</w:t>
            </w:r>
            <w:r>
              <w:rPr>
                <w:rFonts w:ascii="宋体" w:hAnsi="宋体" w:cs="宋体" w:eastAsia="宋体" w:hint="default"/>
                <w:sz w:val="21"/>
                <w:szCs w:val="21"/>
              </w:rPr>
              <w:t> </w:t>
            </w:r>
          </w:p>
        </w:tc>
        <w:tc>
          <w:tcPr>
            <w:tcW w:w="3044"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213,383.55</w:t>
            </w:r>
          </w:p>
        </w:tc>
        <w:tc>
          <w:tcPr>
            <w:tcW w:w="3058"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正在办理</w:t>
            </w:r>
            <w:r>
              <w:rPr>
                <w:rFonts w:ascii="宋体" w:hAnsi="宋体" w:cs="宋体" w:eastAsia="宋体" w:hint="default"/>
                <w:sz w:val="21"/>
                <w:szCs w:val="21"/>
              </w:rPr>
              <w:t> </w:t>
            </w:r>
          </w:p>
        </w:tc>
      </w:tr>
    </w:tbl>
    <w:p>
      <w:pPr>
        <w:spacing w:line="20" w:lineRule="exact"/>
        <w:ind w:left="199"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2944;height:2" coordorigin="10,10" coordsize="2944,2">
              <v:shape style="position:absolute;left:10;top:10;width:2944;height:2" coordorigin="10,10" coordsize="2944,0" path="m10,10l2953,10e" filled="false" stroked="true" strokeweight=".95996pt" strokecolor="#41b7ee">
                <v:path arrowok="t"/>
              </v:shape>
            </v:group>
            <v:group style="position:absolute;left:2953;top:10;width:58;height:2" coordorigin="2953,10" coordsize="58,2">
              <v:shape style="position:absolute;left:2953;top:10;width:58;height:2" coordorigin="2953,10" coordsize="58,0" path="m2953,10l3011,10e" filled="false" stroked="true" strokeweight=".95996pt" strokecolor="#41b7ee">
                <v:path arrowok="t"/>
              </v:shape>
            </v:group>
            <v:group style="position:absolute;left:3011;top:10;width:2986;height:2" coordorigin="3011,10" coordsize="2986,2">
              <v:shape style="position:absolute;left:3011;top:10;width:2986;height:2" coordorigin="3011,10" coordsize="2986,0" path="m3011,10l5997,10e" filled="false" stroked="true" strokeweight=".95996pt" strokecolor="#41b7ee">
                <v:path arrowok="t"/>
              </v:shape>
            </v:group>
            <v:group style="position:absolute;left:5997;top:10;width:58;height:2" coordorigin="5997,10" coordsize="58,2">
              <v:shape style="position:absolute;left:5997;top:10;width:58;height:2" coordorigin="5997,10" coordsize="58,0" path="m5997,10l6054,10e" filled="false" stroked="true" strokeweight=".95996pt" strokecolor="#41b7ee">
                <v:path arrowok="t"/>
              </v:shape>
            </v:group>
            <v:group style="position:absolute;left:6054;top:10;width:3006;height:2" coordorigin="6054,10" coordsize="3006,2">
              <v:shape style="position:absolute;left:6054;top:10;width:3006;height:2" coordorigin="6054,10" coordsize="3006,0" path="m6054,10l9059,10e" filled="false" stroked="true" strokeweight=".95996pt" strokecolor="#41b7ee">
                <v:path arrowok="t"/>
              </v:shape>
            </v:group>
          </v:group>
        </w:pict>
      </w:r>
      <w:r>
        <w:rPr>
          <w:rFonts w:ascii="宋体" w:hAnsi="宋体" w:cs="宋体" w:eastAsia="宋体" w:hint="default"/>
          <w:sz w:val="2"/>
          <w:szCs w:val="2"/>
        </w:rPr>
      </w:r>
    </w:p>
    <w:p>
      <w:pPr>
        <w:pStyle w:val="BodyText"/>
        <w:spacing w:line="257" w:lineRule="exact"/>
        <w:ind w:left="3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3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25" w:lineRule="auto" w:before="14"/>
        <w:ind w:left="316" w:right="349" w:firstLine="420"/>
        <w:jc w:val="both"/>
      </w:pPr>
      <w:r>
        <w:rPr>
          <w:spacing w:val="-6"/>
          <w:w w:val="100"/>
        </w:rPr>
        <w:t>①鑫亚公司子公司玉丰公司红旗粮库房产（账面原值</w:t>
      </w:r>
      <w:r>
        <w:rPr>
          <w:spacing w:val="-78"/>
          <w:w w:val="100"/>
        </w:rPr>
        <w:t> </w:t>
      </w:r>
      <w:r>
        <w:rPr>
          <w:rFonts w:ascii="Arial" w:hAnsi="Arial" w:cs="Arial" w:eastAsia="Arial" w:hint="default"/>
          <w:spacing w:val="-1"/>
          <w:w w:val="100"/>
        </w:rPr>
        <w:t>3,057,165.00</w:t>
      </w:r>
      <w:r>
        <w:rPr>
          <w:rFonts w:ascii="Arial" w:hAnsi="Arial" w:cs="Arial" w:eastAsia="Arial" w:hint="default"/>
          <w:spacing w:val="-27"/>
          <w:w w:val="100"/>
        </w:rPr>
        <w:t> </w:t>
      </w:r>
      <w:r>
        <w:rPr>
          <w:spacing w:val="-19"/>
          <w:w w:val="100"/>
        </w:rPr>
        <w:t>元，账面价值</w:t>
      </w:r>
      <w:r>
        <w:rPr>
          <w:spacing w:val="-78"/>
          <w:w w:val="100"/>
        </w:rPr>
        <w:t> </w:t>
      </w:r>
      <w:r>
        <w:rPr>
          <w:rFonts w:ascii="Arial" w:hAnsi="Arial" w:cs="Arial" w:eastAsia="Arial" w:hint="default"/>
          <w:spacing w:val="-1"/>
          <w:w w:val="100"/>
        </w:rPr>
        <w:t>1,899,893.01</w:t>
      </w:r>
      <w:r>
        <w:rPr>
          <w:rFonts w:ascii="Arial" w:hAnsi="Arial" w:cs="Arial" w:eastAsia="Arial" w:hint="default"/>
          <w:w w:val="100"/>
        </w:rPr>
        <w:t> </w:t>
      </w:r>
      <w:r>
        <w:rPr>
          <w:w w:val="95"/>
        </w:rPr>
        <w:t>元）在黑龙江龙凤玉米开发有限公司起诉玉丰公司一案中，经黑龙江省青冈县人民法院〔</w:t>
      </w:r>
      <w:r>
        <w:rPr>
          <w:rFonts w:ascii="Arial" w:hAnsi="Arial" w:cs="Arial" w:eastAsia="Arial" w:hint="default"/>
          <w:w w:val="95"/>
        </w:rPr>
        <w:t>2014</w:t>
      </w:r>
      <w:r>
        <w:rPr>
          <w:w w:val="95"/>
        </w:rPr>
        <w:t>〕</w:t>
      </w:r>
      <w:r>
        <w:rPr>
          <w:spacing w:val="54"/>
          <w:w w:val="95"/>
        </w:rPr>
        <w:t> </w:t>
      </w:r>
      <w:r>
        <w:rPr/>
        <w:t>青法商初字第</w:t>
      </w:r>
      <w:r>
        <w:rPr>
          <w:spacing w:val="-52"/>
        </w:rPr>
        <w:t> </w:t>
      </w:r>
      <w:r>
        <w:rPr>
          <w:rFonts w:ascii="Arial" w:hAnsi="Arial" w:cs="Arial" w:eastAsia="Arial" w:hint="default"/>
        </w:rPr>
        <w:t>148-1</w:t>
      </w:r>
      <w:r>
        <w:rPr>
          <w:rFonts w:ascii="Arial" w:hAnsi="Arial" w:cs="Arial" w:eastAsia="Arial" w:hint="default"/>
          <w:spacing w:val="-8"/>
        </w:rPr>
        <w:t> </w:t>
      </w:r>
      <w:r>
        <w:rPr/>
        <w:t>号民事裁定书裁定予以查封。</w:t>
      </w:r>
    </w:p>
    <w:p>
      <w:pPr>
        <w:spacing w:after="0" w:line="225" w:lineRule="auto"/>
        <w:jc w:val="both"/>
        <w:sectPr>
          <w:type w:val="continuous"/>
          <w:pgSz w:w="11910" w:h="16840"/>
          <w:pgMar w:top="1360" w:bottom="1380" w:left="960" w:right="1440"/>
        </w:sectPr>
      </w:pPr>
    </w:p>
    <w:p>
      <w:pPr>
        <w:spacing w:line="240" w:lineRule="auto" w:before="11"/>
        <w:rPr>
          <w:rFonts w:ascii="宋体" w:hAnsi="宋体" w:cs="宋体" w:eastAsia="宋体" w:hint="default"/>
          <w:sz w:val="3"/>
          <w:szCs w:val="3"/>
        </w:rPr>
      </w:pPr>
    </w:p>
    <w:p>
      <w:pPr>
        <w:spacing w:line="20" w:lineRule="exact"/>
        <w:ind w:left="22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pStyle w:val="BodyText"/>
        <w:spacing w:line="281" w:lineRule="exact" w:before="30"/>
        <w:ind w:left="677" w:right="0"/>
        <w:jc w:val="left"/>
      </w:pPr>
      <w:r>
        <w:rPr/>
        <w:t>鑫亚公司子公司玉丰公司兴华粮库、祯祥粮库、中和粮库房产（账面原值 </w:t>
      </w:r>
      <w:r>
        <w:rPr>
          <w:rFonts w:ascii="Arial" w:hAnsi="Arial" w:cs="Arial" w:eastAsia="Arial" w:hint="default"/>
        </w:rPr>
        <w:t>9,985,029.00</w:t>
      </w:r>
      <w:r>
        <w:rPr>
          <w:rFonts w:ascii="Arial" w:hAnsi="Arial" w:cs="Arial" w:eastAsia="Arial" w:hint="default"/>
          <w:spacing w:val="-23"/>
        </w:rPr>
        <w:t> </w:t>
      </w:r>
      <w:r>
        <w:rPr/>
        <w:t>元，</w:t>
      </w:r>
    </w:p>
    <w:p>
      <w:pPr>
        <w:pStyle w:val="BodyText"/>
        <w:spacing w:line="273" w:lineRule="exact"/>
        <w:ind w:left="256" w:right="0"/>
        <w:jc w:val="left"/>
      </w:pPr>
      <w:r>
        <w:rPr/>
        <w:t>账面价值 </w:t>
      </w:r>
      <w:r>
        <w:rPr>
          <w:rFonts w:ascii="Arial" w:hAnsi="Arial" w:cs="Arial" w:eastAsia="Arial" w:hint="default"/>
        </w:rPr>
        <w:t>6,396,722.98 </w:t>
      </w:r>
      <w:r>
        <w:rPr>
          <w:spacing w:val="-4"/>
        </w:rPr>
        <w:t>元），在鑫亚公司起诉玉丰公司一案中，经黑龙江省哈尔滨市中级人民法</w:t>
      </w:r>
    </w:p>
    <w:p>
      <w:pPr>
        <w:pStyle w:val="BodyText"/>
        <w:spacing w:line="272" w:lineRule="exact"/>
        <w:ind w:left="256" w:right="0"/>
        <w:jc w:val="left"/>
      </w:pPr>
      <w:r>
        <w:rPr/>
        <w:t>院执行裁定书〔</w:t>
      </w:r>
      <w:r>
        <w:rPr>
          <w:rFonts w:ascii="Arial" w:hAnsi="Arial" w:cs="Arial" w:eastAsia="Arial" w:hint="default"/>
        </w:rPr>
        <w:t>2019</w:t>
      </w:r>
      <w:r>
        <w:rPr/>
        <w:t>〕黑</w:t>
      </w:r>
      <w:r>
        <w:rPr>
          <w:spacing w:val="-55"/>
        </w:rPr>
        <w:t> </w:t>
      </w:r>
      <w:r>
        <w:rPr>
          <w:rFonts w:ascii="Arial" w:hAnsi="Arial" w:cs="Arial" w:eastAsia="Arial" w:hint="default"/>
        </w:rPr>
        <w:t>01</w:t>
      </w:r>
      <w:r>
        <w:rPr>
          <w:rFonts w:ascii="Arial" w:hAnsi="Arial" w:cs="Arial" w:eastAsia="Arial" w:hint="default"/>
          <w:spacing w:val="-5"/>
        </w:rPr>
        <w:t> </w:t>
      </w:r>
      <w:r>
        <w:rPr/>
        <w:t>执</w:t>
      </w:r>
      <w:r>
        <w:rPr>
          <w:spacing w:val="-55"/>
        </w:rPr>
        <w:t> </w:t>
      </w:r>
      <w:r>
        <w:rPr>
          <w:rFonts w:ascii="Arial" w:hAnsi="Arial" w:cs="Arial" w:eastAsia="Arial" w:hint="default"/>
        </w:rPr>
        <w:t>1974</w:t>
      </w:r>
      <w:r>
        <w:rPr>
          <w:rFonts w:ascii="Arial" w:hAnsi="Arial" w:cs="Arial" w:eastAsia="Arial" w:hint="default"/>
          <w:spacing w:val="-6"/>
        </w:rPr>
        <w:t> </w:t>
      </w:r>
      <w:r>
        <w:rPr/>
        <w:t>号予以查封。</w:t>
      </w:r>
    </w:p>
    <w:p>
      <w:pPr>
        <w:pStyle w:val="BodyText"/>
        <w:spacing w:line="272" w:lineRule="exact"/>
        <w:ind w:left="677" w:right="0"/>
        <w:jc w:val="left"/>
        <w:rPr>
          <w:rFonts w:ascii="Arial" w:hAnsi="Arial" w:cs="Arial" w:eastAsia="Arial" w:hint="default"/>
        </w:rPr>
      </w:pPr>
      <w:r>
        <w:rPr/>
        <w:t>②纸业公司与陈伟发生纠纷一案中，法院查封纸业公司挖掘机</w:t>
      </w:r>
      <w:r>
        <w:rPr>
          <w:spacing w:val="-55"/>
        </w:rPr>
        <w:t> </w:t>
      </w:r>
      <w:r>
        <w:rPr>
          <w:rFonts w:ascii="Arial" w:hAnsi="Arial" w:cs="Arial" w:eastAsia="Arial" w:hint="default"/>
        </w:rPr>
        <w:t>2</w:t>
      </w:r>
      <w:r>
        <w:rPr>
          <w:rFonts w:ascii="Arial" w:hAnsi="Arial" w:cs="Arial" w:eastAsia="Arial" w:hint="default"/>
          <w:spacing w:val="-10"/>
        </w:rPr>
        <w:t> </w:t>
      </w:r>
      <w:r>
        <w:rPr>
          <w:spacing w:val="-3"/>
        </w:rPr>
        <w:t>台（账面原值</w:t>
      </w:r>
      <w:r>
        <w:rPr>
          <w:spacing w:val="-55"/>
        </w:rPr>
        <w:t> </w:t>
      </w:r>
      <w:r>
        <w:rPr>
          <w:rFonts w:ascii="Arial" w:hAnsi="Arial" w:cs="Arial" w:eastAsia="Arial" w:hint="default"/>
        </w:rPr>
        <w:t>1,683,760.61</w:t>
      </w:r>
    </w:p>
    <w:p>
      <w:pPr>
        <w:spacing w:line="273" w:lineRule="auto" w:before="0"/>
        <w:ind w:left="256" w:right="5964" w:firstLine="0"/>
        <w:jc w:val="left"/>
        <w:rPr>
          <w:rFonts w:ascii="宋体" w:hAnsi="宋体" w:cs="宋体" w:eastAsia="宋体" w:hint="default"/>
          <w:sz w:val="21"/>
          <w:szCs w:val="21"/>
        </w:rPr>
      </w:pPr>
      <w:r>
        <w:rPr>
          <w:rFonts w:ascii="宋体" w:hAnsi="宋体" w:cs="宋体" w:eastAsia="宋体" w:hint="default"/>
          <w:sz w:val="21"/>
          <w:szCs w:val="21"/>
        </w:rPr>
        <w:t>元，账面价值</w:t>
      </w:r>
      <w:r>
        <w:rPr>
          <w:rFonts w:ascii="宋体" w:hAnsi="宋体" w:cs="宋体" w:eastAsia="宋体" w:hint="default"/>
          <w:spacing w:val="-52"/>
          <w:sz w:val="21"/>
          <w:szCs w:val="21"/>
        </w:rPr>
        <w:t> </w:t>
      </w:r>
      <w:r>
        <w:rPr>
          <w:rFonts w:ascii="Arial" w:hAnsi="Arial" w:cs="Arial" w:eastAsia="Arial" w:hint="default"/>
          <w:sz w:val="21"/>
          <w:szCs w:val="21"/>
        </w:rPr>
        <w:t>25,925.03</w:t>
      </w:r>
      <w:r>
        <w:rPr>
          <w:rFonts w:ascii="Arial" w:hAnsi="Arial" w:cs="Arial" w:eastAsia="Arial" w:hint="default"/>
          <w:spacing w:val="-8"/>
          <w:sz w:val="21"/>
          <w:szCs w:val="21"/>
        </w:rPr>
        <w:t> </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b/>
          <w:bCs/>
          <w:sz w:val="21"/>
          <w:szCs w:val="21"/>
        </w:rPr>
        <w:t>固定资产清理</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29"/>
        <w:ind w:left="256" w:right="713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21</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在建工程</w:t>
      </w:r>
      <w:r>
        <w:rPr>
          <w:rFonts w:ascii="宋体" w:hAnsi="宋体" w:cs="宋体" w:eastAsia="宋体" w:hint="default"/>
          <w:b/>
          <w:bCs/>
          <w:w w:val="99"/>
          <w:sz w:val="21"/>
          <w:szCs w:val="21"/>
        </w:rPr>
        <w:t> </w:t>
      </w:r>
      <w:r>
        <w:rPr>
          <w:rFonts w:ascii="宋体" w:hAnsi="宋体" w:cs="宋体" w:eastAsia="宋体" w:hint="default"/>
          <w:b/>
          <w:bCs/>
          <w:sz w:val="21"/>
          <w:szCs w:val="21"/>
        </w:rPr>
        <w:t>项目列示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56" w:right="59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6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454.05pt;height:1pt;mso-position-horizontal-relative:char;mso-position-vertical-relative:line" coordorigin="0,0" coordsize="9081,20">
            <v:group style="position:absolute;left:10;top:10;width:3193;height:2" coordorigin="10,10" coordsize="3193,2">
              <v:shape style="position:absolute;left:10;top:10;width:3193;height:2" coordorigin="10,10" coordsize="3193,0" path="m10,10l3203,10e" filled="false" stroked="true" strokeweight=".96001pt" strokecolor="#41b7ee">
                <v:path arrowok="t"/>
              </v:shape>
            </v:group>
            <v:group style="position:absolute;left:3203;top:10;width:58;height:2" coordorigin="3203,10" coordsize="58,2">
              <v:shape style="position:absolute;left:3203;top:10;width:58;height:2" coordorigin="3203,10" coordsize="58,0" path="m3203,10l3260,10e" filled="false" stroked="true" strokeweight=".96001pt" strokecolor="#41b7ee">
                <v:path arrowok="t"/>
              </v:shape>
            </v:group>
            <v:group style="position:absolute;left:3260;top:10;width:2881;height:2" coordorigin="3260,10" coordsize="2881,2">
              <v:shape style="position:absolute;left:3260;top:10;width:2881;height:2" coordorigin="3260,10" coordsize="2881,0" path="m3260,10l6141,10e" filled="false" stroked="true" strokeweight=".96001pt" strokecolor="#41b7ee">
                <v:path arrowok="t"/>
              </v:shape>
            </v:group>
            <v:group style="position:absolute;left:6141;top:10;width:58;height:2" coordorigin="6141,10" coordsize="58,2">
              <v:shape style="position:absolute;left:6141;top:10;width:58;height:2" coordorigin="6141,10" coordsize="58,0" path="m6141,10l6198,10e" filled="false" stroked="true" strokeweight=".96001pt" strokecolor="#41b7ee">
                <v:path arrowok="t"/>
              </v:shape>
            </v:group>
            <v:group style="position:absolute;left:6198;top:10;width:2874;height:2" coordorigin="6198,10" coordsize="2874,2">
              <v:shape style="position:absolute;left:6198;top:10;width:2874;height:2" coordorigin="6198,10" coordsize="2874,0" path="m6198,10l9071,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15" w:type="dxa"/>
        <w:tblLayout w:type="fixed"/>
        <w:tblCellMar>
          <w:top w:w="0" w:type="dxa"/>
          <w:left w:w="0" w:type="dxa"/>
          <w:bottom w:w="0" w:type="dxa"/>
          <w:right w:w="0" w:type="dxa"/>
        </w:tblCellMar>
        <w:tblLook w:val="01E0"/>
      </w:tblPr>
      <w:tblGrid>
        <w:gridCol w:w="3198"/>
        <w:gridCol w:w="2938"/>
        <w:gridCol w:w="2926"/>
      </w:tblGrid>
      <w:tr>
        <w:trPr>
          <w:trHeight w:val="365" w:hRule="exact"/>
        </w:trPr>
        <w:tc>
          <w:tcPr>
            <w:tcW w:w="3198"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6"/>
              <w:ind w:right="127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8"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6"/>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6"/>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58" w:hRule="exact"/>
        </w:trPr>
        <w:tc>
          <w:tcPr>
            <w:tcW w:w="319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5"/>
              <w:ind w:left="112"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93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43,994,631.91</w:t>
            </w:r>
          </w:p>
        </w:tc>
        <w:tc>
          <w:tcPr>
            <w:tcW w:w="292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16"/>
              <w:jc w:val="right"/>
              <w:rPr>
                <w:rFonts w:ascii="Arial" w:hAnsi="Arial" w:cs="Arial" w:eastAsia="Arial" w:hint="default"/>
                <w:sz w:val="21"/>
                <w:szCs w:val="21"/>
              </w:rPr>
            </w:pPr>
            <w:r>
              <w:rPr>
                <w:rFonts w:ascii="Arial"/>
                <w:spacing w:val="-1"/>
                <w:sz w:val="21"/>
              </w:rPr>
              <w:t>23,119,736.43</w:t>
            </w:r>
          </w:p>
        </w:tc>
      </w:tr>
      <w:tr>
        <w:trPr>
          <w:trHeight w:val="355" w:hRule="exact"/>
        </w:trPr>
        <w:tc>
          <w:tcPr>
            <w:tcW w:w="319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工程物资</w:t>
            </w:r>
            <w:r>
              <w:rPr>
                <w:rFonts w:ascii="宋体" w:hAnsi="宋体" w:cs="宋体" w:eastAsia="宋体" w:hint="default"/>
                <w:sz w:val="21"/>
                <w:szCs w:val="21"/>
              </w:rPr>
              <w:t> </w:t>
            </w:r>
          </w:p>
        </w:tc>
        <w:tc>
          <w:tcPr>
            <w:tcW w:w="2938" w:type="dxa"/>
            <w:tcBorders>
              <w:top w:val="single" w:sz="4" w:space="0" w:color="41B7EE"/>
              <w:left w:val="single" w:sz="4" w:space="0" w:color="41B7EE"/>
              <w:bottom w:val="single" w:sz="4" w:space="0" w:color="41B7EE"/>
              <w:right w:val="single" w:sz="4" w:space="0" w:color="41B7EE"/>
            </w:tcBorders>
          </w:tcPr>
          <w:p>
            <w:pPr/>
          </w:p>
        </w:tc>
        <w:tc>
          <w:tcPr>
            <w:tcW w:w="2926" w:type="dxa"/>
            <w:tcBorders>
              <w:top w:val="single" w:sz="4" w:space="0" w:color="41B7EE"/>
              <w:left w:val="single" w:sz="4" w:space="0" w:color="41B7EE"/>
              <w:bottom w:val="single" w:sz="4" w:space="0" w:color="41B7EE"/>
              <w:right w:val="nil" w:sz="6" w:space="0" w:color="auto"/>
            </w:tcBorders>
          </w:tcPr>
          <w:p>
            <w:pPr/>
          </w:p>
        </w:tc>
      </w:tr>
      <w:tr>
        <w:trPr>
          <w:trHeight w:val="384" w:hRule="exact"/>
        </w:trPr>
        <w:tc>
          <w:tcPr>
            <w:tcW w:w="3198"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right="1277"/>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8"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43,994,631.91</w:t>
            </w:r>
          </w:p>
        </w:tc>
        <w:tc>
          <w:tcPr>
            <w:tcW w:w="2926"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116"/>
              <w:jc w:val="right"/>
              <w:rPr>
                <w:rFonts w:ascii="Arial" w:hAnsi="Arial" w:cs="Arial" w:eastAsia="Arial" w:hint="default"/>
                <w:sz w:val="21"/>
                <w:szCs w:val="21"/>
              </w:rPr>
            </w:pPr>
            <w:r>
              <w:rPr>
                <w:rFonts w:ascii="Arial"/>
                <w:spacing w:val="-1"/>
                <w:sz w:val="21"/>
              </w:rPr>
              <w:t>23,119,736.43</w:t>
            </w:r>
          </w:p>
        </w:tc>
      </w:tr>
    </w:tbl>
    <w:p>
      <w:pPr>
        <w:spacing w:after="0" w:line="240" w:lineRule="auto"/>
        <w:jc w:val="right"/>
        <w:rPr>
          <w:rFonts w:ascii="Arial" w:hAnsi="Arial" w:cs="Arial" w:eastAsia="Arial" w:hint="default"/>
          <w:sz w:val="21"/>
          <w:szCs w:val="21"/>
        </w:rPr>
        <w:sectPr>
          <w:pgSz w:w="11910" w:h="16840"/>
          <w:pgMar w:header="0" w:footer="1195" w:top="1300" w:bottom="1380" w:left="1020" w:right="1520"/>
        </w:sectPr>
      </w:pPr>
    </w:p>
    <w:p>
      <w:pPr>
        <w:pStyle w:val="Heading2"/>
        <w:spacing w:line="290" w:lineRule="auto" w:before="44"/>
        <w:ind w:left="256" w:right="0"/>
        <w:jc w:val="left"/>
        <w:rPr>
          <w:rFonts w:ascii="宋体" w:hAnsi="宋体" w:cs="宋体" w:eastAsia="宋体" w:hint="default"/>
          <w:b w:val="0"/>
          <w:bCs w:val="0"/>
        </w:rPr>
      </w:pPr>
      <w:r>
        <w:rPr/>
        <w:t>在建工程</w:t>
      </w:r>
      <w:r>
        <w:rPr>
          <w:rFonts w:ascii="宋体" w:hAnsi="宋体" w:cs="宋体" w:eastAsia="宋体" w:hint="default"/>
          <w:w w:val="99"/>
        </w:rPr>
        <w:t> </w:t>
      </w:r>
      <w:r>
        <w:rPr>
          <w:rFonts w:ascii="宋体" w:hAnsi="宋体" w:cs="宋体" w:eastAsia="宋体" w:hint="default"/>
        </w:rPr>
        <w:t>(1).</w:t>
      </w:r>
      <w:r>
        <w:rPr/>
        <w:t>在建工程情况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2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020" w:right="1520"/>
          <w:cols w:num="2" w:equalWidth="0">
            <w:col w:w="2055" w:space="4467"/>
            <w:col w:w="2848"/>
          </w:cols>
        </w:sectPr>
      </w:pPr>
    </w:p>
    <w:p>
      <w:pPr>
        <w:spacing w:line="240" w:lineRule="auto" w:before="4"/>
        <w:rPr>
          <w:rFonts w:ascii="宋体" w:hAnsi="宋体" w:cs="宋体" w:eastAsia="宋体" w:hint="default"/>
          <w:sz w:val="2"/>
          <w:szCs w:val="2"/>
        </w:rPr>
      </w:pPr>
    </w:p>
    <w:tbl>
      <w:tblPr>
        <w:tblW w:w="0" w:type="auto"/>
        <w:jc w:val="left"/>
        <w:tblInd w:w="196" w:type="dxa"/>
        <w:tblLayout w:type="fixed"/>
        <w:tblCellMar>
          <w:top w:w="0" w:type="dxa"/>
          <w:left w:w="0" w:type="dxa"/>
          <w:bottom w:w="0" w:type="dxa"/>
          <w:right w:w="0" w:type="dxa"/>
        </w:tblCellMar>
        <w:tblLook w:val="01E0"/>
      </w:tblPr>
      <w:tblGrid>
        <w:gridCol w:w="1150"/>
        <w:gridCol w:w="1447"/>
        <w:gridCol w:w="1138"/>
        <w:gridCol w:w="1414"/>
        <w:gridCol w:w="1342"/>
        <w:gridCol w:w="1063"/>
        <w:gridCol w:w="1342"/>
      </w:tblGrid>
      <w:tr>
        <w:trPr>
          <w:trHeight w:val="384" w:hRule="exact"/>
        </w:trPr>
        <w:tc>
          <w:tcPr>
            <w:tcW w:w="1150" w:type="dxa"/>
            <w:vMerge w:val="restart"/>
            <w:tcBorders>
              <w:top w:val="single" w:sz="23" w:space="0" w:color="41B7EE"/>
              <w:left w:val="nil" w:sz="6" w:space="0" w:color="auto"/>
              <w:right w:val="single" w:sz="4" w:space="0" w:color="41B7EE"/>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65"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999" w:type="dxa"/>
            <w:gridSpan w:val="3"/>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left="106"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747" w:type="dxa"/>
            <w:gridSpan w:val="3"/>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9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55" w:hRule="exact"/>
        </w:trPr>
        <w:tc>
          <w:tcPr>
            <w:tcW w:w="1150" w:type="dxa"/>
            <w:vMerge/>
            <w:tcBorders>
              <w:left w:val="nil" w:sz="6" w:space="0" w:color="auto"/>
              <w:bottom w:val="single" w:sz="4" w:space="0" w:color="41B7EE"/>
              <w:right w:val="single" w:sz="4" w:space="0" w:color="41B7EE"/>
            </w:tcBorders>
          </w:tcPr>
          <w:p>
            <w:pPr/>
          </w:p>
        </w:tc>
        <w:tc>
          <w:tcPr>
            <w:tcW w:w="144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right="192"/>
              <w:jc w:val="right"/>
              <w:rPr>
                <w:rFonts w:ascii="宋体" w:hAnsi="宋体" w:cs="宋体" w:eastAsia="宋体" w:hint="default"/>
                <w:sz w:val="21"/>
                <w:szCs w:val="21"/>
              </w:rPr>
            </w:pPr>
            <w:r>
              <w:rPr>
                <w:rFonts w:ascii="宋体" w:hAnsi="宋体" w:cs="宋体" w:eastAsia="宋体" w:hint="default"/>
                <w:spacing w:val="-2"/>
                <w:sz w:val="21"/>
                <w:szCs w:val="21"/>
              </w:rPr>
              <w:t>账面余额</w:t>
            </w:r>
            <w:r>
              <w:rPr>
                <w:rFonts w:ascii="宋体" w:hAnsi="宋体" w:cs="宋体" w:eastAsia="宋体" w:hint="default"/>
                <w:sz w:val="21"/>
                <w:szCs w:val="21"/>
              </w:rPr>
              <w:t> </w:t>
            </w:r>
          </w:p>
        </w:tc>
        <w:tc>
          <w:tcPr>
            <w:tcW w:w="113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right="141"/>
              <w:jc w:val="right"/>
              <w:rPr>
                <w:rFonts w:ascii="宋体" w:hAnsi="宋体" w:cs="宋体" w:eastAsia="宋体" w:hint="default"/>
                <w:sz w:val="21"/>
                <w:szCs w:val="21"/>
              </w:rPr>
            </w:pPr>
            <w:r>
              <w:rPr>
                <w:rFonts w:ascii="宋体" w:hAnsi="宋体" w:cs="宋体" w:eastAsia="宋体" w:hint="default"/>
                <w:spacing w:val="-1"/>
                <w:sz w:val="21"/>
                <w:szCs w:val="21"/>
              </w:rPr>
              <w:t>减值准备</w:t>
            </w:r>
          </w:p>
        </w:tc>
        <w:tc>
          <w:tcPr>
            <w:tcW w:w="141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28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4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245"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06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34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24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5" w:hRule="exact"/>
        </w:trPr>
        <w:tc>
          <w:tcPr>
            <w:tcW w:w="1150" w:type="dxa"/>
            <w:tcBorders>
              <w:top w:val="single" w:sz="4" w:space="0" w:color="41B7EE"/>
              <w:left w:val="nil" w:sz="6" w:space="0" w:color="auto"/>
              <w:bottom w:val="single" w:sz="4" w:space="0" w:color="41B7EE"/>
              <w:right w:val="single" w:sz="4" w:space="0" w:color="41B7EE"/>
            </w:tcBorders>
          </w:tcPr>
          <w:p>
            <w:pPr>
              <w:pStyle w:val="TableParagraph"/>
              <w:spacing w:line="240" w:lineRule="exact"/>
              <w:ind w:left="31" w:right="0"/>
              <w:jc w:val="left"/>
              <w:rPr>
                <w:rFonts w:ascii="宋体" w:hAnsi="宋体" w:cs="宋体" w:eastAsia="宋体" w:hint="default"/>
                <w:sz w:val="21"/>
                <w:szCs w:val="21"/>
              </w:rPr>
            </w:pPr>
            <w:r>
              <w:rPr>
                <w:rFonts w:ascii="宋体" w:hAnsi="宋体" w:cs="宋体" w:eastAsia="宋体" w:hint="default"/>
                <w:sz w:val="21"/>
                <w:szCs w:val="21"/>
              </w:rPr>
              <w:t>农田水利设</w:t>
            </w:r>
          </w:p>
          <w:p>
            <w:pPr>
              <w:pStyle w:val="TableParagraph"/>
              <w:spacing w:line="274" w:lineRule="exact"/>
              <w:ind w:left="31" w:right="0"/>
              <w:jc w:val="left"/>
              <w:rPr>
                <w:rFonts w:ascii="宋体" w:hAnsi="宋体" w:cs="宋体" w:eastAsia="宋体" w:hint="default"/>
                <w:sz w:val="21"/>
                <w:szCs w:val="21"/>
              </w:rPr>
            </w:pPr>
            <w:r>
              <w:rPr>
                <w:rFonts w:ascii="宋体" w:hAnsi="宋体" w:cs="宋体" w:eastAsia="宋体" w:hint="default"/>
                <w:sz w:val="21"/>
                <w:szCs w:val="21"/>
              </w:rPr>
              <w:t>施项目</w:t>
            </w:r>
            <w:r>
              <w:rPr>
                <w:rFonts w:ascii="宋体" w:hAnsi="宋体" w:cs="宋体" w:eastAsia="宋体" w:hint="default"/>
                <w:sz w:val="21"/>
                <w:szCs w:val="21"/>
              </w:rPr>
              <w:t> </w:t>
            </w:r>
          </w:p>
        </w:tc>
        <w:tc>
          <w:tcPr>
            <w:tcW w:w="144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55"/>
              <w:ind w:right="132"/>
              <w:jc w:val="right"/>
              <w:rPr>
                <w:rFonts w:ascii="Arial" w:hAnsi="Arial" w:cs="Arial" w:eastAsia="Arial" w:hint="default"/>
                <w:sz w:val="20"/>
                <w:szCs w:val="20"/>
              </w:rPr>
            </w:pPr>
            <w:r>
              <w:rPr>
                <w:rFonts w:ascii="Arial"/>
                <w:w w:val="95"/>
                <w:sz w:val="20"/>
              </w:rPr>
              <w:t>21,769,586.80</w:t>
            </w:r>
            <w:r>
              <w:rPr>
                <w:rFonts w:ascii="Arial"/>
                <w:sz w:val="20"/>
              </w:rPr>
            </w:r>
          </w:p>
        </w:tc>
        <w:tc>
          <w:tcPr>
            <w:tcW w:w="1138" w:type="dxa"/>
            <w:tcBorders>
              <w:top w:val="single" w:sz="4" w:space="0" w:color="41B7EE"/>
              <w:left w:val="single" w:sz="4" w:space="0" w:color="41B7EE"/>
              <w:bottom w:val="single" w:sz="4" w:space="0" w:color="41B7EE"/>
              <w:right w:val="single" w:sz="4" w:space="0" w:color="41B7EE"/>
            </w:tcBorders>
          </w:tcPr>
          <w:p>
            <w:pPr/>
          </w:p>
        </w:tc>
        <w:tc>
          <w:tcPr>
            <w:tcW w:w="141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55"/>
              <w:ind w:right="101"/>
              <w:jc w:val="right"/>
              <w:rPr>
                <w:rFonts w:ascii="Arial" w:hAnsi="Arial" w:cs="Arial" w:eastAsia="Arial" w:hint="default"/>
                <w:sz w:val="20"/>
                <w:szCs w:val="20"/>
              </w:rPr>
            </w:pPr>
            <w:r>
              <w:rPr>
                <w:rFonts w:ascii="Arial"/>
                <w:w w:val="95"/>
                <w:sz w:val="20"/>
              </w:rPr>
              <w:t>21,769,586.80</w:t>
            </w:r>
            <w:r>
              <w:rPr>
                <w:rFonts w:ascii="Arial"/>
                <w:sz w:val="20"/>
              </w:rPr>
            </w:r>
          </w:p>
        </w:tc>
        <w:tc>
          <w:tcPr>
            <w:tcW w:w="134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55"/>
              <w:ind w:right="27"/>
              <w:jc w:val="right"/>
              <w:rPr>
                <w:rFonts w:ascii="Arial" w:hAnsi="Arial" w:cs="Arial" w:eastAsia="Arial" w:hint="default"/>
                <w:sz w:val="20"/>
                <w:szCs w:val="20"/>
              </w:rPr>
            </w:pPr>
            <w:r>
              <w:rPr>
                <w:rFonts w:ascii="Arial"/>
                <w:w w:val="95"/>
                <w:sz w:val="20"/>
              </w:rPr>
              <w:t>15,785,430.60</w:t>
            </w:r>
            <w:r>
              <w:rPr>
                <w:rFonts w:ascii="Arial"/>
                <w:sz w:val="20"/>
              </w:rPr>
            </w:r>
          </w:p>
        </w:tc>
        <w:tc>
          <w:tcPr>
            <w:tcW w:w="1063" w:type="dxa"/>
            <w:tcBorders>
              <w:top w:val="single" w:sz="4" w:space="0" w:color="41B7EE"/>
              <w:left w:val="single" w:sz="4" w:space="0" w:color="41B7EE"/>
              <w:bottom w:val="single" w:sz="4" w:space="0" w:color="41B7EE"/>
              <w:right w:val="single" w:sz="4" w:space="0" w:color="41B7EE"/>
            </w:tcBorders>
          </w:tcPr>
          <w:p>
            <w:pPr/>
          </w:p>
        </w:tc>
        <w:tc>
          <w:tcPr>
            <w:tcW w:w="134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55"/>
              <w:ind w:right="32"/>
              <w:jc w:val="right"/>
              <w:rPr>
                <w:rFonts w:ascii="Arial" w:hAnsi="Arial" w:cs="Arial" w:eastAsia="Arial" w:hint="default"/>
                <w:sz w:val="20"/>
                <w:szCs w:val="20"/>
              </w:rPr>
            </w:pPr>
            <w:r>
              <w:rPr>
                <w:rFonts w:ascii="Arial"/>
                <w:w w:val="95"/>
                <w:sz w:val="20"/>
              </w:rPr>
              <w:t>15,785,430.60</w:t>
            </w:r>
            <w:r>
              <w:rPr>
                <w:rFonts w:ascii="Arial"/>
                <w:sz w:val="20"/>
              </w:rPr>
            </w:r>
          </w:p>
        </w:tc>
      </w:tr>
      <w:tr>
        <w:trPr>
          <w:trHeight w:val="557" w:hRule="exact"/>
        </w:trPr>
        <w:tc>
          <w:tcPr>
            <w:tcW w:w="1150" w:type="dxa"/>
            <w:tcBorders>
              <w:top w:val="single" w:sz="4" w:space="0" w:color="41B7EE"/>
              <w:left w:val="nil" w:sz="6" w:space="0" w:color="auto"/>
              <w:bottom w:val="single" w:sz="4" w:space="0" w:color="41B7EE"/>
              <w:right w:val="single" w:sz="4" w:space="0" w:color="41B7EE"/>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粮食管护设</w:t>
            </w:r>
          </w:p>
          <w:p>
            <w:pPr>
              <w:pStyle w:val="TableParagraph"/>
              <w:spacing w:line="273" w:lineRule="exact"/>
              <w:ind w:left="31" w:right="0"/>
              <w:jc w:val="left"/>
              <w:rPr>
                <w:rFonts w:ascii="宋体" w:hAnsi="宋体" w:cs="宋体" w:eastAsia="宋体" w:hint="default"/>
                <w:sz w:val="21"/>
                <w:szCs w:val="21"/>
              </w:rPr>
            </w:pPr>
            <w:r>
              <w:rPr>
                <w:rFonts w:ascii="宋体" w:hAnsi="宋体" w:cs="宋体" w:eastAsia="宋体" w:hint="default"/>
                <w:sz w:val="21"/>
                <w:szCs w:val="21"/>
              </w:rPr>
              <w:t>施项目</w:t>
            </w:r>
            <w:r>
              <w:rPr>
                <w:rFonts w:ascii="宋体" w:hAnsi="宋体" w:cs="宋体" w:eastAsia="宋体" w:hint="default"/>
                <w:sz w:val="21"/>
                <w:szCs w:val="21"/>
              </w:rPr>
              <w:t> </w:t>
            </w:r>
          </w:p>
        </w:tc>
        <w:tc>
          <w:tcPr>
            <w:tcW w:w="144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55"/>
              <w:ind w:right="132"/>
              <w:jc w:val="right"/>
              <w:rPr>
                <w:rFonts w:ascii="Arial" w:hAnsi="Arial" w:cs="Arial" w:eastAsia="Arial" w:hint="default"/>
                <w:sz w:val="20"/>
                <w:szCs w:val="20"/>
              </w:rPr>
            </w:pPr>
            <w:r>
              <w:rPr>
                <w:rFonts w:ascii="Arial"/>
                <w:w w:val="95"/>
                <w:sz w:val="20"/>
              </w:rPr>
              <w:t>3,351,617.46</w:t>
            </w:r>
            <w:r>
              <w:rPr>
                <w:rFonts w:ascii="Arial"/>
                <w:sz w:val="20"/>
              </w:rPr>
            </w:r>
          </w:p>
        </w:tc>
        <w:tc>
          <w:tcPr>
            <w:tcW w:w="1138" w:type="dxa"/>
            <w:tcBorders>
              <w:top w:val="single" w:sz="4" w:space="0" w:color="41B7EE"/>
              <w:left w:val="single" w:sz="4" w:space="0" w:color="41B7EE"/>
              <w:bottom w:val="single" w:sz="4" w:space="0" w:color="41B7EE"/>
              <w:right w:val="single" w:sz="4" w:space="0" w:color="41B7EE"/>
            </w:tcBorders>
          </w:tcPr>
          <w:p>
            <w:pPr/>
          </w:p>
        </w:tc>
        <w:tc>
          <w:tcPr>
            <w:tcW w:w="141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55"/>
              <w:ind w:right="101"/>
              <w:jc w:val="right"/>
              <w:rPr>
                <w:rFonts w:ascii="Arial" w:hAnsi="Arial" w:cs="Arial" w:eastAsia="Arial" w:hint="default"/>
                <w:sz w:val="20"/>
                <w:szCs w:val="20"/>
              </w:rPr>
            </w:pPr>
            <w:r>
              <w:rPr>
                <w:rFonts w:ascii="Arial"/>
                <w:w w:val="95"/>
                <w:sz w:val="20"/>
              </w:rPr>
              <w:t>3,351,617.46</w:t>
            </w:r>
            <w:r>
              <w:rPr>
                <w:rFonts w:ascii="Arial"/>
                <w:sz w:val="20"/>
              </w:rPr>
            </w:r>
          </w:p>
        </w:tc>
        <w:tc>
          <w:tcPr>
            <w:tcW w:w="134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55"/>
              <w:ind w:right="26"/>
              <w:jc w:val="right"/>
              <w:rPr>
                <w:rFonts w:ascii="Arial" w:hAnsi="Arial" w:cs="Arial" w:eastAsia="Arial" w:hint="default"/>
                <w:sz w:val="20"/>
                <w:szCs w:val="20"/>
              </w:rPr>
            </w:pPr>
            <w:r>
              <w:rPr>
                <w:rFonts w:ascii="Arial"/>
                <w:w w:val="95"/>
                <w:sz w:val="20"/>
              </w:rPr>
              <w:t>6,231,865.60</w:t>
            </w:r>
            <w:r>
              <w:rPr>
                <w:rFonts w:ascii="Arial"/>
                <w:sz w:val="20"/>
              </w:rPr>
            </w:r>
          </w:p>
        </w:tc>
        <w:tc>
          <w:tcPr>
            <w:tcW w:w="1063" w:type="dxa"/>
            <w:tcBorders>
              <w:top w:val="single" w:sz="4" w:space="0" w:color="41B7EE"/>
              <w:left w:val="single" w:sz="4" w:space="0" w:color="41B7EE"/>
              <w:bottom w:val="single" w:sz="4" w:space="0" w:color="41B7EE"/>
              <w:right w:val="single" w:sz="4" w:space="0" w:color="41B7EE"/>
            </w:tcBorders>
          </w:tcPr>
          <w:p>
            <w:pPr/>
          </w:p>
        </w:tc>
        <w:tc>
          <w:tcPr>
            <w:tcW w:w="134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55"/>
              <w:ind w:right="32"/>
              <w:jc w:val="right"/>
              <w:rPr>
                <w:rFonts w:ascii="Arial" w:hAnsi="Arial" w:cs="Arial" w:eastAsia="Arial" w:hint="default"/>
                <w:sz w:val="20"/>
                <w:szCs w:val="20"/>
              </w:rPr>
            </w:pPr>
            <w:r>
              <w:rPr>
                <w:rFonts w:ascii="Arial"/>
                <w:w w:val="95"/>
                <w:sz w:val="20"/>
              </w:rPr>
              <w:t>6,231,865.60</w:t>
            </w:r>
            <w:r>
              <w:rPr>
                <w:rFonts w:ascii="Arial"/>
                <w:sz w:val="20"/>
              </w:rPr>
            </w:r>
          </w:p>
        </w:tc>
      </w:tr>
      <w:tr>
        <w:trPr>
          <w:trHeight w:val="554" w:hRule="exact"/>
        </w:trPr>
        <w:tc>
          <w:tcPr>
            <w:tcW w:w="1150" w:type="dxa"/>
            <w:tcBorders>
              <w:top w:val="single" w:sz="4" w:space="0" w:color="41B7EE"/>
              <w:left w:val="nil" w:sz="6" w:space="0" w:color="auto"/>
              <w:bottom w:val="single" w:sz="4" w:space="0" w:color="41B7EE"/>
              <w:right w:val="single" w:sz="4" w:space="0" w:color="41B7EE"/>
            </w:tcBorders>
          </w:tcPr>
          <w:p>
            <w:pPr>
              <w:pStyle w:val="TableParagraph"/>
              <w:spacing w:line="239" w:lineRule="exact"/>
              <w:ind w:left="31" w:right="0"/>
              <w:jc w:val="left"/>
              <w:rPr>
                <w:rFonts w:ascii="宋体" w:hAnsi="宋体" w:cs="宋体" w:eastAsia="宋体" w:hint="default"/>
                <w:sz w:val="21"/>
                <w:szCs w:val="21"/>
              </w:rPr>
            </w:pPr>
            <w:r>
              <w:rPr>
                <w:rFonts w:ascii="宋体" w:hAnsi="宋体" w:cs="宋体" w:eastAsia="宋体" w:hint="default"/>
                <w:sz w:val="21"/>
                <w:szCs w:val="21"/>
              </w:rPr>
              <w:t>农机管护设</w:t>
            </w:r>
          </w:p>
          <w:p>
            <w:pPr>
              <w:pStyle w:val="TableParagraph"/>
              <w:spacing w:line="273" w:lineRule="exact"/>
              <w:ind w:left="31" w:right="0"/>
              <w:jc w:val="left"/>
              <w:rPr>
                <w:rFonts w:ascii="宋体" w:hAnsi="宋体" w:cs="宋体" w:eastAsia="宋体" w:hint="default"/>
                <w:sz w:val="21"/>
                <w:szCs w:val="21"/>
              </w:rPr>
            </w:pPr>
            <w:r>
              <w:rPr>
                <w:rFonts w:ascii="宋体" w:hAnsi="宋体" w:cs="宋体" w:eastAsia="宋体" w:hint="default"/>
                <w:sz w:val="21"/>
                <w:szCs w:val="21"/>
              </w:rPr>
              <w:t>施项目</w:t>
            </w:r>
            <w:r>
              <w:rPr>
                <w:rFonts w:ascii="宋体" w:hAnsi="宋体" w:cs="宋体" w:eastAsia="宋体" w:hint="default"/>
                <w:sz w:val="21"/>
                <w:szCs w:val="21"/>
              </w:rPr>
              <w:t> </w:t>
            </w:r>
          </w:p>
        </w:tc>
        <w:tc>
          <w:tcPr>
            <w:tcW w:w="144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53"/>
              <w:ind w:right="132"/>
              <w:jc w:val="right"/>
              <w:rPr>
                <w:rFonts w:ascii="Arial" w:hAnsi="Arial" w:cs="Arial" w:eastAsia="Arial" w:hint="default"/>
                <w:sz w:val="20"/>
                <w:szCs w:val="20"/>
              </w:rPr>
            </w:pPr>
            <w:r>
              <w:rPr>
                <w:rFonts w:ascii="Arial"/>
                <w:w w:val="95"/>
                <w:sz w:val="20"/>
              </w:rPr>
              <w:t>877,071.68</w:t>
            </w:r>
            <w:r>
              <w:rPr>
                <w:rFonts w:ascii="Arial"/>
                <w:sz w:val="20"/>
              </w:rPr>
            </w:r>
          </w:p>
        </w:tc>
        <w:tc>
          <w:tcPr>
            <w:tcW w:w="1138" w:type="dxa"/>
            <w:tcBorders>
              <w:top w:val="single" w:sz="4" w:space="0" w:color="41B7EE"/>
              <w:left w:val="single" w:sz="4" w:space="0" w:color="41B7EE"/>
              <w:bottom w:val="single" w:sz="4" w:space="0" w:color="41B7EE"/>
              <w:right w:val="single" w:sz="4" w:space="0" w:color="41B7EE"/>
            </w:tcBorders>
          </w:tcPr>
          <w:p>
            <w:pPr/>
          </w:p>
        </w:tc>
        <w:tc>
          <w:tcPr>
            <w:tcW w:w="141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53"/>
              <w:ind w:right="101"/>
              <w:jc w:val="right"/>
              <w:rPr>
                <w:rFonts w:ascii="Arial" w:hAnsi="Arial" w:cs="Arial" w:eastAsia="Arial" w:hint="default"/>
                <w:sz w:val="20"/>
                <w:szCs w:val="20"/>
              </w:rPr>
            </w:pPr>
            <w:r>
              <w:rPr>
                <w:rFonts w:ascii="Arial"/>
                <w:w w:val="95"/>
                <w:sz w:val="20"/>
              </w:rPr>
              <w:t>877,071.68</w:t>
            </w:r>
            <w:r>
              <w:rPr>
                <w:rFonts w:ascii="Arial"/>
                <w:sz w:val="20"/>
              </w:rPr>
            </w:r>
          </w:p>
        </w:tc>
        <w:tc>
          <w:tcPr>
            <w:tcW w:w="134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53"/>
              <w:ind w:right="26"/>
              <w:jc w:val="right"/>
              <w:rPr>
                <w:rFonts w:ascii="Arial" w:hAnsi="Arial" w:cs="Arial" w:eastAsia="Arial" w:hint="default"/>
                <w:sz w:val="20"/>
                <w:szCs w:val="20"/>
              </w:rPr>
            </w:pPr>
            <w:r>
              <w:rPr>
                <w:rFonts w:ascii="Arial"/>
                <w:w w:val="95"/>
                <w:sz w:val="20"/>
              </w:rPr>
              <w:t>566,780.83</w:t>
            </w:r>
            <w:r>
              <w:rPr>
                <w:rFonts w:ascii="Arial"/>
                <w:sz w:val="20"/>
              </w:rPr>
            </w:r>
          </w:p>
        </w:tc>
        <w:tc>
          <w:tcPr>
            <w:tcW w:w="1063" w:type="dxa"/>
            <w:tcBorders>
              <w:top w:val="single" w:sz="4" w:space="0" w:color="41B7EE"/>
              <w:left w:val="single" w:sz="4" w:space="0" w:color="41B7EE"/>
              <w:bottom w:val="single" w:sz="4" w:space="0" w:color="41B7EE"/>
              <w:right w:val="single" w:sz="4" w:space="0" w:color="41B7EE"/>
            </w:tcBorders>
          </w:tcPr>
          <w:p>
            <w:pPr/>
          </w:p>
        </w:tc>
        <w:tc>
          <w:tcPr>
            <w:tcW w:w="134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53"/>
              <w:ind w:right="31"/>
              <w:jc w:val="right"/>
              <w:rPr>
                <w:rFonts w:ascii="Arial" w:hAnsi="Arial" w:cs="Arial" w:eastAsia="Arial" w:hint="default"/>
                <w:sz w:val="20"/>
                <w:szCs w:val="20"/>
              </w:rPr>
            </w:pPr>
            <w:r>
              <w:rPr>
                <w:rFonts w:ascii="Arial"/>
                <w:w w:val="95"/>
                <w:sz w:val="20"/>
              </w:rPr>
              <w:t>566,780.83</w:t>
            </w:r>
            <w:r>
              <w:rPr>
                <w:rFonts w:ascii="Arial"/>
                <w:sz w:val="20"/>
              </w:rPr>
            </w:r>
          </w:p>
        </w:tc>
      </w:tr>
      <w:tr>
        <w:trPr>
          <w:trHeight w:val="554" w:hRule="exact"/>
        </w:trPr>
        <w:tc>
          <w:tcPr>
            <w:tcW w:w="1150" w:type="dxa"/>
            <w:tcBorders>
              <w:top w:val="single" w:sz="4" w:space="0" w:color="41B7EE"/>
              <w:left w:val="nil" w:sz="6" w:space="0" w:color="auto"/>
              <w:bottom w:val="single" w:sz="4" w:space="0" w:color="41B7EE"/>
              <w:right w:val="single" w:sz="4" w:space="0" w:color="41B7EE"/>
            </w:tcBorders>
          </w:tcPr>
          <w:p>
            <w:pPr>
              <w:pStyle w:val="TableParagraph"/>
              <w:spacing w:line="239" w:lineRule="exact"/>
              <w:ind w:left="31" w:right="0"/>
              <w:jc w:val="left"/>
              <w:rPr>
                <w:rFonts w:ascii="宋体" w:hAnsi="宋体" w:cs="宋体" w:eastAsia="宋体" w:hint="default"/>
                <w:sz w:val="21"/>
                <w:szCs w:val="21"/>
              </w:rPr>
            </w:pPr>
            <w:r>
              <w:rPr>
                <w:rFonts w:ascii="宋体" w:hAnsi="宋体" w:cs="宋体" w:eastAsia="宋体" w:hint="default"/>
                <w:sz w:val="21"/>
                <w:szCs w:val="21"/>
              </w:rPr>
              <w:t>生产服务设</w:t>
            </w:r>
          </w:p>
          <w:p>
            <w:pPr>
              <w:pStyle w:val="TableParagraph"/>
              <w:spacing w:line="273" w:lineRule="exact"/>
              <w:ind w:left="31" w:right="0"/>
              <w:jc w:val="left"/>
              <w:rPr>
                <w:rFonts w:ascii="宋体" w:hAnsi="宋体" w:cs="宋体" w:eastAsia="宋体" w:hint="default"/>
                <w:sz w:val="21"/>
                <w:szCs w:val="21"/>
              </w:rPr>
            </w:pPr>
            <w:r>
              <w:rPr>
                <w:rFonts w:ascii="宋体" w:hAnsi="宋体" w:cs="宋体" w:eastAsia="宋体" w:hint="default"/>
                <w:sz w:val="21"/>
                <w:szCs w:val="21"/>
              </w:rPr>
              <w:t>施项目</w:t>
            </w:r>
            <w:r>
              <w:rPr>
                <w:rFonts w:ascii="宋体" w:hAnsi="宋体" w:cs="宋体" w:eastAsia="宋体" w:hint="default"/>
                <w:sz w:val="21"/>
                <w:szCs w:val="21"/>
              </w:rPr>
              <w:t> </w:t>
            </w:r>
          </w:p>
        </w:tc>
        <w:tc>
          <w:tcPr>
            <w:tcW w:w="144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53"/>
              <w:ind w:right="132"/>
              <w:jc w:val="right"/>
              <w:rPr>
                <w:rFonts w:ascii="Arial" w:hAnsi="Arial" w:cs="Arial" w:eastAsia="Arial" w:hint="default"/>
                <w:sz w:val="20"/>
                <w:szCs w:val="20"/>
              </w:rPr>
            </w:pPr>
            <w:r>
              <w:rPr>
                <w:rFonts w:ascii="Arial"/>
                <w:w w:val="95"/>
                <w:sz w:val="20"/>
              </w:rPr>
              <w:t>17,048,883.81</w:t>
            </w:r>
            <w:r>
              <w:rPr>
                <w:rFonts w:ascii="Arial"/>
                <w:sz w:val="20"/>
              </w:rPr>
            </w:r>
          </w:p>
        </w:tc>
        <w:tc>
          <w:tcPr>
            <w:tcW w:w="113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53"/>
              <w:ind w:right="101"/>
              <w:jc w:val="right"/>
              <w:rPr>
                <w:rFonts w:ascii="Arial" w:hAnsi="Arial" w:cs="Arial" w:eastAsia="Arial" w:hint="default"/>
                <w:sz w:val="20"/>
                <w:szCs w:val="20"/>
              </w:rPr>
            </w:pPr>
            <w:r>
              <w:rPr>
                <w:rFonts w:ascii="Arial"/>
                <w:w w:val="95"/>
                <w:sz w:val="20"/>
              </w:rPr>
              <w:t>976,528.16</w:t>
            </w:r>
            <w:r>
              <w:rPr>
                <w:rFonts w:ascii="Arial"/>
                <w:sz w:val="20"/>
              </w:rPr>
            </w:r>
          </w:p>
        </w:tc>
        <w:tc>
          <w:tcPr>
            <w:tcW w:w="141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53"/>
              <w:ind w:right="101"/>
              <w:jc w:val="right"/>
              <w:rPr>
                <w:rFonts w:ascii="Arial" w:hAnsi="Arial" w:cs="Arial" w:eastAsia="Arial" w:hint="default"/>
                <w:sz w:val="20"/>
                <w:szCs w:val="20"/>
              </w:rPr>
            </w:pPr>
            <w:r>
              <w:rPr>
                <w:rFonts w:ascii="Arial"/>
                <w:w w:val="95"/>
                <w:sz w:val="20"/>
              </w:rPr>
              <w:t>16,072,355.65</w:t>
            </w:r>
            <w:r>
              <w:rPr>
                <w:rFonts w:ascii="Arial"/>
                <w:sz w:val="20"/>
              </w:rPr>
            </w:r>
          </w:p>
        </w:tc>
        <w:tc>
          <w:tcPr>
            <w:tcW w:w="134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53"/>
              <w:ind w:right="26"/>
              <w:jc w:val="right"/>
              <w:rPr>
                <w:rFonts w:ascii="Arial" w:hAnsi="Arial" w:cs="Arial" w:eastAsia="Arial" w:hint="default"/>
                <w:sz w:val="20"/>
                <w:szCs w:val="20"/>
              </w:rPr>
            </w:pPr>
            <w:r>
              <w:rPr>
                <w:rFonts w:ascii="Arial"/>
                <w:w w:val="95"/>
                <w:sz w:val="20"/>
              </w:rPr>
              <w:t>979,528.16</w:t>
            </w:r>
            <w:r>
              <w:rPr>
                <w:rFonts w:ascii="Arial"/>
                <w:sz w:val="20"/>
              </w:rPr>
            </w:r>
          </w:p>
        </w:tc>
        <w:tc>
          <w:tcPr>
            <w:tcW w:w="106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53"/>
              <w:ind w:right="0"/>
              <w:jc w:val="center"/>
              <w:rPr>
                <w:rFonts w:ascii="Arial" w:hAnsi="Arial" w:cs="Arial" w:eastAsia="Arial" w:hint="default"/>
                <w:sz w:val="20"/>
                <w:szCs w:val="20"/>
              </w:rPr>
            </w:pPr>
            <w:r>
              <w:rPr>
                <w:rFonts w:ascii="Arial"/>
                <w:sz w:val="20"/>
              </w:rPr>
              <w:t>976,528.16</w:t>
            </w:r>
          </w:p>
        </w:tc>
        <w:tc>
          <w:tcPr>
            <w:tcW w:w="134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53"/>
              <w:ind w:right="31"/>
              <w:jc w:val="right"/>
              <w:rPr>
                <w:rFonts w:ascii="Arial" w:hAnsi="Arial" w:cs="Arial" w:eastAsia="Arial" w:hint="default"/>
                <w:sz w:val="20"/>
                <w:szCs w:val="20"/>
              </w:rPr>
            </w:pPr>
            <w:r>
              <w:rPr>
                <w:rFonts w:ascii="Arial"/>
                <w:spacing w:val="-1"/>
                <w:sz w:val="20"/>
              </w:rPr>
              <w:t>3,000.00</w:t>
            </w:r>
          </w:p>
        </w:tc>
      </w:tr>
      <w:tr>
        <w:trPr>
          <w:trHeight w:val="358" w:hRule="exact"/>
        </w:trPr>
        <w:tc>
          <w:tcPr>
            <w:tcW w:w="115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其他项目</w:t>
            </w:r>
            <w:r>
              <w:rPr>
                <w:rFonts w:ascii="宋体" w:hAnsi="宋体" w:cs="宋体" w:eastAsia="宋体" w:hint="default"/>
                <w:sz w:val="21"/>
                <w:szCs w:val="21"/>
              </w:rPr>
              <w:t> </w:t>
            </w:r>
          </w:p>
        </w:tc>
        <w:tc>
          <w:tcPr>
            <w:tcW w:w="144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132"/>
              <w:jc w:val="right"/>
              <w:rPr>
                <w:rFonts w:ascii="Arial" w:hAnsi="Arial" w:cs="Arial" w:eastAsia="Arial" w:hint="default"/>
                <w:sz w:val="20"/>
                <w:szCs w:val="20"/>
              </w:rPr>
            </w:pPr>
            <w:r>
              <w:rPr>
                <w:rFonts w:ascii="Arial"/>
                <w:w w:val="95"/>
                <w:sz w:val="20"/>
              </w:rPr>
              <w:t>1,924,000.32</w:t>
            </w:r>
            <w:r>
              <w:rPr>
                <w:rFonts w:ascii="Arial"/>
                <w:sz w:val="20"/>
              </w:rPr>
            </w:r>
          </w:p>
        </w:tc>
        <w:tc>
          <w:tcPr>
            <w:tcW w:w="1138" w:type="dxa"/>
            <w:tcBorders>
              <w:top w:val="single" w:sz="4" w:space="0" w:color="41B7EE"/>
              <w:left w:val="single" w:sz="4" w:space="0" w:color="41B7EE"/>
              <w:bottom w:val="single" w:sz="4" w:space="0" w:color="41B7EE"/>
              <w:right w:val="single" w:sz="4" w:space="0" w:color="41B7EE"/>
            </w:tcBorders>
          </w:tcPr>
          <w:p>
            <w:pPr/>
          </w:p>
        </w:tc>
        <w:tc>
          <w:tcPr>
            <w:tcW w:w="141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101"/>
              <w:jc w:val="right"/>
              <w:rPr>
                <w:rFonts w:ascii="Arial" w:hAnsi="Arial" w:cs="Arial" w:eastAsia="Arial" w:hint="default"/>
                <w:sz w:val="20"/>
                <w:szCs w:val="20"/>
              </w:rPr>
            </w:pPr>
            <w:r>
              <w:rPr>
                <w:rFonts w:ascii="Arial"/>
                <w:w w:val="95"/>
                <w:sz w:val="20"/>
              </w:rPr>
              <w:t>1,924,000.32</w:t>
            </w:r>
            <w:r>
              <w:rPr>
                <w:rFonts w:ascii="Arial"/>
                <w:sz w:val="20"/>
              </w:rPr>
            </w:r>
          </w:p>
        </w:tc>
        <w:tc>
          <w:tcPr>
            <w:tcW w:w="134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6"/>
              <w:jc w:val="right"/>
              <w:rPr>
                <w:rFonts w:ascii="Arial" w:hAnsi="Arial" w:cs="Arial" w:eastAsia="Arial" w:hint="default"/>
                <w:sz w:val="20"/>
                <w:szCs w:val="20"/>
              </w:rPr>
            </w:pPr>
            <w:r>
              <w:rPr>
                <w:rFonts w:ascii="Arial"/>
                <w:w w:val="95"/>
                <w:sz w:val="20"/>
              </w:rPr>
              <w:t>532,659.40</w:t>
            </w:r>
            <w:r>
              <w:rPr>
                <w:rFonts w:ascii="Arial"/>
                <w:sz w:val="20"/>
              </w:rPr>
            </w:r>
          </w:p>
        </w:tc>
        <w:tc>
          <w:tcPr>
            <w:tcW w:w="1063" w:type="dxa"/>
            <w:tcBorders>
              <w:top w:val="single" w:sz="4" w:space="0" w:color="41B7EE"/>
              <w:left w:val="single" w:sz="4" w:space="0" w:color="41B7EE"/>
              <w:bottom w:val="single" w:sz="4" w:space="0" w:color="41B7EE"/>
              <w:right w:val="single" w:sz="4" w:space="0" w:color="41B7EE"/>
            </w:tcBorders>
          </w:tcPr>
          <w:p>
            <w:pPr/>
          </w:p>
        </w:tc>
        <w:tc>
          <w:tcPr>
            <w:tcW w:w="134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5"/>
              <w:ind w:right="31"/>
              <w:jc w:val="right"/>
              <w:rPr>
                <w:rFonts w:ascii="Arial" w:hAnsi="Arial" w:cs="Arial" w:eastAsia="Arial" w:hint="default"/>
                <w:sz w:val="20"/>
                <w:szCs w:val="20"/>
              </w:rPr>
            </w:pPr>
            <w:r>
              <w:rPr>
                <w:rFonts w:ascii="Arial"/>
                <w:w w:val="95"/>
                <w:sz w:val="20"/>
              </w:rPr>
              <w:t>532,659.40</w:t>
            </w:r>
            <w:r>
              <w:rPr>
                <w:rFonts w:ascii="Arial"/>
                <w:sz w:val="20"/>
              </w:rPr>
            </w:r>
          </w:p>
        </w:tc>
      </w:tr>
      <w:tr>
        <w:trPr>
          <w:trHeight w:val="422" w:hRule="exact"/>
        </w:trPr>
        <w:tc>
          <w:tcPr>
            <w:tcW w:w="1150"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33"/>
              <w:ind w:left="36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47"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86"/>
              <w:ind w:right="132"/>
              <w:jc w:val="right"/>
              <w:rPr>
                <w:rFonts w:ascii="Arial" w:hAnsi="Arial" w:cs="Arial" w:eastAsia="Arial" w:hint="default"/>
                <w:sz w:val="20"/>
                <w:szCs w:val="20"/>
              </w:rPr>
            </w:pPr>
            <w:r>
              <w:rPr>
                <w:rFonts w:ascii="Arial"/>
                <w:w w:val="95"/>
                <w:sz w:val="20"/>
              </w:rPr>
              <w:t>44,971,160.07</w:t>
            </w:r>
            <w:r>
              <w:rPr>
                <w:rFonts w:ascii="Arial"/>
                <w:sz w:val="20"/>
              </w:rPr>
            </w:r>
          </w:p>
        </w:tc>
        <w:tc>
          <w:tcPr>
            <w:tcW w:w="1138"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86"/>
              <w:ind w:right="101"/>
              <w:jc w:val="right"/>
              <w:rPr>
                <w:rFonts w:ascii="Arial" w:hAnsi="Arial" w:cs="Arial" w:eastAsia="Arial" w:hint="default"/>
                <w:sz w:val="20"/>
                <w:szCs w:val="20"/>
              </w:rPr>
            </w:pPr>
            <w:r>
              <w:rPr>
                <w:rFonts w:ascii="Arial"/>
                <w:w w:val="95"/>
                <w:sz w:val="20"/>
              </w:rPr>
              <w:t>976,528.16</w:t>
            </w:r>
            <w:r>
              <w:rPr>
                <w:rFonts w:ascii="Arial"/>
                <w:sz w:val="20"/>
              </w:rPr>
            </w:r>
          </w:p>
        </w:tc>
        <w:tc>
          <w:tcPr>
            <w:tcW w:w="1414"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86"/>
              <w:ind w:right="101"/>
              <w:jc w:val="right"/>
              <w:rPr>
                <w:rFonts w:ascii="Arial" w:hAnsi="Arial" w:cs="Arial" w:eastAsia="Arial" w:hint="default"/>
                <w:sz w:val="20"/>
                <w:szCs w:val="20"/>
              </w:rPr>
            </w:pPr>
            <w:r>
              <w:rPr>
                <w:rFonts w:ascii="Arial"/>
                <w:w w:val="95"/>
                <w:sz w:val="20"/>
              </w:rPr>
              <w:t>43,994,631.91</w:t>
            </w:r>
            <w:r>
              <w:rPr>
                <w:rFonts w:ascii="Arial"/>
                <w:sz w:val="20"/>
              </w:rPr>
            </w:r>
          </w:p>
        </w:tc>
        <w:tc>
          <w:tcPr>
            <w:tcW w:w="1342"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86"/>
              <w:ind w:right="27"/>
              <w:jc w:val="right"/>
              <w:rPr>
                <w:rFonts w:ascii="Arial" w:hAnsi="Arial" w:cs="Arial" w:eastAsia="Arial" w:hint="default"/>
                <w:sz w:val="20"/>
                <w:szCs w:val="20"/>
              </w:rPr>
            </w:pPr>
            <w:r>
              <w:rPr>
                <w:rFonts w:ascii="Arial"/>
                <w:w w:val="95"/>
                <w:sz w:val="20"/>
              </w:rPr>
              <w:t>24,096,264.59</w:t>
            </w:r>
            <w:r>
              <w:rPr>
                <w:rFonts w:ascii="Arial"/>
                <w:sz w:val="20"/>
              </w:rPr>
            </w:r>
          </w:p>
        </w:tc>
        <w:tc>
          <w:tcPr>
            <w:tcW w:w="1063"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86"/>
              <w:ind w:right="0"/>
              <w:jc w:val="center"/>
              <w:rPr>
                <w:rFonts w:ascii="Arial" w:hAnsi="Arial" w:cs="Arial" w:eastAsia="Arial" w:hint="default"/>
                <w:sz w:val="20"/>
                <w:szCs w:val="20"/>
              </w:rPr>
            </w:pPr>
            <w:r>
              <w:rPr>
                <w:rFonts w:ascii="Arial"/>
                <w:sz w:val="20"/>
              </w:rPr>
              <w:t>976,528.16</w:t>
            </w:r>
          </w:p>
        </w:tc>
        <w:tc>
          <w:tcPr>
            <w:tcW w:w="1342"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86"/>
              <w:ind w:right="32"/>
              <w:jc w:val="right"/>
              <w:rPr>
                <w:rFonts w:ascii="Arial" w:hAnsi="Arial" w:cs="Arial" w:eastAsia="Arial" w:hint="default"/>
                <w:sz w:val="20"/>
                <w:szCs w:val="20"/>
              </w:rPr>
            </w:pPr>
            <w:r>
              <w:rPr>
                <w:rFonts w:ascii="Arial"/>
                <w:w w:val="95"/>
                <w:sz w:val="20"/>
              </w:rPr>
              <w:t>23,119,736.43</w:t>
            </w:r>
            <w:r>
              <w:rPr>
                <w:rFonts w:ascii="Arial"/>
                <w:sz w:val="20"/>
              </w:rPr>
            </w:r>
          </w:p>
        </w:tc>
      </w:tr>
    </w:tbl>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1146;height:2" coordorigin="10,10" coordsize="1146,2">
              <v:shape style="position:absolute;left:10;top:10;width:1146;height:2" coordorigin="10,10" coordsize="1146,0" path="m10,10l1155,10e" filled="false" stroked="true" strokeweight=".95996pt" strokecolor="#41b7ee">
                <v:path arrowok="t"/>
              </v:shape>
            </v:group>
            <v:group style="position:absolute;left:1155;top:10;width:58;height:2" coordorigin="1155,10" coordsize="58,2">
              <v:shape style="position:absolute;left:1155;top:10;width:58;height:2" coordorigin="1155,10" coordsize="58,0" path="m1155,10l1212,10e" filled="false" stroked="true" strokeweight=".95996pt" strokecolor="#41b7ee">
                <v:path arrowok="t"/>
              </v:shape>
            </v:group>
            <v:group style="position:absolute;left:1212;top:10;width:1390;height:2" coordorigin="1212,10" coordsize="1390,2">
              <v:shape style="position:absolute;left:1212;top:10;width:1390;height:2" coordorigin="1212,10" coordsize="1390,0" path="m1212,10l2602,10e" filled="false" stroked="true" strokeweight=".95996pt" strokecolor="#41b7ee">
                <v:path arrowok="t"/>
              </v:shape>
            </v:group>
            <v:group style="position:absolute;left:2602;top:10;width:59;height:2" coordorigin="2602,10" coordsize="59,2">
              <v:shape style="position:absolute;left:2602;top:10;width:59;height:2" coordorigin="2602,10" coordsize="59,0" path="m2602,10l2660,10e" filled="false" stroked="true" strokeweight=".95996pt" strokecolor="#41b7ee">
                <v:path arrowok="t"/>
              </v:shape>
            </v:group>
            <v:group style="position:absolute;left:2660;top:10;width:1080;height:2" coordorigin="2660,10" coordsize="1080,2">
              <v:shape style="position:absolute;left:2660;top:10;width:1080;height:2" coordorigin="2660,10" coordsize="1080,0" path="m2660,10l3740,10e" filled="false" stroked="true" strokeweight=".95996pt" strokecolor="#41b7ee">
                <v:path arrowok="t"/>
              </v:shape>
            </v:group>
            <v:group style="position:absolute;left:3740;top:10;width:58;height:2" coordorigin="3740,10" coordsize="58,2">
              <v:shape style="position:absolute;left:3740;top:10;width:58;height:2" coordorigin="3740,10" coordsize="58,0" path="m3740,10l3798,10e" filled="false" stroked="true" strokeweight=".95996pt" strokecolor="#41b7ee">
                <v:path arrowok="t"/>
              </v:shape>
            </v:group>
            <v:group style="position:absolute;left:3798;top:10;width:1356;height:2" coordorigin="3798,10" coordsize="1356,2">
              <v:shape style="position:absolute;left:3798;top:10;width:1356;height:2" coordorigin="3798,10" coordsize="1356,0" path="m3798,10l5154,10e" filled="false" stroked="true" strokeweight=".95996pt" strokecolor="#41b7ee">
                <v:path arrowok="t"/>
              </v:shape>
            </v:group>
            <v:group style="position:absolute;left:5154;top:10;width:58;height:2" coordorigin="5154,10" coordsize="58,2">
              <v:shape style="position:absolute;left:5154;top:10;width:58;height:2" coordorigin="5154,10" coordsize="58,0" path="m5154,10l5211,10e" filled="false" stroked="true" strokeweight=".95996pt" strokecolor="#41b7ee">
                <v:path arrowok="t"/>
              </v:shape>
            </v:group>
            <v:group style="position:absolute;left:5211;top:10;width:1285;height:2" coordorigin="5211,10" coordsize="1285,2">
              <v:shape style="position:absolute;left:5211;top:10;width:1285;height:2" coordorigin="5211,10" coordsize="1285,0" path="m5211,10l6496,10e" filled="false" stroked="true" strokeweight=".95996pt" strokecolor="#41b7ee">
                <v:path arrowok="t"/>
              </v:shape>
            </v:group>
            <v:group style="position:absolute;left:6496;top:10;width:58;height:2" coordorigin="6496,10" coordsize="58,2">
              <v:shape style="position:absolute;left:6496;top:10;width:58;height:2" coordorigin="6496,10" coordsize="58,0" path="m6496,10l6553,10e" filled="false" stroked="true" strokeweight=".95996pt" strokecolor="#41b7ee">
                <v:path arrowok="t"/>
              </v:shape>
            </v:group>
            <v:group style="position:absolute;left:6553;top:10;width:1006;height:2" coordorigin="6553,10" coordsize="1006,2">
              <v:shape style="position:absolute;left:6553;top:10;width:1006;height:2" coordorigin="6553,10" coordsize="1006,0" path="m6553,10l7559,10e" filled="false" stroked="true" strokeweight=".95996pt" strokecolor="#41b7ee">
                <v:path arrowok="t"/>
              </v:shape>
            </v:group>
            <v:group style="position:absolute;left:7559;top:10;width:58;height:2" coordorigin="7559,10" coordsize="58,2">
              <v:shape style="position:absolute;left:7559;top:10;width:58;height:2" coordorigin="7559,10" coordsize="58,0" path="m7559,10l7617,10e" filled="false" stroked="true" strokeweight=".95996pt" strokecolor="#41b7ee">
                <v:path arrowok="t"/>
              </v:shape>
            </v:group>
            <v:group style="position:absolute;left:7617;top:10;width:1290;height:2" coordorigin="7617,10" coordsize="1290,2">
              <v:shape style="position:absolute;left:7617;top:10;width:1290;height:2" coordorigin="7617,10" coordsize="1290,0" path="m7617,10l8906,10e" filled="false" stroked="true" strokeweight=".95996pt" strokecolor="#41b7ee">
                <v:path arrowok="t"/>
              </v:shape>
            </v:group>
          </v:group>
        </w:pict>
      </w:r>
      <w:r>
        <w:rPr>
          <w:rFonts w:ascii="宋体" w:hAnsi="宋体" w:cs="宋体" w:eastAsia="宋体" w:hint="default"/>
          <w:sz w:val="2"/>
          <w:szCs w:val="2"/>
        </w:rPr>
      </w:r>
    </w:p>
    <w:p>
      <w:pPr>
        <w:pStyle w:val="BodyText"/>
        <w:spacing w:line="259" w:lineRule="exact"/>
        <w:ind w:left="256" w:right="0"/>
        <w:jc w:val="left"/>
        <w:rPr>
          <w:rFonts w:ascii="宋体" w:hAnsi="宋体" w:cs="宋体" w:eastAsia="宋体" w:hint="default"/>
        </w:rPr>
      </w:pPr>
      <w:r>
        <w:rPr>
          <w:rFonts w:ascii="宋体"/>
          <w:w w:val="100"/>
        </w:rPr>
        <w:t> </w:t>
      </w:r>
    </w:p>
    <w:p>
      <w:pPr>
        <w:spacing w:after="0" w:line="259" w:lineRule="exact"/>
        <w:jc w:val="left"/>
        <w:rPr>
          <w:rFonts w:ascii="宋体" w:hAnsi="宋体" w:cs="宋体" w:eastAsia="宋体" w:hint="default"/>
        </w:rPr>
        <w:sectPr>
          <w:type w:val="continuous"/>
          <w:pgSz w:w="11910" w:h="16840"/>
          <w:pgMar w:top="1360" w:bottom="1380" w:left="1020" w:right="1520"/>
        </w:sectPr>
      </w:pPr>
    </w:p>
    <w:p>
      <w:pPr>
        <w:spacing w:line="240" w:lineRule="auto" w:before="1"/>
        <w:rPr>
          <w:rFonts w:ascii="宋体" w:hAnsi="宋体" w:cs="宋体" w:eastAsia="宋体" w:hint="default"/>
          <w:sz w:val="6"/>
          <w:szCs w:val="6"/>
        </w:rPr>
      </w:pPr>
    </w:p>
    <w:p>
      <w:pPr>
        <w:spacing w:line="544" w:lineRule="exact"/>
        <w:ind w:left="108"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696.35pt;height:27.25pt;mso-position-horizontal-relative:char;mso-position-vertical-relative:line" coordorigin="0,0" coordsize="13927,545">
            <v:group style="position:absolute;left:7;top:538;width:13913;height:2" coordorigin="7,538" coordsize="13913,2">
              <v:shape style="position:absolute;left:7;top:538;width:13913;height:2" coordorigin="7,538" coordsize="13913,0" path="m7,538l13920,538e" filled="false" stroked="true" strokeweight=".72pt" strokecolor="#000000">
                <v:path arrowok="t"/>
              </v:shape>
              <v:shape style="position:absolute;left:99;top:0;width:4665;height:480" type="#_x0000_t75" stroked="false">
                <v:imagedata r:id="rId16" o:title=""/>
              </v:shape>
              <v:shape style="position:absolute;left:0;top:0;width:13927;height:545" type="#_x0000_t202" filled="false" stroked="false">
                <v:textbox inset="0,0,0,0">
                  <w:txbxContent>
                    <w:p>
                      <w:pPr>
                        <w:spacing w:line="454" w:lineRule="exact" w:before="0"/>
                        <w:ind w:left="0" w:right="31" w:firstLine="0"/>
                        <w:jc w:val="right"/>
                        <w:rPr>
                          <w:rFonts w:ascii="微软雅黑" w:hAnsi="微软雅黑" w:cs="微软雅黑" w:eastAsia="微软雅黑" w:hint="default"/>
                          <w:sz w:val="28"/>
                          <w:szCs w:val="28"/>
                        </w:rPr>
                      </w:pPr>
                      <w:r>
                        <w:rPr>
                          <w:rFonts w:ascii="微软雅黑" w:hAnsi="微软雅黑" w:cs="微软雅黑" w:eastAsia="微软雅黑" w:hint="default"/>
                          <w:b/>
                          <w:bCs/>
                          <w:sz w:val="28"/>
                          <w:szCs w:val="28"/>
                        </w:rPr>
                        <w:t>2019</w:t>
                      </w:r>
                      <w:r>
                        <w:rPr>
                          <w:rFonts w:ascii="微软雅黑" w:hAnsi="微软雅黑" w:cs="微软雅黑" w:eastAsia="微软雅黑" w:hint="default"/>
                          <w:b/>
                          <w:bCs/>
                          <w:spacing w:val="-17"/>
                          <w:sz w:val="28"/>
                          <w:szCs w:val="28"/>
                        </w:rPr>
                        <w:t> </w:t>
                      </w:r>
                      <w:r>
                        <w:rPr>
                          <w:rFonts w:ascii="微软雅黑" w:hAnsi="微软雅黑" w:cs="微软雅黑" w:eastAsia="微软雅黑" w:hint="default"/>
                          <w:b/>
                          <w:bCs/>
                          <w:sz w:val="28"/>
                          <w:szCs w:val="28"/>
                        </w:rPr>
                        <w:t>年年度报告</w:t>
                      </w:r>
                      <w:r>
                        <w:rPr>
                          <w:rFonts w:ascii="微软雅黑" w:hAnsi="微软雅黑" w:cs="微软雅黑" w:eastAsia="微软雅黑" w:hint="default"/>
                          <w:sz w:val="28"/>
                          <w:szCs w:val="28"/>
                        </w:rPr>
                      </w:r>
                    </w:p>
                  </w:txbxContent>
                </v:textbox>
                <w10:wrap type="none"/>
              </v:shape>
            </v:group>
          </v:group>
        </w:pict>
      </w:r>
      <w:r>
        <w:rPr>
          <w:rFonts w:ascii="宋体" w:hAnsi="宋体" w:cs="宋体" w:eastAsia="宋体" w:hint="default"/>
          <w:position w:val="-10"/>
          <w:sz w:val="20"/>
          <w:szCs w:val="20"/>
        </w:rPr>
      </w:r>
    </w:p>
    <w:p>
      <w:pPr>
        <w:spacing w:after="0" w:line="544" w:lineRule="exact"/>
        <w:rPr>
          <w:rFonts w:ascii="宋体" w:hAnsi="宋体" w:cs="宋体" w:eastAsia="宋体" w:hint="default"/>
          <w:sz w:val="20"/>
          <w:szCs w:val="20"/>
        </w:rPr>
        <w:sectPr>
          <w:headerReference w:type="default" r:id="rId68"/>
          <w:footerReference w:type="default" r:id="rId69"/>
          <w:pgSz w:w="16840" w:h="11910" w:orient="landscape"/>
          <w:pgMar w:header="0" w:footer="0" w:top="740" w:bottom="280" w:left="1380" w:right="1220"/>
        </w:sectPr>
      </w:pPr>
    </w:p>
    <w:p>
      <w:pPr>
        <w:pStyle w:val="Heading2"/>
        <w:spacing w:line="240" w:lineRule="auto" w:before="26"/>
        <w:ind w:left="144" w:right="0"/>
        <w:jc w:val="left"/>
        <w:rPr>
          <w:rFonts w:ascii="宋体" w:hAnsi="宋体" w:cs="宋体" w:eastAsia="宋体" w:hint="default"/>
          <w:b w:val="0"/>
          <w:bCs w:val="0"/>
        </w:rPr>
      </w:pPr>
      <w:r>
        <w:rPr>
          <w:rFonts w:ascii="宋体" w:hAnsi="宋体" w:cs="宋体" w:eastAsia="宋体" w:hint="default"/>
        </w:rPr>
        <w:t>(2).</w:t>
      </w:r>
      <w:r>
        <w:rPr/>
        <w:t>重要在建工程项目本期变动情况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spacing w:line="240" w:lineRule="auto"/>
        <w:ind w:left="14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360" w:bottom="1380" w:left="1380" w:right="1220"/>
          <w:cols w:num="2" w:equalWidth="0">
            <w:col w:w="3630" w:space="7933"/>
            <w:col w:w="2677"/>
          </w:cols>
        </w:sectPr>
      </w:pPr>
    </w:p>
    <w:p>
      <w:pPr>
        <w:spacing w:line="240" w:lineRule="auto" w:before="7"/>
        <w:rPr>
          <w:rFonts w:ascii="宋体" w:hAnsi="宋体" w:cs="宋体" w:eastAsia="宋体" w:hint="default"/>
          <w:sz w:val="2"/>
          <w:szCs w:val="2"/>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697.8pt;height:1pt;mso-position-horizontal-relative:char;mso-position-vertical-relative:line" coordorigin="0,0" coordsize="13956,20">
            <v:group style="position:absolute;left:10;top:10;width:1131;height:2" coordorigin="10,10" coordsize="1131,2">
              <v:shape style="position:absolute;left:10;top:10;width:1131;height:2" coordorigin="10,10" coordsize="1131,0" path="m10,10l1140,10e" filled="false" stroked="true" strokeweight=".96pt" strokecolor="#41b7ee">
                <v:path arrowok="t"/>
              </v:shape>
            </v:group>
            <v:group style="position:absolute;left:1140;top:10;width:58;height:2" coordorigin="1140,10" coordsize="58,2">
              <v:shape style="position:absolute;left:1140;top:10;width:58;height:2" coordorigin="1140,10" coordsize="58,0" path="m1140,10l1198,10e" filled="false" stroked="true" strokeweight=".96pt" strokecolor="#41b7ee">
                <v:path arrowok="t"/>
              </v:shape>
            </v:group>
            <v:group style="position:absolute;left:1198;top:10;width:1570;height:2" coordorigin="1198,10" coordsize="1570,2">
              <v:shape style="position:absolute;left:1198;top:10;width:1570;height:2" coordorigin="1198,10" coordsize="1570,0" path="m1198,10l2768,10e" filled="false" stroked="true" strokeweight=".96pt" strokecolor="#41b7ee">
                <v:path arrowok="t"/>
              </v:shape>
            </v:group>
            <v:group style="position:absolute;left:2768;top:10;width:58;height:2" coordorigin="2768,10" coordsize="58,2">
              <v:shape style="position:absolute;left:2768;top:10;width:58;height:2" coordorigin="2768,10" coordsize="58,0" path="m2768,10l2825,10e" filled="false" stroked="true" strokeweight=".96pt" strokecolor="#41b7ee">
                <v:path arrowok="t"/>
              </v:shape>
            </v:group>
            <v:group style="position:absolute;left:2825;top:10;width:1347;height:2" coordorigin="2825,10" coordsize="1347,2">
              <v:shape style="position:absolute;left:2825;top:10;width:1347;height:2" coordorigin="2825,10" coordsize="1347,0" path="m2825,10l4172,10e" filled="false" stroked="true" strokeweight=".96pt" strokecolor="#41b7ee">
                <v:path arrowok="t"/>
              </v:shape>
            </v:group>
            <v:group style="position:absolute;left:4172;top:10;width:58;height:2" coordorigin="4172,10" coordsize="58,2">
              <v:shape style="position:absolute;left:4172;top:10;width:58;height:2" coordorigin="4172,10" coordsize="58,0" path="m4172,10l4230,10e" filled="false" stroked="true" strokeweight=".96pt" strokecolor="#41b7ee">
                <v:path arrowok="t"/>
              </v:shape>
            </v:group>
            <v:group style="position:absolute;left:4230;top:10;width:1546;height:2" coordorigin="4230,10" coordsize="1546,2">
              <v:shape style="position:absolute;left:4230;top:10;width:1546;height:2" coordorigin="4230,10" coordsize="1546,0" path="m4230,10l5775,10e" filled="false" stroked="true" strokeweight=".96pt" strokecolor="#41b7ee">
                <v:path arrowok="t"/>
              </v:shape>
            </v:group>
            <v:group style="position:absolute;left:5775;top:10;width:58;height:2" coordorigin="5775,10" coordsize="58,2">
              <v:shape style="position:absolute;left:5775;top:10;width:58;height:2" coordorigin="5775,10" coordsize="58,0" path="m5775,10l5833,10e" filled="false" stroked="true" strokeweight=".96pt" strokecolor="#41b7ee">
                <v:path arrowok="t"/>
              </v:shape>
            </v:group>
            <v:group style="position:absolute;left:5833;top:10;width:1542;height:2" coordorigin="5833,10" coordsize="1542,2">
              <v:shape style="position:absolute;left:5833;top:10;width:1542;height:2" coordorigin="5833,10" coordsize="1542,0" path="m5833,10l7374,10e" filled="false" stroked="true" strokeweight=".96pt" strokecolor="#41b7ee">
                <v:path arrowok="t"/>
              </v:shape>
            </v:group>
            <v:group style="position:absolute;left:7374;top:10;width:58;height:2" coordorigin="7374,10" coordsize="58,2">
              <v:shape style="position:absolute;left:7374;top:10;width:58;height:2" coordorigin="7374,10" coordsize="58,0" path="m7374,10l7432,10e" filled="false" stroked="true" strokeweight=".96pt" strokecolor="#41b7ee">
                <v:path arrowok="t"/>
              </v:shape>
            </v:group>
            <v:group style="position:absolute;left:7432;top:10;width:1068;height:2" coordorigin="7432,10" coordsize="1068,2">
              <v:shape style="position:absolute;left:7432;top:10;width:1068;height:2" coordorigin="7432,10" coordsize="1068,0" path="m7432,10l8500,10e" filled="false" stroked="true" strokeweight=".96pt" strokecolor="#41b7ee">
                <v:path arrowok="t"/>
              </v:shape>
            </v:group>
            <v:group style="position:absolute;left:8500;top:10;width:58;height:2" coordorigin="8500,10" coordsize="58,2">
              <v:shape style="position:absolute;left:8500;top:10;width:58;height:2" coordorigin="8500,10" coordsize="58,0" path="m8500,10l8557,10e" filled="false" stroked="true" strokeweight=".96pt" strokecolor="#41b7ee">
                <v:path arrowok="t"/>
              </v:shape>
            </v:group>
            <v:group style="position:absolute;left:8557;top:10;width:1349;height:2" coordorigin="8557,10" coordsize="1349,2">
              <v:shape style="position:absolute;left:8557;top:10;width:1349;height:2" coordorigin="8557,10" coordsize="1349,0" path="m8557,10l9906,10e" filled="false" stroked="true" strokeweight=".96pt" strokecolor="#41b7ee">
                <v:path arrowok="t"/>
              </v:shape>
            </v:group>
            <v:group style="position:absolute;left:9906;top:10;width:58;height:2" coordorigin="9906,10" coordsize="58,2">
              <v:shape style="position:absolute;left:9906;top:10;width:58;height:2" coordorigin="9906,10" coordsize="58,0" path="m9906,10l9964,10e" filled="false" stroked="true" strokeweight=".96pt" strokecolor="#41b7ee">
                <v:path arrowok="t"/>
              </v:shape>
            </v:group>
            <v:group style="position:absolute;left:9964;top:10;width:788;height:2" coordorigin="9964,10" coordsize="788,2">
              <v:shape style="position:absolute;left:9964;top:10;width:788;height:2" coordorigin="9964,10" coordsize="788,0" path="m9964,10l10751,10e" filled="false" stroked="true" strokeweight=".96pt" strokecolor="#41b7ee">
                <v:path arrowok="t"/>
              </v:shape>
            </v:group>
            <v:group style="position:absolute;left:10751;top:10;width:59;height:2" coordorigin="10751,10" coordsize="59,2">
              <v:shape style="position:absolute;left:10751;top:10;width:59;height:2" coordorigin="10751,10" coordsize="59,0" path="m10751,10l10809,10e" filled="false" stroked="true" strokeweight=".96pt" strokecolor="#41b7ee">
                <v:path arrowok="t"/>
              </v:shape>
            </v:group>
            <v:group style="position:absolute;left:10809;top:10;width:497;height:2" coordorigin="10809,10" coordsize="497,2">
              <v:shape style="position:absolute;left:10809;top:10;width:497;height:2" coordorigin="10809,10" coordsize="497,0" path="m10809,10l11306,10e" filled="false" stroked="true" strokeweight=".96pt" strokecolor="#41b7ee">
                <v:path arrowok="t"/>
              </v:shape>
            </v:group>
            <v:group style="position:absolute;left:11306;top:10;width:58;height:2" coordorigin="11306,10" coordsize="58,2">
              <v:shape style="position:absolute;left:11306;top:10;width:58;height:2" coordorigin="11306,10" coordsize="58,0" path="m11306,10l11364,10e" filled="false" stroked="true" strokeweight=".96pt" strokecolor="#41b7ee">
                <v:path arrowok="t"/>
              </v:shape>
            </v:group>
            <v:group style="position:absolute;left:11364;top:10;width:641;height:2" coordorigin="11364,10" coordsize="641,2">
              <v:shape style="position:absolute;left:11364;top:10;width:641;height:2" coordorigin="11364,10" coordsize="641,0" path="m11364,10l12004,10e" filled="false" stroked="true" strokeweight=".96pt" strokecolor="#41b7ee">
                <v:path arrowok="t"/>
              </v:shape>
            </v:group>
            <v:group style="position:absolute;left:12004;top:10;width:58;height:2" coordorigin="12004,10" coordsize="58,2">
              <v:shape style="position:absolute;left:12004;top:10;width:58;height:2" coordorigin="12004,10" coordsize="58,0" path="m12004,10l12062,10e" filled="false" stroked="true" strokeweight=".96pt" strokecolor="#41b7ee">
                <v:path arrowok="t"/>
              </v:shape>
            </v:group>
            <v:group style="position:absolute;left:12062;top:10;width:644;height:2" coordorigin="12062,10" coordsize="644,2">
              <v:shape style="position:absolute;left:12062;top:10;width:644;height:2" coordorigin="12062,10" coordsize="644,0" path="m12062,10l12705,10e" filled="false" stroked="true" strokeweight=".96pt" strokecolor="#41b7ee">
                <v:path arrowok="t"/>
              </v:shape>
            </v:group>
            <v:group style="position:absolute;left:12705;top:10;width:58;height:2" coordorigin="12705,10" coordsize="58,2">
              <v:shape style="position:absolute;left:12705;top:10;width:58;height:2" coordorigin="12705,10" coordsize="58,0" path="m12705,10l12763,10e" filled="false" stroked="true" strokeweight=".96pt" strokecolor="#41b7ee">
                <v:path arrowok="t"/>
              </v:shape>
            </v:group>
            <v:group style="position:absolute;left:12763;top:10;width:644;height:2" coordorigin="12763,10" coordsize="644,2">
              <v:shape style="position:absolute;left:12763;top:10;width:644;height:2" coordorigin="12763,10" coordsize="644,0" path="m12763,10l13406,10e" filled="false" stroked="true" strokeweight=".96pt" strokecolor="#41b7ee">
                <v:path arrowok="t"/>
              </v:shape>
            </v:group>
            <v:group style="position:absolute;left:13406;top:10;width:58;height:2" coordorigin="13406,10" coordsize="58,2">
              <v:shape style="position:absolute;left:13406;top:10;width:58;height:2" coordorigin="13406,10" coordsize="58,0" path="m13406,10l13464,10e" filled="false" stroked="true" strokeweight=".96pt" strokecolor="#41b7ee">
                <v:path arrowok="t"/>
              </v:shape>
            </v:group>
            <v:group style="position:absolute;left:13464;top:10;width:483;height:2" coordorigin="13464,10" coordsize="483,2">
              <v:shape style="position:absolute;left:13464;top:10;width:483;height:2" coordorigin="13464,10" coordsize="483,0" path="m13464,10l13946,10e" filled="false" stroked="true" strokeweight=".96pt" strokecolor="#41b7ee">
                <v:path arrowok="t"/>
              </v:shape>
            </v:group>
          </v:group>
        </w:pict>
      </w:r>
      <w:r>
        <w:rPr>
          <w:rFonts w:ascii="宋体" w:hAnsi="宋体" w:cs="宋体" w:eastAsia="宋体" w:hint="default"/>
          <w:sz w:val="2"/>
          <w:szCs w:val="2"/>
        </w:rPr>
      </w:r>
    </w:p>
    <w:tbl>
      <w:tblPr>
        <w:tblW w:w="0" w:type="auto"/>
        <w:jc w:val="left"/>
        <w:tblInd w:w="103" w:type="dxa"/>
        <w:tblLayout w:type="fixed"/>
        <w:tblCellMar>
          <w:top w:w="0" w:type="dxa"/>
          <w:left w:w="0" w:type="dxa"/>
          <w:bottom w:w="0" w:type="dxa"/>
          <w:right w:w="0" w:type="dxa"/>
        </w:tblCellMar>
        <w:tblLook w:val="01E0"/>
      </w:tblPr>
      <w:tblGrid>
        <w:gridCol w:w="1136"/>
        <w:gridCol w:w="1627"/>
        <w:gridCol w:w="1405"/>
        <w:gridCol w:w="1603"/>
        <w:gridCol w:w="1599"/>
        <w:gridCol w:w="1126"/>
        <w:gridCol w:w="1406"/>
        <w:gridCol w:w="845"/>
        <w:gridCol w:w="555"/>
        <w:gridCol w:w="698"/>
        <w:gridCol w:w="701"/>
        <w:gridCol w:w="701"/>
        <w:gridCol w:w="535"/>
      </w:tblGrid>
      <w:tr>
        <w:trPr>
          <w:trHeight w:val="1106" w:hRule="exact"/>
        </w:trPr>
        <w:tc>
          <w:tcPr>
            <w:tcW w:w="1136"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627"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1405"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4" w:right="536"/>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1603"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599"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8" w:right="195" w:hanging="209"/>
              <w:jc w:val="left"/>
              <w:rPr>
                <w:rFonts w:ascii="宋体" w:hAnsi="宋体" w:cs="宋体" w:eastAsia="宋体" w:hint="default"/>
                <w:sz w:val="21"/>
                <w:szCs w:val="21"/>
              </w:rPr>
            </w:pPr>
            <w:r>
              <w:rPr>
                <w:rFonts w:ascii="宋体" w:hAnsi="宋体" w:cs="宋体" w:eastAsia="宋体" w:hint="default"/>
                <w:sz w:val="21"/>
                <w:szCs w:val="21"/>
              </w:rPr>
              <w:t>本期转入固定</w:t>
            </w:r>
            <w:r>
              <w:rPr>
                <w:rFonts w:ascii="宋体" w:hAnsi="宋体" w:cs="宋体" w:eastAsia="宋体" w:hint="default"/>
                <w:w w:val="100"/>
                <w:sz w:val="21"/>
                <w:szCs w:val="21"/>
              </w:rPr>
              <w:t> </w:t>
            </w:r>
            <w:r>
              <w:rPr>
                <w:rFonts w:ascii="宋体" w:hAnsi="宋体" w:cs="宋体" w:eastAsia="宋体" w:hint="default"/>
                <w:sz w:val="21"/>
                <w:szCs w:val="21"/>
              </w:rPr>
              <w:t>资产金额</w:t>
            </w:r>
          </w:p>
        </w:tc>
        <w:tc>
          <w:tcPr>
            <w:tcW w:w="1126"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170"/>
              <w:jc w:val="left"/>
              <w:rPr>
                <w:rFonts w:ascii="宋体" w:hAnsi="宋体" w:cs="宋体" w:eastAsia="宋体" w:hint="default"/>
                <w:sz w:val="21"/>
                <w:szCs w:val="21"/>
              </w:rPr>
            </w:pPr>
            <w:r>
              <w:rPr>
                <w:rFonts w:ascii="宋体" w:hAnsi="宋体" w:cs="宋体" w:eastAsia="宋体" w:hint="default"/>
                <w:sz w:val="21"/>
                <w:szCs w:val="21"/>
              </w:rPr>
              <w:t>本期其他</w:t>
            </w:r>
            <w:r>
              <w:rPr>
                <w:rFonts w:ascii="宋体" w:hAnsi="宋体" w:cs="宋体" w:eastAsia="宋体" w:hint="default"/>
                <w:w w:val="100"/>
                <w:sz w:val="21"/>
                <w:szCs w:val="21"/>
              </w:rPr>
              <w:t> </w:t>
            </w:r>
            <w:r>
              <w:rPr>
                <w:rFonts w:ascii="宋体" w:hAnsi="宋体" w:cs="宋体" w:eastAsia="宋体" w:hint="default"/>
                <w:sz w:val="21"/>
                <w:szCs w:val="21"/>
              </w:rPr>
              <w:t>减少金额</w:t>
            </w:r>
          </w:p>
        </w:tc>
        <w:tc>
          <w:tcPr>
            <w:tcW w:w="1406"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87" w:right="485"/>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845" w:type="dxa"/>
            <w:tcBorders>
              <w:top w:val="single" w:sz="8" w:space="0" w:color="41B7EE"/>
              <w:left w:val="single" w:sz="4" w:space="0" w:color="41B7EE"/>
              <w:bottom w:val="single" w:sz="4" w:space="0" w:color="41B7EE"/>
              <w:right w:val="single" w:sz="4" w:space="0" w:color="41B7EE"/>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工程累</w:t>
            </w:r>
          </w:p>
          <w:p>
            <w:pPr>
              <w:pStyle w:val="TableParagraph"/>
              <w:spacing w:line="237" w:lineRule="auto"/>
              <w:ind w:left="26" w:right="19" w:firstLine="74"/>
              <w:jc w:val="both"/>
              <w:rPr>
                <w:rFonts w:ascii="Arial" w:hAnsi="Arial" w:cs="Arial" w:eastAsia="Arial" w:hint="default"/>
                <w:sz w:val="21"/>
                <w:szCs w:val="21"/>
              </w:rPr>
            </w:pPr>
            <w:r>
              <w:rPr>
                <w:rFonts w:ascii="宋体" w:hAnsi="宋体" w:cs="宋体" w:eastAsia="宋体" w:hint="default"/>
                <w:sz w:val="21"/>
                <w:szCs w:val="21"/>
              </w:rPr>
              <w:t>计投入</w:t>
            </w:r>
            <w:r>
              <w:rPr>
                <w:rFonts w:ascii="宋体" w:hAnsi="宋体" w:cs="宋体" w:eastAsia="宋体" w:hint="default"/>
                <w:w w:val="100"/>
                <w:sz w:val="21"/>
                <w:szCs w:val="21"/>
              </w:rPr>
              <w:t> </w:t>
            </w:r>
            <w:r>
              <w:rPr>
                <w:rFonts w:ascii="宋体" w:hAnsi="宋体" w:cs="宋体" w:eastAsia="宋体" w:hint="default"/>
                <w:sz w:val="21"/>
                <w:szCs w:val="21"/>
              </w:rPr>
              <w:t>占预算</w:t>
            </w:r>
            <w:r>
              <w:rPr>
                <w:rFonts w:ascii="宋体" w:hAnsi="宋体" w:cs="宋体" w:eastAsia="宋体" w:hint="default"/>
                <w:spacing w:val="-102"/>
                <w:sz w:val="21"/>
                <w:szCs w:val="21"/>
              </w:rPr>
              <w:t> </w:t>
            </w:r>
            <w:r>
              <w:rPr>
                <w:rFonts w:ascii="宋体" w:hAnsi="宋体" w:cs="宋体" w:eastAsia="宋体" w:hint="default"/>
                <w:spacing w:val="-12"/>
                <w:w w:val="95"/>
                <w:sz w:val="21"/>
                <w:szCs w:val="21"/>
              </w:rPr>
              <w:t>比例（</w:t>
            </w:r>
            <w:r>
              <w:rPr>
                <w:rFonts w:ascii="Arial" w:hAnsi="Arial" w:cs="Arial" w:eastAsia="Arial" w:hint="default"/>
                <w:spacing w:val="-12"/>
                <w:w w:val="95"/>
                <w:sz w:val="21"/>
                <w:szCs w:val="21"/>
              </w:rPr>
              <w:t>%)</w:t>
            </w:r>
            <w:r>
              <w:rPr>
                <w:rFonts w:ascii="Arial" w:hAnsi="Arial" w:cs="Arial" w:eastAsia="Arial" w:hint="default"/>
                <w:sz w:val="21"/>
                <w:szCs w:val="21"/>
              </w:rPr>
            </w:r>
          </w:p>
        </w:tc>
        <w:tc>
          <w:tcPr>
            <w:tcW w:w="555"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2" w:right="59"/>
              <w:jc w:val="left"/>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spacing w:val="-103"/>
                <w:sz w:val="21"/>
                <w:szCs w:val="21"/>
              </w:rPr>
              <w:t> </w:t>
            </w:r>
            <w:r>
              <w:rPr>
                <w:rFonts w:ascii="宋体" w:hAnsi="宋体" w:cs="宋体" w:eastAsia="宋体" w:hint="default"/>
                <w:sz w:val="21"/>
                <w:szCs w:val="21"/>
              </w:rPr>
              <w:t>进度</w:t>
            </w:r>
          </w:p>
        </w:tc>
        <w:tc>
          <w:tcPr>
            <w:tcW w:w="698" w:type="dxa"/>
            <w:tcBorders>
              <w:top w:val="single" w:sz="8" w:space="0" w:color="41B7EE"/>
              <w:left w:val="single" w:sz="4" w:space="0" w:color="41B7EE"/>
              <w:bottom w:val="single" w:sz="4" w:space="0" w:color="41B7EE"/>
              <w:right w:val="single" w:sz="4" w:space="0" w:color="41B7EE"/>
            </w:tcBorders>
          </w:tcPr>
          <w:p>
            <w:pPr>
              <w:pStyle w:val="TableParagraph"/>
              <w:spacing w:line="272" w:lineRule="exact" w:before="133"/>
              <w:ind w:left="28" w:right="24"/>
              <w:jc w:val="both"/>
              <w:rPr>
                <w:rFonts w:ascii="宋体" w:hAnsi="宋体" w:cs="宋体" w:eastAsia="宋体" w:hint="default"/>
                <w:sz w:val="21"/>
                <w:szCs w:val="21"/>
              </w:rPr>
            </w:pPr>
            <w:r>
              <w:rPr>
                <w:rFonts w:ascii="宋体" w:hAnsi="宋体" w:cs="宋体" w:eastAsia="宋体" w:hint="default"/>
                <w:sz w:val="21"/>
                <w:szCs w:val="21"/>
              </w:rPr>
              <w:t>利息资</w:t>
            </w:r>
            <w:r>
              <w:rPr>
                <w:rFonts w:ascii="宋体" w:hAnsi="宋体" w:cs="宋体" w:eastAsia="宋体" w:hint="default"/>
                <w:spacing w:val="-102"/>
                <w:sz w:val="21"/>
                <w:szCs w:val="21"/>
              </w:rPr>
              <w:t> </w:t>
            </w:r>
            <w:r>
              <w:rPr>
                <w:rFonts w:ascii="宋体" w:hAnsi="宋体" w:cs="宋体" w:eastAsia="宋体" w:hint="default"/>
                <w:sz w:val="21"/>
                <w:szCs w:val="21"/>
              </w:rPr>
              <w:t>本化累</w:t>
            </w:r>
            <w:r>
              <w:rPr>
                <w:rFonts w:ascii="宋体" w:hAnsi="宋体" w:cs="宋体" w:eastAsia="宋体" w:hint="default"/>
                <w:spacing w:val="-102"/>
                <w:sz w:val="21"/>
                <w:szCs w:val="21"/>
              </w:rPr>
              <w:t> </w:t>
            </w:r>
            <w:r>
              <w:rPr>
                <w:rFonts w:ascii="宋体" w:hAnsi="宋体" w:cs="宋体" w:eastAsia="宋体" w:hint="default"/>
                <w:sz w:val="21"/>
                <w:szCs w:val="21"/>
              </w:rPr>
              <w:t>计金额</w:t>
            </w:r>
          </w:p>
        </w:tc>
        <w:tc>
          <w:tcPr>
            <w:tcW w:w="701" w:type="dxa"/>
            <w:tcBorders>
              <w:top w:val="single" w:sz="8" w:space="0" w:color="41B7EE"/>
              <w:left w:val="single" w:sz="4" w:space="0" w:color="41B7EE"/>
              <w:bottom w:val="single" w:sz="4" w:space="0" w:color="41B7EE"/>
              <w:right w:val="single" w:sz="4" w:space="0" w:color="41B7EE"/>
            </w:tcBorders>
          </w:tcPr>
          <w:p>
            <w:pPr>
              <w:pStyle w:val="TableParagraph"/>
              <w:spacing w:line="241" w:lineRule="exact"/>
              <w:ind w:left="31" w:right="0"/>
              <w:jc w:val="both"/>
              <w:rPr>
                <w:rFonts w:ascii="宋体" w:hAnsi="宋体" w:cs="宋体" w:eastAsia="宋体" w:hint="default"/>
                <w:sz w:val="21"/>
                <w:szCs w:val="21"/>
              </w:rPr>
            </w:pPr>
            <w:r>
              <w:rPr>
                <w:rFonts w:ascii="宋体" w:hAnsi="宋体" w:cs="宋体" w:eastAsia="宋体" w:hint="default"/>
                <w:sz w:val="21"/>
                <w:szCs w:val="21"/>
              </w:rPr>
              <w:t>其中：</w:t>
            </w:r>
          </w:p>
          <w:p>
            <w:pPr>
              <w:pStyle w:val="TableParagraph"/>
              <w:spacing w:line="237" w:lineRule="auto"/>
              <w:ind w:left="31" w:right="24"/>
              <w:jc w:val="both"/>
              <w:rPr>
                <w:rFonts w:ascii="宋体" w:hAnsi="宋体" w:cs="宋体" w:eastAsia="宋体" w:hint="default"/>
                <w:sz w:val="21"/>
                <w:szCs w:val="21"/>
              </w:rPr>
            </w:pPr>
            <w:r>
              <w:rPr>
                <w:rFonts w:ascii="宋体" w:hAnsi="宋体" w:cs="宋体" w:eastAsia="宋体" w:hint="default"/>
                <w:sz w:val="21"/>
                <w:szCs w:val="21"/>
              </w:rPr>
              <w:t>本期利</w:t>
            </w:r>
            <w:r>
              <w:rPr>
                <w:rFonts w:ascii="宋体" w:hAnsi="宋体" w:cs="宋体" w:eastAsia="宋体" w:hint="default"/>
                <w:spacing w:val="-102"/>
                <w:sz w:val="21"/>
                <w:szCs w:val="21"/>
              </w:rPr>
              <w:t> </w:t>
            </w:r>
            <w:r>
              <w:rPr>
                <w:rFonts w:ascii="宋体" w:hAnsi="宋体" w:cs="宋体" w:eastAsia="宋体" w:hint="default"/>
                <w:sz w:val="21"/>
                <w:szCs w:val="21"/>
              </w:rPr>
              <w:t>息资本</w:t>
            </w:r>
            <w:r>
              <w:rPr>
                <w:rFonts w:ascii="宋体" w:hAnsi="宋体" w:cs="宋体" w:eastAsia="宋体" w:hint="default"/>
                <w:spacing w:val="-102"/>
                <w:sz w:val="21"/>
                <w:szCs w:val="21"/>
              </w:rPr>
              <w:t> </w:t>
            </w:r>
            <w:r>
              <w:rPr>
                <w:rFonts w:ascii="宋体" w:hAnsi="宋体" w:cs="宋体" w:eastAsia="宋体" w:hint="default"/>
                <w:sz w:val="21"/>
                <w:szCs w:val="21"/>
              </w:rPr>
              <w:t>化金额</w:t>
            </w:r>
          </w:p>
        </w:tc>
        <w:tc>
          <w:tcPr>
            <w:tcW w:w="701" w:type="dxa"/>
            <w:tcBorders>
              <w:top w:val="single" w:sz="8" w:space="0" w:color="41B7EE"/>
              <w:left w:val="single" w:sz="4" w:space="0" w:color="41B7EE"/>
              <w:bottom w:val="single" w:sz="4" w:space="0" w:color="41B7EE"/>
              <w:right w:val="single" w:sz="4" w:space="0" w:color="41B7EE"/>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本期利</w:t>
            </w:r>
          </w:p>
          <w:p>
            <w:pPr>
              <w:pStyle w:val="TableParagraph"/>
              <w:spacing w:line="240" w:lineRule="auto"/>
              <w:ind w:left="31" w:right="24"/>
              <w:jc w:val="center"/>
              <w:rPr>
                <w:rFonts w:ascii="宋体" w:hAnsi="宋体" w:cs="宋体" w:eastAsia="宋体" w:hint="default"/>
                <w:sz w:val="21"/>
                <w:szCs w:val="21"/>
              </w:rPr>
            </w:pPr>
            <w:r>
              <w:rPr>
                <w:rFonts w:ascii="宋体" w:hAnsi="宋体" w:cs="宋体" w:eastAsia="宋体" w:hint="default"/>
                <w:sz w:val="21"/>
                <w:szCs w:val="21"/>
              </w:rPr>
              <w:t>息资本</w:t>
            </w:r>
            <w:r>
              <w:rPr>
                <w:rFonts w:ascii="宋体" w:hAnsi="宋体" w:cs="宋体" w:eastAsia="宋体" w:hint="default"/>
                <w:w w:val="100"/>
                <w:sz w:val="21"/>
                <w:szCs w:val="21"/>
              </w:rPr>
              <w:t> </w:t>
            </w:r>
            <w:r>
              <w:rPr>
                <w:rFonts w:ascii="宋体" w:hAnsi="宋体" w:cs="宋体" w:eastAsia="宋体" w:hint="default"/>
                <w:sz w:val="21"/>
                <w:szCs w:val="21"/>
              </w:rPr>
              <w:t>化率</w:t>
            </w:r>
          </w:p>
          <w:p>
            <w:pPr>
              <w:pStyle w:val="TableParagraph"/>
              <w:spacing w:line="286" w:lineRule="exact"/>
              <w:ind w:left="6" w:right="0"/>
              <w:jc w:val="center"/>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p>
        </w:tc>
        <w:tc>
          <w:tcPr>
            <w:tcW w:w="535"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 w:right="53"/>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r>
      <w:tr>
        <w:trPr>
          <w:trHeight w:val="555" w:hRule="exact"/>
        </w:trPr>
        <w:tc>
          <w:tcPr>
            <w:tcW w:w="1136" w:type="dxa"/>
            <w:tcBorders>
              <w:top w:val="single" w:sz="4" w:space="0" w:color="41B7EE"/>
              <w:left w:val="nil" w:sz="6" w:space="0" w:color="auto"/>
              <w:bottom w:val="single" w:sz="4" w:space="0" w:color="41B7EE"/>
              <w:right w:val="single" w:sz="4" w:space="0" w:color="41B7EE"/>
            </w:tcBorders>
          </w:tcPr>
          <w:p>
            <w:pPr>
              <w:pStyle w:val="TableParagraph"/>
              <w:spacing w:line="239" w:lineRule="exact"/>
              <w:ind w:left="31" w:right="0"/>
              <w:jc w:val="left"/>
              <w:rPr>
                <w:rFonts w:ascii="宋体" w:hAnsi="宋体" w:cs="宋体" w:eastAsia="宋体" w:hint="default"/>
                <w:sz w:val="21"/>
                <w:szCs w:val="21"/>
              </w:rPr>
            </w:pPr>
            <w:r>
              <w:rPr>
                <w:rFonts w:ascii="宋体" w:hAnsi="宋体" w:cs="宋体" w:eastAsia="宋体" w:hint="default"/>
                <w:sz w:val="21"/>
                <w:szCs w:val="21"/>
              </w:rPr>
              <w:t>农田水利</w:t>
            </w:r>
          </w:p>
          <w:p>
            <w:pPr>
              <w:pStyle w:val="TableParagraph"/>
              <w:spacing w:line="273" w:lineRule="exact"/>
              <w:ind w:left="31" w:right="0"/>
              <w:jc w:val="left"/>
              <w:rPr>
                <w:rFonts w:ascii="宋体" w:hAnsi="宋体" w:cs="宋体" w:eastAsia="宋体" w:hint="default"/>
                <w:sz w:val="21"/>
                <w:szCs w:val="21"/>
              </w:rPr>
            </w:pPr>
            <w:r>
              <w:rPr>
                <w:rFonts w:ascii="宋体" w:hAnsi="宋体" w:cs="宋体" w:eastAsia="宋体" w:hint="default"/>
                <w:sz w:val="21"/>
                <w:szCs w:val="21"/>
              </w:rPr>
              <w:t>设施项目</w:t>
            </w:r>
          </w:p>
        </w:tc>
        <w:tc>
          <w:tcPr>
            <w:tcW w:w="162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128"/>
              <w:jc w:val="right"/>
              <w:rPr>
                <w:rFonts w:ascii="Arial" w:hAnsi="Arial" w:cs="Arial" w:eastAsia="Arial" w:hint="default"/>
                <w:sz w:val="21"/>
                <w:szCs w:val="21"/>
              </w:rPr>
            </w:pPr>
            <w:r>
              <w:rPr>
                <w:rFonts w:ascii="Arial"/>
                <w:spacing w:val="-1"/>
                <w:sz w:val="21"/>
              </w:rPr>
              <w:t>39,553,224.45</w:t>
            </w:r>
          </w:p>
        </w:tc>
        <w:tc>
          <w:tcPr>
            <w:tcW w:w="140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20"/>
              <w:jc w:val="right"/>
              <w:rPr>
                <w:rFonts w:ascii="Arial" w:hAnsi="Arial" w:cs="Arial" w:eastAsia="Arial" w:hint="default"/>
                <w:sz w:val="21"/>
                <w:szCs w:val="21"/>
              </w:rPr>
            </w:pPr>
            <w:r>
              <w:rPr>
                <w:rFonts w:ascii="Arial"/>
                <w:spacing w:val="-1"/>
                <w:sz w:val="21"/>
              </w:rPr>
              <w:t>15,785,430.60</w:t>
            </w:r>
          </w:p>
        </w:tc>
        <w:tc>
          <w:tcPr>
            <w:tcW w:w="160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94"/>
              <w:jc w:val="right"/>
              <w:rPr>
                <w:rFonts w:ascii="Arial" w:hAnsi="Arial" w:cs="Arial" w:eastAsia="Arial" w:hint="default"/>
                <w:sz w:val="21"/>
                <w:szCs w:val="21"/>
              </w:rPr>
            </w:pPr>
            <w:r>
              <w:rPr>
                <w:rFonts w:ascii="Arial"/>
                <w:spacing w:val="-1"/>
                <w:sz w:val="21"/>
              </w:rPr>
              <w:t>21,850,031.94</w:t>
            </w:r>
          </w:p>
        </w:tc>
        <w:tc>
          <w:tcPr>
            <w:tcW w:w="159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94"/>
              <w:jc w:val="right"/>
              <w:rPr>
                <w:rFonts w:ascii="Arial" w:hAnsi="Arial" w:cs="Arial" w:eastAsia="Arial" w:hint="default"/>
                <w:sz w:val="21"/>
                <w:szCs w:val="21"/>
              </w:rPr>
            </w:pPr>
            <w:r>
              <w:rPr>
                <w:rFonts w:ascii="Arial"/>
                <w:spacing w:val="-1"/>
                <w:sz w:val="21"/>
              </w:rPr>
              <w:t>15,865,875.74</w:t>
            </w:r>
          </w:p>
        </w:tc>
        <w:tc>
          <w:tcPr>
            <w:tcW w:w="1126" w:type="dxa"/>
            <w:tcBorders>
              <w:top w:val="single" w:sz="4" w:space="0" w:color="41B7EE"/>
              <w:left w:val="single" w:sz="4" w:space="0" w:color="41B7EE"/>
              <w:bottom w:val="single" w:sz="4" w:space="0" w:color="41B7EE"/>
              <w:right w:val="single" w:sz="4" w:space="0" w:color="41B7EE"/>
            </w:tcBorders>
          </w:tcPr>
          <w:p>
            <w:pPr/>
          </w:p>
        </w:tc>
        <w:tc>
          <w:tcPr>
            <w:tcW w:w="140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22"/>
              <w:jc w:val="right"/>
              <w:rPr>
                <w:rFonts w:ascii="Arial" w:hAnsi="Arial" w:cs="Arial" w:eastAsia="Arial" w:hint="default"/>
                <w:sz w:val="21"/>
                <w:szCs w:val="21"/>
              </w:rPr>
            </w:pPr>
            <w:r>
              <w:rPr>
                <w:rFonts w:ascii="Arial"/>
                <w:spacing w:val="-1"/>
                <w:sz w:val="21"/>
              </w:rPr>
              <w:t>21,769,586.80</w:t>
            </w:r>
          </w:p>
        </w:tc>
        <w:tc>
          <w:tcPr>
            <w:tcW w:w="84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left="283" w:right="0"/>
              <w:jc w:val="left"/>
              <w:rPr>
                <w:rFonts w:ascii="Arial" w:hAnsi="Arial" w:cs="Arial" w:eastAsia="Arial" w:hint="default"/>
                <w:sz w:val="21"/>
                <w:szCs w:val="21"/>
              </w:rPr>
            </w:pPr>
            <w:r>
              <w:rPr>
                <w:rFonts w:ascii="Arial"/>
                <w:sz w:val="21"/>
              </w:rPr>
              <w:t>95.15</w:t>
            </w:r>
          </w:p>
        </w:tc>
        <w:tc>
          <w:tcPr>
            <w:tcW w:w="5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55"/>
                <w:sz w:val="21"/>
                <w:szCs w:val="21"/>
              </w:rPr>
              <w:t> </w:t>
            </w:r>
            <w:r>
              <w:rPr>
                <w:rFonts w:ascii="宋体" w:hAnsi="宋体" w:cs="宋体" w:eastAsia="宋体" w:hint="default"/>
                <w:sz w:val="21"/>
                <w:szCs w:val="21"/>
              </w:rPr>
              <w:t>建</w:t>
            </w:r>
          </w:p>
        </w:tc>
        <w:tc>
          <w:tcPr>
            <w:tcW w:w="698" w:type="dxa"/>
            <w:tcBorders>
              <w:top w:val="single" w:sz="4" w:space="0" w:color="41B7EE"/>
              <w:left w:val="single" w:sz="4" w:space="0" w:color="41B7EE"/>
              <w:bottom w:val="single" w:sz="4" w:space="0" w:color="41B7EE"/>
              <w:right w:val="single" w:sz="4" w:space="0" w:color="41B7EE"/>
            </w:tcBorders>
          </w:tcPr>
          <w:p>
            <w:pPr/>
          </w:p>
        </w:tc>
        <w:tc>
          <w:tcPr>
            <w:tcW w:w="701" w:type="dxa"/>
            <w:tcBorders>
              <w:top w:val="single" w:sz="4" w:space="0" w:color="41B7EE"/>
              <w:left w:val="single" w:sz="4" w:space="0" w:color="41B7EE"/>
              <w:bottom w:val="single" w:sz="4" w:space="0" w:color="41B7EE"/>
              <w:right w:val="single" w:sz="4" w:space="0" w:color="41B7EE"/>
            </w:tcBorders>
          </w:tcPr>
          <w:p>
            <w:pPr/>
          </w:p>
        </w:tc>
        <w:tc>
          <w:tcPr>
            <w:tcW w:w="701" w:type="dxa"/>
            <w:tcBorders>
              <w:top w:val="single" w:sz="4" w:space="0" w:color="41B7EE"/>
              <w:left w:val="single" w:sz="4" w:space="0" w:color="41B7EE"/>
              <w:bottom w:val="single" w:sz="4" w:space="0" w:color="41B7EE"/>
              <w:right w:val="single" w:sz="4" w:space="0" w:color="41B7EE"/>
            </w:tcBorders>
          </w:tcPr>
          <w:p>
            <w:pPr/>
          </w:p>
        </w:tc>
        <w:tc>
          <w:tcPr>
            <w:tcW w:w="535" w:type="dxa"/>
            <w:tcBorders>
              <w:top w:val="single" w:sz="4" w:space="0" w:color="41B7EE"/>
              <w:left w:val="single" w:sz="4" w:space="0" w:color="41B7EE"/>
              <w:bottom w:val="single" w:sz="4" w:space="0" w:color="41B7EE"/>
              <w:right w:val="nil" w:sz="6" w:space="0" w:color="auto"/>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资金</w:t>
            </w:r>
          </w:p>
        </w:tc>
      </w:tr>
      <w:tr>
        <w:trPr>
          <w:trHeight w:val="554" w:hRule="exact"/>
        </w:trPr>
        <w:tc>
          <w:tcPr>
            <w:tcW w:w="1136" w:type="dxa"/>
            <w:tcBorders>
              <w:top w:val="single" w:sz="4" w:space="0" w:color="41B7EE"/>
              <w:left w:val="nil" w:sz="6" w:space="0" w:color="auto"/>
              <w:bottom w:val="single" w:sz="4" w:space="0" w:color="41B7EE"/>
              <w:right w:val="single" w:sz="4" w:space="0" w:color="41B7EE"/>
            </w:tcBorders>
          </w:tcPr>
          <w:p>
            <w:pPr>
              <w:pStyle w:val="TableParagraph"/>
              <w:spacing w:line="239" w:lineRule="exact"/>
              <w:ind w:left="31" w:right="0"/>
              <w:jc w:val="left"/>
              <w:rPr>
                <w:rFonts w:ascii="宋体" w:hAnsi="宋体" w:cs="宋体" w:eastAsia="宋体" w:hint="default"/>
                <w:sz w:val="21"/>
                <w:szCs w:val="21"/>
              </w:rPr>
            </w:pPr>
            <w:r>
              <w:rPr>
                <w:rFonts w:ascii="宋体" w:hAnsi="宋体" w:cs="宋体" w:eastAsia="宋体" w:hint="default"/>
                <w:sz w:val="21"/>
                <w:szCs w:val="21"/>
              </w:rPr>
              <w:t>粮食管护</w:t>
            </w:r>
          </w:p>
          <w:p>
            <w:pPr>
              <w:pStyle w:val="TableParagraph"/>
              <w:spacing w:line="273" w:lineRule="exact"/>
              <w:ind w:left="31" w:right="0"/>
              <w:jc w:val="left"/>
              <w:rPr>
                <w:rFonts w:ascii="宋体" w:hAnsi="宋体" w:cs="宋体" w:eastAsia="宋体" w:hint="default"/>
                <w:sz w:val="21"/>
                <w:szCs w:val="21"/>
              </w:rPr>
            </w:pPr>
            <w:r>
              <w:rPr>
                <w:rFonts w:ascii="宋体" w:hAnsi="宋体" w:cs="宋体" w:eastAsia="宋体" w:hint="default"/>
                <w:sz w:val="21"/>
                <w:szCs w:val="21"/>
              </w:rPr>
              <w:t>设施项目</w:t>
            </w:r>
          </w:p>
        </w:tc>
        <w:tc>
          <w:tcPr>
            <w:tcW w:w="162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127"/>
              <w:jc w:val="right"/>
              <w:rPr>
                <w:rFonts w:ascii="Arial" w:hAnsi="Arial" w:cs="Arial" w:eastAsia="Arial" w:hint="default"/>
                <w:sz w:val="21"/>
                <w:szCs w:val="21"/>
              </w:rPr>
            </w:pPr>
            <w:r>
              <w:rPr>
                <w:rFonts w:ascii="Arial"/>
                <w:spacing w:val="-1"/>
                <w:sz w:val="21"/>
              </w:rPr>
              <w:t>155,840,882.99</w:t>
            </w:r>
          </w:p>
        </w:tc>
        <w:tc>
          <w:tcPr>
            <w:tcW w:w="140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20"/>
              <w:jc w:val="right"/>
              <w:rPr>
                <w:rFonts w:ascii="Arial" w:hAnsi="Arial" w:cs="Arial" w:eastAsia="Arial" w:hint="default"/>
                <w:sz w:val="21"/>
                <w:szCs w:val="21"/>
              </w:rPr>
            </w:pPr>
            <w:r>
              <w:rPr>
                <w:rFonts w:ascii="Arial"/>
                <w:spacing w:val="-1"/>
                <w:sz w:val="21"/>
              </w:rPr>
              <w:t>6,231,865.60</w:t>
            </w:r>
          </w:p>
        </w:tc>
        <w:tc>
          <w:tcPr>
            <w:tcW w:w="160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94"/>
              <w:jc w:val="right"/>
              <w:rPr>
                <w:rFonts w:ascii="Arial" w:hAnsi="Arial" w:cs="Arial" w:eastAsia="Arial" w:hint="default"/>
                <w:sz w:val="21"/>
                <w:szCs w:val="21"/>
              </w:rPr>
            </w:pPr>
            <w:r>
              <w:rPr>
                <w:rFonts w:ascii="Arial"/>
                <w:spacing w:val="-1"/>
                <w:sz w:val="21"/>
              </w:rPr>
              <w:t>97,928,190.53</w:t>
            </w:r>
          </w:p>
        </w:tc>
        <w:tc>
          <w:tcPr>
            <w:tcW w:w="159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94"/>
              <w:jc w:val="right"/>
              <w:rPr>
                <w:rFonts w:ascii="Arial" w:hAnsi="Arial" w:cs="Arial" w:eastAsia="Arial" w:hint="default"/>
                <w:sz w:val="21"/>
                <w:szCs w:val="21"/>
              </w:rPr>
            </w:pPr>
            <w:r>
              <w:rPr>
                <w:rFonts w:ascii="Arial"/>
                <w:spacing w:val="-1"/>
                <w:sz w:val="21"/>
              </w:rPr>
              <w:t>100,808,438.67</w:t>
            </w:r>
          </w:p>
        </w:tc>
        <w:tc>
          <w:tcPr>
            <w:tcW w:w="1126" w:type="dxa"/>
            <w:tcBorders>
              <w:top w:val="single" w:sz="4" w:space="0" w:color="41B7EE"/>
              <w:left w:val="single" w:sz="4" w:space="0" w:color="41B7EE"/>
              <w:bottom w:val="single" w:sz="4" w:space="0" w:color="41B7EE"/>
              <w:right w:val="single" w:sz="4" w:space="0" w:color="41B7EE"/>
            </w:tcBorders>
          </w:tcPr>
          <w:p>
            <w:pPr/>
          </w:p>
        </w:tc>
        <w:tc>
          <w:tcPr>
            <w:tcW w:w="140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22"/>
              <w:jc w:val="right"/>
              <w:rPr>
                <w:rFonts w:ascii="Arial" w:hAnsi="Arial" w:cs="Arial" w:eastAsia="Arial" w:hint="default"/>
                <w:sz w:val="21"/>
                <w:szCs w:val="21"/>
              </w:rPr>
            </w:pPr>
            <w:r>
              <w:rPr>
                <w:rFonts w:ascii="Arial"/>
                <w:spacing w:val="-1"/>
                <w:sz w:val="21"/>
              </w:rPr>
              <w:t>3,351,617.46</w:t>
            </w:r>
          </w:p>
        </w:tc>
        <w:tc>
          <w:tcPr>
            <w:tcW w:w="84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left="283" w:right="0"/>
              <w:jc w:val="left"/>
              <w:rPr>
                <w:rFonts w:ascii="Arial" w:hAnsi="Arial" w:cs="Arial" w:eastAsia="Arial" w:hint="default"/>
                <w:sz w:val="21"/>
                <w:szCs w:val="21"/>
              </w:rPr>
            </w:pPr>
            <w:r>
              <w:rPr>
                <w:rFonts w:ascii="Arial"/>
                <w:sz w:val="21"/>
              </w:rPr>
              <w:t>66.84</w:t>
            </w:r>
          </w:p>
        </w:tc>
        <w:tc>
          <w:tcPr>
            <w:tcW w:w="5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55"/>
                <w:sz w:val="21"/>
                <w:szCs w:val="21"/>
              </w:rPr>
              <w:t> </w:t>
            </w:r>
            <w:r>
              <w:rPr>
                <w:rFonts w:ascii="宋体" w:hAnsi="宋体" w:cs="宋体" w:eastAsia="宋体" w:hint="default"/>
                <w:sz w:val="21"/>
                <w:szCs w:val="21"/>
              </w:rPr>
              <w:t>建</w:t>
            </w:r>
          </w:p>
        </w:tc>
        <w:tc>
          <w:tcPr>
            <w:tcW w:w="698" w:type="dxa"/>
            <w:tcBorders>
              <w:top w:val="single" w:sz="4" w:space="0" w:color="41B7EE"/>
              <w:left w:val="single" w:sz="4" w:space="0" w:color="41B7EE"/>
              <w:bottom w:val="single" w:sz="4" w:space="0" w:color="41B7EE"/>
              <w:right w:val="single" w:sz="4" w:space="0" w:color="41B7EE"/>
            </w:tcBorders>
          </w:tcPr>
          <w:p>
            <w:pPr/>
          </w:p>
        </w:tc>
        <w:tc>
          <w:tcPr>
            <w:tcW w:w="701" w:type="dxa"/>
            <w:tcBorders>
              <w:top w:val="single" w:sz="4" w:space="0" w:color="41B7EE"/>
              <w:left w:val="single" w:sz="4" w:space="0" w:color="41B7EE"/>
              <w:bottom w:val="single" w:sz="4" w:space="0" w:color="41B7EE"/>
              <w:right w:val="single" w:sz="4" w:space="0" w:color="41B7EE"/>
            </w:tcBorders>
          </w:tcPr>
          <w:p>
            <w:pPr/>
          </w:p>
        </w:tc>
        <w:tc>
          <w:tcPr>
            <w:tcW w:w="701" w:type="dxa"/>
            <w:tcBorders>
              <w:top w:val="single" w:sz="4" w:space="0" w:color="41B7EE"/>
              <w:left w:val="single" w:sz="4" w:space="0" w:color="41B7EE"/>
              <w:bottom w:val="single" w:sz="4" w:space="0" w:color="41B7EE"/>
              <w:right w:val="single" w:sz="4" w:space="0" w:color="41B7EE"/>
            </w:tcBorders>
          </w:tcPr>
          <w:p>
            <w:pPr/>
          </w:p>
        </w:tc>
        <w:tc>
          <w:tcPr>
            <w:tcW w:w="535" w:type="dxa"/>
            <w:tcBorders>
              <w:top w:val="single" w:sz="4" w:space="0" w:color="41B7EE"/>
              <w:left w:val="single" w:sz="4" w:space="0" w:color="41B7EE"/>
              <w:bottom w:val="single" w:sz="4" w:space="0" w:color="41B7EE"/>
              <w:right w:val="nil" w:sz="6" w:space="0" w:color="auto"/>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资金</w:t>
            </w:r>
          </w:p>
        </w:tc>
      </w:tr>
      <w:tr>
        <w:trPr>
          <w:trHeight w:val="554" w:hRule="exact"/>
        </w:trPr>
        <w:tc>
          <w:tcPr>
            <w:tcW w:w="1136" w:type="dxa"/>
            <w:tcBorders>
              <w:top w:val="single" w:sz="4" w:space="0" w:color="41B7EE"/>
              <w:left w:val="nil" w:sz="6" w:space="0" w:color="auto"/>
              <w:bottom w:val="single" w:sz="4" w:space="0" w:color="41B7EE"/>
              <w:right w:val="single" w:sz="4" w:space="0" w:color="41B7EE"/>
            </w:tcBorders>
          </w:tcPr>
          <w:p>
            <w:pPr>
              <w:pStyle w:val="TableParagraph"/>
              <w:spacing w:line="240" w:lineRule="exact"/>
              <w:ind w:left="31" w:right="0"/>
              <w:jc w:val="left"/>
              <w:rPr>
                <w:rFonts w:ascii="宋体" w:hAnsi="宋体" w:cs="宋体" w:eastAsia="宋体" w:hint="default"/>
                <w:sz w:val="21"/>
                <w:szCs w:val="21"/>
              </w:rPr>
            </w:pPr>
            <w:r>
              <w:rPr>
                <w:rFonts w:ascii="宋体" w:hAnsi="宋体" w:cs="宋体" w:eastAsia="宋体" w:hint="default"/>
                <w:sz w:val="21"/>
                <w:szCs w:val="21"/>
              </w:rPr>
              <w:t>农机管护</w:t>
            </w:r>
          </w:p>
          <w:p>
            <w:pPr>
              <w:pStyle w:val="TableParagraph"/>
              <w:spacing w:line="274" w:lineRule="exact"/>
              <w:ind w:left="31" w:right="0"/>
              <w:jc w:val="left"/>
              <w:rPr>
                <w:rFonts w:ascii="宋体" w:hAnsi="宋体" w:cs="宋体" w:eastAsia="宋体" w:hint="default"/>
                <w:sz w:val="21"/>
                <w:szCs w:val="21"/>
              </w:rPr>
            </w:pPr>
            <w:r>
              <w:rPr>
                <w:rFonts w:ascii="宋体" w:hAnsi="宋体" w:cs="宋体" w:eastAsia="宋体" w:hint="default"/>
                <w:sz w:val="21"/>
                <w:szCs w:val="21"/>
              </w:rPr>
              <w:t>设施项目</w:t>
            </w:r>
          </w:p>
        </w:tc>
        <w:tc>
          <w:tcPr>
            <w:tcW w:w="162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128"/>
              <w:jc w:val="right"/>
              <w:rPr>
                <w:rFonts w:ascii="Arial" w:hAnsi="Arial" w:cs="Arial" w:eastAsia="Arial" w:hint="default"/>
                <w:sz w:val="21"/>
                <w:szCs w:val="21"/>
              </w:rPr>
            </w:pPr>
            <w:r>
              <w:rPr>
                <w:rFonts w:ascii="Arial"/>
                <w:spacing w:val="-1"/>
                <w:sz w:val="21"/>
              </w:rPr>
              <w:t>31,864,250.00</w:t>
            </w:r>
          </w:p>
        </w:tc>
        <w:tc>
          <w:tcPr>
            <w:tcW w:w="140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20"/>
              <w:jc w:val="right"/>
              <w:rPr>
                <w:rFonts w:ascii="Arial" w:hAnsi="Arial" w:cs="Arial" w:eastAsia="Arial" w:hint="default"/>
                <w:sz w:val="21"/>
                <w:szCs w:val="21"/>
              </w:rPr>
            </w:pPr>
            <w:r>
              <w:rPr>
                <w:rFonts w:ascii="Arial"/>
                <w:spacing w:val="-1"/>
                <w:sz w:val="21"/>
              </w:rPr>
              <w:t>566,780.83</w:t>
            </w:r>
          </w:p>
        </w:tc>
        <w:tc>
          <w:tcPr>
            <w:tcW w:w="160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94"/>
              <w:jc w:val="right"/>
              <w:rPr>
                <w:rFonts w:ascii="Arial" w:hAnsi="Arial" w:cs="Arial" w:eastAsia="Arial" w:hint="default"/>
                <w:sz w:val="21"/>
                <w:szCs w:val="21"/>
              </w:rPr>
            </w:pPr>
            <w:r>
              <w:rPr>
                <w:rFonts w:ascii="Arial"/>
                <w:spacing w:val="-1"/>
                <w:sz w:val="21"/>
              </w:rPr>
              <w:t>27,527,500.81</w:t>
            </w:r>
          </w:p>
        </w:tc>
        <w:tc>
          <w:tcPr>
            <w:tcW w:w="159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94"/>
              <w:jc w:val="right"/>
              <w:rPr>
                <w:rFonts w:ascii="Arial" w:hAnsi="Arial" w:cs="Arial" w:eastAsia="Arial" w:hint="default"/>
                <w:sz w:val="21"/>
                <w:szCs w:val="21"/>
              </w:rPr>
            </w:pPr>
            <w:r>
              <w:rPr>
                <w:rFonts w:ascii="Arial"/>
                <w:spacing w:val="-1"/>
                <w:sz w:val="21"/>
              </w:rPr>
              <w:t>27,217,209.96</w:t>
            </w:r>
          </w:p>
        </w:tc>
        <w:tc>
          <w:tcPr>
            <w:tcW w:w="1126" w:type="dxa"/>
            <w:tcBorders>
              <w:top w:val="single" w:sz="4" w:space="0" w:color="41B7EE"/>
              <w:left w:val="single" w:sz="4" w:space="0" w:color="41B7EE"/>
              <w:bottom w:val="single" w:sz="4" w:space="0" w:color="41B7EE"/>
              <w:right w:val="single" w:sz="4" w:space="0" w:color="41B7EE"/>
            </w:tcBorders>
          </w:tcPr>
          <w:p>
            <w:pPr/>
          </w:p>
        </w:tc>
        <w:tc>
          <w:tcPr>
            <w:tcW w:w="140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22"/>
              <w:jc w:val="right"/>
              <w:rPr>
                <w:rFonts w:ascii="Arial" w:hAnsi="Arial" w:cs="Arial" w:eastAsia="Arial" w:hint="default"/>
                <w:sz w:val="21"/>
                <w:szCs w:val="21"/>
              </w:rPr>
            </w:pPr>
            <w:r>
              <w:rPr>
                <w:rFonts w:ascii="Arial"/>
                <w:spacing w:val="-1"/>
                <w:sz w:val="21"/>
              </w:rPr>
              <w:t>877,071.68</w:t>
            </w:r>
          </w:p>
        </w:tc>
        <w:tc>
          <w:tcPr>
            <w:tcW w:w="84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left="283" w:right="0"/>
              <w:jc w:val="left"/>
              <w:rPr>
                <w:rFonts w:ascii="Arial" w:hAnsi="Arial" w:cs="Arial" w:eastAsia="Arial" w:hint="default"/>
                <w:sz w:val="21"/>
                <w:szCs w:val="21"/>
              </w:rPr>
            </w:pPr>
            <w:r>
              <w:rPr>
                <w:rFonts w:ascii="Arial"/>
                <w:sz w:val="21"/>
              </w:rPr>
              <w:t>88.17</w:t>
            </w:r>
          </w:p>
        </w:tc>
        <w:tc>
          <w:tcPr>
            <w:tcW w:w="5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55"/>
                <w:sz w:val="21"/>
                <w:szCs w:val="21"/>
              </w:rPr>
              <w:t> </w:t>
            </w:r>
            <w:r>
              <w:rPr>
                <w:rFonts w:ascii="宋体" w:hAnsi="宋体" w:cs="宋体" w:eastAsia="宋体" w:hint="default"/>
                <w:sz w:val="21"/>
                <w:szCs w:val="21"/>
              </w:rPr>
              <w:t>建</w:t>
            </w:r>
          </w:p>
        </w:tc>
        <w:tc>
          <w:tcPr>
            <w:tcW w:w="698" w:type="dxa"/>
            <w:tcBorders>
              <w:top w:val="single" w:sz="4" w:space="0" w:color="41B7EE"/>
              <w:left w:val="single" w:sz="4" w:space="0" w:color="41B7EE"/>
              <w:bottom w:val="single" w:sz="4" w:space="0" w:color="41B7EE"/>
              <w:right w:val="single" w:sz="4" w:space="0" w:color="41B7EE"/>
            </w:tcBorders>
          </w:tcPr>
          <w:p>
            <w:pPr/>
          </w:p>
        </w:tc>
        <w:tc>
          <w:tcPr>
            <w:tcW w:w="701" w:type="dxa"/>
            <w:tcBorders>
              <w:top w:val="single" w:sz="4" w:space="0" w:color="41B7EE"/>
              <w:left w:val="single" w:sz="4" w:space="0" w:color="41B7EE"/>
              <w:bottom w:val="single" w:sz="4" w:space="0" w:color="41B7EE"/>
              <w:right w:val="single" w:sz="4" w:space="0" w:color="41B7EE"/>
            </w:tcBorders>
          </w:tcPr>
          <w:p>
            <w:pPr/>
          </w:p>
        </w:tc>
        <w:tc>
          <w:tcPr>
            <w:tcW w:w="701" w:type="dxa"/>
            <w:tcBorders>
              <w:top w:val="single" w:sz="4" w:space="0" w:color="41B7EE"/>
              <w:left w:val="single" w:sz="4" w:space="0" w:color="41B7EE"/>
              <w:bottom w:val="single" w:sz="4" w:space="0" w:color="41B7EE"/>
              <w:right w:val="single" w:sz="4" w:space="0" w:color="41B7EE"/>
            </w:tcBorders>
          </w:tcPr>
          <w:p>
            <w:pPr/>
          </w:p>
        </w:tc>
        <w:tc>
          <w:tcPr>
            <w:tcW w:w="535" w:type="dxa"/>
            <w:tcBorders>
              <w:top w:val="single" w:sz="4" w:space="0" w:color="41B7EE"/>
              <w:left w:val="single" w:sz="4" w:space="0" w:color="41B7EE"/>
              <w:bottom w:val="single" w:sz="4" w:space="0" w:color="41B7EE"/>
              <w:right w:val="nil" w:sz="6" w:space="0" w:color="auto"/>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资金</w:t>
            </w:r>
          </w:p>
        </w:tc>
      </w:tr>
      <w:tr>
        <w:trPr>
          <w:trHeight w:val="554" w:hRule="exact"/>
        </w:trPr>
        <w:tc>
          <w:tcPr>
            <w:tcW w:w="1136" w:type="dxa"/>
            <w:tcBorders>
              <w:top w:val="single" w:sz="4" w:space="0" w:color="41B7EE"/>
              <w:left w:val="nil" w:sz="6" w:space="0" w:color="auto"/>
              <w:bottom w:val="single" w:sz="4" w:space="0" w:color="41B7EE"/>
              <w:right w:val="single" w:sz="4" w:space="0" w:color="41B7EE"/>
            </w:tcBorders>
          </w:tcPr>
          <w:p>
            <w:pPr>
              <w:pStyle w:val="TableParagraph"/>
              <w:spacing w:line="240" w:lineRule="exact"/>
              <w:ind w:left="31" w:right="0"/>
              <w:jc w:val="left"/>
              <w:rPr>
                <w:rFonts w:ascii="宋体" w:hAnsi="宋体" w:cs="宋体" w:eastAsia="宋体" w:hint="default"/>
                <w:sz w:val="21"/>
                <w:szCs w:val="21"/>
              </w:rPr>
            </w:pPr>
            <w:r>
              <w:rPr>
                <w:rFonts w:ascii="宋体" w:hAnsi="宋体" w:cs="宋体" w:eastAsia="宋体" w:hint="default"/>
                <w:sz w:val="21"/>
                <w:szCs w:val="21"/>
              </w:rPr>
              <w:t>生产服务</w:t>
            </w:r>
          </w:p>
          <w:p>
            <w:pPr>
              <w:pStyle w:val="TableParagraph"/>
              <w:spacing w:line="274" w:lineRule="exact"/>
              <w:ind w:left="31" w:right="0"/>
              <w:jc w:val="left"/>
              <w:rPr>
                <w:rFonts w:ascii="宋体" w:hAnsi="宋体" w:cs="宋体" w:eastAsia="宋体" w:hint="default"/>
                <w:sz w:val="21"/>
                <w:szCs w:val="21"/>
              </w:rPr>
            </w:pPr>
            <w:r>
              <w:rPr>
                <w:rFonts w:ascii="宋体" w:hAnsi="宋体" w:cs="宋体" w:eastAsia="宋体" w:hint="default"/>
                <w:sz w:val="21"/>
                <w:szCs w:val="21"/>
              </w:rPr>
              <w:t>设施项目</w:t>
            </w:r>
          </w:p>
        </w:tc>
        <w:tc>
          <w:tcPr>
            <w:tcW w:w="162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128"/>
              <w:jc w:val="right"/>
              <w:rPr>
                <w:rFonts w:ascii="Arial" w:hAnsi="Arial" w:cs="Arial" w:eastAsia="Arial" w:hint="default"/>
                <w:sz w:val="21"/>
                <w:szCs w:val="21"/>
              </w:rPr>
            </w:pPr>
            <w:r>
              <w:rPr>
                <w:rFonts w:ascii="Arial"/>
                <w:spacing w:val="-1"/>
                <w:sz w:val="21"/>
              </w:rPr>
              <w:t>47,418,392.55</w:t>
            </w:r>
          </w:p>
        </w:tc>
        <w:tc>
          <w:tcPr>
            <w:tcW w:w="140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20"/>
              <w:jc w:val="right"/>
              <w:rPr>
                <w:rFonts w:ascii="Arial" w:hAnsi="Arial" w:cs="Arial" w:eastAsia="Arial" w:hint="default"/>
                <w:sz w:val="21"/>
                <w:szCs w:val="21"/>
              </w:rPr>
            </w:pPr>
            <w:r>
              <w:rPr>
                <w:rFonts w:ascii="Arial"/>
                <w:spacing w:val="-1"/>
                <w:sz w:val="21"/>
              </w:rPr>
              <w:t>979,528.16</w:t>
            </w:r>
          </w:p>
        </w:tc>
        <w:tc>
          <w:tcPr>
            <w:tcW w:w="160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94"/>
              <w:jc w:val="right"/>
              <w:rPr>
                <w:rFonts w:ascii="Arial" w:hAnsi="Arial" w:cs="Arial" w:eastAsia="Arial" w:hint="default"/>
                <w:sz w:val="21"/>
                <w:szCs w:val="21"/>
              </w:rPr>
            </w:pPr>
            <w:r>
              <w:rPr>
                <w:rFonts w:ascii="Arial"/>
                <w:spacing w:val="-1"/>
                <w:sz w:val="21"/>
              </w:rPr>
              <w:t>42,224,757.93</w:t>
            </w:r>
          </w:p>
        </w:tc>
        <w:tc>
          <w:tcPr>
            <w:tcW w:w="159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94"/>
              <w:jc w:val="right"/>
              <w:rPr>
                <w:rFonts w:ascii="Arial" w:hAnsi="Arial" w:cs="Arial" w:eastAsia="Arial" w:hint="default"/>
                <w:sz w:val="21"/>
                <w:szCs w:val="21"/>
              </w:rPr>
            </w:pPr>
            <w:r>
              <w:rPr>
                <w:rFonts w:ascii="Arial"/>
                <w:spacing w:val="-1"/>
                <w:sz w:val="21"/>
              </w:rPr>
              <w:t>26,155,402.28</w:t>
            </w:r>
          </w:p>
        </w:tc>
        <w:tc>
          <w:tcPr>
            <w:tcW w:w="1126" w:type="dxa"/>
            <w:tcBorders>
              <w:top w:val="single" w:sz="4" w:space="0" w:color="41B7EE"/>
              <w:left w:val="single" w:sz="4" w:space="0" w:color="41B7EE"/>
              <w:bottom w:val="single" w:sz="4" w:space="0" w:color="41B7EE"/>
              <w:right w:val="single" w:sz="4" w:space="0" w:color="41B7EE"/>
            </w:tcBorders>
          </w:tcPr>
          <w:p>
            <w:pPr/>
          </w:p>
        </w:tc>
        <w:tc>
          <w:tcPr>
            <w:tcW w:w="140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22"/>
              <w:jc w:val="right"/>
              <w:rPr>
                <w:rFonts w:ascii="Arial" w:hAnsi="Arial" w:cs="Arial" w:eastAsia="Arial" w:hint="default"/>
                <w:sz w:val="21"/>
                <w:szCs w:val="21"/>
              </w:rPr>
            </w:pPr>
            <w:r>
              <w:rPr>
                <w:rFonts w:ascii="Arial"/>
                <w:spacing w:val="-1"/>
                <w:sz w:val="21"/>
              </w:rPr>
              <w:t>17,048,883.81</w:t>
            </w:r>
          </w:p>
        </w:tc>
        <w:tc>
          <w:tcPr>
            <w:tcW w:w="84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left="283" w:right="0"/>
              <w:jc w:val="left"/>
              <w:rPr>
                <w:rFonts w:ascii="Arial" w:hAnsi="Arial" w:cs="Arial" w:eastAsia="Arial" w:hint="default"/>
                <w:sz w:val="21"/>
                <w:szCs w:val="21"/>
              </w:rPr>
            </w:pPr>
            <w:r>
              <w:rPr>
                <w:rFonts w:ascii="Arial"/>
                <w:sz w:val="21"/>
              </w:rPr>
              <w:t>91.11</w:t>
            </w:r>
          </w:p>
        </w:tc>
        <w:tc>
          <w:tcPr>
            <w:tcW w:w="5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55"/>
                <w:sz w:val="21"/>
                <w:szCs w:val="21"/>
              </w:rPr>
              <w:t> </w:t>
            </w:r>
            <w:r>
              <w:rPr>
                <w:rFonts w:ascii="宋体" w:hAnsi="宋体" w:cs="宋体" w:eastAsia="宋体" w:hint="default"/>
                <w:sz w:val="21"/>
                <w:szCs w:val="21"/>
              </w:rPr>
              <w:t>建</w:t>
            </w:r>
          </w:p>
        </w:tc>
        <w:tc>
          <w:tcPr>
            <w:tcW w:w="698" w:type="dxa"/>
            <w:tcBorders>
              <w:top w:val="single" w:sz="4" w:space="0" w:color="41B7EE"/>
              <w:left w:val="single" w:sz="4" w:space="0" w:color="41B7EE"/>
              <w:bottom w:val="single" w:sz="4" w:space="0" w:color="41B7EE"/>
              <w:right w:val="single" w:sz="4" w:space="0" w:color="41B7EE"/>
            </w:tcBorders>
          </w:tcPr>
          <w:p>
            <w:pPr/>
          </w:p>
        </w:tc>
        <w:tc>
          <w:tcPr>
            <w:tcW w:w="701" w:type="dxa"/>
            <w:tcBorders>
              <w:top w:val="single" w:sz="4" w:space="0" w:color="41B7EE"/>
              <w:left w:val="single" w:sz="4" w:space="0" w:color="41B7EE"/>
              <w:bottom w:val="single" w:sz="4" w:space="0" w:color="41B7EE"/>
              <w:right w:val="single" w:sz="4" w:space="0" w:color="41B7EE"/>
            </w:tcBorders>
          </w:tcPr>
          <w:p>
            <w:pPr/>
          </w:p>
        </w:tc>
        <w:tc>
          <w:tcPr>
            <w:tcW w:w="701" w:type="dxa"/>
            <w:tcBorders>
              <w:top w:val="single" w:sz="4" w:space="0" w:color="41B7EE"/>
              <w:left w:val="single" w:sz="4" w:space="0" w:color="41B7EE"/>
              <w:bottom w:val="single" w:sz="4" w:space="0" w:color="41B7EE"/>
              <w:right w:val="single" w:sz="4" w:space="0" w:color="41B7EE"/>
            </w:tcBorders>
          </w:tcPr>
          <w:p>
            <w:pPr/>
          </w:p>
        </w:tc>
        <w:tc>
          <w:tcPr>
            <w:tcW w:w="535" w:type="dxa"/>
            <w:tcBorders>
              <w:top w:val="single" w:sz="4" w:space="0" w:color="41B7EE"/>
              <w:left w:val="single" w:sz="4" w:space="0" w:color="41B7EE"/>
              <w:bottom w:val="single" w:sz="4" w:space="0" w:color="41B7EE"/>
              <w:right w:val="nil" w:sz="6" w:space="0" w:color="auto"/>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资金</w:t>
            </w:r>
          </w:p>
        </w:tc>
      </w:tr>
      <w:tr>
        <w:trPr>
          <w:trHeight w:val="554" w:hRule="exact"/>
        </w:trPr>
        <w:tc>
          <w:tcPr>
            <w:tcW w:w="113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02"/>
              <w:ind w:left="31" w:right="0"/>
              <w:jc w:val="left"/>
              <w:rPr>
                <w:rFonts w:ascii="宋体" w:hAnsi="宋体" w:cs="宋体" w:eastAsia="宋体" w:hint="default"/>
                <w:sz w:val="21"/>
                <w:szCs w:val="21"/>
              </w:rPr>
            </w:pPr>
            <w:r>
              <w:rPr>
                <w:rFonts w:ascii="宋体" w:hAnsi="宋体" w:cs="宋体" w:eastAsia="宋体" w:hint="default"/>
                <w:sz w:val="21"/>
                <w:szCs w:val="21"/>
              </w:rPr>
              <w:t>其他项目</w:t>
            </w:r>
          </w:p>
        </w:tc>
        <w:tc>
          <w:tcPr>
            <w:tcW w:w="162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128"/>
              <w:jc w:val="right"/>
              <w:rPr>
                <w:rFonts w:ascii="Arial" w:hAnsi="Arial" w:cs="Arial" w:eastAsia="Arial" w:hint="default"/>
                <w:sz w:val="21"/>
                <w:szCs w:val="21"/>
              </w:rPr>
            </w:pPr>
            <w:r>
              <w:rPr>
                <w:rFonts w:ascii="Arial"/>
                <w:spacing w:val="-1"/>
                <w:sz w:val="21"/>
              </w:rPr>
              <w:t>17,488,126.97</w:t>
            </w:r>
          </w:p>
        </w:tc>
        <w:tc>
          <w:tcPr>
            <w:tcW w:w="140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20"/>
              <w:jc w:val="right"/>
              <w:rPr>
                <w:rFonts w:ascii="Arial" w:hAnsi="Arial" w:cs="Arial" w:eastAsia="Arial" w:hint="default"/>
                <w:sz w:val="21"/>
                <w:szCs w:val="21"/>
              </w:rPr>
            </w:pPr>
            <w:r>
              <w:rPr>
                <w:rFonts w:ascii="Arial"/>
                <w:spacing w:val="-1"/>
                <w:sz w:val="21"/>
              </w:rPr>
              <w:t>532,659.40</w:t>
            </w:r>
          </w:p>
        </w:tc>
        <w:tc>
          <w:tcPr>
            <w:tcW w:w="160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94"/>
              <w:jc w:val="right"/>
              <w:rPr>
                <w:rFonts w:ascii="Arial" w:hAnsi="Arial" w:cs="Arial" w:eastAsia="Arial" w:hint="default"/>
                <w:sz w:val="21"/>
                <w:szCs w:val="21"/>
              </w:rPr>
            </w:pPr>
            <w:r>
              <w:rPr>
                <w:rFonts w:ascii="Arial"/>
                <w:spacing w:val="-1"/>
                <w:sz w:val="21"/>
              </w:rPr>
              <w:t>11,734,851.92</w:t>
            </w:r>
          </w:p>
        </w:tc>
        <w:tc>
          <w:tcPr>
            <w:tcW w:w="159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94"/>
              <w:jc w:val="right"/>
              <w:rPr>
                <w:rFonts w:ascii="Arial" w:hAnsi="Arial" w:cs="Arial" w:eastAsia="Arial" w:hint="default"/>
                <w:sz w:val="21"/>
                <w:szCs w:val="21"/>
              </w:rPr>
            </w:pPr>
            <w:r>
              <w:rPr>
                <w:rFonts w:ascii="Arial"/>
                <w:spacing w:val="-1"/>
                <w:sz w:val="21"/>
              </w:rPr>
              <w:t>9,350,645.00</w:t>
            </w:r>
          </w:p>
        </w:tc>
        <w:tc>
          <w:tcPr>
            <w:tcW w:w="112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left="38" w:right="0"/>
              <w:jc w:val="left"/>
              <w:rPr>
                <w:rFonts w:ascii="Arial" w:hAnsi="Arial" w:cs="Arial" w:eastAsia="Arial" w:hint="default"/>
                <w:sz w:val="21"/>
                <w:szCs w:val="21"/>
              </w:rPr>
            </w:pPr>
            <w:r>
              <w:rPr>
                <w:rFonts w:ascii="Arial"/>
                <w:sz w:val="21"/>
              </w:rPr>
              <w:t>992,866.00</w:t>
            </w:r>
          </w:p>
        </w:tc>
        <w:tc>
          <w:tcPr>
            <w:tcW w:w="140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22"/>
              <w:jc w:val="right"/>
              <w:rPr>
                <w:rFonts w:ascii="Arial" w:hAnsi="Arial" w:cs="Arial" w:eastAsia="Arial" w:hint="default"/>
                <w:sz w:val="21"/>
                <w:szCs w:val="21"/>
              </w:rPr>
            </w:pPr>
            <w:r>
              <w:rPr>
                <w:rFonts w:ascii="Arial"/>
                <w:spacing w:val="-1"/>
                <w:sz w:val="21"/>
              </w:rPr>
              <w:t>1,924,000.32</w:t>
            </w:r>
          </w:p>
        </w:tc>
        <w:tc>
          <w:tcPr>
            <w:tcW w:w="84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left="283" w:right="0"/>
              <w:jc w:val="left"/>
              <w:rPr>
                <w:rFonts w:ascii="Arial" w:hAnsi="Arial" w:cs="Arial" w:eastAsia="Arial" w:hint="default"/>
                <w:sz w:val="21"/>
                <w:szCs w:val="21"/>
              </w:rPr>
            </w:pPr>
            <w:r>
              <w:rPr>
                <w:rFonts w:ascii="Arial"/>
                <w:sz w:val="21"/>
              </w:rPr>
              <w:t>70.15</w:t>
            </w:r>
          </w:p>
        </w:tc>
        <w:tc>
          <w:tcPr>
            <w:tcW w:w="5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55"/>
                <w:sz w:val="21"/>
                <w:szCs w:val="21"/>
              </w:rPr>
              <w:t> </w:t>
            </w:r>
            <w:r>
              <w:rPr>
                <w:rFonts w:ascii="宋体" w:hAnsi="宋体" w:cs="宋体" w:eastAsia="宋体" w:hint="default"/>
                <w:sz w:val="21"/>
                <w:szCs w:val="21"/>
              </w:rPr>
              <w:t>建</w:t>
            </w:r>
          </w:p>
        </w:tc>
        <w:tc>
          <w:tcPr>
            <w:tcW w:w="698" w:type="dxa"/>
            <w:tcBorders>
              <w:top w:val="single" w:sz="4" w:space="0" w:color="41B7EE"/>
              <w:left w:val="single" w:sz="4" w:space="0" w:color="41B7EE"/>
              <w:bottom w:val="single" w:sz="4" w:space="0" w:color="41B7EE"/>
              <w:right w:val="single" w:sz="4" w:space="0" w:color="41B7EE"/>
            </w:tcBorders>
          </w:tcPr>
          <w:p>
            <w:pPr/>
          </w:p>
        </w:tc>
        <w:tc>
          <w:tcPr>
            <w:tcW w:w="701" w:type="dxa"/>
            <w:tcBorders>
              <w:top w:val="single" w:sz="4" w:space="0" w:color="41B7EE"/>
              <w:left w:val="single" w:sz="4" w:space="0" w:color="41B7EE"/>
              <w:bottom w:val="single" w:sz="4" w:space="0" w:color="41B7EE"/>
              <w:right w:val="single" w:sz="4" w:space="0" w:color="41B7EE"/>
            </w:tcBorders>
          </w:tcPr>
          <w:p>
            <w:pPr/>
          </w:p>
        </w:tc>
        <w:tc>
          <w:tcPr>
            <w:tcW w:w="701" w:type="dxa"/>
            <w:tcBorders>
              <w:top w:val="single" w:sz="4" w:space="0" w:color="41B7EE"/>
              <w:left w:val="single" w:sz="4" w:space="0" w:color="41B7EE"/>
              <w:bottom w:val="single" w:sz="4" w:space="0" w:color="41B7EE"/>
              <w:right w:val="single" w:sz="4" w:space="0" w:color="41B7EE"/>
            </w:tcBorders>
          </w:tcPr>
          <w:p>
            <w:pPr/>
          </w:p>
        </w:tc>
        <w:tc>
          <w:tcPr>
            <w:tcW w:w="535" w:type="dxa"/>
            <w:tcBorders>
              <w:top w:val="single" w:sz="4" w:space="0" w:color="41B7EE"/>
              <w:left w:val="single" w:sz="4" w:space="0" w:color="41B7EE"/>
              <w:bottom w:val="single" w:sz="4" w:space="0" w:color="41B7EE"/>
              <w:right w:val="nil" w:sz="6" w:space="0" w:color="auto"/>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资金</w:t>
            </w:r>
          </w:p>
        </w:tc>
      </w:tr>
      <w:tr>
        <w:trPr>
          <w:trHeight w:val="365" w:hRule="exact"/>
        </w:trPr>
        <w:tc>
          <w:tcPr>
            <w:tcW w:w="1136"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4"/>
              <w:ind w:left="3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27"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127"/>
              <w:jc w:val="right"/>
              <w:rPr>
                <w:rFonts w:ascii="Arial" w:hAnsi="Arial" w:cs="Arial" w:eastAsia="Arial" w:hint="default"/>
                <w:sz w:val="21"/>
                <w:szCs w:val="21"/>
              </w:rPr>
            </w:pPr>
            <w:r>
              <w:rPr>
                <w:rFonts w:ascii="Arial"/>
                <w:spacing w:val="-1"/>
                <w:sz w:val="21"/>
              </w:rPr>
              <w:t>292,164,876.96</w:t>
            </w:r>
          </w:p>
        </w:tc>
        <w:tc>
          <w:tcPr>
            <w:tcW w:w="1405"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24,096,264.59</w:t>
            </w:r>
          </w:p>
        </w:tc>
        <w:tc>
          <w:tcPr>
            <w:tcW w:w="1603"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94"/>
              <w:jc w:val="right"/>
              <w:rPr>
                <w:rFonts w:ascii="Arial" w:hAnsi="Arial" w:cs="Arial" w:eastAsia="Arial" w:hint="default"/>
                <w:sz w:val="21"/>
                <w:szCs w:val="21"/>
              </w:rPr>
            </w:pPr>
            <w:r>
              <w:rPr>
                <w:rFonts w:ascii="Arial"/>
                <w:spacing w:val="-1"/>
                <w:sz w:val="21"/>
              </w:rPr>
              <w:t>201,265,333.13</w:t>
            </w:r>
          </w:p>
        </w:tc>
        <w:tc>
          <w:tcPr>
            <w:tcW w:w="1599"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94"/>
              <w:jc w:val="right"/>
              <w:rPr>
                <w:rFonts w:ascii="Arial" w:hAnsi="Arial" w:cs="Arial" w:eastAsia="Arial" w:hint="default"/>
                <w:sz w:val="21"/>
                <w:szCs w:val="21"/>
              </w:rPr>
            </w:pPr>
            <w:r>
              <w:rPr>
                <w:rFonts w:ascii="Arial"/>
                <w:spacing w:val="-1"/>
                <w:sz w:val="21"/>
              </w:rPr>
              <w:t>179,397,571.65</w:t>
            </w:r>
          </w:p>
        </w:tc>
        <w:tc>
          <w:tcPr>
            <w:tcW w:w="1126"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left="38" w:right="0"/>
              <w:jc w:val="left"/>
              <w:rPr>
                <w:rFonts w:ascii="Arial" w:hAnsi="Arial" w:cs="Arial" w:eastAsia="Arial" w:hint="default"/>
                <w:sz w:val="21"/>
                <w:szCs w:val="21"/>
              </w:rPr>
            </w:pPr>
            <w:r>
              <w:rPr>
                <w:rFonts w:ascii="Arial"/>
                <w:sz w:val="21"/>
              </w:rPr>
              <w:t>992,866.00</w:t>
            </w:r>
          </w:p>
        </w:tc>
        <w:tc>
          <w:tcPr>
            <w:tcW w:w="1406"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44,971,160.07</w:t>
            </w:r>
          </w:p>
        </w:tc>
        <w:tc>
          <w:tcPr>
            <w:tcW w:w="845"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left="299" w:right="0"/>
              <w:jc w:val="left"/>
              <w:rPr>
                <w:rFonts w:ascii="Arial" w:hAnsi="Arial" w:cs="Arial" w:eastAsia="Arial" w:hint="default"/>
                <w:sz w:val="21"/>
                <w:szCs w:val="21"/>
              </w:rPr>
            </w:pPr>
            <w:r>
              <w:rPr>
                <w:rFonts w:ascii="Arial"/>
                <w:w w:val="100"/>
                <w:sz w:val="21"/>
              </w:rPr>
              <w:t>/</w:t>
            </w:r>
          </w:p>
        </w:tc>
        <w:tc>
          <w:tcPr>
            <w:tcW w:w="555"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0"/>
              <w:ind w:left="161" w:right="0"/>
              <w:jc w:val="left"/>
              <w:rPr>
                <w:rFonts w:ascii="Arial" w:hAnsi="Arial" w:cs="Arial" w:eastAsia="Arial" w:hint="default"/>
                <w:sz w:val="21"/>
                <w:szCs w:val="21"/>
              </w:rPr>
            </w:pPr>
            <w:r>
              <w:rPr>
                <w:rFonts w:ascii="Arial"/>
                <w:w w:val="82"/>
                <w:sz w:val="21"/>
              </w:rPr>
              <w:t>/</w:t>
            </w:r>
            <w:r>
              <w:rPr>
                <w:rFonts w:ascii="Arial"/>
                <w:sz w:val="21"/>
              </w:rPr>
            </w:r>
          </w:p>
        </w:tc>
        <w:tc>
          <w:tcPr>
            <w:tcW w:w="698" w:type="dxa"/>
            <w:tcBorders>
              <w:top w:val="single" w:sz="4" w:space="0" w:color="41B7EE"/>
              <w:left w:val="single" w:sz="4" w:space="0" w:color="41B7EE"/>
              <w:bottom w:val="single" w:sz="8" w:space="0" w:color="41B7EE"/>
              <w:right w:val="single" w:sz="4" w:space="0" w:color="41B7EE"/>
            </w:tcBorders>
          </w:tcPr>
          <w:p>
            <w:pPr/>
          </w:p>
        </w:tc>
        <w:tc>
          <w:tcPr>
            <w:tcW w:w="701" w:type="dxa"/>
            <w:tcBorders>
              <w:top w:val="single" w:sz="4" w:space="0" w:color="41B7EE"/>
              <w:left w:val="single" w:sz="4" w:space="0" w:color="41B7EE"/>
              <w:bottom w:val="single" w:sz="8" w:space="0" w:color="41B7EE"/>
              <w:right w:val="single" w:sz="4" w:space="0" w:color="41B7EE"/>
            </w:tcBorders>
          </w:tcPr>
          <w:p>
            <w:pPr/>
          </w:p>
        </w:tc>
        <w:tc>
          <w:tcPr>
            <w:tcW w:w="701"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0"/>
              <w:ind w:right="170"/>
              <w:jc w:val="center"/>
              <w:rPr>
                <w:rFonts w:ascii="Arial" w:hAnsi="Arial" w:cs="Arial" w:eastAsia="Arial" w:hint="default"/>
                <w:sz w:val="21"/>
                <w:szCs w:val="21"/>
              </w:rPr>
            </w:pPr>
            <w:r>
              <w:rPr>
                <w:rFonts w:ascii="Arial"/>
                <w:w w:val="82"/>
                <w:sz w:val="21"/>
              </w:rPr>
              <w:t>/</w:t>
            </w:r>
            <w:r>
              <w:rPr>
                <w:rFonts w:ascii="Arial"/>
                <w:sz w:val="21"/>
              </w:rPr>
            </w:r>
          </w:p>
        </w:tc>
        <w:tc>
          <w:tcPr>
            <w:tcW w:w="535"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50"/>
              <w:ind w:left="151" w:right="0"/>
              <w:jc w:val="left"/>
              <w:rPr>
                <w:rFonts w:ascii="Arial" w:hAnsi="Arial" w:cs="Arial" w:eastAsia="Arial" w:hint="default"/>
                <w:sz w:val="21"/>
                <w:szCs w:val="21"/>
              </w:rPr>
            </w:pPr>
            <w:r>
              <w:rPr>
                <w:rFonts w:ascii="Arial"/>
                <w:w w:val="82"/>
                <w:sz w:val="21"/>
              </w:rPr>
              <w:t>/</w:t>
            </w:r>
            <w:r>
              <w:rPr>
                <w:rFonts w:ascii="Arial"/>
                <w:sz w:val="21"/>
              </w:rPr>
            </w:r>
          </w:p>
        </w:tc>
      </w:tr>
    </w:tbl>
    <w:p>
      <w:pPr>
        <w:spacing w:line="240" w:lineRule="auto" w:before="11"/>
        <w:rPr>
          <w:rFonts w:ascii="宋体" w:hAnsi="宋体" w:cs="宋体" w:eastAsia="宋体" w:hint="default"/>
          <w:sz w:val="2"/>
          <w:szCs w:val="2"/>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697.8pt;height:1pt;mso-position-horizontal-relative:char;mso-position-vertical-relative:line" coordorigin="0,0" coordsize="13956,20">
            <v:group style="position:absolute;left:10;top:10;width:1131;height:2" coordorigin="10,10" coordsize="1131,2">
              <v:shape style="position:absolute;left:10;top:10;width:1131;height:2" coordorigin="10,10" coordsize="1131,0" path="m10,10l1140,10e" filled="false" stroked="true" strokeweight=".96002pt" strokecolor="#41b7ee">
                <v:path arrowok="t"/>
              </v:shape>
            </v:group>
            <v:group style="position:absolute;left:1140;top:10;width:58;height:2" coordorigin="1140,10" coordsize="58,2">
              <v:shape style="position:absolute;left:1140;top:10;width:58;height:2" coordorigin="1140,10" coordsize="58,0" path="m1140,10l1198,10e" filled="false" stroked="true" strokeweight=".96002pt" strokecolor="#41b7ee">
                <v:path arrowok="t"/>
              </v:shape>
            </v:group>
            <v:group style="position:absolute;left:1198;top:10;width:1570;height:2" coordorigin="1198,10" coordsize="1570,2">
              <v:shape style="position:absolute;left:1198;top:10;width:1570;height:2" coordorigin="1198,10" coordsize="1570,0" path="m1198,10l2768,10e" filled="false" stroked="true" strokeweight=".96002pt" strokecolor="#41b7ee">
                <v:path arrowok="t"/>
              </v:shape>
            </v:group>
            <v:group style="position:absolute;left:2768;top:10;width:58;height:2" coordorigin="2768,10" coordsize="58,2">
              <v:shape style="position:absolute;left:2768;top:10;width:58;height:2" coordorigin="2768,10" coordsize="58,0" path="m2768,10l2825,10e" filled="false" stroked="true" strokeweight=".96002pt" strokecolor="#41b7ee">
                <v:path arrowok="t"/>
              </v:shape>
            </v:group>
            <v:group style="position:absolute;left:2825;top:10;width:1347;height:2" coordorigin="2825,10" coordsize="1347,2">
              <v:shape style="position:absolute;left:2825;top:10;width:1347;height:2" coordorigin="2825,10" coordsize="1347,0" path="m2825,10l4172,10e" filled="false" stroked="true" strokeweight=".96002pt" strokecolor="#41b7ee">
                <v:path arrowok="t"/>
              </v:shape>
            </v:group>
            <v:group style="position:absolute;left:4172;top:10;width:58;height:2" coordorigin="4172,10" coordsize="58,2">
              <v:shape style="position:absolute;left:4172;top:10;width:58;height:2" coordorigin="4172,10" coordsize="58,0" path="m4172,10l4230,10e" filled="false" stroked="true" strokeweight=".96002pt" strokecolor="#41b7ee">
                <v:path arrowok="t"/>
              </v:shape>
            </v:group>
            <v:group style="position:absolute;left:4230;top:10;width:1546;height:2" coordorigin="4230,10" coordsize="1546,2">
              <v:shape style="position:absolute;left:4230;top:10;width:1546;height:2" coordorigin="4230,10" coordsize="1546,0" path="m4230,10l5775,10e" filled="false" stroked="true" strokeweight=".96002pt" strokecolor="#41b7ee">
                <v:path arrowok="t"/>
              </v:shape>
            </v:group>
            <v:group style="position:absolute;left:5775;top:10;width:58;height:2" coordorigin="5775,10" coordsize="58,2">
              <v:shape style="position:absolute;left:5775;top:10;width:58;height:2" coordorigin="5775,10" coordsize="58,0" path="m5775,10l5833,10e" filled="false" stroked="true" strokeweight=".96002pt" strokecolor="#41b7ee">
                <v:path arrowok="t"/>
              </v:shape>
            </v:group>
            <v:group style="position:absolute;left:5833;top:10;width:1542;height:2" coordorigin="5833,10" coordsize="1542,2">
              <v:shape style="position:absolute;left:5833;top:10;width:1542;height:2" coordorigin="5833,10" coordsize="1542,0" path="m5833,10l7374,10e" filled="false" stroked="true" strokeweight=".96002pt" strokecolor="#41b7ee">
                <v:path arrowok="t"/>
              </v:shape>
            </v:group>
            <v:group style="position:absolute;left:7374;top:10;width:58;height:2" coordorigin="7374,10" coordsize="58,2">
              <v:shape style="position:absolute;left:7374;top:10;width:58;height:2" coordorigin="7374,10" coordsize="58,0" path="m7374,10l7432,10e" filled="false" stroked="true" strokeweight=".96002pt" strokecolor="#41b7ee">
                <v:path arrowok="t"/>
              </v:shape>
            </v:group>
            <v:group style="position:absolute;left:7432;top:10;width:1068;height:2" coordorigin="7432,10" coordsize="1068,2">
              <v:shape style="position:absolute;left:7432;top:10;width:1068;height:2" coordorigin="7432,10" coordsize="1068,0" path="m7432,10l8500,10e" filled="false" stroked="true" strokeweight=".96002pt" strokecolor="#41b7ee">
                <v:path arrowok="t"/>
              </v:shape>
            </v:group>
            <v:group style="position:absolute;left:8500;top:10;width:58;height:2" coordorigin="8500,10" coordsize="58,2">
              <v:shape style="position:absolute;left:8500;top:10;width:58;height:2" coordorigin="8500,10" coordsize="58,0" path="m8500,10l8557,10e" filled="false" stroked="true" strokeweight=".96002pt" strokecolor="#41b7ee">
                <v:path arrowok="t"/>
              </v:shape>
            </v:group>
            <v:group style="position:absolute;left:8557;top:10;width:1349;height:2" coordorigin="8557,10" coordsize="1349,2">
              <v:shape style="position:absolute;left:8557;top:10;width:1349;height:2" coordorigin="8557,10" coordsize="1349,0" path="m8557,10l9906,10e" filled="false" stroked="true" strokeweight=".96002pt" strokecolor="#41b7ee">
                <v:path arrowok="t"/>
              </v:shape>
            </v:group>
            <v:group style="position:absolute;left:9906;top:10;width:58;height:2" coordorigin="9906,10" coordsize="58,2">
              <v:shape style="position:absolute;left:9906;top:10;width:58;height:2" coordorigin="9906,10" coordsize="58,0" path="m9906,10l9964,10e" filled="false" stroked="true" strokeweight=".96002pt" strokecolor="#41b7ee">
                <v:path arrowok="t"/>
              </v:shape>
            </v:group>
            <v:group style="position:absolute;left:9964;top:10;width:788;height:2" coordorigin="9964,10" coordsize="788,2">
              <v:shape style="position:absolute;left:9964;top:10;width:788;height:2" coordorigin="9964,10" coordsize="788,0" path="m9964,10l10751,10e" filled="false" stroked="true" strokeweight=".96002pt" strokecolor="#41b7ee">
                <v:path arrowok="t"/>
              </v:shape>
            </v:group>
            <v:group style="position:absolute;left:10751;top:10;width:59;height:2" coordorigin="10751,10" coordsize="59,2">
              <v:shape style="position:absolute;left:10751;top:10;width:59;height:2" coordorigin="10751,10" coordsize="59,0" path="m10751,10l10809,10e" filled="false" stroked="true" strokeweight=".96002pt" strokecolor="#41b7ee">
                <v:path arrowok="t"/>
              </v:shape>
            </v:group>
            <v:group style="position:absolute;left:10809;top:10;width:497;height:2" coordorigin="10809,10" coordsize="497,2">
              <v:shape style="position:absolute;left:10809;top:10;width:497;height:2" coordorigin="10809,10" coordsize="497,0" path="m10809,10l11306,10e" filled="false" stroked="true" strokeweight=".96002pt" strokecolor="#41b7ee">
                <v:path arrowok="t"/>
              </v:shape>
            </v:group>
            <v:group style="position:absolute;left:11306;top:10;width:58;height:2" coordorigin="11306,10" coordsize="58,2">
              <v:shape style="position:absolute;left:11306;top:10;width:58;height:2" coordorigin="11306,10" coordsize="58,0" path="m11306,10l11364,10e" filled="false" stroked="true" strokeweight=".96002pt" strokecolor="#41b7ee">
                <v:path arrowok="t"/>
              </v:shape>
            </v:group>
            <v:group style="position:absolute;left:11364;top:10;width:641;height:2" coordorigin="11364,10" coordsize="641,2">
              <v:shape style="position:absolute;left:11364;top:10;width:641;height:2" coordorigin="11364,10" coordsize="641,0" path="m11364,10l12004,10e" filled="false" stroked="true" strokeweight=".96002pt" strokecolor="#41b7ee">
                <v:path arrowok="t"/>
              </v:shape>
            </v:group>
            <v:group style="position:absolute;left:12004;top:10;width:58;height:2" coordorigin="12004,10" coordsize="58,2">
              <v:shape style="position:absolute;left:12004;top:10;width:58;height:2" coordorigin="12004,10" coordsize="58,0" path="m12004,10l12062,10e" filled="false" stroked="true" strokeweight=".96002pt" strokecolor="#41b7ee">
                <v:path arrowok="t"/>
              </v:shape>
            </v:group>
            <v:group style="position:absolute;left:12062;top:10;width:644;height:2" coordorigin="12062,10" coordsize="644,2">
              <v:shape style="position:absolute;left:12062;top:10;width:644;height:2" coordorigin="12062,10" coordsize="644,0" path="m12062,10l12705,10e" filled="false" stroked="true" strokeweight=".96002pt" strokecolor="#41b7ee">
                <v:path arrowok="t"/>
              </v:shape>
            </v:group>
            <v:group style="position:absolute;left:12705;top:10;width:58;height:2" coordorigin="12705,10" coordsize="58,2">
              <v:shape style="position:absolute;left:12705;top:10;width:58;height:2" coordorigin="12705,10" coordsize="58,0" path="m12705,10l12763,10e" filled="false" stroked="true" strokeweight=".96002pt" strokecolor="#41b7ee">
                <v:path arrowok="t"/>
              </v:shape>
            </v:group>
            <v:group style="position:absolute;left:12763;top:10;width:644;height:2" coordorigin="12763,10" coordsize="644,2">
              <v:shape style="position:absolute;left:12763;top:10;width:644;height:2" coordorigin="12763,10" coordsize="644,0" path="m12763,10l13406,10e" filled="false" stroked="true" strokeweight=".96002pt" strokecolor="#41b7ee">
                <v:path arrowok="t"/>
              </v:shape>
            </v:group>
            <v:group style="position:absolute;left:13406;top:10;width:58;height:2" coordorigin="13406,10" coordsize="58,2">
              <v:shape style="position:absolute;left:13406;top:10;width:58;height:2" coordorigin="13406,10" coordsize="58,0" path="m13406,10l13464,10e" filled="false" stroked="true" strokeweight=".96002pt" strokecolor="#41b7ee">
                <v:path arrowok="t"/>
              </v:shape>
            </v:group>
            <v:group style="position:absolute;left:13464;top:10;width:483;height:2" coordorigin="13464,10" coordsize="483,2">
              <v:shape style="position:absolute;left:13464;top:10;width:483;height:2" coordorigin="13464,10" coordsize="483,0" path="m13464,10l13946,10e" filled="false" stroked="true" strokeweight=".96002pt" strokecolor="#41b7ee">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before="63"/>
        <w:ind w:left="6665" w:right="6741" w:firstLine="0"/>
        <w:jc w:val="center"/>
        <w:rPr>
          <w:rFonts w:ascii="Calibri" w:hAnsi="Calibri" w:cs="Calibri" w:eastAsia="Calibri" w:hint="default"/>
          <w:sz w:val="18"/>
          <w:szCs w:val="18"/>
        </w:rPr>
      </w:pPr>
      <w:r>
        <w:rPr>
          <w:rFonts w:ascii="Calibri"/>
          <w:b/>
          <w:sz w:val="18"/>
        </w:rPr>
        <w:t>126 </w:t>
      </w:r>
      <w:r>
        <w:rPr>
          <w:rFonts w:ascii="Calibri"/>
          <w:sz w:val="18"/>
        </w:rPr>
        <w:t>/</w:t>
      </w:r>
      <w:r>
        <w:rPr>
          <w:rFonts w:ascii="Calibri"/>
          <w:spacing w:val="-5"/>
          <w:sz w:val="18"/>
        </w:rPr>
        <w:t> </w:t>
      </w:r>
      <w:r>
        <w:rPr>
          <w:rFonts w:ascii="Calibri"/>
          <w:b/>
          <w:sz w:val="18"/>
        </w:rPr>
        <w:t>173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360" w:bottom="1380" w:left="1380" w:right="1220"/>
        </w:sectPr>
      </w:pPr>
    </w:p>
    <w:p>
      <w:pPr>
        <w:spacing w:line="240" w:lineRule="auto" w:before="1"/>
        <w:rPr>
          <w:rFonts w:ascii="Calibri" w:hAnsi="Calibri" w:cs="Calibri" w:eastAsia="Calibri" w:hint="default"/>
          <w:b/>
          <w:bCs/>
          <w:sz w:val="4"/>
          <w:szCs w:val="4"/>
        </w:rPr>
      </w:pPr>
    </w:p>
    <w:p>
      <w:pPr>
        <w:spacing w:line="20" w:lineRule="exact"/>
        <w:ind w:left="140" w:right="0" w:firstLine="0"/>
        <w:rPr>
          <w:rFonts w:ascii="Calibri" w:hAnsi="Calibri" w:cs="Calibri" w:eastAsia="Calibri" w:hint="default"/>
          <w:sz w:val="2"/>
          <w:szCs w:val="2"/>
        </w:rPr>
      </w:pPr>
      <w:r>
        <w:rPr>
          <w:rFonts w:ascii="Calibri" w:hAnsi="Calibri" w:cs="Calibri" w:eastAsia="Calibri"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Calibri" w:hAnsi="Calibri" w:cs="Calibri" w:eastAsia="Calibri" w:hint="default"/>
          <w:sz w:val="2"/>
          <w:szCs w:val="2"/>
        </w:rPr>
      </w:r>
    </w:p>
    <w:p>
      <w:pPr>
        <w:pStyle w:val="Heading2"/>
        <w:spacing w:line="240" w:lineRule="auto" w:before="30"/>
        <w:ind w:left="176" w:right="102"/>
        <w:jc w:val="left"/>
        <w:rPr>
          <w:rFonts w:ascii="宋体" w:hAnsi="宋体" w:cs="宋体" w:eastAsia="宋体" w:hint="default"/>
          <w:b w:val="0"/>
          <w:bCs w:val="0"/>
        </w:rPr>
      </w:pPr>
      <w:r>
        <w:rPr>
          <w:rFonts w:ascii="宋体" w:hAnsi="宋体" w:cs="宋体" w:eastAsia="宋体" w:hint="default"/>
        </w:rPr>
        <w:t>(3).</w:t>
      </w:r>
      <w:r>
        <w:rPr/>
        <w:t>本期计提在建工程减值准备情况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76" w:right="714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4" w:lineRule="exact" w:before="22"/>
        <w:ind w:left="597" w:right="2013" w:hanging="42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“其他减少金额”主要是应计入长期待摊费用的生产服务设施支出。</w:t>
      </w:r>
      <w:r>
        <w:rPr>
          <w:rFonts w:ascii="宋体" w:hAnsi="宋体" w:cs="宋体" w:eastAsia="宋体" w:hint="default"/>
          <w:color w:val="FF0000"/>
        </w:rPr>
        <w:t> </w:t>
      </w:r>
      <w:r>
        <w:rPr>
          <w:rFonts w:ascii="宋体" w:hAnsi="宋体" w:cs="宋体" w:eastAsia="宋体" w:hint="default"/>
        </w:rPr>
      </w:r>
    </w:p>
    <w:p>
      <w:pPr>
        <w:pStyle w:val="Heading2"/>
        <w:spacing w:line="290" w:lineRule="auto" w:before="31"/>
        <w:ind w:left="176" w:right="7143"/>
        <w:jc w:val="left"/>
        <w:rPr>
          <w:rFonts w:ascii="宋体" w:hAnsi="宋体" w:cs="宋体" w:eastAsia="宋体" w:hint="default"/>
          <w:b w:val="0"/>
          <w:bCs w:val="0"/>
        </w:rPr>
      </w:pPr>
      <w:r>
        <w:rPr/>
        <w:t>工程物资</w:t>
      </w:r>
      <w:r>
        <w:rPr>
          <w:rFonts w:ascii="宋体" w:hAnsi="宋体" w:cs="宋体" w:eastAsia="宋体" w:hint="default"/>
          <w:w w:val="99"/>
        </w:rPr>
        <w:t> </w:t>
      </w:r>
      <w:r>
        <w:rPr>
          <w:rFonts w:ascii="宋体" w:hAnsi="宋体" w:cs="宋体" w:eastAsia="宋体" w:hint="default"/>
        </w:rPr>
        <w:t>(1).</w:t>
      </w:r>
      <w:r>
        <w:rPr/>
        <w:t>工程物资情况</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176" w:right="696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生产性生物资产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2"/>
        <w:ind w:left="176" w:right="102"/>
        <w:jc w:val="left"/>
        <w:rPr>
          <w:rFonts w:ascii="宋体" w:hAnsi="宋体" w:cs="宋体" w:eastAsia="宋体" w:hint="default"/>
          <w:b w:val="0"/>
          <w:bCs w:val="0"/>
        </w:rPr>
      </w:pPr>
      <w:r>
        <w:rPr>
          <w:rFonts w:ascii="宋体" w:hAnsi="宋体" w:cs="宋体" w:eastAsia="宋体" w:hint="default"/>
        </w:rPr>
        <w:t>(1).</w:t>
      </w:r>
      <w:r>
        <w:rPr/>
        <w:t>采用成本计量模式的生产性生物资产</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176" w:right="476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3"/>
        <w:ind w:left="176" w:right="714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9" w:lineRule="exact"/>
        <w:ind w:left="176" w:right="10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left="176" w:right="102"/>
        <w:jc w:val="left"/>
        <w:rPr>
          <w:rFonts w:ascii="宋体" w:hAnsi="宋体" w:cs="宋体" w:eastAsia="宋体" w:hint="default"/>
          <w:b w:val="0"/>
          <w:bCs w:val="0"/>
        </w:rPr>
      </w:pPr>
      <w:r>
        <w:rPr>
          <w:rFonts w:ascii="宋体" w:hAnsi="宋体" w:cs="宋体" w:eastAsia="宋体" w:hint="default"/>
        </w:rPr>
        <w:t>23</w:t>
      </w:r>
      <w:r>
        <w:rPr/>
        <w:t>、</w:t>
      </w:r>
      <w:r>
        <w:rPr>
          <w:spacing w:val="-27"/>
        </w:rPr>
        <w:t> </w:t>
      </w:r>
      <w:r>
        <w:rPr/>
        <w:t>油气资产</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176" w:right="714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24</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使用权资产</w:t>
      </w:r>
      <w:r>
        <w:rPr>
          <w:rFonts w:ascii="宋体" w:hAnsi="宋体" w:cs="宋体" w:eastAsia="宋体" w:hint="default"/>
          <w:sz w:val="21"/>
          <w:szCs w:val="21"/>
        </w:rPr>
      </w:r>
    </w:p>
    <w:p>
      <w:pPr>
        <w:spacing w:line="290" w:lineRule="auto" w:before="14"/>
        <w:ind w:left="176" w:right="714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无形资产</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176" w:right="10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0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48.45pt;height:1pt;mso-position-horizontal-relative:char;mso-position-vertical-relative:line" coordorigin="0,0" coordsize="8969,20">
            <v:group style="position:absolute;left:10;top:10;width:2142;height:2" coordorigin="10,10" coordsize="2142,2">
              <v:shape style="position:absolute;left:10;top:10;width:2142;height:2" coordorigin="10,10" coordsize="2142,0" path="m10,10l2151,10e" filled="false" stroked="true" strokeweight=".95999pt" strokecolor="#41b7ee">
                <v:path arrowok="t"/>
              </v:shape>
            </v:group>
            <v:group style="position:absolute;left:2151;top:10;width:58;height:2" coordorigin="2151,10" coordsize="58,2">
              <v:shape style="position:absolute;left:2151;top:10;width:58;height:2" coordorigin="2151,10" coordsize="58,0" path="m2151,10l2208,10e" filled="false" stroked="true" strokeweight=".95999pt" strokecolor="#41b7ee">
                <v:path arrowok="t"/>
              </v:shape>
            </v:group>
            <v:group style="position:absolute;left:2208;top:10;width:1448;height:2" coordorigin="2208,10" coordsize="1448,2">
              <v:shape style="position:absolute;left:2208;top:10;width:1448;height:2" coordorigin="2208,10" coordsize="1448,0" path="m2208,10l3656,10e" filled="false" stroked="true" strokeweight=".95999pt" strokecolor="#41b7ee">
                <v:path arrowok="t"/>
              </v:shape>
            </v:group>
            <v:group style="position:absolute;left:3656;top:10;width:58;height:2" coordorigin="3656,10" coordsize="58,2">
              <v:shape style="position:absolute;left:3656;top:10;width:58;height:2" coordorigin="3656,10" coordsize="58,0" path="m3656,10l3714,10e" filled="false" stroked="true" strokeweight=".95999pt" strokecolor="#41b7ee">
                <v:path arrowok="t"/>
              </v:shape>
            </v:group>
            <v:group style="position:absolute;left:3714;top:10;width:836;height:2" coordorigin="3714,10" coordsize="836,2">
              <v:shape style="position:absolute;left:3714;top:10;width:836;height:2" coordorigin="3714,10" coordsize="836,0" path="m3714,10l4549,10e" filled="false" stroked="true" strokeweight=".95999pt" strokecolor="#41b7ee">
                <v:path arrowok="t"/>
              </v:shape>
            </v:group>
            <v:group style="position:absolute;left:4549;top:10;width:58;height:2" coordorigin="4549,10" coordsize="58,2">
              <v:shape style="position:absolute;left:4549;top:10;width:58;height:2" coordorigin="4549,10" coordsize="58,0" path="m4549,10l4607,10e" filled="false" stroked="true" strokeweight=".95999pt" strokecolor="#41b7ee">
                <v:path arrowok="t"/>
              </v:shape>
            </v:group>
            <v:group style="position:absolute;left:4607;top:10;width:1338;height:2" coordorigin="4607,10" coordsize="1338,2">
              <v:shape style="position:absolute;left:4607;top:10;width:1338;height:2" coordorigin="4607,10" coordsize="1338,0" path="m4607,10l5944,10e" filled="false" stroked="true" strokeweight=".95999pt" strokecolor="#41b7ee">
                <v:path arrowok="t"/>
              </v:shape>
            </v:group>
            <v:group style="position:absolute;left:5944;top:10;width:58;height:2" coordorigin="5944,10" coordsize="58,2">
              <v:shape style="position:absolute;left:5944;top:10;width:58;height:2" coordorigin="5944,10" coordsize="58,0" path="m5944,10l6001,10e" filled="false" stroked="true" strokeweight=".95999pt" strokecolor="#41b7ee">
                <v:path arrowok="t"/>
              </v:shape>
            </v:group>
            <v:group style="position:absolute;left:6001;top:10;width:1448;height:2" coordorigin="6001,10" coordsize="1448,2">
              <v:shape style="position:absolute;left:6001;top:10;width:1448;height:2" coordorigin="6001,10" coordsize="1448,0" path="m6001,10l7449,10e" filled="false" stroked="true" strokeweight=".95999pt" strokecolor="#41b7ee">
                <v:path arrowok="t"/>
              </v:shape>
            </v:group>
            <v:group style="position:absolute;left:7449;top:10;width:58;height:2" coordorigin="7449,10" coordsize="58,2">
              <v:shape style="position:absolute;left:7449;top:10;width:58;height:2" coordorigin="7449,10" coordsize="58,0" path="m7449,10l7506,10e" filled="false" stroked="true" strokeweight=".95999pt" strokecolor="#41b7ee">
                <v:path arrowok="t"/>
              </v:shape>
            </v:group>
            <v:group style="position:absolute;left:7506;top:10;width:1453;height:2" coordorigin="7506,10" coordsize="1453,2">
              <v:shape style="position:absolute;left:7506;top:10;width:1453;height:2" coordorigin="7506,10" coordsize="1453,0" path="m7506,10l8959,10e" filled="false" stroked="true" strokeweight=".95999pt" strokecolor="#41b7ee">
                <v:path arrowok="t"/>
              </v:shape>
            </v:group>
          </v:group>
        </w:pict>
      </w:r>
      <w:r>
        <w:rPr>
          <w:rFonts w:ascii="宋体" w:hAnsi="宋体" w:cs="宋体" w:eastAsia="宋体" w:hint="default"/>
          <w:sz w:val="2"/>
          <w:szCs w:val="2"/>
        </w:rPr>
      </w:r>
    </w:p>
    <w:tbl>
      <w:tblPr>
        <w:tblW w:w="0" w:type="auto"/>
        <w:jc w:val="left"/>
        <w:tblInd w:w="109" w:type="dxa"/>
        <w:tblLayout w:type="fixed"/>
        <w:tblCellMar>
          <w:top w:w="0" w:type="dxa"/>
          <w:left w:w="0" w:type="dxa"/>
          <w:bottom w:w="0" w:type="dxa"/>
          <w:right w:w="0" w:type="dxa"/>
        </w:tblCellMar>
        <w:tblLook w:val="01E0"/>
      </w:tblPr>
      <w:tblGrid>
        <w:gridCol w:w="2146"/>
        <w:gridCol w:w="1505"/>
        <w:gridCol w:w="893"/>
        <w:gridCol w:w="1395"/>
        <w:gridCol w:w="1505"/>
        <w:gridCol w:w="1505"/>
      </w:tblGrid>
      <w:tr>
        <w:trPr>
          <w:trHeight w:val="365" w:hRule="exact"/>
        </w:trPr>
        <w:tc>
          <w:tcPr>
            <w:tcW w:w="2146"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7"/>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05"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7"/>
              <w:ind w:left="22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893"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7"/>
              <w:ind w:left="4" w:right="0"/>
              <w:jc w:val="center"/>
              <w:rPr>
                <w:rFonts w:ascii="宋体" w:hAnsi="宋体" w:cs="宋体" w:eastAsia="宋体" w:hint="default"/>
                <w:sz w:val="21"/>
                <w:szCs w:val="21"/>
              </w:rPr>
            </w:pPr>
            <w:r>
              <w:rPr>
                <w:rFonts w:ascii="宋体" w:hAnsi="宋体" w:cs="宋体" w:eastAsia="宋体" w:hint="default"/>
                <w:sz w:val="21"/>
                <w:szCs w:val="21"/>
              </w:rPr>
              <w:t>商标权</w:t>
            </w:r>
          </w:p>
        </w:tc>
        <w:tc>
          <w:tcPr>
            <w:tcW w:w="1395"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7"/>
              <w:ind w:left="2"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1505"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探矿权</w:t>
            </w:r>
          </w:p>
        </w:tc>
        <w:tc>
          <w:tcPr>
            <w:tcW w:w="1505"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7"/>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5" w:hRule="exact"/>
        </w:trPr>
        <w:tc>
          <w:tcPr>
            <w:tcW w:w="214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57"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505" w:type="dxa"/>
            <w:tcBorders>
              <w:top w:val="single" w:sz="4" w:space="0" w:color="41B7EE"/>
              <w:left w:val="single" w:sz="4" w:space="0" w:color="41B7EE"/>
              <w:bottom w:val="single" w:sz="4" w:space="0" w:color="41B7EE"/>
              <w:right w:val="single" w:sz="4" w:space="0" w:color="41B7EE"/>
            </w:tcBorders>
          </w:tcPr>
          <w:p>
            <w:pPr/>
          </w:p>
        </w:tc>
        <w:tc>
          <w:tcPr>
            <w:tcW w:w="893" w:type="dxa"/>
            <w:tcBorders>
              <w:top w:val="single" w:sz="4" w:space="0" w:color="41B7EE"/>
              <w:left w:val="single" w:sz="4" w:space="0" w:color="41B7EE"/>
              <w:bottom w:val="single" w:sz="4" w:space="0" w:color="41B7EE"/>
              <w:right w:val="single" w:sz="4" w:space="0" w:color="41B7EE"/>
            </w:tcBorders>
          </w:tcPr>
          <w:p>
            <w:pPr/>
          </w:p>
        </w:tc>
        <w:tc>
          <w:tcPr>
            <w:tcW w:w="1395" w:type="dxa"/>
            <w:tcBorders>
              <w:top w:val="single" w:sz="4" w:space="0" w:color="41B7EE"/>
              <w:left w:val="single" w:sz="4" w:space="0" w:color="41B7EE"/>
              <w:bottom w:val="single" w:sz="4" w:space="0" w:color="41B7EE"/>
              <w:right w:val="single" w:sz="4" w:space="0" w:color="41B7EE"/>
            </w:tcBorders>
          </w:tcPr>
          <w:p>
            <w:pPr/>
          </w:p>
        </w:tc>
        <w:tc>
          <w:tcPr>
            <w:tcW w:w="1505" w:type="dxa"/>
            <w:tcBorders>
              <w:top w:val="single" w:sz="4" w:space="0" w:color="41B7EE"/>
              <w:left w:val="single" w:sz="4" w:space="0" w:color="41B7EE"/>
              <w:bottom w:val="single" w:sz="4" w:space="0" w:color="41B7EE"/>
              <w:right w:val="single" w:sz="4" w:space="0" w:color="41B7EE"/>
            </w:tcBorders>
          </w:tcPr>
          <w:p>
            <w:pPr/>
          </w:p>
        </w:tc>
        <w:tc>
          <w:tcPr>
            <w:tcW w:w="1505"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214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7"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50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53"/>
              <w:jc w:val="right"/>
              <w:rPr>
                <w:rFonts w:ascii="Arial" w:hAnsi="Arial" w:cs="Arial" w:eastAsia="Arial" w:hint="default"/>
                <w:sz w:val="20"/>
                <w:szCs w:val="20"/>
              </w:rPr>
            </w:pPr>
            <w:r>
              <w:rPr>
                <w:rFonts w:ascii="Arial"/>
                <w:w w:val="95"/>
                <w:sz w:val="20"/>
              </w:rPr>
              <w:t>159,209,292.34</w:t>
            </w:r>
            <w:r>
              <w:rPr>
                <w:rFonts w:ascii="Arial"/>
                <w:sz w:val="20"/>
              </w:rPr>
            </w:r>
          </w:p>
        </w:tc>
        <w:tc>
          <w:tcPr>
            <w:tcW w:w="89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left="2" w:right="0"/>
              <w:jc w:val="center"/>
              <w:rPr>
                <w:rFonts w:ascii="Arial" w:hAnsi="Arial" w:cs="Arial" w:eastAsia="Arial" w:hint="default"/>
                <w:sz w:val="20"/>
                <w:szCs w:val="20"/>
              </w:rPr>
            </w:pPr>
            <w:r>
              <w:rPr>
                <w:rFonts w:ascii="Arial"/>
                <w:sz w:val="20"/>
              </w:rPr>
              <w:t>2,835.00</w:t>
            </w:r>
          </w:p>
        </w:tc>
        <w:tc>
          <w:tcPr>
            <w:tcW w:w="139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53"/>
              <w:jc w:val="right"/>
              <w:rPr>
                <w:rFonts w:ascii="Arial" w:hAnsi="Arial" w:cs="Arial" w:eastAsia="Arial" w:hint="default"/>
                <w:sz w:val="20"/>
                <w:szCs w:val="20"/>
              </w:rPr>
            </w:pPr>
            <w:r>
              <w:rPr>
                <w:rFonts w:ascii="Arial"/>
                <w:w w:val="95"/>
                <w:sz w:val="20"/>
              </w:rPr>
              <w:t>10,501,861.47</w:t>
            </w:r>
            <w:r>
              <w:rPr>
                <w:rFonts w:ascii="Arial"/>
                <w:sz w:val="20"/>
              </w:rPr>
            </w:r>
          </w:p>
        </w:tc>
        <w:tc>
          <w:tcPr>
            <w:tcW w:w="150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0"/>
              <w:jc w:val="center"/>
              <w:rPr>
                <w:rFonts w:ascii="Arial" w:hAnsi="Arial" w:cs="Arial" w:eastAsia="Arial" w:hint="default"/>
                <w:sz w:val="20"/>
                <w:szCs w:val="20"/>
              </w:rPr>
            </w:pPr>
            <w:r>
              <w:rPr>
                <w:rFonts w:ascii="Arial"/>
                <w:sz w:val="20"/>
              </w:rPr>
              <w:t>302,247,879.43</w:t>
            </w:r>
          </w:p>
        </w:tc>
        <w:tc>
          <w:tcPr>
            <w:tcW w:w="150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7"/>
              <w:ind w:right="56"/>
              <w:jc w:val="right"/>
              <w:rPr>
                <w:rFonts w:ascii="Arial" w:hAnsi="Arial" w:cs="Arial" w:eastAsia="Arial" w:hint="default"/>
                <w:sz w:val="20"/>
                <w:szCs w:val="20"/>
              </w:rPr>
            </w:pPr>
            <w:r>
              <w:rPr>
                <w:rFonts w:ascii="Arial"/>
                <w:w w:val="95"/>
                <w:sz w:val="20"/>
              </w:rPr>
              <w:t>471,961,868.24</w:t>
            </w:r>
            <w:r>
              <w:rPr>
                <w:rFonts w:ascii="Arial"/>
                <w:sz w:val="20"/>
              </w:rPr>
            </w:r>
          </w:p>
        </w:tc>
      </w:tr>
      <w:tr>
        <w:trPr>
          <w:trHeight w:val="358" w:hRule="exact"/>
        </w:trPr>
        <w:tc>
          <w:tcPr>
            <w:tcW w:w="214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right="84"/>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50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53"/>
              <w:jc w:val="right"/>
              <w:rPr>
                <w:rFonts w:ascii="Arial" w:hAnsi="Arial" w:cs="Arial" w:eastAsia="Arial" w:hint="default"/>
                <w:sz w:val="20"/>
                <w:szCs w:val="20"/>
              </w:rPr>
            </w:pPr>
            <w:r>
              <w:rPr>
                <w:rFonts w:ascii="Arial"/>
                <w:w w:val="95"/>
                <w:sz w:val="20"/>
              </w:rPr>
              <w:t>3,903,700.30</w:t>
            </w:r>
            <w:r>
              <w:rPr>
                <w:rFonts w:ascii="Arial"/>
                <w:sz w:val="20"/>
              </w:rPr>
            </w:r>
          </w:p>
        </w:tc>
        <w:tc>
          <w:tcPr>
            <w:tcW w:w="893" w:type="dxa"/>
            <w:tcBorders>
              <w:top w:val="single" w:sz="4" w:space="0" w:color="41B7EE"/>
              <w:left w:val="single" w:sz="4" w:space="0" w:color="41B7EE"/>
              <w:bottom w:val="single" w:sz="4" w:space="0" w:color="41B7EE"/>
              <w:right w:val="single" w:sz="4" w:space="0" w:color="41B7EE"/>
            </w:tcBorders>
          </w:tcPr>
          <w:p>
            <w:pPr/>
          </w:p>
        </w:tc>
        <w:tc>
          <w:tcPr>
            <w:tcW w:w="139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53"/>
              <w:jc w:val="right"/>
              <w:rPr>
                <w:rFonts w:ascii="Arial" w:hAnsi="Arial" w:cs="Arial" w:eastAsia="Arial" w:hint="default"/>
                <w:sz w:val="20"/>
                <w:szCs w:val="20"/>
              </w:rPr>
            </w:pPr>
            <w:r>
              <w:rPr>
                <w:rFonts w:ascii="Arial"/>
                <w:w w:val="95"/>
                <w:sz w:val="20"/>
              </w:rPr>
              <w:t>2,121,250.00</w:t>
            </w:r>
            <w:r>
              <w:rPr>
                <w:rFonts w:ascii="Arial"/>
                <w:sz w:val="20"/>
              </w:rPr>
            </w:r>
          </w:p>
        </w:tc>
        <w:tc>
          <w:tcPr>
            <w:tcW w:w="1505" w:type="dxa"/>
            <w:tcBorders>
              <w:top w:val="single" w:sz="4" w:space="0" w:color="41B7EE"/>
              <w:left w:val="single" w:sz="4" w:space="0" w:color="41B7EE"/>
              <w:bottom w:val="single" w:sz="4" w:space="0" w:color="41B7EE"/>
              <w:right w:val="single" w:sz="4" w:space="0" w:color="41B7EE"/>
            </w:tcBorders>
          </w:tcPr>
          <w:p>
            <w:pPr/>
          </w:p>
        </w:tc>
        <w:tc>
          <w:tcPr>
            <w:tcW w:w="150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7"/>
              <w:ind w:right="56"/>
              <w:jc w:val="right"/>
              <w:rPr>
                <w:rFonts w:ascii="Arial" w:hAnsi="Arial" w:cs="Arial" w:eastAsia="Arial" w:hint="default"/>
                <w:sz w:val="20"/>
                <w:szCs w:val="20"/>
              </w:rPr>
            </w:pPr>
            <w:r>
              <w:rPr>
                <w:rFonts w:ascii="Arial"/>
                <w:w w:val="95"/>
                <w:sz w:val="20"/>
              </w:rPr>
              <w:t>6,024,950.30</w:t>
            </w:r>
            <w:r>
              <w:rPr>
                <w:rFonts w:ascii="Arial"/>
                <w:sz w:val="20"/>
              </w:rPr>
            </w:r>
          </w:p>
        </w:tc>
      </w:tr>
      <w:tr>
        <w:trPr>
          <w:trHeight w:val="358" w:hRule="exact"/>
        </w:trPr>
        <w:tc>
          <w:tcPr>
            <w:tcW w:w="214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68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r>
              <w:rPr>
                <w:rFonts w:ascii="宋体" w:hAnsi="宋体" w:cs="宋体" w:eastAsia="宋体" w:hint="default"/>
                <w:sz w:val="21"/>
                <w:szCs w:val="21"/>
              </w:rPr>
              <w:t> </w:t>
            </w:r>
          </w:p>
        </w:tc>
        <w:tc>
          <w:tcPr>
            <w:tcW w:w="150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53"/>
              <w:jc w:val="right"/>
              <w:rPr>
                <w:rFonts w:ascii="Arial" w:hAnsi="Arial" w:cs="Arial" w:eastAsia="Arial" w:hint="default"/>
                <w:sz w:val="20"/>
                <w:szCs w:val="20"/>
              </w:rPr>
            </w:pPr>
            <w:r>
              <w:rPr>
                <w:rFonts w:ascii="Arial"/>
                <w:w w:val="95"/>
                <w:sz w:val="20"/>
              </w:rPr>
              <w:t>718,691.40</w:t>
            </w:r>
            <w:r>
              <w:rPr>
                <w:rFonts w:ascii="Arial"/>
                <w:sz w:val="20"/>
              </w:rPr>
            </w:r>
          </w:p>
        </w:tc>
        <w:tc>
          <w:tcPr>
            <w:tcW w:w="893" w:type="dxa"/>
            <w:tcBorders>
              <w:top w:val="single" w:sz="4" w:space="0" w:color="41B7EE"/>
              <w:left w:val="single" w:sz="4" w:space="0" w:color="41B7EE"/>
              <w:bottom w:val="single" w:sz="4" w:space="0" w:color="41B7EE"/>
              <w:right w:val="single" w:sz="4" w:space="0" w:color="41B7EE"/>
            </w:tcBorders>
          </w:tcPr>
          <w:p>
            <w:pPr/>
          </w:p>
        </w:tc>
        <w:tc>
          <w:tcPr>
            <w:tcW w:w="139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53"/>
              <w:jc w:val="right"/>
              <w:rPr>
                <w:rFonts w:ascii="Arial" w:hAnsi="Arial" w:cs="Arial" w:eastAsia="Arial" w:hint="default"/>
                <w:sz w:val="20"/>
                <w:szCs w:val="20"/>
              </w:rPr>
            </w:pPr>
            <w:r>
              <w:rPr>
                <w:rFonts w:ascii="Arial"/>
                <w:w w:val="95"/>
                <w:sz w:val="20"/>
              </w:rPr>
              <w:t>2,121,250.00</w:t>
            </w:r>
            <w:r>
              <w:rPr>
                <w:rFonts w:ascii="Arial"/>
                <w:sz w:val="20"/>
              </w:rPr>
            </w:r>
          </w:p>
        </w:tc>
        <w:tc>
          <w:tcPr>
            <w:tcW w:w="1505" w:type="dxa"/>
            <w:tcBorders>
              <w:top w:val="single" w:sz="4" w:space="0" w:color="41B7EE"/>
              <w:left w:val="single" w:sz="4" w:space="0" w:color="41B7EE"/>
              <w:bottom w:val="single" w:sz="4" w:space="0" w:color="41B7EE"/>
              <w:right w:val="single" w:sz="4" w:space="0" w:color="41B7EE"/>
            </w:tcBorders>
          </w:tcPr>
          <w:p>
            <w:pPr/>
          </w:p>
        </w:tc>
        <w:tc>
          <w:tcPr>
            <w:tcW w:w="150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5"/>
              <w:ind w:right="56"/>
              <w:jc w:val="right"/>
              <w:rPr>
                <w:rFonts w:ascii="Arial" w:hAnsi="Arial" w:cs="Arial" w:eastAsia="Arial" w:hint="default"/>
                <w:sz w:val="20"/>
                <w:szCs w:val="20"/>
              </w:rPr>
            </w:pPr>
            <w:r>
              <w:rPr>
                <w:rFonts w:ascii="Arial"/>
                <w:w w:val="95"/>
                <w:sz w:val="20"/>
              </w:rPr>
              <w:t>2,839,941.40</w:t>
            </w:r>
            <w:r>
              <w:rPr>
                <w:rFonts w:ascii="Arial"/>
                <w:sz w:val="20"/>
              </w:rPr>
            </w:r>
          </w:p>
        </w:tc>
      </w:tr>
      <w:tr>
        <w:trPr>
          <w:trHeight w:val="355" w:hRule="exact"/>
        </w:trPr>
        <w:tc>
          <w:tcPr>
            <w:tcW w:w="214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68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其他</w:t>
            </w:r>
            <w:r>
              <w:rPr>
                <w:rFonts w:ascii="宋体" w:hAnsi="宋体" w:cs="宋体" w:eastAsia="宋体" w:hint="default"/>
                <w:sz w:val="21"/>
                <w:szCs w:val="21"/>
              </w:rPr>
              <w:t> </w:t>
            </w:r>
          </w:p>
        </w:tc>
        <w:tc>
          <w:tcPr>
            <w:tcW w:w="150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53"/>
              <w:jc w:val="right"/>
              <w:rPr>
                <w:rFonts w:ascii="Arial" w:hAnsi="Arial" w:cs="Arial" w:eastAsia="Arial" w:hint="default"/>
                <w:sz w:val="20"/>
                <w:szCs w:val="20"/>
              </w:rPr>
            </w:pPr>
            <w:r>
              <w:rPr>
                <w:rFonts w:ascii="Arial"/>
                <w:w w:val="95"/>
                <w:sz w:val="20"/>
              </w:rPr>
              <w:t>3,185,008.90</w:t>
            </w:r>
            <w:r>
              <w:rPr>
                <w:rFonts w:ascii="Arial"/>
                <w:sz w:val="20"/>
              </w:rPr>
            </w:r>
          </w:p>
        </w:tc>
        <w:tc>
          <w:tcPr>
            <w:tcW w:w="893" w:type="dxa"/>
            <w:tcBorders>
              <w:top w:val="single" w:sz="4" w:space="0" w:color="41B7EE"/>
              <w:left w:val="single" w:sz="4" w:space="0" w:color="41B7EE"/>
              <w:bottom w:val="single" w:sz="4" w:space="0" w:color="41B7EE"/>
              <w:right w:val="single" w:sz="4" w:space="0" w:color="41B7EE"/>
            </w:tcBorders>
          </w:tcPr>
          <w:p>
            <w:pPr/>
          </w:p>
        </w:tc>
        <w:tc>
          <w:tcPr>
            <w:tcW w:w="1395" w:type="dxa"/>
            <w:tcBorders>
              <w:top w:val="single" w:sz="4" w:space="0" w:color="41B7EE"/>
              <w:left w:val="single" w:sz="4" w:space="0" w:color="41B7EE"/>
              <w:bottom w:val="single" w:sz="4" w:space="0" w:color="41B7EE"/>
              <w:right w:val="single" w:sz="4" w:space="0" w:color="41B7EE"/>
            </w:tcBorders>
          </w:tcPr>
          <w:p>
            <w:pPr/>
          </w:p>
        </w:tc>
        <w:tc>
          <w:tcPr>
            <w:tcW w:w="1505" w:type="dxa"/>
            <w:tcBorders>
              <w:top w:val="single" w:sz="4" w:space="0" w:color="41B7EE"/>
              <w:left w:val="single" w:sz="4" w:space="0" w:color="41B7EE"/>
              <w:bottom w:val="single" w:sz="4" w:space="0" w:color="41B7EE"/>
              <w:right w:val="single" w:sz="4" w:space="0" w:color="41B7EE"/>
            </w:tcBorders>
          </w:tcPr>
          <w:p>
            <w:pPr/>
          </w:p>
        </w:tc>
        <w:tc>
          <w:tcPr>
            <w:tcW w:w="150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5"/>
              <w:ind w:right="56"/>
              <w:jc w:val="right"/>
              <w:rPr>
                <w:rFonts w:ascii="Arial" w:hAnsi="Arial" w:cs="Arial" w:eastAsia="Arial" w:hint="default"/>
                <w:sz w:val="20"/>
                <w:szCs w:val="20"/>
              </w:rPr>
            </w:pPr>
            <w:r>
              <w:rPr>
                <w:rFonts w:ascii="Arial"/>
                <w:w w:val="95"/>
                <w:sz w:val="20"/>
              </w:rPr>
              <w:t>3,185,008.90</w:t>
            </w:r>
            <w:r>
              <w:rPr>
                <w:rFonts w:ascii="Arial"/>
                <w:sz w:val="20"/>
              </w:rPr>
            </w:r>
          </w:p>
        </w:tc>
      </w:tr>
      <w:tr>
        <w:trPr>
          <w:trHeight w:val="358" w:hRule="exact"/>
        </w:trPr>
        <w:tc>
          <w:tcPr>
            <w:tcW w:w="214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7"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505" w:type="dxa"/>
            <w:tcBorders>
              <w:top w:val="single" w:sz="4" w:space="0" w:color="41B7EE"/>
              <w:left w:val="single" w:sz="4" w:space="0" w:color="41B7EE"/>
              <w:bottom w:val="single" w:sz="4" w:space="0" w:color="41B7EE"/>
              <w:right w:val="single" w:sz="4" w:space="0" w:color="41B7EE"/>
            </w:tcBorders>
          </w:tcPr>
          <w:p>
            <w:pPr/>
          </w:p>
        </w:tc>
        <w:tc>
          <w:tcPr>
            <w:tcW w:w="893" w:type="dxa"/>
            <w:tcBorders>
              <w:top w:val="single" w:sz="4" w:space="0" w:color="41B7EE"/>
              <w:left w:val="single" w:sz="4" w:space="0" w:color="41B7EE"/>
              <w:bottom w:val="single" w:sz="4" w:space="0" w:color="41B7EE"/>
              <w:right w:val="single" w:sz="4" w:space="0" w:color="41B7EE"/>
            </w:tcBorders>
          </w:tcPr>
          <w:p>
            <w:pPr/>
          </w:p>
        </w:tc>
        <w:tc>
          <w:tcPr>
            <w:tcW w:w="1395" w:type="dxa"/>
            <w:tcBorders>
              <w:top w:val="single" w:sz="4" w:space="0" w:color="41B7EE"/>
              <w:left w:val="single" w:sz="4" w:space="0" w:color="41B7EE"/>
              <w:bottom w:val="single" w:sz="4" w:space="0" w:color="41B7EE"/>
              <w:right w:val="single" w:sz="4" w:space="0" w:color="41B7EE"/>
            </w:tcBorders>
          </w:tcPr>
          <w:p>
            <w:pPr/>
          </w:p>
        </w:tc>
        <w:tc>
          <w:tcPr>
            <w:tcW w:w="1505" w:type="dxa"/>
            <w:tcBorders>
              <w:top w:val="single" w:sz="4" w:space="0" w:color="41B7EE"/>
              <w:left w:val="single" w:sz="4" w:space="0" w:color="41B7EE"/>
              <w:bottom w:val="single" w:sz="4" w:space="0" w:color="41B7EE"/>
              <w:right w:val="single" w:sz="4" w:space="0" w:color="41B7EE"/>
            </w:tcBorders>
          </w:tcPr>
          <w:p>
            <w:pPr/>
          </w:p>
        </w:tc>
        <w:tc>
          <w:tcPr>
            <w:tcW w:w="1505"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214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68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505" w:type="dxa"/>
            <w:tcBorders>
              <w:top w:val="single" w:sz="4" w:space="0" w:color="41B7EE"/>
              <w:left w:val="single" w:sz="4" w:space="0" w:color="41B7EE"/>
              <w:bottom w:val="single" w:sz="4" w:space="0" w:color="41B7EE"/>
              <w:right w:val="single" w:sz="4" w:space="0" w:color="41B7EE"/>
            </w:tcBorders>
          </w:tcPr>
          <w:p>
            <w:pPr/>
          </w:p>
        </w:tc>
        <w:tc>
          <w:tcPr>
            <w:tcW w:w="893" w:type="dxa"/>
            <w:tcBorders>
              <w:top w:val="single" w:sz="4" w:space="0" w:color="41B7EE"/>
              <w:left w:val="single" w:sz="4" w:space="0" w:color="41B7EE"/>
              <w:bottom w:val="single" w:sz="4" w:space="0" w:color="41B7EE"/>
              <w:right w:val="single" w:sz="4" w:space="0" w:color="41B7EE"/>
            </w:tcBorders>
          </w:tcPr>
          <w:p>
            <w:pPr/>
          </w:p>
        </w:tc>
        <w:tc>
          <w:tcPr>
            <w:tcW w:w="1395" w:type="dxa"/>
            <w:tcBorders>
              <w:top w:val="single" w:sz="4" w:space="0" w:color="41B7EE"/>
              <w:left w:val="single" w:sz="4" w:space="0" w:color="41B7EE"/>
              <w:bottom w:val="single" w:sz="4" w:space="0" w:color="41B7EE"/>
              <w:right w:val="single" w:sz="4" w:space="0" w:color="41B7EE"/>
            </w:tcBorders>
          </w:tcPr>
          <w:p>
            <w:pPr/>
          </w:p>
        </w:tc>
        <w:tc>
          <w:tcPr>
            <w:tcW w:w="1505" w:type="dxa"/>
            <w:tcBorders>
              <w:top w:val="single" w:sz="4" w:space="0" w:color="41B7EE"/>
              <w:left w:val="single" w:sz="4" w:space="0" w:color="41B7EE"/>
              <w:bottom w:val="single" w:sz="4" w:space="0" w:color="41B7EE"/>
              <w:right w:val="single" w:sz="4" w:space="0" w:color="41B7EE"/>
            </w:tcBorders>
          </w:tcPr>
          <w:p>
            <w:pPr/>
          </w:p>
        </w:tc>
        <w:tc>
          <w:tcPr>
            <w:tcW w:w="1505"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214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7"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50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53"/>
              <w:jc w:val="right"/>
              <w:rPr>
                <w:rFonts w:ascii="Arial" w:hAnsi="Arial" w:cs="Arial" w:eastAsia="Arial" w:hint="default"/>
                <w:sz w:val="20"/>
                <w:szCs w:val="20"/>
              </w:rPr>
            </w:pPr>
            <w:r>
              <w:rPr>
                <w:rFonts w:ascii="Arial"/>
                <w:w w:val="95"/>
                <w:sz w:val="20"/>
              </w:rPr>
              <w:t>163,112,992.64</w:t>
            </w:r>
            <w:r>
              <w:rPr>
                <w:rFonts w:ascii="Arial"/>
                <w:sz w:val="20"/>
              </w:rPr>
            </w:r>
          </w:p>
        </w:tc>
        <w:tc>
          <w:tcPr>
            <w:tcW w:w="89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left="2" w:right="0"/>
              <w:jc w:val="center"/>
              <w:rPr>
                <w:rFonts w:ascii="Arial" w:hAnsi="Arial" w:cs="Arial" w:eastAsia="Arial" w:hint="default"/>
                <w:sz w:val="20"/>
                <w:szCs w:val="20"/>
              </w:rPr>
            </w:pPr>
            <w:r>
              <w:rPr>
                <w:rFonts w:ascii="Arial"/>
                <w:sz w:val="20"/>
              </w:rPr>
              <w:t>2,835.00</w:t>
            </w:r>
          </w:p>
        </w:tc>
        <w:tc>
          <w:tcPr>
            <w:tcW w:w="139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53"/>
              <w:jc w:val="right"/>
              <w:rPr>
                <w:rFonts w:ascii="Arial" w:hAnsi="Arial" w:cs="Arial" w:eastAsia="Arial" w:hint="default"/>
                <w:sz w:val="20"/>
                <w:szCs w:val="20"/>
              </w:rPr>
            </w:pPr>
            <w:r>
              <w:rPr>
                <w:rFonts w:ascii="Arial"/>
                <w:w w:val="95"/>
                <w:sz w:val="20"/>
              </w:rPr>
              <w:t>12,623,111.47</w:t>
            </w:r>
            <w:r>
              <w:rPr>
                <w:rFonts w:ascii="Arial"/>
                <w:sz w:val="20"/>
              </w:rPr>
            </w:r>
          </w:p>
        </w:tc>
        <w:tc>
          <w:tcPr>
            <w:tcW w:w="150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0"/>
              <w:jc w:val="center"/>
              <w:rPr>
                <w:rFonts w:ascii="Arial" w:hAnsi="Arial" w:cs="Arial" w:eastAsia="Arial" w:hint="default"/>
                <w:sz w:val="20"/>
                <w:szCs w:val="20"/>
              </w:rPr>
            </w:pPr>
            <w:r>
              <w:rPr>
                <w:rFonts w:ascii="Arial"/>
                <w:sz w:val="20"/>
              </w:rPr>
              <w:t>302,247,879.43</w:t>
            </w:r>
          </w:p>
        </w:tc>
        <w:tc>
          <w:tcPr>
            <w:tcW w:w="150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5"/>
              <w:ind w:right="56"/>
              <w:jc w:val="right"/>
              <w:rPr>
                <w:rFonts w:ascii="Arial" w:hAnsi="Arial" w:cs="Arial" w:eastAsia="Arial" w:hint="default"/>
                <w:sz w:val="20"/>
                <w:szCs w:val="20"/>
              </w:rPr>
            </w:pPr>
            <w:r>
              <w:rPr>
                <w:rFonts w:ascii="Arial"/>
                <w:w w:val="95"/>
                <w:sz w:val="20"/>
              </w:rPr>
              <w:t>477,986,818.54</w:t>
            </w:r>
            <w:r>
              <w:rPr>
                <w:rFonts w:ascii="Arial"/>
                <w:sz w:val="20"/>
              </w:rPr>
            </w:r>
          </w:p>
        </w:tc>
      </w:tr>
      <w:tr>
        <w:trPr>
          <w:trHeight w:val="356" w:hRule="exact"/>
        </w:trPr>
        <w:tc>
          <w:tcPr>
            <w:tcW w:w="214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57" w:right="0"/>
              <w:jc w:val="left"/>
              <w:rPr>
                <w:rFonts w:ascii="宋体" w:hAnsi="宋体" w:cs="宋体" w:eastAsia="宋体" w:hint="default"/>
                <w:sz w:val="21"/>
                <w:szCs w:val="21"/>
              </w:rPr>
            </w:pPr>
            <w:r>
              <w:rPr>
                <w:rFonts w:ascii="宋体" w:hAnsi="宋体" w:cs="宋体" w:eastAsia="宋体" w:hint="default"/>
                <w:sz w:val="21"/>
                <w:szCs w:val="21"/>
              </w:rPr>
              <w:t>二、累计摊销</w:t>
            </w:r>
            <w:r>
              <w:rPr>
                <w:rFonts w:ascii="宋体" w:hAnsi="宋体" w:cs="宋体" w:eastAsia="宋体" w:hint="default"/>
                <w:sz w:val="21"/>
                <w:szCs w:val="21"/>
              </w:rPr>
              <w:t> </w:t>
            </w:r>
          </w:p>
        </w:tc>
        <w:tc>
          <w:tcPr>
            <w:tcW w:w="1505" w:type="dxa"/>
            <w:tcBorders>
              <w:top w:val="single" w:sz="4" w:space="0" w:color="41B7EE"/>
              <w:left w:val="single" w:sz="4" w:space="0" w:color="41B7EE"/>
              <w:bottom w:val="single" w:sz="4" w:space="0" w:color="41B7EE"/>
              <w:right w:val="single" w:sz="4" w:space="0" w:color="41B7EE"/>
            </w:tcBorders>
          </w:tcPr>
          <w:p>
            <w:pPr/>
          </w:p>
        </w:tc>
        <w:tc>
          <w:tcPr>
            <w:tcW w:w="893" w:type="dxa"/>
            <w:tcBorders>
              <w:top w:val="single" w:sz="4" w:space="0" w:color="41B7EE"/>
              <w:left w:val="single" w:sz="4" w:space="0" w:color="41B7EE"/>
              <w:bottom w:val="single" w:sz="4" w:space="0" w:color="41B7EE"/>
              <w:right w:val="single" w:sz="4" w:space="0" w:color="41B7EE"/>
            </w:tcBorders>
          </w:tcPr>
          <w:p>
            <w:pPr/>
          </w:p>
        </w:tc>
        <w:tc>
          <w:tcPr>
            <w:tcW w:w="1395" w:type="dxa"/>
            <w:tcBorders>
              <w:top w:val="single" w:sz="4" w:space="0" w:color="41B7EE"/>
              <w:left w:val="single" w:sz="4" w:space="0" w:color="41B7EE"/>
              <w:bottom w:val="single" w:sz="4" w:space="0" w:color="41B7EE"/>
              <w:right w:val="single" w:sz="4" w:space="0" w:color="41B7EE"/>
            </w:tcBorders>
          </w:tcPr>
          <w:p>
            <w:pPr/>
          </w:p>
        </w:tc>
        <w:tc>
          <w:tcPr>
            <w:tcW w:w="1505" w:type="dxa"/>
            <w:tcBorders>
              <w:top w:val="single" w:sz="4" w:space="0" w:color="41B7EE"/>
              <w:left w:val="single" w:sz="4" w:space="0" w:color="41B7EE"/>
              <w:bottom w:val="single" w:sz="4" w:space="0" w:color="41B7EE"/>
              <w:right w:val="single" w:sz="4" w:space="0" w:color="41B7EE"/>
            </w:tcBorders>
          </w:tcPr>
          <w:p>
            <w:pPr/>
          </w:p>
        </w:tc>
        <w:tc>
          <w:tcPr>
            <w:tcW w:w="1505"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214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47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50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54"/>
              <w:jc w:val="right"/>
              <w:rPr>
                <w:rFonts w:ascii="Arial" w:hAnsi="Arial" w:cs="Arial" w:eastAsia="Arial" w:hint="default"/>
                <w:sz w:val="20"/>
                <w:szCs w:val="20"/>
              </w:rPr>
            </w:pPr>
            <w:r>
              <w:rPr>
                <w:rFonts w:ascii="Arial"/>
                <w:w w:val="95"/>
                <w:sz w:val="20"/>
              </w:rPr>
              <w:t>45,607,495.41</w:t>
            </w:r>
            <w:r>
              <w:rPr>
                <w:rFonts w:ascii="Arial"/>
                <w:sz w:val="20"/>
              </w:rPr>
            </w:r>
          </w:p>
        </w:tc>
        <w:tc>
          <w:tcPr>
            <w:tcW w:w="89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left="2" w:right="0"/>
              <w:jc w:val="center"/>
              <w:rPr>
                <w:rFonts w:ascii="Arial" w:hAnsi="Arial" w:cs="Arial" w:eastAsia="Arial" w:hint="default"/>
                <w:sz w:val="20"/>
                <w:szCs w:val="20"/>
              </w:rPr>
            </w:pPr>
            <w:r>
              <w:rPr>
                <w:rFonts w:ascii="Arial"/>
                <w:sz w:val="20"/>
              </w:rPr>
              <w:t>2,835.00</w:t>
            </w:r>
          </w:p>
        </w:tc>
        <w:tc>
          <w:tcPr>
            <w:tcW w:w="139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53"/>
              <w:jc w:val="right"/>
              <w:rPr>
                <w:rFonts w:ascii="Arial" w:hAnsi="Arial" w:cs="Arial" w:eastAsia="Arial" w:hint="default"/>
                <w:sz w:val="20"/>
                <w:szCs w:val="20"/>
              </w:rPr>
            </w:pPr>
            <w:r>
              <w:rPr>
                <w:rFonts w:ascii="Arial"/>
                <w:w w:val="95"/>
                <w:sz w:val="20"/>
              </w:rPr>
              <w:t>7,223,008.72</w:t>
            </w:r>
            <w:r>
              <w:rPr>
                <w:rFonts w:ascii="Arial"/>
                <w:sz w:val="20"/>
              </w:rPr>
            </w:r>
          </w:p>
        </w:tc>
        <w:tc>
          <w:tcPr>
            <w:tcW w:w="1505" w:type="dxa"/>
            <w:tcBorders>
              <w:top w:val="single" w:sz="4" w:space="0" w:color="41B7EE"/>
              <w:left w:val="single" w:sz="4" w:space="0" w:color="41B7EE"/>
              <w:bottom w:val="single" w:sz="4" w:space="0" w:color="41B7EE"/>
              <w:right w:val="single" w:sz="4" w:space="0" w:color="41B7EE"/>
            </w:tcBorders>
          </w:tcPr>
          <w:p>
            <w:pPr/>
          </w:p>
        </w:tc>
        <w:tc>
          <w:tcPr>
            <w:tcW w:w="150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7"/>
              <w:ind w:right="56"/>
              <w:jc w:val="right"/>
              <w:rPr>
                <w:rFonts w:ascii="Arial" w:hAnsi="Arial" w:cs="Arial" w:eastAsia="Arial" w:hint="default"/>
                <w:sz w:val="20"/>
                <w:szCs w:val="20"/>
              </w:rPr>
            </w:pPr>
            <w:r>
              <w:rPr>
                <w:rFonts w:ascii="Arial"/>
                <w:w w:val="95"/>
                <w:sz w:val="20"/>
              </w:rPr>
              <w:t>52,833,339.13</w:t>
            </w:r>
            <w:r>
              <w:rPr>
                <w:rFonts w:ascii="Arial"/>
                <w:sz w:val="20"/>
              </w:rPr>
            </w:r>
          </w:p>
        </w:tc>
      </w:tr>
      <w:tr>
        <w:trPr>
          <w:trHeight w:val="358" w:hRule="exact"/>
        </w:trPr>
        <w:tc>
          <w:tcPr>
            <w:tcW w:w="214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right="84"/>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50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53"/>
              <w:jc w:val="right"/>
              <w:rPr>
                <w:rFonts w:ascii="Arial" w:hAnsi="Arial" w:cs="Arial" w:eastAsia="Arial" w:hint="default"/>
                <w:sz w:val="20"/>
                <w:szCs w:val="20"/>
              </w:rPr>
            </w:pPr>
            <w:r>
              <w:rPr>
                <w:rFonts w:ascii="Arial"/>
                <w:w w:val="95"/>
                <w:sz w:val="20"/>
              </w:rPr>
              <w:t>3,224,956.52</w:t>
            </w:r>
            <w:r>
              <w:rPr>
                <w:rFonts w:ascii="Arial"/>
                <w:sz w:val="20"/>
              </w:rPr>
            </w:r>
          </w:p>
        </w:tc>
        <w:tc>
          <w:tcPr>
            <w:tcW w:w="893" w:type="dxa"/>
            <w:tcBorders>
              <w:top w:val="single" w:sz="4" w:space="0" w:color="41B7EE"/>
              <w:left w:val="single" w:sz="4" w:space="0" w:color="41B7EE"/>
              <w:bottom w:val="single" w:sz="4" w:space="0" w:color="41B7EE"/>
              <w:right w:val="single" w:sz="4" w:space="0" w:color="41B7EE"/>
            </w:tcBorders>
          </w:tcPr>
          <w:p>
            <w:pPr/>
          </w:p>
        </w:tc>
        <w:tc>
          <w:tcPr>
            <w:tcW w:w="139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53"/>
              <w:jc w:val="right"/>
              <w:rPr>
                <w:rFonts w:ascii="Arial" w:hAnsi="Arial" w:cs="Arial" w:eastAsia="Arial" w:hint="default"/>
                <w:sz w:val="20"/>
                <w:szCs w:val="20"/>
              </w:rPr>
            </w:pPr>
            <w:r>
              <w:rPr>
                <w:rFonts w:ascii="Arial"/>
                <w:w w:val="95"/>
                <w:sz w:val="20"/>
              </w:rPr>
              <w:t>565,094.88</w:t>
            </w:r>
            <w:r>
              <w:rPr>
                <w:rFonts w:ascii="Arial"/>
                <w:sz w:val="20"/>
              </w:rPr>
            </w:r>
          </w:p>
        </w:tc>
        <w:tc>
          <w:tcPr>
            <w:tcW w:w="1505" w:type="dxa"/>
            <w:tcBorders>
              <w:top w:val="single" w:sz="4" w:space="0" w:color="41B7EE"/>
              <w:left w:val="single" w:sz="4" w:space="0" w:color="41B7EE"/>
              <w:bottom w:val="single" w:sz="4" w:space="0" w:color="41B7EE"/>
              <w:right w:val="single" w:sz="4" w:space="0" w:color="41B7EE"/>
            </w:tcBorders>
          </w:tcPr>
          <w:p>
            <w:pPr/>
          </w:p>
        </w:tc>
        <w:tc>
          <w:tcPr>
            <w:tcW w:w="150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7"/>
              <w:ind w:right="56"/>
              <w:jc w:val="right"/>
              <w:rPr>
                <w:rFonts w:ascii="Arial" w:hAnsi="Arial" w:cs="Arial" w:eastAsia="Arial" w:hint="default"/>
                <w:sz w:val="20"/>
                <w:szCs w:val="20"/>
              </w:rPr>
            </w:pPr>
            <w:r>
              <w:rPr>
                <w:rFonts w:ascii="Arial"/>
                <w:w w:val="95"/>
                <w:sz w:val="20"/>
              </w:rPr>
              <w:t>3,790,051.40</w:t>
            </w:r>
            <w:r>
              <w:rPr>
                <w:rFonts w:ascii="Arial"/>
                <w:sz w:val="20"/>
              </w:rPr>
            </w:r>
          </w:p>
        </w:tc>
      </w:tr>
      <w:tr>
        <w:trPr>
          <w:trHeight w:val="358" w:hRule="exact"/>
        </w:trPr>
        <w:tc>
          <w:tcPr>
            <w:tcW w:w="214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68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50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53"/>
              <w:jc w:val="right"/>
              <w:rPr>
                <w:rFonts w:ascii="Arial" w:hAnsi="Arial" w:cs="Arial" w:eastAsia="Arial" w:hint="default"/>
                <w:sz w:val="20"/>
                <w:szCs w:val="20"/>
              </w:rPr>
            </w:pPr>
            <w:r>
              <w:rPr>
                <w:rFonts w:ascii="Arial"/>
                <w:w w:val="95"/>
                <w:sz w:val="20"/>
              </w:rPr>
              <w:t>3,224,956.52</w:t>
            </w:r>
            <w:r>
              <w:rPr>
                <w:rFonts w:ascii="Arial"/>
                <w:sz w:val="20"/>
              </w:rPr>
            </w:r>
          </w:p>
        </w:tc>
        <w:tc>
          <w:tcPr>
            <w:tcW w:w="893" w:type="dxa"/>
            <w:tcBorders>
              <w:top w:val="single" w:sz="4" w:space="0" w:color="41B7EE"/>
              <w:left w:val="single" w:sz="4" w:space="0" w:color="41B7EE"/>
              <w:bottom w:val="single" w:sz="4" w:space="0" w:color="41B7EE"/>
              <w:right w:val="single" w:sz="4" w:space="0" w:color="41B7EE"/>
            </w:tcBorders>
          </w:tcPr>
          <w:p>
            <w:pPr/>
          </w:p>
        </w:tc>
        <w:tc>
          <w:tcPr>
            <w:tcW w:w="139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53"/>
              <w:jc w:val="right"/>
              <w:rPr>
                <w:rFonts w:ascii="Arial" w:hAnsi="Arial" w:cs="Arial" w:eastAsia="Arial" w:hint="default"/>
                <w:sz w:val="20"/>
                <w:szCs w:val="20"/>
              </w:rPr>
            </w:pPr>
            <w:r>
              <w:rPr>
                <w:rFonts w:ascii="Arial"/>
                <w:w w:val="95"/>
                <w:sz w:val="20"/>
              </w:rPr>
              <w:t>565,094.88</w:t>
            </w:r>
            <w:r>
              <w:rPr>
                <w:rFonts w:ascii="Arial"/>
                <w:sz w:val="20"/>
              </w:rPr>
            </w:r>
          </w:p>
        </w:tc>
        <w:tc>
          <w:tcPr>
            <w:tcW w:w="1505" w:type="dxa"/>
            <w:tcBorders>
              <w:top w:val="single" w:sz="4" w:space="0" w:color="41B7EE"/>
              <w:left w:val="single" w:sz="4" w:space="0" w:color="41B7EE"/>
              <w:bottom w:val="single" w:sz="4" w:space="0" w:color="41B7EE"/>
              <w:right w:val="single" w:sz="4" w:space="0" w:color="41B7EE"/>
            </w:tcBorders>
          </w:tcPr>
          <w:p>
            <w:pPr/>
          </w:p>
        </w:tc>
        <w:tc>
          <w:tcPr>
            <w:tcW w:w="150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5"/>
              <w:ind w:right="56"/>
              <w:jc w:val="right"/>
              <w:rPr>
                <w:rFonts w:ascii="Arial" w:hAnsi="Arial" w:cs="Arial" w:eastAsia="Arial" w:hint="default"/>
                <w:sz w:val="20"/>
                <w:szCs w:val="20"/>
              </w:rPr>
            </w:pPr>
            <w:r>
              <w:rPr>
                <w:rFonts w:ascii="Arial"/>
                <w:w w:val="95"/>
                <w:sz w:val="20"/>
              </w:rPr>
              <w:t>3,790,051.40</w:t>
            </w:r>
            <w:r>
              <w:rPr>
                <w:rFonts w:ascii="Arial"/>
                <w:sz w:val="20"/>
              </w:rPr>
            </w:r>
          </w:p>
        </w:tc>
      </w:tr>
      <w:tr>
        <w:trPr>
          <w:trHeight w:val="355" w:hRule="exact"/>
        </w:trPr>
        <w:tc>
          <w:tcPr>
            <w:tcW w:w="214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right="84"/>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r>
              <w:rPr>
                <w:rFonts w:ascii="宋体" w:hAnsi="宋体" w:cs="宋体" w:eastAsia="宋体" w:hint="default"/>
                <w:sz w:val="21"/>
                <w:szCs w:val="21"/>
              </w:rPr>
              <w:t> </w:t>
            </w:r>
          </w:p>
        </w:tc>
        <w:tc>
          <w:tcPr>
            <w:tcW w:w="1505" w:type="dxa"/>
            <w:tcBorders>
              <w:top w:val="single" w:sz="4" w:space="0" w:color="41B7EE"/>
              <w:left w:val="single" w:sz="4" w:space="0" w:color="41B7EE"/>
              <w:bottom w:val="single" w:sz="4" w:space="0" w:color="41B7EE"/>
              <w:right w:val="single" w:sz="4" w:space="0" w:color="41B7EE"/>
            </w:tcBorders>
          </w:tcPr>
          <w:p>
            <w:pPr/>
          </w:p>
        </w:tc>
        <w:tc>
          <w:tcPr>
            <w:tcW w:w="893" w:type="dxa"/>
            <w:tcBorders>
              <w:top w:val="single" w:sz="4" w:space="0" w:color="41B7EE"/>
              <w:left w:val="single" w:sz="4" w:space="0" w:color="41B7EE"/>
              <w:bottom w:val="single" w:sz="4" w:space="0" w:color="41B7EE"/>
              <w:right w:val="single" w:sz="4" w:space="0" w:color="41B7EE"/>
            </w:tcBorders>
          </w:tcPr>
          <w:p>
            <w:pPr/>
          </w:p>
        </w:tc>
        <w:tc>
          <w:tcPr>
            <w:tcW w:w="1395" w:type="dxa"/>
            <w:tcBorders>
              <w:top w:val="single" w:sz="4" w:space="0" w:color="41B7EE"/>
              <w:left w:val="single" w:sz="4" w:space="0" w:color="41B7EE"/>
              <w:bottom w:val="single" w:sz="4" w:space="0" w:color="41B7EE"/>
              <w:right w:val="single" w:sz="4" w:space="0" w:color="41B7EE"/>
            </w:tcBorders>
          </w:tcPr>
          <w:p>
            <w:pPr/>
          </w:p>
        </w:tc>
        <w:tc>
          <w:tcPr>
            <w:tcW w:w="1505" w:type="dxa"/>
            <w:tcBorders>
              <w:top w:val="single" w:sz="4" w:space="0" w:color="41B7EE"/>
              <w:left w:val="single" w:sz="4" w:space="0" w:color="41B7EE"/>
              <w:bottom w:val="single" w:sz="4" w:space="0" w:color="41B7EE"/>
              <w:right w:val="single" w:sz="4" w:space="0" w:color="41B7EE"/>
            </w:tcBorders>
          </w:tcPr>
          <w:p>
            <w:pPr/>
          </w:p>
        </w:tc>
        <w:tc>
          <w:tcPr>
            <w:tcW w:w="1505"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214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689" w:right="0"/>
              <w:jc w:val="left"/>
              <w:rPr>
                <w:rFonts w:ascii="宋体" w:hAnsi="宋体" w:cs="宋体" w:eastAsia="宋体" w:hint="default"/>
                <w:sz w:val="21"/>
                <w:szCs w:val="21"/>
              </w:rPr>
            </w:pPr>
            <w:r>
              <w:rPr>
                <w:rFonts w:ascii="宋体" w:hAnsi="宋体" w:cs="宋体" w:eastAsia="宋体" w:hint="default"/>
                <w:spacing w:val="-1"/>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505" w:type="dxa"/>
            <w:tcBorders>
              <w:top w:val="single" w:sz="4" w:space="0" w:color="41B7EE"/>
              <w:left w:val="single" w:sz="4" w:space="0" w:color="41B7EE"/>
              <w:bottom w:val="single" w:sz="4" w:space="0" w:color="41B7EE"/>
              <w:right w:val="single" w:sz="4" w:space="0" w:color="41B7EE"/>
            </w:tcBorders>
          </w:tcPr>
          <w:p>
            <w:pPr/>
          </w:p>
        </w:tc>
        <w:tc>
          <w:tcPr>
            <w:tcW w:w="893" w:type="dxa"/>
            <w:tcBorders>
              <w:top w:val="single" w:sz="4" w:space="0" w:color="41B7EE"/>
              <w:left w:val="single" w:sz="4" w:space="0" w:color="41B7EE"/>
              <w:bottom w:val="single" w:sz="4" w:space="0" w:color="41B7EE"/>
              <w:right w:val="single" w:sz="4" w:space="0" w:color="41B7EE"/>
            </w:tcBorders>
          </w:tcPr>
          <w:p>
            <w:pPr/>
          </w:p>
        </w:tc>
        <w:tc>
          <w:tcPr>
            <w:tcW w:w="1395" w:type="dxa"/>
            <w:tcBorders>
              <w:top w:val="single" w:sz="4" w:space="0" w:color="41B7EE"/>
              <w:left w:val="single" w:sz="4" w:space="0" w:color="41B7EE"/>
              <w:bottom w:val="single" w:sz="4" w:space="0" w:color="41B7EE"/>
              <w:right w:val="single" w:sz="4" w:space="0" w:color="41B7EE"/>
            </w:tcBorders>
          </w:tcPr>
          <w:p>
            <w:pPr/>
          </w:p>
        </w:tc>
        <w:tc>
          <w:tcPr>
            <w:tcW w:w="1505" w:type="dxa"/>
            <w:tcBorders>
              <w:top w:val="single" w:sz="4" w:space="0" w:color="41B7EE"/>
              <w:left w:val="single" w:sz="4" w:space="0" w:color="41B7EE"/>
              <w:bottom w:val="single" w:sz="4" w:space="0" w:color="41B7EE"/>
              <w:right w:val="single" w:sz="4" w:space="0" w:color="41B7EE"/>
            </w:tcBorders>
          </w:tcPr>
          <w:p>
            <w:pPr/>
          </w:p>
        </w:tc>
        <w:tc>
          <w:tcPr>
            <w:tcW w:w="1505" w:type="dxa"/>
            <w:tcBorders>
              <w:top w:val="single" w:sz="4" w:space="0" w:color="41B7EE"/>
              <w:left w:val="single" w:sz="4" w:space="0" w:color="41B7EE"/>
              <w:bottom w:val="single" w:sz="4" w:space="0" w:color="41B7EE"/>
              <w:right w:val="nil" w:sz="6" w:space="0" w:color="auto"/>
            </w:tcBorders>
          </w:tcPr>
          <w:p>
            <w:pPr/>
          </w:p>
        </w:tc>
      </w:tr>
      <w:tr>
        <w:trPr>
          <w:trHeight w:val="410" w:hRule="exact"/>
        </w:trPr>
        <w:tc>
          <w:tcPr>
            <w:tcW w:w="214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30"/>
              <w:ind w:left="47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50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83"/>
              <w:ind w:right="54"/>
              <w:jc w:val="right"/>
              <w:rPr>
                <w:rFonts w:ascii="Arial" w:hAnsi="Arial" w:cs="Arial" w:eastAsia="Arial" w:hint="default"/>
                <w:sz w:val="20"/>
                <w:szCs w:val="20"/>
              </w:rPr>
            </w:pPr>
            <w:r>
              <w:rPr>
                <w:rFonts w:ascii="Arial"/>
                <w:w w:val="95"/>
                <w:sz w:val="20"/>
              </w:rPr>
              <w:t>48,832,451.93</w:t>
            </w:r>
            <w:r>
              <w:rPr>
                <w:rFonts w:ascii="Arial"/>
                <w:sz w:val="20"/>
              </w:rPr>
            </w:r>
          </w:p>
        </w:tc>
        <w:tc>
          <w:tcPr>
            <w:tcW w:w="89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83"/>
              <w:ind w:left="2" w:right="0"/>
              <w:jc w:val="center"/>
              <w:rPr>
                <w:rFonts w:ascii="Arial" w:hAnsi="Arial" w:cs="Arial" w:eastAsia="Arial" w:hint="default"/>
                <w:sz w:val="20"/>
                <w:szCs w:val="20"/>
              </w:rPr>
            </w:pPr>
            <w:r>
              <w:rPr>
                <w:rFonts w:ascii="Arial"/>
                <w:sz w:val="20"/>
              </w:rPr>
              <w:t>2,835.00</w:t>
            </w:r>
          </w:p>
        </w:tc>
        <w:tc>
          <w:tcPr>
            <w:tcW w:w="139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83"/>
              <w:ind w:right="53"/>
              <w:jc w:val="right"/>
              <w:rPr>
                <w:rFonts w:ascii="Arial" w:hAnsi="Arial" w:cs="Arial" w:eastAsia="Arial" w:hint="default"/>
                <w:sz w:val="20"/>
                <w:szCs w:val="20"/>
              </w:rPr>
            </w:pPr>
            <w:r>
              <w:rPr>
                <w:rFonts w:ascii="Arial"/>
                <w:w w:val="95"/>
                <w:sz w:val="20"/>
              </w:rPr>
              <w:t>7,788,103.60</w:t>
            </w:r>
            <w:r>
              <w:rPr>
                <w:rFonts w:ascii="Arial"/>
                <w:sz w:val="20"/>
              </w:rPr>
            </w:r>
          </w:p>
        </w:tc>
        <w:tc>
          <w:tcPr>
            <w:tcW w:w="1505" w:type="dxa"/>
            <w:tcBorders>
              <w:top w:val="single" w:sz="4" w:space="0" w:color="41B7EE"/>
              <w:left w:val="single" w:sz="4" w:space="0" w:color="41B7EE"/>
              <w:bottom w:val="single" w:sz="4" w:space="0" w:color="41B7EE"/>
              <w:right w:val="single" w:sz="4" w:space="0" w:color="41B7EE"/>
            </w:tcBorders>
          </w:tcPr>
          <w:p>
            <w:pPr/>
          </w:p>
        </w:tc>
        <w:tc>
          <w:tcPr>
            <w:tcW w:w="150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31"/>
              <w:ind w:right="114"/>
              <w:jc w:val="right"/>
              <w:rPr>
                <w:rFonts w:ascii="Arial" w:hAnsi="Arial" w:cs="Arial" w:eastAsia="Arial" w:hint="default"/>
                <w:sz w:val="20"/>
                <w:szCs w:val="20"/>
              </w:rPr>
            </w:pPr>
            <w:r>
              <w:rPr>
                <w:rFonts w:ascii="Arial"/>
                <w:w w:val="95"/>
                <w:sz w:val="20"/>
              </w:rPr>
              <w:t>56,623,390.53</w:t>
            </w:r>
            <w:r>
              <w:rPr>
                <w:rFonts w:ascii="Arial"/>
                <w:sz w:val="20"/>
              </w:rPr>
            </w:r>
          </w:p>
        </w:tc>
      </w:tr>
      <w:tr>
        <w:trPr>
          <w:trHeight w:val="358" w:hRule="exact"/>
        </w:trPr>
        <w:tc>
          <w:tcPr>
            <w:tcW w:w="214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7"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505" w:type="dxa"/>
            <w:tcBorders>
              <w:top w:val="single" w:sz="4" w:space="0" w:color="41B7EE"/>
              <w:left w:val="single" w:sz="4" w:space="0" w:color="41B7EE"/>
              <w:bottom w:val="single" w:sz="4" w:space="0" w:color="41B7EE"/>
              <w:right w:val="single" w:sz="4" w:space="0" w:color="41B7EE"/>
            </w:tcBorders>
          </w:tcPr>
          <w:p>
            <w:pPr/>
          </w:p>
        </w:tc>
        <w:tc>
          <w:tcPr>
            <w:tcW w:w="893" w:type="dxa"/>
            <w:tcBorders>
              <w:top w:val="single" w:sz="4" w:space="0" w:color="41B7EE"/>
              <w:left w:val="single" w:sz="4" w:space="0" w:color="41B7EE"/>
              <w:bottom w:val="single" w:sz="4" w:space="0" w:color="41B7EE"/>
              <w:right w:val="single" w:sz="4" w:space="0" w:color="41B7EE"/>
            </w:tcBorders>
          </w:tcPr>
          <w:p>
            <w:pPr/>
          </w:p>
        </w:tc>
        <w:tc>
          <w:tcPr>
            <w:tcW w:w="1395" w:type="dxa"/>
            <w:tcBorders>
              <w:top w:val="single" w:sz="4" w:space="0" w:color="41B7EE"/>
              <w:left w:val="single" w:sz="4" w:space="0" w:color="41B7EE"/>
              <w:bottom w:val="single" w:sz="4" w:space="0" w:color="41B7EE"/>
              <w:right w:val="single" w:sz="4" w:space="0" w:color="41B7EE"/>
            </w:tcBorders>
          </w:tcPr>
          <w:p>
            <w:pPr/>
          </w:p>
        </w:tc>
        <w:tc>
          <w:tcPr>
            <w:tcW w:w="1505" w:type="dxa"/>
            <w:tcBorders>
              <w:top w:val="single" w:sz="4" w:space="0" w:color="41B7EE"/>
              <w:left w:val="single" w:sz="4" w:space="0" w:color="41B7EE"/>
              <w:bottom w:val="single" w:sz="4" w:space="0" w:color="41B7EE"/>
              <w:right w:val="single" w:sz="4" w:space="0" w:color="41B7EE"/>
            </w:tcBorders>
          </w:tcPr>
          <w:p>
            <w:pPr/>
          </w:p>
        </w:tc>
        <w:tc>
          <w:tcPr>
            <w:tcW w:w="1505" w:type="dxa"/>
            <w:tcBorders>
              <w:top w:val="single" w:sz="4" w:space="0" w:color="41B7EE"/>
              <w:left w:val="single" w:sz="4" w:space="0" w:color="41B7EE"/>
              <w:bottom w:val="single" w:sz="4" w:space="0" w:color="41B7EE"/>
              <w:right w:val="nil" w:sz="6" w:space="0" w:color="auto"/>
            </w:tcBorders>
          </w:tcPr>
          <w:p>
            <w:pPr/>
          </w:p>
        </w:tc>
      </w:tr>
      <w:tr>
        <w:trPr>
          <w:trHeight w:val="362" w:hRule="exact"/>
        </w:trPr>
        <w:tc>
          <w:tcPr>
            <w:tcW w:w="2146"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2"/>
              <w:ind w:left="47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505" w:type="dxa"/>
            <w:tcBorders>
              <w:top w:val="single" w:sz="4" w:space="0" w:color="41B7EE"/>
              <w:left w:val="single" w:sz="4" w:space="0" w:color="41B7EE"/>
              <w:bottom w:val="single" w:sz="8" w:space="0" w:color="41B7EE"/>
              <w:right w:val="single" w:sz="4" w:space="0" w:color="41B7EE"/>
            </w:tcBorders>
          </w:tcPr>
          <w:p>
            <w:pPr/>
          </w:p>
        </w:tc>
        <w:tc>
          <w:tcPr>
            <w:tcW w:w="893" w:type="dxa"/>
            <w:tcBorders>
              <w:top w:val="single" w:sz="4" w:space="0" w:color="41B7EE"/>
              <w:left w:val="single" w:sz="4" w:space="0" w:color="41B7EE"/>
              <w:bottom w:val="single" w:sz="8" w:space="0" w:color="41B7EE"/>
              <w:right w:val="single" w:sz="4" w:space="0" w:color="41B7EE"/>
            </w:tcBorders>
          </w:tcPr>
          <w:p>
            <w:pPr/>
          </w:p>
        </w:tc>
        <w:tc>
          <w:tcPr>
            <w:tcW w:w="1395" w:type="dxa"/>
            <w:tcBorders>
              <w:top w:val="single" w:sz="4" w:space="0" w:color="41B7EE"/>
              <w:left w:val="single" w:sz="4" w:space="0" w:color="41B7EE"/>
              <w:bottom w:val="single" w:sz="8" w:space="0" w:color="41B7EE"/>
              <w:right w:val="single" w:sz="4" w:space="0" w:color="41B7EE"/>
            </w:tcBorders>
          </w:tcPr>
          <w:p>
            <w:pPr/>
          </w:p>
        </w:tc>
        <w:tc>
          <w:tcPr>
            <w:tcW w:w="1505" w:type="dxa"/>
            <w:tcBorders>
              <w:top w:val="single" w:sz="4" w:space="0" w:color="41B7EE"/>
              <w:left w:val="single" w:sz="4" w:space="0" w:color="41B7EE"/>
              <w:bottom w:val="single" w:sz="8" w:space="0" w:color="41B7EE"/>
              <w:right w:val="single" w:sz="4" w:space="0" w:color="41B7EE"/>
            </w:tcBorders>
          </w:tcPr>
          <w:p>
            <w:pPr/>
          </w:p>
        </w:tc>
        <w:tc>
          <w:tcPr>
            <w:tcW w:w="1505" w:type="dxa"/>
            <w:tcBorders>
              <w:top w:val="single" w:sz="4" w:space="0" w:color="41B7EE"/>
              <w:left w:val="single" w:sz="4" w:space="0" w:color="41B7EE"/>
              <w:bottom w:val="single" w:sz="8" w:space="0" w:color="41B7EE"/>
              <w:right w:val="nil" w:sz="6" w:space="0" w:color="auto"/>
            </w:tcBorders>
          </w:tcPr>
          <w:p>
            <w:pPr/>
          </w:p>
        </w:tc>
      </w:tr>
    </w:tbl>
    <w:p>
      <w:pPr>
        <w:spacing w:line="240" w:lineRule="auto" w:before="11"/>
        <w:rPr>
          <w:rFonts w:ascii="宋体" w:hAnsi="宋体" w:cs="宋体" w:eastAsia="宋体" w:hint="default"/>
          <w:sz w:val="2"/>
          <w:szCs w:val="2"/>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48.45pt;height:1pt;mso-position-horizontal-relative:char;mso-position-vertical-relative:line" coordorigin="0,0" coordsize="8969,20">
            <v:group style="position:absolute;left:10;top:10;width:2142;height:2" coordorigin="10,10" coordsize="2142,2">
              <v:shape style="position:absolute;left:10;top:10;width:2142;height:2" coordorigin="10,10" coordsize="2142,0" path="m10,10l2151,10e" filled="false" stroked="true" strokeweight=".95996pt" strokecolor="#41b7ee">
                <v:path arrowok="t"/>
              </v:shape>
            </v:group>
            <v:group style="position:absolute;left:2151;top:10;width:58;height:2" coordorigin="2151,10" coordsize="58,2">
              <v:shape style="position:absolute;left:2151;top:10;width:58;height:2" coordorigin="2151,10" coordsize="58,0" path="m2151,10l2208,10e" filled="false" stroked="true" strokeweight=".95996pt" strokecolor="#41b7ee">
                <v:path arrowok="t"/>
              </v:shape>
            </v:group>
            <v:group style="position:absolute;left:2208;top:10;width:1448;height:2" coordorigin="2208,10" coordsize="1448,2">
              <v:shape style="position:absolute;left:2208;top:10;width:1448;height:2" coordorigin="2208,10" coordsize="1448,0" path="m2208,10l3656,10e" filled="false" stroked="true" strokeweight=".95996pt" strokecolor="#41b7ee">
                <v:path arrowok="t"/>
              </v:shape>
            </v:group>
            <v:group style="position:absolute;left:3656;top:10;width:58;height:2" coordorigin="3656,10" coordsize="58,2">
              <v:shape style="position:absolute;left:3656;top:10;width:58;height:2" coordorigin="3656,10" coordsize="58,0" path="m3656,10l3714,10e" filled="false" stroked="true" strokeweight=".95996pt" strokecolor="#41b7ee">
                <v:path arrowok="t"/>
              </v:shape>
            </v:group>
            <v:group style="position:absolute;left:3714;top:10;width:836;height:2" coordorigin="3714,10" coordsize="836,2">
              <v:shape style="position:absolute;left:3714;top:10;width:836;height:2" coordorigin="3714,10" coordsize="836,0" path="m3714,10l4549,10e" filled="false" stroked="true" strokeweight=".95996pt" strokecolor="#41b7ee">
                <v:path arrowok="t"/>
              </v:shape>
            </v:group>
            <v:group style="position:absolute;left:4549;top:10;width:58;height:2" coordorigin="4549,10" coordsize="58,2">
              <v:shape style="position:absolute;left:4549;top:10;width:58;height:2" coordorigin="4549,10" coordsize="58,0" path="m4549,10l4607,10e" filled="false" stroked="true" strokeweight=".95996pt" strokecolor="#41b7ee">
                <v:path arrowok="t"/>
              </v:shape>
            </v:group>
            <v:group style="position:absolute;left:4607;top:10;width:1338;height:2" coordorigin="4607,10" coordsize="1338,2">
              <v:shape style="position:absolute;left:4607;top:10;width:1338;height:2" coordorigin="4607,10" coordsize="1338,0" path="m4607,10l5944,10e" filled="false" stroked="true" strokeweight=".95996pt" strokecolor="#41b7ee">
                <v:path arrowok="t"/>
              </v:shape>
            </v:group>
            <v:group style="position:absolute;left:5944;top:10;width:58;height:2" coordorigin="5944,10" coordsize="58,2">
              <v:shape style="position:absolute;left:5944;top:10;width:58;height:2" coordorigin="5944,10" coordsize="58,0" path="m5944,10l6001,10e" filled="false" stroked="true" strokeweight=".95996pt" strokecolor="#41b7ee">
                <v:path arrowok="t"/>
              </v:shape>
            </v:group>
            <v:group style="position:absolute;left:6001;top:10;width:1448;height:2" coordorigin="6001,10" coordsize="1448,2">
              <v:shape style="position:absolute;left:6001;top:10;width:1448;height:2" coordorigin="6001,10" coordsize="1448,0" path="m6001,10l7449,10e" filled="false" stroked="true" strokeweight=".95996pt" strokecolor="#41b7ee">
                <v:path arrowok="t"/>
              </v:shape>
            </v:group>
            <v:group style="position:absolute;left:7449;top:10;width:58;height:2" coordorigin="7449,10" coordsize="58,2">
              <v:shape style="position:absolute;left:7449;top:10;width:58;height:2" coordorigin="7449,10" coordsize="58,0" path="m7449,10l7506,10e" filled="false" stroked="true" strokeweight=".95996pt" strokecolor="#41b7ee">
                <v:path arrowok="t"/>
              </v:shape>
            </v:group>
            <v:group style="position:absolute;left:7506;top:10;width:1453;height:2" coordorigin="7506,10" coordsize="1453,2">
              <v:shape style="position:absolute;left:7506;top:10;width:1453;height:2" coordorigin="7506,10" coordsize="1453,0" path="m7506,10l8959,10e" filled="false" stroked="true" strokeweight=".95996pt" strokecolor="#41b7ee">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70"/>
          <w:pgSz w:w="11910" w:h="16840"/>
          <w:pgMar w:footer="1195" w:header="0" w:top="1300" w:bottom="1380" w:left="1100" w:right="1580"/>
          <w:pgNumType w:start="127"/>
        </w:sectPr>
      </w:pPr>
    </w:p>
    <w:p>
      <w:pPr>
        <w:spacing w:line="240" w:lineRule="auto" w:before="11"/>
        <w:rPr>
          <w:rFonts w:ascii="宋体" w:hAnsi="宋体" w:cs="宋体" w:eastAsia="宋体" w:hint="default"/>
          <w:sz w:val="3"/>
          <w:szCs w:val="3"/>
        </w:rPr>
      </w:pPr>
    </w:p>
    <w:p>
      <w:pPr>
        <w:spacing w:line="20" w:lineRule="exact"/>
        <w:ind w:left="20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4"/>
          <w:szCs w:val="4"/>
        </w:rPr>
      </w:pPr>
    </w:p>
    <w:p>
      <w:pPr>
        <w:spacing w:line="20" w:lineRule="exact"/>
        <w:ind w:left="169" w:right="0" w:firstLine="0"/>
        <w:rPr>
          <w:rFonts w:ascii="宋体" w:hAnsi="宋体" w:cs="宋体" w:eastAsia="宋体" w:hint="default"/>
          <w:sz w:val="2"/>
          <w:szCs w:val="2"/>
        </w:rPr>
      </w:pPr>
      <w:r>
        <w:rPr>
          <w:rFonts w:ascii="宋体" w:hAnsi="宋体" w:cs="宋体" w:eastAsia="宋体" w:hint="default"/>
          <w:sz w:val="2"/>
          <w:szCs w:val="2"/>
        </w:rPr>
        <w:pict>
          <v:group style="width:448.45pt;height:1pt;mso-position-horizontal-relative:char;mso-position-vertical-relative:line" coordorigin="0,0" coordsize="8969,20">
            <v:group style="position:absolute;left:10;top:10;width:2142;height:2" coordorigin="10,10" coordsize="2142,2">
              <v:shape style="position:absolute;left:10;top:10;width:2142;height:2" coordorigin="10,10" coordsize="2142,0" path="m10,10l2151,10e" filled="false" stroked="true" strokeweight=".96pt" strokecolor="#41b7ee">
                <v:path arrowok="t"/>
              </v:shape>
            </v:group>
            <v:group style="position:absolute;left:2151;top:10;width:58;height:2" coordorigin="2151,10" coordsize="58,2">
              <v:shape style="position:absolute;left:2151;top:10;width:58;height:2" coordorigin="2151,10" coordsize="58,0" path="m2151,10l2208,10e" filled="false" stroked="true" strokeweight=".96pt" strokecolor="#41b7ee">
                <v:path arrowok="t"/>
              </v:shape>
            </v:group>
            <v:group style="position:absolute;left:2208;top:10;width:1448;height:2" coordorigin="2208,10" coordsize="1448,2">
              <v:shape style="position:absolute;left:2208;top:10;width:1448;height:2" coordorigin="2208,10" coordsize="1448,0" path="m2208,10l3656,10e" filled="false" stroked="true" strokeweight=".96pt" strokecolor="#41b7ee">
                <v:path arrowok="t"/>
              </v:shape>
            </v:group>
            <v:group style="position:absolute;left:3656;top:10;width:58;height:2" coordorigin="3656,10" coordsize="58,2">
              <v:shape style="position:absolute;left:3656;top:10;width:58;height:2" coordorigin="3656,10" coordsize="58,0" path="m3656,10l3714,10e" filled="false" stroked="true" strokeweight=".96pt" strokecolor="#41b7ee">
                <v:path arrowok="t"/>
              </v:shape>
            </v:group>
            <v:group style="position:absolute;left:3714;top:10;width:836;height:2" coordorigin="3714,10" coordsize="836,2">
              <v:shape style="position:absolute;left:3714;top:10;width:836;height:2" coordorigin="3714,10" coordsize="836,0" path="m3714,10l4549,10e" filled="false" stroked="true" strokeweight=".96pt" strokecolor="#41b7ee">
                <v:path arrowok="t"/>
              </v:shape>
            </v:group>
            <v:group style="position:absolute;left:4549;top:10;width:58;height:2" coordorigin="4549,10" coordsize="58,2">
              <v:shape style="position:absolute;left:4549;top:10;width:58;height:2" coordorigin="4549,10" coordsize="58,0" path="m4549,10l4607,10e" filled="false" stroked="true" strokeweight=".96pt" strokecolor="#41b7ee">
                <v:path arrowok="t"/>
              </v:shape>
            </v:group>
            <v:group style="position:absolute;left:4607;top:10;width:1338;height:2" coordorigin="4607,10" coordsize="1338,2">
              <v:shape style="position:absolute;left:4607;top:10;width:1338;height:2" coordorigin="4607,10" coordsize="1338,0" path="m4607,10l5944,10e" filled="false" stroked="true" strokeweight=".96pt" strokecolor="#41b7ee">
                <v:path arrowok="t"/>
              </v:shape>
            </v:group>
            <v:group style="position:absolute;left:5944;top:10;width:58;height:2" coordorigin="5944,10" coordsize="58,2">
              <v:shape style="position:absolute;left:5944;top:10;width:58;height:2" coordorigin="5944,10" coordsize="58,0" path="m5944,10l6001,10e" filled="false" stroked="true" strokeweight=".96pt" strokecolor="#41b7ee">
                <v:path arrowok="t"/>
              </v:shape>
            </v:group>
            <v:group style="position:absolute;left:6001;top:10;width:1448;height:2" coordorigin="6001,10" coordsize="1448,2">
              <v:shape style="position:absolute;left:6001;top:10;width:1448;height:2" coordorigin="6001,10" coordsize="1448,0" path="m6001,10l7449,10e" filled="false" stroked="true" strokeweight=".96pt" strokecolor="#41b7ee">
                <v:path arrowok="t"/>
              </v:shape>
            </v:group>
            <v:group style="position:absolute;left:7449;top:10;width:58;height:2" coordorigin="7449,10" coordsize="58,2">
              <v:shape style="position:absolute;left:7449;top:10;width:58;height:2" coordorigin="7449,10" coordsize="58,0" path="m7449,10l7506,10e" filled="false" stroked="true" strokeweight=".96pt" strokecolor="#41b7ee">
                <v:path arrowok="t"/>
              </v:shape>
            </v:group>
            <v:group style="position:absolute;left:7506;top:10;width:1453;height:2" coordorigin="7506,10" coordsize="1453,2">
              <v:shape style="position:absolute;left:7506;top:10;width:1453;height:2" coordorigin="7506,10" coordsize="1453,0" path="m7506,10l8959,10e" filled="false" stroked="true" strokeweight=".96pt" strokecolor="#41b7ee">
                <v:path arrowok="t"/>
              </v:shape>
            </v:group>
          </v:group>
        </w:pict>
      </w:r>
      <w:r>
        <w:rPr>
          <w:rFonts w:ascii="宋体" w:hAnsi="宋体" w:cs="宋体" w:eastAsia="宋体" w:hint="default"/>
          <w:sz w:val="2"/>
          <w:szCs w:val="2"/>
        </w:rPr>
      </w:r>
    </w:p>
    <w:tbl>
      <w:tblPr>
        <w:tblW w:w="0" w:type="auto"/>
        <w:jc w:val="left"/>
        <w:tblInd w:w="150" w:type="dxa"/>
        <w:tblLayout w:type="fixed"/>
        <w:tblCellMar>
          <w:top w:w="0" w:type="dxa"/>
          <w:left w:w="0" w:type="dxa"/>
          <w:bottom w:w="0" w:type="dxa"/>
          <w:right w:w="0" w:type="dxa"/>
        </w:tblCellMar>
        <w:tblLook w:val="01E0"/>
      </w:tblPr>
      <w:tblGrid>
        <w:gridCol w:w="2146"/>
        <w:gridCol w:w="1505"/>
        <w:gridCol w:w="893"/>
        <w:gridCol w:w="1395"/>
        <w:gridCol w:w="1505"/>
        <w:gridCol w:w="1505"/>
      </w:tblGrid>
      <w:tr>
        <w:trPr>
          <w:trHeight w:val="365" w:hRule="exact"/>
        </w:trPr>
        <w:tc>
          <w:tcPr>
            <w:tcW w:w="2146"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6"/>
              <w:ind w:right="84"/>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505" w:type="dxa"/>
            <w:tcBorders>
              <w:top w:val="single" w:sz="8" w:space="0" w:color="41B7EE"/>
              <w:left w:val="single" w:sz="4" w:space="0" w:color="41B7EE"/>
              <w:bottom w:val="single" w:sz="4" w:space="0" w:color="41B7EE"/>
              <w:right w:val="single" w:sz="4" w:space="0" w:color="41B7EE"/>
            </w:tcBorders>
          </w:tcPr>
          <w:p>
            <w:pPr/>
          </w:p>
        </w:tc>
        <w:tc>
          <w:tcPr>
            <w:tcW w:w="893" w:type="dxa"/>
            <w:tcBorders>
              <w:top w:val="single" w:sz="8" w:space="0" w:color="41B7EE"/>
              <w:left w:val="single" w:sz="4" w:space="0" w:color="41B7EE"/>
              <w:bottom w:val="single" w:sz="4" w:space="0" w:color="41B7EE"/>
              <w:right w:val="single" w:sz="4" w:space="0" w:color="41B7EE"/>
            </w:tcBorders>
          </w:tcPr>
          <w:p>
            <w:pPr/>
          </w:p>
        </w:tc>
        <w:tc>
          <w:tcPr>
            <w:tcW w:w="1395" w:type="dxa"/>
            <w:tcBorders>
              <w:top w:val="single" w:sz="8" w:space="0" w:color="41B7EE"/>
              <w:left w:val="single" w:sz="4" w:space="0" w:color="41B7EE"/>
              <w:bottom w:val="single" w:sz="4" w:space="0" w:color="41B7EE"/>
              <w:right w:val="single" w:sz="4" w:space="0" w:color="41B7EE"/>
            </w:tcBorders>
          </w:tcPr>
          <w:p>
            <w:pPr/>
          </w:p>
        </w:tc>
        <w:tc>
          <w:tcPr>
            <w:tcW w:w="1505" w:type="dxa"/>
            <w:tcBorders>
              <w:top w:val="single" w:sz="8" w:space="0" w:color="41B7EE"/>
              <w:left w:val="single" w:sz="4" w:space="0" w:color="41B7EE"/>
              <w:bottom w:val="single" w:sz="4" w:space="0" w:color="41B7EE"/>
              <w:right w:val="single" w:sz="4" w:space="0" w:color="41B7EE"/>
            </w:tcBorders>
          </w:tcPr>
          <w:p>
            <w:pPr/>
          </w:p>
        </w:tc>
        <w:tc>
          <w:tcPr>
            <w:tcW w:w="1505" w:type="dxa"/>
            <w:tcBorders>
              <w:top w:val="single" w:sz="8" w:space="0" w:color="41B7EE"/>
              <w:left w:val="single" w:sz="4" w:space="0" w:color="41B7EE"/>
              <w:bottom w:val="single" w:sz="4" w:space="0" w:color="41B7EE"/>
              <w:right w:val="nil" w:sz="6" w:space="0" w:color="auto"/>
            </w:tcBorders>
          </w:tcPr>
          <w:p>
            <w:pPr/>
          </w:p>
        </w:tc>
      </w:tr>
      <w:tr>
        <w:trPr>
          <w:trHeight w:val="355" w:hRule="exact"/>
        </w:trPr>
        <w:tc>
          <w:tcPr>
            <w:tcW w:w="214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68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505" w:type="dxa"/>
            <w:tcBorders>
              <w:top w:val="single" w:sz="4" w:space="0" w:color="41B7EE"/>
              <w:left w:val="single" w:sz="4" w:space="0" w:color="41B7EE"/>
              <w:bottom w:val="single" w:sz="4" w:space="0" w:color="41B7EE"/>
              <w:right w:val="single" w:sz="4" w:space="0" w:color="41B7EE"/>
            </w:tcBorders>
          </w:tcPr>
          <w:p>
            <w:pPr/>
          </w:p>
        </w:tc>
        <w:tc>
          <w:tcPr>
            <w:tcW w:w="893" w:type="dxa"/>
            <w:tcBorders>
              <w:top w:val="single" w:sz="4" w:space="0" w:color="41B7EE"/>
              <w:left w:val="single" w:sz="4" w:space="0" w:color="41B7EE"/>
              <w:bottom w:val="single" w:sz="4" w:space="0" w:color="41B7EE"/>
              <w:right w:val="single" w:sz="4" w:space="0" w:color="41B7EE"/>
            </w:tcBorders>
          </w:tcPr>
          <w:p>
            <w:pPr/>
          </w:p>
        </w:tc>
        <w:tc>
          <w:tcPr>
            <w:tcW w:w="1395" w:type="dxa"/>
            <w:tcBorders>
              <w:top w:val="single" w:sz="4" w:space="0" w:color="41B7EE"/>
              <w:left w:val="single" w:sz="4" w:space="0" w:color="41B7EE"/>
              <w:bottom w:val="single" w:sz="4" w:space="0" w:color="41B7EE"/>
              <w:right w:val="single" w:sz="4" w:space="0" w:color="41B7EE"/>
            </w:tcBorders>
          </w:tcPr>
          <w:p>
            <w:pPr/>
          </w:p>
        </w:tc>
        <w:tc>
          <w:tcPr>
            <w:tcW w:w="1505" w:type="dxa"/>
            <w:tcBorders>
              <w:top w:val="single" w:sz="4" w:space="0" w:color="41B7EE"/>
              <w:left w:val="single" w:sz="4" w:space="0" w:color="41B7EE"/>
              <w:bottom w:val="single" w:sz="4" w:space="0" w:color="41B7EE"/>
              <w:right w:val="single" w:sz="4" w:space="0" w:color="41B7EE"/>
            </w:tcBorders>
          </w:tcPr>
          <w:p>
            <w:pPr/>
          </w:p>
        </w:tc>
        <w:tc>
          <w:tcPr>
            <w:tcW w:w="1505"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214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right="84"/>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r>
              <w:rPr>
                <w:rFonts w:ascii="宋体" w:hAnsi="宋体" w:cs="宋体" w:eastAsia="宋体" w:hint="default"/>
                <w:sz w:val="21"/>
                <w:szCs w:val="21"/>
              </w:rPr>
              <w:t> </w:t>
            </w:r>
          </w:p>
        </w:tc>
        <w:tc>
          <w:tcPr>
            <w:tcW w:w="1505" w:type="dxa"/>
            <w:tcBorders>
              <w:top w:val="single" w:sz="4" w:space="0" w:color="41B7EE"/>
              <w:left w:val="single" w:sz="4" w:space="0" w:color="41B7EE"/>
              <w:bottom w:val="single" w:sz="4" w:space="0" w:color="41B7EE"/>
              <w:right w:val="single" w:sz="4" w:space="0" w:color="41B7EE"/>
            </w:tcBorders>
          </w:tcPr>
          <w:p>
            <w:pPr/>
          </w:p>
        </w:tc>
        <w:tc>
          <w:tcPr>
            <w:tcW w:w="893" w:type="dxa"/>
            <w:tcBorders>
              <w:top w:val="single" w:sz="4" w:space="0" w:color="41B7EE"/>
              <w:left w:val="single" w:sz="4" w:space="0" w:color="41B7EE"/>
              <w:bottom w:val="single" w:sz="4" w:space="0" w:color="41B7EE"/>
              <w:right w:val="single" w:sz="4" w:space="0" w:color="41B7EE"/>
            </w:tcBorders>
          </w:tcPr>
          <w:p>
            <w:pPr/>
          </w:p>
        </w:tc>
        <w:tc>
          <w:tcPr>
            <w:tcW w:w="1395" w:type="dxa"/>
            <w:tcBorders>
              <w:top w:val="single" w:sz="4" w:space="0" w:color="41B7EE"/>
              <w:left w:val="single" w:sz="4" w:space="0" w:color="41B7EE"/>
              <w:bottom w:val="single" w:sz="4" w:space="0" w:color="41B7EE"/>
              <w:right w:val="single" w:sz="4" w:space="0" w:color="41B7EE"/>
            </w:tcBorders>
          </w:tcPr>
          <w:p>
            <w:pPr/>
          </w:p>
        </w:tc>
        <w:tc>
          <w:tcPr>
            <w:tcW w:w="1505" w:type="dxa"/>
            <w:tcBorders>
              <w:top w:val="single" w:sz="4" w:space="0" w:color="41B7EE"/>
              <w:left w:val="single" w:sz="4" w:space="0" w:color="41B7EE"/>
              <w:bottom w:val="single" w:sz="4" w:space="0" w:color="41B7EE"/>
              <w:right w:val="single" w:sz="4" w:space="0" w:color="41B7EE"/>
            </w:tcBorders>
          </w:tcPr>
          <w:p>
            <w:pPr/>
          </w:p>
        </w:tc>
        <w:tc>
          <w:tcPr>
            <w:tcW w:w="1505"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214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68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505" w:type="dxa"/>
            <w:tcBorders>
              <w:top w:val="single" w:sz="4" w:space="0" w:color="41B7EE"/>
              <w:left w:val="single" w:sz="4" w:space="0" w:color="41B7EE"/>
              <w:bottom w:val="single" w:sz="4" w:space="0" w:color="41B7EE"/>
              <w:right w:val="single" w:sz="4" w:space="0" w:color="41B7EE"/>
            </w:tcBorders>
          </w:tcPr>
          <w:p>
            <w:pPr/>
          </w:p>
        </w:tc>
        <w:tc>
          <w:tcPr>
            <w:tcW w:w="893" w:type="dxa"/>
            <w:tcBorders>
              <w:top w:val="single" w:sz="4" w:space="0" w:color="41B7EE"/>
              <w:left w:val="single" w:sz="4" w:space="0" w:color="41B7EE"/>
              <w:bottom w:val="single" w:sz="4" w:space="0" w:color="41B7EE"/>
              <w:right w:val="single" w:sz="4" w:space="0" w:color="41B7EE"/>
            </w:tcBorders>
          </w:tcPr>
          <w:p>
            <w:pPr/>
          </w:p>
        </w:tc>
        <w:tc>
          <w:tcPr>
            <w:tcW w:w="1395" w:type="dxa"/>
            <w:tcBorders>
              <w:top w:val="single" w:sz="4" w:space="0" w:color="41B7EE"/>
              <w:left w:val="single" w:sz="4" w:space="0" w:color="41B7EE"/>
              <w:bottom w:val="single" w:sz="4" w:space="0" w:color="41B7EE"/>
              <w:right w:val="single" w:sz="4" w:space="0" w:color="41B7EE"/>
            </w:tcBorders>
          </w:tcPr>
          <w:p>
            <w:pPr/>
          </w:p>
        </w:tc>
        <w:tc>
          <w:tcPr>
            <w:tcW w:w="1505" w:type="dxa"/>
            <w:tcBorders>
              <w:top w:val="single" w:sz="4" w:space="0" w:color="41B7EE"/>
              <w:left w:val="single" w:sz="4" w:space="0" w:color="41B7EE"/>
              <w:bottom w:val="single" w:sz="4" w:space="0" w:color="41B7EE"/>
              <w:right w:val="single" w:sz="4" w:space="0" w:color="41B7EE"/>
            </w:tcBorders>
          </w:tcPr>
          <w:p>
            <w:pPr/>
          </w:p>
        </w:tc>
        <w:tc>
          <w:tcPr>
            <w:tcW w:w="1505"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214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47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505" w:type="dxa"/>
            <w:tcBorders>
              <w:top w:val="single" w:sz="4" w:space="0" w:color="41B7EE"/>
              <w:left w:val="single" w:sz="4" w:space="0" w:color="41B7EE"/>
              <w:bottom w:val="single" w:sz="4" w:space="0" w:color="41B7EE"/>
              <w:right w:val="single" w:sz="4" w:space="0" w:color="41B7EE"/>
            </w:tcBorders>
          </w:tcPr>
          <w:p>
            <w:pPr/>
          </w:p>
        </w:tc>
        <w:tc>
          <w:tcPr>
            <w:tcW w:w="893" w:type="dxa"/>
            <w:tcBorders>
              <w:top w:val="single" w:sz="4" w:space="0" w:color="41B7EE"/>
              <w:left w:val="single" w:sz="4" w:space="0" w:color="41B7EE"/>
              <w:bottom w:val="single" w:sz="4" w:space="0" w:color="41B7EE"/>
              <w:right w:val="single" w:sz="4" w:space="0" w:color="41B7EE"/>
            </w:tcBorders>
          </w:tcPr>
          <w:p>
            <w:pPr/>
          </w:p>
        </w:tc>
        <w:tc>
          <w:tcPr>
            <w:tcW w:w="1395" w:type="dxa"/>
            <w:tcBorders>
              <w:top w:val="single" w:sz="4" w:space="0" w:color="41B7EE"/>
              <w:left w:val="single" w:sz="4" w:space="0" w:color="41B7EE"/>
              <w:bottom w:val="single" w:sz="4" w:space="0" w:color="41B7EE"/>
              <w:right w:val="single" w:sz="4" w:space="0" w:color="41B7EE"/>
            </w:tcBorders>
          </w:tcPr>
          <w:p>
            <w:pPr/>
          </w:p>
        </w:tc>
        <w:tc>
          <w:tcPr>
            <w:tcW w:w="1505" w:type="dxa"/>
            <w:tcBorders>
              <w:top w:val="single" w:sz="4" w:space="0" w:color="41B7EE"/>
              <w:left w:val="single" w:sz="4" w:space="0" w:color="41B7EE"/>
              <w:bottom w:val="single" w:sz="4" w:space="0" w:color="41B7EE"/>
              <w:right w:val="single" w:sz="4" w:space="0" w:color="41B7EE"/>
            </w:tcBorders>
          </w:tcPr>
          <w:p>
            <w:pPr/>
          </w:p>
        </w:tc>
        <w:tc>
          <w:tcPr>
            <w:tcW w:w="1505" w:type="dxa"/>
            <w:tcBorders>
              <w:top w:val="single" w:sz="4" w:space="0" w:color="41B7EE"/>
              <w:left w:val="single" w:sz="4" w:space="0" w:color="41B7EE"/>
              <w:bottom w:val="single" w:sz="4" w:space="0" w:color="41B7EE"/>
              <w:right w:val="nil" w:sz="6" w:space="0" w:color="auto"/>
            </w:tcBorders>
          </w:tcPr>
          <w:p>
            <w:pPr/>
          </w:p>
        </w:tc>
      </w:tr>
      <w:tr>
        <w:trPr>
          <w:trHeight w:val="355" w:hRule="exact"/>
        </w:trPr>
        <w:tc>
          <w:tcPr>
            <w:tcW w:w="214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57"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505" w:type="dxa"/>
            <w:tcBorders>
              <w:top w:val="single" w:sz="4" w:space="0" w:color="41B7EE"/>
              <w:left w:val="single" w:sz="4" w:space="0" w:color="41B7EE"/>
              <w:bottom w:val="single" w:sz="4" w:space="0" w:color="41B7EE"/>
              <w:right w:val="single" w:sz="4" w:space="0" w:color="41B7EE"/>
            </w:tcBorders>
          </w:tcPr>
          <w:p>
            <w:pPr/>
          </w:p>
        </w:tc>
        <w:tc>
          <w:tcPr>
            <w:tcW w:w="893" w:type="dxa"/>
            <w:tcBorders>
              <w:top w:val="single" w:sz="4" w:space="0" w:color="41B7EE"/>
              <w:left w:val="single" w:sz="4" w:space="0" w:color="41B7EE"/>
              <w:bottom w:val="single" w:sz="4" w:space="0" w:color="41B7EE"/>
              <w:right w:val="single" w:sz="4" w:space="0" w:color="41B7EE"/>
            </w:tcBorders>
          </w:tcPr>
          <w:p>
            <w:pPr/>
          </w:p>
        </w:tc>
        <w:tc>
          <w:tcPr>
            <w:tcW w:w="1395" w:type="dxa"/>
            <w:tcBorders>
              <w:top w:val="single" w:sz="4" w:space="0" w:color="41B7EE"/>
              <w:left w:val="single" w:sz="4" w:space="0" w:color="41B7EE"/>
              <w:bottom w:val="single" w:sz="4" w:space="0" w:color="41B7EE"/>
              <w:right w:val="single" w:sz="4" w:space="0" w:color="41B7EE"/>
            </w:tcBorders>
          </w:tcPr>
          <w:p>
            <w:pPr/>
          </w:p>
        </w:tc>
        <w:tc>
          <w:tcPr>
            <w:tcW w:w="1505" w:type="dxa"/>
            <w:tcBorders>
              <w:top w:val="single" w:sz="4" w:space="0" w:color="41B7EE"/>
              <w:left w:val="single" w:sz="4" w:space="0" w:color="41B7EE"/>
              <w:bottom w:val="single" w:sz="4" w:space="0" w:color="41B7EE"/>
              <w:right w:val="single" w:sz="4" w:space="0" w:color="41B7EE"/>
            </w:tcBorders>
          </w:tcPr>
          <w:p>
            <w:pPr/>
          </w:p>
        </w:tc>
        <w:tc>
          <w:tcPr>
            <w:tcW w:w="1505"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214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7"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150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1"/>
              <w:jc w:val="center"/>
              <w:rPr>
                <w:rFonts w:ascii="Arial" w:hAnsi="Arial" w:cs="Arial" w:eastAsia="Arial" w:hint="default"/>
                <w:sz w:val="20"/>
                <w:szCs w:val="20"/>
              </w:rPr>
            </w:pPr>
            <w:r>
              <w:rPr>
                <w:rFonts w:ascii="Arial"/>
                <w:sz w:val="20"/>
              </w:rPr>
              <w:t>114,280,540.71</w:t>
            </w:r>
          </w:p>
        </w:tc>
        <w:tc>
          <w:tcPr>
            <w:tcW w:w="893" w:type="dxa"/>
            <w:tcBorders>
              <w:top w:val="single" w:sz="4" w:space="0" w:color="41B7EE"/>
              <w:left w:val="single" w:sz="4" w:space="0" w:color="41B7EE"/>
              <w:bottom w:val="single" w:sz="4" w:space="0" w:color="41B7EE"/>
              <w:right w:val="single" w:sz="4" w:space="0" w:color="41B7EE"/>
            </w:tcBorders>
          </w:tcPr>
          <w:p>
            <w:pPr/>
          </w:p>
        </w:tc>
        <w:tc>
          <w:tcPr>
            <w:tcW w:w="139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53"/>
              <w:jc w:val="right"/>
              <w:rPr>
                <w:rFonts w:ascii="Arial" w:hAnsi="Arial" w:cs="Arial" w:eastAsia="Arial" w:hint="default"/>
                <w:sz w:val="20"/>
                <w:szCs w:val="20"/>
              </w:rPr>
            </w:pPr>
            <w:r>
              <w:rPr>
                <w:rFonts w:ascii="Arial"/>
                <w:w w:val="95"/>
                <w:sz w:val="20"/>
              </w:rPr>
              <w:t>4,835,007.87</w:t>
            </w:r>
            <w:r>
              <w:rPr>
                <w:rFonts w:ascii="Arial"/>
                <w:sz w:val="20"/>
              </w:rPr>
            </w:r>
          </w:p>
        </w:tc>
        <w:tc>
          <w:tcPr>
            <w:tcW w:w="150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53"/>
              <w:jc w:val="right"/>
              <w:rPr>
                <w:rFonts w:ascii="Arial" w:hAnsi="Arial" w:cs="Arial" w:eastAsia="Arial" w:hint="default"/>
                <w:sz w:val="20"/>
                <w:szCs w:val="20"/>
              </w:rPr>
            </w:pPr>
            <w:r>
              <w:rPr>
                <w:rFonts w:ascii="Arial"/>
                <w:w w:val="95"/>
                <w:sz w:val="20"/>
              </w:rPr>
              <w:t>302,247,879.43</w:t>
            </w:r>
            <w:r>
              <w:rPr>
                <w:rFonts w:ascii="Arial"/>
                <w:sz w:val="20"/>
              </w:rPr>
            </w:r>
          </w:p>
        </w:tc>
        <w:tc>
          <w:tcPr>
            <w:tcW w:w="150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7"/>
              <w:ind w:right="1"/>
              <w:jc w:val="center"/>
              <w:rPr>
                <w:rFonts w:ascii="Arial" w:hAnsi="Arial" w:cs="Arial" w:eastAsia="Arial" w:hint="default"/>
                <w:sz w:val="20"/>
                <w:szCs w:val="20"/>
              </w:rPr>
            </w:pPr>
            <w:r>
              <w:rPr>
                <w:rFonts w:ascii="Arial"/>
                <w:sz w:val="20"/>
              </w:rPr>
              <w:t>421,363,428.01</w:t>
            </w:r>
          </w:p>
        </w:tc>
      </w:tr>
      <w:tr>
        <w:trPr>
          <w:trHeight w:val="384" w:hRule="exact"/>
        </w:trPr>
        <w:tc>
          <w:tcPr>
            <w:tcW w:w="2146"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57"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期初账面价值</w:t>
            </w:r>
            <w:r>
              <w:rPr>
                <w:rFonts w:ascii="宋体" w:hAnsi="宋体" w:cs="宋体" w:eastAsia="宋体" w:hint="default"/>
                <w:sz w:val="21"/>
                <w:szCs w:val="21"/>
              </w:rPr>
              <w:t> </w:t>
            </w:r>
          </w:p>
        </w:tc>
        <w:tc>
          <w:tcPr>
            <w:tcW w:w="1505"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57"/>
              <w:ind w:right="1"/>
              <w:jc w:val="center"/>
              <w:rPr>
                <w:rFonts w:ascii="Arial" w:hAnsi="Arial" w:cs="Arial" w:eastAsia="Arial" w:hint="default"/>
                <w:sz w:val="20"/>
                <w:szCs w:val="20"/>
              </w:rPr>
            </w:pPr>
            <w:r>
              <w:rPr>
                <w:rFonts w:ascii="Arial"/>
                <w:sz w:val="20"/>
              </w:rPr>
              <w:t>113,601,796.93</w:t>
            </w:r>
          </w:p>
        </w:tc>
        <w:tc>
          <w:tcPr>
            <w:tcW w:w="893" w:type="dxa"/>
            <w:tcBorders>
              <w:top w:val="single" w:sz="4" w:space="0" w:color="41B7EE"/>
              <w:left w:val="single" w:sz="4" w:space="0" w:color="41B7EE"/>
              <w:bottom w:val="single" w:sz="23" w:space="0" w:color="41B7EE"/>
              <w:right w:val="single" w:sz="4" w:space="0" w:color="41B7EE"/>
            </w:tcBorders>
          </w:tcPr>
          <w:p>
            <w:pPr/>
          </w:p>
        </w:tc>
        <w:tc>
          <w:tcPr>
            <w:tcW w:w="1395"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57"/>
              <w:ind w:right="53"/>
              <w:jc w:val="right"/>
              <w:rPr>
                <w:rFonts w:ascii="Arial" w:hAnsi="Arial" w:cs="Arial" w:eastAsia="Arial" w:hint="default"/>
                <w:sz w:val="20"/>
                <w:szCs w:val="20"/>
              </w:rPr>
            </w:pPr>
            <w:r>
              <w:rPr>
                <w:rFonts w:ascii="Arial"/>
                <w:w w:val="95"/>
                <w:sz w:val="20"/>
              </w:rPr>
              <w:t>3,278,852.75</w:t>
            </w:r>
            <w:r>
              <w:rPr>
                <w:rFonts w:ascii="Arial"/>
                <w:sz w:val="20"/>
              </w:rPr>
            </w:r>
          </w:p>
        </w:tc>
        <w:tc>
          <w:tcPr>
            <w:tcW w:w="1505"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57"/>
              <w:ind w:right="53"/>
              <w:jc w:val="right"/>
              <w:rPr>
                <w:rFonts w:ascii="Arial" w:hAnsi="Arial" w:cs="Arial" w:eastAsia="Arial" w:hint="default"/>
                <w:sz w:val="20"/>
                <w:szCs w:val="20"/>
              </w:rPr>
            </w:pPr>
            <w:r>
              <w:rPr>
                <w:rFonts w:ascii="Arial"/>
                <w:w w:val="95"/>
                <w:sz w:val="20"/>
              </w:rPr>
              <w:t>302,247,879.43</w:t>
            </w:r>
            <w:r>
              <w:rPr>
                <w:rFonts w:ascii="Arial"/>
                <w:sz w:val="20"/>
              </w:rPr>
            </w:r>
          </w:p>
        </w:tc>
        <w:tc>
          <w:tcPr>
            <w:tcW w:w="1505"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57"/>
              <w:ind w:right="1"/>
              <w:jc w:val="center"/>
              <w:rPr>
                <w:rFonts w:ascii="Arial" w:hAnsi="Arial" w:cs="Arial" w:eastAsia="Arial" w:hint="default"/>
                <w:sz w:val="20"/>
                <w:szCs w:val="20"/>
              </w:rPr>
            </w:pPr>
            <w:r>
              <w:rPr>
                <w:rFonts w:ascii="Arial"/>
                <w:sz w:val="20"/>
              </w:rPr>
              <w:t>419,128,529.11</w:t>
            </w:r>
          </w:p>
        </w:tc>
      </w:tr>
    </w:tbl>
    <w:p>
      <w:pPr>
        <w:spacing w:after="0" w:line="240" w:lineRule="auto"/>
        <w:jc w:val="center"/>
        <w:rPr>
          <w:rFonts w:ascii="Arial" w:hAnsi="Arial" w:cs="Arial" w:eastAsia="Arial" w:hint="default"/>
          <w:sz w:val="20"/>
          <w:szCs w:val="20"/>
        </w:rPr>
        <w:sectPr>
          <w:pgSz w:w="11910" w:h="16840"/>
          <w:pgMar w:header="0" w:footer="1195" w:top="1300" w:bottom="1380" w:left="1040" w:right="1340"/>
        </w:sectPr>
      </w:pPr>
    </w:p>
    <w:p>
      <w:pPr>
        <w:pStyle w:val="Heading2"/>
        <w:spacing w:line="240" w:lineRule="auto" w:before="44"/>
        <w:ind w:left="236" w:right="0"/>
        <w:jc w:val="left"/>
        <w:rPr>
          <w:rFonts w:ascii="宋体" w:hAnsi="宋体" w:cs="宋体" w:eastAsia="宋体" w:hint="default"/>
          <w:b w:val="0"/>
          <w:bCs w:val="0"/>
        </w:rPr>
      </w:pPr>
      <w:r>
        <w:rPr>
          <w:rFonts w:ascii="宋体" w:hAnsi="宋体" w:cs="宋体" w:eastAsia="宋体" w:hint="default"/>
        </w:rPr>
        <w:t>(2).</w:t>
      </w:r>
      <w:r>
        <w:rPr/>
        <w:t>未办妥产权证书的土地使用权情况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9"/>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040" w:right="1340"/>
          <w:cols w:num="2" w:equalWidth="0">
            <w:col w:w="3932" w:space="2590"/>
            <w:col w:w="300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205"/>
        <w:gridCol w:w="3017"/>
        <w:gridCol w:w="3017"/>
      </w:tblGrid>
      <w:tr>
        <w:trPr>
          <w:trHeight w:val="384" w:hRule="exact"/>
        </w:trPr>
        <w:tc>
          <w:tcPr>
            <w:tcW w:w="3205"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left="11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7"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left="1079"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3017"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451"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r>
              <w:rPr>
                <w:rFonts w:ascii="宋体" w:hAnsi="宋体" w:cs="宋体" w:eastAsia="宋体" w:hint="default"/>
                <w:sz w:val="21"/>
                <w:szCs w:val="21"/>
              </w:rPr>
              <w:t> </w:t>
            </w:r>
          </w:p>
        </w:tc>
      </w:tr>
      <w:tr>
        <w:trPr>
          <w:trHeight w:val="358" w:hRule="exact"/>
        </w:trPr>
        <w:tc>
          <w:tcPr>
            <w:tcW w:w="320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农业发展中心大楼土地使用权</w:t>
            </w:r>
            <w:r>
              <w:rPr>
                <w:rFonts w:ascii="宋体" w:hAnsi="宋体" w:cs="宋体" w:eastAsia="宋体" w:hint="default"/>
                <w:sz w:val="21"/>
                <w:szCs w:val="21"/>
              </w:rPr>
              <w:t> </w:t>
            </w:r>
          </w:p>
        </w:tc>
        <w:tc>
          <w:tcPr>
            <w:tcW w:w="301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239,531.25</w:t>
            </w:r>
          </w:p>
        </w:tc>
        <w:tc>
          <w:tcPr>
            <w:tcW w:w="301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正在办理中</w:t>
            </w:r>
            <w:r>
              <w:rPr>
                <w:rFonts w:ascii="宋体" w:hAnsi="宋体" w:cs="宋体" w:eastAsia="宋体" w:hint="default"/>
                <w:sz w:val="21"/>
                <w:szCs w:val="21"/>
              </w:rPr>
              <w:t> </w:t>
            </w:r>
          </w:p>
        </w:tc>
      </w:tr>
      <w:tr>
        <w:trPr>
          <w:trHeight w:val="362" w:hRule="exact"/>
        </w:trPr>
        <w:tc>
          <w:tcPr>
            <w:tcW w:w="3205"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粮食中心土地使用权</w:t>
            </w:r>
            <w:r>
              <w:rPr>
                <w:rFonts w:ascii="宋体" w:hAnsi="宋体" w:cs="宋体" w:eastAsia="宋体" w:hint="default"/>
                <w:sz w:val="21"/>
                <w:szCs w:val="21"/>
              </w:rPr>
              <w:t> </w:t>
            </w:r>
          </w:p>
        </w:tc>
        <w:tc>
          <w:tcPr>
            <w:tcW w:w="3017"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861,466.87</w:t>
            </w:r>
          </w:p>
        </w:tc>
        <w:tc>
          <w:tcPr>
            <w:tcW w:w="3017"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正在办理中</w:t>
            </w:r>
            <w:r>
              <w:rPr>
                <w:rFonts w:ascii="宋体" w:hAnsi="宋体" w:cs="宋体" w:eastAsia="宋体" w:hint="default"/>
                <w:sz w:val="21"/>
                <w:szCs w:val="21"/>
              </w:rPr>
              <w:t> </w:t>
            </w:r>
          </w:p>
        </w:tc>
      </w:tr>
    </w:tbl>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62.95pt;height:1pt;mso-position-horizontal-relative:char;mso-position-vertical-relative:line" coordorigin="0,0" coordsize="9259,20">
            <v:group style="position:absolute;left:10;top:10;width:3201;height:2" coordorigin="10,10" coordsize="3201,2">
              <v:shape style="position:absolute;left:10;top:10;width:3201;height:2" coordorigin="10,10" coordsize="3201,0" path="m10,10l3210,10e" filled="false" stroked="true" strokeweight=".95999pt" strokecolor="#41b7ee">
                <v:path arrowok="t"/>
              </v:shape>
            </v:group>
            <v:group style="position:absolute;left:3210;top:10;width:58;height:2" coordorigin="3210,10" coordsize="58,2">
              <v:shape style="position:absolute;left:3210;top:10;width:58;height:2" coordorigin="3210,10" coordsize="58,0" path="m3210,10l3267,10e" filled="false" stroked="true" strokeweight=".95999pt" strokecolor="#41b7ee">
                <v:path arrowok="t"/>
              </v:shape>
            </v:group>
            <v:group style="position:absolute;left:3267;top:10;width:2960;height:2" coordorigin="3267,10" coordsize="2960,2">
              <v:shape style="position:absolute;left:3267;top:10;width:2960;height:2" coordorigin="3267,10" coordsize="2960,0" path="m3267,10l6227,10e" filled="false" stroked="true" strokeweight=".95999pt" strokecolor="#41b7ee">
                <v:path arrowok="t"/>
              </v:shape>
            </v:group>
            <v:group style="position:absolute;left:6227;top:10;width:58;height:2" coordorigin="6227,10" coordsize="58,2">
              <v:shape style="position:absolute;left:6227;top:10;width:58;height:2" coordorigin="6227,10" coordsize="58,0" path="m6227,10l6285,10e" filled="false" stroked="true" strokeweight=".95999pt" strokecolor="#41b7ee">
                <v:path arrowok="t"/>
              </v:shape>
            </v:group>
            <v:group style="position:absolute;left:6285;top:10;width:2965;height:2" coordorigin="6285,10" coordsize="2965,2">
              <v:shape style="position:absolute;left:6285;top:10;width:2965;height:2" coordorigin="6285,10" coordsize="2965,0" path="m6285,10l9249,10e" filled="false" stroked="true" strokeweight=".95999pt" strokecolor="#41b7ee">
                <v:path arrowok="t"/>
              </v:shape>
            </v:group>
          </v:group>
        </w:pict>
      </w:r>
      <w:r>
        <w:rPr>
          <w:rFonts w:ascii="宋体" w:hAnsi="宋体" w:cs="宋体" w:eastAsia="宋体" w:hint="default"/>
          <w:sz w:val="2"/>
          <w:szCs w:val="2"/>
        </w:rPr>
      </w:r>
    </w:p>
    <w:p>
      <w:pPr>
        <w:pStyle w:val="BodyText"/>
        <w:spacing w:line="259"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80" w:lineRule="exact"/>
        <w:ind w:left="657" w:right="0"/>
        <w:jc w:val="left"/>
      </w:pPr>
      <w:r>
        <w:rPr/>
        <w:t>①鑫亚公司子公司玉丰公司红旗粮库土地使用权（账面原值</w:t>
      </w:r>
      <w:r>
        <w:rPr>
          <w:spacing w:val="-55"/>
        </w:rPr>
        <w:t> </w:t>
      </w:r>
      <w:r>
        <w:rPr>
          <w:rFonts w:ascii="Arial" w:hAnsi="Arial" w:cs="Arial" w:eastAsia="Arial" w:hint="default"/>
        </w:rPr>
        <w:t>11,444,983.00</w:t>
      </w:r>
      <w:r>
        <w:rPr>
          <w:rFonts w:ascii="Arial" w:hAnsi="Arial" w:cs="Arial" w:eastAsia="Arial" w:hint="default"/>
          <w:spacing w:val="-10"/>
        </w:rPr>
        <w:t> </w:t>
      </w:r>
      <w:r>
        <w:rPr/>
        <w:t>元，账面价值</w:t>
      </w:r>
    </w:p>
    <w:p>
      <w:pPr>
        <w:pStyle w:val="BodyText"/>
        <w:spacing w:line="272" w:lineRule="exact"/>
        <w:ind w:left="236" w:right="0"/>
        <w:jc w:val="left"/>
      </w:pPr>
      <w:r>
        <w:rPr>
          <w:rFonts w:ascii="Arial" w:hAnsi="Arial" w:cs="Arial" w:eastAsia="Arial" w:hint="default"/>
          <w:spacing w:val="-1"/>
        </w:rPr>
        <w:t>9,514,887.39</w:t>
      </w:r>
      <w:r>
        <w:rPr>
          <w:rFonts w:ascii="Arial" w:hAnsi="Arial" w:cs="Arial" w:eastAsia="Arial" w:hint="default"/>
        </w:rPr>
        <w:t> </w:t>
      </w:r>
      <w:r>
        <w:rPr>
          <w:rFonts w:ascii="Arial" w:hAnsi="Arial" w:cs="Arial" w:eastAsia="Arial" w:hint="default"/>
          <w:spacing w:val="7"/>
        </w:rPr>
        <w:t> </w:t>
      </w:r>
      <w:r>
        <w:rPr>
          <w:spacing w:val="-2"/>
        </w:rPr>
        <w:t>元）在黑龙江龙凤玉米开发有限公司起诉玉丰公司一案中，经黑龙江省青冈县人民</w:t>
      </w:r>
    </w:p>
    <w:p>
      <w:pPr>
        <w:pStyle w:val="BodyText"/>
        <w:spacing w:line="272" w:lineRule="exact"/>
        <w:ind w:left="236" w:right="0"/>
        <w:jc w:val="left"/>
      </w:pPr>
      <w:r>
        <w:rPr/>
        <w:t>法院〔</w:t>
      </w:r>
      <w:r>
        <w:rPr>
          <w:rFonts w:ascii="Arial" w:hAnsi="Arial" w:cs="Arial" w:eastAsia="Arial" w:hint="default"/>
        </w:rPr>
        <w:t>2014</w:t>
      </w:r>
      <w:r>
        <w:rPr/>
        <w:t>〕青法商初字第</w:t>
      </w:r>
      <w:r>
        <w:rPr>
          <w:spacing w:val="-55"/>
        </w:rPr>
        <w:t> </w:t>
      </w:r>
      <w:r>
        <w:rPr>
          <w:rFonts w:ascii="Arial" w:hAnsi="Arial" w:cs="Arial" w:eastAsia="Arial" w:hint="default"/>
        </w:rPr>
        <w:t>148-1</w:t>
      </w:r>
      <w:r>
        <w:rPr>
          <w:rFonts w:ascii="Arial" w:hAnsi="Arial" w:cs="Arial" w:eastAsia="Arial" w:hint="default"/>
          <w:spacing w:val="-9"/>
        </w:rPr>
        <w:t> </w:t>
      </w:r>
      <w:r>
        <w:rPr/>
        <w:t>号民事裁定书裁定予以查封。</w:t>
      </w:r>
    </w:p>
    <w:p>
      <w:pPr>
        <w:pStyle w:val="BodyText"/>
        <w:spacing w:line="265" w:lineRule="exact"/>
        <w:ind w:left="657" w:right="0"/>
        <w:jc w:val="left"/>
      </w:pPr>
      <w:r>
        <w:rPr/>
        <w:t>②鑫亚公司子公司玉丰公司兴华粮库、祯祥粮库、中和粮库土地使用权（账面原值</w:t>
      </w:r>
    </w:p>
    <w:p>
      <w:pPr>
        <w:pStyle w:val="BodyText"/>
        <w:spacing w:line="280" w:lineRule="exact"/>
        <w:ind w:left="236" w:right="0"/>
        <w:jc w:val="left"/>
      </w:pPr>
      <w:r>
        <w:rPr>
          <w:rFonts w:ascii="Arial" w:hAnsi="Arial" w:cs="Arial" w:eastAsia="Arial" w:hint="default"/>
        </w:rPr>
        <w:t>42,118,583.00 </w:t>
      </w:r>
      <w:r>
        <w:rPr>
          <w:spacing w:val="-6"/>
        </w:rPr>
        <w:t>元，账面价值 </w:t>
      </w:r>
      <w:r>
        <w:rPr>
          <w:rFonts w:ascii="Arial" w:hAnsi="Arial" w:cs="Arial" w:eastAsia="Arial" w:hint="default"/>
        </w:rPr>
        <w:t>35,016,322.68</w:t>
      </w:r>
      <w:r>
        <w:rPr>
          <w:rFonts w:ascii="Arial" w:hAnsi="Arial" w:cs="Arial" w:eastAsia="Arial" w:hint="default"/>
          <w:spacing w:val="-19"/>
        </w:rPr>
        <w:t> </w:t>
      </w:r>
      <w:r>
        <w:rPr>
          <w:spacing w:val="-5"/>
        </w:rPr>
        <w:t>元），在鑫亚公司起诉玉丰公司一案中，经黑龙江省</w:t>
      </w:r>
    </w:p>
    <w:p>
      <w:pPr>
        <w:pStyle w:val="BodyText"/>
        <w:spacing w:line="273" w:lineRule="exact"/>
        <w:ind w:left="236" w:right="0"/>
        <w:jc w:val="left"/>
      </w:pPr>
      <w:r>
        <w:rPr/>
        <w:t>哈尔滨市中级人民法院执行裁定书〔</w:t>
      </w:r>
      <w:r>
        <w:rPr>
          <w:rFonts w:ascii="Arial" w:hAnsi="Arial" w:cs="Arial" w:eastAsia="Arial" w:hint="default"/>
        </w:rPr>
        <w:t>2019</w:t>
      </w:r>
      <w:r>
        <w:rPr/>
        <w:t>〕黑</w:t>
      </w:r>
      <w:r>
        <w:rPr>
          <w:spacing w:val="-54"/>
        </w:rPr>
        <w:t> </w:t>
      </w:r>
      <w:r>
        <w:rPr>
          <w:rFonts w:ascii="Arial" w:hAnsi="Arial" w:cs="Arial" w:eastAsia="Arial" w:hint="default"/>
        </w:rPr>
        <w:t>01</w:t>
      </w:r>
      <w:r>
        <w:rPr>
          <w:rFonts w:ascii="Arial" w:hAnsi="Arial" w:cs="Arial" w:eastAsia="Arial" w:hint="default"/>
          <w:spacing w:val="-9"/>
        </w:rPr>
        <w:t> </w:t>
      </w:r>
      <w:r>
        <w:rPr/>
        <w:t>执</w:t>
      </w:r>
      <w:r>
        <w:rPr>
          <w:spacing w:val="-54"/>
        </w:rPr>
        <w:t> </w:t>
      </w:r>
      <w:r>
        <w:rPr>
          <w:rFonts w:ascii="Arial" w:hAnsi="Arial" w:cs="Arial" w:eastAsia="Arial" w:hint="default"/>
        </w:rPr>
        <w:t>1974</w:t>
      </w:r>
      <w:r>
        <w:rPr>
          <w:rFonts w:ascii="Arial" w:hAnsi="Arial" w:cs="Arial" w:eastAsia="Arial" w:hint="default"/>
          <w:spacing w:val="-9"/>
        </w:rPr>
        <w:t> </w:t>
      </w:r>
      <w:r>
        <w:rPr/>
        <w:t>号予以查封。</w:t>
      </w:r>
    </w:p>
    <w:p>
      <w:pPr>
        <w:pStyle w:val="BodyText"/>
        <w:spacing w:line="274" w:lineRule="exact" w:before="17"/>
        <w:ind w:left="236" w:right="0" w:firstLine="420"/>
        <w:jc w:val="left"/>
      </w:pPr>
      <w:r>
        <w:rPr>
          <w:spacing w:val="-2"/>
        </w:rPr>
        <w:t>③本公司拥有黑龙江省萝北县四方山林场东部大磷片石墨矿勘探项目，探查面积：</w:t>
      </w:r>
      <w:r>
        <w:rPr>
          <w:rFonts w:ascii="Arial" w:hAnsi="Arial" w:cs="Arial" w:eastAsia="Arial" w:hint="default"/>
          <w:spacing w:val="-2"/>
        </w:rPr>
        <w:t>4.33</w:t>
      </w:r>
      <w:r>
        <w:rPr>
          <w:rFonts w:ascii="Arial" w:hAnsi="Arial" w:cs="Arial" w:eastAsia="Arial" w:hint="default"/>
          <w:spacing w:val="29"/>
        </w:rPr>
        <w:t> </w:t>
      </w:r>
      <w:r>
        <w:rPr>
          <w:spacing w:val="-3"/>
        </w:rPr>
        <w:t>平方</w:t>
      </w:r>
      <w:r>
        <w:rPr>
          <w:spacing w:val="-3"/>
          <w:w w:val="100"/>
        </w:rPr>
        <w:t> </w:t>
      </w:r>
      <w:r>
        <w:rPr/>
        <w:t>公里，该项目矿产资源勘查许可证已到期，目前正在办理中。</w:t>
      </w:r>
    </w:p>
    <w:p>
      <w:pPr>
        <w:pStyle w:val="Heading2"/>
        <w:spacing w:line="240" w:lineRule="auto" w:before="31"/>
        <w:ind w:left="236" w:right="0"/>
        <w:jc w:val="left"/>
        <w:rPr>
          <w:rFonts w:ascii="宋体" w:hAnsi="宋体" w:cs="宋体" w:eastAsia="宋体" w:hint="default"/>
          <w:b w:val="0"/>
          <w:bCs w:val="0"/>
        </w:rPr>
      </w:pPr>
      <w:r>
        <w:rPr>
          <w:rFonts w:ascii="宋体" w:hAnsi="宋体" w:cs="宋体" w:eastAsia="宋体" w:hint="default"/>
        </w:rPr>
        <w:t>26</w:t>
      </w:r>
      <w:r>
        <w:rPr/>
        <w:t>、</w:t>
      </w:r>
      <w:r>
        <w:rPr>
          <w:spacing w:val="-28"/>
        </w:rPr>
        <w:t> </w:t>
      </w:r>
      <w:r>
        <w:rPr/>
        <w:t>开发支出</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36" w:right="731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27</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商誉</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36" w:right="731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36" w:right="351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商誉所在资产组或资产组组合的相关信息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90" w:lineRule="auto" w:before="14"/>
        <w:ind w:left="236" w:right="0"/>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1"/>
        </w:rPr>
        <w:t> </w:t>
      </w:r>
      <w:r>
        <w:rPr>
          <w:rFonts w:ascii="宋体" w:hAnsi="宋体" w:cs="宋体" w:eastAsia="宋体" w:hint="default"/>
          <w:b w:val="0"/>
          <w:bCs w:val="0"/>
          <w:spacing w:val="-1"/>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rFonts w:ascii="宋体" w:hAnsi="宋体" w:cs="宋体" w:eastAsia="宋体" w:hint="default"/>
          <w:spacing w:val="-1"/>
        </w:rPr>
        <w:t>(4).</w:t>
      </w:r>
      <w:r>
        <w:rPr>
          <w:spacing w:val="-1"/>
        </w:rPr>
        <w:t>说明商誉减值测试过程、关键参数（例如预计未来现金流量现值时的预测期增长率、稳定期</w:t>
      </w:r>
      <w:r>
        <w:rPr>
          <w:b w:val="0"/>
          <w:bCs w:val="0"/>
          <w:spacing w:val="-1"/>
        </w:rPr>
      </w:r>
    </w:p>
    <w:p>
      <w:pPr>
        <w:pStyle w:val="Heading2"/>
        <w:spacing w:line="230" w:lineRule="exact" w:before="0"/>
        <w:ind w:left="662" w:right="0"/>
        <w:jc w:val="left"/>
        <w:rPr>
          <w:rFonts w:ascii="宋体" w:hAnsi="宋体" w:cs="宋体" w:eastAsia="宋体" w:hint="default"/>
          <w:b w:val="0"/>
          <w:bCs w:val="0"/>
        </w:rPr>
      </w:pPr>
      <w:r>
        <w:rPr/>
        <w:t>增长率、利润率、折现率、预测期等，如适用）及商誉减值损失的确认方法</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36" w:right="541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商誉减值测试的影响</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36" w:right="731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0"/>
        <w:ind w:left="236" w:right="731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28</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040" w:right="1340"/>
        </w:sectPr>
      </w:pPr>
    </w:p>
    <w:p>
      <w:pPr>
        <w:pStyle w:val="BodyText"/>
        <w:spacing w:line="240" w:lineRule="auto" w:before="100"/>
        <w:ind w:left="0" w:right="16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p>
      <w:pPr>
        <w:spacing w:line="20" w:lineRule="exact"/>
        <w:ind w:left="189" w:right="0" w:firstLine="0"/>
        <w:rPr>
          <w:rFonts w:ascii="宋体" w:hAnsi="宋体" w:cs="宋体" w:eastAsia="宋体" w:hint="default"/>
          <w:sz w:val="2"/>
          <w:szCs w:val="2"/>
        </w:rPr>
      </w:pPr>
      <w:r>
        <w:rPr>
          <w:rFonts w:ascii="宋体" w:hAnsi="宋体" w:cs="宋体" w:eastAsia="宋体" w:hint="default"/>
          <w:sz w:val="2"/>
          <w:szCs w:val="2"/>
        </w:rPr>
        <w:pict>
          <v:group style="width:448.45pt;height:1pt;mso-position-horizontal-relative:char;mso-position-vertical-relative:line" coordorigin="0,0" coordsize="8969,20">
            <v:group style="position:absolute;left:10;top:10;width:2439;height:2" coordorigin="10,10" coordsize="2439,2">
              <v:shape style="position:absolute;left:10;top:10;width:2439;height:2" coordorigin="10,10" coordsize="2439,0" path="m10,10l2448,10e" filled="false" stroked="true" strokeweight=".96001pt" strokecolor="#41b7ee">
                <v:path arrowok="t"/>
              </v:shape>
            </v:group>
            <v:group style="position:absolute;left:2448;top:10;width:58;height:2" coordorigin="2448,10" coordsize="58,2">
              <v:shape style="position:absolute;left:2448;top:10;width:58;height:2" coordorigin="2448,10" coordsize="58,0" path="m2448,10l2506,10e" filled="false" stroked="true" strokeweight=".96001pt" strokecolor="#41b7ee">
                <v:path arrowok="t"/>
              </v:shape>
            </v:group>
            <v:group style="position:absolute;left:2506;top:10;width:1523;height:2" coordorigin="2506,10" coordsize="1523,2">
              <v:shape style="position:absolute;left:2506;top:10;width:1523;height:2" coordorigin="2506,10" coordsize="1523,0" path="m2506,10l4028,10e" filled="false" stroked="true" strokeweight=".96001pt" strokecolor="#41b7ee">
                <v:path arrowok="t"/>
              </v:shape>
            </v:group>
            <v:group style="position:absolute;left:4028;top:10;width:58;height:2" coordorigin="4028,10" coordsize="58,2">
              <v:shape style="position:absolute;left:4028;top:10;width:58;height:2" coordorigin="4028,10" coordsize="58,0" path="m4028,10l4086,10e" filled="false" stroked="true" strokeweight=".96001pt" strokecolor="#41b7ee">
                <v:path arrowok="t"/>
              </v:shape>
            </v:group>
            <v:group style="position:absolute;left:4086;top:10;width:1525;height:2" coordorigin="4086,10" coordsize="1525,2">
              <v:shape style="position:absolute;left:4086;top:10;width:1525;height:2" coordorigin="4086,10" coordsize="1525,0" path="m4086,10l5610,10e" filled="false" stroked="true" strokeweight=".96001pt" strokecolor="#41b7ee">
                <v:path arrowok="t"/>
              </v:shape>
            </v:group>
            <v:group style="position:absolute;left:5610;top:10;width:58;height:2" coordorigin="5610,10" coordsize="58,2">
              <v:shape style="position:absolute;left:5610;top:10;width:58;height:2" coordorigin="5610,10" coordsize="58,0" path="m5610,10l5668,10e" filled="false" stroked="true" strokeweight=".96001pt" strokecolor="#41b7ee">
                <v:path arrowok="t"/>
              </v:shape>
            </v:group>
            <v:group style="position:absolute;left:5668;top:10;width:1666;height:2" coordorigin="5668,10" coordsize="1666,2">
              <v:shape style="position:absolute;left:5668;top:10;width:1666;height:2" coordorigin="5668,10" coordsize="1666,0" path="m5668,10l7333,10e" filled="false" stroked="true" strokeweight=".96001pt" strokecolor="#41b7ee">
                <v:path arrowok="t"/>
              </v:shape>
            </v:group>
            <v:group style="position:absolute;left:7333;top:10;width:58;height:2" coordorigin="7333,10" coordsize="58,2">
              <v:shape style="position:absolute;left:7333;top:10;width:58;height:2" coordorigin="7333,10" coordsize="58,0" path="m7333,10l7391,10e" filled="false" stroked="true" strokeweight=".96001pt" strokecolor="#41b7ee">
                <v:path arrowok="t"/>
              </v:shape>
            </v:group>
            <v:group style="position:absolute;left:7391;top:10;width:1568;height:2" coordorigin="7391,10" coordsize="1568,2">
              <v:shape style="position:absolute;left:7391;top:10;width:1568;height:2" coordorigin="7391,10" coordsize="1568,0" path="m7391,10l8959,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70" w:type="dxa"/>
        <w:tblLayout w:type="fixed"/>
        <w:tblCellMar>
          <w:top w:w="0" w:type="dxa"/>
          <w:left w:w="0" w:type="dxa"/>
          <w:bottom w:w="0" w:type="dxa"/>
          <w:right w:w="0" w:type="dxa"/>
        </w:tblCellMar>
        <w:tblLook w:val="01E0"/>
      </w:tblPr>
      <w:tblGrid>
        <w:gridCol w:w="2444"/>
        <w:gridCol w:w="1580"/>
        <w:gridCol w:w="1582"/>
        <w:gridCol w:w="1723"/>
        <w:gridCol w:w="1620"/>
      </w:tblGrid>
      <w:tr>
        <w:trPr>
          <w:trHeight w:val="365" w:hRule="exact"/>
        </w:trPr>
        <w:tc>
          <w:tcPr>
            <w:tcW w:w="2444"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6"/>
              <w:ind w:left="108"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80"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6"/>
              <w:ind w:left="36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82"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6"/>
              <w:ind w:right="50"/>
              <w:jc w:val="right"/>
              <w:rPr>
                <w:rFonts w:ascii="宋体" w:hAnsi="宋体" w:cs="宋体" w:eastAsia="宋体" w:hint="default"/>
                <w:sz w:val="21"/>
                <w:szCs w:val="21"/>
              </w:rPr>
            </w:pP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723"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6"/>
              <w:ind w:left="223" w:right="0"/>
              <w:jc w:val="left"/>
              <w:rPr>
                <w:rFonts w:ascii="宋体" w:hAnsi="宋体" w:cs="宋体" w:eastAsia="宋体" w:hint="default"/>
                <w:sz w:val="21"/>
                <w:szCs w:val="21"/>
              </w:rPr>
            </w:pPr>
            <w:r>
              <w:rPr>
                <w:rFonts w:ascii="宋体" w:hAnsi="宋体" w:cs="宋体" w:eastAsia="宋体" w:hint="default"/>
                <w:sz w:val="21"/>
                <w:szCs w:val="21"/>
              </w:rPr>
              <w:t>本期摊销金额</w:t>
            </w:r>
            <w:r>
              <w:rPr>
                <w:rFonts w:ascii="宋体" w:hAnsi="宋体" w:cs="宋体" w:eastAsia="宋体" w:hint="default"/>
                <w:sz w:val="21"/>
                <w:szCs w:val="21"/>
              </w:rPr>
              <w:t> </w:t>
            </w:r>
          </w:p>
        </w:tc>
        <w:tc>
          <w:tcPr>
            <w:tcW w:w="1620"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6"/>
              <w:ind w:left="38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58" w:hRule="exact"/>
        </w:trPr>
        <w:tc>
          <w:tcPr>
            <w:tcW w:w="244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7" w:right="0"/>
              <w:jc w:val="left"/>
              <w:rPr>
                <w:rFonts w:ascii="宋体" w:hAnsi="宋体" w:cs="宋体" w:eastAsia="宋体" w:hint="default"/>
                <w:sz w:val="21"/>
                <w:szCs w:val="21"/>
              </w:rPr>
            </w:pPr>
            <w:r>
              <w:rPr>
                <w:rFonts w:ascii="宋体" w:hAnsi="宋体" w:cs="宋体" w:eastAsia="宋体" w:hint="default"/>
                <w:sz w:val="21"/>
                <w:szCs w:val="21"/>
              </w:rPr>
              <w:t>农田水利项目维护</w:t>
            </w:r>
            <w:r>
              <w:rPr>
                <w:rFonts w:ascii="宋体" w:hAnsi="宋体" w:cs="宋体" w:eastAsia="宋体" w:hint="default"/>
                <w:sz w:val="21"/>
                <w:szCs w:val="21"/>
              </w:rPr>
              <w:t> </w:t>
            </w:r>
          </w:p>
        </w:tc>
        <w:tc>
          <w:tcPr>
            <w:tcW w:w="158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51"/>
              <w:jc w:val="right"/>
              <w:rPr>
                <w:rFonts w:ascii="Arial" w:hAnsi="Arial" w:cs="Arial" w:eastAsia="Arial" w:hint="default"/>
                <w:sz w:val="21"/>
                <w:szCs w:val="21"/>
              </w:rPr>
            </w:pPr>
            <w:r>
              <w:rPr>
                <w:rFonts w:ascii="Arial"/>
                <w:spacing w:val="-1"/>
                <w:sz w:val="21"/>
              </w:rPr>
              <w:t>40,939,330.36</w:t>
            </w:r>
          </w:p>
        </w:tc>
        <w:tc>
          <w:tcPr>
            <w:tcW w:w="15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9"/>
              <w:jc w:val="right"/>
              <w:rPr>
                <w:rFonts w:ascii="Arial" w:hAnsi="Arial" w:cs="Arial" w:eastAsia="Arial" w:hint="default"/>
                <w:sz w:val="21"/>
                <w:szCs w:val="21"/>
              </w:rPr>
            </w:pPr>
            <w:r>
              <w:rPr>
                <w:rFonts w:ascii="Arial"/>
                <w:spacing w:val="-1"/>
                <w:sz w:val="21"/>
              </w:rPr>
              <w:t>992,866.00</w:t>
            </w:r>
          </w:p>
        </w:tc>
        <w:tc>
          <w:tcPr>
            <w:tcW w:w="172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51"/>
              <w:jc w:val="right"/>
              <w:rPr>
                <w:rFonts w:ascii="Arial" w:hAnsi="Arial" w:cs="Arial" w:eastAsia="Arial" w:hint="default"/>
                <w:sz w:val="21"/>
                <w:szCs w:val="21"/>
              </w:rPr>
            </w:pPr>
            <w:r>
              <w:rPr>
                <w:rFonts w:ascii="Arial"/>
                <w:spacing w:val="-1"/>
                <w:sz w:val="21"/>
              </w:rPr>
              <w:t>5,393,252.19</w:t>
            </w:r>
          </w:p>
        </w:tc>
        <w:tc>
          <w:tcPr>
            <w:tcW w:w="162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54"/>
              <w:jc w:val="right"/>
              <w:rPr>
                <w:rFonts w:ascii="Arial" w:hAnsi="Arial" w:cs="Arial" w:eastAsia="Arial" w:hint="default"/>
                <w:sz w:val="21"/>
                <w:szCs w:val="21"/>
              </w:rPr>
            </w:pPr>
            <w:r>
              <w:rPr>
                <w:rFonts w:ascii="Arial"/>
                <w:spacing w:val="-1"/>
                <w:sz w:val="21"/>
              </w:rPr>
              <w:t>36,538,944.17</w:t>
            </w:r>
          </w:p>
        </w:tc>
      </w:tr>
      <w:tr>
        <w:trPr>
          <w:trHeight w:val="358" w:hRule="exact"/>
        </w:trPr>
        <w:tc>
          <w:tcPr>
            <w:tcW w:w="244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7" w:right="0"/>
              <w:jc w:val="left"/>
              <w:rPr>
                <w:rFonts w:ascii="宋体" w:hAnsi="宋体" w:cs="宋体" w:eastAsia="宋体" w:hint="default"/>
                <w:sz w:val="21"/>
                <w:szCs w:val="21"/>
              </w:rPr>
            </w:pPr>
            <w:r>
              <w:rPr>
                <w:rFonts w:ascii="宋体" w:hAnsi="宋体" w:cs="宋体" w:eastAsia="宋体" w:hint="default"/>
                <w:sz w:val="21"/>
                <w:szCs w:val="21"/>
              </w:rPr>
              <w:t>经营租入催芽基地</w:t>
            </w:r>
            <w:r>
              <w:rPr>
                <w:rFonts w:ascii="宋体" w:hAnsi="宋体" w:cs="宋体" w:eastAsia="宋体" w:hint="default"/>
                <w:sz w:val="21"/>
                <w:szCs w:val="21"/>
              </w:rPr>
              <w:t> </w:t>
            </w:r>
          </w:p>
        </w:tc>
        <w:tc>
          <w:tcPr>
            <w:tcW w:w="158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51"/>
              <w:jc w:val="right"/>
              <w:rPr>
                <w:rFonts w:ascii="Arial" w:hAnsi="Arial" w:cs="Arial" w:eastAsia="Arial" w:hint="default"/>
                <w:sz w:val="21"/>
                <w:szCs w:val="21"/>
              </w:rPr>
            </w:pPr>
            <w:r>
              <w:rPr>
                <w:rFonts w:ascii="Arial"/>
                <w:spacing w:val="-1"/>
                <w:sz w:val="21"/>
              </w:rPr>
              <w:t>5,657,612.79</w:t>
            </w:r>
          </w:p>
        </w:tc>
        <w:tc>
          <w:tcPr>
            <w:tcW w:w="1582" w:type="dxa"/>
            <w:tcBorders>
              <w:top w:val="single" w:sz="4" w:space="0" w:color="41B7EE"/>
              <w:left w:val="single" w:sz="4" w:space="0" w:color="41B7EE"/>
              <w:bottom w:val="single" w:sz="4" w:space="0" w:color="41B7EE"/>
              <w:right w:val="single" w:sz="4" w:space="0" w:color="41B7EE"/>
            </w:tcBorders>
          </w:tcPr>
          <w:p>
            <w:pPr/>
          </w:p>
        </w:tc>
        <w:tc>
          <w:tcPr>
            <w:tcW w:w="172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51"/>
              <w:jc w:val="right"/>
              <w:rPr>
                <w:rFonts w:ascii="Arial" w:hAnsi="Arial" w:cs="Arial" w:eastAsia="Arial" w:hint="default"/>
                <w:sz w:val="21"/>
                <w:szCs w:val="21"/>
              </w:rPr>
            </w:pPr>
            <w:r>
              <w:rPr>
                <w:rFonts w:ascii="Arial"/>
                <w:spacing w:val="-1"/>
                <w:sz w:val="21"/>
              </w:rPr>
              <w:t>942,935.46</w:t>
            </w:r>
          </w:p>
        </w:tc>
        <w:tc>
          <w:tcPr>
            <w:tcW w:w="162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53"/>
              <w:jc w:val="right"/>
              <w:rPr>
                <w:rFonts w:ascii="Arial" w:hAnsi="Arial" w:cs="Arial" w:eastAsia="Arial" w:hint="default"/>
                <w:sz w:val="21"/>
                <w:szCs w:val="21"/>
              </w:rPr>
            </w:pPr>
            <w:r>
              <w:rPr>
                <w:rFonts w:ascii="Arial"/>
                <w:spacing w:val="-1"/>
                <w:sz w:val="21"/>
              </w:rPr>
              <w:t>4,714,677.33</w:t>
            </w:r>
          </w:p>
        </w:tc>
      </w:tr>
      <w:tr>
        <w:trPr>
          <w:trHeight w:val="355" w:hRule="exact"/>
        </w:trPr>
        <w:tc>
          <w:tcPr>
            <w:tcW w:w="244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57" w:right="0"/>
              <w:jc w:val="left"/>
              <w:rPr>
                <w:rFonts w:ascii="宋体" w:hAnsi="宋体" w:cs="宋体" w:eastAsia="宋体" w:hint="default"/>
                <w:sz w:val="21"/>
                <w:szCs w:val="21"/>
              </w:rPr>
            </w:pPr>
            <w:r>
              <w:rPr>
                <w:rFonts w:ascii="宋体" w:hAnsi="宋体" w:cs="宋体" w:eastAsia="宋体" w:hint="default"/>
                <w:spacing w:val="-14"/>
                <w:sz w:val="21"/>
                <w:szCs w:val="21"/>
              </w:rPr>
              <w:t>粮食管护设施土地租赁费</w:t>
            </w:r>
            <w:r>
              <w:rPr>
                <w:rFonts w:ascii="宋体" w:hAnsi="宋体" w:cs="宋体" w:eastAsia="宋体" w:hint="default"/>
                <w:sz w:val="21"/>
                <w:szCs w:val="21"/>
              </w:rPr>
              <w:t> </w:t>
            </w:r>
          </w:p>
        </w:tc>
        <w:tc>
          <w:tcPr>
            <w:tcW w:w="158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51"/>
              <w:jc w:val="right"/>
              <w:rPr>
                <w:rFonts w:ascii="Arial" w:hAnsi="Arial" w:cs="Arial" w:eastAsia="Arial" w:hint="default"/>
                <w:sz w:val="21"/>
                <w:szCs w:val="21"/>
              </w:rPr>
            </w:pPr>
            <w:r>
              <w:rPr>
                <w:rFonts w:ascii="Arial"/>
                <w:spacing w:val="-1"/>
                <w:sz w:val="21"/>
              </w:rPr>
              <w:t>2,404,278.46</w:t>
            </w:r>
          </w:p>
        </w:tc>
        <w:tc>
          <w:tcPr>
            <w:tcW w:w="15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49"/>
              <w:jc w:val="right"/>
              <w:rPr>
                <w:rFonts w:ascii="Arial" w:hAnsi="Arial" w:cs="Arial" w:eastAsia="Arial" w:hint="default"/>
                <w:sz w:val="21"/>
                <w:szCs w:val="21"/>
              </w:rPr>
            </w:pPr>
            <w:r>
              <w:rPr>
                <w:rFonts w:ascii="Arial"/>
                <w:spacing w:val="-1"/>
                <w:sz w:val="21"/>
              </w:rPr>
              <w:t>845,748.00</w:t>
            </w:r>
          </w:p>
        </w:tc>
        <w:tc>
          <w:tcPr>
            <w:tcW w:w="172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51"/>
              <w:jc w:val="right"/>
              <w:rPr>
                <w:rFonts w:ascii="Arial" w:hAnsi="Arial" w:cs="Arial" w:eastAsia="Arial" w:hint="default"/>
                <w:sz w:val="21"/>
                <w:szCs w:val="21"/>
              </w:rPr>
            </w:pPr>
            <w:r>
              <w:rPr>
                <w:rFonts w:ascii="Arial"/>
                <w:spacing w:val="-1"/>
                <w:sz w:val="21"/>
              </w:rPr>
              <w:t>842,634.72</w:t>
            </w:r>
          </w:p>
        </w:tc>
        <w:tc>
          <w:tcPr>
            <w:tcW w:w="162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53"/>
              <w:jc w:val="right"/>
              <w:rPr>
                <w:rFonts w:ascii="Arial" w:hAnsi="Arial" w:cs="Arial" w:eastAsia="Arial" w:hint="default"/>
                <w:sz w:val="21"/>
                <w:szCs w:val="21"/>
              </w:rPr>
            </w:pPr>
            <w:r>
              <w:rPr>
                <w:rFonts w:ascii="Arial"/>
                <w:spacing w:val="-1"/>
                <w:sz w:val="21"/>
              </w:rPr>
              <w:t>2,407,391.74</w:t>
            </w:r>
          </w:p>
        </w:tc>
      </w:tr>
      <w:tr>
        <w:trPr>
          <w:trHeight w:val="358" w:hRule="exact"/>
        </w:trPr>
        <w:tc>
          <w:tcPr>
            <w:tcW w:w="244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8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51"/>
              <w:jc w:val="right"/>
              <w:rPr>
                <w:rFonts w:ascii="Arial" w:hAnsi="Arial" w:cs="Arial" w:eastAsia="Arial" w:hint="default"/>
                <w:sz w:val="21"/>
                <w:szCs w:val="21"/>
              </w:rPr>
            </w:pPr>
            <w:r>
              <w:rPr>
                <w:rFonts w:ascii="Arial"/>
                <w:spacing w:val="-1"/>
                <w:sz w:val="21"/>
              </w:rPr>
              <w:t>475,933.00</w:t>
            </w:r>
          </w:p>
        </w:tc>
        <w:tc>
          <w:tcPr>
            <w:tcW w:w="1582" w:type="dxa"/>
            <w:tcBorders>
              <w:top w:val="single" w:sz="4" w:space="0" w:color="41B7EE"/>
              <w:left w:val="single" w:sz="4" w:space="0" w:color="41B7EE"/>
              <w:bottom w:val="single" w:sz="4" w:space="0" w:color="41B7EE"/>
              <w:right w:val="single" w:sz="4" w:space="0" w:color="41B7EE"/>
            </w:tcBorders>
          </w:tcPr>
          <w:p>
            <w:pPr/>
          </w:p>
        </w:tc>
        <w:tc>
          <w:tcPr>
            <w:tcW w:w="172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50"/>
              <w:jc w:val="right"/>
              <w:rPr>
                <w:rFonts w:ascii="Arial" w:hAnsi="Arial" w:cs="Arial" w:eastAsia="Arial" w:hint="default"/>
                <w:sz w:val="21"/>
                <w:szCs w:val="21"/>
              </w:rPr>
            </w:pPr>
            <w:r>
              <w:rPr>
                <w:rFonts w:ascii="Arial"/>
                <w:spacing w:val="-1"/>
                <w:sz w:val="21"/>
              </w:rPr>
              <w:t>30,600.00</w:t>
            </w:r>
          </w:p>
        </w:tc>
        <w:tc>
          <w:tcPr>
            <w:tcW w:w="162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53"/>
              <w:jc w:val="right"/>
              <w:rPr>
                <w:rFonts w:ascii="Arial" w:hAnsi="Arial" w:cs="Arial" w:eastAsia="Arial" w:hint="default"/>
                <w:sz w:val="21"/>
                <w:szCs w:val="21"/>
              </w:rPr>
            </w:pPr>
            <w:r>
              <w:rPr>
                <w:rFonts w:ascii="Arial"/>
                <w:spacing w:val="-1"/>
                <w:sz w:val="21"/>
              </w:rPr>
              <w:t>445,333.00</w:t>
            </w:r>
          </w:p>
        </w:tc>
      </w:tr>
      <w:tr>
        <w:trPr>
          <w:trHeight w:val="384" w:hRule="exact"/>
        </w:trPr>
        <w:tc>
          <w:tcPr>
            <w:tcW w:w="2444"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10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80"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51"/>
              <w:jc w:val="right"/>
              <w:rPr>
                <w:rFonts w:ascii="Arial" w:hAnsi="Arial" w:cs="Arial" w:eastAsia="Arial" w:hint="default"/>
                <w:sz w:val="21"/>
                <w:szCs w:val="21"/>
              </w:rPr>
            </w:pPr>
            <w:r>
              <w:rPr>
                <w:rFonts w:ascii="Arial"/>
                <w:spacing w:val="-1"/>
                <w:sz w:val="21"/>
              </w:rPr>
              <w:t>49,477,154.61</w:t>
            </w:r>
          </w:p>
        </w:tc>
        <w:tc>
          <w:tcPr>
            <w:tcW w:w="1582"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49"/>
              <w:jc w:val="right"/>
              <w:rPr>
                <w:rFonts w:ascii="Arial" w:hAnsi="Arial" w:cs="Arial" w:eastAsia="Arial" w:hint="default"/>
                <w:sz w:val="21"/>
                <w:szCs w:val="21"/>
              </w:rPr>
            </w:pPr>
            <w:r>
              <w:rPr>
                <w:rFonts w:ascii="Arial"/>
                <w:spacing w:val="-1"/>
                <w:sz w:val="21"/>
              </w:rPr>
              <w:t>1,838,614.00</w:t>
            </w:r>
          </w:p>
        </w:tc>
        <w:tc>
          <w:tcPr>
            <w:tcW w:w="1723"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51"/>
              <w:jc w:val="right"/>
              <w:rPr>
                <w:rFonts w:ascii="Arial" w:hAnsi="Arial" w:cs="Arial" w:eastAsia="Arial" w:hint="default"/>
                <w:sz w:val="21"/>
                <w:szCs w:val="21"/>
              </w:rPr>
            </w:pPr>
            <w:r>
              <w:rPr>
                <w:rFonts w:ascii="Arial"/>
                <w:spacing w:val="-1"/>
                <w:sz w:val="21"/>
              </w:rPr>
              <w:t>7,209,422.37</w:t>
            </w:r>
          </w:p>
        </w:tc>
        <w:tc>
          <w:tcPr>
            <w:tcW w:w="1620"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54"/>
              <w:jc w:val="right"/>
              <w:rPr>
                <w:rFonts w:ascii="Arial" w:hAnsi="Arial" w:cs="Arial" w:eastAsia="Arial" w:hint="default"/>
                <w:sz w:val="21"/>
                <w:szCs w:val="21"/>
              </w:rPr>
            </w:pPr>
            <w:r>
              <w:rPr>
                <w:rFonts w:ascii="Arial"/>
                <w:spacing w:val="-1"/>
                <w:sz w:val="21"/>
              </w:rPr>
              <w:t>44,106,346.24</w:t>
            </w:r>
          </w:p>
        </w:tc>
      </w:tr>
    </w:tbl>
    <w:p>
      <w:pPr>
        <w:spacing w:after="0" w:line="240" w:lineRule="auto"/>
        <w:jc w:val="right"/>
        <w:rPr>
          <w:rFonts w:ascii="Arial" w:hAnsi="Arial" w:cs="Arial" w:eastAsia="Arial" w:hint="default"/>
          <w:sz w:val="21"/>
          <w:szCs w:val="21"/>
        </w:rPr>
        <w:sectPr>
          <w:pgSz w:w="11910" w:h="16840"/>
          <w:pgMar w:header="0" w:footer="1195" w:top="1300" w:bottom="1380" w:left="1020" w:right="1520"/>
        </w:sectPr>
      </w:pPr>
    </w:p>
    <w:p>
      <w:pPr>
        <w:pStyle w:val="Heading2"/>
        <w:spacing w:line="290" w:lineRule="auto" w:before="44"/>
        <w:ind w:left="256" w:right="33"/>
        <w:jc w:val="left"/>
        <w:rPr>
          <w:rFonts w:ascii="宋体" w:hAnsi="宋体" w:cs="宋体" w:eastAsia="宋体" w:hint="default"/>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6"/>
        </w:rPr>
        <w:t> </w:t>
      </w:r>
      <w:r>
        <w:rPr/>
        <w:t>递延所得税负债</w:t>
      </w:r>
      <w:r>
        <w:rPr>
          <w:rFonts w:ascii="宋体" w:hAnsi="宋体" w:cs="宋体" w:eastAsia="宋体" w:hint="default"/>
          <w:w w:val="99"/>
        </w:rPr>
        <w:t> </w:t>
      </w:r>
      <w:r>
        <w:rPr>
          <w:rFonts w:ascii="宋体" w:hAnsi="宋体" w:cs="宋体" w:eastAsia="宋体" w:hint="default"/>
        </w:rPr>
        <w:t>(1).</w:t>
      </w:r>
      <w:r>
        <w:rPr/>
        <w:t>未经抵销的递延所得税资产</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256" w:right="3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未经抵销的递延所得税负债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5"/>
        <w:ind w:left="256" w:right="3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56" w:right="3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256" w:right="3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240" w:lineRule="auto"/>
        <w:ind w:left="2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020" w:right="1520"/>
          <w:cols w:num="2" w:equalWidth="0">
            <w:col w:w="4797" w:space="1725"/>
            <w:col w:w="284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891"/>
        <w:gridCol w:w="3082"/>
        <w:gridCol w:w="3077"/>
      </w:tblGrid>
      <w:tr>
        <w:trPr>
          <w:trHeight w:val="382" w:hRule="exact"/>
        </w:trPr>
        <w:tc>
          <w:tcPr>
            <w:tcW w:w="2891"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4"/>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82"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4"/>
              <w:ind w:left="111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7"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4"/>
              <w:ind w:left="111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58" w:hRule="exact"/>
        </w:trPr>
        <w:tc>
          <w:tcPr>
            <w:tcW w:w="289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可抵扣暂时性差异</w:t>
            </w:r>
            <w:r>
              <w:rPr>
                <w:rFonts w:ascii="宋体" w:hAnsi="宋体" w:cs="宋体" w:eastAsia="宋体" w:hint="default"/>
                <w:sz w:val="21"/>
                <w:szCs w:val="21"/>
              </w:rPr>
              <w:t> </w:t>
            </w:r>
          </w:p>
        </w:tc>
        <w:tc>
          <w:tcPr>
            <w:tcW w:w="30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47"/>
              <w:jc w:val="right"/>
              <w:rPr>
                <w:rFonts w:ascii="Arial" w:hAnsi="Arial" w:cs="Arial" w:eastAsia="Arial" w:hint="default"/>
                <w:sz w:val="21"/>
                <w:szCs w:val="21"/>
              </w:rPr>
            </w:pPr>
            <w:r>
              <w:rPr>
                <w:rFonts w:ascii="Arial"/>
                <w:spacing w:val="-1"/>
                <w:sz w:val="21"/>
              </w:rPr>
              <w:t>2,234,738,528.49</w:t>
            </w:r>
          </w:p>
        </w:tc>
        <w:tc>
          <w:tcPr>
            <w:tcW w:w="307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2,230,285,241.97</w:t>
            </w:r>
          </w:p>
        </w:tc>
      </w:tr>
      <w:tr>
        <w:trPr>
          <w:trHeight w:val="358" w:hRule="exact"/>
        </w:trPr>
        <w:tc>
          <w:tcPr>
            <w:tcW w:w="289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30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188,459,076.97</w:t>
            </w:r>
          </w:p>
        </w:tc>
        <w:tc>
          <w:tcPr>
            <w:tcW w:w="307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128,177,652.26</w:t>
            </w:r>
          </w:p>
        </w:tc>
      </w:tr>
      <w:tr>
        <w:trPr>
          <w:trHeight w:val="382" w:hRule="exact"/>
        </w:trPr>
        <w:tc>
          <w:tcPr>
            <w:tcW w:w="2891"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2"/>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82"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147"/>
              <w:jc w:val="right"/>
              <w:rPr>
                <w:rFonts w:ascii="Arial" w:hAnsi="Arial" w:cs="Arial" w:eastAsia="Arial" w:hint="default"/>
                <w:sz w:val="21"/>
                <w:szCs w:val="21"/>
              </w:rPr>
            </w:pPr>
            <w:r>
              <w:rPr>
                <w:rFonts w:ascii="Arial"/>
                <w:spacing w:val="-1"/>
                <w:sz w:val="21"/>
              </w:rPr>
              <w:t>2,423,197,605.46</w:t>
            </w:r>
          </w:p>
        </w:tc>
        <w:tc>
          <w:tcPr>
            <w:tcW w:w="3077"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2,358,462,894.23</w:t>
            </w:r>
          </w:p>
        </w:tc>
      </w:tr>
    </w:tbl>
    <w:p>
      <w:pPr>
        <w:spacing w:after="0" w:line="240" w:lineRule="auto"/>
        <w:jc w:val="right"/>
        <w:rPr>
          <w:rFonts w:ascii="Arial" w:hAnsi="Arial" w:cs="Arial" w:eastAsia="Arial" w:hint="default"/>
          <w:sz w:val="21"/>
          <w:szCs w:val="21"/>
        </w:rPr>
        <w:sectPr>
          <w:type w:val="continuous"/>
          <w:pgSz w:w="11910" w:h="16840"/>
          <w:pgMar w:top="1360" w:bottom="1380" w:left="1020" w:right="1520"/>
        </w:sectPr>
      </w:pPr>
    </w:p>
    <w:p>
      <w:pPr>
        <w:pStyle w:val="Heading2"/>
        <w:spacing w:line="240" w:lineRule="auto" w:before="26"/>
        <w:ind w:left="256" w:right="0"/>
        <w:jc w:val="left"/>
        <w:rPr>
          <w:rFonts w:ascii="宋体" w:hAnsi="宋体" w:cs="宋体" w:eastAsia="宋体" w:hint="default"/>
          <w:b w:val="0"/>
          <w:bCs w:val="0"/>
        </w:rPr>
      </w:pPr>
      <w:r>
        <w:rPr>
          <w:rFonts w:ascii="宋体" w:hAnsi="宋体" w:cs="宋体" w:eastAsia="宋体" w:hint="default"/>
        </w:rPr>
        <w:t>(5).</w:t>
      </w:r>
      <w:r>
        <w:rPr/>
        <w:t>未确认递延所得税资产的可抵扣亏损将于以下年度到期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spacing w:line="240" w:lineRule="auto"/>
        <w:ind w:left="2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020" w:right="1520"/>
          <w:cols w:num="2" w:equalWidth="0">
            <w:col w:w="5851" w:space="616"/>
            <w:col w:w="2903"/>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084"/>
        <w:gridCol w:w="2288"/>
        <w:gridCol w:w="2324"/>
        <w:gridCol w:w="2355"/>
      </w:tblGrid>
      <w:tr>
        <w:trPr>
          <w:trHeight w:val="382" w:hRule="exact"/>
        </w:trPr>
        <w:tc>
          <w:tcPr>
            <w:tcW w:w="2084"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4"/>
              <w:ind w:right="720"/>
              <w:jc w:val="right"/>
              <w:rPr>
                <w:rFonts w:ascii="宋体" w:hAnsi="宋体" w:cs="宋体" w:eastAsia="宋体" w:hint="default"/>
                <w:sz w:val="21"/>
                <w:szCs w:val="21"/>
              </w:rPr>
            </w:pPr>
            <w:r>
              <w:rPr>
                <w:rFonts w:ascii="宋体" w:hAnsi="宋体" w:cs="宋体" w:eastAsia="宋体" w:hint="default"/>
                <w:spacing w:val="-2"/>
                <w:sz w:val="21"/>
                <w:szCs w:val="21"/>
              </w:rPr>
              <w:t>年份</w:t>
            </w:r>
            <w:r>
              <w:rPr>
                <w:rFonts w:ascii="宋体" w:hAnsi="宋体" w:cs="宋体" w:eastAsia="宋体" w:hint="default"/>
                <w:sz w:val="21"/>
                <w:szCs w:val="21"/>
              </w:rPr>
              <w:t> </w:t>
            </w:r>
          </w:p>
        </w:tc>
        <w:tc>
          <w:tcPr>
            <w:tcW w:w="2288"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4"/>
              <w:ind w:left="718" w:right="0"/>
              <w:jc w:val="left"/>
              <w:rPr>
                <w:rFonts w:ascii="宋体" w:hAnsi="宋体" w:cs="宋体" w:eastAsia="宋体" w:hint="default"/>
                <w:sz w:val="21"/>
                <w:szCs w:val="21"/>
              </w:rPr>
            </w:pPr>
            <w:r>
              <w:rPr>
                <w:rFonts w:ascii="宋体" w:hAnsi="宋体" w:cs="宋体" w:eastAsia="宋体" w:hint="default"/>
                <w:sz w:val="21"/>
                <w:szCs w:val="21"/>
              </w:rPr>
              <w:t>期末金额</w:t>
            </w:r>
            <w:r>
              <w:rPr>
                <w:rFonts w:ascii="宋体" w:hAnsi="宋体" w:cs="宋体" w:eastAsia="宋体" w:hint="default"/>
                <w:sz w:val="21"/>
                <w:szCs w:val="21"/>
              </w:rPr>
              <w:t> </w:t>
            </w:r>
          </w:p>
        </w:tc>
        <w:tc>
          <w:tcPr>
            <w:tcW w:w="2324"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4"/>
              <w:ind w:left="736" w:right="0"/>
              <w:jc w:val="left"/>
              <w:rPr>
                <w:rFonts w:ascii="宋体" w:hAnsi="宋体" w:cs="宋体" w:eastAsia="宋体" w:hint="default"/>
                <w:sz w:val="21"/>
                <w:szCs w:val="21"/>
              </w:rPr>
            </w:pPr>
            <w:r>
              <w:rPr>
                <w:rFonts w:ascii="宋体" w:hAnsi="宋体" w:cs="宋体" w:eastAsia="宋体" w:hint="default"/>
                <w:sz w:val="21"/>
                <w:szCs w:val="21"/>
              </w:rPr>
              <w:t>期初金额</w:t>
            </w:r>
            <w:r>
              <w:rPr>
                <w:rFonts w:ascii="宋体" w:hAnsi="宋体" w:cs="宋体" w:eastAsia="宋体" w:hint="default"/>
                <w:sz w:val="21"/>
                <w:szCs w:val="21"/>
              </w:rPr>
              <w:t> </w:t>
            </w:r>
          </w:p>
        </w:tc>
        <w:tc>
          <w:tcPr>
            <w:tcW w:w="2355"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4"/>
              <w:ind w:left="100"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 </w:t>
            </w:r>
          </w:p>
        </w:tc>
      </w:tr>
      <w:tr>
        <w:trPr>
          <w:trHeight w:val="358" w:hRule="exact"/>
        </w:trPr>
        <w:tc>
          <w:tcPr>
            <w:tcW w:w="208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right="653"/>
              <w:jc w:val="righ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3"/>
                <w:sz w:val="21"/>
                <w:szCs w:val="21"/>
              </w:rPr>
              <w:t> </w:t>
            </w:r>
            <w:r>
              <w:rPr>
                <w:rFonts w:ascii="宋体" w:hAnsi="宋体" w:cs="宋体" w:eastAsia="宋体" w:hint="default"/>
                <w:sz w:val="21"/>
                <w:szCs w:val="21"/>
              </w:rPr>
              <w:t>年到期</w:t>
            </w:r>
          </w:p>
        </w:tc>
        <w:tc>
          <w:tcPr>
            <w:tcW w:w="2288" w:type="dxa"/>
            <w:tcBorders>
              <w:top w:val="single" w:sz="4" w:space="0" w:color="41B7EE"/>
              <w:left w:val="single" w:sz="4" w:space="0" w:color="41B7EE"/>
              <w:bottom w:val="single" w:sz="4" w:space="0" w:color="41B7EE"/>
              <w:right w:val="single" w:sz="4" w:space="0" w:color="41B7EE"/>
            </w:tcBorders>
          </w:tcPr>
          <w:p>
            <w:pPr/>
          </w:p>
        </w:tc>
        <w:tc>
          <w:tcPr>
            <w:tcW w:w="23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13,516,285.53</w:t>
            </w:r>
          </w:p>
        </w:tc>
        <w:tc>
          <w:tcPr>
            <w:tcW w:w="235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w w:val="100"/>
                <w:sz w:val="21"/>
              </w:rPr>
              <w:t> </w:t>
            </w:r>
          </w:p>
        </w:tc>
      </w:tr>
      <w:tr>
        <w:trPr>
          <w:trHeight w:val="358" w:hRule="exact"/>
        </w:trPr>
        <w:tc>
          <w:tcPr>
            <w:tcW w:w="208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right="653"/>
              <w:jc w:val="right"/>
              <w:rPr>
                <w:rFonts w:ascii="宋体" w:hAnsi="宋体" w:cs="宋体" w:eastAsia="宋体" w:hint="default"/>
                <w:sz w:val="21"/>
                <w:szCs w:val="21"/>
              </w:rPr>
            </w:pPr>
            <w:r>
              <w:rPr>
                <w:rFonts w:ascii="Arial" w:hAnsi="Arial" w:cs="Arial" w:eastAsia="Arial" w:hint="default"/>
                <w:sz w:val="21"/>
                <w:szCs w:val="21"/>
              </w:rPr>
              <w:t>2020</w:t>
            </w:r>
            <w:r>
              <w:rPr>
                <w:rFonts w:ascii="Arial" w:hAnsi="Arial" w:cs="Arial" w:eastAsia="Arial" w:hint="default"/>
                <w:spacing w:val="-3"/>
                <w:sz w:val="21"/>
                <w:szCs w:val="21"/>
              </w:rPr>
              <w:t> </w:t>
            </w:r>
            <w:r>
              <w:rPr>
                <w:rFonts w:ascii="宋体" w:hAnsi="宋体" w:cs="宋体" w:eastAsia="宋体" w:hint="default"/>
                <w:sz w:val="21"/>
                <w:szCs w:val="21"/>
              </w:rPr>
              <w:t>年到期</w:t>
            </w:r>
          </w:p>
        </w:tc>
        <w:tc>
          <w:tcPr>
            <w:tcW w:w="228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22,091,419.47</w:t>
            </w:r>
          </w:p>
        </w:tc>
        <w:tc>
          <w:tcPr>
            <w:tcW w:w="23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22,091,419.47</w:t>
            </w:r>
          </w:p>
        </w:tc>
        <w:tc>
          <w:tcPr>
            <w:tcW w:w="235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w w:val="100"/>
                <w:sz w:val="21"/>
              </w:rPr>
              <w:t> </w:t>
            </w:r>
          </w:p>
        </w:tc>
      </w:tr>
      <w:tr>
        <w:trPr>
          <w:trHeight w:val="358" w:hRule="exact"/>
        </w:trPr>
        <w:tc>
          <w:tcPr>
            <w:tcW w:w="208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right="653"/>
              <w:jc w:val="right"/>
              <w:rPr>
                <w:rFonts w:ascii="宋体" w:hAnsi="宋体" w:cs="宋体" w:eastAsia="宋体" w:hint="default"/>
                <w:sz w:val="21"/>
                <w:szCs w:val="21"/>
              </w:rPr>
            </w:pPr>
            <w:r>
              <w:rPr>
                <w:rFonts w:ascii="Arial" w:hAnsi="Arial" w:cs="Arial" w:eastAsia="Arial" w:hint="default"/>
                <w:sz w:val="21"/>
                <w:szCs w:val="21"/>
              </w:rPr>
              <w:t>2021</w:t>
            </w:r>
            <w:r>
              <w:rPr>
                <w:rFonts w:ascii="Arial" w:hAnsi="Arial" w:cs="Arial" w:eastAsia="Arial" w:hint="default"/>
                <w:spacing w:val="-3"/>
                <w:sz w:val="21"/>
                <w:szCs w:val="21"/>
              </w:rPr>
              <w:t> </w:t>
            </w:r>
            <w:r>
              <w:rPr>
                <w:rFonts w:ascii="宋体" w:hAnsi="宋体" w:cs="宋体" w:eastAsia="宋体" w:hint="default"/>
                <w:sz w:val="21"/>
                <w:szCs w:val="21"/>
              </w:rPr>
              <w:t>年到期</w:t>
            </w:r>
          </w:p>
        </w:tc>
        <w:tc>
          <w:tcPr>
            <w:tcW w:w="228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37,401,398.27</w:t>
            </w:r>
          </w:p>
        </w:tc>
        <w:tc>
          <w:tcPr>
            <w:tcW w:w="23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37,695,325.75</w:t>
            </w:r>
          </w:p>
        </w:tc>
        <w:tc>
          <w:tcPr>
            <w:tcW w:w="235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w w:val="100"/>
                <w:sz w:val="21"/>
              </w:rPr>
              <w:t> </w:t>
            </w:r>
          </w:p>
        </w:tc>
      </w:tr>
      <w:tr>
        <w:trPr>
          <w:trHeight w:val="355" w:hRule="exact"/>
        </w:trPr>
        <w:tc>
          <w:tcPr>
            <w:tcW w:w="208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right="653"/>
              <w:jc w:val="right"/>
              <w:rPr>
                <w:rFonts w:ascii="宋体" w:hAnsi="宋体" w:cs="宋体" w:eastAsia="宋体" w:hint="default"/>
                <w:sz w:val="21"/>
                <w:szCs w:val="21"/>
              </w:rPr>
            </w:pPr>
            <w:r>
              <w:rPr>
                <w:rFonts w:ascii="Arial" w:hAnsi="Arial" w:cs="Arial" w:eastAsia="Arial" w:hint="default"/>
                <w:sz w:val="21"/>
                <w:szCs w:val="21"/>
              </w:rPr>
              <w:t>2022</w:t>
            </w:r>
            <w:r>
              <w:rPr>
                <w:rFonts w:ascii="Arial" w:hAnsi="Arial" w:cs="Arial" w:eastAsia="Arial" w:hint="default"/>
                <w:spacing w:val="-3"/>
                <w:sz w:val="21"/>
                <w:szCs w:val="21"/>
              </w:rPr>
              <w:t> </w:t>
            </w:r>
            <w:r>
              <w:rPr>
                <w:rFonts w:ascii="宋体" w:hAnsi="宋体" w:cs="宋体" w:eastAsia="宋体" w:hint="default"/>
                <w:sz w:val="21"/>
                <w:szCs w:val="21"/>
              </w:rPr>
              <w:t>年到期</w:t>
            </w:r>
          </w:p>
        </w:tc>
        <w:tc>
          <w:tcPr>
            <w:tcW w:w="228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34,506,446.75</w:t>
            </w:r>
          </w:p>
        </w:tc>
        <w:tc>
          <w:tcPr>
            <w:tcW w:w="23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41,772,450.88</w:t>
            </w:r>
          </w:p>
        </w:tc>
        <w:tc>
          <w:tcPr>
            <w:tcW w:w="235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w w:val="100"/>
                <w:sz w:val="21"/>
              </w:rPr>
              <w:t> </w:t>
            </w:r>
          </w:p>
        </w:tc>
      </w:tr>
      <w:tr>
        <w:trPr>
          <w:trHeight w:val="358" w:hRule="exact"/>
        </w:trPr>
        <w:tc>
          <w:tcPr>
            <w:tcW w:w="208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right="653"/>
              <w:jc w:val="right"/>
              <w:rPr>
                <w:rFonts w:ascii="宋体" w:hAnsi="宋体" w:cs="宋体" w:eastAsia="宋体" w:hint="default"/>
                <w:sz w:val="21"/>
                <w:szCs w:val="21"/>
              </w:rPr>
            </w:pPr>
            <w:r>
              <w:rPr>
                <w:rFonts w:ascii="Arial" w:hAnsi="Arial" w:cs="Arial" w:eastAsia="Arial" w:hint="default"/>
                <w:sz w:val="21"/>
                <w:szCs w:val="21"/>
              </w:rPr>
              <w:t>2023</w:t>
            </w:r>
            <w:r>
              <w:rPr>
                <w:rFonts w:ascii="Arial" w:hAnsi="Arial" w:cs="Arial" w:eastAsia="Arial" w:hint="default"/>
                <w:spacing w:val="-3"/>
                <w:sz w:val="21"/>
                <w:szCs w:val="21"/>
              </w:rPr>
              <w:t> </w:t>
            </w:r>
            <w:r>
              <w:rPr>
                <w:rFonts w:ascii="宋体" w:hAnsi="宋体" w:cs="宋体" w:eastAsia="宋体" w:hint="default"/>
                <w:sz w:val="21"/>
                <w:szCs w:val="21"/>
              </w:rPr>
              <w:t>年到期</w:t>
            </w:r>
          </w:p>
        </w:tc>
        <w:tc>
          <w:tcPr>
            <w:tcW w:w="228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20,367,856.49</w:t>
            </w:r>
          </w:p>
        </w:tc>
        <w:tc>
          <w:tcPr>
            <w:tcW w:w="23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13,102,170.63</w:t>
            </w:r>
          </w:p>
        </w:tc>
        <w:tc>
          <w:tcPr>
            <w:tcW w:w="235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w w:val="100"/>
                <w:sz w:val="21"/>
              </w:rPr>
              <w:t> </w:t>
            </w:r>
          </w:p>
        </w:tc>
      </w:tr>
      <w:tr>
        <w:trPr>
          <w:trHeight w:val="358" w:hRule="exact"/>
        </w:trPr>
        <w:tc>
          <w:tcPr>
            <w:tcW w:w="208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right="653"/>
              <w:jc w:val="right"/>
              <w:rPr>
                <w:rFonts w:ascii="宋体" w:hAnsi="宋体" w:cs="宋体" w:eastAsia="宋体" w:hint="default"/>
                <w:sz w:val="21"/>
                <w:szCs w:val="21"/>
              </w:rPr>
            </w:pPr>
            <w:r>
              <w:rPr>
                <w:rFonts w:ascii="Arial" w:hAnsi="Arial" w:cs="Arial" w:eastAsia="Arial" w:hint="default"/>
                <w:sz w:val="21"/>
                <w:szCs w:val="21"/>
              </w:rPr>
              <w:t>2024</w:t>
            </w:r>
            <w:r>
              <w:rPr>
                <w:rFonts w:ascii="Arial" w:hAnsi="Arial" w:cs="Arial" w:eastAsia="Arial" w:hint="default"/>
                <w:spacing w:val="-3"/>
                <w:sz w:val="21"/>
                <w:szCs w:val="21"/>
              </w:rPr>
              <w:t> </w:t>
            </w:r>
            <w:r>
              <w:rPr>
                <w:rFonts w:ascii="宋体" w:hAnsi="宋体" w:cs="宋体" w:eastAsia="宋体" w:hint="default"/>
                <w:sz w:val="21"/>
                <w:szCs w:val="21"/>
              </w:rPr>
              <w:t>年到期</w:t>
            </w:r>
          </w:p>
        </w:tc>
        <w:tc>
          <w:tcPr>
            <w:tcW w:w="228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74,091,955.99</w:t>
            </w:r>
          </w:p>
        </w:tc>
        <w:tc>
          <w:tcPr>
            <w:tcW w:w="2324" w:type="dxa"/>
            <w:tcBorders>
              <w:top w:val="single" w:sz="4" w:space="0" w:color="41B7EE"/>
              <w:left w:val="single" w:sz="4" w:space="0" w:color="41B7EE"/>
              <w:bottom w:val="single" w:sz="4" w:space="0" w:color="41B7EE"/>
              <w:right w:val="single" w:sz="4" w:space="0" w:color="41B7EE"/>
            </w:tcBorders>
          </w:tcPr>
          <w:p>
            <w:pPr/>
          </w:p>
        </w:tc>
        <w:tc>
          <w:tcPr>
            <w:tcW w:w="235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w w:val="100"/>
                <w:sz w:val="21"/>
              </w:rPr>
              <w:t> </w:t>
            </w:r>
          </w:p>
        </w:tc>
      </w:tr>
      <w:tr>
        <w:trPr>
          <w:trHeight w:val="384" w:hRule="exact"/>
        </w:trPr>
        <w:tc>
          <w:tcPr>
            <w:tcW w:w="2084"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0"/>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188,459,076.97</w:t>
            </w:r>
          </w:p>
        </w:tc>
        <w:tc>
          <w:tcPr>
            <w:tcW w:w="2324"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128,177,652.26</w:t>
            </w:r>
          </w:p>
        </w:tc>
        <w:tc>
          <w:tcPr>
            <w:tcW w:w="2355"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
              <w:ind w:left="98" w:right="0"/>
              <w:jc w:val="center"/>
              <w:rPr>
                <w:rFonts w:ascii="宋体" w:hAnsi="宋体" w:cs="宋体" w:eastAsia="宋体" w:hint="default"/>
                <w:sz w:val="21"/>
                <w:szCs w:val="21"/>
              </w:rPr>
            </w:pPr>
            <w:r>
              <w:rPr>
                <w:rFonts w:ascii="宋体"/>
                <w:sz w:val="21"/>
              </w:rPr>
              <w:t>/ </w:t>
            </w:r>
          </w:p>
        </w:tc>
      </w:tr>
    </w:tbl>
    <w:p>
      <w:pPr>
        <w:spacing w:after="0" w:line="240" w:lineRule="auto"/>
        <w:jc w:val="center"/>
        <w:rPr>
          <w:rFonts w:ascii="宋体" w:hAnsi="宋体" w:cs="宋体" w:eastAsia="宋体" w:hint="default"/>
          <w:sz w:val="21"/>
          <w:szCs w:val="21"/>
        </w:rPr>
        <w:sectPr>
          <w:type w:val="continuous"/>
          <w:pgSz w:w="11910" w:h="16840"/>
          <w:pgMar w:top="1360" w:bottom="1380" w:left="1020" w:right="1520"/>
        </w:sectPr>
      </w:pPr>
    </w:p>
    <w:p>
      <w:pPr>
        <w:pStyle w:val="Heading2"/>
        <w:spacing w:line="240" w:lineRule="auto" w:before="26"/>
        <w:ind w:left="256" w:right="-18"/>
        <w:jc w:val="left"/>
        <w:rPr>
          <w:b w:val="0"/>
          <w:bCs w:val="0"/>
        </w:rPr>
      </w:pPr>
      <w:r>
        <w:rPr>
          <w:rFonts w:ascii="宋体" w:hAnsi="宋体" w:cs="宋体" w:eastAsia="宋体" w:hint="default"/>
        </w:rPr>
        <w:t>30</w:t>
      </w:r>
      <w:r>
        <w:rPr/>
        <w:t>、</w:t>
      </w:r>
      <w:r>
        <w:rPr>
          <w:spacing w:val="-23"/>
        </w:rPr>
        <w:t> </w:t>
      </w:r>
      <w:r>
        <w:rPr/>
        <w:t>其他非流动资产</w:t>
      </w:r>
      <w:r>
        <w:rPr>
          <w:b w:val="0"/>
          <w:bCs w:val="0"/>
        </w:rPr>
      </w:r>
    </w:p>
    <w:p>
      <w:pPr>
        <w:pStyle w:val="BodyText"/>
        <w:spacing w:line="240" w:lineRule="auto" w:before="56"/>
        <w:ind w:left="256" w:right="-1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spacing w:line="240" w:lineRule="auto"/>
        <w:ind w:left="2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020" w:right="1520"/>
          <w:cols w:num="2" w:equalWidth="0">
            <w:col w:w="2240" w:space="4282"/>
            <w:col w:w="2848"/>
          </w:cols>
        </w:sectPr>
      </w:pPr>
    </w:p>
    <w:p>
      <w:pPr>
        <w:spacing w:line="240" w:lineRule="auto" w:before="4"/>
        <w:rPr>
          <w:rFonts w:ascii="宋体" w:hAnsi="宋体" w:cs="宋体" w:eastAsia="宋体" w:hint="default"/>
          <w:sz w:val="2"/>
          <w:szCs w:val="2"/>
        </w:rPr>
      </w:pPr>
    </w:p>
    <w:tbl>
      <w:tblPr>
        <w:tblW w:w="0" w:type="auto"/>
        <w:jc w:val="left"/>
        <w:tblInd w:w="196" w:type="dxa"/>
        <w:tblLayout w:type="fixed"/>
        <w:tblCellMar>
          <w:top w:w="0" w:type="dxa"/>
          <w:left w:w="0" w:type="dxa"/>
          <w:bottom w:w="0" w:type="dxa"/>
          <w:right w:w="0" w:type="dxa"/>
        </w:tblCellMar>
        <w:tblLook w:val="01E0"/>
      </w:tblPr>
      <w:tblGrid>
        <w:gridCol w:w="4141"/>
        <w:gridCol w:w="2285"/>
        <w:gridCol w:w="2470"/>
      </w:tblGrid>
      <w:tr>
        <w:trPr>
          <w:trHeight w:val="384" w:hRule="exact"/>
        </w:trPr>
        <w:tc>
          <w:tcPr>
            <w:tcW w:w="4141"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left="11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85"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left="7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470"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80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55" w:hRule="exact"/>
        </w:trPr>
        <w:tc>
          <w:tcPr>
            <w:tcW w:w="41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哈尔滨合作开发项目</w:t>
            </w:r>
            <w:r>
              <w:rPr>
                <w:rFonts w:ascii="宋体" w:hAnsi="宋体" w:cs="宋体" w:eastAsia="宋体" w:hint="default"/>
                <w:sz w:val="21"/>
                <w:szCs w:val="21"/>
              </w:rPr>
              <w:t> </w:t>
            </w:r>
          </w:p>
        </w:tc>
        <w:tc>
          <w:tcPr>
            <w:tcW w:w="228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5,071,790.36</w:t>
            </w:r>
          </w:p>
        </w:tc>
        <w:tc>
          <w:tcPr>
            <w:tcW w:w="247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5,071,790.36</w:t>
            </w:r>
          </w:p>
        </w:tc>
      </w:tr>
      <w:tr>
        <w:trPr>
          <w:trHeight w:val="358" w:hRule="exact"/>
        </w:trPr>
        <w:tc>
          <w:tcPr>
            <w:tcW w:w="41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四方山林场东部大鳞片石墨矿探矿支出</w:t>
            </w:r>
            <w:r>
              <w:rPr>
                <w:rFonts w:ascii="宋体" w:hAnsi="宋体" w:cs="宋体" w:eastAsia="宋体" w:hint="default"/>
                <w:sz w:val="21"/>
                <w:szCs w:val="21"/>
              </w:rPr>
              <w:t> </w:t>
            </w:r>
          </w:p>
        </w:tc>
        <w:tc>
          <w:tcPr>
            <w:tcW w:w="228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22"/>
              <w:jc w:val="right"/>
              <w:rPr>
                <w:rFonts w:ascii="Arial" w:hAnsi="Arial" w:cs="Arial" w:eastAsia="Arial" w:hint="default"/>
                <w:sz w:val="21"/>
                <w:szCs w:val="21"/>
              </w:rPr>
            </w:pPr>
            <w:r>
              <w:rPr>
                <w:rFonts w:ascii="Arial"/>
                <w:spacing w:val="-1"/>
                <w:sz w:val="21"/>
              </w:rPr>
              <w:t>6,800,000.00</w:t>
            </w:r>
          </w:p>
        </w:tc>
        <w:tc>
          <w:tcPr>
            <w:tcW w:w="247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right="27"/>
              <w:jc w:val="right"/>
              <w:rPr>
                <w:rFonts w:ascii="Arial" w:hAnsi="Arial" w:cs="Arial" w:eastAsia="Arial" w:hint="default"/>
                <w:sz w:val="21"/>
                <w:szCs w:val="21"/>
              </w:rPr>
            </w:pPr>
            <w:r>
              <w:rPr>
                <w:rFonts w:ascii="Arial"/>
                <w:spacing w:val="-1"/>
                <w:sz w:val="21"/>
              </w:rPr>
              <w:t>6,800,000.00</w:t>
            </w:r>
          </w:p>
        </w:tc>
      </w:tr>
      <w:tr>
        <w:trPr>
          <w:trHeight w:val="365" w:hRule="exact"/>
        </w:trPr>
        <w:tc>
          <w:tcPr>
            <w:tcW w:w="4141"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抵债资产（天顺新城三期在建房等）</w:t>
            </w:r>
            <w:r>
              <w:rPr>
                <w:rFonts w:ascii="宋体" w:hAnsi="宋体" w:cs="宋体" w:eastAsia="宋体" w:hint="default"/>
                <w:sz w:val="21"/>
                <w:szCs w:val="21"/>
              </w:rPr>
              <w:t> </w:t>
            </w:r>
          </w:p>
        </w:tc>
        <w:tc>
          <w:tcPr>
            <w:tcW w:w="2285"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7"/>
              <w:ind w:right="22"/>
              <w:jc w:val="right"/>
              <w:rPr>
                <w:rFonts w:ascii="Arial" w:hAnsi="Arial" w:cs="Arial" w:eastAsia="Arial" w:hint="default"/>
                <w:sz w:val="21"/>
                <w:szCs w:val="21"/>
              </w:rPr>
            </w:pPr>
            <w:r>
              <w:rPr>
                <w:rFonts w:ascii="Arial"/>
                <w:spacing w:val="-1"/>
                <w:sz w:val="21"/>
              </w:rPr>
              <w:t>418,196,582.91</w:t>
            </w:r>
          </w:p>
        </w:tc>
        <w:tc>
          <w:tcPr>
            <w:tcW w:w="2470"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7"/>
              <w:ind w:right="27"/>
              <w:jc w:val="right"/>
              <w:rPr>
                <w:rFonts w:ascii="Arial" w:hAnsi="Arial" w:cs="Arial" w:eastAsia="Arial" w:hint="default"/>
                <w:sz w:val="21"/>
                <w:szCs w:val="21"/>
              </w:rPr>
            </w:pPr>
            <w:r>
              <w:rPr>
                <w:rFonts w:ascii="Arial"/>
                <w:spacing w:val="-1"/>
                <w:sz w:val="21"/>
              </w:rPr>
              <w:t>426,104,885.93</w:t>
            </w:r>
          </w:p>
        </w:tc>
      </w:tr>
    </w:tbl>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4137;height:2" coordorigin="10,10" coordsize="4137,2">
              <v:shape style="position:absolute;left:10;top:10;width:4137;height:2" coordorigin="10,10" coordsize="4137,0" path="m10,10l4146,10e" filled="false" stroked="true" strokeweight=".96002pt" strokecolor="#41b7ee">
                <v:path arrowok="t"/>
              </v:shape>
            </v:group>
            <v:group style="position:absolute;left:4146;top:10;width:58;height:2" coordorigin="4146,10" coordsize="58,2">
              <v:shape style="position:absolute;left:4146;top:10;width:58;height:2" coordorigin="4146,10" coordsize="58,0" path="m4146,10l4203,10e" filled="false" stroked="true" strokeweight=".96002pt" strokecolor="#41b7ee">
                <v:path arrowok="t"/>
              </v:shape>
            </v:group>
            <v:group style="position:absolute;left:4203;top:10;width:2228;height:2" coordorigin="4203,10" coordsize="2228,2">
              <v:shape style="position:absolute;left:4203;top:10;width:2228;height:2" coordorigin="4203,10" coordsize="2228,0" path="m4203,10l6431,10e" filled="false" stroked="true" strokeweight=".96002pt" strokecolor="#41b7ee">
                <v:path arrowok="t"/>
              </v:shape>
            </v:group>
            <v:group style="position:absolute;left:6431;top:10;width:58;height:2" coordorigin="6431,10" coordsize="58,2">
              <v:shape style="position:absolute;left:6431;top:10;width:58;height:2" coordorigin="6431,10" coordsize="58,0" path="m6431,10l6489,10e" filled="false" stroked="true" strokeweight=".96002pt" strokecolor="#41b7ee">
                <v:path arrowok="t"/>
              </v:shape>
            </v:group>
            <v:group style="position:absolute;left:6489;top:10;width:2418;height:2" coordorigin="6489,10" coordsize="2418,2">
              <v:shape style="position:absolute;left:6489;top:10;width:2418;height:2" coordorigin="6489,10" coordsize="2418,0" path="m6489,10l8906,10e" filled="false" stroked="true" strokeweight=".96002pt" strokecolor="#41b7ee">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360" w:bottom="1380" w:left="1020" w:right="1520"/>
        </w:sectPr>
      </w:pPr>
    </w:p>
    <w:p>
      <w:pPr>
        <w:spacing w:line="240" w:lineRule="auto" w:before="11"/>
        <w:rPr>
          <w:rFonts w:ascii="宋体" w:hAnsi="宋体" w:cs="宋体" w:eastAsia="宋体" w:hint="default"/>
          <w:sz w:val="3"/>
          <w:szCs w:val="3"/>
        </w:rPr>
      </w:pPr>
    </w:p>
    <w:p>
      <w:pPr>
        <w:spacing w:line="20" w:lineRule="exact"/>
        <w:ind w:left="22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4"/>
          <w:szCs w:val="4"/>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4137;height:2" coordorigin="10,10" coordsize="4137,2">
              <v:shape style="position:absolute;left:10;top:10;width:4137;height:2" coordorigin="10,10" coordsize="4137,0" path="m10,10l4146,10e" filled="false" stroked="true" strokeweight=".96pt" strokecolor="#41b7ee">
                <v:path arrowok="t"/>
              </v:shape>
            </v:group>
            <v:group style="position:absolute;left:4146;top:10;width:58;height:2" coordorigin="4146,10" coordsize="58,2">
              <v:shape style="position:absolute;left:4146;top:10;width:58;height:2" coordorigin="4146,10" coordsize="58,0" path="m4146,10l4203,10e" filled="false" stroked="true" strokeweight=".96pt" strokecolor="#41b7ee">
                <v:path arrowok="t"/>
              </v:shape>
            </v:group>
            <v:group style="position:absolute;left:4203;top:10;width:2228;height:2" coordorigin="4203,10" coordsize="2228,2">
              <v:shape style="position:absolute;left:4203;top:10;width:2228;height:2" coordorigin="4203,10" coordsize="2228,0" path="m4203,10l6431,10e" filled="false" stroked="true" strokeweight=".96pt" strokecolor="#41b7ee">
                <v:path arrowok="t"/>
              </v:shape>
            </v:group>
            <v:group style="position:absolute;left:6431;top:10;width:58;height:2" coordorigin="6431,10" coordsize="58,2">
              <v:shape style="position:absolute;left:6431;top:10;width:58;height:2" coordorigin="6431,10" coordsize="58,0" path="m6431,10l6489,10e" filled="false" stroked="true" strokeweight=".96pt" strokecolor="#41b7ee">
                <v:path arrowok="t"/>
              </v:shape>
            </v:group>
            <v:group style="position:absolute;left:6489;top:10;width:2418;height:2" coordorigin="6489,10" coordsize="2418,2">
              <v:shape style="position:absolute;left:6489;top:10;width:2418;height:2" coordorigin="6489,10" coordsize="2418,0" path="m6489,10l8906,10e" filled="false" stroked="true" strokeweight=".96pt" strokecolor="#41b7ee">
                <v:path arrowok="t"/>
              </v:shape>
            </v:group>
          </v:group>
        </w:pict>
      </w:r>
      <w:r>
        <w:rPr>
          <w:rFonts w:ascii="宋体" w:hAnsi="宋体" w:cs="宋体" w:eastAsia="宋体" w:hint="default"/>
          <w:sz w:val="2"/>
          <w:szCs w:val="2"/>
        </w:rPr>
      </w:r>
    </w:p>
    <w:tbl>
      <w:tblPr>
        <w:tblW w:w="0" w:type="auto"/>
        <w:jc w:val="left"/>
        <w:tblInd w:w="196" w:type="dxa"/>
        <w:tblLayout w:type="fixed"/>
        <w:tblCellMar>
          <w:top w:w="0" w:type="dxa"/>
          <w:left w:w="0" w:type="dxa"/>
          <w:bottom w:w="0" w:type="dxa"/>
          <w:right w:w="0" w:type="dxa"/>
        </w:tblCellMar>
        <w:tblLook w:val="01E0"/>
      </w:tblPr>
      <w:tblGrid>
        <w:gridCol w:w="4141"/>
        <w:gridCol w:w="2285"/>
        <w:gridCol w:w="2470"/>
      </w:tblGrid>
      <w:tr>
        <w:trPr>
          <w:trHeight w:val="365" w:hRule="exact"/>
        </w:trPr>
        <w:tc>
          <w:tcPr>
            <w:tcW w:w="4141"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6"/>
              <w:ind w:left="31" w:right="0"/>
              <w:jc w:val="left"/>
              <w:rPr>
                <w:rFonts w:ascii="宋体" w:hAnsi="宋体" w:cs="宋体" w:eastAsia="宋体" w:hint="default"/>
                <w:sz w:val="21"/>
                <w:szCs w:val="21"/>
              </w:rPr>
            </w:pPr>
            <w:r>
              <w:rPr>
                <w:rFonts w:ascii="宋体" w:hAnsi="宋体" w:cs="宋体" w:eastAsia="宋体" w:hint="default"/>
                <w:sz w:val="21"/>
                <w:szCs w:val="21"/>
              </w:rPr>
              <w:t>抵债资产（二九一龙脉小区房产）</w:t>
            </w:r>
            <w:r>
              <w:rPr>
                <w:rFonts w:ascii="宋体" w:hAnsi="宋体" w:cs="宋体" w:eastAsia="宋体" w:hint="default"/>
                <w:sz w:val="21"/>
                <w:szCs w:val="21"/>
              </w:rPr>
              <w:t> </w:t>
            </w:r>
          </w:p>
        </w:tc>
        <w:tc>
          <w:tcPr>
            <w:tcW w:w="2285"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50"/>
              <w:ind w:right="22"/>
              <w:jc w:val="right"/>
              <w:rPr>
                <w:rFonts w:ascii="Arial" w:hAnsi="Arial" w:cs="Arial" w:eastAsia="Arial" w:hint="default"/>
                <w:sz w:val="21"/>
                <w:szCs w:val="21"/>
              </w:rPr>
            </w:pPr>
            <w:r>
              <w:rPr>
                <w:rFonts w:ascii="Arial"/>
                <w:spacing w:val="-1"/>
                <w:sz w:val="21"/>
              </w:rPr>
              <w:t>72,002,611.77</w:t>
            </w:r>
          </w:p>
        </w:tc>
        <w:tc>
          <w:tcPr>
            <w:tcW w:w="2470"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50"/>
              <w:ind w:right="27"/>
              <w:jc w:val="right"/>
              <w:rPr>
                <w:rFonts w:ascii="Arial" w:hAnsi="Arial" w:cs="Arial" w:eastAsia="Arial" w:hint="default"/>
                <w:sz w:val="21"/>
                <w:szCs w:val="21"/>
              </w:rPr>
            </w:pPr>
            <w:r>
              <w:rPr>
                <w:rFonts w:ascii="Arial"/>
                <w:spacing w:val="-1"/>
                <w:sz w:val="21"/>
              </w:rPr>
              <w:t>72,002,611.77</w:t>
            </w:r>
          </w:p>
        </w:tc>
      </w:tr>
      <w:tr>
        <w:trPr>
          <w:trHeight w:val="355" w:hRule="exact"/>
        </w:trPr>
        <w:tc>
          <w:tcPr>
            <w:tcW w:w="41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抵债资产（肇东忠信国际小区房产）</w:t>
            </w:r>
            <w:r>
              <w:rPr>
                <w:rFonts w:ascii="宋体" w:hAnsi="宋体" w:cs="宋体" w:eastAsia="宋体" w:hint="default"/>
                <w:sz w:val="21"/>
                <w:szCs w:val="21"/>
              </w:rPr>
              <w:t> </w:t>
            </w:r>
          </w:p>
        </w:tc>
        <w:tc>
          <w:tcPr>
            <w:tcW w:w="228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4,328,800.88</w:t>
            </w:r>
          </w:p>
        </w:tc>
        <w:tc>
          <w:tcPr>
            <w:tcW w:w="2470"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414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7"/>
              <w:ind w:left="31" w:right="0"/>
              <w:jc w:val="left"/>
              <w:rPr>
                <w:rFonts w:ascii="宋体" w:hAnsi="宋体" w:cs="宋体" w:eastAsia="宋体" w:hint="default"/>
                <w:sz w:val="21"/>
                <w:szCs w:val="21"/>
              </w:rPr>
            </w:pPr>
            <w:r>
              <w:rPr>
                <w:rFonts w:ascii="宋体" w:hAnsi="宋体" w:cs="宋体" w:eastAsia="宋体" w:hint="default"/>
                <w:sz w:val="18"/>
                <w:szCs w:val="18"/>
              </w:rPr>
              <w:t>其他</w:t>
            </w:r>
            <w:r>
              <w:rPr>
                <w:rFonts w:ascii="宋体" w:hAnsi="宋体" w:cs="宋体" w:eastAsia="宋体" w:hint="default"/>
                <w:w w:val="100"/>
                <w:sz w:val="21"/>
                <w:szCs w:val="21"/>
              </w:rPr>
              <w:t> </w:t>
            </w:r>
          </w:p>
        </w:tc>
        <w:tc>
          <w:tcPr>
            <w:tcW w:w="228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5,100,920.47</w:t>
            </w:r>
          </w:p>
        </w:tc>
        <w:tc>
          <w:tcPr>
            <w:tcW w:w="247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4,182,657.21</w:t>
            </w:r>
          </w:p>
        </w:tc>
      </w:tr>
      <w:tr>
        <w:trPr>
          <w:trHeight w:val="384" w:hRule="exact"/>
        </w:trPr>
        <w:tc>
          <w:tcPr>
            <w:tcW w:w="4141"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11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85"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511,500,706.39</w:t>
            </w:r>
          </w:p>
        </w:tc>
        <w:tc>
          <w:tcPr>
            <w:tcW w:w="2470"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514,161,945.27</w:t>
            </w:r>
          </w:p>
        </w:tc>
      </w:tr>
    </w:tbl>
    <w:p>
      <w:pPr>
        <w:pStyle w:val="BodyText"/>
        <w:spacing w:line="257" w:lineRule="exact"/>
        <w:ind w:left="256" w:right="5964"/>
        <w:jc w:val="left"/>
        <w:rPr>
          <w:rFonts w:ascii="宋体" w:hAnsi="宋体" w:cs="宋体" w:eastAsia="宋体" w:hint="default"/>
        </w:rPr>
      </w:pPr>
      <w:r>
        <w:rPr/>
        <w:t>其他说明：</w:t>
      </w:r>
      <w:r>
        <w:rPr>
          <w:rFonts w:ascii="宋体" w:hAnsi="宋体" w:cs="宋体" w:eastAsia="宋体" w:hint="default"/>
        </w:rPr>
        <w:t> </w:t>
      </w:r>
    </w:p>
    <w:p>
      <w:pPr>
        <w:pStyle w:val="BodyText"/>
        <w:spacing w:line="232" w:lineRule="auto" w:before="5"/>
        <w:ind w:left="256" w:right="269" w:firstLine="420"/>
        <w:jc w:val="both"/>
        <w:rPr>
          <w:rFonts w:ascii="宋体" w:hAnsi="宋体" w:cs="宋体" w:eastAsia="宋体" w:hint="default"/>
        </w:rPr>
      </w:pPr>
      <w:r>
        <w:rPr>
          <w:spacing w:val="-4"/>
          <w:w w:val="100"/>
        </w:rPr>
        <w:t>（</w:t>
      </w:r>
      <w:r>
        <w:rPr>
          <w:rFonts w:ascii="Arial" w:hAnsi="Arial" w:cs="Arial" w:eastAsia="Arial" w:hint="default"/>
          <w:spacing w:val="-4"/>
          <w:w w:val="100"/>
        </w:rPr>
        <w:t>1</w:t>
      </w:r>
      <w:r>
        <w:rPr>
          <w:spacing w:val="-4"/>
          <w:w w:val="100"/>
        </w:rPr>
        <w:t>）“哈尔滨合作开发项目”系鑫都公司与黑龙江鑫都房地产开发有限公司联合开发的绿荫</w:t>
      </w:r>
      <w:r>
        <w:rPr>
          <w:w w:val="100"/>
        </w:rPr>
        <w:t> </w:t>
      </w:r>
      <w:r>
        <w:rPr>
          <w:spacing w:val="-2"/>
        </w:rPr>
        <w:t>芳邻项目，由黑龙江鑫都房地产开发有限公司具体实施，项目处于清盘阶段，但尚未竣工验收完</w:t>
      </w:r>
      <w:r>
        <w:rPr>
          <w:spacing w:val="-25"/>
        </w:rPr>
        <w:t> </w:t>
      </w:r>
      <w:r>
        <w:rPr>
          <w:spacing w:val="-25"/>
        </w:rPr>
      </w:r>
      <w:r>
        <w:rPr/>
        <w:t>毕。</w:t>
      </w:r>
      <w:r>
        <w:rPr>
          <w:rFonts w:ascii="宋体" w:hAnsi="宋体" w:cs="宋体" w:eastAsia="宋体" w:hint="default"/>
        </w:rPr>
        <w:t> </w:t>
      </w:r>
    </w:p>
    <w:p>
      <w:pPr>
        <w:pStyle w:val="BodyText"/>
        <w:spacing w:line="235" w:lineRule="auto" w:before="4"/>
        <w:ind w:left="256" w:right="268" w:firstLine="420"/>
        <w:jc w:val="both"/>
        <w:rPr>
          <w:rFonts w:ascii="宋体" w:hAnsi="宋体" w:cs="宋体" w:eastAsia="宋体" w:hint="default"/>
        </w:rPr>
      </w:pPr>
      <w:r>
        <w:rPr>
          <w:spacing w:val="-4"/>
        </w:rPr>
        <w:t>（</w:t>
      </w:r>
      <w:r>
        <w:rPr>
          <w:rFonts w:ascii="Arial" w:hAnsi="Arial" w:cs="Arial" w:eastAsia="Arial" w:hint="default"/>
          <w:spacing w:val="-4"/>
        </w:rPr>
        <w:t>2</w:t>
      </w:r>
      <w:r>
        <w:rPr>
          <w:spacing w:val="-4"/>
        </w:rPr>
        <w:t>）“抵债资产”系①公司根据法院执行裁定书，取得鑫都公司位于海拉尔天顺新城三期在</w:t>
      </w:r>
      <w:r>
        <w:rPr>
          <w:w w:val="100"/>
        </w:rPr>
        <w:t> </w:t>
      </w:r>
      <w:r>
        <w:rPr>
          <w:spacing w:val="-2"/>
        </w:rPr>
        <w:t>建房等资产；②子公司麦芽公司根据法院执行裁定书，取得秦皇岛市弘企房地产开发有限公司位</w:t>
      </w:r>
      <w:r>
        <w:rPr>
          <w:spacing w:val="-25"/>
        </w:rPr>
        <w:t> </w:t>
      </w:r>
      <w:r>
        <w:rPr>
          <w:spacing w:val="-25"/>
        </w:rPr>
      </w:r>
      <w:r>
        <w:rPr>
          <w:spacing w:val="-2"/>
        </w:rPr>
        <w:t>于黑龙江省二九一农场龙脉小区的房产所有权及相应的其他权利；③子公司麦芽公司（秦皇岛北</w:t>
      </w:r>
      <w:r>
        <w:rPr>
          <w:spacing w:val="-24"/>
        </w:rPr>
        <w:t> </w:t>
      </w:r>
      <w:r>
        <w:rPr>
          <w:spacing w:val="-24"/>
        </w:rPr>
      </w:r>
      <w:r>
        <w:rPr>
          <w:spacing w:val="-2"/>
        </w:rPr>
        <w:t>大荒龙业房地产开发有限公司）根据法院执行裁定书，取得黑龙江忠信伟业房地产开发有限公司</w:t>
      </w:r>
      <w:r>
        <w:rPr>
          <w:spacing w:val="-25"/>
        </w:rPr>
        <w:t> </w:t>
      </w:r>
      <w:r>
        <w:rPr>
          <w:spacing w:val="-25"/>
        </w:rPr>
      </w:r>
      <w:r>
        <w:rPr/>
        <w:t>位于黑龙江省肇东市忠信国际小区房产的房产所有权及相应的其他权利。</w:t>
      </w:r>
      <w:r>
        <w:rPr>
          <w:rFonts w:ascii="宋体" w:hAnsi="宋体" w:cs="宋体" w:eastAsia="宋体" w:hint="default"/>
        </w:rPr>
        <w:t> </w:t>
      </w:r>
    </w:p>
    <w:p>
      <w:pPr>
        <w:spacing w:line="276" w:lineRule="auto" w:before="0"/>
        <w:ind w:left="256" w:right="1354"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）其他项为应交增值税超过一年以上仍未抵扣的应交增值税进项税额等。</w:t>
      </w:r>
      <w:r>
        <w:rPr>
          <w:rFonts w:ascii="宋体" w:hAnsi="宋体" w:cs="宋体" w:eastAsia="宋体" w:hint="default"/>
          <w:w w:val="100"/>
          <w:sz w:val="21"/>
          <w:szCs w:val="21"/>
        </w:rPr>
        <w:t> </w:t>
      </w:r>
      <w:r>
        <w:rPr>
          <w:rFonts w:ascii="宋体" w:hAnsi="宋体" w:cs="宋体" w:eastAsia="宋体" w:hint="default"/>
          <w:b/>
          <w:bCs/>
          <w:sz w:val="21"/>
          <w:szCs w:val="21"/>
        </w:rPr>
        <w:t>31</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短期借款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25"/>
        <w:ind w:left="256" w:right="5964"/>
        <w:jc w:val="left"/>
        <w:rPr>
          <w:rFonts w:ascii="宋体" w:hAnsi="宋体" w:cs="宋体" w:eastAsia="宋体" w:hint="default"/>
          <w:b w:val="0"/>
          <w:bCs w:val="0"/>
        </w:rPr>
      </w:pPr>
      <w:r>
        <w:rPr>
          <w:rFonts w:ascii="宋体" w:hAnsi="宋体" w:cs="宋体" w:eastAsia="宋体" w:hint="default"/>
        </w:rPr>
        <w:t>(1).</w:t>
      </w:r>
      <w:r>
        <w:rPr/>
        <w:t>短期借款分类</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56" w:right="575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left="256" w:right="374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其中重要的已逾期未偿还的短期借款情况如下：</w:t>
      </w:r>
      <w:r>
        <w:rPr>
          <w:rFonts w:ascii="宋体" w:hAnsi="宋体" w:cs="宋体" w:eastAsia="宋体" w:hint="default"/>
        </w:rPr>
        <w:t> </w:t>
      </w:r>
    </w:p>
    <w:p>
      <w:pPr>
        <w:pStyle w:val="BodyText"/>
        <w:spacing w:line="246" w:lineRule="exact"/>
        <w:ind w:left="256" w:right="59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56" w:right="5964"/>
        <w:jc w:val="left"/>
        <w:rPr>
          <w:rFonts w:ascii="宋体" w:hAnsi="宋体" w:cs="宋体" w:eastAsia="宋体" w:hint="default"/>
        </w:rPr>
      </w:pPr>
      <w:r>
        <w:rPr/>
        <w:t>其他说明</w:t>
      </w:r>
      <w:r>
        <w:rPr>
          <w:rFonts w:ascii="宋体" w:hAnsi="宋体" w:cs="宋体" w:eastAsia="宋体" w:hint="default"/>
        </w:rPr>
        <w:t> </w:t>
      </w:r>
    </w:p>
    <w:p>
      <w:pPr>
        <w:spacing w:line="290" w:lineRule="auto" w:before="0"/>
        <w:ind w:left="256" w:right="711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32</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交易性金融负债</w:t>
      </w:r>
      <w:r>
        <w:rPr>
          <w:rFonts w:ascii="宋体" w:hAnsi="宋体" w:cs="宋体" w:eastAsia="宋体" w:hint="default"/>
          <w:sz w:val="21"/>
          <w:szCs w:val="21"/>
        </w:rPr>
      </w:r>
    </w:p>
    <w:p>
      <w:pPr>
        <w:spacing w:line="290" w:lineRule="auto" w:before="12"/>
        <w:ind w:left="256" w:right="713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33</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衍生金融负债</w:t>
      </w:r>
      <w:r>
        <w:rPr>
          <w:rFonts w:ascii="宋体" w:hAnsi="宋体" w:cs="宋体" w:eastAsia="宋体" w:hint="default"/>
          <w:sz w:val="21"/>
          <w:szCs w:val="21"/>
        </w:rPr>
      </w:r>
    </w:p>
    <w:p>
      <w:pPr>
        <w:spacing w:line="290" w:lineRule="auto" w:before="12"/>
        <w:ind w:left="256" w:right="713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34</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应付票据</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应付票据列示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56" w:right="713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35</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应付账款</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56" w:right="596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6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843"/>
        <w:gridCol w:w="2866"/>
        <w:gridCol w:w="3341"/>
      </w:tblGrid>
      <w:tr>
        <w:trPr>
          <w:trHeight w:val="385" w:hRule="exact"/>
        </w:trPr>
        <w:tc>
          <w:tcPr>
            <w:tcW w:w="2843"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7"/>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6"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7"/>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41"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7"/>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55" w:hRule="exact"/>
        </w:trPr>
        <w:tc>
          <w:tcPr>
            <w:tcW w:w="284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应付家庭农场款</w:t>
            </w:r>
            <w:r>
              <w:rPr>
                <w:rFonts w:ascii="宋体" w:hAnsi="宋体" w:cs="宋体" w:eastAsia="宋体" w:hint="default"/>
                <w:sz w:val="21"/>
                <w:szCs w:val="21"/>
              </w:rPr>
              <w:t> </w:t>
            </w:r>
          </w:p>
        </w:tc>
        <w:tc>
          <w:tcPr>
            <w:tcW w:w="286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4,494,352.20</w:t>
            </w:r>
          </w:p>
        </w:tc>
        <w:tc>
          <w:tcPr>
            <w:tcW w:w="334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4,499,548.18</w:t>
            </w:r>
          </w:p>
        </w:tc>
      </w:tr>
      <w:tr>
        <w:trPr>
          <w:trHeight w:val="358" w:hRule="exact"/>
        </w:trPr>
        <w:tc>
          <w:tcPr>
            <w:tcW w:w="284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应付原材料采购款</w:t>
            </w:r>
            <w:r>
              <w:rPr>
                <w:rFonts w:ascii="宋体" w:hAnsi="宋体" w:cs="宋体" w:eastAsia="宋体" w:hint="default"/>
                <w:sz w:val="21"/>
                <w:szCs w:val="21"/>
              </w:rPr>
              <w:t> </w:t>
            </w:r>
          </w:p>
        </w:tc>
        <w:tc>
          <w:tcPr>
            <w:tcW w:w="286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37,287,581.46</w:t>
            </w:r>
          </w:p>
        </w:tc>
        <w:tc>
          <w:tcPr>
            <w:tcW w:w="334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right="104"/>
              <w:jc w:val="right"/>
              <w:rPr>
                <w:rFonts w:ascii="Arial" w:hAnsi="Arial" w:cs="Arial" w:eastAsia="Arial" w:hint="default"/>
                <w:sz w:val="21"/>
                <w:szCs w:val="21"/>
              </w:rPr>
            </w:pPr>
            <w:r>
              <w:rPr>
                <w:rFonts w:ascii="Arial"/>
                <w:spacing w:val="-1"/>
                <w:sz w:val="21"/>
              </w:rPr>
              <w:t>50,799,193.13</w:t>
            </w:r>
          </w:p>
        </w:tc>
      </w:tr>
      <w:tr>
        <w:trPr>
          <w:trHeight w:val="358" w:hRule="exact"/>
        </w:trPr>
        <w:tc>
          <w:tcPr>
            <w:tcW w:w="284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应付商品采购款</w:t>
            </w:r>
            <w:r>
              <w:rPr>
                <w:rFonts w:ascii="宋体" w:hAnsi="宋体" w:cs="宋体" w:eastAsia="宋体" w:hint="default"/>
                <w:sz w:val="21"/>
                <w:szCs w:val="21"/>
              </w:rPr>
              <w:t> </w:t>
            </w:r>
          </w:p>
        </w:tc>
        <w:tc>
          <w:tcPr>
            <w:tcW w:w="286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8,825,538.88</w:t>
            </w:r>
          </w:p>
        </w:tc>
        <w:tc>
          <w:tcPr>
            <w:tcW w:w="334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12,622,937.11</w:t>
            </w:r>
          </w:p>
        </w:tc>
      </w:tr>
      <w:tr>
        <w:trPr>
          <w:trHeight w:val="358" w:hRule="exact"/>
        </w:trPr>
        <w:tc>
          <w:tcPr>
            <w:tcW w:w="284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应付劳务款</w:t>
            </w:r>
            <w:r>
              <w:rPr>
                <w:rFonts w:ascii="宋体" w:hAnsi="宋体" w:cs="宋体" w:eastAsia="宋体" w:hint="default"/>
                <w:sz w:val="21"/>
                <w:szCs w:val="21"/>
              </w:rPr>
              <w:t> </w:t>
            </w:r>
          </w:p>
        </w:tc>
        <w:tc>
          <w:tcPr>
            <w:tcW w:w="286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89,621,713.23</w:t>
            </w:r>
          </w:p>
        </w:tc>
        <w:tc>
          <w:tcPr>
            <w:tcW w:w="334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71,211,630.56</w:t>
            </w:r>
          </w:p>
        </w:tc>
      </w:tr>
      <w:tr>
        <w:trPr>
          <w:trHeight w:val="362" w:hRule="exact"/>
        </w:trPr>
        <w:tc>
          <w:tcPr>
            <w:tcW w:w="2843"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2"/>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6"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140,229,185.77</w:t>
            </w:r>
          </w:p>
        </w:tc>
        <w:tc>
          <w:tcPr>
            <w:tcW w:w="3341"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139,133,308.98</w:t>
            </w:r>
          </w:p>
        </w:tc>
      </w:tr>
    </w:tbl>
    <w:p>
      <w:pPr>
        <w:spacing w:line="20" w:lineRule="exact"/>
        <w:ind w:left="139"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2838;height:2" coordorigin="10,10" coordsize="2838,2">
              <v:shape style="position:absolute;left:10;top:10;width:2838;height:2" coordorigin="10,10" coordsize="2838,0" path="m10,10l2847,10e" filled="false" stroked="true" strokeweight=".96002pt" strokecolor="#41b7ee">
                <v:path arrowok="t"/>
              </v:shape>
            </v:group>
            <v:group style="position:absolute;left:2847;top:10;width:58;height:2" coordorigin="2847,10" coordsize="58,2">
              <v:shape style="position:absolute;left:2847;top:10;width:58;height:2" coordorigin="2847,10" coordsize="58,0" path="m2847,10l2905,10e" filled="false" stroked="true" strokeweight=".96002pt" strokecolor="#41b7ee">
                <v:path arrowok="t"/>
              </v:shape>
            </v:group>
            <v:group style="position:absolute;left:2905;top:10;width:2809;height:2" coordorigin="2905,10" coordsize="2809,2">
              <v:shape style="position:absolute;left:2905;top:10;width:2809;height:2" coordorigin="2905,10" coordsize="2809,0" path="m2905,10l5713,10e" filled="false" stroked="true" strokeweight=".96002pt" strokecolor="#41b7ee">
                <v:path arrowok="t"/>
              </v:shape>
            </v:group>
            <v:group style="position:absolute;left:5713;top:10;width:58;height:2" coordorigin="5713,10" coordsize="58,2">
              <v:shape style="position:absolute;left:5713;top:10;width:58;height:2" coordorigin="5713,10" coordsize="58,0" path="m5713,10l5771,10e" filled="false" stroked="true" strokeweight=".96002pt" strokecolor="#41b7ee">
                <v:path arrowok="t"/>
              </v:shape>
            </v:group>
            <v:group style="position:absolute;left:5771;top:10;width:3289;height:2" coordorigin="5771,10" coordsize="3289,2">
              <v:shape style="position:absolute;left:5771;top:10;width:3289;height:2" coordorigin="5771,10" coordsize="3289,0" path="m5771,10l9059,10e" filled="false" stroked="true" strokeweight=".96002pt" strokecolor="#41b7ee">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71"/>
          <w:pgSz w:w="11910" w:h="16840"/>
          <w:pgMar w:footer="1195" w:header="0" w:top="1300" w:bottom="1380" w:left="1020" w:right="1520"/>
        </w:sectPr>
      </w:pPr>
    </w:p>
    <w:p>
      <w:pPr>
        <w:pStyle w:val="Heading2"/>
        <w:spacing w:line="240" w:lineRule="auto" w:before="44"/>
        <w:ind w:left="256" w:right="0"/>
        <w:jc w:val="left"/>
        <w:rPr>
          <w:rFonts w:ascii="宋体" w:hAnsi="宋体" w:cs="宋体" w:eastAsia="宋体" w:hint="default"/>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8"/>
        <w:rPr>
          <w:rFonts w:ascii="宋体" w:hAnsi="宋体" w:cs="宋体" w:eastAsia="宋体" w:hint="default"/>
          <w:sz w:val="29"/>
          <w:szCs w:val="29"/>
        </w:rPr>
      </w:pPr>
    </w:p>
    <w:p>
      <w:pPr>
        <w:pStyle w:val="BodyText"/>
        <w:spacing w:line="240" w:lineRule="auto"/>
        <w:ind w:left="2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020" w:right="1520"/>
          <w:cols w:num="2" w:equalWidth="0">
            <w:col w:w="3534" w:space="2988"/>
            <w:col w:w="2848"/>
          </w:cols>
        </w:sectPr>
      </w:pPr>
    </w:p>
    <w:p>
      <w:pPr>
        <w:spacing w:line="240" w:lineRule="auto" w:before="2"/>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4647"/>
        <w:gridCol w:w="2470"/>
        <w:gridCol w:w="1932"/>
      </w:tblGrid>
      <w:tr>
        <w:trPr>
          <w:trHeight w:val="562" w:hRule="exact"/>
        </w:trPr>
        <w:tc>
          <w:tcPr>
            <w:tcW w:w="4647"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105"/>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470"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105"/>
              <w:ind w:left="80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932" w:type="dxa"/>
            <w:tcBorders>
              <w:top w:val="single" w:sz="8" w:space="0" w:color="41B7EE"/>
              <w:left w:val="single" w:sz="4" w:space="0" w:color="41B7EE"/>
              <w:bottom w:val="single" w:sz="4" w:space="0" w:color="41B7EE"/>
              <w:right w:val="nil" w:sz="6" w:space="0" w:color="auto"/>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未偿还或结转的原</w:t>
            </w:r>
          </w:p>
          <w:p>
            <w:pPr>
              <w:pStyle w:val="TableParagraph"/>
              <w:spacing w:line="273" w:lineRule="exact"/>
              <w:ind w:left="99" w:right="0"/>
              <w:jc w:val="center"/>
              <w:rPr>
                <w:rFonts w:ascii="宋体" w:hAnsi="宋体" w:cs="宋体" w:eastAsia="宋体" w:hint="default"/>
                <w:sz w:val="21"/>
                <w:szCs w:val="21"/>
              </w:rPr>
            </w:pPr>
            <w:r>
              <w:rPr>
                <w:rFonts w:ascii="宋体" w:hAnsi="宋体" w:cs="宋体" w:eastAsia="宋体" w:hint="default"/>
                <w:sz w:val="21"/>
                <w:szCs w:val="21"/>
              </w:rPr>
              <w:t>因</w:t>
            </w:r>
            <w:r>
              <w:rPr>
                <w:rFonts w:ascii="宋体" w:hAnsi="宋体" w:cs="宋体" w:eastAsia="宋体" w:hint="default"/>
                <w:sz w:val="21"/>
                <w:szCs w:val="21"/>
              </w:rPr>
              <w:t> </w:t>
            </w:r>
          </w:p>
        </w:tc>
      </w:tr>
      <w:tr>
        <w:trPr>
          <w:trHeight w:val="358" w:hRule="exact"/>
        </w:trPr>
        <w:tc>
          <w:tcPr>
            <w:tcW w:w="464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黑龙江省恒珲房地产开发有限公司</w:t>
            </w:r>
            <w:r>
              <w:rPr>
                <w:rFonts w:ascii="宋体" w:hAnsi="宋体" w:cs="宋体" w:eastAsia="宋体" w:hint="default"/>
                <w:sz w:val="21"/>
                <w:szCs w:val="21"/>
              </w:rPr>
              <w:t> </w:t>
            </w:r>
          </w:p>
        </w:tc>
        <w:tc>
          <w:tcPr>
            <w:tcW w:w="24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48,466,774.63</w:t>
            </w:r>
          </w:p>
        </w:tc>
        <w:tc>
          <w:tcPr>
            <w:tcW w:w="193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暂未结算</w:t>
            </w:r>
            <w:r>
              <w:rPr>
                <w:rFonts w:ascii="宋体" w:hAnsi="宋体" w:cs="宋体" w:eastAsia="宋体" w:hint="default"/>
                <w:sz w:val="21"/>
                <w:szCs w:val="21"/>
              </w:rPr>
              <w:t> </w:t>
            </w:r>
          </w:p>
        </w:tc>
      </w:tr>
      <w:tr>
        <w:trPr>
          <w:trHeight w:val="355" w:hRule="exact"/>
        </w:trPr>
        <w:tc>
          <w:tcPr>
            <w:tcW w:w="464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哈尔滨大东集团股份有限公司</w:t>
            </w:r>
            <w:r>
              <w:rPr>
                <w:rFonts w:ascii="宋体" w:hAnsi="宋体" w:cs="宋体" w:eastAsia="宋体" w:hint="default"/>
                <w:sz w:val="21"/>
                <w:szCs w:val="21"/>
              </w:rPr>
              <w:t> </w:t>
            </w:r>
          </w:p>
        </w:tc>
        <w:tc>
          <w:tcPr>
            <w:tcW w:w="24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7,824,791.40</w:t>
            </w:r>
          </w:p>
        </w:tc>
        <w:tc>
          <w:tcPr>
            <w:tcW w:w="193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暂未结算</w:t>
            </w:r>
            <w:r>
              <w:rPr>
                <w:rFonts w:ascii="宋体" w:hAnsi="宋体" w:cs="宋体" w:eastAsia="宋体" w:hint="default"/>
                <w:sz w:val="21"/>
                <w:szCs w:val="21"/>
              </w:rPr>
              <w:t> </w:t>
            </w:r>
          </w:p>
        </w:tc>
      </w:tr>
      <w:tr>
        <w:trPr>
          <w:trHeight w:val="358" w:hRule="exact"/>
        </w:trPr>
        <w:tc>
          <w:tcPr>
            <w:tcW w:w="464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黑龙江省北大荒米业集团有限公司卫星制米厂</w:t>
            </w:r>
            <w:r>
              <w:rPr>
                <w:rFonts w:ascii="宋体" w:hAnsi="宋体" w:cs="宋体" w:eastAsia="宋体" w:hint="default"/>
                <w:sz w:val="21"/>
                <w:szCs w:val="21"/>
              </w:rPr>
              <w:t> </w:t>
            </w:r>
          </w:p>
        </w:tc>
        <w:tc>
          <w:tcPr>
            <w:tcW w:w="24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2,257,128.41</w:t>
            </w:r>
          </w:p>
        </w:tc>
        <w:tc>
          <w:tcPr>
            <w:tcW w:w="193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暂未结算</w:t>
            </w:r>
            <w:r>
              <w:rPr>
                <w:rFonts w:ascii="宋体" w:hAnsi="宋体" w:cs="宋体" w:eastAsia="宋体" w:hint="default"/>
                <w:sz w:val="21"/>
                <w:szCs w:val="21"/>
              </w:rPr>
              <w:t> </w:t>
            </w:r>
          </w:p>
        </w:tc>
      </w:tr>
      <w:tr>
        <w:trPr>
          <w:trHeight w:val="358" w:hRule="exact"/>
        </w:trPr>
        <w:tc>
          <w:tcPr>
            <w:tcW w:w="464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黑龙江农垦华宇工程造价咨询有限公司</w:t>
            </w:r>
            <w:r>
              <w:rPr>
                <w:rFonts w:ascii="宋体" w:hAnsi="宋体" w:cs="宋体" w:eastAsia="宋体" w:hint="default"/>
                <w:sz w:val="21"/>
                <w:szCs w:val="21"/>
              </w:rPr>
              <w:t> </w:t>
            </w:r>
          </w:p>
        </w:tc>
        <w:tc>
          <w:tcPr>
            <w:tcW w:w="24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1,877,276.00</w:t>
            </w:r>
          </w:p>
        </w:tc>
        <w:tc>
          <w:tcPr>
            <w:tcW w:w="193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暂未结算</w:t>
            </w:r>
            <w:r>
              <w:rPr>
                <w:rFonts w:ascii="宋体" w:hAnsi="宋体" w:cs="宋体" w:eastAsia="宋体" w:hint="default"/>
                <w:sz w:val="21"/>
                <w:szCs w:val="21"/>
              </w:rPr>
              <w:t> </w:t>
            </w:r>
          </w:p>
        </w:tc>
      </w:tr>
      <w:tr>
        <w:trPr>
          <w:trHeight w:val="358" w:hRule="exact"/>
        </w:trPr>
        <w:tc>
          <w:tcPr>
            <w:tcW w:w="464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无锡沪东麦斯特工程有限公司</w:t>
            </w:r>
            <w:r>
              <w:rPr>
                <w:rFonts w:ascii="宋体" w:hAnsi="宋体" w:cs="宋体" w:eastAsia="宋体" w:hint="default"/>
                <w:sz w:val="21"/>
                <w:szCs w:val="21"/>
              </w:rPr>
              <w:t> </w:t>
            </w:r>
          </w:p>
        </w:tc>
        <w:tc>
          <w:tcPr>
            <w:tcW w:w="24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1,215,801.00</w:t>
            </w:r>
          </w:p>
        </w:tc>
        <w:tc>
          <w:tcPr>
            <w:tcW w:w="193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暂未结算</w:t>
            </w:r>
            <w:r>
              <w:rPr>
                <w:rFonts w:ascii="宋体" w:hAnsi="宋体" w:cs="宋体" w:eastAsia="宋体" w:hint="default"/>
                <w:sz w:val="21"/>
                <w:szCs w:val="21"/>
              </w:rPr>
              <w:t> </w:t>
            </w:r>
          </w:p>
        </w:tc>
      </w:tr>
      <w:tr>
        <w:trPr>
          <w:trHeight w:val="355" w:hRule="exact"/>
        </w:trPr>
        <w:tc>
          <w:tcPr>
            <w:tcW w:w="464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黑龙江省康翔经贸有限公司</w:t>
            </w:r>
            <w:r>
              <w:rPr>
                <w:rFonts w:ascii="宋体" w:hAnsi="宋体" w:cs="宋体" w:eastAsia="宋体" w:hint="default"/>
                <w:sz w:val="21"/>
                <w:szCs w:val="21"/>
              </w:rPr>
              <w:t> </w:t>
            </w:r>
          </w:p>
        </w:tc>
        <w:tc>
          <w:tcPr>
            <w:tcW w:w="24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1,195,500.00</w:t>
            </w:r>
          </w:p>
        </w:tc>
        <w:tc>
          <w:tcPr>
            <w:tcW w:w="193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暂未结算</w:t>
            </w:r>
            <w:r>
              <w:rPr>
                <w:rFonts w:ascii="宋体" w:hAnsi="宋体" w:cs="宋体" w:eastAsia="宋体" w:hint="default"/>
                <w:sz w:val="21"/>
                <w:szCs w:val="21"/>
              </w:rPr>
              <w:t> </w:t>
            </w:r>
          </w:p>
        </w:tc>
      </w:tr>
      <w:tr>
        <w:trPr>
          <w:trHeight w:val="358" w:hRule="exact"/>
        </w:trPr>
        <w:tc>
          <w:tcPr>
            <w:tcW w:w="464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西安秦普工贸有限公司</w:t>
            </w:r>
            <w:r>
              <w:rPr>
                <w:rFonts w:ascii="宋体" w:hAnsi="宋体" w:cs="宋体" w:eastAsia="宋体" w:hint="default"/>
                <w:sz w:val="21"/>
                <w:szCs w:val="21"/>
              </w:rPr>
              <w:t> </w:t>
            </w:r>
          </w:p>
        </w:tc>
        <w:tc>
          <w:tcPr>
            <w:tcW w:w="24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1,089,500.00</w:t>
            </w:r>
          </w:p>
        </w:tc>
        <w:tc>
          <w:tcPr>
            <w:tcW w:w="193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暂未结算</w:t>
            </w:r>
            <w:r>
              <w:rPr>
                <w:rFonts w:ascii="宋体" w:hAnsi="宋体" w:cs="宋体" w:eastAsia="宋体" w:hint="default"/>
                <w:sz w:val="21"/>
                <w:szCs w:val="21"/>
              </w:rPr>
              <w:t> </w:t>
            </w:r>
          </w:p>
        </w:tc>
      </w:tr>
      <w:tr>
        <w:trPr>
          <w:trHeight w:val="358" w:hRule="exact"/>
        </w:trPr>
        <w:tc>
          <w:tcPr>
            <w:tcW w:w="464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哈尔滨电业局</w:t>
            </w:r>
            <w:r>
              <w:rPr>
                <w:rFonts w:ascii="宋体" w:hAnsi="宋体" w:cs="宋体" w:eastAsia="宋体" w:hint="default"/>
                <w:sz w:val="21"/>
                <w:szCs w:val="21"/>
              </w:rPr>
              <w:t> </w:t>
            </w:r>
          </w:p>
        </w:tc>
        <w:tc>
          <w:tcPr>
            <w:tcW w:w="24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911,724.58</w:t>
            </w:r>
          </w:p>
        </w:tc>
        <w:tc>
          <w:tcPr>
            <w:tcW w:w="193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暂未结算</w:t>
            </w:r>
            <w:r>
              <w:rPr>
                <w:rFonts w:ascii="宋体" w:hAnsi="宋体" w:cs="宋体" w:eastAsia="宋体" w:hint="default"/>
                <w:sz w:val="21"/>
                <w:szCs w:val="21"/>
              </w:rPr>
              <w:t> </w:t>
            </w:r>
          </w:p>
        </w:tc>
      </w:tr>
      <w:tr>
        <w:trPr>
          <w:trHeight w:val="358" w:hRule="exact"/>
        </w:trPr>
        <w:tc>
          <w:tcPr>
            <w:tcW w:w="464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密山杜氏现代肥料公司</w:t>
            </w:r>
            <w:r>
              <w:rPr>
                <w:rFonts w:ascii="宋体" w:hAnsi="宋体" w:cs="宋体" w:eastAsia="宋体" w:hint="default"/>
                <w:sz w:val="21"/>
                <w:szCs w:val="21"/>
              </w:rPr>
              <w:t> </w:t>
            </w:r>
          </w:p>
        </w:tc>
        <w:tc>
          <w:tcPr>
            <w:tcW w:w="24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905,670.00</w:t>
            </w:r>
          </w:p>
        </w:tc>
        <w:tc>
          <w:tcPr>
            <w:tcW w:w="193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暂未结算</w:t>
            </w:r>
            <w:r>
              <w:rPr>
                <w:rFonts w:ascii="宋体" w:hAnsi="宋体" w:cs="宋体" w:eastAsia="宋体" w:hint="default"/>
                <w:sz w:val="21"/>
                <w:szCs w:val="21"/>
              </w:rPr>
              <w:t> </w:t>
            </w:r>
          </w:p>
        </w:tc>
      </w:tr>
      <w:tr>
        <w:trPr>
          <w:trHeight w:val="355" w:hRule="exact"/>
        </w:trPr>
        <w:tc>
          <w:tcPr>
            <w:tcW w:w="464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黑龙江北大荒集团红兴隆农研有限公司</w:t>
            </w:r>
            <w:r>
              <w:rPr>
                <w:rFonts w:ascii="宋体" w:hAnsi="宋体" w:cs="宋体" w:eastAsia="宋体" w:hint="default"/>
                <w:sz w:val="21"/>
                <w:szCs w:val="21"/>
              </w:rPr>
              <w:t> </w:t>
            </w:r>
          </w:p>
        </w:tc>
        <w:tc>
          <w:tcPr>
            <w:tcW w:w="24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869,751.60</w:t>
            </w:r>
          </w:p>
        </w:tc>
        <w:tc>
          <w:tcPr>
            <w:tcW w:w="193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暂未结算</w:t>
            </w:r>
            <w:r>
              <w:rPr>
                <w:rFonts w:ascii="宋体" w:hAnsi="宋体" w:cs="宋体" w:eastAsia="宋体" w:hint="default"/>
                <w:sz w:val="21"/>
                <w:szCs w:val="21"/>
              </w:rPr>
              <w:t> </w:t>
            </w:r>
          </w:p>
        </w:tc>
      </w:tr>
      <w:tr>
        <w:trPr>
          <w:trHeight w:val="358" w:hRule="exact"/>
        </w:trPr>
        <w:tc>
          <w:tcPr>
            <w:tcW w:w="464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洛阳万凯耐火材料有限公司</w:t>
            </w:r>
            <w:r>
              <w:rPr>
                <w:rFonts w:ascii="宋体" w:hAnsi="宋体" w:cs="宋体" w:eastAsia="宋体" w:hint="default"/>
                <w:sz w:val="21"/>
                <w:szCs w:val="21"/>
              </w:rPr>
              <w:t> </w:t>
            </w:r>
          </w:p>
        </w:tc>
        <w:tc>
          <w:tcPr>
            <w:tcW w:w="24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568,668.06</w:t>
            </w:r>
          </w:p>
        </w:tc>
        <w:tc>
          <w:tcPr>
            <w:tcW w:w="193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暂未结算</w:t>
            </w:r>
            <w:r>
              <w:rPr>
                <w:rFonts w:ascii="宋体" w:hAnsi="宋体" w:cs="宋体" w:eastAsia="宋体" w:hint="default"/>
                <w:sz w:val="21"/>
                <w:szCs w:val="21"/>
              </w:rPr>
              <w:t> </w:t>
            </w:r>
          </w:p>
        </w:tc>
      </w:tr>
      <w:tr>
        <w:trPr>
          <w:trHeight w:val="358" w:hRule="exact"/>
        </w:trPr>
        <w:tc>
          <w:tcPr>
            <w:tcW w:w="464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黑龙江冠拓煤炭经销有限公司</w:t>
            </w:r>
            <w:r>
              <w:rPr>
                <w:rFonts w:ascii="宋体" w:hAnsi="宋体" w:cs="宋体" w:eastAsia="宋体" w:hint="default"/>
                <w:sz w:val="21"/>
                <w:szCs w:val="21"/>
              </w:rPr>
              <w:t> </w:t>
            </w:r>
          </w:p>
        </w:tc>
        <w:tc>
          <w:tcPr>
            <w:tcW w:w="24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545,363.05</w:t>
            </w:r>
          </w:p>
        </w:tc>
        <w:tc>
          <w:tcPr>
            <w:tcW w:w="193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暂未结算</w:t>
            </w:r>
            <w:r>
              <w:rPr>
                <w:rFonts w:ascii="宋体" w:hAnsi="宋体" w:cs="宋体" w:eastAsia="宋体" w:hint="default"/>
                <w:sz w:val="21"/>
                <w:szCs w:val="21"/>
              </w:rPr>
              <w:t> </w:t>
            </w:r>
          </w:p>
        </w:tc>
      </w:tr>
      <w:tr>
        <w:trPr>
          <w:trHeight w:val="384" w:hRule="exact"/>
        </w:trPr>
        <w:tc>
          <w:tcPr>
            <w:tcW w:w="4647"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70"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67,727,948.73</w:t>
            </w:r>
          </w:p>
        </w:tc>
        <w:tc>
          <w:tcPr>
            <w:tcW w:w="1932"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
              <w:ind w:left="99" w:right="0"/>
              <w:jc w:val="center"/>
              <w:rPr>
                <w:rFonts w:ascii="宋体" w:hAnsi="宋体" w:cs="宋体" w:eastAsia="宋体" w:hint="default"/>
                <w:sz w:val="21"/>
                <w:szCs w:val="21"/>
              </w:rPr>
            </w:pPr>
            <w:r>
              <w:rPr>
                <w:rFonts w:ascii="宋体"/>
                <w:sz w:val="21"/>
              </w:rPr>
              <w:t>/ </w:t>
            </w:r>
          </w:p>
        </w:tc>
      </w:tr>
    </w:tbl>
    <w:p>
      <w:pPr>
        <w:spacing w:after="0" w:line="240" w:lineRule="auto"/>
        <w:jc w:val="center"/>
        <w:rPr>
          <w:rFonts w:ascii="宋体" w:hAnsi="宋体" w:cs="宋体" w:eastAsia="宋体" w:hint="default"/>
          <w:sz w:val="21"/>
          <w:szCs w:val="21"/>
        </w:rPr>
        <w:sectPr>
          <w:headerReference w:type="default" r:id="rId72"/>
          <w:footerReference w:type="default" r:id="rId73"/>
          <w:pgSz w:w="11910" w:h="16840"/>
          <w:pgMar w:header="826" w:footer="1195" w:top="1300" w:bottom="1380" w:left="1020" w:right="1520"/>
          <w:pgNumType w:start="131"/>
        </w:sectPr>
      </w:pPr>
    </w:p>
    <w:p>
      <w:pPr>
        <w:pStyle w:val="BodyText"/>
        <w:spacing w:line="239" w:lineRule="exact"/>
        <w:ind w:left="256" w:right="134"/>
        <w:jc w:val="left"/>
        <w:rPr>
          <w:rFonts w:ascii="宋体" w:hAnsi="宋体" w:cs="宋体" w:eastAsia="宋体" w:hint="default"/>
        </w:rPr>
      </w:pPr>
      <w:r>
        <w:rPr/>
        <w:t>其他说明</w:t>
      </w:r>
      <w:r>
        <w:rPr>
          <w:rFonts w:ascii="宋体" w:hAnsi="宋体" w:cs="宋体" w:eastAsia="宋体" w:hint="default"/>
        </w:rPr>
        <w:t> </w:t>
      </w:r>
    </w:p>
    <w:p>
      <w:pPr>
        <w:spacing w:line="290" w:lineRule="auto" w:before="0"/>
        <w:ind w:left="256" w:right="13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36</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预收款项</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2"/>
        <w:ind w:left="25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预收账款项列示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56" w:right="13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2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020" w:right="1520"/>
          <w:cols w:num="2" w:equalWidth="0">
            <w:col w:w="2367" w:space="4155"/>
            <w:col w:w="284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900"/>
        <w:gridCol w:w="3077"/>
        <w:gridCol w:w="3072"/>
      </w:tblGrid>
      <w:tr>
        <w:trPr>
          <w:trHeight w:val="382" w:hRule="exact"/>
        </w:trPr>
        <w:tc>
          <w:tcPr>
            <w:tcW w:w="2900"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4"/>
              <w:ind w:right="113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7"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4"/>
              <w:ind w:left="11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2"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4"/>
              <w:ind w:left="111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58" w:hRule="exact"/>
        </w:trPr>
        <w:tc>
          <w:tcPr>
            <w:tcW w:w="290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下年承包费</w:t>
            </w:r>
            <w:r>
              <w:rPr>
                <w:rFonts w:ascii="宋体" w:hAnsi="宋体" w:cs="宋体" w:eastAsia="宋体" w:hint="default"/>
                <w:sz w:val="21"/>
                <w:szCs w:val="21"/>
              </w:rPr>
              <w:t> </w:t>
            </w:r>
          </w:p>
        </w:tc>
        <w:tc>
          <w:tcPr>
            <w:tcW w:w="307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436,407,168.07</w:t>
            </w:r>
          </w:p>
        </w:tc>
        <w:tc>
          <w:tcPr>
            <w:tcW w:w="307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532,783,972.65</w:t>
            </w:r>
          </w:p>
        </w:tc>
      </w:tr>
      <w:tr>
        <w:trPr>
          <w:trHeight w:val="358" w:hRule="exact"/>
        </w:trPr>
        <w:tc>
          <w:tcPr>
            <w:tcW w:w="290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家农生产资料款</w:t>
            </w:r>
            <w:r>
              <w:rPr>
                <w:rFonts w:ascii="宋体" w:hAnsi="宋体" w:cs="宋体" w:eastAsia="宋体" w:hint="default"/>
                <w:sz w:val="21"/>
                <w:szCs w:val="21"/>
              </w:rPr>
              <w:t> </w:t>
            </w:r>
          </w:p>
        </w:tc>
        <w:tc>
          <w:tcPr>
            <w:tcW w:w="307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49,525,517.44</w:t>
            </w:r>
          </w:p>
        </w:tc>
        <w:tc>
          <w:tcPr>
            <w:tcW w:w="307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73,861,830.98</w:t>
            </w:r>
          </w:p>
        </w:tc>
      </w:tr>
      <w:tr>
        <w:trPr>
          <w:trHeight w:val="355" w:hRule="exact"/>
        </w:trPr>
        <w:tc>
          <w:tcPr>
            <w:tcW w:w="290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产品销售货款</w:t>
            </w:r>
            <w:r>
              <w:rPr>
                <w:rFonts w:ascii="宋体" w:hAnsi="宋体" w:cs="宋体" w:eastAsia="宋体" w:hint="default"/>
                <w:sz w:val="21"/>
                <w:szCs w:val="21"/>
              </w:rPr>
              <w:t> </w:t>
            </w:r>
          </w:p>
        </w:tc>
        <w:tc>
          <w:tcPr>
            <w:tcW w:w="307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12,109,285.78</w:t>
            </w:r>
          </w:p>
        </w:tc>
        <w:tc>
          <w:tcPr>
            <w:tcW w:w="307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22,783,842.28</w:t>
            </w:r>
          </w:p>
        </w:tc>
      </w:tr>
      <w:tr>
        <w:trPr>
          <w:trHeight w:val="358" w:hRule="exact"/>
        </w:trPr>
        <w:tc>
          <w:tcPr>
            <w:tcW w:w="290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出租资产租金</w:t>
            </w:r>
            <w:r>
              <w:rPr>
                <w:rFonts w:ascii="宋体" w:hAnsi="宋体" w:cs="宋体" w:eastAsia="宋体" w:hint="default"/>
                <w:sz w:val="21"/>
                <w:szCs w:val="21"/>
              </w:rPr>
              <w:t> </w:t>
            </w:r>
          </w:p>
        </w:tc>
        <w:tc>
          <w:tcPr>
            <w:tcW w:w="307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5,438,176.45</w:t>
            </w:r>
          </w:p>
        </w:tc>
        <w:tc>
          <w:tcPr>
            <w:tcW w:w="307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right="104"/>
              <w:jc w:val="right"/>
              <w:rPr>
                <w:rFonts w:ascii="Arial" w:hAnsi="Arial" w:cs="Arial" w:eastAsia="Arial" w:hint="default"/>
                <w:sz w:val="21"/>
                <w:szCs w:val="21"/>
              </w:rPr>
            </w:pPr>
            <w:r>
              <w:rPr>
                <w:rFonts w:ascii="Arial"/>
                <w:spacing w:val="-1"/>
                <w:sz w:val="21"/>
              </w:rPr>
              <w:t>1,625,431.80</w:t>
            </w:r>
          </w:p>
        </w:tc>
      </w:tr>
      <w:tr>
        <w:trPr>
          <w:trHeight w:val="384" w:hRule="exact"/>
        </w:trPr>
        <w:tc>
          <w:tcPr>
            <w:tcW w:w="2900"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right="113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7"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503,480,147.74</w:t>
            </w:r>
          </w:p>
        </w:tc>
        <w:tc>
          <w:tcPr>
            <w:tcW w:w="3072"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631,055,077.71</w:t>
            </w:r>
          </w:p>
        </w:tc>
      </w:tr>
    </w:tbl>
    <w:p>
      <w:pPr>
        <w:spacing w:after="0" w:line="240" w:lineRule="auto"/>
        <w:jc w:val="right"/>
        <w:rPr>
          <w:rFonts w:ascii="Arial" w:hAnsi="Arial" w:cs="Arial" w:eastAsia="Arial" w:hint="default"/>
          <w:sz w:val="21"/>
          <w:szCs w:val="21"/>
        </w:rPr>
        <w:sectPr>
          <w:type w:val="continuous"/>
          <w:pgSz w:w="11910" w:h="16840"/>
          <w:pgMar w:top="1360" w:bottom="1380" w:left="1020" w:right="1520"/>
        </w:sectPr>
      </w:pPr>
    </w:p>
    <w:p>
      <w:pPr>
        <w:pStyle w:val="Heading2"/>
        <w:spacing w:line="240" w:lineRule="auto" w:before="26"/>
        <w:ind w:left="256" w:right="0"/>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spacing w:line="240" w:lineRule="auto"/>
        <w:ind w:left="2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020" w:right="1520"/>
          <w:cols w:num="2" w:equalWidth="0">
            <w:col w:w="3635" w:space="2887"/>
            <w:col w:w="284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583"/>
        <w:gridCol w:w="3269"/>
      </w:tblGrid>
      <w:tr>
        <w:trPr>
          <w:trHeight w:val="384" w:hRule="exact"/>
        </w:trPr>
        <w:tc>
          <w:tcPr>
            <w:tcW w:w="3198"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83"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left="86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269"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68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358" w:hRule="exact"/>
        </w:trPr>
        <w:tc>
          <w:tcPr>
            <w:tcW w:w="319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5"/>
              <w:ind w:left="108" w:right="0"/>
              <w:jc w:val="left"/>
              <w:rPr>
                <w:rFonts w:ascii="宋体" w:hAnsi="宋体" w:cs="宋体" w:eastAsia="宋体" w:hint="default"/>
                <w:sz w:val="21"/>
                <w:szCs w:val="21"/>
              </w:rPr>
            </w:pPr>
            <w:r>
              <w:rPr>
                <w:rFonts w:ascii="宋体" w:hAnsi="宋体" w:cs="宋体" w:eastAsia="宋体" w:hint="default"/>
                <w:sz w:val="21"/>
                <w:szCs w:val="21"/>
              </w:rPr>
              <w:t>山东华宇铝电有限公司</w:t>
            </w:r>
            <w:r>
              <w:rPr>
                <w:rFonts w:ascii="宋体" w:hAnsi="宋体" w:cs="宋体" w:eastAsia="宋体" w:hint="default"/>
                <w:sz w:val="21"/>
                <w:szCs w:val="21"/>
              </w:rPr>
              <w:t> </w:t>
            </w:r>
          </w:p>
        </w:tc>
        <w:tc>
          <w:tcPr>
            <w:tcW w:w="258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6,247,777.25</w:t>
            </w:r>
          </w:p>
        </w:tc>
        <w:tc>
          <w:tcPr>
            <w:tcW w:w="326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三方债务未结清</w:t>
            </w:r>
            <w:r>
              <w:rPr>
                <w:rFonts w:ascii="宋体" w:hAnsi="宋体" w:cs="宋体" w:eastAsia="宋体" w:hint="default"/>
                <w:sz w:val="21"/>
                <w:szCs w:val="21"/>
              </w:rPr>
              <w:t> </w:t>
            </w:r>
          </w:p>
        </w:tc>
      </w:tr>
      <w:tr>
        <w:trPr>
          <w:trHeight w:val="355" w:hRule="exact"/>
        </w:trPr>
        <w:tc>
          <w:tcPr>
            <w:tcW w:w="319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黑龙江北大荒区块链有限公司</w:t>
            </w:r>
            <w:r>
              <w:rPr>
                <w:rFonts w:ascii="宋体" w:hAnsi="宋体" w:cs="宋体" w:eastAsia="宋体" w:hint="default"/>
                <w:sz w:val="21"/>
                <w:szCs w:val="21"/>
              </w:rPr>
              <w:t> </w:t>
            </w:r>
          </w:p>
        </w:tc>
        <w:tc>
          <w:tcPr>
            <w:tcW w:w="258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1,415,094.34</w:t>
            </w:r>
          </w:p>
        </w:tc>
        <w:tc>
          <w:tcPr>
            <w:tcW w:w="326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预收的服务款</w:t>
            </w:r>
            <w:r>
              <w:rPr>
                <w:rFonts w:ascii="宋体" w:hAnsi="宋体" w:cs="宋体" w:eastAsia="宋体" w:hint="default"/>
                <w:sz w:val="21"/>
                <w:szCs w:val="21"/>
              </w:rPr>
              <w:t> </w:t>
            </w:r>
          </w:p>
        </w:tc>
      </w:tr>
      <w:tr>
        <w:trPr>
          <w:trHeight w:val="358" w:hRule="exact"/>
        </w:trPr>
        <w:tc>
          <w:tcPr>
            <w:tcW w:w="319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王阳</w:t>
            </w:r>
            <w:r>
              <w:rPr>
                <w:rFonts w:ascii="宋体" w:hAnsi="宋体" w:cs="宋体" w:eastAsia="宋体" w:hint="default"/>
                <w:sz w:val="21"/>
                <w:szCs w:val="21"/>
              </w:rPr>
              <w:t> </w:t>
            </w:r>
          </w:p>
        </w:tc>
        <w:tc>
          <w:tcPr>
            <w:tcW w:w="258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1,440,028.00</w:t>
            </w:r>
          </w:p>
        </w:tc>
        <w:tc>
          <w:tcPr>
            <w:tcW w:w="326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与该客户存在经济纠纷暂未结算</w:t>
            </w:r>
            <w:r>
              <w:rPr>
                <w:rFonts w:ascii="宋体" w:hAnsi="宋体" w:cs="宋体" w:eastAsia="宋体" w:hint="default"/>
                <w:sz w:val="21"/>
                <w:szCs w:val="21"/>
              </w:rPr>
              <w:t> </w:t>
            </w:r>
          </w:p>
        </w:tc>
      </w:tr>
      <w:tr>
        <w:trPr>
          <w:trHeight w:val="365" w:hRule="exact"/>
        </w:trPr>
        <w:tc>
          <w:tcPr>
            <w:tcW w:w="3198"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4"/>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583"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9,102,899.59</w:t>
            </w:r>
          </w:p>
        </w:tc>
        <w:tc>
          <w:tcPr>
            <w:tcW w:w="3269"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
              <w:ind w:left="100" w:right="0"/>
              <w:jc w:val="center"/>
              <w:rPr>
                <w:rFonts w:ascii="宋体" w:hAnsi="宋体" w:cs="宋体" w:eastAsia="宋体" w:hint="default"/>
                <w:sz w:val="21"/>
                <w:szCs w:val="21"/>
              </w:rPr>
            </w:pPr>
            <w:r>
              <w:rPr>
                <w:rFonts w:ascii="宋体"/>
                <w:sz w:val="21"/>
              </w:rPr>
              <w:t>/ </w:t>
            </w:r>
          </w:p>
        </w:tc>
      </w:tr>
    </w:tbl>
    <w:p>
      <w:pPr>
        <w:spacing w:line="20" w:lineRule="exact"/>
        <w:ind w:left="139"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193;height:2" coordorigin="10,10" coordsize="3193,2">
              <v:shape style="position:absolute;left:10;top:10;width:3193;height:2" coordorigin="10,10" coordsize="3193,0" path="m10,10l3203,10e" filled="false" stroked="true" strokeweight=".96002pt" strokecolor="#41b7ee">
                <v:path arrowok="t"/>
              </v:shape>
            </v:group>
            <v:group style="position:absolute;left:3203;top:10;width:58;height:2" coordorigin="3203,10" coordsize="58,2">
              <v:shape style="position:absolute;left:3203;top:10;width:58;height:2" coordorigin="3203,10" coordsize="58,0" path="m3203,10l3260,10e" filled="false" stroked="true" strokeweight=".96002pt" strokecolor="#41b7ee">
                <v:path arrowok="t"/>
              </v:shape>
            </v:group>
            <v:group style="position:absolute;left:3260;top:10;width:2526;height:2" coordorigin="3260,10" coordsize="2526,2">
              <v:shape style="position:absolute;left:3260;top:10;width:2526;height:2" coordorigin="3260,10" coordsize="2526,0" path="m3260,10l5785,10e" filled="false" stroked="true" strokeweight=".96002pt" strokecolor="#41b7ee">
                <v:path arrowok="t"/>
              </v:shape>
            </v:group>
            <v:group style="position:absolute;left:5785;top:10;width:58;height:2" coordorigin="5785,10" coordsize="58,2">
              <v:shape style="position:absolute;left:5785;top:10;width:58;height:2" coordorigin="5785,10" coordsize="58,0" path="m5785,10l5843,10e" filled="false" stroked="true" strokeweight=".96002pt" strokecolor="#41b7ee">
                <v:path arrowok="t"/>
              </v:shape>
            </v:group>
            <v:group style="position:absolute;left:5843;top:10;width:3217;height:2" coordorigin="5843,10" coordsize="3217,2">
              <v:shape style="position:absolute;left:5843;top:10;width:3217;height:2" coordorigin="5843,10" coordsize="3217,0" path="m5843,10l9059,10e" filled="false" stroked="true" strokeweight=".96002pt" strokecolor="#41b7ee">
                <v:path arrowok="t"/>
              </v:shape>
            </v:group>
          </v:group>
        </w:pict>
      </w:r>
      <w:r>
        <w:rPr>
          <w:rFonts w:ascii="宋体" w:hAnsi="宋体" w:cs="宋体" w:eastAsia="宋体" w:hint="default"/>
          <w:sz w:val="2"/>
          <w:szCs w:val="2"/>
        </w:rPr>
      </w:r>
    </w:p>
    <w:p>
      <w:pPr>
        <w:pStyle w:val="Heading2"/>
        <w:spacing w:line="240" w:lineRule="auto" w:before="44"/>
        <w:ind w:left="256"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3"/>
        </w:rPr>
        <w:t> </w:t>
      </w:r>
      <w:r>
        <w:rPr/>
        <w:t>期末建造合同形成的已结算未完工项目情况</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56" w:right="6909"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37</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应付职工薪酬</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256" w:right="59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020" w:right="1520"/>
        </w:sectPr>
      </w:pPr>
    </w:p>
    <w:p>
      <w:pPr>
        <w:pStyle w:val="BodyText"/>
        <w:spacing w:line="240" w:lineRule="auto" w:before="35"/>
        <w:ind w:left="0" w:right="16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p>
      <w:pPr>
        <w:spacing w:line="20" w:lineRule="exact"/>
        <w:ind w:left="218"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2422;height:2" coordorigin="10,10" coordsize="2422,2">
              <v:shape style="position:absolute;left:10;top:10;width:2422;height:2" coordorigin="10,10" coordsize="2422,0" path="m10,10l2432,10e" filled="false" stroked="true" strokeweight=".96001pt" strokecolor="#41b7ee">
                <v:path arrowok="t"/>
              </v:shape>
            </v:group>
            <v:group style="position:absolute;left:2432;top:10;width:58;height:2" coordorigin="2432,10" coordsize="58,2">
              <v:shape style="position:absolute;left:2432;top:10;width:58;height:2" coordorigin="2432,10" coordsize="58,0" path="m2432,10l2489,10e" filled="false" stroked="true" strokeweight=".96001pt" strokecolor="#41b7ee">
                <v:path arrowok="t"/>
              </v:shape>
            </v:group>
            <v:group style="position:absolute;left:2489;top:10;width:1511;height:2" coordorigin="2489,10" coordsize="1511,2">
              <v:shape style="position:absolute;left:2489;top:10;width:1511;height:2" coordorigin="2489,10" coordsize="1511,0" path="m2489,10l3999,10e" filled="false" stroked="true" strokeweight=".96001pt" strokecolor="#41b7ee">
                <v:path arrowok="t"/>
              </v:shape>
            </v:group>
            <v:group style="position:absolute;left:3999;top:10;width:58;height:2" coordorigin="3999,10" coordsize="58,2">
              <v:shape style="position:absolute;left:3999;top:10;width:58;height:2" coordorigin="3999,10" coordsize="58,0" path="m3999,10l4057,10e" filled="false" stroked="true" strokeweight=".96001pt" strokecolor="#41b7ee">
                <v:path arrowok="t"/>
              </v:shape>
            </v:group>
            <v:group style="position:absolute;left:4057;top:10;width:1667;height:2" coordorigin="4057,10" coordsize="1667,2">
              <v:shape style="position:absolute;left:4057;top:10;width:1667;height:2" coordorigin="4057,10" coordsize="1667,0" path="m4057,10l5723,10e" filled="false" stroked="true" strokeweight=".96001pt" strokecolor="#41b7ee">
                <v:path arrowok="t"/>
              </v:shape>
            </v:group>
            <v:group style="position:absolute;left:5723;top:10;width:58;height:2" coordorigin="5723,10" coordsize="58,2">
              <v:shape style="position:absolute;left:5723;top:10;width:58;height:2" coordorigin="5723,10" coordsize="58,0" path="m5723,10l5781,10e" filled="false" stroked="true" strokeweight=".96001pt" strokecolor="#41b7ee">
                <v:path arrowok="t"/>
              </v:shape>
            </v:group>
            <v:group style="position:absolute;left:5781;top:10;width:1524;height:2" coordorigin="5781,10" coordsize="1524,2">
              <v:shape style="position:absolute;left:5781;top:10;width:1524;height:2" coordorigin="5781,10" coordsize="1524,0" path="m5781,10l7305,10e" filled="false" stroked="true" strokeweight=".96001pt" strokecolor="#41b7ee">
                <v:path arrowok="t"/>
              </v:shape>
            </v:group>
            <v:group style="position:absolute;left:7305;top:10;width:58;height:2" coordorigin="7305,10" coordsize="58,2">
              <v:shape style="position:absolute;left:7305;top:10;width:58;height:2" coordorigin="7305,10" coordsize="58,0" path="m7305,10l7362,10e" filled="false" stroked="true" strokeweight=".96001pt" strokecolor="#41b7ee">
                <v:path arrowok="t"/>
              </v:shape>
            </v:group>
            <v:group style="position:absolute;left:7362;top:10;width:1539;height:2" coordorigin="7362,10" coordsize="1539,2">
              <v:shape style="position:absolute;left:7362;top:10;width:1539;height:2" coordorigin="7362,10" coordsize="1539,0" path="m7362,10l8901,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99" w:type="dxa"/>
        <w:tblLayout w:type="fixed"/>
        <w:tblCellMar>
          <w:top w:w="0" w:type="dxa"/>
          <w:left w:w="0" w:type="dxa"/>
          <w:bottom w:w="0" w:type="dxa"/>
          <w:right w:w="0" w:type="dxa"/>
        </w:tblCellMar>
        <w:tblLook w:val="01E0"/>
      </w:tblPr>
      <w:tblGrid>
        <w:gridCol w:w="2427"/>
        <w:gridCol w:w="1568"/>
        <w:gridCol w:w="1724"/>
        <w:gridCol w:w="1582"/>
        <w:gridCol w:w="1592"/>
      </w:tblGrid>
      <w:tr>
        <w:trPr>
          <w:trHeight w:val="365" w:hRule="exact"/>
        </w:trPr>
        <w:tc>
          <w:tcPr>
            <w:tcW w:w="2427"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6"/>
              <w:ind w:right="89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568"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6"/>
              <w:ind w:left="35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24"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6"/>
              <w:ind w:left="434"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582"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6"/>
              <w:ind w:left="364"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92"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6"/>
              <w:ind w:left="36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58" w:hRule="exact"/>
        </w:trPr>
        <w:tc>
          <w:tcPr>
            <w:tcW w:w="242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一、短期薪酬</w:t>
            </w:r>
            <w:r>
              <w:rPr>
                <w:rFonts w:ascii="宋体" w:hAnsi="宋体" w:cs="宋体" w:eastAsia="宋体" w:hint="default"/>
                <w:sz w:val="21"/>
                <w:szCs w:val="21"/>
              </w:rPr>
              <w:t> </w:t>
            </w:r>
          </w:p>
        </w:tc>
        <w:tc>
          <w:tcPr>
            <w:tcW w:w="156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278,605,661.50</w:t>
            </w:r>
          </w:p>
        </w:tc>
        <w:tc>
          <w:tcPr>
            <w:tcW w:w="17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490,988,327.09</w:t>
            </w:r>
          </w:p>
        </w:tc>
        <w:tc>
          <w:tcPr>
            <w:tcW w:w="15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518,228,703.37</w:t>
            </w:r>
          </w:p>
        </w:tc>
        <w:tc>
          <w:tcPr>
            <w:tcW w:w="159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251,365,285.22</w:t>
            </w:r>
          </w:p>
        </w:tc>
      </w:tr>
      <w:tr>
        <w:trPr>
          <w:trHeight w:val="554" w:hRule="exact"/>
        </w:trPr>
        <w:tc>
          <w:tcPr>
            <w:tcW w:w="2427" w:type="dxa"/>
            <w:tcBorders>
              <w:top w:val="single" w:sz="4" w:space="0" w:color="41B7EE"/>
              <w:left w:val="nil" w:sz="6" w:space="0" w:color="auto"/>
              <w:bottom w:val="single" w:sz="4" w:space="0" w:color="41B7EE"/>
              <w:right w:val="single" w:sz="4" w:space="0" w:color="41B7EE"/>
            </w:tcBorders>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spacing w:val="-5"/>
                <w:sz w:val="21"/>
                <w:szCs w:val="21"/>
              </w:rPr>
              <w:t>二、离职后福利</w:t>
            </w:r>
            <w:r>
              <w:rPr>
                <w:rFonts w:ascii="宋体" w:hAnsi="宋体" w:cs="宋体" w:eastAsia="宋体" w:hint="default"/>
                <w:spacing w:val="-5"/>
                <w:sz w:val="21"/>
                <w:szCs w:val="21"/>
              </w:rPr>
              <w:t>-</w:t>
            </w:r>
            <w:r>
              <w:rPr>
                <w:rFonts w:ascii="宋体" w:hAnsi="宋体" w:cs="宋体" w:eastAsia="宋体" w:hint="default"/>
                <w:spacing w:val="-5"/>
                <w:sz w:val="21"/>
                <w:szCs w:val="21"/>
              </w:rPr>
              <w:t>设定提存</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计划</w:t>
            </w:r>
            <w:r>
              <w:rPr>
                <w:rFonts w:ascii="宋体" w:hAnsi="宋体" w:cs="宋体" w:eastAsia="宋体" w:hint="default"/>
                <w:sz w:val="21"/>
                <w:szCs w:val="21"/>
              </w:rPr>
              <w:t> </w:t>
            </w:r>
          </w:p>
        </w:tc>
        <w:tc>
          <w:tcPr>
            <w:tcW w:w="156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19"/>
              <w:jc w:val="right"/>
              <w:rPr>
                <w:rFonts w:ascii="Arial" w:hAnsi="Arial" w:cs="Arial" w:eastAsia="Arial" w:hint="default"/>
                <w:sz w:val="21"/>
                <w:szCs w:val="21"/>
              </w:rPr>
            </w:pPr>
            <w:r>
              <w:rPr>
                <w:rFonts w:ascii="Arial"/>
                <w:spacing w:val="-1"/>
                <w:sz w:val="21"/>
              </w:rPr>
              <w:t>6,373.33</w:t>
            </w:r>
          </w:p>
        </w:tc>
        <w:tc>
          <w:tcPr>
            <w:tcW w:w="17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20"/>
              <w:jc w:val="right"/>
              <w:rPr>
                <w:rFonts w:ascii="Arial" w:hAnsi="Arial" w:cs="Arial" w:eastAsia="Arial" w:hint="default"/>
                <w:sz w:val="21"/>
                <w:szCs w:val="21"/>
              </w:rPr>
            </w:pPr>
            <w:r>
              <w:rPr>
                <w:rFonts w:ascii="Arial"/>
                <w:spacing w:val="-1"/>
                <w:sz w:val="21"/>
              </w:rPr>
              <w:t>273,715,737.42</w:t>
            </w:r>
          </w:p>
        </w:tc>
        <w:tc>
          <w:tcPr>
            <w:tcW w:w="15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19"/>
              <w:jc w:val="right"/>
              <w:rPr>
                <w:rFonts w:ascii="Arial" w:hAnsi="Arial" w:cs="Arial" w:eastAsia="Arial" w:hint="default"/>
                <w:sz w:val="21"/>
                <w:szCs w:val="21"/>
              </w:rPr>
            </w:pPr>
            <w:r>
              <w:rPr>
                <w:rFonts w:ascii="Arial"/>
                <w:spacing w:val="-1"/>
                <w:sz w:val="21"/>
              </w:rPr>
              <w:t>273,716,817.86</w:t>
            </w:r>
          </w:p>
        </w:tc>
        <w:tc>
          <w:tcPr>
            <w:tcW w:w="159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6"/>
              <w:ind w:right="23"/>
              <w:jc w:val="right"/>
              <w:rPr>
                <w:rFonts w:ascii="Arial" w:hAnsi="Arial" w:cs="Arial" w:eastAsia="Arial" w:hint="default"/>
                <w:sz w:val="21"/>
                <w:szCs w:val="21"/>
              </w:rPr>
            </w:pPr>
            <w:r>
              <w:rPr>
                <w:rFonts w:ascii="Arial"/>
                <w:spacing w:val="-1"/>
                <w:sz w:val="21"/>
              </w:rPr>
              <w:t>5,292.89</w:t>
            </w:r>
          </w:p>
        </w:tc>
      </w:tr>
      <w:tr>
        <w:trPr>
          <w:trHeight w:val="358" w:hRule="exact"/>
        </w:trPr>
        <w:tc>
          <w:tcPr>
            <w:tcW w:w="242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三、辞退福利</w:t>
            </w:r>
            <w:r>
              <w:rPr>
                <w:rFonts w:ascii="宋体" w:hAnsi="宋体" w:cs="宋体" w:eastAsia="宋体" w:hint="default"/>
                <w:sz w:val="21"/>
                <w:szCs w:val="21"/>
              </w:rPr>
              <w:t> </w:t>
            </w:r>
          </w:p>
        </w:tc>
        <w:tc>
          <w:tcPr>
            <w:tcW w:w="156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36,024,959.09</w:t>
            </w:r>
          </w:p>
        </w:tc>
        <w:tc>
          <w:tcPr>
            <w:tcW w:w="17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41,888,519.95</w:t>
            </w:r>
          </w:p>
        </w:tc>
        <w:tc>
          <w:tcPr>
            <w:tcW w:w="15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39,395,638.78</w:t>
            </w:r>
          </w:p>
        </w:tc>
        <w:tc>
          <w:tcPr>
            <w:tcW w:w="159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5"/>
              <w:jc w:val="right"/>
              <w:rPr>
                <w:rFonts w:ascii="Arial" w:hAnsi="Arial" w:cs="Arial" w:eastAsia="Arial" w:hint="default"/>
                <w:sz w:val="21"/>
                <w:szCs w:val="21"/>
              </w:rPr>
            </w:pPr>
            <w:r>
              <w:rPr>
                <w:rFonts w:ascii="Arial"/>
                <w:spacing w:val="-1"/>
                <w:sz w:val="21"/>
              </w:rPr>
              <w:t>38,517,840.26</w:t>
            </w:r>
          </w:p>
        </w:tc>
      </w:tr>
      <w:tr>
        <w:trPr>
          <w:trHeight w:val="382" w:hRule="exact"/>
        </w:trPr>
        <w:tc>
          <w:tcPr>
            <w:tcW w:w="2427"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2"/>
              <w:ind w:right="89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568"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314,636,993.92</w:t>
            </w:r>
          </w:p>
        </w:tc>
        <w:tc>
          <w:tcPr>
            <w:tcW w:w="1724"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806,592,584.46</w:t>
            </w:r>
          </w:p>
        </w:tc>
        <w:tc>
          <w:tcPr>
            <w:tcW w:w="1582"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831,341,160.01</w:t>
            </w:r>
          </w:p>
        </w:tc>
        <w:tc>
          <w:tcPr>
            <w:tcW w:w="1592"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289,888,418.37</w:t>
            </w:r>
          </w:p>
        </w:tc>
      </w:tr>
    </w:tbl>
    <w:p>
      <w:pPr>
        <w:spacing w:after="0" w:line="240" w:lineRule="auto"/>
        <w:jc w:val="right"/>
        <w:rPr>
          <w:rFonts w:ascii="Arial" w:hAnsi="Arial" w:cs="Arial" w:eastAsia="Arial" w:hint="default"/>
          <w:sz w:val="21"/>
          <w:szCs w:val="21"/>
        </w:rPr>
        <w:sectPr>
          <w:pgSz w:w="11910" w:h="16840"/>
          <w:pgMar w:header="826" w:footer="1195" w:top="1360" w:bottom="1380" w:left="1020" w:right="1520"/>
        </w:sectPr>
      </w:pPr>
    </w:p>
    <w:p>
      <w:pPr>
        <w:pStyle w:val="Heading2"/>
        <w:spacing w:line="240" w:lineRule="auto" w:before="44"/>
        <w:ind w:left="256" w:right="0"/>
        <w:jc w:val="left"/>
        <w:rPr>
          <w:rFonts w:ascii="宋体" w:hAnsi="宋体" w:cs="宋体" w:eastAsia="宋体" w:hint="default"/>
          <w:b w:val="0"/>
          <w:bCs w:val="0"/>
        </w:rPr>
      </w:pPr>
      <w:r>
        <w:rPr>
          <w:rFonts w:ascii="宋体" w:hAnsi="宋体" w:cs="宋体" w:eastAsia="宋体" w:hint="default"/>
        </w:rPr>
        <w:t>(2).</w:t>
      </w:r>
      <w:r>
        <w:rPr/>
        <w:t>短期薪酬列示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8"/>
        <w:rPr>
          <w:rFonts w:ascii="宋体" w:hAnsi="宋体" w:cs="宋体" w:eastAsia="宋体" w:hint="default"/>
          <w:sz w:val="29"/>
          <w:szCs w:val="29"/>
        </w:rPr>
      </w:pPr>
    </w:p>
    <w:p>
      <w:pPr>
        <w:pStyle w:val="BodyText"/>
        <w:spacing w:line="240" w:lineRule="auto"/>
        <w:ind w:left="2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020" w:right="1520"/>
          <w:cols w:num="2" w:equalWidth="0">
            <w:col w:w="2053" w:space="4575"/>
            <w:col w:w="2742"/>
          </w:cols>
        </w:sectPr>
      </w:pPr>
    </w:p>
    <w:p>
      <w:pPr>
        <w:spacing w:line="240" w:lineRule="auto" w:before="7"/>
        <w:rPr>
          <w:rFonts w:ascii="宋体" w:hAnsi="宋体" w:cs="宋体" w:eastAsia="宋体" w:hint="default"/>
          <w:sz w:val="2"/>
          <w:szCs w:val="2"/>
        </w:rPr>
      </w:pPr>
    </w:p>
    <w:tbl>
      <w:tblPr>
        <w:tblW w:w="0" w:type="auto"/>
        <w:jc w:val="left"/>
        <w:tblInd w:w="199" w:type="dxa"/>
        <w:tblLayout w:type="fixed"/>
        <w:tblCellMar>
          <w:top w:w="0" w:type="dxa"/>
          <w:left w:w="0" w:type="dxa"/>
          <w:bottom w:w="0" w:type="dxa"/>
          <w:right w:w="0" w:type="dxa"/>
        </w:tblCellMar>
        <w:tblLook w:val="01E0"/>
      </w:tblPr>
      <w:tblGrid>
        <w:gridCol w:w="2568"/>
        <w:gridCol w:w="1585"/>
        <w:gridCol w:w="1568"/>
        <w:gridCol w:w="1579"/>
        <w:gridCol w:w="1592"/>
      </w:tblGrid>
      <w:tr>
        <w:trPr>
          <w:trHeight w:val="382" w:hRule="exact"/>
        </w:trPr>
        <w:tc>
          <w:tcPr>
            <w:tcW w:w="2568"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left="11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85"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36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68"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357"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579"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36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92"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left="36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5" w:hRule="exact"/>
        </w:trPr>
        <w:tc>
          <w:tcPr>
            <w:tcW w:w="2568" w:type="dxa"/>
            <w:tcBorders>
              <w:top w:val="single" w:sz="4" w:space="0" w:color="009EEA"/>
              <w:left w:val="nil" w:sz="6" w:space="0" w:color="auto"/>
              <w:bottom w:val="single" w:sz="4" w:space="0" w:color="009EEA"/>
              <w:right w:val="single" w:sz="4" w:space="0" w:color="009EEA"/>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pacing w:val="-3"/>
                <w:sz w:val="21"/>
                <w:szCs w:val="21"/>
              </w:rPr>
              <w:t>一、工资、奖金、津贴和补</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贴</w:t>
            </w:r>
            <w:r>
              <w:rPr>
                <w:rFonts w:ascii="宋体" w:hAnsi="宋体" w:cs="宋体" w:eastAsia="宋体" w:hint="default"/>
                <w:sz w:val="21"/>
                <w:szCs w:val="21"/>
              </w:rPr>
              <w:t> </w:t>
            </w:r>
          </w:p>
        </w:tc>
        <w:tc>
          <w:tcPr>
            <w:tcW w:w="15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7"/>
              <w:ind w:right="17"/>
              <w:jc w:val="right"/>
              <w:rPr>
                <w:rFonts w:ascii="Arial" w:hAnsi="Arial" w:cs="Arial" w:eastAsia="Arial" w:hint="default"/>
                <w:sz w:val="21"/>
                <w:szCs w:val="21"/>
              </w:rPr>
            </w:pPr>
            <w:r>
              <w:rPr>
                <w:rFonts w:ascii="Arial"/>
                <w:spacing w:val="-1"/>
                <w:sz w:val="21"/>
              </w:rPr>
              <w:t>224,863,809.97</w:t>
            </w:r>
          </w:p>
        </w:tc>
        <w:tc>
          <w:tcPr>
            <w:tcW w:w="156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7"/>
              <w:ind w:right="20"/>
              <w:jc w:val="right"/>
              <w:rPr>
                <w:rFonts w:ascii="Arial" w:hAnsi="Arial" w:cs="Arial" w:eastAsia="Arial" w:hint="default"/>
                <w:sz w:val="21"/>
                <w:szCs w:val="21"/>
              </w:rPr>
            </w:pPr>
            <w:r>
              <w:rPr>
                <w:rFonts w:ascii="Arial"/>
                <w:spacing w:val="-1"/>
                <w:sz w:val="21"/>
              </w:rPr>
              <w:t>296,718,736.19</w:t>
            </w:r>
          </w:p>
        </w:tc>
        <w:tc>
          <w:tcPr>
            <w:tcW w:w="15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7"/>
              <w:ind w:right="19"/>
              <w:jc w:val="right"/>
              <w:rPr>
                <w:rFonts w:ascii="Arial" w:hAnsi="Arial" w:cs="Arial" w:eastAsia="Arial" w:hint="default"/>
                <w:sz w:val="21"/>
                <w:szCs w:val="21"/>
              </w:rPr>
            </w:pPr>
            <w:r>
              <w:rPr>
                <w:rFonts w:ascii="Arial"/>
                <w:spacing w:val="-1"/>
                <w:sz w:val="21"/>
              </w:rPr>
              <w:t>325,384,571.71</w:t>
            </w:r>
          </w:p>
        </w:tc>
        <w:tc>
          <w:tcPr>
            <w:tcW w:w="159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7"/>
              <w:ind w:right="24"/>
              <w:jc w:val="right"/>
              <w:rPr>
                <w:rFonts w:ascii="Arial" w:hAnsi="Arial" w:cs="Arial" w:eastAsia="Arial" w:hint="default"/>
                <w:sz w:val="21"/>
                <w:szCs w:val="21"/>
              </w:rPr>
            </w:pPr>
            <w:r>
              <w:rPr>
                <w:rFonts w:ascii="Arial"/>
                <w:spacing w:val="-1"/>
                <w:sz w:val="21"/>
              </w:rPr>
              <w:t>196,197,974.45</w:t>
            </w:r>
          </w:p>
        </w:tc>
      </w:tr>
      <w:tr>
        <w:trPr>
          <w:trHeight w:val="355" w:hRule="exact"/>
        </w:trPr>
        <w:tc>
          <w:tcPr>
            <w:tcW w:w="25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二、职工福利费</w:t>
            </w:r>
            <w:r>
              <w:rPr>
                <w:rFonts w:ascii="宋体" w:hAnsi="宋体" w:cs="宋体" w:eastAsia="宋体" w:hint="default"/>
                <w:sz w:val="21"/>
                <w:szCs w:val="21"/>
              </w:rPr>
              <w:t> </w:t>
            </w:r>
          </w:p>
        </w:tc>
        <w:tc>
          <w:tcPr>
            <w:tcW w:w="1585" w:type="dxa"/>
            <w:tcBorders>
              <w:top w:val="single" w:sz="4" w:space="0" w:color="009EEA"/>
              <w:left w:val="single" w:sz="4" w:space="0" w:color="009EEA"/>
              <w:bottom w:val="single" w:sz="4" w:space="0" w:color="009EEA"/>
              <w:right w:val="single" w:sz="4" w:space="0" w:color="009EEA"/>
            </w:tcBorders>
          </w:tcPr>
          <w:p>
            <w:pPr/>
          </w:p>
        </w:tc>
        <w:tc>
          <w:tcPr>
            <w:tcW w:w="156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28,546,243.88</w:t>
            </w:r>
          </w:p>
        </w:tc>
        <w:tc>
          <w:tcPr>
            <w:tcW w:w="15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28,546,243.88</w:t>
            </w:r>
          </w:p>
        </w:tc>
        <w:tc>
          <w:tcPr>
            <w:tcW w:w="1592"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25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三、社会保险费</w:t>
            </w:r>
            <w:r>
              <w:rPr>
                <w:rFonts w:ascii="宋体" w:hAnsi="宋体" w:cs="宋体" w:eastAsia="宋体" w:hint="default"/>
                <w:sz w:val="21"/>
                <w:szCs w:val="21"/>
              </w:rPr>
              <w:t> </w:t>
            </w:r>
          </w:p>
        </w:tc>
        <w:tc>
          <w:tcPr>
            <w:tcW w:w="15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6"/>
              <w:jc w:val="right"/>
              <w:rPr>
                <w:rFonts w:ascii="Arial" w:hAnsi="Arial" w:cs="Arial" w:eastAsia="Arial" w:hint="default"/>
                <w:sz w:val="21"/>
                <w:szCs w:val="21"/>
              </w:rPr>
            </w:pPr>
            <w:r>
              <w:rPr>
                <w:rFonts w:ascii="Arial"/>
                <w:spacing w:val="-1"/>
                <w:sz w:val="21"/>
              </w:rPr>
              <w:t>5,515.00</w:t>
            </w:r>
          </w:p>
        </w:tc>
        <w:tc>
          <w:tcPr>
            <w:tcW w:w="156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123,064,643.80</w:t>
            </w:r>
          </w:p>
        </w:tc>
        <w:tc>
          <w:tcPr>
            <w:tcW w:w="15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123,064,643.80</w:t>
            </w:r>
          </w:p>
        </w:tc>
        <w:tc>
          <w:tcPr>
            <w:tcW w:w="159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3"/>
              <w:jc w:val="right"/>
              <w:rPr>
                <w:rFonts w:ascii="Arial" w:hAnsi="Arial" w:cs="Arial" w:eastAsia="Arial" w:hint="default"/>
                <w:sz w:val="21"/>
                <w:szCs w:val="21"/>
              </w:rPr>
            </w:pPr>
            <w:r>
              <w:rPr>
                <w:rFonts w:ascii="Arial"/>
                <w:spacing w:val="-1"/>
                <w:sz w:val="21"/>
              </w:rPr>
              <w:t>5,515.00</w:t>
            </w:r>
          </w:p>
        </w:tc>
      </w:tr>
      <w:tr>
        <w:trPr>
          <w:trHeight w:val="355" w:hRule="exact"/>
        </w:trPr>
        <w:tc>
          <w:tcPr>
            <w:tcW w:w="25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其中：医疗保险费</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15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6"/>
              <w:jc w:val="right"/>
              <w:rPr>
                <w:rFonts w:ascii="Arial" w:hAnsi="Arial" w:cs="Arial" w:eastAsia="Arial" w:hint="default"/>
                <w:sz w:val="21"/>
                <w:szCs w:val="21"/>
              </w:rPr>
            </w:pPr>
            <w:r>
              <w:rPr>
                <w:rFonts w:ascii="Arial"/>
                <w:spacing w:val="-1"/>
                <w:sz w:val="21"/>
              </w:rPr>
              <w:t>5,515.00</w:t>
            </w:r>
          </w:p>
        </w:tc>
        <w:tc>
          <w:tcPr>
            <w:tcW w:w="156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111,707,703.32</w:t>
            </w:r>
          </w:p>
        </w:tc>
        <w:tc>
          <w:tcPr>
            <w:tcW w:w="15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111,707,703.32</w:t>
            </w:r>
          </w:p>
        </w:tc>
        <w:tc>
          <w:tcPr>
            <w:tcW w:w="159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3"/>
              <w:jc w:val="right"/>
              <w:rPr>
                <w:rFonts w:ascii="Arial" w:hAnsi="Arial" w:cs="Arial" w:eastAsia="Arial" w:hint="default"/>
                <w:sz w:val="21"/>
                <w:szCs w:val="21"/>
              </w:rPr>
            </w:pPr>
            <w:r>
              <w:rPr>
                <w:rFonts w:ascii="Arial"/>
                <w:spacing w:val="-1"/>
                <w:sz w:val="21"/>
              </w:rPr>
              <w:t>5,515.00</w:t>
            </w:r>
          </w:p>
        </w:tc>
      </w:tr>
      <w:tr>
        <w:trPr>
          <w:trHeight w:val="355" w:hRule="exact"/>
        </w:trPr>
        <w:tc>
          <w:tcPr>
            <w:tcW w:w="25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660" w:right="0"/>
              <w:jc w:val="left"/>
              <w:rPr>
                <w:rFonts w:ascii="宋体" w:hAnsi="宋体" w:cs="宋体" w:eastAsia="宋体" w:hint="default"/>
                <w:sz w:val="21"/>
                <w:szCs w:val="21"/>
              </w:rPr>
            </w:pPr>
            <w:r>
              <w:rPr>
                <w:rFonts w:ascii="宋体" w:hAnsi="宋体" w:cs="宋体" w:eastAsia="宋体" w:hint="default"/>
                <w:sz w:val="21"/>
                <w:szCs w:val="21"/>
              </w:rPr>
              <w:t>工伤保险费</w:t>
            </w:r>
            <w:r>
              <w:rPr>
                <w:rFonts w:ascii="宋体" w:hAnsi="宋体" w:cs="宋体" w:eastAsia="宋体" w:hint="default"/>
                <w:sz w:val="21"/>
                <w:szCs w:val="21"/>
              </w:rPr>
              <w:t> </w:t>
            </w:r>
          </w:p>
        </w:tc>
        <w:tc>
          <w:tcPr>
            <w:tcW w:w="1585" w:type="dxa"/>
            <w:tcBorders>
              <w:top w:val="single" w:sz="4" w:space="0" w:color="009EEA"/>
              <w:left w:val="single" w:sz="4" w:space="0" w:color="009EEA"/>
              <w:bottom w:val="single" w:sz="4" w:space="0" w:color="009EEA"/>
              <w:right w:val="single" w:sz="4" w:space="0" w:color="009EEA"/>
            </w:tcBorders>
          </w:tcPr>
          <w:p>
            <w:pPr/>
          </w:p>
        </w:tc>
        <w:tc>
          <w:tcPr>
            <w:tcW w:w="156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6,793,801.43</w:t>
            </w:r>
          </w:p>
        </w:tc>
        <w:tc>
          <w:tcPr>
            <w:tcW w:w="15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6,793,801.43</w:t>
            </w:r>
          </w:p>
        </w:tc>
        <w:tc>
          <w:tcPr>
            <w:tcW w:w="1592"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25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660" w:right="0"/>
              <w:jc w:val="left"/>
              <w:rPr>
                <w:rFonts w:ascii="宋体" w:hAnsi="宋体" w:cs="宋体" w:eastAsia="宋体" w:hint="default"/>
                <w:sz w:val="21"/>
                <w:szCs w:val="21"/>
              </w:rPr>
            </w:pPr>
            <w:r>
              <w:rPr>
                <w:rFonts w:ascii="宋体" w:hAnsi="宋体" w:cs="宋体" w:eastAsia="宋体" w:hint="default"/>
                <w:sz w:val="21"/>
                <w:szCs w:val="21"/>
              </w:rPr>
              <w:t>生育保险费</w:t>
            </w:r>
            <w:r>
              <w:rPr>
                <w:rFonts w:ascii="宋体" w:hAnsi="宋体" w:cs="宋体" w:eastAsia="宋体" w:hint="default"/>
                <w:sz w:val="21"/>
                <w:szCs w:val="21"/>
              </w:rPr>
              <w:t> </w:t>
            </w:r>
          </w:p>
        </w:tc>
        <w:tc>
          <w:tcPr>
            <w:tcW w:w="1585" w:type="dxa"/>
            <w:tcBorders>
              <w:top w:val="single" w:sz="4" w:space="0" w:color="009EEA"/>
              <w:left w:val="single" w:sz="4" w:space="0" w:color="009EEA"/>
              <w:bottom w:val="single" w:sz="4" w:space="0" w:color="009EEA"/>
              <w:right w:val="single" w:sz="4" w:space="0" w:color="009EEA"/>
            </w:tcBorders>
          </w:tcPr>
          <w:p>
            <w:pPr/>
          </w:p>
        </w:tc>
        <w:tc>
          <w:tcPr>
            <w:tcW w:w="156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4,563,139.05</w:t>
            </w:r>
          </w:p>
        </w:tc>
        <w:tc>
          <w:tcPr>
            <w:tcW w:w="15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4,563,139.05</w:t>
            </w:r>
          </w:p>
        </w:tc>
        <w:tc>
          <w:tcPr>
            <w:tcW w:w="159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25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四、住房公积金</w:t>
            </w:r>
            <w:r>
              <w:rPr>
                <w:rFonts w:ascii="宋体" w:hAnsi="宋体" w:cs="宋体" w:eastAsia="宋体" w:hint="default"/>
                <w:sz w:val="21"/>
                <w:szCs w:val="21"/>
              </w:rPr>
              <w:t> </w:t>
            </w:r>
          </w:p>
        </w:tc>
        <w:tc>
          <w:tcPr>
            <w:tcW w:w="15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1,461,537.42</w:t>
            </w:r>
          </w:p>
        </w:tc>
        <w:tc>
          <w:tcPr>
            <w:tcW w:w="156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27,233,239.01</w:t>
            </w:r>
          </w:p>
        </w:tc>
        <w:tc>
          <w:tcPr>
            <w:tcW w:w="15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27,474,299.01</w:t>
            </w:r>
          </w:p>
        </w:tc>
        <w:tc>
          <w:tcPr>
            <w:tcW w:w="159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5"/>
              <w:jc w:val="right"/>
              <w:rPr>
                <w:rFonts w:ascii="Arial" w:hAnsi="Arial" w:cs="Arial" w:eastAsia="Arial" w:hint="default"/>
                <w:sz w:val="21"/>
                <w:szCs w:val="21"/>
              </w:rPr>
            </w:pPr>
            <w:r>
              <w:rPr>
                <w:rFonts w:ascii="Arial"/>
                <w:spacing w:val="-1"/>
                <w:sz w:val="21"/>
              </w:rPr>
              <w:t>1,220,477.42</w:t>
            </w:r>
          </w:p>
        </w:tc>
      </w:tr>
      <w:tr>
        <w:trPr>
          <w:trHeight w:val="554" w:hRule="exact"/>
        </w:trPr>
        <w:tc>
          <w:tcPr>
            <w:tcW w:w="2568"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pacing w:val="-3"/>
                <w:sz w:val="21"/>
                <w:szCs w:val="21"/>
              </w:rPr>
              <w:t>五、工会经费和职工教育经</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费</w:t>
            </w:r>
            <w:r>
              <w:rPr>
                <w:rFonts w:ascii="宋体" w:hAnsi="宋体" w:cs="宋体" w:eastAsia="宋体" w:hint="default"/>
                <w:sz w:val="21"/>
                <w:szCs w:val="21"/>
              </w:rPr>
              <w:t> </w:t>
            </w:r>
          </w:p>
        </w:tc>
        <w:tc>
          <w:tcPr>
            <w:tcW w:w="15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7"/>
              <w:jc w:val="right"/>
              <w:rPr>
                <w:rFonts w:ascii="Arial" w:hAnsi="Arial" w:cs="Arial" w:eastAsia="Arial" w:hint="default"/>
                <w:sz w:val="21"/>
                <w:szCs w:val="21"/>
              </w:rPr>
            </w:pPr>
            <w:r>
              <w:rPr>
                <w:rFonts w:ascii="Arial"/>
                <w:spacing w:val="-1"/>
                <w:sz w:val="21"/>
              </w:rPr>
              <w:t>52,239,099.11</w:t>
            </w:r>
          </w:p>
        </w:tc>
        <w:tc>
          <w:tcPr>
            <w:tcW w:w="156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20"/>
              <w:jc w:val="right"/>
              <w:rPr>
                <w:rFonts w:ascii="Arial" w:hAnsi="Arial" w:cs="Arial" w:eastAsia="Arial" w:hint="default"/>
                <w:sz w:val="21"/>
                <w:szCs w:val="21"/>
              </w:rPr>
            </w:pPr>
            <w:r>
              <w:rPr>
                <w:rFonts w:ascii="Arial"/>
                <w:spacing w:val="-1"/>
                <w:sz w:val="21"/>
              </w:rPr>
              <w:t>13,368,887.28</w:t>
            </w:r>
          </w:p>
        </w:tc>
        <w:tc>
          <w:tcPr>
            <w:tcW w:w="15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20"/>
              <w:jc w:val="right"/>
              <w:rPr>
                <w:rFonts w:ascii="Arial" w:hAnsi="Arial" w:cs="Arial" w:eastAsia="Arial" w:hint="default"/>
                <w:sz w:val="21"/>
                <w:szCs w:val="21"/>
              </w:rPr>
            </w:pPr>
            <w:r>
              <w:rPr>
                <w:rFonts w:ascii="Arial"/>
                <w:spacing w:val="-1"/>
                <w:sz w:val="21"/>
              </w:rPr>
              <w:t>11,666,668.04</w:t>
            </w:r>
          </w:p>
        </w:tc>
        <w:tc>
          <w:tcPr>
            <w:tcW w:w="159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6"/>
              <w:ind w:right="25"/>
              <w:jc w:val="right"/>
              <w:rPr>
                <w:rFonts w:ascii="Arial" w:hAnsi="Arial" w:cs="Arial" w:eastAsia="Arial" w:hint="default"/>
                <w:sz w:val="21"/>
                <w:szCs w:val="21"/>
              </w:rPr>
            </w:pPr>
            <w:r>
              <w:rPr>
                <w:rFonts w:ascii="Arial"/>
                <w:spacing w:val="-1"/>
                <w:sz w:val="21"/>
              </w:rPr>
              <w:t>53,941,318.35</w:t>
            </w:r>
          </w:p>
        </w:tc>
      </w:tr>
      <w:tr>
        <w:trPr>
          <w:trHeight w:val="358" w:hRule="exact"/>
        </w:trPr>
        <w:tc>
          <w:tcPr>
            <w:tcW w:w="25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六、短期带薪缺勤</w:t>
            </w:r>
            <w:r>
              <w:rPr>
                <w:rFonts w:ascii="宋体" w:hAnsi="宋体" w:cs="宋体" w:eastAsia="宋体" w:hint="default"/>
                <w:sz w:val="21"/>
                <w:szCs w:val="21"/>
              </w:rPr>
              <w:t> </w:t>
            </w:r>
          </w:p>
        </w:tc>
        <w:tc>
          <w:tcPr>
            <w:tcW w:w="1585" w:type="dxa"/>
            <w:tcBorders>
              <w:top w:val="single" w:sz="4" w:space="0" w:color="009EEA"/>
              <w:left w:val="single" w:sz="4" w:space="0" w:color="009EEA"/>
              <w:bottom w:val="single" w:sz="4" w:space="0" w:color="009EEA"/>
              <w:right w:val="single" w:sz="4" w:space="0" w:color="009EEA"/>
            </w:tcBorders>
          </w:tcPr>
          <w:p>
            <w:pPr/>
          </w:p>
        </w:tc>
        <w:tc>
          <w:tcPr>
            <w:tcW w:w="156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1,313,525.00</w:t>
            </w:r>
          </w:p>
        </w:tc>
        <w:tc>
          <w:tcPr>
            <w:tcW w:w="15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1,313,525.00</w:t>
            </w:r>
          </w:p>
        </w:tc>
        <w:tc>
          <w:tcPr>
            <w:tcW w:w="159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25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r>
              <w:rPr>
                <w:rFonts w:ascii="宋体" w:hAnsi="宋体" w:cs="宋体" w:eastAsia="宋体" w:hint="default"/>
                <w:sz w:val="21"/>
                <w:szCs w:val="21"/>
              </w:rPr>
              <w:t> </w:t>
            </w:r>
          </w:p>
        </w:tc>
        <w:tc>
          <w:tcPr>
            <w:tcW w:w="1585" w:type="dxa"/>
            <w:tcBorders>
              <w:top w:val="single" w:sz="4" w:space="0" w:color="009EEA"/>
              <w:left w:val="single" w:sz="4" w:space="0" w:color="009EEA"/>
              <w:bottom w:val="single" w:sz="4" w:space="0" w:color="009EEA"/>
              <w:right w:val="single" w:sz="4" w:space="0" w:color="009EEA"/>
            </w:tcBorders>
          </w:tcPr>
          <w:p>
            <w:pPr/>
          </w:p>
        </w:tc>
        <w:tc>
          <w:tcPr>
            <w:tcW w:w="1568" w:type="dxa"/>
            <w:tcBorders>
              <w:top w:val="single" w:sz="4" w:space="0" w:color="009EEA"/>
              <w:left w:val="single" w:sz="4" w:space="0" w:color="009EEA"/>
              <w:bottom w:val="single" w:sz="4" w:space="0" w:color="009EEA"/>
              <w:right w:val="single" w:sz="4" w:space="0" w:color="009EEA"/>
            </w:tcBorders>
          </w:tcPr>
          <w:p>
            <w:pPr/>
          </w:p>
        </w:tc>
        <w:tc>
          <w:tcPr>
            <w:tcW w:w="1579" w:type="dxa"/>
            <w:tcBorders>
              <w:top w:val="single" w:sz="4" w:space="0" w:color="009EEA"/>
              <w:left w:val="single" w:sz="4" w:space="0" w:color="009EEA"/>
              <w:bottom w:val="single" w:sz="4" w:space="0" w:color="009EEA"/>
              <w:right w:val="single" w:sz="4" w:space="0" w:color="009EEA"/>
            </w:tcBorders>
          </w:tcPr>
          <w:p>
            <w:pPr/>
          </w:p>
        </w:tc>
        <w:tc>
          <w:tcPr>
            <w:tcW w:w="159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25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八、其他</w:t>
            </w:r>
            <w:r>
              <w:rPr>
                <w:rFonts w:ascii="宋体" w:hAnsi="宋体" w:cs="宋体" w:eastAsia="宋体" w:hint="default"/>
                <w:sz w:val="21"/>
                <w:szCs w:val="21"/>
              </w:rPr>
              <w:t> </w:t>
            </w:r>
          </w:p>
        </w:tc>
        <w:tc>
          <w:tcPr>
            <w:tcW w:w="15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35,700.00</w:t>
            </w:r>
          </w:p>
        </w:tc>
        <w:tc>
          <w:tcPr>
            <w:tcW w:w="156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743,051.93</w:t>
            </w:r>
          </w:p>
        </w:tc>
        <w:tc>
          <w:tcPr>
            <w:tcW w:w="15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778,751.93</w:t>
            </w:r>
          </w:p>
        </w:tc>
        <w:tc>
          <w:tcPr>
            <w:tcW w:w="1592" w:type="dxa"/>
            <w:tcBorders>
              <w:top w:val="single" w:sz="4" w:space="0" w:color="009EEA"/>
              <w:left w:val="single" w:sz="4" w:space="0" w:color="009EEA"/>
              <w:bottom w:val="single" w:sz="4" w:space="0" w:color="009EEA"/>
              <w:right w:val="nil" w:sz="6" w:space="0" w:color="auto"/>
            </w:tcBorders>
          </w:tcPr>
          <w:p>
            <w:pPr/>
          </w:p>
        </w:tc>
      </w:tr>
      <w:tr>
        <w:trPr>
          <w:trHeight w:val="384" w:hRule="exact"/>
        </w:trPr>
        <w:tc>
          <w:tcPr>
            <w:tcW w:w="2568"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left="11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85"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278,605,661.50</w:t>
            </w:r>
          </w:p>
        </w:tc>
        <w:tc>
          <w:tcPr>
            <w:tcW w:w="1568"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490,988,327.09</w:t>
            </w:r>
          </w:p>
        </w:tc>
        <w:tc>
          <w:tcPr>
            <w:tcW w:w="1579"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518,228,703.37</w:t>
            </w:r>
          </w:p>
        </w:tc>
        <w:tc>
          <w:tcPr>
            <w:tcW w:w="1592"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251,365,285.22</w:t>
            </w:r>
          </w:p>
        </w:tc>
      </w:tr>
    </w:tbl>
    <w:p>
      <w:pPr>
        <w:spacing w:after="0" w:line="240" w:lineRule="auto"/>
        <w:jc w:val="right"/>
        <w:rPr>
          <w:rFonts w:ascii="Arial" w:hAnsi="Arial" w:cs="Arial" w:eastAsia="Arial" w:hint="default"/>
          <w:sz w:val="21"/>
          <w:szCs w:val="21"/>
        </w:rPr>
        <w:sectPr>
          <w:type w:val="continuous"/>
          <w:pgSz w:w="11910" w:h="16840"/>
          <w:pgMar w:top="1360" w:bottom="1380" w:left="1020" w:right="1520"/>
        </w:sectPr>
      </w:pPr>
    </w:p>
    <w:p>
      <w:pPr>
        <w:pStyle w:val="Heading2"/>
        <w:spacing w:line="240" w:lineRule="auto" w:before="26"/>
        <w:ind w:left="256" w:right="0"/>
        <w:jc w:val="left"/>
        <w:rPr>
          <w:rFonts w:ascii="宋体" w:hAnsi="宋体" w:cs="宋体" w:eastAsia="宋体" w:hint="default"/>
          <w:b w:val="0"/>
          <w:bCs w:val="0"/>
        </w:rPr>
      </w:pPr>
      <w:r>
        <w:rPr>
          <w:rFonts w:ascii="宋体" w:hAnsi="宋体" w:cs="宋体" w:eastAsia="宋体" w:hint="default"/>
        </w:rPr>
        <w:t>(3).</w:t>
      </w:r>
      <w:r>
        <w:rPr/>
        <w:t>设定提存计划列示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spacing w:line="240" w:lineRule="auto"/>
        <w:ind w:left="2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020" w:right="1520"/>
          <w:cols w:num="2" w:equalWidth="0">
            <w:col w:w="2475" w:space="4047"/>
            <w:col w:w="284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588"/>
        <w:gridCol w:w="1491"/>
        <w:gridCol w:w="1740"/>
        <w:gridCol w:w="1802"/>
        <w:gridCol w:w="1428"/>
      </w:tblGrid>
      <w:tr>
        <w:trPr>
          <w:trHeight w:val="382" w:hRule="exact"/>
        </w:trPr>
        <w:tc>
          <w:tcPr>
            <w:tcW w:w="2588"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left="108"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491"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31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40"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441"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02"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475"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428"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left="28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58" w:hRule="exact"/>
        </w:trPr>
        <w:tc>
          <w:tcPr>
            <w:tcW w:w="258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8"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、基本养老保险</w:t>
            </w:r>
          </w:p>
        </w:tc>
        <w:tc>
          <w:tcPr>
            <w:tcW w:w="149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0"/>
              <w:jc w:val="right"/>
              <w:rPr>
                <w:rFonts w:ascii="Arial" w:hAnsi="Arial" w:cs="Arial" w:eastAsia="Arial" w:hint="default"/>
                <w:sz w:val="21"/>
                <w:szCs w:val="21"/>
              </w:rPr>
            </w:pPr>
            <w:r>
              <w:rPr>
                <w:rFonts w:ascii="Arial"/>
                <w:spacing w:val="-1"/>
                <w:sz w:val="21"/>
              </w:rPr>
              <w:t>2,675.52</w:t>
            </w:r>
          </w:p>
        </w:tc>
        <w:tc>
          <w:tcPr>
            <w:tcW w:w="174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259,398,924.87</w:t>
            </w:r>
          </w:p>
        </w:tc>
        <w:tc>
          <w:tcPr>
            <w:tcW w:w="18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259,398,992.93</w:t>
            </w:r>
          </w:p>
        </w:tc>
        <w:tc>
          <w:tcPr>
            <w:tcW w:w="142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2,607.46</w:t>
            </w:r>
          </w:p>
        </w:tc>
      </w:tr>
      <w:tr>
        <w:trPr>
          <w:trHeight w:val="355" w:hRule="exact"/>
        </w:trPr>
        <w:tc>
          <w:tcPr>
            <w:tcW w:w="258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8"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、失业保险费</w:t>
            </w:r>
          </w:p>
        </w:tc>
        <w:tc>
          <w:tcPr>
            <w:tcW w:w="149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100"/>
              <w:jc w:val="right"/>
              <w:rPr>
                <w:rFonts w:ascii="Arial" w:hAnsi="Arial" w:cs="Arial" w:eastAsia="Arial" w:hint="default"/>
                <w:sz w:val="21"/>
                <w:szCs w:val="21"/>
              </w:rPr>
            </w:pPr>
            <w:r>
              <w:rPr>
                <w:rFonts w:ascii="Arial"/>
                <w:spacing w:val="-1"/>
                <w:sz w:val="21"/>
              </w:rPr>
              <w:t>3,697.81</w:t>
            </w:r>
          </w:p>
        </w:tc>
        <w:tc>
          <w:tcPr>
            <w:tcW w:w="174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101"/>
              <w:jc w:val="right"/>
              <w:rPr>
                <w:rFonts w:ascii="Arial" w:hAnsi="Arial" w:cs="Arial" w:eastAsia="Arial" w:hint="default"/>
                <w:sz w:val="21"/>
                <w:szCs w:val="21"/>
              </w:rPr>
            </w:pPr>
            <w:r>
              <w:rPr>
                <w:rFonts w:ascii="Arial"/>
                <w:spacing w:val="-1"/>
                <w:sz w:val="21"/>
              </w:rPr>
              <w:t>7,526,635.79</w:t>
            </w:r>
          </w:p>
        </w:tc>
        <w:tc>
          <w:tcPr>
            <w:tcW w:w="18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99"/>
              <w:jc w:val="right"/>
              <w:rPr>
                <w:rFonts w:ascii="Arial" w:hAnsi="Arial" w:cs="Arial" w:eastAsia="Arial" w:hint="default"/>
                <w:sz w:val="21"/>
                <w:szCs w:val="21"/>
              </w:rPr>
            </w:pPr>
            <w:r>
              <w:rPr>
                <w:rFonts w:ascii="Arial"/>
                <w:spacing w:val="-1"/>
                <w:sz w:val="21"/>
              </w:rPr>
              <w:t>7,527,648.17</w:t>
            </w:r>
          </w:p>
        </w:tc>
        <w:tc>
          <w:tcPr>
            <w:tcW w:w="142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2,685.43</w:t>
            </w:r>
          </w:p>
        </w:tc>
      </w:tr>
      <w:tr>
        <w:trPr>
          <w:trHeight w:val="356" w:hRule="exact"/>
        </w:trPr>
        <w:tc>
          <w:tcPr>
            <w:tcW w:w="258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8"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、企业年金缴费</w:t>
            </w:r>
          </w:p>
        </w:tc>
        <w:tc>
          <w:tcPr>
            <w:tcW w:w="1491" w:type="dxa"/>
            <w:tcBorders>
              <w:top w:val="single" w:sz="4" w:space="0" w:color="009EEA"/>
              <w:left w:val="single" w:sz="4" w:space="0" w:color="009EEA"/>
              <w:bottom w:val="single" w:sz="4" w:space="0" w:color="009EEA"/>
              <w:right w:val="single" w:sz="4" w:space="0" w:color="009EEA"/>
            </w:tcBorders>
          </w:tcPr>
          <w:p>
            <w:pPr/>
          </w:p>
        </w:tc>
        <w:tc>
          <w:tcPr>
            <w:tcW w:w="174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6,790,176.76</w:t>
            </w:r>
          </w:p>
        </w:tc>
        <w:tc>
          <w:tcPr>
            <w:tcW w:w="18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6,790,176.76</w:t>
            </w:r>
          </w:p>
        </w:tc>
        <w:tc>
          <w:tcPr>
            <w:tcW w:w="1428" w:type="dxa"/>
            <w:tcBorders>
              <w:top w:val="single" w:sz="4" w:space="0" w:color="009EEA"/>
              <w:left w:val="single" w:sz="4" w:space="0" w:color="009EEA"/>
              <w:bottom w:val="single" w:sz="4" w:space="0" w:color="009EEA"/>
              <w:right w:val="nil" w:sz="6" w:space="0" w:color="auto"/>
            </w:tcBorders>
          </w:tcPr>
          <w:p>
            <w:pPr/>
          </w:p>
        </w:tc>
      </w:tr>
      <w:tr>
        <w:trPr>
          <w:trHeight w:val="365" w:hRule="exact"/>
        </w:trPr>
        <w:tc>
          <w:tcPr>
            <w:tcW w:w="2588"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91"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100"/>
              <w:jc w:val="right"/>
              <w:rPr>
                <w:rFonts w:ascii="Arial" w:hAnsi="Arial" w:cs="Arial" w:eastAsia="Arial" w:hint="default"/>
                <w:sz w:val="21"/>
                <w:szCs w:val="21"/>
              </w:rPr>
            </w:pPr>
            <w:r>
              <w:rPr>
                <w:rFonts w:ascii="Arial"/>
                <w:spacing w:val="-1"/>
                <w:sz w:val="21"/>
              </w:rPr>
              <w:t>6,373.33</w:t>
            </w:r>
          </w:p>
        </w:tc>
        <w:tc>
          <w:tcPr>
            <w:tcW w:w="1740"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273,715,737.42</w:t>
            </w:r>
          </w:p>
        </w:tc>
        <w:tc>
          <w:tcPr>
            <w:tcW w:w="180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273,716,817.86</w:t>
            </w:r>
          </w:p>
        </w:tc>
        <w:tc>
          <w:tcPr>
            <w:tcW w:w="1428"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5,292.89</w:t>
            </w:r>
          </w:p>
        </w:tc>
      </w:tr>
    </w:tbl>
    <w:p>
      <w:pPr>
        <w:spacing w:line="20" w:lineRule="exact"/>
        <w:ind w:left="139" w:right="0" w:firstLine="0"/>
        <w:rPr>
          <w:rFonts w:ascii="宋体" w:hAnsi="宋体" w:cs="宋体" w:eastAsia="宋体" w:hint="default"/>
          <w:sz w:val="2"/>
          <w:szCs w:val="2"/>
        </w:rPr>
      </w:pPr>
      <w:r>
        <w:rPr>
          <w:rFonts w:ascii="宋体" w:hAnsi="宋体" w:cs="宋体" w:eastAsia="宋体" w:hint="default"/>
          <w:sz w:val="2"/>
          <w:szCs w:val="2"/>
        </w:rPr>
        <w:pict>
          <v:group style="width:453.5pt;height:1pt;mso-position-horizontal-relative:char;mso-position-vertical-relative:line" coordorigin="0,0" coordsize="9070,20">
            <v:group style="position:absolute;left:10;top:10;width:2583;height:2" coordorigin="10,10" coordsize="2583,2">
              <v:shape style="position:absolute;left:10;top:10;width:2583;height:2" coordorigin="10,10" coordsize="2583,0" path="m10,10l2592,10e" filled="false" stroked="true" strokeweight=".95996pt" strokecolor="#009eea">
                <v:path arrowok="t"/>
              </v:shape>
            </v:group>
            <v:group style="position:absolute;left:2592;top:10;width:58;height:2" coordorigin="2592,10" coordsize="58,2">
              <v:shape style="position:absolute;left:2592;top:10;width:58;height:2" coordorigin="2592,10" coordsize="58,0" path="m2592,10l2650,10e" filled="false" stroked="true" strokeweight=".95996pt" strokecolor="#009eea">
                <v:path arrowok="t"/>
              </v:shape>
            </v:group>
            <v:group style="position:absolute;left:2650;top:10;width:1434;height:2" coordorigin="2650,10" coordsize="1434,2">
              <v:shape style="position:absolute;left:2650;top:10;width:1434;height:2" coordorigin="2650,10" coordsize="1434,0" path="m2650,10l4083,10e" filled="false" stroked="true" strokeweight=".95996pt" strokecolor="#009eea">
                <v:path arrowok="t"/>
              </v:shape>
            </v:group>
            <v:group style="position:absolute;left:4083;top:10;width:58;height:2" coordorigin="4083,10" coordsize="58,2">
              <v:shape style="position:absolute;left:4083;top:10;width:58;height:2" coordorigin="4083,10" coordsize="58,0" path="m4083,10l4141,10e" filled="false" stroked="true" strokeweight=".95996pt" strokecolor="#009eea">
                <v:path arrowok="t"/>
              </v:shape>
            </v:group>
            <v:group style="position:absolute;left:4141;top:10;width:1683;height:2" coordorigin="4141,10" coordsize="1683,2">
              <v:shape style="position:absolute;left:4141;top:10;width:1683;height:2" coordorigin="4141,10" coordsize="1683,0" path="m4141,10l5824,10e" filled="false" stroked="true" strokeweight=".95996pt" strokecolor="#009eea">
                <v:path arrowok="t"/>
              </v:shape>
            </v:group>
            <v:group style="position:absolute;left:5824;top:10;width:58;height:2" coordorigin="5824,10" coordsize="58,2">
              <v:shape style="position:absolute;left:5824;top:10;width:58;height:2" coordorigin="5824,10" coordsize="58,0" path="m5824,10l5881,10e" filled="false" stroked="true" strokeweight=".95996pt" strokecolor="#009eea">
                <v:path arrowok="t"/>
              </v:shape>
            </v:group>
            <v:group style="position:absolute;left:5881;top:10;width:1745;height:2" coordorigin="5881,10" coordsize="1745,2">
              <v:shape style="position:absolute;left:5881;top:10;width:1745;height:2" coordorigin="5881,10" coordsize="1745,0" path="m5881,10l7626,10e" filled="false" stroked="true" strokeweight=".95996pt" strokecolor="#009eea">
                <v:path arrowok="t"/>
              </v:shape>
            </v:group>
            <v:group style="position:absolute;left:7626;top:10;width:58;height:2" coordorigin="7626,10" coordsize="58,2">
              <v:shape style="position:absolute;left:7626;top:10;width:58;height:2" coordorigin="7626,10" coordsize="58,0" path="m7626,10l7684,10e" filled="false" stroked="true" strokeweight=".95996pt" strokecolor="#009eea">
                <v:path arrowok="t"/>
              </v:shape>
            </v:group>
            <v:group style="position:absolute;left:7684;top:10;width:1376;height:2" coordorigin="7684,10" coordsize="1376,2">
              <v:shape style="position:absolute;left:7684;top:10;width:1376;height:2" coordorigin="7684,10" coordsize="1376,0" path="m7684,10l9059,10e" filled="false" stroked="true" strokeweight=".95996pt" strokecolor="#009eea">
                <v:path arrowok="t"/>
              </v:shape>
            </v:group>
          </v:group>
        </w:pict>
      </w:r>
      <w:r>
        <w:rPr>
          <w:rFonts w:ascii="宋体" w:hAnsi="宋体" w:cs="宋体" w:eastAsia="宋体" w:hint="default"/>
          <w:sz w:val="2"/>
          <w:szCs w:val="2"/>
        </w:rPr>
      </w:r>
    </w:p>
    <w:p>
      <w:pPr>
        <w:pStyle w:val="BodyText"/>
        <w:spacing w:line="257" w:lineRule="exact"/>
        <w:ind w:left="256" w:right="5964"/>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before="26"/>
        <w:ind w:left="67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本公司按规定参加由政府机构设立的养老保险、失业保险计划，根据该等计划，本公司分别</w:t>
      </w:r>
    </w:p>
    <w:p>
      <w:pPr>
        <w:pStyle w:val="BodyText"/>
        <w:spacing w:line="272" w:lineRule="exact" w:before="1"/>
        <w:ind w:left="256" w:right="0"/>
        <w:jc w:val="left"/>
        <w:rPr>
          <w:rFonts w:ascii="宋体" w:hAnsi="宋体" w:cs="宋体" w:eastAsia="宋体" w:hint="default"/>
        </w:rPr>
      </w:pPr>
      <w:r>
        <w:rPr>
          <w:spacing w:val="-2"/>
        </w:rPr>
        <w:t>按员工基本工资的规定标准每月向该等计划缴存费用。除上述每月缴存费用外，本公司不再承担</w:t>
      </w:r>
      <w:r>
        <w:rPr>
          <w:spacing w:val="-25"/>
        </w:rPr>
        <w:t> </w:t>
      </w:r>
      <w:r>
        <w:rPr>
          <w:spacing w:val="-25"/>
        </w:rPr>
      </w:r>
      <w:r>
        <w:rPr/>
        <w:t>进一步支付义务。相应的支出于发生时计入当期损益或相关资产的成本</w:t>
      </w:r>
      <w:r>
        <w:rPr>
          <w:rFonts w:ascii="宋体" w:hAnsi="宋体" w:cs="宋体" w:eastAsia="宋体" w:hint="default"/>
        </w:rPr>
        <w:t> </w:t>
      </w:r>
    </w:p>
    <w:p>
      <w:pPr>
        <w:pStyle w:val="Heading2"/>
        <w:spacing w:line="240" w:lineRule="auto" w:before="34"/>
        <w:ind w:left="256" w:right="5964"/>
        <w:jc w:val="left"/>
        <w:rPr>
          <w:rFonts w:ascii="宋体" w:hAnsi="宋体" w:cs="宋体" w:eastAsia="宋体" w:hint="default"/>
          <w:b w:val="0"/>
          <w:bCs w:val="0"/>
        </w:rPr>
      </w:pPr>
      <w:r>
        <w:rPr>
          <w:rFonts w:ascii="宋体" w:hAnsi="宋体" w:cs="宋体" w:eastAsia="宋体" w:hint="default"/>
        </w:rPr>
        <w:t>38</w:t>
      </w:r>
      <w:r>
        <w:rPr/>
        <w:t>、</w:t>
      </w:r>
      <w:r>
        <w:rPr>
          <w:spacing w:val="-27"/>
        </w:rPr>
        <w:t> </w:t>
      </w:r>
      <w:r>
        <w:rPr/>
        <w:t>应交税费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56" w:right="59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6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74" w:lineRule="exact"/>
        <w:jc w:val="right"/>
        <w:rPr>
          <w:rFonts w:ascii="宋体" w:hAnsi="宋体" w:cs="宋体" w:eastAsia="宋体" w:hint="default"/>
        </w:rPr>
        <w:sectPr>
          <w:type w:val="continuous"/>
          <w:pgSz w:w="11910" w:h="16840"/>
          <w:pgMar w:top="1360" w:bottom="1380" w:left="1020" w:right="1520"/>
        </w:sectPr>
      </w:pPr>
    </w:p>
    <w:p>
      <w:pPr>
        <w:spacing w:line="240" w:lineRule="auto" w:before="11"/>
        <w:rPr>
          <w:rFonts w:ascii="宋体" w:hAnsi="宋体" w:cs="宋体" w:eastAsia="宋体" w:hint="default"/>
          <w:sz w:val="3"/>
          <w:szCs w:val="3"/>
        </w:rPr>
      </w:pPr>
    </w:p>
    <w:p>
      <w:pPr>
        <w:spacing w:line="20" w:lineRule="exact"/>
        <w:ind w:left="22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4"/>
          <w:szCs w:val="4"/>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2977;height:2" coordorigin="10,10" coordsize="2977,2">
              <v:shape style="position:absolute;left:10;top:10;width:2977;height:2" coordorigin="10,10" coordsize="2977,0" path="m10,10l2987,10e" filled="false" stroked="true" strokeweight=".96pt" strokecolor="#41b7ee">
                <v:path arrowok="t"/>
              </v:shape>
            </v:group>
            <v:group style="position:absolute;left:2987;top:10;width:58;height:2" coordorigin="2987,10" coordsize="58,2">
              <v:shape style="position:absolute;left:2987;top:10;width:58;height:2" coordorigin="2987,10" coordsize="58,0" path="m2987,10l3044,10e" filled="false" stroked="true" strokeweight=".96pt" strokecolor="#41b7ee">
                <v:path arrowok="t"/>
              </v:shape>
            </v:group>
            <v:group style="position:absolute;left:3044;top:10;width:2898;height:2" coordorigin="3044,10" coordsize="2898,2">
              <v:shape style="position:absolute;left:3044;top:10;width:2898;height:2" coordorigin="3044,10" coordsize="2898,0" path="m3044,10l5941,10e" filled="false" stroked="true" strokeweight=".96pt" strokecolor="#41b7ee">
                <v:path arrowok="t"/>
              </v:shape>
            </v:group>
            <v:group style="position:absolute;left:5941;top:10;width:58;height:2" coordorigin="5941,10" coordsize="58,2">
              <v:shape style="position:absolute;left:5941;top:10;width:58;height:2" coordorigin="5941,10" coordsize="58,0" path="m5941,10l5999,10e" filled="false" stroked="true" strokeweight=".96pt" strokecolor="#41b7ee">
                <v:path arrowok="t"/>
              </v:shape>
            </v:group>
            <v:group style="position:absolute;left:5999;top:10;width:2907;height:2" coordorigin="5999,10" coordsize="2907,2">
              <v:shape style="position:absolute;left:5999;top:10;width:2907;height:2" coordorigin="5999,10" coordsize="2907,0" path="m5999,10l8906,10e" filled="false" stroked="true" strokeweight=".96pt" strokecolor="#41b7ee">
                <v:path arrowok="t"/>
              </v:shape>
            </v:group>
          </v:group>
        </w:pict>
      </w:r>
      <w:r>
        <w:rPr>
          <w:rFonts w:ascii="宋体" w:hAnsi="宋体" w:cs="宋体" w:eastAsia="宋体" w:hint="default"/>
          <w:sz w:val="2"/>
          <w:szCs w:val="2"/>
        </w:rPr>
      </w:r>
    </w:p>
    <w:tbl>
      <w:tblPr>
        <w:tblW w:w="0" w:type="auto"/>
        <w:jc w:val="left"/>
        <w:tblInd w:w="196" w:type="dxa"/>
        <w:tblLayout w:type="fixed"/>
        <w:tblCellMar>
          <w:top w:w="0" w:type="dxa"/>
          <w:left w:w="0" w:type="dxa"/>
          <w:bottom w:w="0" w:type="dxa"/>
          <w:right w:w="0" w:type="dxa"/>
        </w:tblCellMar>
        <w:tblLook w:val="01E0"/>
      </w:tblPr>
      <w:tblGrid>
        <w:gridCol w:w="2982"/>
        <w:gridCol w:w="2955"/>
        <w:gridCol w:w="2960"/>
      </w:tblGrid>
      <w:tr>
        <w:trPr>
          <w:trHeight w:val="365" w:hRule="exact"/>
        </w:trPr>
        <w:tc>
          <w:tcPr>
            <w:tcW w:w="2982"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55"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6"/>
              <w:ind w:left="104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60"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6"/>
              <w:ind w:left="105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55" w:hRule="exact"/>
        </w:trPr>
        <w:tc>
          <w:tcPr>
            <w:tcW w:w="298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29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7"/>
              <w:jc w:val="right"/>
              <w:rPr>
                <w:rFonts w:ascii="Arial" w:hAnsi="Arial" w:cs="Arial" w:eastAsia="Arial" w:hint="default"/>
                <w:sz w:val="21"/>
                <w:szCs w:val="21"/>
              </w:rPr>
            </w:pPr>
            <w:r>
              <w:rPr>
                <w:rFonts w:ascii="Arial"/>
                <w:spacing w:val="-1"/>
                <w:sz w:val="21"/>
              </w:rPr>
              <w:t>29,340,087.37</w:t>
            </w:r>
          </w:p>
        </w:tc>
        <w:tc>
          <w:tcPr>
            <w:tcW w:w="296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30,367,523.69</w:t>
            </w:r>
          </w:p>
        </w:tc>
      </w:tr>
      <w:tr>
        <w:trPr>
          <w:trHeight w:val="358" w:hRule="exact"/>
        </w:trPr>
        <w:tc>
          <w:tcPr>
            <w:tcW w:w="298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29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6"/>
              <w:jc w:val="right"/>
              <w:rPr>
                <w:rFonts w:ascii="Arial" w:hAnsi="Arial" w:cs="Arial" w:eastAsia="Arial" w:hint="default"/>
                <w:sz w:val="21"/>
                <w:szCs w:val="21"/>
              </w:rPr>
            </w:pPr>
            <w:r>
              <w:rPr>
                <w:rFonts w:ascii="Arial"/>
                <w:spacing w:val="-1"/>
                <w:sz w:val="21"/>
              </w:rPr>
              <w:t>53,830.48</w:t>
            </w:r>
          </w:p>
        </w:tc>
        <w:tc>
          <w:tcPr>
            <w:tcW w:w="296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53,830.48</w:t>
            </w:r>
          </w:p>
        </w:tc>
      </w:tr>
      <w:tr>
        <w:trPr>
          <w:trHeight w:val="358" w:hRule="exact"/>
        </w:trPr>
        <w:tc>
          <w:tcPr>
            <w:tcW w:w="298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29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7"/>
              <w:jc w:val="right"/>
              <w:rPr>
                <w:rFonts w:ascii="Arial" w:hAnsi="Arial" w:cs="Arial" w:eastAsia="Arial" w:hint="default"/>
                <w:sz w:val="21"/>
                <w:szCs w:val="21"/>
              </w:rPr>
            </w:pPr>
            <w:r>
              <w:rPr>
                <w:rFonts w:ascii="Arial"/>
                <w:spacing w:val="-1"/>
                <w:sz w:val="21"/>
              </w:rPr>
              <w:t>5,595,839.42</w:t>
            </w:r>
          </w:p>
        </w:tc>
        <w:tc>
          <w:tcPr>
            <w:tcW w:w="296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18,897,289.98</w:t>
            </w:r>
          </w:p>
        </w:tc>
      </w:tr>
      <w:tr>
        <w:trPr>
          <w:trHeight w:val="358" w:hRule="exact"/>
        </w:trPr>
        <w:tc>
          <w:tcPr>
            <w:tcW w:w="298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个人所得税</w:t>
            </w:r>
            <w:r>
              <w:rPr>
                <w:rFonts w:ascii="宋体" w:hAnsi="宋体" w:cs="宋体" w:eastAsia="宋体" w:hint="default"/>
                <w:sz w:val="21"/>
                <w:szCs w:val="21"/>
              </w:rPr>
              <w:t> </w:t>
            </w:r>
          </w:p>
        </w:tc>
        <w:tc>
          <w:tcPr>
            <w:tcW w:w="29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7"/>
              <w:jc w:val="right"/>
              <w:rPr>
                <w:rFonts w:ascii="Arial" w:hAnsi="Arial" w:cs="Arial" w:eastAsia="Arial" w:hint="default"/>
                <w:sz w:val="21"/>
                <w:szCs w:val="21"/>
              </w:rPr>
            </w:pPr>
            <w:r>
              <w:rPr>
                <w:rFonts w:ascii="Arial"/>
                <w:spacing w:val="-1"/>
                <w:sz w:val="21"/>
              </w:rPr>
              <w:t>1,483,180.97</w:t>
            </w:r>
          </w:p>
        </w:tc>
        <w:tc>
          <w:tcPr>
            <w:tcW w:w="296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2,050,593.21</w:t>
            </w:r>
          </w:p>
        </w:tc>
      </w:tr>
      <w:tr>
        <w:trPr>
          <w:trHeight w:val="355" w:hRule="exact"/>
        </w:trPr>
        <w:tc>
          <w:tcPr>
            <w:tcW w:w="298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29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7"/>
              <w:jc w:val="right"/>
              <w:rPr>
                <w:rFonts w:ascii="Arial" w:hAnsi="Arial" w:cs="Arial" w:eastAsia="Arial" w:hint="default"/>
                <w:sz w:val="21"/>
                <w:szCs w:val="21"/>
              </w:rPr>
            </w:pPr>
            <w:r>
              <w:rPr>
                <w:rFonts w:ascii="Arial"/>
                <w:spacing w:val="-1"/>
                <w:sz w:val="21"/>
              </w:rPr>
              <w:t>2,234,034.32</w:t>
            </w:r>
          </w:p>
        </w:tc>
        <w:tc>
          <w:tcPr>
            <w:tcW w:w="296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2,294,010.81</w:t>
            </w:r>
          </w:p>
        </w:tc>
      </w:tr>
      <w:tr>
        <w:trPr>
          <w:trHeight w:val="358" w:hRule="exact"/>
        </w:trPr>
        <w:tc>
          <w:tcPr>
            <w:tcW w:w="298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29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7"/>
              <w:jc w:val="right"/>
              <w:rPr>
                <w:rFonts w:ascii="Arial" w:hAnsi="Arial" w:cs="Arial" w:eastAsia="Arial" w:hint="default"/>
                <w:sz w:val="21"/>
                <w:szCs w:val="21"/>
              </w:rPr>
            </w:pPr>
            <w:r>
              <w:rPr>
                <w:rFonts w:ascii="Arial"/>
                <w:spacing w:val="-1"/>
                <w:sz w:val="21"/>
              </w:rPr>
              <w:t>2,702,100.27</w:t>
            </w:r>
          </w:p>
        </w:tc>
        <w:tc>
          <w:tcPr>
            <w:tcW w:w="296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2,743,073.68</w:t>
            </w:r>
          </w:p>
        </w:tc>
      </w:tr>
      <w:tr>
        <w:trPr>
          <w:trHeight w:val="358" w:hRule="exact"/>
        </w:trPr>
        <w:tc>
          <w:tcPr>
            <w:tcW w:w="298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29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7"/>
              <w:jc w:val="right"/>
              <w:rPr>
                <w:rFonts w:ascii="Arial" w:hAnsi="Arial" w:cs="Arial" w:eastAsia="Arial" w:hint="default"/>
                <w:sz w:val="21"/>
                <w:szCs w:val="21"/>
              </w:rPr>
            </w:pPr>
            <w:r>
              <w:rPr>
                <w:rFonts w:ascii="Arial"/>
                <w:spacing w:val="-1"/>
                <w:sz w:val="21"/>
              </w:rPr>
              <w:t>4,932,255.19</w:t>
            </w:r>
          </w:p>
        </w:tc>
        <w:tc>
          <w:tcPr>
            <w:tcW w:w="296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4,922,782.38</w:t>
            </w:r>
          </w:p>
        </w:tc>
      </w:tr>
      <w:tr>
        <w:trPr>
          <w:trHeight w:val="358" w:hRule="exact"/>
        </w:trPr>
        <w:tc>
          <w:tcPr>
            <w:tcW w:w="298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29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7"/>
              <w:jc w:val="right"/>
              <w:rPr>
                <w:rFonts w:ascii="Arial" w:hAnsi="Arial" w:cs="Arial" w:eastAsia="Arial" w:hint="default"/>
                <w:sz w:val="21"/>
                <w:szCs w:val="21"/>
              </w:rPr>
            </w:pPr>
            <w:r>
              <w:rPr>
                <w:rFonts w:ascii="Arial"/>
                <w:spacing w:val="-1"/>
                <w:sz w:val="21"/>
              </w:rPr>
              <w:t>12,169,641.62</w:t>
            </w:r>
          </w:p>
        </w:tc>
        <w:tc>
          <w:tcPr>
            <w:tcW w:w="296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12,142,741.92</w:t>
            </w:r>
          </w:p>
        </w:tc>
      </w:tr>
      <w:tr>
        <w:trPr>
          <w:trHeight w:val="355" w:hRule="exact"/>
        </w:trPr>
        <w:tc>
          <w:tcPr>
            <w:tcW w:w="298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车船使用税</w:t>
            </w:r>
            <w:r>
              <w:rPr>
                <w:rFonts w:ascii="宋体" w:hAnsi="宋体" w:cs="宋体" w:eastAsia="宋体" w:hint="default"/>
                <w:sz w:val="21"/>
                <w:szCs w:val="21"/>
              </w:rPr>
              <w:t> </w:t>
            </w:r>
          </w:p>
        </w:tc>
        <w:tc>
          <w:tcPr>
            <w:tcW w:w="29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6"/>
              <w:jc w:val="right"/>
              <w:rPr>
                <w:rFonts w:ascii="Arial" w:hAnsi="Arial" w:cs="Arial" w:eastAsia="Arial" w:hint="default"/>
                <w:sz w:val="21"/>
                <w:szCs w:val="21"/>
              </w:rPr>
            </w:pPr>
            <w:r>
              <w:rPr>
                <w:rFonts w:ascii="Arial"/>
                <w:spacing w:val="-1"/>
                <w:sz w:val="21"/>
              </w:rPr>
              <w:t>6,172.80</w:t>
            </w:r>
          </w:p>
        </w:tc>
        <w:tc>
          <w:tcPr>
            <w:tcW w:w="296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z w:val="21"/>
              </w:rPr>
              <w:t>480.00</w:t>
            </w:r>
          </w:p>
        </w:tc>
      </w:tr>
      <w:tr>
        <w:trPr>
          <w:trHeight w:val="358" w:hRule="exact"/>
        </w:trPr>
        <w:tc>
          <w:tcPr>
            <w:tcW w:w="298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5"/>
              <w:ind w:left="31" w:right="0"/>
              <w:jc w:val="left"/>
              <w:rPr>
                <w:rFonts w:ascii="宋体" w:hAnsi="宋体" w:cs="宋体" w:eastAsia="宋体" w:hint="default"/>
                <w:sz w:val="21"/>
                <w:szCs w:val="21"/>
              </w:rPr>
            </w:pPr>
            <w:r>
              <w:rPr>
                <w:rFonts w:ascii="宋体" w:hAnsi="宋体" w:cs="宋体" w:eastAsia="宋体" w:hint="default"/>
                <w:sz w:val="21"/>
                <w:szCs w:val="21"/>
              </w:rPr>
              <w:t>资源税</w:t>
            </w:r>
            <w:r>
              <w:rPr>
                <w:rFonts w:ascii="宋体" w:hAnsi="宋体" w:cs="宋体" w:eastAsia="宋体" w:hint="default"/>
                <w:sz w:val="21"/>
                <w:szCs w:val="21"/>
              </w:rPr>
              <w:t> </w:t>
            </w:r>
          </w:p>
        </w:tc>
        <w:tc>
          <w:tcPr>
            <w:tcW w:w="2955" w:type="dxa"/>
            <w:tcBorders>
              <w:top w:val="single" w:sz="4" w:space="0" w:color="41B7EE"/>
              <w:left w:val="single" w:sz="4" w:space="0" w:color="41B7EE"/>
              <w:bottom w:val="single" w:sz="4" w:space="0" w:color="41B7EE"/>
              <w:right w:val="single" w:sz="4" w:space="0" w:color="41B7EE"/>
            </w:tcBorders>
          </w:tcPr>
          <w:p>
            <w:pPr/>
          </w:p>
        </w:tc>
        <w:tc>
          <w:tcPr>
            <w:tcW w:w="296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10,794.00</w:t>
            </w:r>
          </w:p>
        </w:tc>
      </w:tr>
      <w:tr>
        <w:trPr>
          <w:trHeight w:val="358" w:hRule="exact"/>
        </w:trPr>
        <w:tc>
          <w:tcPr>
            <w:tcW w:w="298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土地增值税</w:t>
            </w:r>
            <w:r>
              <w:rPr>
                <w:rFonts w:ascii="宋体" w:hAnsi="宋体" w:cs="宋体" w:eastAsia="宋体" w:hint="default"/>
                <w:sz w:val="21"/>
                <w:szCs w:val="21"/>
              </w:rPr>
              <w:t> </w:t>
            </w:r>
          </w:p>
        </w:tc>
        <w:tc>
          <w:tcPr>
            <w:tcW w:w="29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7"/>
              <w:jc w:val="right"/>
              <w:rPr>
                <w:rFonts w:ascii="Arial" w:hAnsi="Arial" w:cs="Arial" w:eastAsia="Arial" w:hint="default"/>
                <w:sz w:val="21"/>
                <w:szCs w:val="21"/>
              </w:rPr>
            </w:pPr>
            <w:r>
              <w:rPr>
                <w:rFonts w:ascii="Arial"/>
                <w:spacing w:val="-1"/>
                <w:sz w:val="21"/>
              </w:rPr>
              <w:t>15,540,074.42</w:t>
            </w:r>
          </w:p>
        </w:tc>
        <w:tc>
          <w:tcPr>
            <w:tcW w:w="296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15,540,074.42</w:t>
            </w:r>
          </w:p>
        </w:tc>
      </w:tr>
      <w:tr>
        <w:trPr>
          <w:trHeight w:val="358" w:hRule="exact"/>
        </w:trPr>
        <w:tc>
          <w:tcPr>
            <w:tcW w:w="298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29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7"/>
              <w:jc w:val="right"/>
              <w:rPr>
                <w:rFonts w:ascii="Arial" w:hAnsi="Arial" w:cs="Arial" w:eastAsia="Arial" w:hint="default"/>
                <w:sz w:val="21"/>
                <w:szCs w:val="21"/>
              </w:rPr>
            </w:pPr>
            <w:r>
              <w:rPr>
                <w:rFonts w:ascii="Arial"/>
                <w:spacing w:val="-1"/>
                <w:sz w:val="21"/>
              </w:rPr>
              <w:t>420,889.40</w:t>
            </w:r>
          </w:p>
        </w:tc>
        <w:tc>
          <w:tcPr>
            <w:tcW w:w="296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797,332.69</w:t>
            </w:r>
          </w:p>
        </w:tc>
      </w:tr>
      <w:tr>
        <w:trPr>
          <w:trHeight w:val="355" w:hRule="exact"/>
        </w:trPr>
        <w:tc>
          <w:tcPr>
            <w:tcW w:w="298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契税</w:t>
            </w:r>
            <w:r>
              <w:rPr>
                <w:rFonts w:ascii="宋体" w:hAnsi="宋体" w:cs="宋体" w:eastAsia="宋体" w:hint="default"/>
                <w:sz w:val="21"/>
                <w:szCs w:val="21"/>
              </w:rPr>
              <w:t> </w:t>
            </w:r>
          </w:p>
        </w:tc>
        <w:tc>
          <w:tcPr>
            <w:tcW w:w="29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7"/>
              <w:jc w:val="right"/>
              <w:rPr>
                <w:rFonts w:ascii="Arial" w:hAnsi="Arial" w:cs="Arial" w:eastAsia="Arial" w:hint="default"/>
                <w:sz w:val="21"/>
                <w:szCs w:val="21"/>
              </w:rPr>
            </w:pPr>
            <w:r>
              <w:rPr>
                <w:rFonts w:ascii="Arial"/>
                <w:spacing w:val="-1"/>
                <w:sz w:val="21"/>
              </w:rPr>
              <w:t>13,976,210.42</w:t>
            </w:r>
          </w:p>
        </w:tc>
        <w:tc>
          <w:tcPr>
            <w:tcW w:w="296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20,901,585.61</w:t>
            </w:r>
          </w:p>
        </w:tc>
      </w:tr>
      <w:tr>
        <w:trPr>
          <w:trHeight w:val="358" w:hRule="exact"/>
        </w:trPr>
        <w:tc>
          <w:tcPr>
            <w:tcW w:w="298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水利建设基金</w:t>
            </w:r>
            <w:r>
              <w:rPr>
                <w:rFonts w:ascii="宋体" w:hAnsi="宋体" w:cs="宋体" w:eastAsia="宋体" w:hint="default"/>
                <w:sz w:val="21"/>
                <w:szCs w:val="21"/>
              </w:rPr>
              <w:t> </w:t>
            </w:r>
          </w:p>
        </w:tc>
        <w:tc>
          <w:tcPr>
            <w:tcW w:w="29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6"/>
              <w:jc w:val="right"/>
              <w:rPr>
                <w:rFonts w:ascii="Arial" w:hAnsi="Arial" w:cs="Arial" w:eastAsia="Arial" w:hint="default"/>
                <w:sz w:val="21"/>
                <w:szCs w:val="21"/>
              </w:rPr>
            </w:pPr>
            <w:r>
              <w:rPr>
                <w:rFonts w:ascii="Arial"/>
                <w:spacing w:val="-1"/>
                <w:sz w:val="21"/>
              </w:rPr>
              <w:t>19,223.39</w:t>
            </w:r>
          </w:p>
        </w:tc>
        <w:tc>
          <w:tcPr>
            <w:tcW w:w="296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19,223.39</w:t>
            </w:r>
          </w:p>
        </w:tc>
      </w:tr>
      <w:tr>
        <w:trPr>
          <w:trHeight w:val="358" w:hRule="exact"/>
        </w:trPr>
        <w:tc>
          <w:tcPr>
            <w:tcW w:w="298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垃圾处理费</w:t>
            </w:r>
            <w:r>
              <w:rPr>
                <w:rFonts w:ascii="宋体" w:hAnsi="宋体" w:cs="宋体" w:eastAsia="宋体" w:hint="default"/>
                <w:sz w:val="21"/>
                <w:szCs w:val="21"/>
              </w:rPr>
              <w:t> </w:t>
            </w:r>
          </w:p>
        </w:tc>
        <w:tc>
          <w:tcPr>
            <w:tcW w:w="29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6"/>
              <w:jc w:val="right"/>
              <w:rPr>
                <w:rFonts w:ascii="Arial" w:hAnsi="Arial" w:cs="Arial" w:eastAsia="Arial" w:hint="default"/>
                <w:sz w:val="21"/>
                <w:szCs w:val="21"/>
              </w:rPr>
            </w:pPr>
            <w:r>
              <w:rPr>
                <w:rFonts w:ascii="Arial"/>
                <w:sz w:val="21"/>
              </w:rPr>
              <w:t>183.00</w:t>
            </w:r>
          </w:p>
        </w:tc>
        <w:tc>
          <w:tcPr>
            <w:tcW w:w="296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z w:val="21"/>
              </w:rPr>
              <w:t>696.51</w:t>
            </w:r>
          </w:p>
        </w:tc>
      </w:tr>
      <w:tr>
        <w:trPr>
          <w:trHeight w:val="358" w:hRule="exact"/>
        </w:trPr>
        <w:tc>
          <w:tcPr>
            <w:tcW w:w="298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残疾人就业保证金</w:t>
            </w:r>
            <w:r>
              <w:rPr>
                <w:rFonts w:ascii="宋体" w:hAnsi="宋体" w:cs="宋体" w:eastAsia="宋体" w:hint="default"/>
                <w:sz w:val="21"/>
                <w:szCs w:val="21"/>
              </w:rPr>
              <w:t> </w:t>
            </w:r>
          </w:p>
        </w:tc>
        <w:tc>
          <w:tcPr>
            <w:tcW w:w="29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7"/>
              <w:jc w:val="right"/>
              <w:rPr>
                <w:rFonts w:ascii="Arial" w:hAnsi="Arial" w:cs="Arial" w:eastAsia="Arial" w:hint="default"/>
                <w:sz w:val="21"/>
                <w:szCs w:val="21"/>
              </w:rPr>
            </w:pPr>
            <w:r>
              <w:rPr>
                <w:rFonts w:ascii="Arial"/>
                <w:spacing w:val="-1"/>
                <w:sz w:val="21"/>
              </w:rPr>
              <w:t>392,916.97</w:t>
            </w:r>
          </w:p>
        </w:tc>
        <w:tc>
          <w:tcPr>
            <w:tcW w:w="2960" w:type="dxa"/>
            <w:tcBorders>
              <w:top w:val="single" w:sz="4" w:space="0" w:color="41B7EE"/>
              <w:left w:val="single" w:sz="4" w:space="0" w:color="41B7EE"/>
              <w:bottom w:val="single" w:sz="4" w:space="0" w:color="41B7EE"/>
              <w:right w:val="nil" w:sz="6" w:space="0" w:color="auto"/>
            </w:tcBorders>
          </w:tcPr>
          <w:p>
            <w:pPr/>
          </w:p>
        </w:tc>
      </w:tr>
      <w:tr>
        <w:trPr>
          <w:trHeight w:val="382" w:hRule="exact"/>
        </w:trPr>
        <w:tc>
          <w:tcPr>
            <w:tcW w:w="2982"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55"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97"/>
              <w:jc w:val="right"/>
              <w:rPr>
                <w:rFonts w:ascii="Arial" w:hAnsi="Arial" w:cs="Arial" w:eastAsia="Arial" w:hint="default"/>
                <w:sz w:val="21"/>
                <w:szCs w:val="21"/>
              </w:rPr>
            </w:pPr>
            <w:r>
              <w:rPr>
                <w:rFonts w:ascii="Arial"/>
                <w:spacing w:val="-1"/>
                <w:sz w:val="21"/>
              </w:rPr>
              <w:t>88,866,640.04</w:t>
            </w:r>
          </w:p>
        </w:tc>
        <w:tc>
          <w:tcPr>
            <w:tcW w:w="2960"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110,742,032.77</w:t>
            </w:r>
          </w:p>
        </w:tc>
      </w:tr>
    </w:tbl>
    <w:p>
      <w:pPr>
        <w:spacing w:after="0" w:line="240" w:lineRule="auto"/>
        <w:jc w:val="right"/>
        <w:rPr>
          <w:rFonts w:ascii="Arial" w:hAnsi="Arial" w:cs="Arial" w:eastAsia="Arial" w:hint="default"/>
          <w:sz w:val="21"/>
          <w:szCs w:val="21"/>
        </w:rPr>
        <w:sectPr>
          <w:pgSz w:w="11910" w:h="16840"/>
          <w:pgMar w:header="826" w:footer="1195" w:top="1300" w:bottom="1380" w:left="1020" w:right="1520"/>
        </w:sectPr>
      </w:pPr>
    </w:p>
    <w:p>
      <w:pPr>
        <w:pStyle w:val="Heading2"/>
        <w:spacing w:line="290" w:lineRule="auto" w:before="44"/>
        <w:ind w:left="256" w:right="208"/>
        <w:jc w:val="left"/>
        <w:rPr>
          <w:rFonts w:ascii="宋体" w:hAnsi="宋体" w:cs="宋体" w:eastAsia="宋体" w:hint="default"/>
          <w:b w:val="0"/>
          <w:bCs w:val="0"/>
        </w:rPr>
      </w:pPr>
      <w:r>
        <w:rPr>
          <w:rFonts w:ascii="宋体" w:hAnsi="宋体" w:cs="宋体" w:eastAsia="宋体" w:hint="default"/>
        </w:rPr>
        <w:t>39</w:t>
      </w:r>
      <w:r>
        <w:rPr/>
        <w:t>、</w:t>
      </w:r>
      <w:r>
        <w:rPr>
          <w:spacing w:val="-24"/>
        </w:rPr>
        <w:t> </w:t>
      </w:r>
      <w:r>
        <w:rPr/>
        <w:t>其他应付款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2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020" w:right="1520"/>
          <w:cols w:num="2" w:equalWidth="0">
            <w:col w:w="2043" w:space="4479"/>
            <w:col w:w="284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08"/>
        <w:gridCol w:w="2864"/>
        <w:gridCol w:w="2878"/>
      </w:tblGrid>
      <w:tr>
        <w:trPr>
          <w:trHeight w:val="384" w:hRule="exact"/>
        </w:trPr>
        <w:tc>
          <w:tcPr>
            <w:tcW w:w="3308"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58" w:hRule="exact"/>
        </w:trPr>
        <w:tc>
          <w:tcPr>
            <w:tcW w:w="330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2864" w:type="dxa"/>
            <w:tcBorders>
              <w:top w:val="single" w:sz="4" w:space="0" w:color="41B7EE"/>
              <w:left w:val="single" w:sz="4" w:space="0" w:color="41B7EE"/>
              <w:bottom w:val="single" w:sz="4" w:space="0" w:color="41B7EE"/>
              <w:right w:val="single" w:sz="4" w:space="0" w:color="41B7EE"/>
            </w:tcBorders>
          </w:tcPr>
          <w:p>
            <w:pPr/>
          </w:p>
        </w:tc>
        <w:tc>
          <w:tcPr>
            <w:tcW w:w="2878" w:type="dxa"/>
            <w:tcBorders>
              <w:top w:val="single" w:sz="4" w:space="0" w:color="41B7EE"/>
              <w:left w:val="single" w:sz="4" w:space="0" w:color="41B7EE"/>
              <w:bottom w:val="single" w:sz="4" w:space="0" w:color="41B7EE"/>
              <w:right w:val="nil" w:sz="6" w:space="0" w:color="auto"/>
            </w:tcBorders>
          </w:tcPr>
          <w:p>
            <w:pPr/>
          </w:p>
        </w:tc>
      </w:tr>
      <w:tr>
        <w:trPr>
          <w:trHeight w:val="355" w:hRule="exact"/>
        </w:trPr>
        <w:tc>
          <w:tcPr>
            <w:tcW w:w="330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864" w:type="dxa"/>
            <w:tcBorders>
              <w:top w:val="single" w:sz="4" w:space="0" w:color="41B7EE"/>
              <w:left w:val="single" w:sz="4" w:space="0" w:color="41B7EE"/>
              <w:bottom w:val="single" w:sz="4" w:space="0" w:color="41B7EE"/>
              <w:right w:val="single" w:sz="4" w:space="0" w:color="41B7EE"/>
            </w:tcBorders>
          </w:tcPr>
          <w:p>
            <w:pPr/>
          </w:p>
        </w:tc>
        <w:tc>
          <w:tcPr>
            <w:tcW w:w="287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70,309.90</w:t>
            </w:r>
          </w:p>
        </w:tc>
      </w:tr>
      <w:tr>
        <w:trPr>
          <w:trHeight w:val="358" w:hRule="exact"/>
        </w:trPr>
        <w:tc>
          <w:tcPr>
            <w:tcW w:w="330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86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274,426,330.25</w:t>
            </w:r>
          </w:p>
        </w:tc>
        <w:tc>
          <w:tcPr>
            <w:tcW w:w="287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348,535,066.74</w:t>
            </w:r>
          </w:p>
        </w:tc>
      </w:tr>
      <w:tr>
        <w:trPr>
          <w:trHeight w:val="384" w:hRule="exact"/>
        </w:trPr>
        <w:tc>
          <w:tcPr>
            <w:tcW w:w="3308"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274,426,330.25</w:t>
            </w:r>
          </w:p>
        </w:tc>
        <w:tc>
          <w:tcPr>
            <w:tcW w:w="2878"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348,605,376.64</w:t>
            </w:r>
          </w:p>
        </w:tc>
      </w:tr>
    </w:tbl>
    <w:p>
      <w:pPr>
        <w:spacing w:after="0" w:line="240" w:lineRule="auto"/>
        <w:jc w:val="right"/>
        <w:rPr>
          <w:rFonts w:ascii="Arial" w:hAnsi="Arial" w:cs="Arial" w:eastAsia="Arial" w:hint="default"/>
          <w:sz w:val="21"/>
          <w:szCs w:val="21"/>
        </w:rPr>
        <w:sectPr>
          <w:type w:val="continuous"/>
          <w:pgSz w:w="11910" w:h="16840"/>
          <w:pgMar w:top="1360" w:bottom="1380" w:left="1020" w:right="1520"/>
        </w:sectPr>
      </w:pPr>
    </w:p>
    <w:p>
      <w:pPr>
        <w:pStyle w:val="Heading2"/>
        <w:spacing w:line="290" w:lineRule="auto" w:before="26"/>
        <w:ind w:left="256" w:right="208"/>
        <w:jc w:val="left"/>
        <w:rPr>
          <w:rFonts w:ascii="宋体" w:hAnsi="宋体" w:cs="宋体" w:eastAsia="宋体" w:hint="default"/>
          <w:b w:val="0"/>
          <w:bCs w:val="0"/>
        </w:rPr>
      </w:pPr>
      <w:r>
        <w:rPr/>
        <w:t>应付利息</w:t>
      </w:r>
      <w:r>
        <w:rPr>
          <w:rFonts w:ascii="宋体" w:hAnsi="宋体" w:cs="宋体" w:eastAsia="宋体" w:hint="default"/>
          <w:w w:val="99"/>
        </w:rPr>
        <w:t> </w:t>
      </w:r>
      <w:r>
        <w:rPr>
          <w:rFonts w:ascii="宋体" w:hAnsi="宋体" w:cs="宋体" w:eastAsia="宋体" w:hint="default"/>
        </w:rPr>
        <w:t>(1).</w:t>
      </w:r>
      <w:r>
        <w:rPr/>
        <w:t>分类列示</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25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应付股利</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分类列示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020" w:right="1520"/>
          <w:cols w:num="2" w:equalWidth="0">
            <w:col w:w="2043" w:space="4479"/>
            <w:col w:w="2848"/>
          </w:cols>
        </w:sectPr>
      </w:pPr>
    </w:p>
    <w:p>
      <w:pPr>
        <w:spacing w:line="240" w:lineRule="auto" w:before="4"/>
        <w:rPr>
          <w:rFonts w:ascii="宋体" w:hAnsi="宋体" w:cs="宋体" w:eastAsia="宋体" w:hint="default"/>
          <w:sz w:val="2"/>
          <w:szCs w:val="2"/>
        </w:rPr>
      </w:pPr>
    </w:p>
    <w:tbl>
      <w:tblPr>
        <w:tblW w:w="0" w:type="auto"/>
        <w:jc w:val="left"/>
        <w:tblInd w:w="196" w:type="dxa"/>
        <w:tblLayout w:type="fixed"/>
        <w:tblCellMar>
          <w:top w:w="0" w:type="dxa"/>
          <w:left w:w="0" w:type="dxa"/>
          <w:bottom w:w="0" w:type="dxa"/>
          <w:right w:w="0" w:type="dxa"/>
        </w:tblCellMar>
        <w:tblLook w:val="01E0"/>
      </w:tblPr>
      <w:tblGrid>
        <w:gridCol w:w="2859"/>
        <w:gridCol w:w="3017"/>
        <w:gridCol w:w="3020"/>
      </w:tblGrid>
      <w:tr>
        <w:trPr>
          <w:trHeight w:val="384" w:hRule="exact"/>
        </w:trPr>
        <w:tc>
          <w:tcPr>
            <w:tcW w:w="2859"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right="116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17"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left="108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20"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108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10" w:hRule="exact"/>
        </w:trPr>
        <w:tc>
          <w:tcPr>
            <w:tcW w:w="285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30"/>
              <w:ind w:left="31" w:right="0"/>
              <w:jc w:val="left"/>
              <w:rPr>
                <w:rFonts w:ascii="宋体" w:hAnsi="宋体" w:cs="宋体" w:eastAsia="宋体" w:hint="default"/>
                <w:sz w:val="21"/>
                <w:szCs w:val="21"/>
              </w:rPr>
            </w:pPr>
            <w:r>
              <w:rPr>
                <w:rFonts w:ascii="宋体" w:hAnsi="宋体" w:cs="宋体" w:eastAsia="宋体" w:hint="default"/>
                <w:sz w:val="21"/>
                <w:szCs w:val="21"/>
              </w:rPr>
              <w:t>普通股股利</w:t>
            </w:r>
            <w:r>
              <w:rPr>
                <w:rFonts w:ascii="宋体" w:hAnsi="宋体" w:cs="宋体" w:eastAsia="宋体" w:hint="default"/>
                <w:sz w:val="21"/>
                <w:szCs w:val="21"/>
              </w:rPr>
              <w:t> </w:t>
            </w:r>
          </w:p>
        </w:tc>
        <w:tc>
          <w:tcPr>
            <w:tcW w:w="301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0"/>
              <w:ind w:right="-8"/>
              <w:jc w:val="right"/>
              <w:rPr>
                <w:rFonts w:ascii="宋体" w:hAnsi="宋体" w:cs="宋体" w:eastAsia="宋体" w:hint="default"/>
                <w:sz w:val="21"/>
                <w:szCs w:val="21"/>
              </w:rPr>
            </w:pPr>
            <w:r>
              <w:rPr>
                <w:rFonts w:ascii="宋体"/>
                <w:w w:val="100"/>
                <w:sz w:val="21"/>
              </w:rPr>
              <w:t> </w:t>
            </w:r>
          </w:p>
        </w:tc>
        <w:tc>
          <w:tcPr>
            <w:tcW w:w="302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22"/>
              <w:ind w:right="26"/>
              <w:jc w:val="right"/>
              <w:rPr>
                <w:rFonts w:ascii="Arial" w:hAnsi="Arial" w:cs="Arial" w:eastAsia="Arial" w:hint="default"/>
                <w:sz w:val="21"/>
                <w:szCs w:val="21"/>
              </w:rPr>
            </w:pPr>
            <w:r>
              <w:rPr>
                <w:rFonts w:ascii="Arial"/>
                <w:spacing w:val="-1"/>
                <w:sz w:val="21"/>
              </w:rPr>
              <w:t>70,309.90</w:t>
            </w:r>
          </w:p>
        </w:tc>
      </w:tr>
      <w:tr>
        <w:trPr>
          <w:trHeight w:val="415" w:hRule="exact"/>
        </w:trPr>
        <w:tc>
          <w:tcPr>
            <w:tcW w:w="2859"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28"/>
              <w:ind w:right="116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17"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28"/>
              <w:ind w:right="-8"/>
              <w:jc w:val="right"/>
              <w:rPr>
                <w:rFonts w:ascii="宋体" w:hAnsi="宋体" w:cs="宋体" w:eastAsia="宋体" w:hint="default"/>
                <w:sz w:val="21"/>
                <w:szCs w:val="21"/>
              </w:rPr>
            </w:pPr>
            <w:r>
              <w:rPr>
                <w:rFonts w:ascii="宋体"/>
                <w:w w:val="100"/>
                <w:sz w:val="21"/>
              </w:rPr>
              <w:t> </w:t>
            </w:r>
          </w:p>
        </w:tc>
        <w:tc>
          <w:tcPr>
            <w:tcW w:w="3020"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122"/>
              <w:ind w:right="26"/>
              <w:jc w:val="right"/>
              <w:rPr>
                <w:rFonts w:ascii="Arial" w:hAnsi="Arial" w:cs="Arial" w:eastAsia="Arial" w:hint="default"/>
                <w:sz w:val="21"/>
                <w:szCs w:val="21"/>
              </w:rPr>
            </w:pPr>
            <w:r>
              <w:rPr>
                <w:rFonts w:ascii="Arial"/>
                <w:spacing w:val="-1"/>
                <w:sz w:val="21"/>
              </w:rPr>
              <w:t>70,309.90</w:t>
            </w:r>
          </w:p>
        </w:tc>
      </w:tr>
    </w:tbl>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2855;height:2" coordorigin="10,10" coordsize="2855,2">
              <v:shape style="position:absolute;left:10;top:10;width:2855;height:2" coordorigin="10,10" coordsize="2855,0" path="m10,10l2864,10e" filled="false" stroked="true" strokeweight=".96002pt" strokecolor="#41b7ee">
                <v:path arrowok="t"/>
              </v:shape>
            </v:group>
            <v:group style="position:absolute;left:2864;top:10;width:58;height:2" coordorigin="2864,10" coordsize="58,2">
              <v:shape style="position:absolute;left:2864;top:10;width:58;height:2" coordorigin="2864,10" coordsize="58,0" path="m2864,10l2922,10e" filled="false" stroked="true" strokeweight=".96002pt" strokecolor="#41b7ee">
                <v:path arrowok="t"/>
              </v:shape>
            </v:group>
            <v:group style="position:absolute;left:2922;top:10;width:2960;height:2" coordorigin="2922,10" coordsize="2960,2">
              <v:shape style="position:absolute;left:2922;top:10;width:2960;height:2" coordorigin="2922,10" coordsize="2960,0" path="m2922,10l5881,10e" filled="false" stroked="true" strokeweight=".96002pt" strokecolor="#41b7ee">
                <v:path arrowok="t"/>
              </v:shape>
            </v:group>
            <v:group style="position:absolute;left:5881;top:10;width:58;height:2" coordorigin="5881,10" coordsize="58,2">
              <v:shape style="position:absolute;left:5881;top:10;width:58;height:2" coordorigin="5881,10" coordsize="58,0" path="m5881,10l5939,10e" filled="false" stroked="true" strokeweight=".96002pt" strokecolor="#41b7ee">
                <v:path arrowok="t"/>
              </v:shape>
            </v:group>
            <v:group style="position:absolute;left:5939;top:10;width:2967;height:2" coordorigin="5939,10" coordsize="2967,2">
              <v:shape style="position:absolute;left:5939;top:10;width:2967;height:2" coordorigin="5939,10" coordsize="2967,0" path="m5939,10l8906,10e" filled="false" stroked="true" strokeweight=".96002pt" strokecolor="#41b7ee">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360" w:bottom="1380" w:left="1020" w:right="1520"/>
        </w:sectPr>
      </w:pPr>
    </w:p>
    <w:p>
      <w:pPr>
        <w:pStyle w:val="Heading2"/>
        <w:spacing w:line="240" w:lineRule="auto" w:before="100"/>
        <w:ind w:left="236" w:right="0"/>
        <w:jc w:val="left"/>
        <w:rPr>
          <w:rFonts w:ascii="宋体" w:hAnsi="宋体" w:cs="宋体" w:eastAsia="宋体" w:hint="default"/>
          <w:b w:val="0"/>
          <w:bCs w:val="0"/>
        </w:rPr>
      </w:pPr>
      <w:r>
        <w:rPr/>
        <w:t>其他应付款</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按款项性质列示其他应付款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26" w:footer="1195" w:top="1300" w:bottom="1380" w:left="1040" w:right="1520"/>
          <w:cols w:num="2" w:equalWidth="0">
            <w:col w:w="3402" w:space="3121"/>
            <w:col w:w="2827"/>
          </w:cols>
        </w:sectPr>
      </w:pPr>
    </w:p>
    <w:p>
      <w:pPr>
        <w:spacing w:line="240" w:lineRule="auto" w:before="7"/>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2920;height:2" coordorigin="10,10" coordsize="2920,2">
              <v:shape style="position:absolute;left:10;top:10;width:2920;height:2" coordorigin="10,10" coordsize="2920,0" path="m10,10l2929,10e" filled="false" stroked="true" strokeweight=".96001pt" strokecolor="#41b7ee">
                <v:path arrowok="t"/>
              </v:shape>
            </v:group>
            <v:group style="position:absolute;left:2929;top:10;width:58;height:2" coordorigin="2929,10" coordsize="58,2">
              <v:shape style="position:absolute;left:2929;top:10;width:58;height:2" coordorigin="2929,10" coordsize="58,0" path="m2929,10l2987,10e" filled="false" stroked="true" strokeweight=".96001pt" strokecolor="#41b7ee">
                <v:path arrowok="t"/>
              </v:shape>
            </v:group>
            <v:group style="position:absolute;left:2987;top:10;width:2943;height:2" coordorigin="2987,10" coordsize="2943,2">
              <v:shape style="position:absolute;left:2987;top:10;width:2943;height:2" coordorigin="2987,10" coordsize="2943,0" path="m2987,10l5929,10e" filled="false" stroked="true" strokeweight=".96001pt" strokecolor="#41b7ee">
                <v:path arrowok="t"/>
              </v:shape>
            </v:group>
            <v:group style="position:absolute;left:5929;top:10;width:58;height:2" coordorigin="5929,10" coordsize="58,2">
              <v:shape style="position:absolute;left:5929;top:10;width:58;height:2" coordorigin="5929,10" coordsize="58,0" path="m5929,10l5987,10e" filled="false" stroked="true" strokeweight=".96001pt" strokecolor="#41b7ee">
                <v:path arrowok="t"/>
              </v:shape>
            </v:group>
            <v:group style="position:absolute;left:5987;top:10;width:3073;height:2" coordorigin="5987,10" coordsize="3073,2">
              <v:shape style="position:absolute;left:5987;top:10;width:3073;height:2" coordorigin="5987,10" coordsize="3073,0" path="m5987,10l9059,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2924"/>
        <w:gridCol w:w="3000"/>
        <w:gridCol w:w="3125"/>
      </w:tblGrid>
      <w:tr>
        <w:trPr>
          <w:trHeight w:val="362" w:hRule="exact"/>
        </w:trPr>
        <w:tc>
          <w:tcPr>
            <w:tcW w:w="2924"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4"/>
              <w:ind w:right="114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00"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4"/>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25"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4"/>
              <w:ind w:left="113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58" w:hRule="exact"/>
        </w:trPr>
        <w:tc>
          <w:tcPr>
            <w:tcW w:w="292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应付职员款项</w:t>
            </w:r>
            <w:r>
              <w:rPr>
                <w:rFonts w:ascii="宋体" w:hAnsi="宋体" w:cs="宋体" w:eastAsia="宋体" w:hint="default"/>
                <w:sz w:val="21"/>
                <w:szCs w:val="21"/>
              </w:rPr>
              <w:t> </w:t>
            </w:r>
          </w:p>
        </w:tc>
        <w:tc>
          <w:tcPr>
            <w:tcW w:w="300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24,501,196.02</w:t>
            </w:r>
          </w:p>
        </w:tc>
        <w:tc>
          <w:tcPr>
            <w:tcW w:w="312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right="104"/>
              <w:jc w:val="right"/>
              <w:rPr>
                <w:rFonts w:ascii="Arial" w:hAnsi="Arial" w:cs="Arial" w:eastAsia="Arial" w:hint="default"/>
                <w:sz w:val="21"/>
                <w:szCs w:val="21"/>
              </w:rPr>
            </w:pPr>
            <w:r>
              <w:rPr>
                <w:rFonts w:ascii="Arial"/>
                <w:spacing w:val="-1"/>
                <w:sz w:val="21"/>
              </w:rPr>
              <w:t>31,349,917.74</w:t>
            </w:r>
          </w:p>
        </w:tc>
      </w:tr>
      <w:tr>
        <w:trPr>
          <w:trHeight w:val="358" w:hRule="exact"/>
        </w:trPr>
        <w:tc>
          <w:tcPr>
            <w:tcW w:w="292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应付保证金</w:t>
            </w:r>
            <w:r>
              <w:rPr>
                <w:rFonts w:ascii="宋体" w:hAnsi="宋体" w:cs="宋体" w:eastAsia="宋体" w:hint="default"/>
                <w:sz w:val="21"/>
                <w:szCs w:val="21"/>
              </w:rPr>
              <w:t> </w:t>
            </w:r>
          </w:p>
        </w:tc>
        <w:tc>
          <w:tcPr>
            <w:tcW w:w="300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32,448,445.56</w:t>
            </w:r>
          </w:p>
        </w:tc>
        <w:tc>
          <w:tcPr>
            <w:tcW w:w="312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13,917,502.01</w:t>
            </w:r>
          </w:p>
        </w:tc>
      </w:tr>
      <w:tr>
        <w:trPr>
          <w:trHeight w:val="358" w:hRule="exact"/>
        </w:trPr>
        <w:tc>
          <w:tcPr>
            <w:tcW w:w="292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应付工程款</w:t>
            </w:r>
            <w:r>
              <w:rPr>
                <w:rFonts w:ascii="宋体" w:hAnsi="宋体" w:cs="宋体" w:eastAsia="宋体" w:hint="default"/>
                <w:sz w:val="21"/>
                <w:szCs w:val="21"/>
              </w:rPr>
              <w:t> </w:t>
            </w:r>
          </w:p>
        </w:tc>
        <w:tc>
          <w:tcPr>
            <w:tcW w:w="300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73,779,107.26</w:t>
            </w:r>
          </w:p>
        </w:tc>
        <w:tc>
          <w:tcPr>
            <w:tcW w:w="312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80,585,907.94</w:t>
            </w:r>
          </w:p>
        </w:tc>
      </w:tr>
      <w:tr>
        <w:trPr>
          <w:trHeight w:val="355" w:hRule="exact"/>
        </w:trPr>
        <w:tc>
          <w:tcPr>
            <w:tcW w:w="292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应付运输费</w:t>
            </w:r>
            <w:r>
              <w:rPr>
                <w:rFonts w:ascii="宋体" w:hAnsi="宋体" w:cs="宋体" w:eastAsia="宋体" w:hint="default"/>
                <w:sz w:val="21"/>
                <w:szCs w:val="21"/>
              </w:rPr>
              <w:t> </w:t>
            </w:r>
          </w:p>
        </w:tc>
        <w:tc>
          <w:tcPr>
            <w:tcW w:w="300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7,892,990.30</w:t>
            </w:r>
          </w:p>
        </w:tc>
        <w:tc>
          <w:tcPr>
            <w:tcW w:w="312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8,109,426.54</w:t>
            </w:r>
          </w:p>
        </w:tc>
      </w:tr>
      <w:tr>
        <w:trPr>
          <w:trHeight w:val="358" w:hRule="exact"/>
        </w:trPr>
        <w:tc>
          <w:tcPr>
            <w:tcW w:w="292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应付家庭农场款</w:t>
            </w:r>
            <w:r>
              <w:rPr>
                <w:rFonts w:ascii="宋体" w:hAnsi="宋体" w:cs="宋体" w:eastAsia="宋体" w:hint="default"/>
                <w:sz w:val="21"/>
                <w:szCs w:val="21"/>
              </w:rPr>
              <w:t> </w:t>
            </w:r>
          </w:p>
        </w:tc>
        <w:tc>
          <w:tcPr>
            <w:tcW w:w="300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17,766,787.74</w:t>
            </w:r>
          </w:p>
        </w:tc>
        <w:tc>
          <w:tcPr>
            <w:tcW w:w="312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right="104"/>
              <w:jc w:val="right"/>
              <w:rPr>
                <w:rFonts w:ascii="Arial" w:hAnsi="Arial" w:cs="Arial" w:eastAsia="Arial" w:hint="default"/>
                <w:sz w:val="21"/>
                <w:szCs w:val="21"/>
              </w:rPr>
            </w:pPr>
            <w:r>
              <w:rPr>
                <w:rFonts w:ascii="Arial"/>
                <w:spacing w:val="-1"/>
                <w:sz w:val="21"/>
              </w:rPr>
              <w:t>23,758,711.53</w:t>
            </w:r>
          </w:p>
        </w:tc>
      </w:tr>
      <w:tr>
        <w:trPr>
          <w:trHeight w:val="358" w:hRule="exact"/>
        </w:trPr>
        <w:tc>
          <w:tcPr>
            <w:tcW w:w="292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应付往来款</w:t>
            </w:r>
            <w:r>
              <w:rPr>
                <w:rFonts w:ascii="宋体" w:hAnsi="宋体" w:cs="宋体" w:eastAsia="宋体" w:hint="default"/>
                <w:sz w:val="21"/>
                <w:szCs w:val="21"/>
              </w:rPr>
              <w:t> </w:t>
            </w:r>
          </w:p>
        </w:tc>
        <w:tc>
          <w:tcPr>
            <w:tcW w:w="300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108,277,143.60</w:t>
            </w:r>
          </w:p>
        </w:tc>
        <w:tc>
          <w:tcPr>
            <w:tcW w:w="312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174,790,770.72</w:t>
            </w:r>
          </w:p>
        </w:tc>
      </w:tr>
      <w:tr>
        <w:trPr>
          <w:trHeight w:val="358" w:hRule="exact"/>
        </w:trPr>
        <w:tc>
          <w:tcPr>
            <w:tcW w:w="292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5"/>
              <w:ind w:left="10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0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9,760,659.77</w:t>
            </w:r>
          </w:p>
        </w:tc>
        <w:tc>
          <w:tcPr>
            <w:tcW w:w="312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16,022,830.26</w:t>
            </w:r>
          </w:p>
        </w:tc>
      </w:tr>
      <w:tr>
        <w:trPr>
          <w:trHeight w:val="382" w:hRule="exact"/>
        </w:trPr>
        <w:tc>
          <w:tcPr>
            <w:tcW w:w="2924"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2"/>
              <w:ind w:right="114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00"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274,426,330.25</w:t>
            </w:r>
          </w:p>
        </w:tc>
        <w:tc>
          <w:tcPr>
            <w:tcW w:w="3125"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348,535,066.74</w:t>
            </w:r>
          </w:p>
        </w:tc>
      </w:tr>
    </w:tbl>
    <w:p>
      <w:pPr>
        <w:spacing w:after="0" w:line="240" w:lineRule="auto"/>
        <w:jc w:val="right"/>
        <w:rPr>
          <w:rFonts w:ascii="Arial" w:hAnsi="Arial" w:cs="Arial" w:eastAsia="Arial" w:hint="default"/>
          <w:sz w:val="21"/>
          <w:szCs w:val="21"/>
        </w:rPr>
        <w:sectPr>
          <w:type w:val="continuous"/>
          <w:pgSz w:w="11910" w:h="16840"/>
          <w:pgMar w:top="1360" w:bottom="1380" w:left="1040" w:right="1520"/>
        </w:sectPr>
      </w:pPr>
    </w:p>
    <w:p>
      <w:pPr>
        <w:pStyle w:val="Heading2"/>
        <w:spacing w:line="240" w:lineRule="auto" w:before="44"/>
        <w:ind w:left="236" w:right="0"/>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8"/>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040" w:right="1520"/>
          <w:cols w:num="2" w:equalWidth="0">
            <w:col w:w="3826" w:space="2696"/>
            <w:col w:w="282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647"/>
        <w:gridCol w:w="1983"/>
        <w:gridCol w:w="2420"/>
      </w:tblGrid>
      <w:tr>
        <w:trPr>
          <w:trHeight w:val="384" w:hRule="exact"/>
        </w:trPr>
        <w:tc>
          <w:tcPr>
            <w:tcW w:w="4647"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4"/>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983"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4"/>
              <w:ind w:left="56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420"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4"/>
              <w:ind w:left="259"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355" w:hRule="exact"/>
        </w:trPr>
        <w:tc>
          <w:tcPr>
            <w:tcW w:w="464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青冈县玉丰粮油收储有限公司</w:t>
            </w:r>
            <w:r>
              <w:rPr>
                <w:rFonts w:ascii="宋体" w:hAnsi="宋体" w:cs="宋体" w:eastAsia="宋体" w:hint="default"/>
                <w:sz w:val="21"/>
                <w:szCs w:val="21"/>
              </w:rPr>
              <w:t> </w:t>
            </w:r>
          </w:p>
        </w:tc>
        <w:tc>
          <w:tcPr>
            <w:tcW w:w="198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26,710,697.00</w:t>
            </w:r>
          </w:p>
        </w:tc>
        <w:tc>
          <w:tcPr>
            <w:tcW w:w="242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存在经济纠纷暂未结算</w:t>
            </w:r>
            <w:r>
              <w:rPr>
                <w:rFonts w:ascii="宋体" w:hAnsi="宋体" w:cs="宋体" w:eastAsia="宋体" w:hint="default"/>
                <w:sz w:val="21"/>
                <w:szCs w:val="21"/>
              </w:rPr>
              <w:t> </w:t>
            </w:r>
          </w:p>
        </w:tc>
      </w:tr>
      <w:tr>
        <w:trPr>
          <w:trHeight w:val="358" w:hRule="exact"/>
        </w:trPr>
        <w:tc>
          <w:tcPr>
            <w:tcW w:w="464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北大荒青枫亚麻纺织有限公司</w:t>
            </w:r>
            <w:r>
              <w:rPr>
                <w:rFonts w:ascii="宋体" w:hAnsi="宋体" w:cs="宋体" w:eastAsia="宋体" w:hint="default"/>
                <w:sz w:val="21"/>
                <w:szCs w:val="21"/>
              </w:rPr>
              <w:t> </w:t>
            </w:r>
          </w:p>
        </w:tc>
        <w:tc>
          <w:tcPr>
            <w:tcW w:w="198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7,343,800.00</w:t>
            </w:r>
          </w:p>
        </w:tc>
        <w:tc>
          <w:tcPr>
            <w:tcW w:w="242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存在经济纠纷暂未结算</w:t>
            </w:r>
            <w:r>
              <w:rPr>
                <w:rFonts w:ascii="宋体" w:hAnsi="宋体" w:cs="宋体" w:eastAsia="宋体" w:hint="default"/>
                <w:sz w:val="21"/>
                <w:szCs w:val="21"/>
              </w:rPr>
              <w:t> </w:t>
            </w:r>
          </w:p>
        </w:tc>
      </w:tr>
      <w:tr>
        <w:trPr>
          <w:trHeight w:val="358" w:hRule="exact"/>
        </w:trPr>
        <w:tc>
          <w:tcPr>
            <w:tcW w:w="464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华龙证券有限责任公司</w:t>
            </w:r>
            <w:r>
              <w:rPr>
                <w:rFonts w:ascii="宋体" w:hAnsi="宋体" w:cs="宋体" w:eastAsia="宋体" w:hint="default"/>
                <w:sz w:val="21"/>
                <w:szCs w:val="21"/>
              </w:rPr>
              <w:t> </w:t>
            </w:r>
          </w:p>
        </w:tc>
        <w:tc>
          <w:tcPr>
            <w:tcW w:w="198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3,446,125.89</w:t>
            </w:r>
          </w:p>
        </w:tc>
        <w:tc>
          <w:tcPr>
            <w:tcW w:w="242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暂未结算</w:t>
            </w:r>
            <w:r>
              <w:rPr>
                <w:rFonts w:ascii="宋体" w:hAnsi="宋体" w:cs="宋体" w:eastAsia="宋体" w:hint="default"/>
                <w:sz w:val="21"/>
                <w:szCs w:val="21"/>
              </w:rPr>
              <w:t> </w:t>
            </w:r>
          </w:p>
        </w:tc>
      </w:tr>
      <w:tr>
        <w:trPr>
          <w:trHeight w:val="358" w:hRule="exact"/>
        </w:trPr>
        <w:tc>
          <w:tcPr>
            <w:tcW w:w="464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黑龙江省绥化农垦振寰水利工程有限责任公司</w:t>
            </w:r>
            <w:r>
              <w:rPr>
                <w:rFonts w:ascii="宋体" w:hAnsi="宋体" w:cs="宋体" w:eastAsia="宋体" w:hint="default"/>
                <w:sz w:val="21"/>
                <w:szCs w:val="21"/>
              </w:rPr>
              <w:t> </w:t>
            </w:r>
          </w:p>
        </w:tc>
        <w:tc>
          <w:tcPr>
            <w:tcW w:w="198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2,904,226.98</w:t>
            </w:r>
          </w:p>
        </w:tc>
        <w:tc>
          <w:tcPr>
            <w:tcW w:w="242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暂未结算</w:t>
            </w:r>
            <w:r>
              <w:rPr>
                <w:rFonts w:ascii="宋体" w:hAnsi="宋体" w:cs="宋体" w:eastAsia="宋体" w:hint="default"/>
                <w:sz w:val="21"/>
                <w:szCs w:val="21"/>
              </w:rPr>
              <w:t> </w:t>
            </w:r>
          </w:p>
        </w:tc>
      </w:tr>
      <w:tr>
        <w:trPr>
          <w:trHeight w:val="355" w:hRule="exact"/>
        </w:trPr>
        <w:tc>
          <w:tcPr>
            <w:tcW w:w="464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绥化农垦旷鑫水利建筑工程有限公司</w:t>
            </w:r>
            <w:r>
              <w:rPr>
                <w:rFonts w:ascii="宋体" w:hAnsi="宋体" w:cs="宋体" w:eastAsia="宋体" w:hint="default"/>
                <w:sz w:val="21"/>
                <w:szCs w:val="21"/>
              </w:rPr>
              <w:t> </w:t>
            </w:r>
          </w:p>
        </w:tc>
        <w:tc>
          <w:tcPr>
            <w:tcW w:w="198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2,730,625.28</w:t>
            </w:r>
          </w:p>
        </w:tc>
        <w:tc>
          <w:tcPr>
            <w:tcW w:w="242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暂未结算</w:t>
            </w:r>
            <w:r>
              <w:rPr>
                <w:rFonts w:ascii="宋体" w:hAnsi="宋体" w:cs="宋体" w:eastAsia="宋体" w:hint="default"/>
                <w:sz w:val="21"/>
                <w:szCs w:val="21"/>
              </w:rPr>
              <w:t> </w:t>
            </w:r>
          </w:p>
        </w:tc>
      </w:tr>
      <w:tr>
        <w:trPr>
          <w:trHeight w:val="358" w:hRule="exact"/>
        </w:trPr>
        <w:tc>
          <w:tcPr>
            <w:tcW w:w="464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黑龙江省建安公路工程有限公司</w:t>
            </w:r>
            <w:r>
              <w:rPr>
                <w:rFonts w:ascii="宋体" w:hAnsi="宋体" w:cs="宋体" w:eastAsia="宋体" w:hint="default"/>
                <w:sz w:val="21"/>
                <w:szCs w:val="21"/>
              </w:rPr>
              <w:t> </w:t>
            </w:r>
          </w:p>
        </w:tc>
        <w:tc>
          <w:tcPr>
            <w:tcW w:w="198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2,584,399.63</w:t>
            </w:r>
          </w:p>
        </w:tc>
        <w:tc>
          <w:tcPr>
            <w:tcW w:w="242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暂未结算</w:t>
            </w:r>
            <w:r>
              <w:rPr>
                <w:rFonts w:ascii="宋体" w:hAnsi="宋体" w:cs="宋体" w:eastAsia="宋体" w:hint="default"/>
                <w:sz w:val="21"/>
                <w:szCs w:val="21"/>
              </w:rPr>
              <w:t> </w:t>
            </w:r>
          </w:p>
        </w:tc>
      </w:tr>
      <w:tr>
        <w:trPr>
          <w:trHeight w:val="358" w:hRule="exact"/>
        </w:trPr>
        <w:tc>
          <w:tcPr>
            <w:tcW w:w="464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黑龙江鑫都房地产开发有限公司</w:t>
            </w:r>
            <w:r>
              <w:rPr>
                <w:rFonts w:ascii="宋体" w:hAnsi="宋体" w:cs="宋体" w:eastAsia="宋体" w:hint="default"/>
                <w:sz w:val="21"/>
                <w:szCs w:val="21"/>
              </w:rPr>
              <w:t> </w:t>
            </w:r>
          </w:p>
        </w:tc>
        <w:tc>
          <w:tcPr>
            <w:tcW w:w="198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2,385,463.57</w:t>
            </w:r>
          </w:p>
        </w:tc>
        <w:tc>
          <w:tcPr>
            <w:tcW w:w="242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暂未结算</w:t>
            </w:r>
            <w:r>
              <w:rPr>
                <w:rFonts w:ascii="宋体" w:hAnsi="宋体" w:cs="宋体" w:eastAsia="宋体" w:hint="default"/>
                <w:sz w:val="21"/>
                <w:szCs w:val="21"/>
              </w:rPr>
              <w:t> </w:t>
            </w:r>
          </w:p>
        </w:tc>
      </w:tr>
      <w:tr>
        <w:trPr>
          <w:trHeight w:val="358" w:hRule="exact"/>
        </w:trPr>
        <w:tc>
          <w:tcPr>
            <w:tcW w:w="464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哈尔滨市大东物业管理有限公司</w:t>
            </w:r>
            <w:r>
              <w:rPr>
                <w:rFonts w:ascii="宋体" w:hAnsi="宋体" w:cs="宋体" w:eastAsia="宋体" w:hint="default"/>
                <w:sz w:val="21"/>
                <w:szCs w:val="21"/>
              </w:rPr>
              <w:t> </w:t>
            </w:r>
          </w:p>
        </w:tc>
        <w:tc>
          <w:tcPr>
            <w:tcW w:w="198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3,318,149.11</w:t>
            </w:r>
          </w:p>
        </w:tc>
        <w:tc>
          <w:tcPr>
            <w:tcW w:w="242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暂未结算</w:t>
            </w:r>
            <w:r>
              <w:rPr>
                <w:rFonts w:ascii="宋体" w:hAnsi="宋体" w:cs="宋体" w:eastAsia="宋体" w:hint="default"/>
                <w:sz w:val="21"/>
                <w:szCs w:val="21"/>
              </w:rPr>
              <w:t> </w:t>
            </w:r>
          </w:p>
        </w:tc>
      </w:tr>
      <w:tr>
        <w:trPr>
          <w:trHeight w:val="355" w:hRule="exact"/>
        </w:trPr>
        <w:tc>
          <w:tcPr>
            <w:tcW w:w="464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郭伟新</w:t>
            </w:r>
            <w:r>
              <w:rPr>
                <w:rFonts w:ascii="宋体" w:hAnsi="宋体" w:cs="宋体" w:eastAsia="宋体" w:hint="default"/>
                <w:sz w:val="21"/>
                <w:szCs w:val="21"/>
              </w:rPr>
              <w:t> </w:t>
            </w:r>
          </w:p>
        </w:tc>
        <w:tc>
          <w:tcPr>
            <w:tcW w:w="198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2,255,000.00</w:t>
            </w:r>
          </w:p>
        </w:tc>
        <w:tc>
          <w:tcPr>
            <w:tcW w:w="242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暂未结算</w:t>
            </w:r>
            <w:r>
              <w:rPr>
                <w:rFonts w:ascii="宋体" w:hAnsi="宋体" w:cs="宋体" w:eastAsia="宋体" w:hint="default"/>
                <w:sz w:val="21"/>
                <w:szCs w:val="21"/>
              </w:rPr>
              <w:t> </w:t>
            </w:r>
          </w:p>
        </w:tc>
      </w:tr>
      <w:tr>
        <w:trPr>
          <w:trHeight w:val="358" w:hRule="exact"/>
        </w:trPr>
        <w:tc>
          <w:tcPr>
            <w:tcW w:w="464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方正县电力工程安装有限责任公司</w:t>
            </w:r>
            <w:r>
              <w:rPr>
                <w:rFonts w:ascii="宋体" w:hAnsi="宋体" w:cs="宋体" w:eastAsia="宋体" w:hint="default"/>
                <w:sz w:val="21"/>
                <w:szCs w:val="21"/>
              </w:rPr>
              <w:t> </w:t>
            </w:r>
          </w:p>
        </w:tc>
        <w:tc>
          <w:tcPr>
            <w:tcW w:w="198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2,068,288.64</w:t>
            </w:r>
          </w:p>
        </w:tc>
        <w:tc>
          <w:tcPr>
            <w:tcW w:w="242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暂未结算</w:t>
            </w:r>
            <w:r>
              <w:rPr>
                <w:rFonts w:ascii="宋体" w:hAnsi="宋体" w:cs="宋体" w:eastAsia="宋体" w:hint="default"/>
                <w:sz w:val="21"/>
                <w:szCs w:val="21"/>
              </w:rPr>
              <w:t> </w:t>
            </w:r>
          </w:p>
        </w:tc>
      </w:tr>
      <w:tr>
        <w:trPr>
          <w:trHeight w:val="365" w:hRule="exact"/>
        </w:trPr>
        <w:tc>
          <w:tcPr>
            <w:tcW w:w="4647"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4"/>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83"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55,746,776.10</w:t>
            </w:r>
          </w:p>
        </w:tc>
        <w:tc>
          <w:tcPr>
            <w:tcW w:w="2420"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
              <w:ind w:left="100" w:right="0"/>
              <w:jc w:val="center"/>
              <w:rPr>
                <w:rFonts w:ascii="宋体" w:hAnsi="宋体" w:cs="宋体" w:eastAsia="宋体" w:hint="default"/>
                <w:sz w:val="21"/>
                <w:szCs w:val="21"/>
              </w:rPr>
            </w:pPr>
            <w:r>
              <w:rPr>
                <w:rFonts w:ascii="宋体"/>
                <w:sz w:val="21"/>
              </w:rPr>
              <w:t>/ </w:t>
            </w:r>
          </w:p>
        </w:tc>
      </w:tr>
    </w:tbl>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643;height:2" coordorigin="10,10" coordsize="4643,2">
              <v:shape style="position:absolute;left:10;top:10;width:4643;height:2" coordorigin="10,10" coordsize="4643,0" path="m10,10l4652,10e" filled="false" stroked="true" strokeweight=".96002pt" strokecolor="#41b7ee">
                <v:path arrowok="t"/>
              </v:shape>
            </v:group>
            <v:group style="position:absolute;left:4652;top:10;width:58;height:2" coordorigin="4652,10" coordsize="58,2">
              <v:shape style="position:absolute;left:4652;top:10;width:58;height:2" coordorigin="4652,10" coordsize="58,0" path="m4652,10l4710,10e" filled="false" stroked="true" strokeweight=".96002pt" strokecolor="#41b7ee">
                <v:path arrowok="t"/>
              </v:shape>
            </v:group>
            <v:group style="position:absolute;left:4710;top:10;width:1926;height:2" coordorigin="4710,10" coordsize="1926,2">
              <v:shape style="position:absolute;left:4710;top:10;width:1926;height:2" coordorigin="4710,10" coordsize="1926,0" path="m4710,10l6635,10e" filled="false" stroked="true" strokeweight=".96002pt" strokecolor="#41b7ee">
                <v:path arrowok="t"/>
              </v:shape>
            </v:group>
            <v:group style="position:absolute;left:6635;top:10;width:58;height:2" coordorigin="6635,10" coordsize="58,2">
              <v:shape style="position:absolute;left:6635;top:10;width:58;height:2" coordorigin="6635,10" coordsize="58,0" path="m6635,10l6693,10e" filled="false" stroked="true" strokeweight=".96002pt" strokecolor="#41b7ee">
                <v:path arrowok="t"/>
              </v:shape>
            </v:group>
            <v:group style="position:absolute;left:6693;top:10;width:2367;height:2" coordorigin="6693,10" coordsize="2367,2">
              <v:shape style="position:absolute;left:6693;top:10;width:2367;height:2" coordorigin="6693,10" coordsize="2367,0" path="m6693,10l9059,10e" filled="false" stroked="true" strokeweight=".96002pt" strokecolor="#41b7ee">
                <v:path arrowok="t"/>
              </v:shape>
            </v:group>
          </v:group>
        </w:pict>
      </w:r>
      <w:r>
        <w:rPr>
          <w:rFonts w:ascii="宋体" w:hAnsi="宋体" w:cs="宋体" w:eastAsia="宋体" w:hint="default"/>
          <w:sz w:val="2"/>
          <w:szCs w:val="2"/>
        </w:rPr>
      </w:r>
    </w:p>
    <w:p>
      <w:pPr>
        <w:pStyle w:val="Heading2"/>
        <w:spacing w:line="240" w:lineRule="auto" w:before="44"/>
        <w:ind w:left="236" w:right="0"/>
        <w:jc w:val="left"/>
        <w:rPr>
          <w:b w:val="0"/>
          <w:bCs w:val="0"/>
        </w:rPr>
      </w:pPr>
      <w:r>
        <w:rPr>
          <w:rFonts w:ascii="宋体" w:hAnsi="宋体" w:cs="宋体" w:eastAsia="宋体" w:hint="default"/>
        </w:rPr>
        <w:t>40</w:t>
      </w:r>
      <w:r>
        <w:rPr/>
        <w:t>、</w:t>
      </w:r>
      <w:r>
        <w:rPr>
          <w:spacing w:val="-24"/>
        </w:rPr>
        <w:t> </w:t>
      </w:r>
      <w:r>
        <w:rPr/>
        <w:t>持有待售负债</w:t>
      </w:r>
      <w:r>
        <w:rPr>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left="236" w:right="0"/>
        <w:jc w:val="left"/>
        <w:rPr>
          <w:rFonts w:ascii="宋体" w:hAnsi="宋体" w:cs="宋体" w:eastAsia="宋体" w:hint="default"/>
          <w:b w:val="0"/>
          <w:bCs w:val="0"/>
        </w:rPr>
      </w:pPr>
      <w:r>
        <w:rPr>
          <w:rFonts w:ascii="宋体" w:hAnsi="宋体" w:cs="宋体" w:eastAsia="宋体" w:hint="default"/>
        </w:rPr>
        <w:t>41</w:t>
      </w:r>
      <w:r>
        <w:rPr/>
        <w:t>、 </w:t>
      </w:r>
      <w:r>
        <w:rPr>
          <w:rFonts w:ascii="宋体" w:hAnsi="宋体" w:cs="宋体" w:eastAsia="宋体" w:hint="default"/>
        </w:rPr>
        <w:t>1</w:t>
      </w:r>
      <w:r>
        <w:rPr>
          <w:rFonts w:ascii="宋体" w:hAnsi="宋体" w:cs="宋体" w:eastAsia="宋体" w:hint="default"/>
          <w:spacing w:val="-78"/>
        </w:rPr>
        <w:t> </w:t>
      </w:r>
      <w:r>
        <w:rPr/>
        <w:t>年内到期的非流动负债</w:t>
      </w:r>
      <w:r>
        <w:rPr>
          <w:rFonts w:ascii="宋体" w:hAnsi="宋体" w:cs="宋体" w:eastAsia="宋体" w:hint="default"/>
          <w:w w:val="99"/>
        </w:rPr>
        <w:t> </w:t>
      </w:r>
      <w:r>
        <w:rPr>
          <w:rFonts w:ascii="宋体" w:hAnsi="宋体" w:cs="宋体" w:eastAsia="宋体" w:hint="default"/>
          <w:b w:val="0"/>
          <w:bCs w:val="0"/>
        </w:rPr>
      </w:r>
    </w:p>
    <w:p>
      <w:pPr>
        <w:spacing w:line="290" w:lineRule="auto" w:before="57"/>
        <w:ind w:left="236" w:right="713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其他流动负债</w:t>
      </w:r>
      <w:r>
        <w:rPr>
          <w:rFonts w:ascii="宋体" w:hAnsi="宋体" w:cs="宋体" w:eastAsia="宋体" w:hint="default"/>
          <w:b/>
          <w:bCs/>
          <w:w w:val="99"/>
          <w:sz w:val="21"/>
          <w:szCs w:val="21"/>
        </w:rPr>
        <w:t> </w:t>
      </w:r>
      <w:r>
        <w:rPr>
          <w:rFonts w:ascii="宋体" w:hAnsi="宋体" w:cs="宋体" w:eastAsia="宋体" w:hint="default"/>
          <w:sz w:val="21"/>
          <w:szCs w:val="21"/>
        </w:rPr>
        <w:t>其他流动负债情况</w:t>
      </w:r>
      <w:r>
        <w:rPr>
          <w:rFonts w:ascii="宋体" w:hAnsi="宋体" w:cs="宋体" w:eastAsia="宋体" w:hint="default"/>
          <w:sz w:val="21"/>
          <w:szCs w:val="21"/>
        </w:rPr>
        <w:t> </w:t>
      </w:r>
    </w:p>
    <w:p>
      <w:pPr>
        <w:pStyle w:val="BodyText"/>
        <w:spacing w:line="228" w:lineRule="exact"/>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短期应付债券的增减变动：</w:t>
      </w:r>
      <w:r>
        <w:rPr>
          <w:rFonts w:ascii="宋体" w:hAnsi="宋体" w:cs="宋体" w:eastAsia="宋体" w:hint="default"/>
        </w:rPr>
        <w:t> </w:t>
      </w:r>
    </w:p>
    <w:p>
      <w:pPr>
        <w:spacing w:line="290" w:lineRule="auto" w:before="0"/>
        <w:ind w:left="236" w:right="713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43</w:t>
      </w:r>
      <w:r>
        <w:rPr>
          <w:rFonts w:ascii="宋体" w:hAnsi="宋体" w:cs="宋体" w:eastAsia="宋体" w:hint="default"/>
          <w:b/>
          <w:bCs/>
          <w:sz w:val="21"/>
          <w:szCs w:val="21"/>
        </w:rPr>
        <w:t>、 长期借款</w:t>
      </w:r>
      <w:r>
        <w:rPr>
          <w:rFonts w:ascii="宋体" w:hAnsi="宋体" w:cs="宋体" w:eastAsia="宋体" w:hint="default"/>
          <w:b/>
          <w:bCs/>
          <w:spacing w:val="-28"/>
          <w:sz w:val="21"/>
          <w:szCs w:val="21"/>
        </w:rPr>
        <w:t> </w:t>
      </w:r>
      <w:r>
        <w:rPr>
          <w:rFonts w:ascii="宋体" w:hAnsi="宋体" w:cs="宋体" w:eastAsia="宋体" w:hint="default"/>
          <w:b/>
          <w:bCs/>
          <w:spacing w:val="-28"/>
          <w:sz w:val="21"/>
          <w:szCs w:val="21"/>
        </w:rPr>
      </w:r>
      <w:r>
        <w:rPr>
          <w:rFonts w:ascii="宋体" w:hAnsi="宋体" w:cs="宋体" w:eastAsia="宋体" w:hint="default"/>
          <w:b/>
          <w:bCs/>
          <w:sz w:val="21"/>
          <w:szCs w:val="21"/>
        </w:rPr>
        <w:t>(1).</w:t>
      </w:r>
      <w:r>
        <w:rPr>
          <w:rFonts w:ascii="宋体" w:hAnsi="宋体" w:cs="宋体" w:eastAsia="宋体" w:hint="default"/>
          <w:b/>
          <w:bCs/>
          <w:w w:val="99"/>
          <w:sz w:val="21"/>
          <w:szCs w:val="21"/>
        </w:rPr>
        <w:t> </w:t>
      </w:r>
      <w:r>
        <w:rPr>
          <w:rFonts w:ascii="宋体" w:hAnsi="宋体" w:cs="宋体" w:eastAsia="宋体" w:hint="default"/>
          <w:b/>
          <w:bCs/>
          <w:sz w:val="21"/>
          <w:szCs w:val="21"/>
        </w:rPr>
        <w:t>长期借款分类</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040" w:right="1520"/>
        </w:sectPr>
      </w:pPr>
    </w:p>
    <w:p>
      <w:pPr>
        <w:spacing w:line="240" w:lineRule="auto" w:before="11"/>
        <w:rPr>
          <w:rFonts w:ascii="宋体" w:hAnsi="宋体" w:cs="宋体" w:eastAsia="宋体" w:hint="default"/>
          <w:sz w:val="3"/>
          <w:szCs w:val="3"/>
        </w:rPr>
      </w:pPr>
    </w:p>
    <w:p>
      <w:pPr>
        <w:spacing w:line="20" w:lineRule="exact"/>
        <w:ind w:left="22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30"/>
        <w:ind w:left="0" w:right="16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2997;height:2" coordorigin="10,10" coordsize="2997,2">
              <v:shape style="position:absolute;left:10;top:10;width:2997;height:2" coordorigin="10,10" coordsize="2997,0" path="m10,10l3006,10e" filled="false" stroked="true" strokeweight=".96001pt" strokecolor="#41b7ee">
                <v:path arrowok="t"/>
              </v:shape>
            </v:group>
            <v:group style="position:absolute;left:3006;top:10;width:58;height:2" coordorigin="3006,10" coordsize="58,2">
              <v:shape style="position:absolute;left:3006;top:10;width:58;height:2" coordorigin="3006,10" coordsize="58,0" path="m3006,10l3063,10e" filled="false" stroked="true" strokeweight=".96001pt" strokecolor="#41b7ee">
                <v:path arrowok="t"/>
              </v:shape>
            </v:group>
            <v:group style="position:absolute;left:3063;top:10;width:2941;height:2" coordorigin="3063,10" coordsize="2941,2">
              <v:shape style="position:absolute;left:3063;top:10;width:2941;height:2" coordorigin="3063,10" coordsize="2941,0" path="m3063,10l6004,10e" filled="false" stroked="true" strokeweight=".96001pt" strokecolor="#41b7ee">
                <v:path arrowok="t"/>
              </v:shape>
            </v:group>
            <v:group style="position:absolute;left:6004;top:10;width:58;height:2" coordorigin="6004,10" coordsize="58,2">
              <v:shape style="position:absolute;left:6004;top:10;width:58;height:2" coordorigin="6004,10" coordsize="58,0" path="m6004,10l6061,10e" filled="false" stroked="true" strokeweight=".96001pt" strokecolor="#41b7ee">
                <v:path arrowok="t"/>
              </v:shape>
            </v:group>
            <v:group style="position:absolute;left:6061;top:10;width:2845;height:2" coordorigin="6061,10" coordsize="2845,2">
              <v:shape style="position:absolute;left:6061;top:10;width:2845;height:2" coordorigin="6061,10" coordsize="2845,0" path="m6061,10l8906,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96" w:type="dxa"/>
        <w:tblLayout w:type="fixed"/>
        <w:tblCellMar>
          <w:top w:w="0" w:type="dxa"/>
          <w:left w:w="0" w:type="dxa"/>
          <w:bottom w:w="0" w:type="dxa"/>
          <w:right w:w="0" w:type="dxa"/>
        </w:tblCellMar>
        <w:tblLook w:val="01E0"/>
      </w:tblPr>
      <w:tblGrid>
        <w:gridCol w:w="3001"/>
        <w:gridCol w:w="2998"/>
        <w:gridCol w:w="2897"/>
      </w:tblGrid>
      <w:tr>
        <w:trPr>
          <w:trHeight w:val="365" w:hRule="exact"/>
        </w:trPr>
        <w:tc>
          <w:tcPr>
            <w:tcW w:w="3001"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6"/>
              <w:ind w:right="117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98"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6"/>
              <w:ind w:left="107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97"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6"/>
              <w:ind w:left="102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58" w:hRule="exact"/>
        </w:trPr>
        <w:tc>
          <w:tcPr>
            <w:tcW w:w="300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sz w:val="21"/>
                <w:szCs w:val="21"/>
              </w:rPr>
              <w:t> </w:t>
            </w:r>
          </w:p>
        </w:tc>
        <w:tc>
          <w:tcPr>
            <w:tcW w:w="299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0"/>
              <w:jc w:val="right"/>
              <w:rPr>
                <w:rFonts w:ascii="Arial" w:hAnsi="Arial" w:cs="Arial" w:eastAsia="Arial" w:hint="default"/>
                <w:sz w:val="21"/>
                <w:szCs w:val="21"/>
              </w:rPr>
            </w:pPr>
            <w:r>
              <w:rPr>
                <w:rFonts w:ascii="Arial"/>
                <w:spacing w:val="-1"/>
                <w:sz w:val="21"/>
              </w:rPr>
              <w:t>4,451,729.61</w:t>
            </w:r>
          </w:p>
        </w:tc>
        <w:tc>
          <w:tcPr>
            <w:tcW w:w="289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4,451,729.61</w:t>
            </w:r>
          </w:p>
        </w:tc>
      </w:tr>
      <w:tr>
        <w:trPr>
          <w:trHeight w:val="384" w:hRule="exact"/>
        </w:trPr>
        <w:tc>
          <w:tcPr>
            <w:tcW w:w="3001"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right="117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98"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200"/>
              <w:jc w:val="right"/>
              <w:rPr>
                <w:rFonts w:ascii="Arial" w:hAnsi="Arial" w:cs="Arial" w:eastAsia="Arial" w:hint="default"/>
                <w:sz w:val="21"/>
                <w:szCs w:val="21"/>
              </w:rPr>
            </w:pPr>
            <w:r>
              <w:rPr>
                <w:rFonts w:ascii="Arial"/>
                <w:spacing w:val="-1"/>
                <w:sz w:val="21"/>
              </w:rPr>
              <w:t>4,451,729.61</w:t>
            </w:r>
          </w:p>
        </w:tc>
        <w:tc>
          <w:tcPr>
            <w:tcW w:w="2897"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4,451,729.61</w:t>
            </w:r>
          </w:p>
        </w:tc>
      </w:tr>
    </w:tbl>
    <w:p>
      <w:pPr>
        <w:pStyle w:val="Heading2"/>
        <w:spacing w:line="290" w:lineRule="auto" w:before="44"/>
        <w:ind w:left="256" w:right="7134"/>
        <w:jc w:val="left"/>
        <w:rPr>
          <w:rFonts w:ascii="宋体" w:hAnsi="宋体" w:cs="宋体" w:eastAsia="宋体" w:hint="default"/>
          <w:b w:val="0"/>
          <w:bCs w:val="0"/>
        </w:rPr>
      </w:pPr>
      <w:r>
        <w:rPr>
          <w:rFonts w:ascii="宋体" w:hAnsi="宋体" w:cs="宋体" w:eastAsia="宋体" w:hint="default"/>
        </w:rPr>
        <w:t>44</w:t>
      </w:r>
      <w:r>
        <w:rPr/>
        <w:t>、</w:t>
      </w:r>
      <w:r>
        <w:rPr>
          <w:spacing w:val="-25"/>
        </w:rPr>
        <w:t> </w:t>
      </w:r>
      <w:r>
        <w:rPr/>
        <w:t>付债券</w:t>
      </w:r>
      <w:r>
        <w:rPr>
          <w:rFonts w:ascii="宋体" w:hAnsi="宋体" w:cs="宋体" w:eastAsia="宋体" w:hint="default"/>
          <w:w w:val="99"/>
        </w:rPr>
        <w:t> </w:t>
      </w:r>
      <w:r>
        <w:rPr>
          <w:rFonts w:ascii="宋体" w:hAnsi="宋体" w:cs="宋体" w:eastAsia="宋体" w:hint="default"/>
        </w:rPr>
        <w:t>(1).</w:t>
      </w:r>
      <w:r>
        <w:rPr/>
        <w:t>应付债券</w:t>
      </w:r>
      <w:r>
        <w:rPr>
          <w:rFonts w:ascii="宋体" w:hAnsi="宋体" w:cs="宋体" w:eastAsia="宋体" w:hint="default"/>
          <w:w w:val="99"/>
        </w:rPr>
        <w:t> </w:t>
      </w:r>
      <w:r>
        <w:rPr>
          <w:rFonts w:ascii="宋体" w:hAnsi="宋体" w:cs="宋体" w:eastAsia="宋体" w:hint="default"/>
          <w:b w:val="0"/>
          <w:bCs w:val="0"/>
        </w:rPr>
      </w:r>
    </w:p>
    <w:p>
      <w:pPr>
        <w:pStyle w:val="Heading2"/>
        <w:spacing w:line="290" w:lineRule="auto" w:before="14"/>
        <w:ind w:left="256" w:right="0"/>
        <w:jc w:val="left"/>
        <w:rPr>
          <w:rFonts w:ascii="宋体" w:hAnsi="宋体" w:cs="宋体" w:eastAsia="宋体" w:hint="default"/>
          <w:b w:val="0"/>
          <w:bCs w:val="0"/>
        </w:rPr>
      </w:pPr>
      <w:r>
        <w:rPr>
          <w:rFonts w:ascii="宋体" w:hAnsi="宋体" w:cs="宋体" w:eastAsia="宋体" w:hint="default"/>
          <w:b w:val="0"/>
          <w:bCs w:val="0"/>
        </w:rPr>
        <w:t>□适用</w:t>
      </w:r>
      <w:r>
        <w:rPr>
          <w:rFonts w:ascii="宋体" w:hAnsi="宋体" w:cs="宋体" w:eastAsia="宋体" w:hint="default"/>
          <w:b w:val="0"/>
          <w:bCs w:val="0"/>
          <w:spacing w:val="-1"/>
        </w:rPr>
        <w:t> </w:t>
      </w:r>
      <w:r>
        <w:rPr>
          <w:rFonts w:ascii="宋体" w:hAnsi="宋体" w:cs="宋体" w:eastAsia="宋体" w:hint="default"/>
          <w:b w:val="0"/>
          <w:bCs w:val="0"/>
          <w:spacing w:val="-1"/>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rFonts w:ascii="宋体" w:hAnsi="宋体" w:cs="宋体" w:eastAsia="宋体" w:hint="default"/>
          <w:spacing w:val="-3"/>
          <w:w w:val="100"/>
        </w:rPr>
        <w:t>(2).</w:t>
      </w:r>
      <w:r>
        <w:rPr>
          <w:spacing w:val="-3"/>
          <w:w w:val="100"/>
        </w:rPr>
        <w:t>应付债券的增减变动：（不包括划分为金融负债的优先股、永续债等其他金融工具）</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256" w:right="374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bookmarkStart w:name="OLE_LINK16" w:id="15"/>
      <w:bookmarkEnd w:id="15"/>
      <w:r>
        <w:rPr>
          <w:rFonts w:ascii="宋体" w:hAnsi="宋体" w:cs="宋体" w:eastAsia="宋体" w:hint="default"/>
          <w:spacing w:val="-1"/>
          <w:w w:val="100"/>
          <w:sz w:val="21"/>
          <w:szCs w:val="21"/>
        </w:rPr>
      </w:r>
      <w:bookmarkStart w:name="OLE_LINK18" w:id="16"/>
      <w:bookmarkEnd w:id="16"/>
      <w:r>
        <w:rPr>
          <w:rFonts w:ascii="宋体" w:hAnsi="宋体" w:cs="宋体" w:eastAsia="宋体" w:hint="default"/>
          <w:spacing w:val="-1"/>
          <w:w w:val="100"/>
          <w:sz w:val="21"/>
          <w:szCs w:val="21"/>
        </w:rPr>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56" w:right="374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w w:val="99"/>
          <w:sz w:val="21"/>
          <w:szCs w:val="21"/>
        </w:rPr>
        <w:t> </w:t>
      </w:r>
      <w:r>
        <w:rPr>
          <w:rFonts w:ascii="宋体" w:hAnsi="宋体" w:cs="宋体" w:eastAsia="宋体" w:hint="default"/>
          <w:sz w:val="21"/>
          <w:szCs w:val="21"/>
        </w:rPr>
        <w:t>期末发行在外的优先股、永续债等其他金融工具基本情况</w:t>
      </w:r>
      <w:r>
        <w:rPr>
          <w:rFonts w:ascii="宋体" w:hAnsi="宋体" w:cs="宋体" w:eastAsia="宋体" w:hint="default"/>
          <w:sz w:val="21"/>
          <w:szCs w:val="21"/>
        </w:rPr>
        <w:t> </w:t>
      </w:r>
    </w:p>
    <w:p>
      <w:pPr>
        <w:pStyle w:val="BodyText"/>
        <w:spacing w:line="228" w:lineRule="exact"/>
        <w:ind w:left="256" w:right="59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56" w:right="0"/>
        <w:jc w:val="left"/>
        <w:rPr>
          <w:rFonts w:ascii="宋体" w:hAnsi="宋体" w:cs="宋体" w:eastAsia="宋体" w:hint="default"/>
        </w:rPr>
      </w:pPr>
      <w:r>
        <w:rPr/>
        <w:t>期末发行在外的优先股、永续债等金融工具变动情况表</w:t>
      </w:r>
      <w:r>
        <w:rPr>
          <w:rFonts w:ascii="宋体" w:hAnsi="宋体" w:cs="宋体" w:eastAsia="宋体" w:hint="default"/>
        </w:rPr>
        <w:t> </w:t>
      </w:r>
    </w:p>
    <w:p>
      <w:pPr>
        <w:pStyle w:val="BodyText"/>
        <w:spacing w:line="290" w:lineRule="auto"/>
        <w:ind w:left="256" w:right="374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其他金融工具划分为金融负债的依据说明：</w:t>
      </w:r>
      <w:r>
        <w:rPr>
          <w:rFonts w:ascii="宋体" w:hAnsi="宋体" w:cs="宋体" w:eastAsia="宋体" w:hint="default"/>
        </w:rPr>
        <w:t> </w:t>
      </w:r>
    </w:p>
    <w:p>
      <w:pPr>
        <w:spacing w:line="290" w:lineRule="auto" w:before="14"/>
        <w:ind w:left="256" w:right="713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45</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租赁负债</w:t>
      </w:r>
      <w:r>
        <w:rPr>
          <w:rFonts w:ascii="宋体" w:hAnsi="宋体" w:cs="宋体" w:eastAsia="宋体" w:hint="default"/>
          <w:sz w:val="21"/>
          <w:szCs w:val="21"/>
        </w:rPr>
      </w:r>
    </w:p>
    <w:p>
      <w:pPr>
        <w:spacing w:line="290" w:lineRule="auto" w:before="14"/>
        <w:ind w:left="256" w:right="713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46</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长期应付款</w:t>
      </w:r>
      <w:r>
        <w:rPr>
          <w:rFonts w:ascii="宋体" w:hAnsi="宋体" w:cs="宋体" w:eastAsia="宋体" w:hint="default"/>
          <w:b/>
          <w:bCs/>
          <w:w w:val="99"/>
          <w:sz w:val="21"/>
          <w:szCs w:val="21"/>
        </w:rPr>
        <w:t> </w:t>
      </w:r>
      <w:r>
        <w:rPr>
          <w:rFonts w:ascii="宋体" w:hAnsi="宋体" w:cs="宋体" w:eastAsia="宋体" w:hint="default"/>
          <w:b/>
          <w:bCs/>
          <w:sz w:val="21"/>
          <w:szCs w:val="21"/>
        </w:rPr>
        <w:t>项目列示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56" w:right="59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6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88"/>
        <w:gridCol w:w="2760"/>
        <w:gridCol w:w="2801"/>
      </w:tblGrid>
      <w:tr>
        <w:trPr>
          <w:trHeight w:val="384" w:hRule="exact"/>
        </w:trPr>
        <w:tc>
          <w:tcPr>
            <w:tcW w:w="3488"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right="1421"/>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760"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left="95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01"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97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55"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76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137,271.31</w:t>
            </w:r>
          </w:p>
        </w:tc>
        <w:tc>
          <w:tcPr>
            <w:tcW w:w="28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137,271.31</w:t>
            </w:r>
          </w:p>
        </w:tc>
      </w:tr>
      <w:tr>
        <w:trPr>
          <w:trHeight w:val="358"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专项应付款</w:t>
            </w:r>
            <w:r>
              <w:rPr>
                <w:rFonts w:ascii="宋体" w:hAnsi="宋体" w:cs="宋体" w:eastAsia="宋体" w:hint="default"/>
                <w:sz w:val="21"/>
                <w:szCs w:val="21"/>
              </w:rPr>
              <w:t> </w:t>
            </w:r>
          </w:p>
        </w:tc>
        <w:tc>
          <w:tcPr>
            <w:tcW w:w="2760" w:type="dxa"/>
            <w:tcBorders>
              <w:top w:val="single" w:sz="4" w:space="0" w:color="41B7EE"/>
              <w:left w:val="single" w:sz="4" w:space="0" w:color="41B7EE"/>
              <w:bottom w:val="single" w:sz="4" w:space="0" w:color="41B7EE"/>
              <w:right w:val="single" w:sz="4" w:space="0" w:color="41B7EE"/>
            </w:tcBorders>
          </w:tcPr>
          <w:p>
            <w:pPr/>
          </w:p>
        </w:tc>
        <w:tc>
          <w:tcPr>
            <w:tcW w:w="2801" w:type="dxa"/>
            <w:tcBorders>
              <w:top w:val="single" w:sz="4" w:space="0" w:color="41B7EE"/>
              <w:left w:val="single" w:sz="4" w:space="0" w:color="41B7EE"/>
              <w:bottom w:val="single" w:sz="4" w:space="0" w:color="41B7EE"/>
              <w:right w:val="nil" w:sz="6" w:space="0" w:color="auto"/>
            </w:tcBorders>
          </w:tcPr>
          <w:p>
            <w:pPr/>
          </w:p>
        </w:tc>
      </w:tr>
      <w:tr>
        <w:trPr>
          <w:trHeight w:val="384" w:hRule="exact"/>
        </w:trPr>
        <w:tc>
          <w:tcPr>
            <w:tcW w:w="3488"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right="142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760"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137,271.31</w:t>
            </w:r>
          </w:p>
        </w:tc>
        <w:tc>
          <w:tcPr>
            <w:tcW w:w="2801"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137,271.31</w:t>
            </w:r>
          </w:p>
        </w:tc>
      </w:tr>
    </w:tbl>
    <w:p>
      <w:pPr>
        <w:spacing w:after="0" w:line="240" w:lineRule="auto"/>
        <w:jc w:val="right"/>
        <w:rPr>
          <w:rFonts w:ascii="Arial" w:hAnsi="Arial" w:cs="Arial" w:eastAsia="Arial" w:hint="default"/>
          <w:sz w:val="21"/>
          <w:szCs w:val="21"/>
        </w:rPr>
        <w:sectPr>
          <w:pgSz w:w="11910" w:h="16840"/>
          <w:pgMar w:header="826" w:footer="1195" w:top="1300" w:bottom="1380" w:left="1020" w:right="1520"/>
        </w:sectPr>
      </w:pPr>
    </w:p>
    <w:p>
      <w:pPr>
        <w:pStyle w:val="Heading2"/>
        <w:spacing w:line="290" w:lineRule="auto" w:before="26"/>
        <w:ind w:left="256" w:right="0"/>
        <w:jc w:val="left"/>
        <w:rPr>
          <w:rFonts w:ascii="宋体" w:hAnsi="宋体" w:cs="宋体" w:eastAsia="宋体" w:hint="default"/>
          <w:b w:val="0"/>
          <w:bCs w:val="0"/>
        </w:rPr>
      </w:pPr>
      <w:r>
        <w:rPr/>
        <w:t>期应付款</w:t>
      </w:r>
      <w:r>
        <w:rPr>
          <w:rFonts w:ascii="宋体" w:hAnsi="宋体" w:cs="宋体" w:eastAsia="宋体" w:hint="default"/>
          <w:w w:val="99"/>
        </w:rPr>
        <w:t> </w:t>
      </w:r>
      <w:r>
        <w:rPr>
          <w:rFonts w:ascii="宋体" w:hAnsi="宋体" w:cs="宋体" w:eastAsia="宋体" w:hint="default"/>
        </w:rPr>
        <w:t>(1).</w:t>
      </w:r>
      <w:r>
        <w:rPr/>
        <w:t>按款项性质列示长期应付款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6"/>
        <w:ind w:left="2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020" w:right="1520"/>
          <w:cols w:num="2" w:equalWidth="0">
            <w:col w:w="3321" w:space="3201"/>
            <w:col w:w="2848"/>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491"/>
        <w:gridCol w:w="2763"/>
        <w:gridCol w:w="2808"/>
      </w:tblGrid>
      <w:tr>
        <w:trPr>
          <w:trHeight w:val="382" w:hRule="exact"/>
        </w:trPr>
        <w:tc>
          <w:tcPr>
            <w:tcW w:w="3491"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5"/>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763"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5"/>
              <w:ind w:left="95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808"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5"/>
              <w:ind w:left="97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64" w:hRule="exact"/>
        </w:trPr>
        <w:tc>
          <w:tcPr>
            <w:tcW w:w="3491" w:type="dxa"/>
            <w:tcBorders>
              <w:top w:val="single" w:sz="4" w:space="0" w:color="41B7EE"/>
              <w:left w:val="nil" w:sz="6" w:space="0" w:color="auto"/>
              <w:bottom w:val="single" w:sz="8" w:space="0" w:color="41B7EE"/>
              <w:right w:val="single" w:sz="4" w:space="0" w:color="41B7EE"/>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补偿贸易引进设备价款</w:t>
            </w:r>
            <w:r>
              <w:rPr>
                <w:rFonts w:ascii="宋体" w:hAnsi="宋体" w:cs="宋体" w:eastAsia="宋体" w:hint="default"/>
                <w:sz w:val="21"/>
                <w:szCs w:val="21"/>
              </w:rPr>
              <w:t> </w:t>
            </w:r>
          </w:p>
          <w:p>
            <w:pPr>
              <w:pStyle w:val="TableParagraph"/>
              <w:spacing w:line="273" w:lineRule="exact"/>
              <w:ind w:left="112" w:right="0"/>
              <w:jc w:val="left"/>
              <w:rPr>
                <w:rFonts w:ascii="宋体" w:hAnsi="宋体" w:cs="宋体" w:eastAsia="宋体" w:hint="default"/>
                <w:sz w:val="21"/>
                <w:szCs w:val="21"/>
              </w:rPr>
            </w:pPr>
            <w:r>
              <w:rPr>
                <w:rFonts w:ascii="宋体" w:hAnsi="宋体" w:cs="宋体" w:eastAsia="宋体" w:hint="default"/>
                <w:sz w:val="21"/>
                <w:szCs w:val="21"/>
              </w:rPr>
              <w:t>（日本丸红补偿贸易借款）</w:t>
            </w:r>
            <w:r>
              <w:rPr>
                <w:rFonts w:ascii="宋体" w:hAnsi="宋体" w:cs="宋体" w:eastAsia="宋体" w:hint="default"/>
                <w:sz w:val="21"/>
                <w:szCs w:val="21"/>
              </w:rPr>
              <w:t> </w:t>
            </w:r>
          </w:p>
        </w:tc>
        <w:tc>
          <w:tcPr>
            <w:tcW w:w="2763"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148"/>
              <w:ind w:left="1593" w:right="0"/>
              <w:jc w:val="left"/>
              <w:rPr>
                <w:rFonts w:ascii="Arial" w:hAnsi="Arial" w:cs="Arial" w:eastAsia="Arial" w:hint="default"/>
                <w:sz w:val="21"/>
                <w:szCs w:val="21"/>
              </w:rPr>
            </w:pPr>
            <w:r>
              <w:rPr>
                <w:rFonts w:ascii="Arial"/>
                <w:sz w:val="21"/>
              </w:rPr>
              <w:t>137,271.31</w:t>
            </w:r>
          </w:p>
        </w:tc>
        <w:tc>
          <w:tcPr>
            <w:tcW w:w="2808"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148"/>
              <w:ind w:left="1637" w:right="0"/>
              <w:jc w:val="left"/>
              <w:rPr>
                <w:rFonts w:ascii="Arial" w:hAnsi="Arial" w:cs="Arial" w:eastAsia="Arial" w:hint="default"/>
                <w:sz w:val="21"/>
                <w:szCs w:val="21"/>
              </w:rPr>
            </w:pPr>
            <w:r>
              <w:rPr>
                <w:rFonts w:ascii="Arial"/>
                <w:sz w:val="21"/>
              </w:rPr>
              <w:t>137,271.31</w:t>
            </w:r>
          </w:p>
        </w:tc>
      </w:tr>
    </w:tbl>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454.05pt;height:1pt;mso-position-horizontal-relative:char;mso-position-vertical-relative:line" coordorigin="0,0" coordsize="9081,20">
            <v:group style="position:absolute;left:10;top:10;width:3486;height:2" coordorigin="10,10" coordsize="3486,2">
              <v:shape style="position:absolute;left:10;top:10;width:3486;height:2" coordorigin="10,10" coordsize="3486,0" path="m10,10l3495,10e" filled="false" stroked="true" strokeweight=".96002pt" strokecolor="#41b7ee">
                <v:path arrowok="t"/>
              </v:shape>
            </v:group>
            <v:group style="position:absolute;left:3495;top:10;width:58;height:2" coordorigin="3495,10" coordsize="58,2">
              <v:shape style="position:absolute;left:3495;top:10;width:58;height:2" coordorigin="3495,10" coordsize="58,0" path="m3495,10l3553,10e" filled="false" stroked="true" strokeweight=".96002pt" strokecolor="#41b7ee">
                <v:path arrowok="t"/>
              </v:shape>
            </v:group>
            <v:group style="position:absolute;left:3553;top:10;width:2706;height:2" coordorigin="3553,10" coordsize="2706,2">
              <v:shape style="position:absolute;left:3553;top:10;width:2706;height:2" coordorigin="3553,10" coordsize="2706,0" path="m3553,10l6258,10e" filled="false" stroked="true" strokeweight=".96002pt" strokecolor="#41b7ee">
                <v:path arrowok="t"/>
              </v:shape>
            </v:group>
            <v:group style="position:absolute;left:6258;top:10;width:58;height:2" coordorigin="6258,10" coordsize="58,2">
              <v:shape style="position:absolute;left:6258;top:10;width:58;height:2" coordorigin="6258,10" coordsize="58,0" path="m6258,10l6316,10e" filled="false" stroked="true" strokeweight=".96002pt" strokecolor="#41b7ee">
                <v:path arrowok="t"/>
              </v:shape>
            </v:group>
            <v:group style="position:absolute;left:6316;top:10;width:2756;height:2" coordorigin="6316,10" coordsize="2756,2">
              <v:shape style="position:absolute;left:6316;top:10;width:2756;height:2" coordorigin="6316,10" coordsize="2756,0" path="m6316,10l9071,10e" filled="false" stroked="true" strokeweight=".96002pt" strokecolor="#41b7ee">
                <v:path arrowok="t"/>
              </v:shape>
            </v:group>
          </v:group>
        </w:pict>
      </w:r>
      <w:r>
        <w:rPr>
          <w:rFonts w:ascii="宋体" w:hAnsi="宋体" w:cs="宋体" w:eastAsia="宋体" w:hint="default"/>
          <w:sz w:val="2"/>
          <w:szCs w:val="2"/>
        </w:rPr>
      </w:r>
    </w:p>
    <w:p>
      <w:pPr>
        <w:pStyle w:val="Heading2"/>
        <w:spacing w:line="290" w:lineRule="auto" w:before="44"/>
        <w:ind w:left="256" w:right="5964"/>
        <w:jc w:val="left"/>
        <w:rPr>
          <w:rFonts w:ascii="宋体" w:hAnsi="宋体" w:cs="宋体" w:eastAsia="宋体" w:hint="default"/>
          <w:b w:val="0"/>
          <w:bCs w:val="0"/>
        </w:rPr>
      </w:pPr>
      <w:r>
        <w:rPr/>
        <w:t>专项应付款</w:t>
      </w:r>
      <w:r>
        <w:rPr>
          <w:rFonts w:ascii="宋体" w:hAnsi="宋体" w:cs="宋体" w:eastAsia="宋体" w:hint="default"/>
          <w:w w:val="99"/>
        </w:rPr>
        <w:t> </w:t>
      </w:r>
      <w:r>
        <w:rPr>
          <w:rFonts w:ascii="宋体" w:hAnsi="宋体" w:cs="宋体" w:eastAsia="宋体" w:hint="default"/>
        </w:rPr>
        <w:t>(1).</w:t>
      </w:r>
      <w:r>
        <w:rPr/>
        <w:t>按款项性质列示专项应付款</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256" w:right="6909"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47</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长期应付职工薪酬</w:t>
      </w:r>
      <w:r>
        <w:rPr>
          <w:rFonts w:ascii="宋体" w:hAnsi="宋体" w:cs="宋体" w:eastAsia="宋体" w:hint="default"/>
          <w:sz w:val="21"/>
          <w:szCs w:val="21"/>
        </w:rPr>
      </w:r>
    </w:p>
    <w:p>
      <w:pPr>
        <w:pStyle w:val="BodyText"/>
        <w:spacing w:line="240" w:lineRule="auto" w:before="12"/>
        <w:ind w:left="256" w:right="596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020" w:right="1520"/>
        </w:sectPr>
      </w:pPr>
    </w:p>
    <w:p>
      <w:pPr>
        <w:pStyle w:val="Heading2"/>
        <w:spacing w:line="240" w:lineRule="auto" w:before="100"/>
        <w:ind w:left="256" w:right="0"/>
        <w:jc w:val="left"/>
        <w:rPr>
          <w:rFonts w:ascii="宋体" w:hAnsi="宋体" w:cs="宋体" w:eastAsia="宋体" w:hint="default"/>
          <w:b w:val="0"/>
          <w:bCs w:val="0"/>
        </w:rPr>
      </w:pPr>
      <w:r>
        <w:rPr/>
        <w:pict>
          <v:group style="position:absolute;margin-left:62.400002pt;margin-top:2.863657pt;width:443.65pt;height:.1pt;mso-position-horizontal-relative:page;mso-position-vertical-relative:paragraph;z-index:6760" coordorigin="1248,57" coordsize="8873,2">
            <v:shape style="position:absolute;left:1248;top:57;width:8873;height:2" coordorigin="1248,57" coordsize="8873,0" path="m1248,57l10120,57e" filled="false" stroked="true" strokeweight=".72pt" strokecolor="#000000">
              <v:path arrowok="t"/>
            </v:shape>
            <w10:wrap type="none"/>
          </v:group>
        </w:pict>
      </w:r>
      <w:r>
        <w:rPr>
          <w:rFonts w:ascii="宋体" w:hAnsi="宋体" w:cs="宋体" w:eastAsia="宋体" w:hint="default"/>
        </w:rPr>
        <w:t>(1).</w:t>
      </w:r>
      <w:r>
        <w:rPr/>
        <w:t>长期应付职工薪酬表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2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26" w:footer="1195" w:top="1300" w:bottom="1380" w:left="1020" w:right="1520"/>
          <w:cols w:num="2" w:equalWidth="0">
            <w:col w:w="2689" w:space="3833"/>
            <w:col w:w="2848"/>
          </w:cols>
        </w:sectPr>
      </w:pPr>
    </w:p>
    <w:p>
      <w:pPr>
        <w:spacing w:line="240" w:lineRule="auto" w:before="4"/>
        <w:rPr>
          <w:rFonts w:ascii="宋体" w:hAnsi="宋体" w:cs="宋体" w:eastAsia="宋体" w:hint="default"/>
          <w:sz w:val="2"/>
          <w:szCs w:val="2"/>
        </w:rPr>
      </w:pPr>
    </w:p>
    <w:p>
      <w:pPr>
        <w:spacing w:line="20" w:lineRule="exact"/>
        <w:ind w:left="139"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918;height:2" coordorigin="10,10" coordsize="3918,2">
              <v:shape style="position:absolute;left:10;top:10;width:3918;height:2" coordorigin="10,10" coordsize="3918,0" path="m10,10l3927,10e" filled="false" stroked="true" strokeweight=".96001pt" strokecolor="#41b7ee">
                <v:path arrowok="t"/>
              </v:shape>
            </v:group>
            <v:group style="position:absolute;left:3927;top:10;width:58;height:2" coordorigin="3927,10" coordsize="58,2">
              <v:shape style="position:absolute;left:3927;top:10;width:58;height:2" coordorigin="3927,10" coordsize="58,0" path="m3927,10l3985,10e" filled="false" stroked="true" strokeweight=".96001pt" strokecolor="#41b7ee">
                <v:path arrowok="t"/>
              </v:shape>
            </v:group>
            <v:group style="position:absolute;left:3985;top:10;width:2557;height:2" coordorigin="3985,10" coordsize="2557,2">
              <v:shape style="position:absolute;left:3985;top:10;width:2557;height:2" coordorigin="3985,10" coordsize="2557,0" path="m3985,10l6541,10e" filled="false" stroked="true" strokeweight=".96001pt" strokecolor="#41b7ee">
                <v:path arrowok="t"/>
              </v:shape>
            </v:group>
            <v:group style="position:absolute;left:6541;top:10;width:58;height:2" coordorigin="6541,10" coordsize="58,2">
              <v:shape style="position:absolute;left:6541;top:10;width:58;height:2" coordorigin="6541,10" coordsize="58,0" path="m6541,10l6599,10e" filled="false" stroked="true" strokeweight=".96001pt" strokecolor="#41b7ee">
                <v:path arrowok="t"/>
              </v:shape>
            </v:group>
            <v:group style="position:absolute;left:6599;top:10;width:2461;height:2" coordorigin="6599,10" coordsize="2461,2">
              <v:shape style="position:absolute;left:6599;top:10;width:2461;height:2" coordorigin="6599,10" coordsize="2461,0" path="m6599,10l9059,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20" w:type="dxa"/>
        <w:tblLayout w:type="fixed"/>
        <w:tblCellMar>
          <w:top w:w="0" w:type="dxa"/>
          <w:left w:w="0" w:type="dxa"/>
          <w:bottom w:w="0" w:type="dxa"/>
          <w:right w:w="0" w:type="dxa"/>
        </w:tblCellMar>
        <w:tblLook w:val="01E0"/>
      </w:tblPr>
      <w:tblGrid>
        <w:gridCol w:w="3923"/>
        <w:gridCol w:w="2614"/>
        <w:gridCol w:w="2513"/>
      </w:tblGrid>
      <w:tr>
        <w:trPr>
          <w:trHeight w:val="365" w:hRule="exact"/>
        </w:trPr>
        <w:tc>
          <w:tcPr>
            <w:tcW w:w="3923"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6"/>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14"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6"/>
              <w:ind w:left="88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513"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6"/>
              <w:ind w:left="83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58" w:hRule="exact"/>
        </w:trPr>
        <w:tc>
          <w:tcPr>
            <w:tcW w:w="392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一、离职后福利</w:t>
            </w:r>
            <w:r>
              <w:rPr>
                <w:rFonts w:ascii="宋体" w:hAnsi="宋体" w:cs="宋体" w:eastAsia="宋体" w:hint="default"/>
                <w:sz w:val="21"/>
                <w:szCs w:val="21"/>
              </w:rPr>
              <w:t>-</w:t>
            </w:r>
            <w:r>
              <w:rPr>
                <w:rFonts w:ascii="宋体" w:hAnsi="宋体" w:cs="宋体" w:eastAsia="宋体" w:hint="default"/>
                <w:sz w:val="21"/>
                <w:szCs w:val="21"/>
              </w:rPr>
              <w:t>设定受益计划净负债</w:t>
            </w:r>
            <w:r>
              <w:rPr>
                <w:rFonts w:ascii="宋体" w:hAnsi="宋体" w:cs="宋体" w:eastAsia="宋体" w:hint="default"/>
                <w:sz w:val="21"/>
                <w:szCs w:val="21"/>
              </w:rPr>
              <w:t> </w:t>
            </w:r>
          </w:p>
        </w:tc>
        <w:tc>
          <w:tcPr>
            <w:tcW w:w="261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right="-3"/>
              <w:jc w:val="right"/>
              <w:rPr>
                <w:rFonts w:ascii="宋体" w:hAnsi="宋体" w:cs="宋体" w:eastAsia="宋体" w:hint="default"/>
                <w:sz w:val="21"/>
                <w:szCs w:val="21"/>
              </w:rPr>
            </w:pPr>
            <w:r>
              <w:rPr>
                <w:rFonts w:ascii="宋体"/>
                <w:w w:val="100"/>
                <w:sz w:val="21"/>
              </w:rPr>
              <w:t> </w:t>
            </w:r>
          </w:p>
        </w:tc>
        <w:tc>
          <w:tcPr>
            <w:tcW w:w="251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right="0"/>
              <w:jc w:val="right"/>
              <w:rPr>
                <w:rFonts w:ascii="宋体" w:hAnsi="宋体" w:cs="宋体" w:eastAsia="宋体" w:hint="default"/>
                <w:sz w:val="21"/>
                <w:szCs w:val="21"/>
              </w:rPr>
            </w:pPr>
            <w:r>
              <w:rPr>
                <w:rFonts w:ascii="宋体"/>
                <w:w w:val="100"/>
                <w:sz w:val="21"/>
              </w:rPr>
              <w:t> </w:t>
            </w:r>
          </w:p>
        </w:tc>
      </w:tr>
      <w:tr>
        <w:trPr>
          <w:trHeight w:val="358" w:hRule="exact"/>
        </w:trPr>
        <w:tc>
          <w:tcPr>
            <w:tcW w:w="392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二、辞退福利</w:t>
            </w:r>
            <w:r>
              <w:rPr>
                <w:rFonts w:ascii="宋体" w:hAnsi="宋体" w:cs="宋体" w:eastAsia="宋体" w:hint="default"/>
                <w:sz w:val="21"/>
                <w:szCs w:val="21"/>
              </w:rPr>
              <w:t> </w:t>
            </w:r>
          </w:p>
        </w:tc>
        <w:tc>
          <w:tcPr>
            <w:tcW w:w="261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109,623,736.12</w:t>
            </w:r>
          </w:p>
        </w:tc>
        <w:tc>
          <w:tcPr>
            <w:tcW w:w="251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left="940" w:right="0"/>
              <w:jc w:val="left"/>
              <w:rPr>
                <w:rFonts w:ascii="Arial" w:hAnsi="Arial" w:cs="Arial" w:eastAsia="Arial" w:hint="default"/>
                <w:sz w:val="21"/>
                <w:szCs w:val="21"/>
              </w:rPr>
            </w:pPr>
            <w:r>
              <w:rPr>
                <w:rFonts w:ascii="Arial"/>
                <w:sz w:val="21"/>
              </w:rPr>
              <w:t>114,649,885.84</w:t>
            </w:r>
          </w:p>
        </w:tc>
      </w:tr>
      <w:tr>
        <w:trPr>
          <w:trHeight w:val="355" w:hRule="exact"/>
        </w:trPr>
        <w:tc>
          <w:tcPr>
            <w:tcW w:w="392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三、其他长期福利</w:t>
            </w:r>
            <w:r>
              <w:rPr>
                <w:rFonts w:ascii="宋体" w:hAnsi="宋体" w:cs="宋体" w:eastAsia="宋体" w:hint="default"/>
                <w:sz w:val="21"/>
                <w:szCs w:val="21"/>
              </w:rPr>
              <w:t> </w:t>
            </w:r>
          </w:p>
        </w:tc>
        <w:tc>
          <w:tcPr>
            <w:tcW w:w="2614" w:type="dxa"/>
            <w:tcBorders>
              <w:top w:val="single" w:sz="4" w:space="0" w:color="41B7EE"/>
              <w:left w:val="single" w:sz="4" w:space="0" w:color="41B7EE"/>
              <w:bottom w:val="single" w:sz="4" w:space="0" w:color="41B7EE"/>
              <w:right w:val="single" w:sz="4" w:space="0" w:color="41B7EE"/>
            </w:tcBorders>
          </w:tcPr>
          <w:p>
            <w:pPr/>
          </w:p>
        </w:tc>
        <w:tc>
          <w:tcPr>
            <w:tcW w:w="2513" w:type="dxa"/>
            <w:tcBorders>
              <w:top w:val="single" w:sz="4" w:space="0" w:color="41B7EE"/>
              <w:left w:val="single" w:sz="4" w:space="0" w:color="41B7EE"/>
              <w:bottom w:val="single" w:sz="4" w:space="0" w:color="41B7EE"/>
              <w:right w:val="nil" w:sz="6" w:space="0" w:color="auto"/>
            </w:tcBorders>
          </w:tcPr>
          <w:p>
            <w:pPr/>
          </w:p>
        </w:tc>
      </w:tr>
      <w:tr>
        <w:trPr>
          <w:trHeight w:val="384" w:hRule="exact"/>
        </w:trPr>
        <w:tc>
          <w:tcPr>
            <w:tcW w:w="3923"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14"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109,623,736.12</w:t>
            </w:r>
          </w:p>
        </w:tc>
        <w:tc>
          <w:tcPr>
            <w:tcW w:w="2513"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left="940" w:right="0"/>
              <w:jc w:val="left"/>
              <w:rPr>
                <w:rFonts w:ascii="Arial" w:hAnsi="Arial" w:cs="Arial" w:eastAsia="Arial" w:hint="default"/>
                <w:sz w:val="21"/>
                <w:szCs w:val="21"/>
              </w:rPr>
            </w:pPr>
            <w:r>
              <w:rPr>
                <w:rFonts w:ascii="Arial"/>
                <w:sz w:val="21"/>
              </w:rPr>
              <w:t>114,649,885.84</w:t>
            </w:r>
          </w:p>
        </w:tc>
      </w:tr>
    </w:tbl>
    <w:p>
      <w:pPr>
        <w:spacing w:line="290" w:lineRule="auto" w:before="44"/>
        <w:ind w:left="256" w:right="596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设定受益计划变动情况</w:t>
      </w:r>
      <w:r>
        <w:rPr>
          <w:rFonts w:ascii="宋体" w:hAnsi="宋体" w:cs="宋体" w:eastAsia="宋体" w:hint="default"/>
          <w:b/>
          <w:bCs/>
          <w:w w:val="99"/>
          <w:sz w:val="21"/>
          <w:szCs w:val="21"/>
        </w:rPr>
        <w:t> </w:t>
      </w:r>
      <w:r>
        <w:rPr>
          <w:rFonts w:ascii="宋体" w:hAnsi="宋体" w:cs="宋体" w:eastAsia="宋体" w:hint="default"/>
          <w:sz w:val="21"/>
          <w:szCs w:val="21"/>
        </w:rPr>
        <w:t>设定受益计划义务现值：</w:t>
      </w:r>
      <w:r>
        <w:rPr>
          <w:rFonts w:ascii="宋体" w:hAnsi="宋体" w:cs="宋体" w:eastAsia="宋体" w:hint="default"/>
          <w:sz w:val="21"/>
          <w:szCs w:val="21"/>
        </w:rPr>
        <w:t> </w:t>
      </w:r>
    </w:p>
    <w:p>
      <w:pPr>
        <w:pStyle w:val="BodyText"/>
        <w:spacing w:line="228" w:lineRule="exact"/>
        <w:ind w:left="256" w:right="59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56" w:right="5964"/>
        <w:jc w:val="left"/>
        <w:rPr>
          <w:rFonts w:ascii="宋体" w:hAnsi="宋体" w:cs="宋体" w:eastAsia="宋体" w:hint="default"/>
        </w:rPr>
      </w:pPr>
      <w:r>
        <w:rPr/>
        <w:t>计划资产：</w:t>
      </w:r>
      <w:r>
        <w:rPr>
          <w:rFonts w:ascii="宋体" w:hAnsi="宋体" w:cs="宋体" w:eastAsia="宋体" w:hint="default"/>
        </w:rPr>
        <w:t> </w:t>
      </w:r>
    </w:p>
    <w:p>
      <w:pPr>
        <w:pStyle w:val="BodyText"/>
        <w:spacing w:line="272" w:lineRule="exact" w:before="27"/>
        <w:ind w:left="256" w:right="5964"/>
        <w:jc w:val="left"/>
        <w:rPr>
          <w:rFonts w:ascii="宋体" w:hAnsi="宋体" w:cs="宋体" w:eastAsia="宋体" w:hint="default"/>
        </w:rPr>
      </w:pPr>
      <w:r>
        <w:rPr/>
        <w:t>□适用</w:t>
      </w:r>
      <w:r>
        <w:rPr>
          <w:spacing w:val="105"/>
        </w:rPr>
        <w:t> </w:t>
      </w:r>
      <w:r>
        <w:rPr>
          <w:rFonts w:ascii="宋体" w:hAnsi="宋体" w:cs="宋体" w:eastAsia="宋体" w:hint="default"/>
          <w:spacing w:val="105"/>
        </w:rPr>
      </w:r>
      <w:r>
        <w:rPr/>
        <w:t>√不适用</w:t>
      </w:r>
      <w:r>
        <w:rPr>
          <w:rFonts w:ascii="宋体" w:hAnsi="宋体" w:cs="宋体" w:eastAsia="宋体" w:hint="default"/>
          <w:spacing w:val="-3"/>
          <w:w w:val="100"/>
        </w:rPr>
        <w:t> </w:t>
      </w:r>
      <w:r>
        <w:rPr>
          <w:rFonts w:ascii="宋体" w:hAnsi="宋体" w:cs="宋体" w:eastAsia="宋体" w:hint="default"/>
          <w:w w:val="100"/>
        </w:rPr>
        <w:t> </w:t>
      </w:r>
      <w:r>
        <w:rPr/>
        <w:t>设定受益计划净负债（净资产）</w:t>
      </w:r>
      <w:r>
        <w:rPr>
          <w:rFonts w:ascii="宋体" w:hAnsi="宋体" w:cs="宋体" w:eastAsia="宋体" w:hint="default"/>
        </w:rPr>
        <w:t> </w:t>
      </w:r>
    </w:p>
    <w:p>
      <w:pPr>
        <w:pStyle w:val="BodyText"/>
        <w:spacing w:line="272" w:lineRule="exact" w:before="1"/>
        <w:ind w:left="25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设定受益计划的内容及与之相关风险、对公司未来现金流量、时间和不确定性的影响说明：</w:t>
      </w:r>
      <w:r>
        <w:rPr>
          <w:rFonts w:ascii="宋体" w:hAnsi="宋体" w:cs="宋体" w:eastAsia="宋体" w:hint="default"/>
        </w:rPr>
        <w:t> </w:t>
      </w:r>
    </w:p>
    <w:p>
      <w:pPr>
        <w:pStyle w:val="BodyText"/>
        <w:spacing w:line="272" w:lineRule="exact" w:before="1"/>
        <w:ind w:left="256" w:right="374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设定受益计划重大精算假设及敏感性分析结果说明</w:t>
      </w:r>
      <w:r>
        <w:rPr>
          <w:rFonts w:ascii="宋体" w:hAnsi="宋体" w:cs="宋体" w:eastAsia="宋体" w:hint="default"/>
        </w:rPr>
        <w:t> </w:t>
      </w:r>
    </w:p>
    <w:p>
      <w:pPr>
        <w:pStyle w:val="BodyText"/>
        <w:spacing w:line="249" w:lineRule="exact"/>
        <w:ind w:left="256" w:right="59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left="256" w:right="5964"/>
        <w:jc w:val="left"/>
        <w:rPr>
          <w:rFonts w:ascii="宋体" w:hAnsi="宋体" w:cs="宋体" w:eastAsia="宋体" w:hint="default"/>
          <w:b w:val="0"/>
          <w:bCs w:val="0"/>
        </w:rPr>
      </w:pPr>
      <w:r>
        <w:rPr>
          <w:rFonts w:ascii="宋体" w:hAnsi="宋体" w:cs="宋体" w:eastAsia="宋体" w:hint="default"/>
        </w:rPr>
        <w:t>48</w:t>
      </w:r>
      <w:r>
        <w:rPr/>
        <w:t>、</w:t>
      </w:r>
      <w:r>
        <w:rPr>
          <w:spacing w:val="-27"/>
        </w:rPr>
        <w:t> </w:t>
      </w:r>
      <w:r>
        <w:rPr/>
        <w:t>预计负债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56" w:right="59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6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264"/>
        <w:gridCol w:w="1517"/>
        <w:gridCol w:w="1454"/>
        <w:gridCol w:w="3827"/>
      </w:tblGrid>
      <w:tr>
        <w:trPr>
          <w:trHeight w:val="382" w:hRule="exact"/>
        </w:trPr>
        <w:tc>
          <w:tcPr>
            <w:tcW w:w="2264"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4"/>
              <w:ind w:right="86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517"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4"/>
              <w:ind w:left="33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54"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4"/>
              <w:ind w:left="29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27"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4"/>
              <w:ind w:left="100" w:right="0"/>
              <w:jc w:val="center"/>
              <w:rPr>
                <w:rFonts w:ascii="宋体" w:hAnsi="宋体" w:cs="宋体" w:eastAsia="宋体" w:hint="default"/>
                <w:sz w:val="21"/>
                <w:szCs w:val="21"/>
              </w:rPr>
            </w:pPr>
            <w:r>
              <w:rPr>
                <w:rFonts w:ascii="宋体" w:hAnsi="宋体" w:cs="宋体" w:eastAsia="宋体" w:hint="default"/>
                <w:sz w:val="21"/>
                <w:szCs w:val="21"/>
              </w:rPr>
              <w:t>形成原因</w:t>
            </w:r>
            <w:r>
              <w:rPr>
                <w:rFonts w:ascii="宋体" w:hAnsi="宋体" w:cs="宋体" w:eastAsia="宋体" w:hint="default"/>
                <w:sz w:val="21"/>
                <w:szCs w:val="21"/>
              </w:rPr>
              <w:t> </w:t>
            </w:r>
          </w:p>
        </w:tc>
      </w:tr>
      <w:tr>
        <w:trPr>
          <w:trHeight w:val="828" w:hRule="exact"/>
        </w:trPr>
        <w:tc>
          <w:tcPr>
            <w:tcW w:w="226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1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45" w:right="0"/>
              <w:jc w:val="left"/>
              <w:rPr>
                <w:rFonts w:ascii="Arial" w:hAnsi="Arial" w:cs="Arial" w:eastAsia="Arial" w:hint="default"/>
                <w:sz w:val="21"/>
                <w:szCs w:val="21"/>
              </w:rPr>
            </w:pPr>
            <w:r>
              <w:rPr>
                <w:rFonts w:ascii="Arial"/>
                <w:sz w:val="21"/>
              </w:rPr>
              <w:t>447,770.64</w:t>
            </w:r>
          </w:p>
        </w:tc>
        <w:tc>
          <w:tcPr>
            <w:tcW w:w="145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83" w:right="0"/>
              <w:jc w:val="left"/>
              <w:rPr>
                <w:rFonts w:ascii="Arial" w:hAnsi="Arial" w:cs="Arial" w:eastAsia="Arial" w:hint="default"/>
                <w:sz w:val="21"/>
                <w:szCs w:val="21"/>
              </w:rPr>
            </w:pPr>
            <w:r>
              <w:rPr>
                <w:rFonts w:ascii="Arial"/>
                <w:sz w:val="21"/>
              </w:rPr>
              <w:t>447,770.64</w:t>
            </w:r>
          </w:p>
        </w:tc>
        <w:tc>
          <w:tcPr>
            <w:tcW w:w="3827" w:type="dxa"/>
            <w:tcBorders>
              <w:top w:val="single" w:sz="4" w:space="0" w:color="41B7EE"/>
              <w:left w:val="single" w:sz="4" w:space="0" w:color="41B7EE"/>
              <w:bottom w:val="single" w:sz="4" w:space="0" w:color="41B7EE"/>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鑫都公司未在规定期限内为买受人办</w:t>
            </w:r>
          </w:p>
          <w:p>
            <w:pPr>
              <w:pStyle w:val="TableParagraph"/>
              <w:spacing w:line="272" w:lineRule="exact" w:before="27"/>
              <w:ind w:left="108" w:right="183"/>
              <w:jc w:val="left"/>
              <w:rPr>
                <w:rFonts w:ascii="宋体" w:hAnsi="宋体" w:cs="宋体" w:eastAsia="宋体" w:hint="default"/>
                <w:sz w:val="21"/>
                <w:szCs w:val="21"/>
              </w:rPr>
            </w:pPr>
            <w:r>
              <w:rPr>
                <w:rFonts w:ascii="宋体" w:hAnsi="宋体" w:cs="宋体" w:eastAsia="宋体" w:hint="default"/>
                <w:spacing w:val="-4"/>
                <w:sz w:val="21"/>
                <w:szCs w:val="21"/>
              </w:rPr>
              <w:t>理房地产权事宜，根据购房合同，按房</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价千分之一支付违约金</w:t>
            </w:r>
            <w:r>
              <w:rPr>
                <w:rFonts w:ascii="宋体" w:hAnsi="宋体" w:cs="宋体" w:eastAsia="宋体" w:hint="default"/>
                <w:sz w:val="21"/>
                <w:szCs w:val="21"/>
              </w:rPr>
              <w:t> </w:t>
            </w:r>
          </w:p>
        </w:tc>
      </w:tr>
      <w:tr>
        <w:trPr>
          <w:trHeight w:val="384" w:hRule="exact"/>
        </w:trPr>
        <w:tc>
          <w:tcPr>
            <w:tcW w:w="2264"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right="86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517"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left="345" w:right="0"/>
              <w:jc w:val="left"/>
              <w:rPr>
                <w:rFonts w:ascii="Arial" w:hAnsi="Arial" w:cs="Arial" w:eastAsia="Arial" w:hint="default"/>
                <w:sz w:val="21"/>
                <w:szCs w:val="21"/>
              </w:rPr>
            </w:pPr>
            <w:r>
              <w:rPr>
                <w:rFonts w:ascii="Arial"/>
                <w:sz w:val="21"/>
              </w:rPr>
              <w:t>447,770.64</w:t>
            </w:r>
          </w:p>
        </w:tc>
        <w:tc>
          <w:tcPr>
            <w:tcW w:w="1454"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left="283" w:right="0"/>
              <w:jc w:val="left"/>
              <w:rPr>
                <w:rFonts w:ascii="Arial" w:hAnsi="Arial" w:cs="Arial" w:eastAsia="Arial" w:hint="default"/>
                <w:sz w:val="21"/>
                <w:szCs w:val="21"/>
              </w:rPr>
            </w:pPr>
            <w:r>
              <w:rPr>
                <w:rFonts w:ascii="Arial"/>
                <w:sz w:val="21"/>
              </w:rPr>
              <w:t>447,770.64</w:t>
            </w:r>
          </w:p>
        </w:tc>
        <w:tc>
          <w:tcPr>
            <w:tcW w:w="3827"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
              <w:ind w:left="100" w:right="0"/>
              <w:jc w:val="center"/>
              <w:rPr>
                <w:rFonts w:ascii="宋体" w:hAnsi="宋体" w:cs="宋体" w:eastAsia="宋体" w:hint="default"/>
                <w:sz w:val="21"/>
                <w:szCs w:val="21"/>
              </w:rPr>
            </w:pPr>
            <w:r>
              <w:rPr>
                <w:rFonts w:ascii="宋体"/>
                <w:sz w:val="21"/>
              </w:rPr>
              <w:t>/ </w:t>
            </w:r>
          </w:p>
        </w:tc>
      </w:tr>
    </w:tbl>
    <w:p>
      <w:pPr>
        <w:spacing w:after="0" w:line="240" w:lineRule="auto"/>
        <w:jc w:val="center"/>
        <w:rPr>
          <w:rFonts w:ascii="宋体" w:hAnsi="宋体" w:cs="宋体" w:eastAsia="宋体" w:hint="default"/>
          <w:sz w:val="21"/>
          <w:szCs w:val="21"/>
        </w:rPr>
        <w:sectPr>
          <w:type w:val="continuous"/>
          <w:pgSz w:w="11910" w:h="16840"/>
          <w:pgMar w:top="1360" w:bottom="1380" w:left="1020" w:right="1520"/>
        </w:sectPr>
      </w:pPr>
    </w:p>
    <w:p>
      <w:pPr>
        <w:spacing w:line="290" w:lineRule="auto" w:before="26"/>
        <w:ind w:left="256" w:right="0" w:firstLine="0"/>
        <w:jc w:val="left"/>
        <w:rPr>
          <w:rFonts w:ascii="宋体" w:hAnsi="宋体" w:cs="宋体" w:eastAsia="宋体" w:hint="default"/>
          <w:sz w:val="21"/>
          <w:szCs w:val="21"/>
        </w:rPr>
      </w:pPr>
      <w:r>
        <w:rPr>
          <w:rFonts w:ascii="宋体" w:hAnsi="宋体" w:cs="宋体" w:eastAsia="宋体" w:hint="default"/>
          <w:b/>
          <w:bCs/>
          <w:sz w:val="21"/>
          <w:szCs w:val="21"/>
        </w:rPr>
        <w:t>49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递延收益</w:t>
      </w:r>
      <w:r>
        <w:rPr>
          <w:rFonts w:ascii="宋体" w:hAnsi="宋体" w:cs="宋体" w:eastAsia="宋体" w:hint="default"/>
          <w:b/>
          <w:bCs/>
          <w:w w:val="99"/>
          <w:sz w:val="21"/>
          <w:szCs w:val="21"/>
        </w:rPr>
        <w:t> </w:t>
      </w:r>
      <w:r>
        <w:rPr>
          <w:rFonts w:ascii="宋体" w:hAnsi="宋体" w:cs="宋体" w:eastAsia="宋体" w:hint="default"/>
          <w:sz w:val="21"/>
          <w:szCs w:val="21"/>
        </w:rPr>
        <w:t>递延收益情况</w:t>
      </w:r>
      <w:r>
        <w:rPr>
          <w:rFonts w:ascii="宋体" w:hAnsi="宋体" w:cs="宋体" w:eastAsia="宋体" w:hint="default"/>
          <w:sz w:val="21"/>
          <w:szCs w:val="21"/>
        </w:rPr>
        <w:t> </w:t>
      </w:r>
    </w:p>
    <w:p>
      <w:pPr>
        <w:pStyle w:val="BodyText"/>
        <w:spacing w:line="230" w:lineRule="exact"/>
        <w:ind w:left="25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2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020" w:right="1520"/>
          <w:cols w:num="2" w:equalWidth="0">
            <w:col w:w="2149" w:space="4373"/>
            <w:col w:w="2848"/>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493"/>
        <w:gridCol w:w="1525"/>
        <w:gridCol w:w="1524"/>
        <w:gridCol w:w="1433"/>
        <w:gridCol w:w="1524"/>
        <w:gridCol w:w="1563"/>
      </w:tblGrid>
      <w:tr>
        <w:trPr>
          <w:trHeight w:val="382" w:hRule="exact"/>
        </w:trPr>
        <w:tc>
          <w:tcPr>
            <w:tcW w:w="1493"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4"/>
              <w:ind w:right="42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525"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4"/>
              <w:ind w:left="97"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24"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4"/>
              <w:ind w:left="98" w:right="0"/>
              <w:jc w:val="center"/>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433"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4"/>
              <w:ind w:left="287"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24"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4"/>
              <w:ind w:left="9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563"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4"/>
              <w:ind w:left="352" w:right="0"/>
              <w:jc w:val="left"/>
              <w:rPr>
                <w:rFonts w:ascii="宋体" w:hAnsi="宋体" w:cs="宋体" w:eastAsia="宋体" w:hint="default"/>
                <w:sz w:val="21"/>
                <w:szCs w:val="21"/>
              </w:rPr>
            </w:pPr>
            <w:r>
              <w:rPr>
                <w:rFonts w:ascii="宋体" w:hAnsi="宋体" w:cs="宋体" w:eastAsia="宋体" w:hint="default"/>
                <w:sz w:val="21"/>
                <w:szCs w:val="21"/>
              </w:rPr>
              <w:t>形成原因</w:t>
            </w:r>
            <w:r>
              <w:rPr>
                <w:rFonts w:ascii="宋体" w:hAnsi="宋体" w:cs="宋体" w:eastAsia="宋体" w:hint="default"/>
                <w:sz w:val="21"/>
                <w:szCs w:val="21"/>
              </w:rPr>
              <w:t> </w:t>
            </w:r>
          </w:p>
        </w:tc>
      </w:tr>
      <w:tr>
        <w:trPr>
          <w:trHeight w:val="358" w:hRule="exact"/>
        </w:trPr>
        <w:tc>
          <w:tcPr>
            <w:tcW w:w="149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right="427"/>
              <w:jc w:val="right"/>
              <w:rPr>
                <w:rFonts w:ascii="宋体" w:hAnsi="宋体" w:cs="宋体" w:eastAsia="宋体" w:hint="default"/>
                <w:sz w:val="21"/>
                <w:szCs w:val="21"/>
              </w:rPr>
            </w:pPr>
            <w:r>
              <w:rPr>
                <w:rFonts w:ascii="宋体" w:hAnsi="宋体" w:cs="宋体" w:eastAsia="宋体" w:hint="default"/>
                <w:spacing w:val="-2"/>
                <w:sz w:val="21"/>
                <w:szCs w:val="21"/>
              </w:rPr>
              <w:t>政府补助</w:t>
            </w:r>
            <w:r>
              <w:rPr>
                <w:rFonts w:ascii="宋体" w:hAnsi="宋体" w:cs="宋体" w:eastAsia="宋体" w:hint="default"/>
                <w:sz w:val="21"/>
                <w:szCs w:val="21"/>
              </w:rPr>
              <w:t> </w:t>
            </w:r>
          </w:p>
        </w:tc>
        <w:tc>
          <w:tcPr>
            <w:tcW w:w="152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left="68" w:right="0"/>
              <w:jc w:val="center"/>
              <w:rPr>
                <w:rFonts w:ascii="Arial" w:hAnsi="Arial" w:cs="Arial" w:eastAsia="Arial" w:hint="default"/>
                <w:sz w:val="21"/>
                <w:szCs w:val="21"/>
              </w:rPr>
            </w:pPr>
            <w:r>
              <w:rPr>
                <w:rFonts w:ascii="Arial"/>
                <w:sz w:val="21"/>
              </w:rPr>
              <w:t>1,701,754.62</w:t>
            </w:r>
          </w:p>
        </w:tc>
        <w:tc>
          <w:tcPr>
            <w:tcW w:w="15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left="69" w:right="0"/>
              <w:jc w:val="center"/>
              <w:rPr>
                <w:rFonts w:ascii="Arial" w:hAnsi="Arial" w:cs="Arial" w:eastAsia="Arial" w:hint="default"/>
                <w:sz w:val="21"/>
                <w:szCs w:val="21"/>
              </w:rPr>
            </w:pPr>
            <w:r>
              <w:rPr>
                <w:rFonts w:ascii="Arial"/>
                <w:sz w:val="21"/>
              </w:rPr>
              <w:t>2,624,500.00</w:t>
            </w:r>
          </w:p>
        </w:tc>
        <w:tc>
          <w:tcPr>
            <w:tcW w:w="14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left="261" w:right="0"/>
              <w:jc w:val="left"/>
              <w:rPr>
                <w:rFonts w:ascii="Arial" w:hAnsi="Arial" w:cs="Arial" w:eastAsia="Arial" w:hint="default"/>
                <w:sz w:val="21"/>
                <w:szCs w:val="21"/>
              </w:rPr>
            </w:pPr>
            <w:r>
              <w:rPr>
                <w:rFonts w:ascii="Arial"/>
                <w:sz w:val="21"/>
              </w:rPr>
              <w:t>366,827.32</w:t>
            </w:r>
          </w:p>
        </w:tc>
        <w:tc>
          <w:tcPr>
            <w:tcW w:w="152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left="69" w:right="0"/>
              <w:jc w:val="center"/>
              <w:rPr>
                <w:rFonts w:ascii="Arial" w:hAnsi="Arial" w:cs="Arial" w:eastAsia="Arial" w:hint="default"/>
                <w:sz w:val="21"/>
                <w:szCs w:val="21"/>
              </w:rPr>
            </w:pPr>
            <w:r>
              <w:rPr>
                <w:rFonts w:ascii="Arial"/>
                <w:sz w:val="21"/>
              </w:rPr>
              <w:t>3,959,427.30</w:t>
            </w:r>
          </w:p>
        </w:tc>
        <w:tc>
          <w:tcPr>
            <w:tcW w:w="156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财政资金</w:t>
            </w:r>
            <w:r>
              <w:rPr>
                <w:rFonts w:ascii="宋体" w:hAnsi="宋体" w:cs="宋体" w:eastAsia="宋体" w:hint="default"/>
                <w:sz w:val="21"/>
                <w:szCs w:val="21"/>
              </w:rPr>
              <w:t> </w:t>
            </w:r>
          </w:p>
        </w:tc>
      </w:tr>
      <w:tr>
        <w:trPr>
          <w:trHeight w:val="385" w:hRule="exact"/>
        </w:trPr>
        <w:tc>
          <w:tcPr>
            <w:tcW w:w="1493"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right="42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525"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left="68" w:right="0"/>
              <w:jc w:val="center"/>
              <w:rPr>
                <w:rFonts w:ascii="Arial" w:hAnsi="Arial" w:cs="Arial" w:eastAsia="Arial" w:hint="default"/>
                <w:sz w:val="21"/>
                <w:szCs w:val="21"/>
              </w:rPr>
            </w:pPr>
            <w:r>
              <w:rPr>
                <w:rFonts w:ascii="Arial"/>
                <w:sz w:val="21"/>
              </w:rPr>
              <w:t>1,701,754.62</w:t>
            </w:r>
          </w:p>
        </w:tc>
        <w:tc>
          <w:tcPr>
            <w:tcW w:w="1524"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left="69" w:right="0"/>
              <w:jc w:val="center"/>
              <w:rPr>
                <w:rFonts w:ascii="Arial" w:hAnsi="Arial" w:cs="Arial" w:eastAsia="Arial" w:hint="default"/>
                <w:sz w:val="21"/>
                <w:szCs w:val="21"/>
              </w:rPr>
            </w:pPr>
            <w:r>
              <w:rPr>
                <w:rFonts w:ascii="Arial"/>
                <w:sz w:val="21"/>
              </w:rPr>
              <w:t>2,624,500.00</w:t>
            </w:r>
          </w:p>
        </w:tc>
        <w:tc>
          <w:tcPr>
            <w:tcW w:w="1433"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left="261" w:right="0"/>
              <w:jc w:val="left"/>
              <w:rPr>
                <w:rFonts w:ascii="Arial" w:hAnsi="Arial" w:cs="Arial" w:eastAsia="Arial" w:hint="default"/>
                <w:sz w:val="21"/>
                <w:szCs w:val="21"/>
              </w:rPr>
            </w:pPr>
            <w:r>
              <w:rPr>
                <w:rFonts w:ascii="Arial"/>
                <w:sz w:val="21"/>
              </w:rPr>
              <w:t>366,827.32</w:t>
            </w:r>
          </w:p>
        </w:tc>
        <w:tc>
          <w:tcPr>
            <w:tcW w:w="1524"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left="69" w:right="0"/>
              <w:jc w:val="center"/>
              <w:rPr>
                <w:rFonts w:ascii="Arial" w:hAnsi="Arial" w:cs="Arial" w:eastAsia="Arial" w:hint="default"/>
                <w:sz w:val="21"/>
                <w:szCs w:val="21"/>
              </w:rPr>
            </w:pPr>
            <w:r>
              <w:rPr>
                <w:rFonts w:ascii="Arial"/>
                <w:sz w:val="21"/>
              </w:rPr>
              <w:t>3,959,427.30</w:t>
            </w:r>
          </w:p>
        </w:tc>
        <w:tc>
          <w:tcPr>
            <w:tcW w:w="1563"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
              <w:ind w:left="94" w:right="0"/>
              <w:jc w:val="center"/>
              <w:rPr>
                <w:rFonts w:ascii="宋体" w:hAnsi="宋体" w:cs="宋体" w:eastAsia="宋体" w:hint="default"/>
                <w:sz w:val="21"/>
                <w:szCs w:val="21"/>
              </w:rPr>
            </w:pPr>
            <w:r>
              <w:rPr>
                <w:rFonts w:ascii="宋体"/>
                <w:sz w:val="21"/>
              </w:rPr>
              <w:t>/ </w:t>
            </w:r>
          </w:p>
        </w:tc>
      </w:tr>
    </w:tbl>
    <w:p>
      <w:pPr>
        <w:spacing w:after="0" w:line="240" w:lineRule="auto"/>
        <w:jc w:val="center"/>
        <w:rPr>
          <w:rFonts w:ascii="宋体" w:hAnsi="宋体" w:cs="宋体" w:eastAsia="宋体" w:hint="default"/>
          <w:sz w:val="21"/>
          <w:szCs w:val="21"/>
        </w:rPr>
        <w:sectPr>
          <w:type w:val="continuous"/>
          <w:pgSz w:w="11910" w:h="16840"/>
          <w:pgMar w:top="1360" w:bottom="1380" w:left="1020" w:right="1520"/>
        </w:sectPr>
      </w:pPr>
    </w:p>
    <w:p>
      <w:pPr>
        <w:pStyle w:val="BodyText"/>
        <w:spacing w:line="240" w:lineRule="auto" w:before="26"/>
        <w:ind w:left="256" w:right="0"/>
        <w:jc w:val="left"/>
        <w:rPr>
          <w:rFonts w:ascii="宋体" w:hAnsi="宋体" w:cs="宋体" w:eastAsia="宋体" w:hint="default"/>
        </w:rPr>
      </w:pPr>
      <w:r>
        <w:rPr/>
        <w:t>涉及政府补助的项目：</w:t>
      </w:r>
      <w:r>
        <w:rPr>
          <w:rFonts w:ascii="宋体" w:hAnsi="宋体" w:cs="宋体" w:eastAsia="宋体" w:hint="default"/>
        </w:rPr>
        <w:t> </w:t>
      </w:r>
    </w:p>
    <w:p>
      <w:pPr>
        <w:pStyle w:val="BodyText"/>
        <w:spacing w:line="240" w:lineRule="auto" w:before="56"/>
        <w:ind w:left="2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7"/>
        <w:ind w:left="2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020" w:right="1520"/>
          <w:cols w:num="2" w:equalWidth="0">
            <w:col w:w="2463" w:space="4059"/>
            <w:col w:w="2848"/>
          </w:cols>
        </w:sectPr>
      </w:pPr>
    </w:p>
    <w:p>
      <w:pPr>
        <w:spacing w:line="240" w:lineRule="auto" w:before="12"/>
        <w:rPr>
          <w:rFonts w:ascii="宋体" w:hAnsi="宋体" w:cs="宋体" w:eastAsia="宋体" w:hint="default"/>
          <w:sz w:val="6"/>
          <w:szCs w:val="6"/>
        </w:rPr>
      </w:pPr>
    </w:p>
    <w:tbl>
      <w:tblPr>
        <w:tblW w:w="0" w:type="auto"/>
        <w:jc w:val="left"/>
        <w:tblInd w:w="199" w:type="dxa"/>
        <w:tblLayout w:type="fixed"/>
        <w:tblCellMar>
          <w:top w:w="0" w:type="dxa"/>
          <w:left w:w="0" w:type="dxa"/>
          <w:bottom w:w="0" w:type="dxa"/>
          <w:right w:w="0" w:type="dxa"/>
        </w:tblCellMar>
        <w:tblLook w:val="01E0"/>
      </w:tblPr>
      <w:tblGrid>
        <w:gridCol w:w="1856"/>
        <w:gridCol w:w="1215"/>
        <w:gridCol w:w="1114"/>
        <w:gridCol w:w="965"/>
        <w:gridCol w:w="996"/>
        <w:gridCol w:w="490"/>
        <w:gridCol w:w="1116"/>
        <w:gridCol w:w="1141"/>
      </w:tblGrid>
      <w:tr>
        <w:trPr>
          <w:trHeight w:val="852" w:hRule="exact"/>
        </w:trPr>
        <w:tc>
          <w:tcPr>
            <w:tcW w:w="1856"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8" w:right="0"/>
              <w:jc w:val="center"/>
              <w:rPr>
                <w:rFonts w:ascii="宋体" w:hAnsi="宋体" w:cs="宋体" w:eastAsia="宋体" w:hint="default"/>
                <w:sz w:val="21"/>
                <w:szCs w:val="21"/>
              </w:rPr>
            </w:pPr>
            <w:r>
              <w:rPr>
                <w:rFonts w:ascii="宋体" w:hAnsi="宋体" w:cs="宋体" w:eastAsia="宋体" w:hint="default"/>
                <w:sz w:val="21"/>
                <w:szCs w:val="21"/>
              </w:rPr>
              <w:t>负债项目</w:t>
            </w:r>
            <w:r>
              <w:rPr>
                <w:rFonts w:ascii="宋体" w:hAnsi="宋体" w:cs="宋体" w:eastAsia="宋体" w:hint="default"/>
                <w:sz w:val="21"/>
                <w:szCs w:val="21"/>
              </w:rPr>
              <w:t> </w:t>
            </w:r>
          </w:p>
        </w:tc>
        <w:tc>
          <w:tcPr>
            <w:tcW w:w="1215"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7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114" w:type="dxa"/>
            <w:tcBorders>
              <w:top w:val="single" w:sz="23" w:space="0" w:color="41B7EE"/>
              <w:left w:val="single" w:sz="4" w:space="0" w:color="41B7EE"/>
              <w:bottom w:val="single" w:sz="4" w:space="0" w:color="41B7EE"/>
              <w:right w:val="single" w:sz="4" w:space="0" w:color="41B7EE"/>
            </w:tcBorders>
          </w:tcPr>
          <w:p>
            <w:pPr>
              <w:pStyle w:val="TableParagraph"/>
              <w:spacing w:line="272" w:lineRule="exact" w:before="133"/>
              <w:ind w:left="235" w:right="24" w:hanging="212"/>
              <w:jc w:val="left"/>
              <w:rPr>
                <w:rFonts w:ascii="宋体" w:hAnsi="宋体" w:cs="宋体" w:eastAsia="宋体" w:hint="default"/>
                <w:sz w:val="21"/>
                <w:szCs w:val="21"/>
              </w:rPr>
            </w:pPr>
            <w:r>
              <w:rPr>
                <w:rFonts w:ascii="宋体" w:hAnsi="宋体" w:cs="宋体" w:eastAsia="宋体" w:hint="default"/>
                <w:sz w:val="21"/>
                <w:szCs w:val="21"/>
              </w:rPr>
              <w:t>本期新增补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助金额</w:t>
            </w:r>
            <w:r>
              <w:rPr>
                <w:rFonts w:ascii="宋体" w:hAnsi="宋体" w:cs="宋体" w:eastAsia="宋体" w:hint="default"/>
                <w:sz w:val="21"/>
                <w:szCs w:val="21"/>
              </w:rPr>
              <w:t> </w:t>
            </w:r>
          </w:p>
        </w:tc>
        <w:tc>
          <w:tcPr>
            <w:tcW w:w="965" w:type="dxa"/>
            <w:tcBorders>
              <w:top w:val="single" w:sz="23" w:space="0" w:color="41B7EE"/>
              <w:left w:val="single" w:sz="4" w:space="0" w:color="41B7EE"/>
              <w:bottom w:val="single" w:sz="4" w:space="0" w:color="41B7EE"/>
              <w:right w:val="single" w:sz="4" w:space="0" w:color="41B7EE"/>
            </w:tcBorders>
          </w:tcPr>
          <w:p>
            <w:pPr>
              <w:pStyle w:val="TableParagraph"/>
              <w:spacing w:line="243" w:lineRule="exact"/>
              <w:ind w:left="57" w:right="0"/>
              <w:jc w:val="left"/>
              <w:rPr>
                <w:rFonts w:ascii="宋体" w:hAnsi="宋体" w:cs="宋体" w:eastAsia="宋体" w:hint="default"/>
                <w:sz w:val="21"/>
                <w:szCs w:val="21"/>
              </w:rPr>
            </w:pPr>
            <w:r>
              <w:rPr>
                <w:rFonts w:ascii="宋体" w:hAnsi="宋体" w:cs="宋体" w:eastAsia="宋体" w:hint="default"/>
                <w:sz w:val="21"/>
                <w:szCs w:val="21"/>
              </w:rPr>
              <w:t>本期计入</w:t>
            </w:r>
          </w:p>
          <w:p>
            <w:pPr>
              <w:pStyle w:val="TableParagraph"/>
              <w:spacing w:line="272" w:lineRule="exact" w:before="27"/>
              <w:ind w:left="160" w:right="53" w:hanging="104"/>
              <w:jc w:val="left"/>
              <w:rPr>
                <w:rFonts w:ascii="宋体" w:hAnsi="宋体" w:cs="宋体" w:eastAsia="宋体" w:hint="default"/>
                <w:sz w:val="21"/>
                <w:szCs w:val="21"/>
              </w:rPr>
            </w:pPr>
            <w:r>
              <w:rPr>
                <w:rFonts w:ascii="宋体" w:hAnsi="宋体" w:cs="宋体" w:eastAsia="宋体" w:hint="default"/>
                <w:sz w:val="21"/>
                <w:szCs w:val="21"/>
              </w:rPr>
              <w:t>营业外收</w:t>
            </w:r>
            <w:r>
              <w:rPr>
                <w:rFonts w:ascii="宋体" w:hAnsi="宋体" w:cs="宋体" w:eastAsia="宋体" w:hint="default"/>
                <w:w w:val="100"/>
                <w:sz w:val="21"/>
                <w:szCs w:val="21"/>
              </w:rPr>
              <w:t> </w:t>
            </w:r>
            <w:r>
              <w:rPr>
                <w:rFonts w:ascii="宋体" w:hAnsi="宋体" w:cs="宋体" w:eastAsia="宋体" w:hint="default"/>
                <w:sz w:val="21"/>
                <w:szCs w:val="21"/>
              </w:rPr>
              <w:t>入金额</w:t>
            </w:r>
            <w:r>
              <w:rPr>
                <w:rFonts w:ascii="宋体" w:hAnsi="宋体" w:cs="宋体" w:eastAsia="宋体" w:hint="default"/>
                <w:sz w:val="21"/>
                <w:szCs w:val="21"/>
              </w:rPr>
              <w:t> </w:t>
            </w:r>
          </w:p>
        </w:tc>
        <w:tc>
          <w:tcPr>
            <w:tcW w:w="996" w:type="dxa"/>
            <w:tcBorders>
              <w:top w:val="single" w:sz="23" w:space="0" w:color="41B7EE"/>
              <w:left w:val="single" w:sz="4" w:space="0" w:color="41B7EE"/>
              <w:bottom w:val="single" w:sz="4" w:space="0" w:color="41B7EE"/>
              <w:right w:val="single" w:sz="4" w:space="0" w:color="41B7EE"/>
            </w:tcBorders>
          </w:tcPr>
          <w:p>
            <w:pPr>
              <w:pStyle w:val="TableParagraph"/>
              <w:spacing w:line="243" w:lineRule="exact"/>
              <w:ind w:left="72" w:right="0"/>
              <w:jc w:val="left"/>
              <w:rPr>
                <w:rFonts w:ascii="宋体" w:hAnsi="宋体" w:cs="宋体" w:eastAsia="宋体" w:hint="default"/>
                <w:sz w:val="21"/>
                <w:szCs w:val="21"/>
              </w:rPr>
            </w:pPr>
            <w:r>
              <w:rPr>
                <w:rFonts w:ascii="宋体" w:hAnsi="宋体" w:cs="宋体" w:eastAsia="宋体" w:hint="default"/>
                <w:sz w:val="21"/>
                <w:szCs w:val="21"/>
              </w:rPr>
              <w:t>本期计入</w:t>
            </w:r>
          </w:p>
          <w:p>
            <w:pPr>
              <w:pStyle w:val="TableParagraph"/>
              <w:spacing w:line="272" w:lineRule="exact" w:before="27"/>
              <w:ind w:left="281" w:right="69" w:hanging="209"/>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490" w:type="dxa"/>
            <w:tcBorders>
              <w:top w:val="single" w:sz="23" w:space="0" w:color="41B7EE"/>
              <w:left w:val="single" w:sz="4" w:space="0" w:color="41B7EE"/>
              <w:bottom w:val="single" w:sz="4" w:space="0" w:color="41B7EE"/>
              <w:right w:val="single" w:sz="4" w:space="0" w:color="41B7EE"/>
            </w:tcBorders>
          </w:tcPr>
          <w:p>
            <w:pPr>
              <w:pStyle w:val="TableParagraph"/>
              <w:spacing w:line="272" w:lineRule="exact" w:before="133"/>
              <w:ind w:left="28" w:right="26"/>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1116"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9"/>
              <w:jc w:val="right"/>
              <w:rPr>
                <w:rFonts w:ascii="宋体" w:hAnsi="宋体" w:cs="宋体" w:eastAsia="宋体" w:hint="default"/>
                <w:sz w:val="21"/>
                <w:szCs w:val="21"/>
              </w:rPr>
            </w:pPr>
            <w:r>
              <w:rPr>
                <w:rFonts w:ascii="宋体" w:hAnsi="宋体" w:cs="宋体" w:eastAsia="宋体" w:hint="default"/>
                <w:spacing w:val="-2"/>
                <w:sz w:val="21"/>
                <w:szCs w:val="21"/>
              </w:rPr>
              <w:t>期末余额</w:t>
            </w:r>
            <w:r>
              <w:rPr>
                <w:rFonts w:ascii="宋体" w:hAnsi="宋体" w:cs="宋体" w:eastAsia="宋体" w:hint="default"/>
                <w:sz w:val="21"/>
                <w:szCs w:val="21"/>
              </w:rPr>
              <w:t> </w:t>
            </w:r>
          </w:p>
        </w:tc>
        <w:tc>
          <w:tcPr>
            <w:tcW w:w="1141" w:type="dxa"/>
            <w:tcBorders>
              <w:top w:val="single" w:sz="23" w:space="0" w:color="41B7EE"/>
              <w:left w:val="single" w:sz="4" w:space="0" w:color="41B7EE"/>
              <w:bottom w:val="single" w:sz="4" w:space="0" w:color="41B7EE"/>
              <w:right w:val="nil" w:sz="6" w:space="0" w:color="auto"/>
            </w:tcBorders>
          </w:tcPr>
          <w:p>
            <w:pPr>
              <w:pStyle w:val="TableParagraph"/>
              <w:spacing w:line="260" w:lineRule="exact" w:before="145"/>
              <w:ind w:left="94" w:right="1" w:hanging="48"/>
              <w:jc w:val="left"/>
              <w:rPr>
                <w:rFonts w:ascii="宋体" w:hAnsi="宋体" w:cs="宋体" w:eastAsia="宋体" w:hint="default"/>
                <w:sz w:val="20"/>
                <w:szCs w:val="20"/>
              </w:rPr>
            </w:pPr>
            <w:r>
              <w:rPr>
                <w:rFonts w:ascii="宋体" w:hAnsi="宋体" w:cs="宋体" w:eastAsia="宋体" w:hint="default"/>
                <w:spacing w:val="-11"/>
                <w:sz w:val="20"/>
                <w:szCs w:val="20"/>
              </w:rPr>
              <w:t>与资产相关</w:t>
            </w:r>
            <w:r>
              <w:rPr>
                <w:rFonts w:ascii="宋体" w:hAnsi="宋体" w:cs="宋体" w:eastAsia="宋体" w:hint="default"/>
                <w:spacing w:val="-11"/>
                <w:sz w:val="20"/>
                <w:szCs w:val="20"/>
              </w:rPr>
              <w:t>/</w:t>
            </w:r>
            <w:r>
              <w:rPr>
                <w:rFonts w:ascii="宋体" w:hAnsi="宋体" w:cs="宋体" w:eastAsia="宋体" w:hint="default"/>
                <w:spacing w:val="-98"/>
                <w:sz w:val="20"/>
                <w:szCs w:val="20"/>
              </w:rPr>
              <w:t> </w:t>
            </w:r>
            <w:r>
              <w:rPr>
                <w:rFonts w:ascii="宋体" w:hAnsi="宋体" w:cs="宋体" w:eastAsia="宋体" w:hint="default"/>
                <w:spacing w:val="-13"/>
                <w:sz w:val="20"/>
                <w:szCs w:val="20"/>
              </w:rPr>
              <w:t>与收益相关</w:t>
            </w:r>
            <w:r>
              <w:rPr>
                <w:rFonts w:ascii="宋体" w:hAnsi="宋体" w:cs="宋体" w:eastAsia="宋体" w:hint="default"/>
                <w:sz w:val="20"/>
                <w:szCs w:val="20"/>
              </w:rPr>
              <w:t> </w:t>
            </w:r>
          </w:p>
        </w:tc>
      </w:tr>
      <w:tr>
        <w:trPr>
          <w:trHeight w:val="358" w:hRule="exact"/>
        </w:trPr>
        <w:tc>
          <w:tcPr>
            <w:tcW w:w="185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right="5"/>
              <w:jc w:val="center"/>
              <w:rPr>
                <w:rFonts w:ascii="宋体" w:hAnsi="宋体" w:cs="宋体" w:eastAsia="宋体" w:hint="default"/>
                <w:sz w:val="21"/>
                <w:szCs w:val="21"/>
              </w:rPr>
            </w:pPr>
            <w:r>
              <w:rPr>
                <w:rFonts w:ascii="宋体" w:hAnsi="宋体" w:cs="宋体" w:eastAsia="宋体" w:hint="default"/>
                <w:sz w:val="21"/>
                <w:szCs w:val="21"/>
              </w:rPr>
              <w:t>节水型生产线项目</w:t>
            </w:r>
            <w:r>
              <w:rPr>
                <w:rFonts w:ascii="宋体" w:hAnsi="宋体" w:cs="宋体" w:eastAsia="宋体" w:hint="default"/>
                <w:sz w:val="21"/>
                <w:szCs w:val="21"/>
              </w:rPr>
              <w:t> </w:t>
            </w:r>
          </w:p>
        </w:tc>
        <w:tc>
          <w:tcPr>
            <w:tcW w:w="121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24"/>
              <w:jc w:val="right"/>
              <w:rPr>
                <w:rFonts w:ascii="Arial" w:hAnsi="Arial" w:cs="Arial" w:eastAsia="Arial" w:hint="default"/>
                <w:sz w:val="18"/>
                <w:szCs w:val="18"/>
              </w:rPr>
            </w:pPr>
            <w:r>
              <w:rPr>
                <w:rFonts w:ascii="Arial"/>
                <w:spacing w:val="-1"/>
                <w:sz w:val="18"/>
              </w:rPr>
              <w:t>1,050,000.00</w:t>
            </w:r>
          </w:p>
        </w:tc>
        <w:tc>
          <w:tcPr>
            <w:tcW w:w="1114" w:type="dxa"/>
            <w:tcBorders>
              <w:top w:val="single" w:sz="4" w:space="0" w:color="41B7EE"/>
              <w:left w:val="single" w:sz="4" w:space="0" w:color="41B7EE"/>
              <w:bottom w:val="single" w:sz="4" w:space="0" w:color="41B7EE"/>
              <w:right w:val="single" w:sz="4" w:space="0" w:color="41B7EE"/>
            </w:tcBorders>
          </w:tcPr>
          <w:p>
            <w:pPr/>
          </w:p>
        </w:tc>
        <w:tc>
          <w:tcPr>
            <w:tcW w:w="96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left="31" w:right="0"/>
              <w:jc w:val="left"/>
              <w:rPr>
                <w:rFonts w:ascii="Arial" w:hAnsi="Arial" w:cs="Arial" w:eastAsia="Arial" w:hint="default"/>
                <w:sz w:val="18"/>
                <w:szCs w:val="18"/>
              </w:rPr>
            </w:pPr>
            <w:r>
              <w:rPr>
                <w:rFonts w:ascii="Arial"/>
                <w:sz w:val="18"/>
              </w:rPr>
              <w:t>262,500.00</w:t>
            </w:r>
          </w:p>
        </w:tc>
        <w:tc>
          <w:tcPr>
            <w:tcW w:w="996" w:type="dxa"/>
            <w:tcBorders>
              <w:top w:val="single" w:sz="4" w:space="0" w:color="41B7EE"/>
              <w:left w:val="single" w:sz="4" w:space="0" w:color="41B7EE"/>
              <w:bottom w:val="single" w:sz="4" w:space="0" w:color="41B7EE"/>
              <w:right w:val="single" w:sz="4" w:space="0" w:color="41B7EE"/>
            </w:tcBorders>
          </w:tcPr>
          <w:p>
            <w:pPr/>
          </w:p>
        </w:tc>
        <w:tc>
          <w:tcPr>
            <w:tcW w:w="490" w:type="dxa"/>
            <w:tcBorders>
              <w:top w:val="single" w:sz="4" w:space="0" w:color="41B7EE"/>
              <w:left w:val="single" w:sz="4" w:space="0" w:color="41B7EE"/>
              <w:bottom w:val="single" w:sz="4" w:space="0" w:color="41B7EE"/>
              <w:right w:val="single" w:sz="4" w:space="0" w:color="41B7EE"/>
            </w:tcBorders>
          </w:tcPr>
          <w:p>
            <w:pPr/>
          </w:p>
        </w:tc>
        <w:tc>
          <w:tcPr>
            <w:tcW w:w="111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23"/>
              <w:jc w:val="right"/>
              <w:rPr>
                <w:rFonts w:ascii="Arial" w:hAnsi="Arial" w:cs="Arial" w:eastAsia="Arial" w:hint="default"/>
                <w:sz w:val="18"/>
                <w:szCs w:val="18"/>
              </w:rPr>
            </w:pPr>
            <w:r>
              <w:rPr>
                <w:rFonts w:ascii="Arial"/>
                <w:spacing w:val="-1"/>
                <w:sz w:val="18"/>
              </w:rPr>
              <w:t>787,500.00</w:t>
            </w:r>
          </w:p>
        </w:tc>
        <w:tc>
          <w:tcPr>
            <w:tcW w:w="114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3"/>
              <w:ind w:right="11"/>
              <w:jc w:val="right"/>
              <w:rPr>
                <w:rFonts w:ascii="宋体" w:hAnsi="宋体" w:cs="宋体" w:eastAsia="宋体" w:hint="default"/>
                <w:sz w:val="20"/>
                <w:szCs w:val="20"/>
              </w:rPr>
            </w:pPr>
            <w:r>
              <w:rPr>
                <w:rFonts w:ascii="宋体" w:hAnsi="宋体" w:cs="宋体" w:eastAsia="宋体" w:hint="default"/>
                <w:sz w:val="20"/>
                <w:szCs w:val="20"/>
              </w:rPr>
              <w:t>与资产相关</w:t>
            </w:r>
            <w:r>
              <w:rPr>
                <w:rFonts w:ascii="宋体" w:hAnsi="宋体" w:cs="宋体" w:eastAsia="宋体" w:hint="default"/>
                <w:sz w:val="20"/>
                <w:szCs w:val="20"/>
              </w:rPr>
              <w:t> </w:t>
            </w:r>
          </w:p>
        </w:tc>
      </w:tr>
      <w:tr>
        <w:trPr>
          <w:trHeight w:val="365" w:hRule="exact"/>
        </w:trPr>
        <w:tc>
          <w:tcPr>
            <w:tcW w:w="1856" w:type="dxa"/>
            <w:tcBorders>
              <w:top w:val="single" w:sz="4" w:space="0" w:color="41B7EE"/>
              <w:left w:val="nil" w:sz="6" w:space="0" w:color="auto"/>
              <w:bottom w:val="single" w:sz="8" w:space="0" w:color="41B7EE"/>
              <w:right w:val="single" w:sz="9" w:space="0" w:color="FFFFFF"/>
            </w:tcBorders>
          </w:tcPr>
          <w:p>
            <w:pPr>
              <w:pStyle w:val="TableParagraph"/>
              <w:spacing w:line="240" w:lineRule="auto" w:before="4"/>
              <w:ind w:left="28" w:right="-38"/>
              <w:jc w:val="center"/>
              <w:rPr>
                <w:rFonts w:ascii="宋体" w:hAnsi="宋体" w:cs="宋体" w:eastAsia="宋体" w:hint="default"/>
                <w:sz w:val="21"/>
                <w:szCs w:val="21"/>
              </w:rPr>
            </w:pPr>
            <w:r>
              <w:rPr>
                <w:rFonts w:ascii="宋体" w:hAnsi="宋体" w:cs="宋体" w:eastAsia="宋体" w:hint="default"/>
                <w:spacing w:val="-18"/>
                <w:sz w:val="21"/>
                <w:szCs w:val="21"/>
              </w:rPr>
              <w:t>农产品质量追溯项目</w:t>
            </w:r>
            <w:r>
              <w:rPr>
                <w:rFonts w:ascii="宋体" w:hAnsi="宋体" w:cs="宋体" w:eastAsia="宋体" w:hint="default"/>
                <w:sz w:val="21"/>
                <w:szCs w:val="21"/>
              </w:rPr>
              <w:t> </w:t>
            </w:r>
          </w:p>
        </w:tc>
        <w:tc>
          <w:tcPr>
            <w:tcW w:w="1215" w:type="dxa"/>
            <w:tcBorders>
              <w:top w:val="single" w:sz="4" w:space="0" w:color="41B7EE"/>
              <w:left w:val="single" w:sz="9" w:space="0" w:color="FFFFFF"/>
              <w:bottom w:val="single" w:sz="8" w:space="0" w:color="41B7EE"/>
              <w:right w:val="single" w:sz="4" w:space="0" w:color="41B7EE"/>
            </w:tcBorders>
          </w:tcPr>
          <w:p>
            <w:pPr>
              <w:pStyle w:val="TableParagraph"/>
              <w:spacing w:line="240" w:lineRule="auto" w:before="71"/>
              <w:ind w:right="24"/>
              <w:jc w:val="right"/>
              <w:rPr>
                <w:rFonts w:ascii="Arial" w:hAnsi="Arial" w:cs="Arial" w:eastAsia="Arial" w:hint="default"/>
                <w:sz w:val="18"/>
                <w:szCs w:val="18"/>
              </w:rPr>
            </w:pPr>
            <w:r>
              <w:rPr>
                <w:rFonts w:ascii="Arial"/>
                <w:spacing w:val="-1"/>
                <w:sz w:val="18"/>
              </w:rPr>
              <w:t>285,724.62</w:t>
            </w:r>
          </w:p>
        </w:tc>
        <w:tc>
          <w:tcPr>
            <w:tcW w:w="1114" w:type="dxa"/>
            <w:tcBorders>
              <w:top w:val="single" w:sz="4" w:space="0" w:color="41B7EE"/>
              <w:left w:val="single" w:sz="4" w:space="0" w:color="41B7EE"/>
              <w:bottom w:val="single" w:sz="8" w:space="0" w:color="41B7EE"/>
              <w:right w:val="single" w:sz="4" w:space="0" w:color="41B7EE"/>
            </w:tcBorders>
          </w:tcPr>
          <w:p>
            <w:pPr/>
          </w:p>
        </w:tc>
        <w:tc>
          <w:tcPr>
            <w:tcW w:w="965" w:type="dxa"/>
            <w:tcBorders>
              <w:top w:val="single" w:sz="4" w:space="0" w:color="41B7EE"/>
              <w:left w:val="single" w:sz="4" w:space="0" w:color="41B7EE"/>
              <w:bottom w:val="single" w:sz="8" w:space="0" w:color="41B7EE"/>
              <w:right w:val="single" w:sz="4" w:space="0" w:color="41B7EE"/>
            </w:tcBorders>
          </w:tcPr>
          <w:p>
            <w:pPr/>
          </w:p>
        </w:tc>
        <w:tc>
          <w:tcPr>
            <w:tcW w:w="996"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71"/>
              <w:ind w:left="161" w:right="0"/>
              <w:jc w:val="left"/>
              <w:rPr>
                <w:rFonts w:ascii="Arial" w:hAnsi="Arial" w:cs="Arial" w:eastAsia="Arial" w:hint="default"/>
                <w:sz w:val="18"/>
                <w:szCs w:val="18"/>
              </w:rPr>
            </w:pPr>
            <w:r>
              <w:rPr>
                <w:rFonts w:ascii="Arial"/>
                <w:sz w:val="18"/>
              </w:rPr>
              <w:t>62,659.36</w:t>
            </w:r>
          </w:p>
        </w:tc>
        <w:tc>
          <w:tcPr>
            <w:tcW w:w="490" w:type="dxa"/>
            <w:tcBorders>
              <w:top w:val="single" w:sz="4" w:space="0" w:color="41B7EE"/>
              <w:left w:val="single" w:sz="4" w:space="0" w:color="41B7EE"/>
              <w:bottom w:val="single" w:sz="8" w:space="0" w:color="41B7EE"/>
              <w:right w:val="single" w:sz="4" w:space="0" w:color="41B7EE"/>
            </w:tcBorders>
          </w:tcPr>
          <w:p>
            <w:pPr/>
          </w:p>
        </w:tc>
        <w:tc>
          <w:tcPr>
            <w:tcW w:w="1116"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71"/>
              <w:ind w:right="23"/>
              <w:jc w:val="right"/>
              <w:rPr>
                <w:rFonts w:ascii="Arial" w:hAnsi="Arial" w:cs="Arial" w:eastAsia="Arial" w:hint="default"/>
                <w:sz w:val="18"/>
                <w:szCs w:val="18"/>
              </w:rPr>
            </w:pPr>
            <w:r>
              <w:rPr>
                <w:rFonts w:ascii="Arial"/>
                <w:spacing w:val="-1"/>
                <w:sz w:val="18"/>
              </w:rPr>
              <w:t>223,065.26</w:t>
            </w:r>
          </w:p>
        </w:tc>
        <w:tc>
          <w:tcPr>
            <w:tcW w:w="1141"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13"/>
              <w:ind w:right="11"/>
              <w:jc w:val="right"/>
              <w:rPr>
                <w:rFonts w:ascii="宋体" w:hAnsi="宋体" w:cs="宋体" w:eastAsia="宋体" w:hint="default"/>
                <w:sz w:val="20"/>
                <w:szCs w:val="20"/>
              </w:rPr>
            </w:pPr>
            <w:r>
              <w:rPr>
                <w:rFonts w:ascii="宋体" w:hAnsi="宋体" w:cs="宋体" w:eastAsia="宋体" w:hint="default"/>
                <w:sz w:val="20"/>
                <w:szCs w:val="20"/>
              </w:rPr>
              <w:t>与资产相关</w:t>
            </w:r>
            <w:r>
              <w:rPr>
                <w:rFonts w:ascii="宋体" w:hAnsi="宋体" w:cs="宋体" w:eastAsia="宋体" w:hint="default"/>
                <w:sz w:val="20"/>
                <w:szCs w:val="20"/>
              </w:rPr>
              <w:t> </w:t>
            </w:r>
          </w:p>
        </w:tc>
      </w:tr>
    </w:tbl>
    <w:p>
      <w:pPr>
        <w:spacing w:line="20" w:lineRule="exact"/>
        <w:ind w:left="218"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1851;height:2" coordorigin="10,10" coordsize="1851,2">
              <v:shape style="position:absolute;left:10;top:10;width:1851;height:2" coordorigin="10,10" coordsize="1851,0" path="m10,10l1860,10e" filled="false" stroked="true" strokeweight=".95996pt" strokecolor="#41b7ee">
                <v:path arrowok="t"/>
              </v:shape>
            </v:group>
            <v:group style="position:absolute;left:1860;top:10;width:58;height:2" coordorigin="1860,10" coordsize="58,2">
              <v:shape style="position:absolute;left:1860;top:10;width:58;height:2" coordorigin="1860,10" coordsize="58,0" path="m1860,10l1918,10e" filled="false" stroked="true" strokeweight=".95996pt" strokecolor="#41b7ee">
                <v:path arrowok="t"/>
              </v:shape>
            </v:group>
            <v:group style="position:absolute;left:1918;top:10;width:1158;height:2" coordorigin="1918,10" coordsize="1158,2">
              <v:shape style="position:absolute;left:1918;top:10;width:1158;height:2" coordorigin="1918,10" coordsize="1158,0" path="m1918,10l3075,10e" filled="false" stroked="true" strokeweight=".95996pt" strokecolor="#41b7ee">
                <v:path arrowok="t"/>
              </v:shape>
            </v:group>
            <v:group style="position:absolute;left:3075;top:10;width:58;height:2" coordorigin="3075,10" coordsize="58,2">
              <v:shape style="position:absolute;left:3075;top:10;width:58;height:2" coordorigin="3075,10" coordsize="58,0" path="m3075,10l3133,10e" filled="false" stroked="true" strokeweight=".95996pt" strokecolor="#41b7ee">
                <v:path arrowok="t"/>
              </v:shape>
            </v:group>
            <v:group style="position:absolute;left:3133;top:10;width:1056;height:2" coordorigin="3133,10" coordsize="1056,2">
              <v:shape style="position:absolute;left:3133;top:10;width:1056;height:2" coordorigin="3133,10" coordsize="1056,0" path="m3133,10l4189,10e" filled="false" stroked="true" strokeweight=".95996pt" strokecolor="#41b7ee">
                <v:path arrowok="t"/>
              </v:shape>
            </v:group>
            <v:group style="position:absolute;left:4189;top:10;width:58;height:2" coordorigin="4189,10" coordsize="58,2">
              <v:shape style="position:absolute;left:4189;top:10;width:58;height:2" coordorigin="4189,10" coordsize="58,0" path="m4189,10l4247,10e" filled="false" stroked="true" strokeweight=".95996pt" strokecolor="#41b7ee">
                <v:path arrowok="t"/>
              </v:shape>
            </v:group>
            <v:group style="position:absolute;left:4247;top:10;width:908;height:2" coordorigin="4247,10" coordsize="908,2">
              <v:shape style="position:absolute;left:4247;top:10;width:908;height:2" coordorigin="4247,10" coordsize="908,0" path="m4247,10l5154,10e" filled="false" stroked="true" strokeweight=".95996pt" strokecolor="#41b7ee">
                <v:path arrowok="t"/>
              </v:shape>
            </v:group>
            <v:group style="position:absolute;left:5154;top:10;width:58;height:2" coordorigin="5154,10" coordsize="58,2">
              <v:shape style="position:absolute;left:5154;top:10;width:58;height:2" coordorigin="5154,10" coordsize="58,0" path="m5154,10l5211,10e" filled="false" stroked="true" strokeweight=".95996pt" strokecolor="#41b7ee">
                <v:path arrowok="t"/>
              </v:shape>
            </v:group>
            <v:group style="position:absolute;left:5211;top:10;width:939;height:2" coordorigin="5211,10" coordsize="939,2">
              <v:shape style="position:absolute;left:5211;top:10;width:939;height:2" coordorigin="5211,10" coordsize="939,0" path="m5211,10l6150,10e" filled="false" stroked="true" strokeweight=".95996pt" strokecolor="#41b7ee">
                <v:path arrowok="t"/>
              </v:shape>
            </v:group>
            <v:group style="position:absolute;left:6150;top:10;width:58;height:2" coordorigin="6150,10" coordsize="58,2">
              <v:shape style="position:absolute;left:6150;top:10;width:58;height:2" coordorigin="6150,10" coordsize="58,0" path="m6150,10l6208,10e" filled="false" stroked="true" strokeweight=".95996pt" strokecolor="#41b7ee">
                <v:path arrowok="t"/>
              </v:shape>
            </v:group>
            <v:group style="position:absolute;left:6208;top:10;width:432;height:2" coordorigin="6208,10" coordsize="432,2">
              <v:shape style="position:absolute;left:6208;top:10;width:432;height:2" coordorigin="6208,10" coordsize="432,0" path="m6208,10l6640,10e" filled="false" stroked="true" strokeweight=".95996pt" strokecolor="#41b7ee">
                <v:path arrowok="t"/>
              </v:shape>
            </v:group>
            <v:group style="position:absolute;left:6640;top:10;width:58;height:2" coordorigin="6640,10" coordsize="58,2">
              <v:shape style="position:absolute;left:6640;top:10;width:58;height:2" coordorigin="6640,10" coordsize="58,0" path="m6640,10l6697,10e" filled="false" stroked="true" strokeweight=".95996pt" strokecolor="#41b7ee">
                <v:path arrowok="t"/>
              </v:shape>
            </v:group>
            <v:group style="position:absolute;left:6697;top:10;width:1059;height:2" coordorigin="6697,10" coordsize="1059,2">
              <v:shape style="position:absolute;left:6697;top:10;width:1059;height:2" coordorigin="6697,10" coordsize="1059,0" path="m6697,10l7756,10e" filled="false" stroked="true" strokeweight=".95996pt" strokecolor="#41b7ee">
                <v:path arrowok="t"/>
              </v:shape>
            </v:group>
            <v:group style="position:absolute;left:7756;top:10;width:59;height:2" coordorigin="7756,10" coordsize="59,2">
              <v:shape style="position:absolute;left:7756;top:10;width:59;height:2" coordorigin="7756,10" coordsize="59,0" path="m7756,10l7814,10e" filled="false" stroked="true" strokeweight=".95996pt" strokecolor="#41b7ee">
                <v:path arrowok="t"/>
              </v:shape>
            </v:group>
            <v:group style="position:absolute;left:7814;top:10;width:1088;height:2" coordorigin="7814,10" coordsize="1088,2">
              <v:shape style="position:absolute;left:7814;top:10;width:1088;height:2" coordorigin="7814,10" coordsize="1088,0" path="m7814,10l8901,10e" filled="false" stroked="true" strokeweight=".95996pt" strokecolor="#41b7ee">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360" w:bottom="1380" w:left="1020" w:right="1520"/>
        </w:sectPr>
      </w:pPr>
    </w:p>
    <w:p>
      <w:pPr>
        <w:spacing w:line="240" w:lineRule="auto" w:before="11"/>
        <w:rPr>
          <w:rFonts w:ascii="宋体" w:hAnsi="宋体" w:cs="宋体" w:eastAsia="宋体" w:hint="default"/>
          <w:sz w:val="3"/>
          <w:szCs w:val="3"/>
        </w:rPr>
      </w:pPr>
    </w:p>
    <w:p>
      <w:pPr>
        <w:spacing w:line="20" w:lineRule="exact"/>
        <w:ind w:left="14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4"/>
          <w:szCs w:val="4"/>
        </w:r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1851;height:2" coordorigin="10,10" coordsize="1851,2">
              <v:shape style="position:absolute;left:10;top:10;width:1851;height:2" coordorigin="10,10" coordsize="1851,0" path="m10,10l1860,10e" filled="false" stroked="true" strokeweight=".96pt" strokecolor="#41b7ee">
                <v:path arrowok="t"/>
              </v:shape>
            </v:group>
            <v:group style="position:absolute;left:1860;top:10;width:58;height:2" coordorigin="1860,10" coordsize="58,2">
              <v:shape style="position:absolute;left:1860;top:10;width:58;height:2" coordorigin="1860,10" coordsize="58,0" path="m1860,10l1918,10e" filled="false" stroked="true" strokeweight=".96pt" strokecolor="#41b7ee">
                <v:path arrowok="t"/>
              </v:shape>
            </v:group>
            <v:group style="position:absolute;left:1918;top:10;width:1158;height:2" coordorigin="1918,10" coordsize="1158,2">
              <v:shape style="position:absolute;left:1918;top:10;width:1158;height:2" coordorigin="1918,10" coordsize="1158,0" path="m1918,10l3075,10e" filled="false" stroked="true" strokeweight=".96pt" strokecolor="#41b7ee">
                <v:path arrowok="t"/>
              </v:shape>
            </v:group>
            <v:group style="position:absolute;left:3075;top:10;width:58;height:2" coordorigin="3075,10" coordsize="58,2">
              <v:shape style="position:absolute;left:3075;top:10;width:58;height:2" coordorigin="3075,10" coordsize="58,0" path="m3075,10l3133,10e" filled="false" stroked="true" strokeweight=".96pt" strokecolor="#41b7ee">
                <v:path arrowok="t"/>
              </v:shape>
            </v:group>
            <v:group style="position:absolute;left:3133;top:10;width:1056;height:2" coordorigin="3133,10" coordsize="1056,2">
              <v:shape style="position:absolute;left:3133;top:10;width:1056;height:2" coordorigin="3133,10" coordsize="1056,0" path="m3133,10l4189,10e" filled="false" stroked="true" strokeweight=".96pt" strokecolor="#41b7ee">
                <v:path arrowok="t"/>
              </v:shape>
            </v:group>
            <v:group style="position:absolute;left:4189;top:10;width:58;height:2" coordorigin="4189,10" coordsize="58,2">
              <v:shape style="position:absolute;left:4189;top:10;width:58;height:2" coordorigin="4189,10" coordsize="58,0" path="m4189,10l4247,10e" filled="false" stroked="true" strokeweight=".96pt" strokecolor="#41b7ee">
                <v:path arrowok="t"/>
              </v:shape>
            </v:group>
            <v:group style="position:absolute;left:4247;top:10;width:908;height:2" coordorigin="4247,10" coordsize="908,2">
              <v:shape style="position:absolute;left:4247;top:10;width:908;height:2" coordorigin="4247,10" coordsize="908,0" path="m4247,10l5154,10e" filled="false" stroked="true" strokeweight=".96pt" strokecolor="#41b7ee">
                <v:path arrowok="t"/>
              </v:shape>
            </v:group>
            <v:group style="position:absolute;left:5154;top:10;width:58;height:2" coordorigin="5154,10" coordsize="58,2">
              <v:shape style="position:absolute;left:5154;top:10;width:58;height:2" coordorigin="5154,10" coordsize="58,0" path="m5154,10l5211,10e" filled="false" stroked="true" strokeweight=".96pt" strokecolor="#41b7ee">
                <v:path arrowok="t"/>
              </v:shape>
            </v:group>
            <v:group style="position:absolute;left:5211;top:10;width:939;height:2" coordorigin="5211,10" coordsize="939,2">
              <v:shape style="position:absolute;left:5211;top:10;width:939;height:2" coordorigin="5211,10" coordsize="939,0" path="m5211,10l6150,10e" filled="false" stroked="true" strokeweight=".96pt" strokecolor="#41b7ee">
                <v:path arrowok="t"/>
              </v:shape>
            </v:group>
            <v:group style="position:absolute;left:6150;top:10;width:58;height:2" coordorigin="6150,10" coordsize="58,2">
              <v:shape style="position:absolute;left:6150;top:10;width:58;height:2" coordorigin="6150,10" coordsize="58,0" path="m6150,10l6208,10e" filled="false" stroked="true" strokeweight=".96pt" strokecolor="#41b7ee">
                <v:path arrowok="t"/>
              </v:shape>
            </v:group>
            <v:group style="position:absolute;left:6208;top:10;width:432;height:2" coordorigin="6208,10" coordsize="432,2">
              <v:shape style="position:absolute;left:6208;top:10;width:432;height:2" coordorigin="6208,10" coordsize="432,0" path="m6208,10l6640,10e" filled="false" stroked="true" strokeweight=".96pt" strokecolor="#41b7ee">
                <v:path arrowok="t"/>
              </v:shape>
            </v:group>
            <v:group style="position:absolute;left:6640;top:10;width:58;height:2" coordorigin="6640,10" coordsize="58,2">
              <v:shape style="position:absolute;left:6640;top:10;width:58;height:2" coordorigin="6640,10" coordsize="58,0" path="m6640,10l6697,10e" filled="false" stroked="true" strokeweight=".96pt" strokecolor="#41b7ee">
                <v:path arrowok="t"/>
              </v:shape>
            </v:group>
            <v:group style="position:absolute;left:6697;top:10;width:1059;height:2" coordorigin="6697,10" coordsize="1059,2">
              <v:shape style="position:absolute;left:6697;top:10;width:1059;height:2" coordorigin="6697,10" coordsize="1059,0" path="m6697,10l7756,10e" filled="false" stroked="true" strokeweight=".96pt" strokecolor="#41b7ee">
                <v:path arrowok="t"/>
              </v:shape>
            </v:group>
            <v:group style="position:absolute;left:7756;top:10;width:59;height:2" coordorigin="7756,10" coordsize="59,2">
              <v:shape style="position:absolute;left:7756;top:10;width:59;height:2" coordorigin="7756,10" coordsize="59,0" path="m7756,10l7814,10e" filled="false" stroked="true" strokeweight=".96pt" strokecolor="#41b7ee">
                <v:path arrowok="t"/>
              </v:shape>
            </v:group>
            <v:group style="position:absolute;left:7814;top:10;width:1088;height:2" coordorigin="7814,10" coordsize="1088,2">
              <v:shape style="position:absolute;left:7814;top:10;width:1088;height:2" coordorigin="7814,10" coordsize="1088,0" path="m7814,10l8901,10e" filled="false" stroked="true" strokeweight=".96pt" strokecolor="#41b7ee">
                <v:path arrowok="t"/>
              </v:shape>
            </v:group>
          </v:group>
        </w:pict>
      </w:r>
      <w:r>
        <w:rPr>
          <w:rFonts w:ascii="宋体" w:hAnsi="宋体" w:cs="宋体" w:eastAsia="宋体" w:hint="default"/>
          <w:sz w:val="2"/>
          <w:szCs w:val="2"/>
        </w:rPr>
      </w:r>
    </w:p>
    <w:tbl>
      <w:tblPr>
        <w:tblW w:w="0" w:type="auto"/>
        <w:jc w:val="left"/>
        <w:tblInd w:w="119" w:type="dxa"/>
        <w:tblLayout w:type="fixed"/>
        <w:tblCellMar>
          <w:top w:w="0" w:type="dxa"/>
          <w:left w:w="0" w:type="dxa"/>
          <w:bottom w:w="0" w:type="dxa"/>
          <w:right w:w="0" w:type="dxa"/>
        </w:tblCellMar>
        <w:tblLook w:val="01E0"/>
      </w:tblPr>
      <w:tblGrid>
        <w:gridCol w:w="1856"/>
        <w:gridCol w:w="1215"/>
        <w:gridCol w:w="1114"/>
        <w:gridCol w:w="965"/>
        <w:gridCol w:w="996"/>
        <w:gridCol w:w="490"/>
        <w:gridCol w:w="1116"/>
        <w:gridCol w:w="1141"/>
      </w:tblGrid>
      <w:tr>
        <w:trPr>
          <w:trHeight w:val="365" w:hRule="exact"/>
        </w:trPr>
        <w:tc>
          <w:tcPr>
            <w:tcW w:w="1856"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6"/>
              <w:ind w:left="28" w:right="0"/>
              <w:jc w:val="left"/>
              <w:rPr>
                <w:rFonts w:ascii="宋体" w:hAnsi="宋体" w:cs="宋体" w:eastAsia="宋体" w:hint="default"/>
                <w:sz w:val="21"/>
                <w:szCs w:val="21"/>
              </w:rPr>
            </w:pPr>
            <w:r>
              <w:rPr>
                <w:rFonts w:ascii="宋体" w:hAnsi="宋体" w:cs="宋体" w:eastAsia="宋体" w:hint="default"/>
                <w:sz w:val="21"/>
                <w:szCs w:val="21"/>
              </w:rPr>
              <w:t>测土配方项目</w:t>
            </w:r>
            <w:r>
              <w:rPr>
                <w:rFonts w:ascii="宋体" w:hAnsi="宋体" w:cs="宋体" w:eastAsia="宋体" w:hint="default"/>
                <w:sz w:val="21"/>
                <w:szCs w:val="21"/>
              </w:rPr>
              <w:t> </w:t>
            </w:r>
          </w:p>
        </w:tc>
        <w:tc>
          <w:tcPr>
            <w:tcW w:w="1215"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71"/>
              <w:ind w:left="278" w:right="0"/>
              <w:jc w:val="left"/>
              <w:rPr>
                <w:rFonts w:ascii="Arial" w:hAnsi="Arial" w:cs="Arial" w:eastAsia="Arial" w:hint="default"/>
                <w:sz w:val="18"/>
                <w:szCs w:val="18"/>
              </w:rPr>
            </w:pPr>
            <w:r>
              <w:rPr>
                <w:rFonts w:ascii="Arial"/>
                <w:sz w:val="18"/>
              </w:rPr>
              <w:t>366,030.00</w:t>
            </w:r>
          </w:p>
        </w:tc>
        <w:tc>
          <w:tcPr>
            <w:tcW w:w="1114" w:type="dxa"/>
            <w:tcBorders>
              <w:top w:val="single" w:sz="8" w:space="0" w:color="41B7EE"/>
              <w:left w:val="single" w:sz="4" w:space="0" w:color="41B7EE"/>
              <w:bottom w:val="single" w:sz="4" w:space="0" w:color="41B7EE"/>
              <w:right w:val="single" w:sz="4" w:space="0" w:color="41B7EE"/>
            </w:tcBorders>
          </w:tcPr>
          <w:p>
            <w:pPr/>
          </w:p>
        </w:tc>
        <w:tc>
          <w:tcPr>
            <w:tcW w:w="965" w:type="dxa"/>
            <w:tcBorders>
              <w:top w:val="single" w:sz="8" w:space="0" w:color="41B7EE"/>
              <w:left w:val="single" w:sz="4" w:space="0" w:color="41B7EE"/>
              <w:bottom w:val="single" w:sz="4" w:space="0" w:color="41B7EE"/>
              <w:right w:val="single" w:sz="4" w:space="0" w:color="41B7EE"/>
            </w:tcBorders>
          </w:tcPr>
          <w:p>
            <w:pPr/>
          </w:p>
        </w:tc>
        <w:tc>
          <w:tcPr>
            <w:tcW w:w="996"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71"/>
              <w:ind w:right="21"/>
              <w:jc w:val="right"/>
              <w:rPr>
                <w:rFonts w:ascii="Arial" w:hAnsi="Arial" w:cs="Arial" w:eastAsia="Arial" w:hint="default"/>
                <w:sz w:val="18"/>
                <w:szCs w:val="18"/>
              </w:rPr>
            </w:pPr>
            <w:r>
              <w:rPr>
                <w:rFonts w:ascii="Arial"/>
                <w:spacing w:val="-1"/>
                <w:sz w:val="18"/>
              </w:rPr>
              <w:t>40,976.29</w:t>
            </w:r>
          </w:p>
        </w:tc>
        <w:tc>
          <w:tcPr>
            <w:tcW w:w="490" w:type="dxa"/>
            <w:tcBorders>
              <w:top w:val="single" w:sz="8" w:space="0" w:color="41B7EE"/>
              <w:left w:val="single" w:sz="4" w:space="0" w:color="41B7EE"/>
              <w:bottom w:val="single" w:sz="4" w:space="0" w:color="41B7EE"/>
              <w:right w:val="single" w:sz="4" w:space="0" w:color="41B7EE"/>
            </w:tcBorders>
          </w:tcPr>
          <w:p>
            <w:pPr/>
          </w:p>
        </w:tc>
        <w:tc>
          <w:tcPr>
            <w:tcW w:w="1116"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71"/>
              <w:ind w:left="154" w:right="0"/>
              <w:jc w:val="center"/>
              <w:rPr>
                <w:rFonts w:ascii="Arial" w:hAnsi="Arial" w:cs="Arial" w:eastAsia="Arial" w:hint="default"/>
                <w:sz w:val="18"/>
                <w:szCs w:val="18"/>
              </w:rPr>
            </w:pPr>
            <w:r>
              <w:rPr>
                <w:rFonts w:ascii="Arial"/>
                <w:sz w:val="18"/>
              </w:rPr>
              <w:t>325,053.71</w:t>
            </w:r>
          </w:p>
        </w:tc>
        <w:tc>
          <w:tcPr>
            <w:tcW w:w="1141"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13"/>
              <w:ind w:right="11"/>
              <w:jc w:val="right"/>
              <w:rPr>
                <w:rFonts w:ascii="宋体" w:hAnsi="宋体" w:cs="宋体" w:eastAsia="宋体" w:hint="default"/>
                <w:sz w:val="20"/>
                <w:szCs w:val="20"/>
              </w:rPr>
            </w:pPr>
            <w:r>
              <w:rPr>
                <w:rFonts w:ascii="宋体" w:hAnsi="宋体" w:cs="宋体" w:eastAsia="宋体" w:hint="default"/>
                <w:sz w:val="20"/>
                <w:szCs w:val="20"/>
              </w:rPr>
              <w:t>与资产相关</w:t>
            </w:r>
            <w:r>
              <w:rPr>
                <w:rFonts w:ascii="宋体" w:hAnsi="宋体" w:cs="宋体" w:eastAsia="宋体" w:hint="default"/>
                <w:sz w:val="20"/>
                <w:szCs w:val="20"/>
              </w:rPr>
              <w:t> </w:t>
            </w:r>
          </w:p>
        </w:tc>
      </w:tr>
      <w:tr>
        <w:trPr>
          <w:trHeight w:val="355" w:hRule="exact"/>
        </w:trPr>
        <w:tc>
          <w:tcPr>
            <w:tcW w:w="185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新建粮食仓储项目</w:t>
            </w:r>
            <w:r>
              <w:rPr>
                <w:rFonts w:ascii="宋体" w:hAnsi="宋体" w:cs="宋体" w:eastAsia="宋体" w:hint="default"/>
                <w:sz w:val="21"/>
                <w:szCs w:val="21"/>
              </w:rPr>
              <w:t> </w:t>
            </w:r>
          </w:p>
        </w:tc>
        <w:tc>
          <w:tcPr>
            <w:tcW w:w="1215" w:type="dxa"/>
            <w:tcBorders>
              <w:top w:val="single" w:sz="4" w:space="0" w:color="41B7EE"/>
              <w:left w:val="single" w:sz="4" w:space="0" w:color="41B7EE"/>
              <w:bottom w:val="single" w:sz="4" w:space="0" w:color="41B7EE"/>
              <w:right w:val="single" w:sz="4" w:space="0" w:color="41B7EE"/>
            </w:tcBorders>
          </w:tcPr>
          <w:p>
            <w:pPr/>
          </w:p>
        </w:tc>
        <w:tc>
          <w:tcPr>
            <w:tcW w:w="111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2,500,000.00</w:t>
            </w:r>
          </w:p>
        </w:tc>
        <w:tc>
          <w:tcPr>
            <w:tcW w:w="965" w:type="dxa"/>
            <w:tcBorders>
              <w:top w:val="single" w:sz="4" w:space="0" w:color="41B7EE"/>
              <w:left w:val="single" w:sz="4" w:space="0" w:color="41B7EE"/>
              <w:bottom w:val="single" w:sz="4" w:space="0" w:color="41B7EE"/>
              <w:right w:val="single" w:sz="4" w:space="0" w:color="41B7EE"/>
            </w:tcBorders>
          </w:tcPr>
          <w:p>
            <w:pPr/>
          </w:p>
        </w:tc>
        <w:tc>
          <w:tcPr>
            <w:tcW w:w="996" w:type="dxa"/>
            <w:tcBorders>
              <w:top w:val="single" w:sz="4" w:space="0" w:color="41B7EE"/>
              <w:left w:val="single" w:sz="4" w:space="0" w:color="41B7EE"/>
              <w:bottom w:val="single" w:sz="4" w:space="0" w:color="41B7EE"/>
              <w:right w:val="single" w:sz="4" w:space="0" w:color="41B7EE"/>
            </w:tcBorders>
          </w:tcPr>
          <w:p>
            <w:pPr/>
          </w:p>
        </w:tc>
        <w:tc>
          <w:tcPr>
            <w:tcW w:w="490" w:type="dxa"/>
            <w:tcBorders>
              <w:top w:val="single" w:sz="4" w:space="0" w:color="41B7EE"/>
              <w:left w:val="single" w:sz="4" w:space="0" w:color="41B7EE"/>
              <w:bottom w:val="single" w:sz="4" w:space="0" w:color="41B7EE"/>
              <w:right w:val="single" w:sz="4" w:space="0" w:color="41B7EE"/>
            </w:tcBorders>
          </w:tcPr>
          <w:p>
            <w:pPr/>
          </w:p>
        </w:tc>
        <w:tc>
          <w:tcPr>
            <w:tcW w:w="111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left="2" w:right="0"/>
              <w:jc w:val="center"/>
              <w:rPr>
                <w:rFonts w:ascii="Arial" w:hAnsi="Arial" w:cs="Arial" w:eastAsia="Arial" w:hint="default"/>
                <w:sz w:val="18"/>
                <w:szCs w:val="18"/>
              </w:rPr>
            </w:pPr>
            <w:r>
              <w:rPr>
                <w:rFonts w:ascii="Arial"/>
                <w:sz w:val="18"/>
              </w:rPr>
              <w:t>2,500,000.00</w:t>
            </w:r>
          </w:p>
        </w:tc>
        <w:tc>
          <w:tcPr>
            <w:tcW w:w="114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1"/>
              <w:ind w:right="11"/>
              <w:jc w:val="right"/>
              <w:rPr>
                <w:rFonts w:ascii="宋体" w:hAnsi="宋体" w:cs="宋体" w:eastAsia="宋体" w:hint="default"/>
                <w:sz w:val="20"/>
                <w:szCs w:val="20"/>
              </w:rPr>
            </w:pPr>
            <w:r>
              <w:rPr>
                <w:rFonts w:ascii="宋体" w:hAnsi="宋体" w:cs="宋体" w:eastAsia="宋体" w:hint="default"/>
                <w:sz w:val="20"/>
                <w:szCs w:val="20"/>
              </w:rPr>
              <w:t>与资产相关</w:t>
            </w:r>
            <w:r>
              <w:rPr>
                <w:rFonts w:ascii="宋体" w:hAnsi="宋体" w:cs="宋体" w:eastAsia="宋体" w:hint="default"/>
                <w:sz w:val="20"/>
                <w:szCs w:val="20"/>
              </w:rPr>
              <w:t> </w:t>
            </w:r>
          </w:p>
        </w:tc>
      </w:tr>
      <w:tr>
        <w:trPr>
          <w:trHeight w:val="384" w:hRule="exact"/>
        </w:trPr>
        <w:tc>
          <w:tcPr>
            <w:tcW w:w="1856"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国家农机补贴</w:t>
            </w:r>
            <w:r>
              <w:rPr>
                <w:rFonts w:ascii="宋体" w:hAnsi="宋体" w:cs="宋体" w:eastAsia="宋体" w:hint="default"/>
                <w:sz w:val="21"/>
                <w:szCs w:val="21"/>
              </w:rPr>
              <w:t> </w:t>
            </w:r>
          </w:p>
        </w:tc>
        <w:tc>
          <w:tcPr>
            <w:tcW w:w="1215" w:type="dxa"/>
            <w:tcBorders>
              <w:top w:val="single" w:sz="4" w:space="0" w:color="41B7EE"/>
              <w:left w:val="single" w:sz="4" w:space="0" w:color="41B7EE"/>
              <w:bottom w:val="single" w:sz="23" w:space="0" w:color="41B7EE"/>
              <w:right w:val="single" w:sz="4" w:space="0" w:color="41B7EE"/>
            </w:tcBorders>
          </w:tcPr>
          <w:p>
            <w:pPr/>
          </w:p>
        </w:tc>
        <w:tc>
          <w:tcPr>
            <w:tcW w:w="1114"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71"/>
              <w:ind w:right="21"/>
              <w:jc w:val="right"/>
              <w:rPr>
                <w:rFonts w:ascii="Arial" w:hAnsi="Arial" w:cs="Arial" w:eastAsia="Arial" w:hint="default"/>
                <w:sz w:val="18"/>
                <w:szCs w:val="18"/>
              </w:rPr>
            </w:pPr>
            <w:r>
              <w:rPr>
                <w:rFonts w:ascii="Arial"/>
                <w:spacing w:val="-1"/>
                <w:sz w:val="18"/>
              </w:rPr>
              <w:t>124,500.00</w:t>
            </w:r>
          </w:p>
        </w:tc>
        <w:tc>
          <w:tcPr>
            <w:tcW w:w="965" w:type="dxa"/>
            <w:tcBorders>
              <w:top w:val="single" w:sz="4" w:space="0" w:color="41B7EE"/>
              <w:left w:val="single" w:sz="4" w:space="0" w:color="41B7EE"/>
              <w:bottom w:val="single" w:sz="23" w:space="0" w:color="41B7EE"/>
              <w:right w:val="single" w:sz="4" w:space="0" w:color="41B7EE"/>
            </w:tcBorders>
          </w:tcPr>
          <w:p>
            <w:pPr/>
          </w:p>
        </w:tc>
        <w:tc>
          <w:tcPr>
            <w:tcW w:w="996"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71"/>
              <w:ind w:right="20"/>
              <w:jc w:val="right"/>
              <w:rPr>
                <w:rFonts w:ascii="Arial" w:hAnsi="Arial" w:cs="Arial" w:eastAsia="Arial" w:hint="default"/>
                <w:sz w:val="18"/>
                <w:szCs w:val="18"/>
              </w:rPr>
            </w:pPr>
            <w:r>
              <w:rPr>
                <w:rFonts w:ascii="Arial"/>
                <w:spacing w:val="-1"/>
                <w:sz w:val="18"/>
              </w:rPr>
              <w:t>691.67</w:t>
            </w:r>
          </w:p>
        </w:tc>
        <w:tc>
          <w:tcPr>
            <w:tcW w:w="490" w:type="dxa"/>
            <w:tcBorders>
              <w:top w:val="single" w:sz="4" w:space="0" w:color="41B7EE"/>
              <w:left w:val="single" w:sz="4" w:space="0" w:color="41B7EE"/>
              <w:bottom w:val="single" w:sz="23" w:space="0" w:color="41B7EE"/>
              <w:right w:val="single" w:sz="4" w:space="0" w:color="41B7EE"/>
            </w:tcBorders>
          </w:tcPr>
          <w:p>
            <w:pPr/>
          </w:p>
        </w:tc>
        <w:tc>
          <w:tcPr>
            <w:tcW w:w="1116"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71"/>
              <w:ind w:left="154" w:right="0"/>
              <w:jc w:val="center"/>
              <w:rPr>
                <w:rFonts w:ascii="Arial" w:hAnsi="Arial" w:cs="Arial" w:eastAsia="Arial" w:hint="default"/>
                <w:sz w:val="18"/>
                <w:szCs w:val="18"/>
              </w:rPr>
            </w:pPr>
            <w:r>
              <w:rPr>
                <w:rFonts w:ascii="Arial"/>
                <w:sz w:val="18"/>
              </w:rPr>
              <w:t>123,808.33</w:t>
            </w:r>
          </w:p>
        </w:tc>
        <w:tc>
          <w:tcPr>
            <w:tcW w:w="1141"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13"/>
              <w:ind w:right="11"/>
              <w:jc w:val="right"/>
              <w:rPr>
                <w:rFonts w:ascii="宋体" w:hAnsi="宋体" w:cs="宋体" w:eastAsia="宋体" w:hint="default"/>
                <w:sz w:val="20"/>
                <w:szCs w:val="20"/>
              </w:rPr>
            </w:pPr>
            <w:r>
              <w:rPr>
                <w:rFonts w:ascii="宋体" w:hAnsi="宋体" w:cs="宋体" w:eastAsia="宋体" w:hint="default"/>
                <w:sz w:val="20"/>
                <w:szCs w:val="20"/>
              </w:rPr>
              <w:t>与资产相关</w:t>
            </w:r>
            <w:r>
              <w:rPr>
                <w:rFonts w:ascii="宋体" w:hAnsi="宋体" w:cs="宋体" w:eastAsia="宋体" w:hint="default"/>
                <w:sz w:val="20"/>
                <w:szCs w:val="20"/>
              </w:rPr>
              <w:t> </w:t>
            </w:r>
          </w:p>
        </w:tc>
      </w:tr>
    </w:tbl>
    <w:p>
      <w:pPr>
        <w:spacing w:after="0" w:line="240" w:lineRule="auto"/>
        <w:jc w:val="right"/>
        <w:rPr>
          <w:rFonts w:ascii="宋体" w:hAnsi="宋体" w:cs="宋体" w:eastAsia="宋体" w:hint="default"/>
          <w:sz w:val="20"/>
          <w:szCs w:val="20"/>
        </w:rPr>
        <w:sectPr>
          <w:pgSz w:w="11910" w:h="16840"/>
          <w:pgMar w:header="826" w:footer="1195" w:top="1300" w:bottom="1380" w:left="1100" w:right="1580"/>
        </w:sectPr>
      </w:pPr>
    </w:p>
    <w:p>
      <w:pPr>
        <w:pStyle w:val="BodyText"/>
        <w:spacing w:line="240" w:lineRule="auto" w:before="44"/>
        <w:ind w:left="176" w:right="0"/>
        <w:jc w:val="left"/>
        <w:rPr>
          <w:rFonts w:ascii="宋体" w:hAnsi="宋体" w:cs="宋体" w:eastAsia="宋体" w:hint="default"/>
        </w:rPr>
      </w:pPr>
      <w:bookmarkStart w:name="OLE_LINK84" w:id="17"/>
      <w:bookmarkEnd w:id="17"/>
      <w:r>
        <w:rPr/>
      </w:r>
      <w:bookmarkStart w:name="OLE_LINK85" w:id="18"/>
      <w:bookmarkEnd w:id="18"/>
      <w:r>
        <w:rPr/>
      </w:r>
      <w:r>
        <w:rPr/>
        <w:t>其他说明：</w:t>
      </w:r>
      <w:r>
        <w:rPr>
          <w:rFonts w:ascii="宋体" w:hAnsi="宋体" w:cs="宋体" w:eastAsia="宋体" w:hint="default"/>
        </w:rPr>
        <w:t> </w:t>
      </w:r>
    </w:p>
    <w:p>
      <w:pPr>
        <w:spacing w:line="290" w:lineRule="auto" w:before="58"/>
        <w:ind w:left="17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50</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其他非流动负债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176" w:right="11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51</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股本</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17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6"/>
        <w:ind w:left="17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100" w:right="1580"/>
          <w:cols w:num="2" w:equalWidth="0">
            <w:col w:w="2263" w:space="4259"/>
            <w:col w:w="270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956"/>
        <w:gridCol w:w="1865"/>
        <w:gridCol w:w="799"/>
        <w:gridCol w:w="799"/>
        <w:gridCol w:w="869"/>
        <w:gridCol w:w="886"/>
        <w:gridCol w:w="857"/>
        <w:gridCol w:w="1860"/>
      </w:tblGrid>
      <w:tr>
        <w:trPr>
          <w:trHeight w:val="385" w:hRule="exact"/>
        </w:trPr>
        <w:tc>
          <w:tcPr>
            <w:tcW w:w="956" w:type="dxa"/>
            <w:vMerge w:val="restart"/>
            <w:tcBorders>
              <w:top w:val="single" w:sz="23" w:space="0" w:color="41B7EE"/>
              <w:left w:val="nil" w:sz="6" w:space="0" w:color="auto"/>
              <w:right w:val="single" w:sz="4" w:space="0" w:color="41B7EE"/>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10" w:right="0"/>
              <w:jc w:val="center"/>
              <w:rPr>
                <w:rFonts w:ascii="宋体" w:hAnsi="宋体" w:cs="宋体" w:eastAsia="宋体" w:hint="default"/>
                <w:sz w:val="21"/>
                <w:szCs w:val="21"/>
              </w:rPr>
            </w:pPr>
            <w:r>
              <w:rPr>
                <w:rFonts w:ascii="宋体"/>
                <w:w w:val="100"/>
                <w:sz w:val="21"/>
              </w:rPr>
              <w:t> </w:t>
            </w:r>
          </w:p>
        </w:tc>
        <w:tc>
          <w:tcPr>
            <w:tcW w:w="1865" w:type="dxa"/>
            <w:vMerge w:val="restart"/>
            <w:tcBorders>
              <w:top w:val="single" w:sz="23" w:space="0" w:color="41B7EE"/>
              <w:left w:val="single" w:sz="4" w:space="0" w:color="41B7EE"/>
              <w:right w:val="single" w:sz="4" w:space="0" w:color="41B7EE"/>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50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210" w:type="dxa"/>
            <w:gridSpan w:val="5"/>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left="996"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w:t>
            </w:r>
          </w:p>
        </w:tc>
        <w:tc>
          <w:tcPr>
            <w:tcW w:w="1860" w:type="dxa"/>
            <w:vMerge w:val="restart"/>
            <w:tcBorders>
              <w:top w:val="single" w:sz="23" w:space="0" w:color="41B7EE"/>
              <w:left w:val="single" w:sz="4" w:space="0" w:color="41B7EE"/>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50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956" w:type="dxa"/>
            <w:vMerge/>
            <w:tcBorders>
              <w:left w:val="nil" w:sz="6" w:space="0" w:color="auto"/>
              <w:bottom w:val="single" w:sz="4" w:space="0" w:color="41B7EE"/>
              <w:right w:val="single" w:sz="4" w:space="0" w:color="41B7EE"/>
            </w:tcBorders>
          </w:tcPr>
          <w:p>
            <w:pPr/>
          </w:p>
        </w:tc>
        <w:tc>
          <w:tcPr>
            <w:tcW w:w="1865" w:type="dxa"/>
            <w:vMerge/>
            <w:tcBorders>
              <w:left w:val="single" w:sz="4" w:space="0" w:color="41B7EE"/>
              <w:bottom w:val="single" w:sz="4" w:space="0" w:color="41B7EE"/>
              <w:right w:val="single" w:sz="4" w:space="0" w:color="41B7EE"/>
            </w:tcBorders>
          </w:tcPr>
          <w:p>
            <w:pPr/>
          </w:p>
        </w:tc>
        <w:tc>
          <w:tcPr>
            <w:tcW w:w="799" w:type="dxa"/>
            <w:tcBorders>
              <w:top w:val="single" w:sz="4" w:space="0" w:color="41B7EE"/>
              <w:left w:val="single" w:sz="4" w:space="0" w:color="41B7EE"/>
              <w:bottom w:val="single" w:sz="4" w:space="0" w:color="41B7EE"/>
              <w:right w:val="single" w:sz="4" w:space="0" w:color="41B7EE"/>
            </w:tcBorders>
          </w:tcPr>
          <w:p>
            <w:pPr>
              <w:pStyle w:val="TableParagraph"/>
              <w:spacing w:line="240" w:lineRule="exact"/>
              <w:ind w:left="182" w:right="0"/>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z w:val="21"/>
                <w:szCs w:val="21"/>
              </w:rPr>
              <w:t> </w:t>
            </w:r>
          </w:p>
          <w:p>
            <w:pPr>
              <w:pStyle w:val="TableParagraph"/>
              <w:spacing w:line="274" w:lineRule="exact"/>
              <w:ind w:left="182" w:right="0"/>
              <w:jc w:val="left"/>
              <w:rPr>
                <w:rFonts w:ascii="宋体" w:hAnsi="宋体" w:cs="宋体" w:eastAsia="宋体" w:hint="default"/>
                <w:sz w:val="21"/>
                <w:szCs w:val="21"/>
              </w:rPr>
            </w:pPr>
            <w:r>
              <w:rPr>
                <w:rFonts w:ascii="宋体" w:hAnsi="宋体" w:cs="宋体" w:eastAsia="宋体" w:hint="default"/>
                <w:sz w:val="21"/>
                <w:szCs w:val="21"/>
              </w:rPr>
              <w:t>新股</w:t>
            </w:r>
            <w:r>
              <w:rPr>
                <w:rFonts w:ascii="宋体" w:hAnsi="宋体" w:cs="宋体" w:eastAsia="宋体" w:hint="default"/>
                <w:sz w:val="21"/>
                <w:szCs w:val="21"/>
              </w:rPr>
              <w:t> </w:t>
            </w:r>
          </w:p>
        </w:tc>
        <w:tc>
          <w:tcPr>
            <w:tcW w:w="79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182" w:right="0"/>
              <w:jc w:val="left"/>
              <w:rPr>
                <w:rFonts w:ascii="宋体" w:hAnsi="宋体" w:cs="宋体" w:eastAsia="宋体" w:hint="default"/>
                <w:sz w:val="21"/>
                <w:szCs w:val="21"/>
              </w:rPr>
            </w:pPr>
            <w:r>
              <w:rPr>
                <w:rFonts w:ascii="宋体" w:hAnsi="宋体" w:cs="宋体" w:eastAsia="宋体" w:hint="default"/>
                <w:sz w:val="21"/>
                <w:szCs w:val="21"/>
              </w:rPr>
              <w:t>送股</w:t>
            </w:r>
            <w:r>
              <w:rPr>
                <w:rFonts w:ascii="宋体" w:hAnsi="宋体" w:cs="宋体" w:eastAsia="宋体" w:hint="default"/>
                <w:sz w:val="21"/>
                <w:szCs w:val="21"/>
              </w:rPr>
              <w:t> </w:t>
            </w:r>
          </w:p>
        </w:tc>
        <w:tc>
          <w:tcPr>
            <w:tcW w:w="869" w:type="dxa"/>
            <w:tcBorders>
              <w:top w:val="single" w:sz="4" w:space="0" w:color="41B7EE"/>
              <w:left w:val="single" w:sz="4" w:space="0" w:color="41B7EE"/>
              <w:bottom w:val="single" w:sz="4" w:space="0" w:color="41B7EE"/>
              <w:right w:val="single" w:sz="4" w:space="0" w:color="41B7EE"/>
            </w:tcBorders>
          </w:tcPr>
          <w:p>
            <w:pPr>
              <w:pStyle w:val="TableParagraph"/>
              <w:spacing w:line="240" w:lineRule="exact"/>
              <w:ind w:left="102" w:right="0"/>
              <w:jc w:val="center"/>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z w:val="21"/>
                <w:szCs w:val="21"/>
              </w:rPr>
              <w:t> </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转股</w:t>
            </w:r>
            <w:r>
              <w:rPr>
                <w:rFonts w:ascii="宋体" w:hAnsi="宋体" w:cs="宋体" w:eastAsia="宋体" w:hint="default"/>
                <w:sz w:val="21"/>
                <w:szCs w:val="21"/>
              </w:rPr>
              <w:t> </w:t>
            </w:r>
          </w:p>
        </w:tc>
        <w:tc>
          <w:tcPr>
            <w:tcW w:w="88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22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85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860" w:type="dxa"/>
            <w:vMerge/>
            <w:tcBorders>
              <w:left w:val="single" w:sz="4" w:space="0" w:color="41B7EE"/>
              <w:bottom w:val="single" w:sz="4" w:space="0" w:color="41B7EE"/>
              <w:right w:val="nil" w:sz="6" w:space="0" w:color="auto"/>
            </w:tcBorders>
          </w:tcPr>
          <w:p>
            <w:pPr/>
          </w:p>
        </w:tc>
      </w:tr>
      <w:tr>
        <w:trPr>
          <w:trHeight w:val="384" w:hRule="exact"/>
        </w:trPr>
        <w:tc>
          <w:tcPr>
            <w:tcW w:w="956"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58" w:right="-53"/>
              <w:jc w:val="left"/>
              <w:rPr>
                <w:rFonts w:ascii="宋体" w:hAnsi="宋体" w:cs="宋体" w:eastAsia="宋体" w:hint="default"/>
                <w:sz w:val="21"/>
                <w:szCs w:val="21"/>
              </w:rPr>
            </w:pPr>
            <w:r>
              <w:rPr>
                <w:rFonts w:ascii="宋体" w:hAnsi="宋体" w:cs="宋体" w:eastAsia="宋体" w:hint="default"/>
                <w:sz w:val="21"/>
                <w:szCs w:val="21"/>
              </w:rPr>
              <w:t>股份总数</w:t>
            </w:r>
            <w:r>
              <w:rPr>
                <w:rFonts w:ascii="宋体" w:hAnsi="宋体" w:cs="宋体" w:eastAsia="宋体" w:hint="default"/>
                <w:sz w:val="21"/>
                <w:szCs w:val="21"/>
              </w:rPr>
              <w:t> </w:t>
            </w:r>
          </w:p>
        </w:tc>
        <w:tc>
          <w:tcPr>
            <w:tcW w:w="1865"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left="196" w:right="0"/>
              <w:jc w:val="left"/>
              <w:rPr>
                <w:rFonts w:ascii="Arial" w:hAnsi="Arial" w:cs="Arial" w:eastAsia="Arial" w:hint="default"/>
                <w:sz w:val="21"/>
                <w:szCs w:val="21"/>
              </w:rPr>
            </w:pPr>
            <w:r>
              <w:rPr>
                <w:rFonts w:ascii="Arial"/>
                <w:sz w:val="21"/>
              </w:rPr>
              <w:t>1,777,679,909.00</w:t>
            </w:r>
          </w:p>
        </w:tc>
        <w:tc>
          <w:tcPr>
            <w:tcW w:w="799" w:type="dxa"/>
            <w:tcBorders>
              <w:top w:val="single" w:sz="4" w:space="0" w:color="41B7EE"/>
              <w:left w:val="single" w:sz="4" w:space="0" w:color="41B7EE"/>
              <w:bottom w:val="single" w:sz="23" w:space="0" w:color="41B7EE"/>
              <w:right w:val="single" w:sz="4" w:space="0" w:color="41B7EE"/>
            </w:tcBorders>
          </w:tcPr>
          <w:p>
            <w:pPr/>
          </w:p>
        </w:tc>
        <w:tc>
          <w:tcPr>
            <w:tcW w:w="799" w:type="dxa"/>
            <w:tcBorders>
              <w:top w:val="single" w:sz="4" w:space="0" w:color="41B7EE"/>
              <w:left w:val="single" w:sz="4" w:space="0" w:color="41B7EE"/>
              <w:bottom w:val="single" w:sz="23" w:space="0" w:color="41B7EE"/>
              <w:right w:val="single" w:sz="4" w:space="0" w:color="41B7EE"/>
            </w:tcBorders>
          </w:tcPr>
          <w:p>
            <w:pPr/>
          </w:p>
        </w:tc>
        <w:tc>
          <w:tcPr>
            <w:tcW w:w="869" w:type="dxa"/>
            <w:tcBorders>
              <w:top w:val="single" w:sz="4" w:space="0" w:color="41B7EE"/>
              <w:left w:val="single" w:sz="4" w:space="0" w:color="41B7EE"/>
              <w:bottom w:val="single" w:sz="23" w:space="0" w:color="41B7EE"/>
              <w:right w:val="single" w:sz="4" w:space="0" w:color="41B7EE"/>
            </w:tcBorders>
          </w:tcPr>
          <w:p>
            <w:pPr/>
          </w:p>
        </w:tc>
        <w:tc>
          <w:tcPr>
            <w:tcW w:w="886" w:type="dxa"/>
            <w:tcBorders>
              <w:top w:val="single" w:sz="4" w:space="0" w:color="41B7EE"/>
              <w:left w:val="single" w:sz="4" w:space="0" w:color="41B7EE"/>
              <w:bottom w:val="single" w:sz="23" w:space="0" w:color="41B7EE"/>
              <w:right w:val="single" w:sz="4" w:space="0" w:color="41B7EE"/>
            </w:tcBorders>
          </w:tcPr>
          <w:p>
            <w:pPr/>
          </w:p>
        </w:tc>
        <w:tc>
          <w:tcPr>
            <w:tcW w:w="857" w:type="dxa"/>
            <w:tcBorders>
              <w:top w:val="single" w:sz="4" w:space="0" w:color="41B7EE"/>
              <w:left w:val="single" w:sz="4" w:space="0" w:color="41B7EE"/>
              <w:bottom w:val="single" w:sz="23" w:space="0" w:color="41B7EE"/>
              <w:right w:val="single" w:sz="4" w:space="0" w:color="41B7EE"/>
            </w:tcBorders>
          </w:tcPr>
          <w:p>
            <w:pPr/>
          </w:p>
        </w:tc>
        <w:tc>
          <w:tcPr>
            <w:tcW w:w="1860"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left="191" w:right="0"/>
              <w:jc w:val="left"/>
              <w:rPr>
                <w:rFonts w:ascii="Arial" w:hAnsi="Arial" w:cs="Arial" w:eastAsia="Arial" w:hint="default"/>
                <w:sz w:val="21"/>
                <w:szCs w:val="21"/>
              </w:rPr>
            </w:pPr>
            <w:r>
              <w:rPr>
                <w:rFonts w:ascii="Arial"/>
                <w:sz w:val="21"/>
              </w:rPr>
              <w:t>1,777,679,909.00</w:t>
            </w:r>
          </w:p>
        </w:tc>
      </w:tr>
    </w:tbl>
    <w:p>
      <w:pPr>
        <w:pStyle w:val="Heading2"/>
        <w:spacing w:line="290" w:lineRule="auto" w:before="26"/>
        <w:ind w:left="176" w:right="2013"/>
        <w:jc w:val="left"/>
        <w:rPr>
          <w:rFonts w:ascii="宋体" w:hAnsi="宋体" w:cs="宋体" w:eastAsia="宋体" w:hint="default"/>
          <w:b w:val="0"/>
          <w:bCs w:val="0"/>
        </w:rPr>
      </w:pPr>
      <w:r>
        <w:rPr/>
        <w:pict>
          <v:group style="position:absolute;margin-left:110.419998pt;margin-top:-18.356339pt;width:91.6pt;height:13.35pt;mso-position-horizontal-relative:page;mso-position-vertical-relative:paragraph;z-index:-939616" coordorigin="2208,-367" coordsize="1832,267">
            <v:group style="position:absolute;left:2220;top:-355;width:2;height:243" coordorigin="2220,-355" coordsize="2,243">
              <v:shape style="position:absolute;left:2220;top:-355;width:2;height:243" coordorigin="2220,-355" coordsize="0,243" path="m2220,-355l2220,-113e" filled="false" stroked="true" strokeweight="1.2pt" strokecolor="#ffffff">
                <v:path arrowok="t"/>
              </v:shape>
            </v:group>
            <v:group style="position:absolute;left:2232;top:-355;width:1808;height:243" coordorigin="2232,-355" coordsize="1808,243">
              <v:shape style="position:absolute;left:2232;top:-355;width:1808;height:243" coordorigin="2232,-355" coordsize="1808,243" path="m2232,-113l4040,-113,4040,-355,2232,-355,2232,-113xe" filled="true" fillcolor="#ffffff" stroked="false">
                <v:path arrowok="t"/>
                <v:fill type="solid"/>
              </v:shape>
            </v:group>
            <w10:wrap type="none"/>
          </v:group>
        </w:pict>
      </w:r>
      <w:r>
        <w:rPr>
          <w:rFonts w:ascii="宋体" w:hAnsi="宋体" w:cs="宋体" w:eastAsia="宋体" w:hint="default"/>
        </w:rPr>
        <w:t>52</w:t>
      </w:r>
      <w:r>
        <w:rPr/>
        <w:t>、</w:t>
      </w:r>
      <w:r>
        <w:rPr>
          <w:spacing w:val="-25"/>
        </w:rPr>
        <w:t> </w:t>
      </w:r>
      <w:r>
        <w:rPr/>
        <w:t>其他权益工具</w:t>
      </w:r>
      <w:r>
        <w:rPr>
          <w:rFonts w:ascii="宋体" w:hAnsi="宋体" w:cs="宋体" w:eastAsia="宋体" w:hint="default"/>
          <w:w w:val="99"/>
        </w:rPr>
        <w:t> </w:t>
      </w:r>
      <w:r>
        <w:rPr>
          <w:rFonts w:ascii="宋体" w:hAnsi="宋体" w:cs="宋体" w:eastAsia="宋体" w:hint="default"/>
        </w:rPr>
        <w:t>(1).</w:t>
      </w:r>
      <w:r>
        <w:rPr/>
        <w:t>期末发行在外的优先股、永续债等其他金融工具基本情况</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176" w:right="201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期末发行在外的优先股、永续债等金融工具变动情况表</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left="176" w:right="35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其他权益工具本期增减变动情况、变动原因说明，以及相关会计处理的依据：</w:t>
      </w:r>
      <w:r>
        <w:rPr>
          <w:rFonts w:ascii="宋体" w:hAnsi="宋体" w:cs="宋体" w:eastAsia="宋体" w:hint="default"/>
        </w:rPr>
        <w:t> </w:t>
      </w:r>
    </w:p>
    <w:p>
      <w:pPr>
        <w:pStyle w:val="BodyText"/>
        <w:spacing w:line="249" w:lineRule="exact"/>
        <w:ind w:left="176" w:right="10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left="176" w:right="102"/>
        <w:jc w:val="left"/>
        <w:rPr>
          <w:rFonts w:ascii="宋体" w:hAnsi="宋体" w:cs="宋体" w:eastAsia="宋体" w:hint="default"/>
          <w:b w:val="0"/>
          <w:bCs w:val="0"/>
        </w:rPr>
      </w:pPr>
      <w:r>
        <w:rPr>
          <w:rFonts w:ascii="宋体" w:hAnsi="宋体" w:cs="宋体" w:eastAsia="宋体" w:hint="default"/>
        </w:rPr>
        <w:t>53</w:t>
      </w:r>
      <w:r>
        <w:rPr/>
        <w:t>、</w:t>
      </w:r>
      <w:r>
        <w:rPr>
          <w:spacing w:val="-27"/>
        </w:rPr>
        <w:t> </w:t>
      </w:r>
      <w:r>
        <w:rPr/>
        <w:t>资本公积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176" w:right="10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0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309"/>
        <w:gridCol w:w="1885"/>
        <w:gridCol w:w="1515"/>
        <w:gridCol w:w="1385"/>
        <w:gridCol w:w="1798"/>
      </w:tblGrid>
      <w:tr>
        <w:trPr>
          <w:trHeight w:val="382" w:hRule="exact"/>
        </w:trPr>
        <w:tc>
          <w:tcPr>
            <w:tcW w:w="2309"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4"/>
              <w:ind w:left="11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85"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4"/>
              <w:ind w:left="51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15"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4"/>
              <w:ind w:left="331"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385"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4"/>
              <w:ind w:left="266"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798"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4"/>
              <w:ind w:left="47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58" w:hRule="exact"/>
        </w:trPr>
        <w:tc>
          <w:tcPr>
            <w:tcW w:w="23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资本溢价（股本溢价）</w:t>
            </w:r>
            <w:r>
              <w:rPr>
                <w:rFonts w:ascii="宋体" w:hAnsi="宋体" w:cs="宋体" w:eastAsia="宋体" w:hint="default"/>
                <w:sz w:val="21"/>
                <w:szCs w:val="21"/>
              </w:rPr>
              <w:t> </w:t>
            </w:r>
          </w:p>
        </w:tc>
        <w:tc>
          <w:tcPr>
            <w:tcW w:w="188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2,377,834,854.36</w:t>
            </w:r>
          </w:p>
        </w:tc>
        <w:tc>
          <w:tcPr>
            <w:tcW w:w="151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-5,239,104.40</w:t>
            </w:r>
          </w:p>
        </w:tc>
        <w:tc>
          <w:tcPr>
            <w:tcW w:w="1385" w:type="dxa"/>
            <w:tcBorders>
              <w:top w:val="single" w:sz="4" w:space="0" w:color="41B7EE"/>
              <w:left w:val="single" w:sz="4" w:space="0" w:color="41B7EE"/>
              <w:bottom w:val="single" w:sz="4" w:space="0" w:color="41B7EE"/>
              <w:right w:val="single" w:sz="4" w:space="0" w:color="41B7EE"/>
            </w:tcBorders>
          </w:tcPr>
          <w:p>
            <w:pPr/>
          </w:p>
        </w:tc>
        <w:tc>
          <w:tcPr>
            <w:tcW w:w="179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2,372,595,749.96</w:t>
            </w:r>
          </w:p>
        </w:tc>
      </w:tr>
      <w:tr>
        <w:trPr>
          <w:trHeight w:val="358" w:hRule="exact"/>
        </w:trPr>
        <w:tc>
          <w:tcPr>
            <w:tcW w:w="23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其他资本公积</w:t>
            </w:r>
            <w:r>
              <w:rPr>
                <w:rFonts w:ascii="宋体" w:hAnsi="宋体" w:cs="宋体" w:eastAsia="宋体" w:hint="default"/>
                <w:sz w:val="21"/>
                <w:szCs w:val="21"/>
              </w:rPr>
              <w:t> </w:t>
            </w:r>
          </w:p>
        </w:tc>
        <w:tc>
          <w:tcPr>
            <w:tcW w:w="188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42,386,352.93</w:t>
            </w:r>
          </w:p>
        </w:tc>
        <w:tc>
          <w:tcPr>
            <w:tcW w:w="151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5,239,104.40</w:t>
            </w:r>
          </w:p>
        </w:tc>
        <w:tc>
          <w:tcPr>
            <w:tcW w:w="1385" w:type="dxa"/>
            <w:tcBorders>
              <w:top w:val="single" w:sz="4" w:space="0" w:color="41B7EE"/>
              <w:left w:val="single" w:sz="4" w:space="0" w:color="41B7EE"/>
              <w:bottom w:val="single" w:sz="4" w:space="0" w:color="41B7EE"/>
              <w:right w:val="single" w:sz="4" w:space="0" w:color="41B7EE"/>
            </w:tcBorders>
          </w:tcPr>
          <w:p>
            <w:pPr/>
          </w:p>
        </w:tc>
        <w:tc>
          <w:tcPr>
            <w:tcW w:w="179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5"/>
              <w:jc w:val="right"/>
              <w:rPr>
                <w:rFonts w:ascii="Arial" w:hAnsi="Arial" w:cs="Arial" w:eastAsia="Arial" w:hint="default"/>
                <w:sz w:val="21"/>
                <w:szCs w:val="21"/>
              </w:rPr>
            </w:pPr>
            <w:r>
              <w:rPr>
                <w:rFonts w:ascii="Arial"/>
                <w:spacing w:val="-1"/>
                <w:sz w:val="21"/>
              </w:rPr>
              <w:t>47,625,457.33</w:t>
            </w:r>
          </w:p>
        </w:tc>
      </w:tr>
      <w:tr>
        <w:trPr>
          <w:trHeight w:val="362" w:hRule="exact"/>
        </w:trPr>
        <w:tc>
          <w:tcPr>
            <w:tcW w:w="2309"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2"/>
              <w:ind w:left="11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85"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2,420,221,207.29</w:t>
            </w:r>
          </w:p>
        </w:tc>
        <w:tc>
          <w:tcPr>
            <w:tcW w:w="1515" w:type="dxa"/>
            <w:tcBorders>
              <w:top w:val="single" w:sz="4" w:space="0" w:color="41B7EE"/>
              <w:left w:val="single" w:sz="4" w:space="0" w:color="41B7EE"/>
              <w:bottom w:val="single" w:sz="8" w:space="0" w:color="41B7EE"/>
              <w:right w:val="single" w:sz="4" w:space="0" w:color="41B7EE"/>
            </w:tcBorders>
          </w:tcPr>
          <w:p>
            <w:pPr/>
          </w:p>
        </w:tc>
        <w:tc>
          <w:tcPr>
            <w:tcW w:w="1385" w:type="dxa"/>
            <w:tcBorders>
              <w:top w:val="single" w:sz="4" w:space="0" w:color="41B7EE"/>
              <w:left w:val="single" w:sz="4" w:space="0" w:color="41B7EE"/>
              <w:bottom w:val="single" w:sz="8" w:space="0" w:color="41B7EE"/>
              <w:right w:val="single" w:sz="4" w:space="0" w:color="41B7EE"/>
            </w:tcBorders>
          </w:tcPr>
          <w:p>
            <w:pPr/>
          </w:p>
        </w:tc>
        <w:tc>
          <w:tcPr>
            <w:tcW w:w="1798"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2,420,221,207.29</w:t>
            </w:r>
          </w:p>
        </w:tc>
      </w:tr>
    </w:tbl>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2305;height:2" coordorigin="10,10" coordsize="2305,2">
              <v:shape style="position:absolute;left:10;top:10;width:2305;height:2" coordorigin="10,10" coordsize="2305,0" path="m10,10l2314,10e" filled="false" stroked="true" strokeweight=".96002pt" strokecolor="#41b7ee">
                <v:path arrowok="t"/>
              </v:shape>
            </v:group>
            <v:group style="position:absolute;left:2314;top:10;width:58;height:2" coordorigin="2314,10" coordsize="58,2">
              <v:shape style="position:absolute;left:2314;top:10;width:58;height:2" coordorigin="2314,10" coordsize="58,0" path="m2314,10l2372,10e" filled="false" stroked="true" strokeweight=".96002pt" strokecolor="#41b7ee">
                <v:path arrowok="t"/>
              </v:shape>
            </v:group>
            <v:group style="position:absolute;left:2372;top:10;width:1827;height:2" coordorigin="2372,10" coordsize="1827,2">
              <v:shape style="position:absolute;left:2372;top:10;width:1827;height:2" coordorigin="2372,10" coordsize="1827,0" path="m2372,10l4198,10e" filled="false" stroked="true" strokeweight=".96002pt" strokecolor="#41b7ee">
                <v:path arrowok="t"/>
              </v:shape>
            </v:group>
            <v:group style="position:absolute;left:4199;top:10;width:58;height:2" coordorigin="4199,10" coordsize="58,2">
              <v:shape style="position:absolute;left:4199;top:10;width:58;height:2" coordorigin="4199,10" coordsize="58,0" path="m4199,10l4256,10e" filled="false" stroked="true" strokeweight=".96002pt" strokecolor="#41b7ee">
                <v:path arrowok="t"/>
              </v:shape>
            </v:group>
            <v:group style="position:absolute;left:4256;top:10;width:1458;height:2" coordorigin="4256,10" coordsize="1458,2">
              <v:shape style="position:absolute;left:4256;top:10;width:1458;height:2" coordorigin="4256,10" coordsize="1458,0" path="m4256,10l5713,10e" filled="false" stroked="true" strokeweight=".96002pt" strokecolor="#41b7ee">
                <v:path arrowok="t"/>
              </v:shape>
            </v:group>
            <v:group style="position:absolute;left:5713;top:10;width:58;height:2" coordorigin="5713,10" coordsize="58,2">
              <v:shape style="position:absolute;left:5713;top:10;width:58;height:2" coordorigin="5713,10" coordsize="58,0" path="m5713,10l5771,10e" filled="false" stroked="true" strokeweight=".96002pt" strokecolor="#41b7ee">
                <v:path arrowok="t"/>
              </v:shape>
            </v:group>
            <v:group style="position:absolute;left:5771;top:10;width:1328;height:2" coordorigin="5771,10" coordsize="1328,2">
              <v:shape style="position:absolute;left:5771;top:10;width:1328;height:2" coordorigin="5771,10" coordsize="1328,0" path="m5771,10l7098,10e" filled="false" stroked="true" strokeweight=".96002pt" strokecolor="#41b7ee">
                <v:path arrowok="t"/>
              </v:shape>
            </v:group>
            <v:group style="position:absolute;left:7098;top:10;width:58;height:2" coordorigin="7098,10" coordsize="58,2">
              <v:shape style="position:absolute;left:7098;top:10;width:58;height:2" coordorigin="7098,10" coordsize="58,0" path="m7098,10l7156,10e" filled="false" stroked="true" strokeweight=".96002pt" strokecolor="#41b7ee">
                <v:path arrowok="t"/>
              </v:shape>
            </v:group>
            <v:group style="position:absolute;left:7156;top:10;width:1746;height:2" coordorigin="7156,10" coordsize="1746,2">
              <v:shape style="position:absolute;left:7156;top:10;width:1746;height:2" coordorigin="7156,10" coordsize="1746,0" path="m7156,10l8901,10e" filled="false" stroked="true" strokeweight=".96002pt" strokecolor="#41b7ee">
                <v:path arrowok="t"/>
              </v:shape>
            </v:group>
          </v:group>
        </w:pict>
      </w:r>
      <w:r>
        <w:rPr>
          <w:rFonts w:ascii="宋体" w:hAnsi="宋体" w:cs="宋体" w:eastAsia="宋体" w:hint="default"/>
          <w:sz w:val="2"/>
          <w:szCs w:val="2"/>
        </w:rPr>
      </w:r>
    </w:p>
    <w:p>
      <w:pPr>
        <w:pStyle w:val="Heading2"/>
        <w:spacing w:line="240" w:lineRule="auto" w:before="44"/>
        <w:ind w:left="176" w:right="102"/>
        <w:jc w:val="left"/>
        <w:rPr>
          <w:rFonts w:ascii="宋体" w:hAnsi="宋体" w:cs="宋体" w:eastAsia="宋体" w:hint="default"/>
          <w:b w:val="0"/>
          <w:bCs w:val="0"/>
        </w:rPr>
      </w:pPr>
      <w:r>
        <w:rPr>
          <w:rFonts w:ascii="宋体" w:hAnsi="宋体" w:cs="宋体" w:eastAsia="宋体" w:hint="default"/>
        </w:rPr>
        <w:t>54</w:t>
      </w:r>
      <w:r>
        <w:rPr/>
        <w:t>、</w:t>
      </w:r>
      <w:r>
        <w:rPr>
          <w:spacing w:val="-25"/>
        </w:rPr>
        <w:t> </w:t>
      </w:r>
      <w:r>
        <w:rPr/>
        <w:t>库存股</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76" w:right="10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73" w:lineRule="exact" w:before="0"/>
        <w:ind w:left="176" w:right="0"/>
        <w:jc w:val="left"/>
        <w:rPr>
          <w:rFonts w:ascii="宋体" w:hAnsi="宋体" w:cs="宋体" w:eastAsia="宋体" w:hint="default"/>
          <w:b w:val="0"/>
          <w:bCs w:val="0"/>
        </w:rPr>
      </w:pPr>
      <w:r>
        <w:rPr>
          <w:rFonts w:ascii="宋体"/>
          <w:w w:val="99"/>
        </w:rPr>
        <w:t> </w:t>
      </w:r>
      <w:r>
        <w:rPr>
          <w:rFonts w:ascii="宋体"/>
          <w:b w:val="0"/>
        </w:rPr>
      </w:r>
    </w:p>
    <w:p>
      <w:pPr>
        <w:spacing w:after="0" w:line="273" w:lineRule="exact"/>
        <w:jc w:val="left"/>
        <w:rPr>
          <w:rFonts w:ascii="宋体" w:hAnsi="宋体" w:cs="宋体" w:eastAsia="宋体" w:hint="default"/>
        </w:rPr>
        <w:sectPr>
          <w:type w:val="continuous"/>
          <w:pgSz w:w="11910" w:h="16840"/>
          <w:pgMar w:top="1360" w:bottom="1380" w:left="1100" w:right="1580"/>
        </w:sectPr>
      </w:pPr>
    </w:p>
    <w:p>
      <w:pPr>
        <w:spacing w:line="240" w:lineRule="auto" w:before="1"/>
        <w:rPr>
          <w:rFonts w:ascii="宋体" w:hAnsi="宋体" w:cs="宋体" w:eastAsia="宋体" w:hint="default"/>
          <w:b/>
          <w:bCs/>
          <w:sz w:val="6"/>
          <w:szCs w:val="6"/>
        </w:rPr>
      </w:pPr>
    </w:p>
    <w:p>
      <w:pPr>
        <w:spacing w:line="544" w:lineRule="exact"/>
        <w:ind w:left="108"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696.35pt;height:27.25pt;mso-position-horizontal-relative:char;mso-position-vertical-relative:line" coordorigin="0,0" coordsize="13927,545">
            <v:group style="position:absolute;left:7;top:538;width:13913;height:2" coordorigin="7,538" coordsize="13913,2">
              <v:shape style="position:absolute;left:7;top:538;width:13913;height:2" coordorigin="7,538" coordsize="13913,0" path="m7,538l13920,538e" filled="false" stroked="true" strokeweight=".72pt" strokecolor="#000000">
                <v:path arrowok="t"/>
              </v:shape>
              <v:shape style="position:absolute;left:99;top:0;width:4665;height:480" type="#_x0000_t75" stroked="false">
                <v:imagedata r:id="rId16" o:title=""/>
              </v:shape>
              <v:shape style="position:absolute;left:0;top:0;width:13927;height:545" type="#_x0000_t202" filled="false" stroked="false">
                <v:textbox inset="0,0,0,0">
                  <w:txbxContent>
                    <w:p>
                      <w:pPr>
                        <w:spacing w:line="454" w:lineRule="exact" w:before="0"/>
                        <w:ind w:left="0" w:right="31" w:firstLine="0"/>
                        <w:jc w:val="right"/>
                        <w:rPr>
                          <w:rFonts w:ascii="微软雅黑" w:hAnsi="微软雅黑" w:cs="微软雅黑" w:eastAsia="微软雅黑" w:hint="default"/>
                          <w:sz w:val="28"/>
                          <w:szCs w:val="28"/>
                        </w:rPr>
                      </w:pPr>
                      <w:r>
                        <w:rPr>
                          <w:rFonts w:ascii="微软雅黑" w:hAnsi="微软雅黑" w:cs="微软雅黑" w:eastAsia="微软雅黑" w:hint="default"/>
                          <w:b/>
                          <w:bCs/>
                          <w:sz w:val="28"/>
                          <w:szCs w:val="28"/>
                        </w:rPr>
                        <w:t>2019</w:t>
                      </w:r>
                      <w:r>
                        <w:rPr>
                          <w:rFonts w:ascii="微软雅黑" w:hAnsi="微软雅黑" w:cs="微软雅黑" w:eastAsia="微软雅黑" w:hint="default"/>
                          <w:b/>
                          <w:bCs/>
                          <w:spacing w:val="-17"/>
                          <w:sz w:val="28"/>
                          <w:szCs w:val="28"/>
                        </w:rPr>
                        <w:t> </w:t>
                      </w:r>
                      <w:r>
                        <w:rPr>
                          <w:rFonts w:ascii="微软雅黑" w:hAnsi="微软雅黑" w:cs="微软雅黑" w:eastAsia="微软雅黑" w:hint="default"/>
                          <w:b/>
                          <w:bCs/>
                          <w:sz w:val="28"/>
                          <w:szCs w:val="28"/>
                        </w:rPr>
                        <w:t>年年度报告</w:t>
                      </w:r>
                      <w:r>
                        <w:rPr>
                          <w:rFonts w:ascii="微软雅黑" w:hAnsi="微软雅黑" w:cs="微软雅黑" w:eastAsia="微软雅黑" w:hint="default"/>
                          <w:sz w:val="28"/>
                          <w:szCs w:val="28"/>
                        </w:rPr>
                      </w:r>
                    </w:p>
                  </w:txbxContent>
                </v:textbox>
                <w10:wrap type="none"/>
              </v:shape>
            </v:group>
          </v:group>
        </w:pict>
      </w:r>
      <w:r>
        <w:rPr>
          <w:rFonts w:ascii="宋体" w:hAnsi="宋体" w:cs="宋体" w:eastAsia="宋体" w:hint="default"/>
          <w:position w:val="-10"/>
          <w:sz w:val="20"/>
          <w:szCs w:val="20"/>
        </w:rPr>
      </w:r>
    </w:p>
    <w:p>
      <w:pPr>
        <w:spacing w:after="0" w:line="544" w:lineRule="exact"/>
        <w:rPr>
          <w:rFonts w:ascii="宋体" w:hAnsi="宋体" w:cs="宋体" w:eastAsia="宋体" w:hint="default"/>
          <w:sz w:val="20"/>
          <w:szCs w:val="20"/>
        </w:rPr>
        <w:sectPr>
          <w:headerReference w:type="default" r:id="rId74"/>
          <w:footerReference w:type="default" r:id="rId75"/>
          <w:pgSz w:w="16840" w:h="11910" w:orient="landscape"/>
          <w:pgMar w:header="0" w:footer="0" w:top="740" w:bottom="280" w:left="1380" w:right="1220"/>
        </w:sectPr>
      </w:pPr>
    </w:p>
    <w:p>
      <w:pPr>
        <w:pStyle w:val="Heading2"/>
        <w:spacing w:line="240" w:lineRule="auto" w:before="26"/>
        <w:ind w:left="144" w:right="0"/>
        <w:jc w:val="left"/>
        <w:rPr>
          <w:rFonts w:ascii="宋体" w:hAnsi="宋体" w:cs="宋体" w:eastAsia="宋体" w:hint="default"/>
          <w:b w:val="0"/>
          <w:bCs w:val="0"/>
        </w:rPr>
      </w:pPr>
      <w:r>
        <w:rPr>
          <w:rFonts w:ascii="宋体" w:hAnsi="宋体" w:cs="宋体" w:eastAsia="宋体" w:hint="default"/>
        </w:rPr>
        <w:t>55</w:t>
      </w:r>
      <w:r>
        <w:rPr/>
        <w:t>、</w:t>
      </w:r>
      <w:r>
        <w:rPr>
          <w:spacing w:val="-25"/>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spacing w:line="240" w:lineRule="auto"/>
        <w:ind w:left="14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360" w:bottom="1380" w:left="1380" w:right="1220"/>
          <w:cols w:num="2" w:equalWidth="0">
            <w:col w:w="2019" w:space="9543"/>
            <w:col w:w="2678"/>
          </w:cols>
        </w:sectPr>
      </w:pPr>
    </w:p>
    <w:p>
      <w:pPr>
        <w:spacing w:line="240" w:lineRule="auto" w:before="7"/>
        <w:rPr>
          <w:rFonts w:ascii="宋体" w:hAnsi="宋体" w:cs="宋体" w:eastAsia="宋体" w:hint="default"/>
          <w:sz w:val="2"/>
          <w:szCs w:val="2"/>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697.55pt;height:1pt;mso-position-horizontal-relative:char;mso-position-vertical-relative:line" coordorigin="0,0" coordsize="13951,20">
            <v:group style="position:absolute;left:10;top:10;width:4552;height:2" coordorigin="10,10" coordsize="4552,2">
              <v:shape style="position:absolute;left:10;top:10;width:4552;height:2" coordorigin="10,10" coordsize="4552,0" path="m10,10l4561,10e" filled="false" stroked="true" strokeweight=".96pt" strokecolor="#41b7ee">
                <v:path arrowok="t"/>
              </v:shape>
            </v:group>
            <v:group style="position:absolute;left:4561;top:10;width:58;height:2" coordorigin="4561,10" coordsize="58,2">
              <v:shape style="position:absolute;left:4561;top:10;width:58;height:2" coordorigin="4561,10" coordsize="58,0" path="m4561,10l4619,10e" filled="false" stroked="true" strokeweight=".96pt" strokecolor="#41b7ee">
                <v:path arrowok="t"/>
              </v:shape>
            </v:group>
            <v:group style="position:absolute;left:4619;top:10;width:1224;height:2" coordorigin="4619,10" coordsize="1224,2">
              <v:shape style="position:absolute;left:4619;top:10;width:1224;height:2" coordorigin="4619,10" coordsize="1224,0" path="m4619,10l5843,10e" filled="false" stroked="true" strokeweight=".96pt" strokecolor="#41b7ee">
                <v:path arrowok="t"/>
              </v:shape>
            </v:group>
            <v:group style="position:absolute;left:5843;top:10;width:58;height:2" coordorigin="5843,10" coordsize="58,2">
              <v:shape style="position:absolute;left:5843;top:10;width:58;height:2" coordorigin="5843,10" coordsize="58,0" path="m5843,10l5900,10e" filled="false" stroked="true" strokeweight=".96pt" strokecolor="#41b7ee">
                <v:path arrowok="t"/>
              </v:shape>
            </v:group>
            <v:group style="position:absolute;left:5900;top:10;width:6887;height:2" coordorigin="5900,10" coordsize="6887,2">
              <v:shape style="position:absolute;left:5900;top:10;width:6887;height:2" coordorigin="5900,10" coordsize="6887,0" path="m5900,10l12787,10e" filled="false" stroked="true" strokeweight=".96pt" strokecolor="#41b7ee">
                <v:path arrowok="t"/>
              </v:shape>
            </v:group>
            <v:group style="position:absolute;left:12787;top:10;width:58;height:2" coordorigin="12787,10" coordsize="58,2">
              <v:shape style="position:absolute;left:12787;top:10;width:58;height:2" coordorigin="12787,10" coordsize="58,0" path="m12787,10l12844,10e" filled="false" stroked="true" strokeweight=".96pt" strokecolor="#41b7ee">
                <v:path arrowok="t"/>
              </v:shape>
            </v:group>
            <v:group style="position:absolute;left:12844;top:10;width:1097;height:2" coordorigin="12844,10" coordsize="1097,2">
              <v:shape style="position:absolute;left:12844;top:10;width:1097;height:2" coordorigin="12844,10" coordsize="1097,0" path="m12844,10l13941,10e" filled="false" stroked="true" strokeweight=".96pt" strokecolor="#41b7ee">
                <v:path arrowok="t"/>
              </v:shape>
            </v:group>
          </v:group>
        </w:pict>
      </w:r>
      <w:r>
        <w:rPr>
          <w:rFonts w:ascii="宋体" w:hAnsi="宋体" w:cs="宋体" w:eastAsia="宋体" w:hint="default"/>
          <w:sz w:val="2"/>
          <w:szCs w:val="2"/>
        </w:rPr>
      </w:r>
    </w:p>
    <w:tbl>
      <w:tblPr>
        <w:tblW w:w="0" w:type="auto"/>
        <w:jc w:val="left"/>
        <w:tblInd w:w="105" w:type="dxa"/>
        <w:tblLayout w:type="fixed"/>
        <w:tblCellMar>
          <w:top w:w="0" w:type="dxa"/>
          <w:left w:w="0" w:type="dxa"/>
          <w:bottom w:w="0" w:type="dxa"/>
          <w:right w:w="0" w:type="dxa"/>
        </w:tblCellMar>
        <w:tblLook w:val="01E0"/>
      </w:tblPr>
      <w:tblGrid>
        <w:gridCol w:w="4556"/>
        <w:gridCol w:w="1282"/>
        <w:gridCol w:w="1282"/>
        <w:gridCol w:w="1280"/>
        <w:gridCol w:w="1430"/>
        <w:gridCol w:w="857"/>
        <w:gridCol w:w="1220"/>
        <w:gridCol w:w="876"/>
        <w:gridCol w:w="1150"/>
      </w:tblGrid>
      <w:tr>
        <w:trPr>
          <w:trHeight w:val="362" w:hRule="exact"/>
        </w:trPr>
        <w:tc>
          <w:tcPr>
            <w:tcW w:w="4556" w:type="dxa"/>
            <w:vMerge w:val="restart"/>
            <w:tcBorders>
              <w:top w:val="single" w:sz="8" w:space="0" w:color="41B7EE"/>
              <w:left w:val="nil" w:sz="6" w:space="0" w:color="auto"/>
              <w:right w:val="single" w:sz="4" w:space="0" w:color="41B7EE"/>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11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282" w:type="dxa"/>
            <w:vMerge w:val="restart"/>
            <w:tcBorders>
              <w:top w:val="single" w:sz="8" w:space="0" w:color="41B7EE"/>
              <w:left w:val="single" w:sz="4" w:space="0" w:color="41B7EE"/>
              <w:right w:val="single" w:sz="4" w:space="0" w:color="41B7EE"/>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72" w:lineRule="exact"/>
              <w:ind w:left="424" w:right="319"/>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6944" w:type="dxa"/>
            <w:gridSpan w:val="6"/>
            <w:tcBorders>
              <w:top w:val="single" w:sz="8" w:space="0" w:color="41B7EE"/>
              <w:left w:val="single" w:sz="4" w:space="0" w:color="41B7EE"/>
              <w:bottom w:val="single" w:sz="4" w:space="0" w:color="41B7EE"/>
              <w:right w:val="single" w:sz="4" w:space="0" w:color="41B7EE"/>
            </w:tcBorders>
          </w:tcPr>
          <w:p>
            <w:pPr>
              <w:pStyle w:val="TableParagraph"/>
              <w:spacing w:line="240" w:lineRule="auto" w:before="4"/>
              <w:ind w:left="105" w:right="0"/>
              <w:jc w:val="center"/>
              <w:rPr>
                <w:rFonts w:ascii="宋体" w:hAnsi="宋体" w:cs="宋体" w:eastAsia="宋体" w:hint="default"/>
                <w:sz w:val="21"/>
                <w:szCs w:val="21"/>
              </w:rPr>
            </w:pPr>
            <w:r>
              <w:rPr>
                <w:rFonts w:ascii="宋体" w:hAnsi="宋体" w:cs="宋体" w:eastAsia="宋体" w:hint="default"/>
                <w:sz w:val="21"/>
                <w:szCs w:val="21"/>
              </w:rPr>
              <w:t>本期发生金额</w:t>
            </w:r>
            <w:r>
              <w:rPr>
                <w:rFonts w:ascii="宋体" w:hAnsi="宋体" w:cs="宋体" w:eastAsia="宋体" w:hint="default"/>
                <w:sz w:val="21"/>
                <w:szCs w:val="21"/>
              </w:rPr>
              <w:t> </w:t>
            </w:r>
          </w:p>
        </w:tc>
        <w:tc>
          <w:tcPr>
            <w:tcW w:w="1150" w:type="dxa"/>
            <w:vMerge w:val="restart"/>
            <w:tcBorders>
              <w:top w:val="single" w:sz="8" w:space="0" w:color="41B7EE"/>
              <w:left w:val="single" w:sz="4" w:space="0" w:color="41B7EE"/>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72" w:lineRule="exact"/>
              <w:ind w:left="360" w:right="257"/>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828" w:hRule="exact"/>
        </w:trPr>
        <w:tc>
          <w:tcPr>
            <w:tcW w:w="4556" w:type="dxa"/>
            <w:vMerge/>
            <w:tcBorders>
              <w:left w:val="nil" w:sz="6" w:space="0" w:color="auto"/>
              <w:bottom w:val="single" w:sz="4" w:space="0" w:color="41B7EE"/>
              <w:right w:val="single" w:sz="4" w:space="0" w:color="41B7EE"/>
            </w:tcBorders>
          </w:tcPr>
          <w:p>
            <w:pPr/>
          </w:p>
        </w:tc>
        <w:tc>
          <w:tcPr>
            <w:tcW w:w="1282" w:type="dxa"/>
            <w:vMerge/>
            <w:tcBorders>
              <w:left w:val="single" w:sz="4" w:space="0" w:color="41B7EE"/>
              <w:bottom w:val="single" w:sz="4" w:space="0" w:color="41B7EE"/>
              <w:right w:val="single" w:sz="4" w:space="0" w:color="41B7EE"/>
            </w:tcBorders>
          </w:tcPr>
          <w:p>
            <w:pPr/>
          </w:p>
        </w:tc>
        <w:tc>
          <w:tcPr>
            <w:tcW w:w="12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215" w:right="105" w:hanging="106"/>
              <w:jc w:val="left"/>
              <w:rPr>
                <w:rFonts w:ascii="宋体" w:hAnsi="宋体" w:cs="宋体" w:eastAsia="宋体" w:hint="default"/>
                <w:sz w:val="21"/>
                <w:szCs w:val="21"/>
              </w:rPr>
            </w:pPr>
            <w:r>
              <w:rPr>
                <w:rFonts w:ascii="宋体" w:hAnsi="宋体" w:cs="宋体" w:eastAsia="宋体" w:hint="default"/>
                <w:sz w:val="21"/>
                <w:szCs w:val="21"/>
              </w:rPr>
              <w:t>本期所得税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前发生额</w:t>
            </w:r>
            <w:r>
              <w:rPr>
                <w:rFonts w:ascii="宋体" w:hAnsi="宋体" w:cs="宋体" w:eastAsia="宋体" w:hint="default"/>
                <w:sz w:val="21"/>
                <w:szCs w:val="21"/>
              </w:rPr>
              <w:t> </w:t>
            </w:r>
          </w:p>
        </w:tc>
        <w:tc>
          <w:tcPr>
            <w:tcW w:w="1280" w:type="dxa"/>
            <w:tcBorders>
              <w:top w:val="single" w:sz="4" w:space="0" w:color="41B7EE"/>
              <w:left w:val="single" w:sz="4" w:space="0" w:color="41B7EE"/>
              <w:bottom w:val="single" w:sz="4" w:space="0" w:color="41B7EE"/>
              <w:right w:val="single" w:sz="13" w:space="0" w:color="FFFFFF"/>
            </w:tcBorders>
          </w:tcPr>
          <w:p>
            <w:pPr>
              <w:pStyle w:val="TableParagraph"/>
              <w:spacing w:line="237" w:lineRule="auto" w:before="10"/>
              <w:ind w:left="64" w:right="-43"/>
              <w:jc w:val="both"/>
              <w:rPr>
                <w:rFonts w:ascii="宋体" w:hAnsi="宋体" w:cs="宋体" w:eastAsia="宋体" w:hint="default"/>
                <w:sz w:val="19"/>
                <w:szCs w:val="19"/>
              </w:rPr>
            </w:pPr>
            <w:r>
              <w:rPr>
                <w:rFonts w:ascii="宋体" w:hAnsi="宋体" w:cs="宋体" w:eastAsia="宋体" w:hint="default"/>
                <w:sz w:val="19"/>
                <w:szCs w:val="19"/>
              </w:rPr>
              <w:t>减：前期计入</w:t>
            </w:r>
            <w:r>
              <w:rPr>
                <w:rFonts w:ascii="宋体" w:hAnsi="宋体" w:cs="宋体" w:eastAsia="宋体" w:hint="default"/>
                <w:w w:val="99"/>
                <w:sz w:val="19"/>
                <w:szCs w:val="19"/>
              </w:rPr>
              <w:t> </w:t>
            </w:r>
            <w:r>
              <w:rPr>
                <w:rFonts w:ascii="宋体" w:hAnsi="宋体" w:cs="宋体" w:eastAsia="宋体" w:hint="default"/>
                <w:sz w:val="19"/>
                <w:szCs w:val="19"/>
              </w:rPr>
              <w:t>其他综合收益</w:t>
            </w:r>
            <w:r>
              <w:rPr>
                <w:rFonts w:ascii="宋体" w:hAnsi="宋体" w:cs="宋体" w:eastAsia="宋体" w:hint="default"/>
                <w:w w:val="99"/>
                <w:sz w:val="19"/>
                <w:szCs w:val="19"/>
              </w:rPr>
              <w:t> </w:t>
            </w:r>
            <w:r>
              <w:rPr>
                <w:rFonts w:ascii="宋体" w:hAnsi="宋体" w:cs="宋体" w:eastAsia="宋体" w:hint="default"/>
                <w:sz w:val="19"/>
                <w:szCs w:val="19"/>
              </w:rPr>
              <w:t>当期转入损益</w:t>
            </w:r>
            <w:r>
              <w:rPr>
                <w:rFonts w:ascii="宋体" w:hAnsi="宋体" w:cs="宋体" w:eastAsia="宋体" w:hint="default"/>
                <w:sz w:val="19"/>
                <w:szCs w:val="19"/>
              </w:rPr>
              <w:t> </w:t>
            </w:r>
          </w:p>
        </w:tc>
        <w:tc>
          <w:tcPr>
            <w:tcW w:w="1430" w:type="dxa"/>
            <w:tcBorders>
              <w:top w:val="single" w:sz="4" w:space="0" w:color="41B7EE"/>
              <w:left w:val="single" w:sz="13" w:space="0" w:color="FFFFFF"/>
              <w:bottom w:val="single" w:sz="4" w:space="0" w:color="41B7EE"/>
              <w:right w:val="single" w:sz="4" w:space="0" w:color="41B7EE"/>
            </w:tcBorders>
          </w:tcPr>
          <w:p>
            <w:pPr>
              <w:pStyle w:val="TableParagraph"/>
              <w:spacing w:line="237" w:lineRule="auto" w:before="10"/>
              <w:ind w:left="33" w:right="42"/>
              <w:jc w:val="both"/>
              <w:rPr>
                <w:rFonts w:ascii="宋体" w:hAnsi="宋体" w:cs="宋体" w:eastAsia="宋体" w:hint="default"/>
                <w:sz w:val="19"/>
                <w:szCs w:val="19"/>
              </w:rPr>
            </w:pPr>
            <w:r>
              <w:rPr>
                <w:rFonts w:ascii="宋体" w:hAnsi="宋体" w:cs="宋体" w:eastAsia="宋体" w:hint="default"/>
                <w:sz w:val="19"/>
                <w:szCs w:val="19"/>
              </w:rPr>
              <w:t>减：前期计入其</w:t>
            </w:r>
            <w:r>
              <w:rPr>
                <w:rFonts w:ascii="宋体" w:hAnsi="宋体" w:cs="宋体" w:eastAsia="宋体" w:hint="default"/>
                <w:w w:val="99"/>
                <w:sz w:val="19"/>
                <w:szCs w:val="19"/>
              </w:rPr>
              <w:t> </w:t>
            </w:r>
            <w:r>
              <w:rPr>
                <w:rFonts w:ascii="宋体" w:hAnsi="宋体" w:cs="宋体" w:eastAsia="宋体" w:hint="default"/>
                <w:sz w:val="19"/>
                <w:szCs w:val="19"/>
              </w:rPr>
              <w:t>他综合收益当期</w:t>
            </w:r>
            <w:r>
              <w:rPr>
                <w:rFonts w:ascii="宋体" w:hAnsi="宋体" w:cs="宋体" w:eastAsia="宋体" w:hint="default"/>
                <w:w w:val="99"/>
                <w:sz w:val="19"/>
                <w:szCs w:val="19"/>
              </w:rPr>
              <w:t> </w:t>
            </w:r>
            <w:r>
              <w:rPr>
                <w:rFonts w:ascii="宋体" w:hAnsi="宋体" w:cs="宋体" w:eastAsia="宋体" w:hint="default"/>
                <w:sz w:val="19"/>
                <w:szCs w:val="19"/>
              </w:rPr>
              <w:t>转入留存收益</w:t>
            </w:r>
            <w:r>
              <w:rPr>
                <w:rFonts w:ascii="宋体" w:hAnsi="宋体" w:cs="宋体" w:eastAsia="宋体" w:hint="default"/>
                <w:sz w:val="19"/>
                <w:szCs w:val="19"/>
              </w:rPr>
              <w:t> </w:t>
            </w:r>
          </w:p>
        </w:tc>
        <w:tc>
          <w:tcPr>
            <w:tcW w:w="85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108" w:right="0" w:hanging="84"/>
              <w:jc w:val="left"/>
              <w:rPr>
                <w:rFonts w:ascii="宋体" w:hAnsi="宋体" w:cs="宋体" w:eastAsia="宋体" w:hint="default"/>
                <w:sz w:val="21"/>
                <w:szCs w:val="21"/>
              </w:rPr>
            </w:pPr>
            <w:r>
              <w:rPr>
                <w:rFonts w:ascii="宋体" w:hAnsi="宋体" w:cs="宋体" w:eastAsia="宋体" w:hint="default"/>
                <w:spacing w:val="-11"/>
                <w:sz w:val="21"/>
                <w:szCs w:val="21"/>
              </w:rPr>
              <w:t>减：所得</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税费用</w:t>
            </w:r>
            <w:r>
              <w:rPr>
                <w:rFonts w:ascii="宋体" w:hAnsi="宋体" w:cs="宋体" w:eastAsia="宋体" w:hint="default"/>
                <w:sz w:val="21"/>
                <w:szCs w:val="21"/>
              </w:rPr>
              <w:t> </w:t>
            </w:r>
          </w:p>
        </w:tc>
        <w:tc>
          <w:tcPr>
            <w:tcW w:w="122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291" w:right="74" w:hanging="212"/>
              <w:jc w:val="left"/>
              <w:rPr>
                <w:rFonts w:ascii="宋体" w:hAnsi="宋体" w:cs="宋体" w:eastAsia="宋体" w:hint="default"/>
                <w:sz w:val="21"/>
                <w:szCs w:val="21"/>
              </w:rPr>
            </w:pPr>
            <w:r>
              <w:rPr>
                <w:rFonts w:ascii="宋体" w:hAnsi="宋体" w:cs="宋体" w:eastAsia="宋体" w:hint="default"/>
                <w:sz w:val="21"/>
                <w:szCs w:val="21"/>
              </w:rPr>
              <w:t>税后归属于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母公司</w:t>
            </w:r>
            <w:r>
              <w:rPr>
                <w:rFonts w:ascii="宋体" w:hAnsi="宋体" w:cs="宋体" w:eastAsia="宋体" w:hint="default"/>
                <w:sz w:val="21"/>
                <w:szCs w:val="21"/>
              </w:rPr>
              <w:t> </w:t>
            </w:r>
          </w:p>
        </w:tc>
        <w:tc>
          <w:tcPr>
            <w:tcW w:w="876" w:type="dxa"/>
            <w:tcBorders>
              <w:top w:val="single" w:sz="4" w:space="0" w:color="41B7EE"/>
              <w:left w:val="single" w:sz="4" w:space="0" w:color="41B7EE"/>
              <w:bottom w:val="single" w:sz="4" w:space="0" w:color="41B7EE"/>
              <w:right w:val="single" w:sz="4" w:space="0" w:color="41B7EE"/>
            </w:tcBorders>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税后归</w:t>
            </w:r>
          </w:p>
          <w:p>
            <w:pPr>
              <w:pStyle w:val="TableParagraph"/>
              <w:spacing w:line="240" w:lineRule="auto"/>
              <w:ind w:left="117" w:right="11"/>
              <w:jc w:val="left"/>
              <w:rPr>
                <w:rFonts w:ascii="宋体" w:hAnsi="宋体" w:cs="宋体" w:eastAsia="宋体" w:hint="default"/>
                <w:sz w:val="21"/>
                <w:szCs w:val="21"/>
              </w:rPr>
            </w:pPr>
            <w:r>
              <w:rPr>
                <w:rFonts w:ascii="宋体" w:hAnsi="宋体" w:cs="宋体" w:eastAsia="宋体" w:hint="default"/>
                <w:sz w:val="21"/>
                <w:szCs w:val="21"/>
              </w:rPr>
              <w:t>属于少</w:t>
            </w:r>
            <w:r>
              <w:rPr>
                <w:rFonts w:ascii="宋体" w:hAnsi="宋体" w:cs="宋体" w:eastAsia="宋体" w:hint="default"/>
                <w:spacing w:val="-102"/>
                <w:sz w:val="21"/>
                <w:szCs w:val="21"/>
              </w:rPr>
              <w:t> </w:t>
            </w:r>
            <w:r>
              <w:rPr>
                <w:rFonts w:ascii="宋体" w:hAnsi="宋体" w:cs="宋体" w:eastAsia="宋体" w:hint="default"/>
                <w:sz w:val="21"/>
                <w:szCs w:val="21"/>
              </w:rPr>
              <w:t>数股东</w:t>
            </w:r>
            <w:r>
              <w:rPr>
                <w:rFonts w:ascii="宋体" w:hAnsi="宋体" w:cs="宋体" w:eastAsia="宋体" w:hint="default"/>
                <w:sz w:val="21"/>
                <w:szCs w:val="21"/>
              </w:rPr>
              <w:t> </w:t>
            </w:r>
          </w:p>
        </w:tc>
        <w:tc>
          <w:tcPr>
            <w:tcW w:w="1150" w:type="dxa"/>
            <w:vMerge/>
            <w:tcBorders>
              <w:left w:val="single" w:sz="4" w:space="0" w:color="41B7EE"/>
              <w:bottom w:val="single" w:sz="4" w:space="0" w:color="41B7EE"/>
              <w:right w:val="nil" w:sz="6" w:space="0" w:color="auto"/>
            </w:tcBorders>
          </w:tcPr>
          <w:p>
            <w:pPr/>
          </w:p>
        </w:tc>
      </w:tr>
      <w:tr>
        <w:trPr>
          <w:trHeight w:val="358" w:hRule="exact"/>
        </w:trPr>
        <w:tc>
          <w:tcPr>
            <w:tcW w:w="455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一、不能重分类进损益的其他综合收益</w:t>
            </w:r>
            <w:r>
              <w:rPr>
                <w:rFonts w:ascii="宋体" w:hAnsi="宋体" w:cs="宋体" w:eastAsia="宋体" w:hint="default"/>
                <w:sz w:val="21"/>
                <w:szCs w:val="21"/>
              </w:rPr>
              <w:t> </w:t>
            </w:r>
          </w:p>
        </w:tc>
        <w:tc>
          <w:tcPr>
            <w:tcW w:w="12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left="105" w:right="0"/>
              <w:jc w:val="center"/>
              <w:rPr>
                <w:rFonts w:ascii="Arial" w:hAnsi="Arial" w:cs="Arial" w:eastAsia="Arial" w:hint="default"/>
                <w:sz w:val="21"/>
                <w:szCs w:val="21"/>
              </w:rPr>
            </w:pPr>
            <w:r>
              <w:rPr>
                <w:rFonts w:ascii="Arial"/>
                <w:sz w:val="21"/>
              </w:rPr>
              <w:t>-741,503.94</w:t>
            </w:r>
          </w:p>
        </w:tc>
        <w:tc>
          <w:tcPr>
            <w:tcW w:w="1282" w:type="dxa"/>
            <w:tcBorders>
              <w:top w:val="single" w:sz="4" w:space="0" w:color="41B7EE"/>
              <w:left w:val="single" w:sz="4" w:space="0" w:color="41B7EE"/>
              <w:bottom w:val="single" w:sz="4" w:space="0" w:color="41B7EE"/>
              <w:right w:val="single" w:sz="4" w:space="0" w:color="41B7EE"/>
            </w:tcBorders>
          </w:tcPr>
          <w:p>
            <w:pPr/>
          </w:p>
        </w:tc>
        <w:tc>
          <w:tcPr>
            <w:tcW w:w="1280" w:type="dxa"/>
            <w:tcBorders>
              <w:top w:val="single" w:sz="4" w:space="0" w:color="41B7EE"/>
              <w:left w:val="single" w:sz="4" w:space="0" w:color="41B7EE"/>
              <w:bottom w:val="single" w:sz="4" w:space="0" w:color="41B7EE"/>
              <w:right w:val="single" w:sz="4" w:space="0" w:color="41B7EE"/>
            </w:tcBorders>
          </w:tcPr>
          <w:p>
            <w:pPr/>
          </w:p>
        </w:tc>
        <w:tc>
          <w:tcPr>
            <w:tcW w:w="143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-741,507.94</w:t>
            </w:r>
          </w:p>
        </w:tc>
        <w:tc>
          <w:tcPr>
            <w:tcW w:w="857" w:type="dxa"/>
            <w:tcBorders>
              <w:top w:val="single" w:sz="4" w:space="0" w:color="41B7EE"/>
              <w:left w:val="single" w:sz="4" w:space="0" w:color="41B7EE"/>
              <w:bottom w:val="single" w:sz="4" w:space="0" w:color="41B7EE"/>
              <w:right w:val="single" w:sz="4" w:space="0" w:color="41B7EE"/>
            </w:tcBorders>
          </w:tcPr>
          <w:p>
            <w:pPr/>
          </w:p>
        </w:tc>
        <w:tc>
          <w:tcPr>
            <w:tcW w:w="122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741,507.94</w:t>
            </w:r>
          </w:p>
        </w:tc>
        <w:tc>
          <w:tcPr>
            <w:tcW w:w="876" w:type="dxa"/>
            <w:tcBorders>
              <w:top w:val="single" w:sz="4" w:space="0" w:color="41B7EE"/>
              <w:left w:val="single" w:sz="4" w:space="0" w:color="41B7EE"/>
              <w:bottom w:val="single" w:sz="4" w:space="0" w:color="41B7EE"/>
              <w:right w:val="single" w:sz="4" w:space="0" w:color="41B7EE"/>
            </w:tcBorders>
          </w:tcPr>
          <w:p>
            <w:pPr/>
          </w:p>
        </w:tc>
        <w:tc>
          <w:tcPr>
            <w:tcW w:w="115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4.00</w:t>
            </w:r>
          </w:p>
        </w:tc>
      </w:tr>
      <w:tr>
        <w:trPr>
          <w:trHeight w:val="355" w:hRule="exact"/>
        </w:trPr>
        <w:tc>
          <w:tcPr>
            <w:tcW w:w="455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其中：重新计量设定受益计划变动额</w:t>
            </w:r>
            <w:r>
              <w:rPr>
                <w:rFonts w:ascii="宋体" w:hAnsi="宋体" w:cs="宋体" w:eastAsia="宋体" w:hint="default"/>
                <w:sz w:val="21"/>
                <w:szCs w:val="21"/>
              </w:rPr>
              <w:t> </w:t>
            </w:r>
          </w:p>
        </w:tc>
        <w:tc>
          <w:tcPr>
            <w:tcW w:w="1282" w:type="dxa"/>
            <w:tcBorders>
              <w:top w:val="single" w:sz="4" w:space="0" w:color="41B7EE"/>
              <w:left w:val="single" w:sz="4" w:space="0" w:color="41B7EE"/>
              <w:bottom w:val="single" w:sz="4" w:space="0" w:color="41B7EE"/>
              <w:right w:val="single" w:sz="4" w:space="0" w:color="41B7EE"/>
            </w:tcBorders>
          </w:tcPr>
          <w:p>
            <w:pPr/>
          </w:p>
        </w:tc>
        <w:tc>
          <w:tcPr>
            <w:tcW w:w="1282" w:type="dxa"/>
            <w:tcBorders>
              <w:top w:val="single" w:sz="4" w:space="0" w:color="41B7EE"/>
              <w:left w:val="single" w:sz="4" w:space="0" w:color="41B7EE"/>
              <w:bottom w:val="single" w:sz="4" w:space="0" w:color="41B7EE"/>
              <w:right w:val="single" w:sz="4" w:space="0" w:color="41B7EE"/>
            </w:tcBorders>
          </w:tcPr>
          <w:p>
            <w:pPr/>
          </w:p>
        </w:tc>
        <w:tc>
          <w:tcPr>
            <w:tcW w:w="1280" w:type="dxa"/>
            <w:tcBorders>
              <w:top w:val="single" w:sz="4" w:space="0" w:color="41B7EE"/>
              <w:left w:val="single" w:sz="4" w:space="0" w:color="41B7EE"/>
              <w:bottom w:val="single" w:sz="4" w:space="0" w:color="41B7EE"/>
              <w:right w:val="single" w:sz="4" w:space="0" w:color="41B7EE"/>
            </w:tcBorders>
          </w:tcPr>
          <w:p>
            <w:pPr/>
          </w:p>
        </w:tc>
        <w:tc>
          <w:tcPr>
            <w:tcW w:w="1430" w:type="dxa"/>
            <w:tcBorders>
              <w:top w:val="single" w:sz="4" w:space="0" w:color="41B7EE"/>
              <w:left w:val="single" w:sz="4" w:space="0" w:color="41B7EE"/>
              <w:bottom w:val="single" w:sz="4" w:space="0" w:color="41B7EE"/>
              <w:right w:val="single" w:sz="4" w:space="0" w:color="41B7EE"/>
            </w:tcBorders>
          </w:tcPr>
          <w:p>
            <w:pPr/>
          </w:p>
        </w:tc>
        <w:tc>
          <w:tcPr>
            <w:tcW w:w="857" w:type="dxa"/>
            <w:tcBorders>
              <w:top w:val="single" w:sz="4" w:space="0" w:color="41B7EE"/>
              <w:left w:val="single" w:sz="4" w:space="0" w:color="41B7EE"/>
              <w:bottom w:val="single" w:sz="4" w:space="0" w:color="41B7EE"/>
              <w:right w:val="single" w:sz="4" w:space="0" w:color="41B7EE"/>
            </w:tcBorders>
          </w:tcPr>
          <w:p>
            <w:pPr/>
          </w:p>
        </w:tc>
        <w:tc>
          <w:tcPr>
            <w:tcW w:w="1220" w:type="dxa"/>
            <w:tcBorders>
              <w:top w:val="single" w:sz="4" w:space="0" w:color="41B7EE"/>
              <w:left w:val="single" w:sz="4" w:space="0" w:color="41B7EE"/>
              <w:bottom w:val="single" w:sz="4" w:space="0" w:color="41B7EE"/>
              <w:right w:val="single" w:sz="4" w:space="0" w:color="41B7EE"/>
            </w:tcBorders>
          </w:tcPr>
          <w:p>
            <w:pPr/>
          </w:p>
        </w:tc>
        <w:tc>
          <w:tcPr>
            <w:tcW w:w="876" w:type="dxa"/>
            <w:tcBorders>
              <w:top w:val="single" w:sz="4" w:space="0" w:color="41B7EE"/>
              <w:left w:val="single" w:sz="4" w:space="0" w:color="41B7EE"/>
              <w:bottom w:val="single" w:sz="4" w:space="0" w:color="41B7EE"/>
              <w:right w:val="single" w:sz="4" w:space="0" w:color="41B7EE"/>
            </w:tcBorders>
          </w:tcPr>
          <w:p>
            <w:pPr/>
          </w:p>
        </w:tc>
        <w:tc>
          <w:tcPr>
            <w:tcW w:w="1150"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455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权益法下不能转损益的其他综合收益</w:t>
            </w:r>
            <w:r>
              <w:rPr>
                <w:rFonts w:ascii="宋体" w:hAnsi="宋体" w:cs="宋体" w:eastAsia="宋体" w:hint="default"/>
                <w:sz w:val="21"/>
                <w:szCs w:val="21"/>
              </w:rPr>
              <w:t> </w:t>
            </w:r>
          </w:p>
        </w:tc>
        <w:tc>
          <w:tcPr>
            <w:tcW w:w="1282" w:type="dxa"/>
            <w:tcBorders>
              <w:top w:val="single" w:sz="4" w:space="0" w:color="41B7EE"/>
              <w:left w:val="single" w:sz="4" w:space="0" w:color="41B7EE"/>
              <w:bottom w:val="single" w:sz="4" w:space="0" w:color="41B7EE"/>
              <w:right w:val="single" w:sz="4" w:space="0" w:color="41B7EE"/>
            </w:tcBorders>
          </w:tcPr>
          <w:p>
            <w:pPr/>
          </w:p>
        </w:tc>
        <w:tc>
          <w:tcPr>
            <w:tcW w:w="1282" w:type="dxa"/>
            <w:tcBorders>
              <w:top w:val="single" w:sz="4" w:space="0" w:color="41B7EE"/>
              <w:left w:val="single" w:sz="4" w:space="0" w:color="41B7EE"/>
              <w:bottom w:val="single" w:sz="4" w:space="0" w:color="41B7EE"/>
              <w:right w:val="single" w:sz="4" w:space="0" w:color="41B7EE"/>
            </w:tcBorders>
          </w:tcPr>
          <w:p>
            <w:pPr/>
          </w:p>
        </w:tc>
        <w:tc>
          <w:tcPr>
            <w:tcW w:w="1280" w:type="dxa"/>
            <w:tcBorders>
              <w:top w:val="single" w:sz="4" w:space="0" w:color="41B7EE"/>
              <w:left w:val="single" w:sz="4" w:space="0" w:color="41B7EE"/>
              <w:bottom w:val="single" w:sz="4" w:space="0" w:color="41B7EE"/>
              <w:right w:val="single" w:sz="4" w:space="0" w:color="41B7EE"/>
            </w:tcBorders>
          </w:tcPr>
          <w:p>
            <w:pPr/>
          </w:p>
        </w:tc>
        <w:tc>
          <w:tcPr>
            <w:tcW w:w="1430" w:type="dxa"/>
            <w:tcBorders>
              <w:top w:val="single" w:sz="4" w:space="0" w:color="41B7EE"/>
              <w:left w:val="single" w:sz="4" w:space="0" w:color="41B7EE"/>
              <w:bottom w:val="single" w:sz="4" w:space="0" w:color="41B7EE"/>
              <w:right w:val="single" w:sz="4" w:space="0" w:color="41B7EE"/>
            </w:tcBorders>
          </w:tcPr>
          <w:p>
            <w:pPr/>
          </w:p>
        </w:tc>
        <w:tc>
          <w:tcPr>
            <w:tcW w:w="857" w:type="dxa"/>
            <w:tcBorders>
              <w:top w:val="single" w:sz="4" w:space="0" w:color="41B7EE"/>
              <w:left w:val="single" w:sz="4" w:space="0" w:color="41B7EE"/>
              <w:bottom w:val="single" w:sz="4" w:space="0" w:color="41B7EE"/>
              <w:right w:val="single" w:sz="4" w:space="0" w:color="41B7EE"/>
            </w:tcBorders>
          </w:tcPr>
          <w:p>
            <w:pPr/>
          </w:p>
        </w:tc>
        <w:tc>
          <w:tcPr>
            <w:tcW w:w="1220" w:type="dxa"/>
            <w:tcBorders>
              <w:top w:val="single" w:sz="4" w:space="0" w:color="41B7EE"/>
              <w:left w:val="single" w:sz="4" w:space="0" w:color="41B7EE"/>
              <w:bottom w:val="single" w:sz="4" w:space="0" w:color="41B7EE"/>
              <w:right w:val="single" w:sz="4" w:space="0" w:color="41B7EE"/>
            </w:tcBorders>
          </w:tcPr>
          <w:p>
            <w:pPr/>
          </w:p>
        </w:tc>
        <w:tc>
          <w:tcPr>
            <w:tcW w:w="876" w:type="dxa"/>
            <w:tcBorders>
              <w:top w:val="single" w:sz="4" w:space="0" w:color="41B7EE"/>
              <w:left w:val="single" w:sz="4" w:space="0" w:color="41B7EE"/>
              <w:bottom w:val="single" w:sz="4" w:space="0" w:color="41B7EE"/>
              <w:right w:val="single" w:sz="4" w:space="0" w:color="41B7EE"/>
            </w:tcBorders>
          </w:tcPr>
          <w:p>
            <w:pPr/>
          </w:p>
        </w:tc>
        <w:tc>
          <w:tcPr>
            <w:tcW w:w="1150"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455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660" w:right="0"/>
              <w:jc w:val="left"/>
              <w:rPr>
                <w:rFonts w:ascii="宋体" w:hAnsi="宋体" w:cs="宋体" w:eastAsia="宋体" w:hint="default"/>
                <w:sz w:val="21"/>
                <w:szCs w:val="21"/>
              </w:rPr>
            </w:pPr>
            <w:r>
              <w:rPr>
                <w:rFonts w:ascii="宋体" w:hAnsi="宋体" w:cs="宋体" w:eastAsia="宋体" w:hint="default"/>
                <w:sz w:val="21"/>
                <w:szCs w:val="21"/>
              </w:rPr>
              <w:t>其他权益工具投资公允价值变动</w:t>
            </w:r>
            <w:r>
              <w:rPr>
                <w:rFonts w:ascii="宋体" w:hAnsi="宋体" w:cs="宋体" w:eastAsia="宋体" w:hint="default"/>
                <w:sz w:val="21"/>
                <w:szCs w:val="21"/>
              </w:rPr>
              <w:t> </w:t>
            </w:r>
          </w:p>
        </w:tc>
        <w:tc>
          <w:tcPr>
            <w:tcW w:w="12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left="105" w:right="0"/>
              <w:jc w:val="center"/>
              <w:rPr>
                <w:rFonts w:ascii="Arial" w:hAnsi="Arial" w:cs="Arial" w:eastAsia="Arial" w:hint="default"/>
                <w:sz w:val="21"/>
                <w:szCs w:val="21"/>
              </w:rPr>
            </w:pPr>
            <w:r>
              <w:rPr>
                <w:rFonts w:ascii="Arial"/>
                <w:sz w:val="21"/>
              </w:rPr>
              <w:t>-741,503.94</w:t>
            </w:r>
          </w:p>
        </w:tc>
        <w:tc>
          <w:tcPr>
            <w:tcW w:w="1282" w:type="dxa"/>
            <w:tcBorders>
              <w:top w:val="single" w:sz="4" w:space="0" w:color="41B7EE"/>
              <w:left w:val="single" w:sz="4" w:space="0" w:color="41B7EE"/>
              <w:bottom w:val="single" w:sz="4" w:space="0" w:color="41B7EE"/>
              <w:right w:val="single" w:sz="4" w:space="0" w:color="41B7EE"/>
            </w:tcBorders>
          </w:tcPr>
          <w:p>
            <w:pPr/>
          </w:p>
        </w:tc>
        <w:tc>
          <w:tcPr>
            <w:tcW w:w="1280" w:type="dxa"/>
            <w:tcBorders>
              <w:top w:val="single" w:sz="4" w:space="0" w:color="41B7EE"/>
              <w:left w:val="single" w:sz="4" w:space="0" w:color="41B7EE"/>
              <w:bottom w:val="single" w:sz="4" w:space="0" w:color="41B7EE"/>
              <w:right w:val="single" w:sz="4" w:space="0" w:color="41B7EE"/>
            </w:tcBorders>
          </w:tcPr>
          <w:p>
            <w:pPr/>
          </w:p>
        </w:tc>
        <w:tc>
          <w:tcPr>
            <w:tcW w:w="143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-741,507.94</w:t>
            </w:r>
          </w:p>
        </w:tc>
        <w:tc>
          <w:tcPr>
            <w:tcW w:w="857" w:type="dxa"/>
            <w:tcBorders>
              <w:top w:val="single" w:sz="4" w:space="0" w:color="41B7EE"/>
              <w:left w:val="single" w:sz="4" w:space="0" w:color="41B7EE"/>
              <w:bottom w:val="single" w:sz="4" w:space="0" w:color="41B7EE"/>
              <w:right w:val="single" w:sz="4" w:space="0" w:color="41B7EE"/>
            </w:tcBorders>
          </w:tcPr>
          <w:p>
            <w:pPr/>
          </w:p>
        </w:tc>
        <w:tc>
          <w:tcPr>
            <w:tcW w:w="122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741,507.94</w:t>
            </w:r>
          </w:p>
        </w:tc>
        <w:tc>
          <w:tcPr>
            <w:tcW w:w="876" w:type="dxa"/>
            <w:tcBorders>
              <w:top w:val="single" w:sz="4" w:space="0" w:color="41B7EE"/>
              <w:left w:val="single" w:sz="4" w:space="0" w:color="41B7EE"/>
              <w:bottom w:val="single" w:sz="4" w:space="0" w:color="41B7EE"/>
              <w:right w:val="single" w:sz="4" w:space="0" w:color="41B7EE"/>
            </w:tcBorders>
          </w:tcPr>
          <w:p>
            <w:pPr/>
          </w:p>
        </w:tc>
        <w:tc>
          <w:tcPr>
            <w:tcW w:w="115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4.00</w:t>
            </w:r>
          </w:p>
        </w:tc>
      </w:tr>
      <w:tr>
        <w:trPr>
          <w:trHeight w:val="358" w:hRule="exact"/>
        </w:trPr>
        <w:tc>
          <w:tcPr>
            <w:tcW w:w="455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660" w:right="0"/>
              <w:jc w:val="left"/>
              <w:rPr>
                <w:rFonts w:ascii="宋体" w:hAnsi="宋体" w:cs="宋体" w:eastAsia="宋体" w:hint="default"/>
                <w:sz w:val="21"/>
                <w:szCs w:val="21"/>
              </w:rPr>
            </w:pPr>
            <w:r>
              <w:rPr>
                <w:rFonts w:ascii="宋体" w:hAnsi="宋体" w:cs="宋体" w:eastAsia="宋体" w:hint="default"/>
                <w:sz w:val="21"/>
                <w:szCs w:val="21"/>
              </w:rPr>
              <w:t>企业自身信用风险公允价值变动</w:t>
            </w:r>
            <w:r>
              <w:rPr>
                <w:rFonts w:ascii="宋体" w:hAnsi="宋体" w:cs="宋体" w:eastAsia="宋体" w:hint="default"/>
                <w:sz w:val="21"/>
                <w:szCs w:val="21"/>
              </w:rPr>
              <w:t> </w:t>
            </w:r>
          </w:p>
        </w:tc>
        <w:tc>
          <w:tcPr>
            <w:tcW w:w="1282" w:type="dxa"/>
            <w:tcBorders>
              <w:top w:val="single" w:sz="4" w:space="0" w:color="41B7EE"/>
              <w:left w:val="single" w:sz="4" w:space="0" w:color="41B7EE"/>
              <w:bottom w:val="single" w:sz="4" w:space="0" w:color="41B7EE"/>
              <w:right w:val="single" w:sz="4" w:space="0" w:color="41B7EE"/>
            </w:tcBorders>
          </w:tcPr>
          <w:p>
            <w:pPr/>
          </w:p>
        </w:tc>
        <w:tc>
          <w:tcPr>
            <w:tcW w:w="1282" w:type="dxa"/>
            <w:tcBorders>
              <w:top w:val="single" w:sz="4" w:space="0" w:color="41B7EE"/>
              <w:left w:val="single" w:sz="4" w:space="0" w:color="41B7EE"/>
              <w:bottom w:val="single" w:sz="4" w:space="0" w:color="41B7EE"/>
              <w:right w:val="single" w:sz="4" w:space="0" w:color="41B7EE"/>
            </w:tcBorders>
          </w:tcPr>
          <w:p>
            <w:pPr/>
          </w:p>
        </w:tc>
        <w:tc>
          <w:tcPr>
            <w:tcW w:w="1280" w:type="dxa"/>
            <w:tcBorders>
              <w:top w:val="single" w:sz="4" w:space="0" w:color="41B7EE"/>
              <w:left w:val="single" w:sz="4" w:space="0" w:color="41B7EE"/>
              <w:bottom w:val="single" w:sz="4" w:space="0" w:color="41B7EE"/>
              <w:right w:val="single" w:sz="4" w:space="0" w:color="41B7EE"/>
            </w:tcBorders>
          </w:tcPr>
          <w:p>
            <w:pPr/>
          </w:p>
        </w:tc>
        <w:tc>
          <w:tcPr>
            <w:tcW w:w="1430" w:type="dxa"/>
            <w:tcBorders>
              <w:top w:val="single" w:sz="4" w:space="0" w:color="41B7EE"/>
              <w:left w:val="single" w:sz="4" w:space="0" w:color="41B7EE"/>
              <w:bottom w:val="single" w:sz="4" w:space="0" w:color="41B7EE"/>
              <w:right w:val="single" w:sz="4" w:space="0" w:color="41B7EE"/>
            </w:tcBorders>
          </w:tcPr>
          <w:p>
            <w:pPr/>
          </w:p>
        </w:tc>
        <w:tc>
          <w:tcPr>
            <w:tcW w:w="857" w:type="dxa"/>
            <w:tcBorders>
              <w:top w:val="single" w:sz="4" w:space="0" w:color="41B7EE"/>
              <w:left w:val="single" w:sz="4" w:space="0" w:color="41B7EE"/>
              <w:bottom w:val="single" w:sz="4" w:space="0" w:color="41B7EE"/>
              <w:right w:val="single" w:sz="4" w:space="0" w:color="41B7EE"/>
            </w:tcBorders>
          </w:tcPr>
          <w:p>
            <w:pPr/>
          </w:p>
        </w:tc>
        <w:tc>
          <w:tcPr>
            <w:tcW w:w="1220" w:type="dxa"/>
            <w:tcBorders>
              <w:top w:val="single" w:sz="4" w:space="0" w:color="41B7EE"/>
              <w:left w:val="single" w:sz="4" w:space="0" w:color="41B7EE"/>
              <w:bottom w:val="single" w:sz="4" w:space="0" w:color="41B7EE"/>
              <w:right w:val="single" w:sz="4" w:space="0" w:color="41B7EE"/>
            </w:tcBorders>
          </w:tcPr>
          <w:p>
            <w:pPr/>
          </w:p>
        </w:tc>
        <w:tc>
          <w:tcPr>
            <w:tcW w:w="876" w:type="dxa"/>
            <w:tcBorders>
              <w:top w:val="single" w:sz="4" w:space="0" w:color="41B7EE"/>
              <w:left w:val="single" w:sz="4" w:space="0" w:color="41B7EE"/>
              <w:bottom w:val="single" w:sz="4" w:space="0" w:color="41B7EE"/>
              <w:right w:val="single" w:sz="4" w:space="0" w:color="41B7EE"/>
            </w:tcBorders>
          </w:tcPr>
          <w:p>
            <w:pPr/>
          </w:p>
        </w:tc>
        <w:tc>
          <w:tcPr>
            <w:tcW w:w="1150" w:type="dxa"/>
            <w:tcBorders>
              <w:top w:val="single" w:sz="4" w:space="0" w:color="41B7EE"/>
              <w:left w:val="single" w:sz="4" w:space="0" w:color="41B7EE"/>
              <w:bottom w:val="single" w:sz="4" w:space="0" w:color="41B7EE"/>
              <w:right w:val="nil" w:sz="6" w:space="0" w:color="auto"/>
            </w:tcBorders>
          </w:tcPr>
          <w:p>
            <w:pPr/>
          </w:p>
        </w:tc>
      </w:tr>
      <w:tr>
        <w:trPr>
          <w:trHeight w:val="355" w:hRule="exact"/>
        </w:trPr>
        <w:tc>
          <w:tcPr>
            <w:tcW w:w="455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二、将重分类进损益的其他综合收益</w:t>
            </w:r>
            <w:r>
              <w:rPr>
                <w:rFonts w:ascii="宋体" w:hAnsi="宋体" w:cs="宋体" w:eastAsia="宋体" w:hint="default"/>
                <w:sz w:val="21"/>
                <w:szCs w:val="21"/>
              </w:rPr>
              <w:t> </w:t>
            </w:r>
          </w:p>
        </w:tc>
        <w:tc>
          <w:tcPr>
            <w:tcW w:w="1282" w:type="dxa"/>
            <w:tcBorders>
              <w:top w:val="single" w:sz="4" w:space="0" w:color="41B7EE"/>
              <w:left w:val="single" w:sz="4" w:space="0" w:color="41B7EE"/>
              <w:bottom w:val="single" w:sz="4" w:space="0" w:color="41B7EE"/>
              <w:right w:val="single" w:sz="4" w:space="0" w:color="41B7EE"/>
            </w:tcBorders>
          </w:tcPr>
          <w:p>
            <w:pPr/>
          </w:p>
        </w:tc>
        <w:tc>
          <w:tcPr>
            <w:tcW w:w="12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153,306.00</w:t>
            </w:r>
          </w:p>
        </w:tc>
        <w:tc>
          <w:tcPr>
            <w:tcW w:w="1280" w:type="dxa"/>
            <w:tcBorders>
              <w:top w:val="single" w:sz="4" w:space="0" w:color="41B7EE"/>
              <w:left w:val="single" w:sz="4" w:space="0" w:color="41B7EE"/>
              <w:bottom w:val="single" w:sz="4" w:space="0" w:color="41B7EE"/>
              <w:right w:val="single" w:sz="4" w:space="0" w:color="41B7EE"/>
            </w:tcBorders>
          </w:tcPr>
          <w:p>
            <w:pPr/>
          </w:p>
        </w:tc>
        <w:tc>
          <w:tcPr>
            <w:tcW w:w="1430" w:type="dxa"/>
            <w:tcBorders>
              <w:top w:val="single" w:sz="4" w:space="0" w:color="41B7EE"/>
              <w:left w:val="single" w:sz="4" w:space="0" w:color="41B7EE"/>
              <w:bottom w:val="single" w:sz="4" w:space="0" w:color="41B7EE"/>
              <w:right w:val="single" w:sz="4" w:space="0" w:color="41B7EE"/>
            </w:tcBorders>
          </w:tcPr>
          <w:p>
            <w:pPr/>
          </w:p>
        </w:tc>
        <w:tc>
          <w:tcPr>
            <w:tcW w:w="857" w:type="dxa"/>
            <w:tcBorders>
              <w:top w:val="single" w:sz="4" w:space="0" w:color="41B7EE"/>
              <w:left w:val="single" w:sz="4" w:space="0" w:color="41B7EE"/>
              <w:bottom w:val="single" w:sz="4" w:space="0" w:color="41B7EE"/>
              <w:right w:val="single" w:sz="4" w:space="0" w:color="41B7EE"/>
            </w:tcBorders>
          </w:tcPr>
          <w:p>
            <w:pPr/>
          </w:p>
        </w:tc>
        <w:tc>
          <w:tcPr>
            <w:tcW w:w="122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153,306.00</w:t>
            </w:r>
          </w:p>
        </w:tc>
        <w:tc>
          <w:tcPr>
            <w:tcW w:w="876" w:type="dxa"/>
            <w:tcBorders>
              <w:top w:val="single" w:sz="4" w:space="0" w:color="41B7EE"/>
              <w:left w:val="single" w:sz="4" w:space="0" w:color="41B7EE"/>
              <w:bottom w:val="single" w:sz="4" w:space="0" w:color="41B7EE"/>
              <w:right w:val="single" w:sz="4" w:space="0" w:color="41B7EE"/>
            </w:tcBorders>
          </w:tcPr>
          <w:p>
            <w:pPr/>
          </w:p>
        </w:tc>
        <w:tc>
          <w:tcPr>
            <w:tcW w:w="115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153,306.00</w:t>
            </w:r>
          </w:p>
        </w:tc>
      </w:tr>
      <w:tr>
        <w:trPr>
          <w:trHeight w:val="358" w:hRule="exact"/>
        </w:trPr>
        <w:tc>
          <w:tcPr>
            <w:tcW w:w="455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其中：权益法下可转损益的其他综合收益</w:t>
            </w:r>
            <w:r>
              <w:rPr>
                <w:rFonts w:ascii="宋体" w:hAnsi="宋体" w:cs="宋体" w:eastAsia="宋体" w:hint="default"/>
                <w:sz w:val="21"/>
                <w:szCs w:val="21"/>
              </w:rPr>
              <w:t> </w:t>
            </w:r>
          </w:p>
        </w:tc>
        <w:tc>
          <w:tcPr>
            <w:tcW w:w="1282" w:type="dxa"/>
            <w:tcBorders>
              <w:top w:val="single" w:sz="4" w:space="0" w:color="41B7EE"/>
              <w:left w:val="single" w:sz="4" w:space="0" w:color="41B7EE"/>
              <w:bottom w:val="single" w:sz="4" w:space="0" w:color="41B7EE"/>
              <w:right w:val="single" w:sz="4" w:space="0" w:color="41B7EE"/>
            </w:tcBorders>
          </w:tcPr>
          <w:p>
            <w:pPr/>
          </w:p>
        </w:tc>
        <w:tc>
          <w:tcPr>
            <w:tcW w:w="12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19"/>
              <w:jc w:val="right"/>
              <w:rPr>
                <w:rFonts w:ascii="Arial" w:hAnsi="Arial" w:cs="Arial" w:eastAsia="Arial" w:hint="default"/>
                <w:sz w:val="21"/>
                <w:szCs w:val="21"/>
              </w:rPr>
            </w:pPr>
            <w:r>
              <w:rPr>
                <w:rFonts w:ascii="Arial"/>
                <w:spacing w:val="-1"/>
                <w:sz w:val="21"/>
              </w:rPr>
              <w:t>153,306.00</w:t>
            </w:r>
          </w:p>
        </w:tc>
        <w:tc>
          <w:tcPr>
            <w:tcW w:w="1280" w:type="dxa"/>
            <w:tcBorders>
              <w:top w:val="single" w:sz="4" w:space="0" w:color="41B7EE"/>
              <w:left w:val="single" w:sz="4" w:space="0" w:color="41B7EE"/>
              <w:bottom w:val="single" w:sz="4" w:space="0" w:color="41B7EE"/>
              <w:right w:val="single" w:sz="4" w:space="0" w:color="41B7EE"/>
            </w:tcBorders>
          </w:tcPr>
          <w:p>
            <w:pPr/>
          </w:p>
        </w:tc>
        <w:tc>
          <w:tcPr>
            <w:tcW w:w="1430" w:type="dxa"/>
            <w:tcBorders>
              <w:top w:val="single" w:sz="4" w:space="0" w:color="41B7EE"/>
              <w:left w:val="single" w:sz="4" w:space="0" w:color="41B7EE"/>
              <w:bottom w:val="single" w:sz="4" w:space="0" w:color="41B7EE"/>
              <w:right w:val="single" w:sz="4" w:space="0" w:color="41B7EE"/>
            </w:tcBorders>
          </w:tcPr>
          <w:p>
            <w:pPr/>
          </w:p>
        </w:tc>
        <w:tc>
          <w:tcPr>
            <w:tcW w:w="857" w:type="dxa"/>
            <w:tcBorders>
              <w:top w:val="single" w:sz="4" w:space="0" w:color="41B7EE"/>
              <w:left w:val="single" w:sz="4" w:space="0" w:color="41B7EE"/>
              <w:bottom w:val="single" w:sz="4" w:space="0" w:color="41B7EE"/>
              <w:right w:val="single" w:sz="4" w:space="0" w:color="41B7EE"/>
            </w:tcBorders>
          </w:tcPr>
          <w:p>
            <w:pPr/>
          </w:p>
        </w:tc>
        <w:tc>
          <w:tcPr>
            <w:tcW w:w="122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17"/>
              <w:jc w:val="right"/>
              <w:rPr>
                <w:rFonts w:ascii="Arial" w:hAnsi="Arial" w:cs="Arial" w:eastAsia="Arial" w:hint="default"/>
                <w:sz w:val="21"/>
                <w:szCs w:val="21"/>
              </w:rPr>
            </w:pPr>
            <w:r>
              <w:rPr>
                <w:rFonts w:ascii="Arial"/>
                <w:spacing w:val="-1"/>
                <w:sz w:val="21"/>
              </w:rPr>
              <w:t>153,306.00</w:t>
            </w:r>
          </w:p>
        </w:tc>
        <w:tc>
          <w:tcPr>
            <w:tcW w:w="876" w:type="dxa"/>
            <w:tcBorders>
              <w:top w:val="single" w:sz="4" w:space="0" w:color="41B7EE"/>
              <w:left w:val="single" w:sz="4" w:space="0" w:color="41B7EE"/>
              <w:bottom w:val="single" w:sz="4" w:space="0" w:color="41B7EE"/>
              <w:right w:val="single" w:sz="4" w:space="0" w:color="41B7EE"/>
            </w:tcBorders>
          </w:tcPr>
          <w:p>
            <w:pPr/>
          </w:p>
        </w:tc>
        <w:tc>
          <w:tcPr>
            <w:tcW w:w="115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right="22"/>
              <w:jc w:val="right"/>
              <w:rPr>
                <w:rFonts w:ascii="Arial" w:hAnsi="Arial" w:cs="Arial" w:eastAsia="Arial" w:hint="default"/>
                <w:sz w:val="21"/>
                <w:szCs w:val="21"/>
              </w:rPr>
            </w:pPr>
            <w:r>
              <w:rPr>
                <w:rFonts w:ascii="Arial"/>
                <w:spacing w:val="-1"/>
                <w:sz w:val="21"/>
              </w:rPr>
              <w:t>153,306.00</w:t>
            </w:r>
          </w:p>
        </w:tc>
      </w:tr>
      <w:tr>
        <w:trPr>
          <w:trHeight w:val="358" w:hRule="exact"/>
        </w:trPr>
        <w:tc>
          <w:tcPr>
            <w:tcW w:w="455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660" w:right="0"/>
              <w:jc w:val="left"/>
              <w:rPr>
                <w:rFonts w:ascii="宋体" w:hAnsi="宋体" w:cs="宋体" w:eastAsia="宋体" w:hint="default"/>
                <w:sz w:val="21"/>
                <w:szCs w:val="21"/>
              </w:rPr>
            </w:pPr>
            <w:r>
              <w:rPr>
                <w:rFonts w:ascii="宋体" w:hAnsi="宋体" w:cs="宋体" w:eastAsia="宋体" w:hint="default"/>
                <w:sz w:val="21"/>
                <w:szCs w:val="21"/>
              </w:rPr>
              <w:t>其他债权投资公允价值变动</w:t>
            </w:r>
            <w:r>
              <w:rPr>
                <w:rFonts w:ascii="宋体" w:hAnsi="宋体" w:cs="宋体" w:eastAsia="宋体" w:hint="default"/>
                <w:sz w:val="21"/>
                <w:szCs w:val="21"/>
              </w:rPr>
              <w:t> </w:t>
            </w:r>
          </w:p>
        </w:tc>
        <w:tc>
          <w:tcPr>
            <w:tcW w:w="1282" w:type="dxa"/>
            <w:tcBorders>
              <w:top w:val="single" w:sz="4" w:space="0" w:color="41B7EE"/>
              <w:left w:val="single" w:sz="4" w:space="0" w:color="41B7EE"/>
              <w:bottom w:val="single" w:sz="4" w:space="0" w:color="41B7EE"/>
              <w:right w:val="single" w:sz="4" w:space="0" w:color="41B7EE"/>
            </w:tcBorders>
          </w:tcPr>
          <w:p>
            <w:pPr/>
          </w:p>
        </w:tc>
        <w:tc>
          <w:tcPr>
            <w:tcW w:w="1282" w:type="dxa"/>
            <w:tcBorders>
              <w:top w:val="single" w:sz="4" w:space="0" w:color="41B7EE"/>
              <w:left w:val="single" w:sz="4" w:space="0" w:color="41B7EE"/>
              <w:bottom w:val="single" w:sz="4" w:space="0" w:color="41B7EE"/>
              <w:right w:val="single" w:sz="4" w:space="0" w:color="41B7EE"/>
            </w:tcBorders>
          </w:tcPr>
          <w:p>
            <w:pPr/>
          </w:p>
        </w:tc>
        <w:tc>
          <w:tcPr>
            <w:tcW w:w="1280" w:type="dxa"/>
            <w:tcBorders>
              <w:top w:val="single" w:sz="4" w:space="0" w:color="41B7EE"/>
              <w:left w:val="single" w:sz="4" w:space="0" w:color="41B7EE"/>
              <w:bottom w:val="single" w:sz="4" w:space="0" w:color="41B7EE"/>
              <w:right w:val="single" w:sz="4" w:space="0" w:color="41B7EE"/>
            </w:tcBorders>
          </w:tcPr>
          <w:p>
            <w:pPr/>
          </w:p>
        </w:tc>
        <w:tc>
          <w:tcPr>
            <w:tcW w:w="1430" w:type="dxa"/>
            <w:tcBorders>
              <w:top w:val="single" w:sz="4" w:space="0" w:color="41B7EE"/>
              <w:left w:val="single" w:sz="4" w:space="0" w:color="41B7EE"/>
              <w:bottom w:val="single" w:sz="4" w:space="0" w:color="41B7EE"/>
              <w:right w:val="single" w:sz="4" w:space="0" w:color="41B7EE"/>
            </w:tcBorders>
          </w:tcPr>
          <w:p>
            <w:pPr/>
          </w:p>
        </w:tc>
        <w:tc>
          <w:tcPr>
            <w:tcW w:w="857" w:type="dxa"/>
            <w:tcBorders>
              <w:top w:val="single" w:sz="4" w:space="0" w:color="41B7EE"/>
              <w:left w:val="single" w:sz="4" w:space="0" w:color="41B7EE"/>
              <w:bottom w:val="single" w:sz="4" w:space="0" w:color="41B7EE"/>
              <w:right w:val="single" w:sz="4" w:space="0" w:color="41B7EE"/>
            </w:tcBorders>
          </w:tcPr>
          <w:p>
            <w:pPr/>
          </w:p>
        </w:tc>
        <w:tc>
          <w:tcPr>
            <w:tcW w:w="1220" w:type="dxa"/>
            <w:tcBorders>
              <w:top w:val="single" w:sz="4" w:space="0" w:color="41B7EE"/>
              <w:left w:val="single" w:sz="4" w:space="0" w:color="41B7EE"/>
              <w:bottom w:val="single" w:sz="4" w:space="0" w:color="41B7EE"/>
              <w:right w:val="single" w:sz="4" w:space="0" w:color="41B7EE"/>
            </w:tcBorders>
          </w:tcPr>
          <w:p>
            <w:pPr/>
          </w:p>
        </w:tc>
        <w:tc>
          <w:tcPr>
            <w:tcW w:w="876" w:type="dxa"/>
            <w:tcBorders>
              <w:top w:val="single" w:sz="4" w:space="0" w:color="41B7EE"/>
              <w:left w:val="single" w:sz="4" w:space="0" w:color="41B7EE"/>
              <w:bottom w:val="single" w:sz="4" w:space="0" w:color="41B7EE"/>
              <w:right w:val="single" w:sz="4" w:space="0" w:color="41B7EE"/>
            </w:tcBorders>
          </w:tcPr>
          <w:p>
            <w:pPr/>
          </w:p>
        </w:tc>
        <w:tc>
          <w:tcPr>
            <w:tcW w:w="1150"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455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660" w:right="0"/>
              <w:jc w:val="left"/>
              <w:rPr>
                <w:rFonts w:ascii="宋体" w:hAnsi="宋体" w:cs="宋体" w:eastAsia="宋体" w:hint="default"/>
                <w:sz w:val="21"/>
                <w:szCs w:val="21"/>
              </w:rPr>
            </w:pPr>
            <w:r>
              <w:rPr>
                <w:rFonts w:ascii="宋体" w:hAnsi="宋体" w:cs="宋体" w:eastAsia="宋体" w:hint="default"/>
                <w:sz w:val="21"/>
                <w:szCs w:val="21"/>
              </w:rPr>
              <w:t>金融资产重分类计入其他综合收益的金额</w:t>
            </w:r>
            <w:r>
              <w:rPr>
                <w:rFonts w:ascii="宋体" w:hAnsi="宋体" w:cs="宋体" w:eastAsia="宋体" w:hint="default"/>
                <w:sz w:val="21"/>
                <w:szCs w:val="21"/>
              </w:rPr>
              <w:t> </w:t>
            </w:r>
          </w:p>
        </w:tc>
        <w:tc>
          <w:tcPr>
            <w:tcW w:w="1282" w:type="dxa"/>
            <w:tcBorders>
              <w:top w:val="single" w:sz="4" w:space="0" w:color="41B7EE"/>
              <w:left w:val="single" w:sz="4" w:space="0" w:color="41B7EE"/>
              <w:bottom w:val="single" w:sz="4" w:space="0" w:color="41B7EE"/>
              <w:right w:val="single" w:sz="4" w:space="0" w:color="41B7EE"/>
            </w:tcBorders>
          </w:tcPr>
          <w:p>
            <w:pPr/>
          </w:p>
        </w:tc>
        <w:tc>
          <w:tcPr>
            <w:tcW w:w="1282" w:type="dxa"/>
            <w:tcBorders>
              <w:top w:val="single" w:sz="4" w:space="0" w:color="41B7EE"/>
              <w:left w:val="single" w:sz="4" w:space="0" w:color="41B7EE"/>
              <w:bottom w:val="single" w:sz="4" w:space="0" w:color="41B7EE"/>
              <w:right w:val="single" w:sz="4" w:space="0" w:color="41B7EE"/>
            </w:tcBorders>
          </w:tcPr>
          <w:p>
            <w:pPr/>
          </w:p>
        </w:tc>
        <w:tc>
          <w:tcPr>
            <w:tcW w:w="1280" w:type="dxa"/>
            <w:tcBorders>
              <w:top w:val="single" w:sz="4" w:space="0" w:color="41B7EE"/>
              <w:left w:val="single" w:sz="4" w:space="0" w:color="41B7EE"/>
              <w:bottom w:val="single" w:sz="4" w:space="0" w:color="41B7EE"/>
              <w:right w:val="single" w:sz="4" w:space="0" w:color="41B7EE"/>
            </w:tcBorders>
          </w:tcPr>
          <w:p>
            <w:pPr/>
          </w:p>
        </w:tc>
        <w:tc>
          <w:tcPr>
            <w:tcW w:w="1430" w:type="dxa"/>
            <w:tcBorders>
              <w:top w:val="single" w:sz="4" w:space="0" w:color="41B7EE"/>
              <w:left w:val="single" w:sz="4" w:space="0" w:color="41B7EE"/>
              <w:bottom w:val="single" w:sz="4" w:space="0" w:color="41B7EE"/>
              <w:right w:val="single" w:sz="4" w:space="0" w:color="41B7EE"/>
            </w:tcBorders>
          </w:tcPr>
          <w:p>
            <w:pPr/>
          </w:p>
        </w:tc>
        <w:tc>
          <w:tcPr>
            <w:tcW w:w="857" w:type="dxa"/>
            <w:tcBorders>
              <w:top w:val="single" w:sz="4" w:space="0" w:color="41B7EE"/>
              <w:left w:val="single" w:sz="4" w:space="0" w:color="41B7EE"/>
              <w:bottom w:val="single" w:sz="4" w:space="0" w:color="41B7EE"/>
              <w:right w:val="single" w:sz="4" w:space="0" w:color="41B7EE"/>
            </w:tcBorders>
          </w:tcPr>
          <w:p>
            <w:pPr/>
          </w:p>
        </w:tc>
        <w:tc>
          <w:tcPr>
            <w:tcW w:w="1220" w:type="dxa"/>
            <w:tcBorders>
              <w:top w:val="single" w:sz="4" w:space="0" w:color="41B7EE"/>
              <w:left w:val="single" w:sz="4" w:space="0" w:color="41B7EE"/>
              <w:bottom w:val="single" w:sz="4" w:space="0" w:color="41B7EE"/>
              <w:right w:val="single" w:sz="4" w:space="0" w:color="41B7EE"/>
            </w:tcBorders>
          </w:tcPr>
          <w:p>
            <w:pPr/>
          </w:p>
        </w:tc>
        <w:tc>
          <w:tcPr>
            <w:tcW w:w="876" w:type="dxa"/>
            <w:tcBorders>
              <w:top w:val="single" w:sz="4" w:space="0" w:color="41B7EE"/>
              <w:left w:val="single" w:sz="4" w:space="0" w:color="41B7EE"/>
              <w:bottom w:val="single" w:sz="4" w:space="0" w:color="41B7EE"/>
              <w:right w:val="single" w:sz="4" w:space="0" w:color="41B7EE"/>
            </w:tcBorders>
          </w:tcPr>
          <w:p>
            <w:pPr/>
          </w:p>
        </w:tc>
        <w:tc>
          <w:tcPr>
            <w:tcW w:w="1150" w:type="dxa"/>
            <w:tcBorders>
              <w:top w:val="single" w:sz="4" w:space="0" w:color="41B7EE"/>
              <w:left w:val="single" w:sz="4" w:space="0" w:color="41B7EE"/>
              <w:bottom w:val="single" w:sz="4" w:space="0" w:color="41B7EE"/>
              <w:right w:val="nil" w:sz="6" w:space="0" w:color="auto"/>
            </w:tcBorders>
          </w:tcPr>
          <w:p>
            <w:pPr/>
          </w:p>
        </w:tc>
      </w:tr>
      <w:tr>
        <w:trPr>
          <w:trHeight w:val="355" w:hRule="exact"/>
        </w:trPr>
        <w:tc>
          <w:tcPr>
            <w:tcW w:w="455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660" w:right="0"/>
              <w:jc w:val="left"/>
              <w:rPr>
                <w:rFonts w:ascii="宋体" w:hAnsi="宋体" w:cs="宋体" w:eastAsia="宋体" w:hint="default"/>
                <w:sz w:val="21"/>
                <w:szCs w:val="21"/>
              </w:rPr>
            </w:pPr>
            <w:r>
              <w:rPr>
                <w:rFonts w:ascii="宋体" w:hAnsi="宋体" w:cs="宋体" w:eastAsia="宋体" w:hint="default"/>
                <w:sz w:val="21"/>
                <w:szCs w:val="21"/>
              </w:rPr>
              <w:t>其他债权投资信用减值准备</w:t>
            </w:r>
            <w:r>
              <w:rPr>
                <w:rFonts w:ascii="宋体" w:hAnsi="宋体" w:cs="宋体" w:eastAsia="宋体" w:hint="default"/>
                <w:sz w:val="21"/>
                <w:szCs w:val="21"/>
              </w:rPr>
              <w:t> </w:t>
            </w:r>
          </w:p>
        </w:tc>
        <w:tc>
          <w:tcPr>
            <w:tcW w:w="1282" w:type="dxa"/>
            <w:tcBorders>
              <w:top w:val="single" w:sz="4" w:space="0" w:color="41B7EE"/>
              <w:left w:val="single" w:sz="4" w:space="0" w:color="41B7EE"/>
              <w:bottom w:val="single" w:sz="4" w:space="0" w:color="41B7EE"/>
              <w:right w:val="single" w:sz="4" w:space="0" w:color="41B7EE"/>
            </w:tcBorders>
          </w:tcPr>
          <w:p>
            <w:pPr/>
          </w:p>
        </w:tc>
        <w:tc>
          <w:tcPr>
            <w:tcW w:w="1282" w:type="dxa"/>
            <w:tcBorders>
              <w:top w:val="single" w:sz="4" w:space="0" w:color="41B7EE"/>
              <w:left w:val="single" w:sz="4" w:space="0" w:color="41B7EE"/>
              <w:bottom w:val="single" w:sz="4" w:space="0" w:color="41B7EE"/>
              <w:right w:val="single" w:sz="4" w:space="0" w:color="41B7EE"/>
            </w:tcBorders>
          </w:tcPr>
          <w:p>
            <w:pPr/>
          </w:p>
        </w:tc>
        <w:tc>
          <w:tcPr>
            <w:tcW w:w="1280" w:type="dxa"/>
            <w:tcBorders>
              <w:top w:val="single" w:sz="4" w:space="0" w:color="41B7EE"/>
              <w:left w:val="single" w:sz="4" w:space="0" w:color="41B7EE"/>
              <w:bottom w:val="single" w:sz="4" w:space="0" w:color="41B7EE"/>
              <w:right w:val="single" w:sz="4" w:space="0" w:color="41B7EE"/>
            </w:tcBorders>
          </w:tcPr>
          <w:p>
            <w:pPr/>
          </w:p>
        </w:tc>
        <w:tc>
          <w:tcPr>
            <w:tcW w:w="1430" w:type="dxa"/>
            <w:tcBorders>
              <w:top w:val="single" w:sz="4" w:space="0" w:color="41B7EE"/>
              <w:left w:val="single" w:sz="4" w:space="0" w:color="41B7EE"/>
              <w:bottom w:val="single" w:sz="4" w:space="0" w:color="41B7EE"/>
              <w:right w:val="single" w:sz="4" w:space="0" w:color="41B7EE"/>
            </w:tcBorders>
          </w:tcPr>
          <w:p>
            <w:pPr/>
          </w:p>
        </w:tc>
        <w:tc>
          <w:tcPr>
            <w:tcW w:w="857" w:type="dxa"/>
            <w:tcBorders>
              <w:top w:val="single" w:sz="4" w:space="0" w:color="41B7EE"/>
              <w:left w:val="single" w:sz="4" w:space="0" w:color="41B7EE"/>
              <w:bottom w:val="single" w:sz="4" w:space="0" w:color="41B7EE"/>
              <w:right w:val="single" w:sz="4" w:space="0" w:color="41B7EE"/>
            </w:tcBorders>
          </w:tcPr>
          <w:p>
            <w:pPr/>
          </w:p>
        </w:tc>
        <w:tc>
          <w:tcPr>
            <w:tcW w:w="1220" w:type="dxa"/>
            <w:tcBorders>
              <w:top w:val="single" w:sz="4" w:space="0" w:color="41B7EE"/>
              <w:left w:val="single" w:sz="4" w:space="0" w:color="41B7EE"/>
              <w:bottom w:val="single" w:sz="4" w:space="0" w:color="41B7EE"/>
              <w:right w:val="single" w:sz="4" w:space="0" w:color="41B7EE"/>
            </w:tcBorders>
          </w:tcPr>
          <w:p>
            <w:pPr/>
          </w:p>
        </w:tc>
        <w:tc>
          <w:tcPr>
            <w:tcW w:w="876" w:type="dxa"/>
            <w:tcBorders>
              <w:top w:val="single" w:sz="4" w:space="0" w:color="41B7EE"/>
              <w:left w:val="single" w:sz="4" w:space="0" w:color="41B7EE"/>
              <w:bottom w:val="single" w:sz="4" w:space="0" w:color="41B7EE"/>
              <w:right w:val="single" w:sz="4" w:space="0" w:color="41B7EE"/>
            </w:tcBorders>
          </w:tcPr>
          <w:p>
            <w:pPr/>
          </w:p>
        </w:tc>
        <w:tc>
          <w:tcPr>
            <w:tcW w:w="1150"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455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现金流量套期损益的有效部分</w:t>
            </w:r>
            <w:r>
              <w:rPr>
                <w:rFonts w:ascii="宋体" w:hAnsi="宋体" w:cs="宋体" w:eastAsia="宋体" w:hint="default"/>
                <w:sz w:val="21"/>
                <w:szCs w:val="21"/>
              </w:rPr>
              <w:t> </w:t>
            </w:r>
          </w:p>
        </w:tc>
        <w:tc>
          <w:tcPr>
            <w:tcW w:w="1282" w:type="dxa"/>
            <w:tcBorders>
              <w:top w:val="single" w:sz="4" w:space="0" w:color="41B7EE"/>
              <w:left w:val="single" w:sz="4" w:space="0" w:color="41B7EE"/>
              <w:bottom w:val="single" w:sz="4" w:space="0" w:color="41B7EE"/>
              <w:right w:val="single" w:sz="4" w:space="0" w:color="41B7EE"/>
            </w:tcBorders>
          </w:tcPr>
          <w:p>
            <w:pPr/>
          </w:p>
        </w:tc>
        <w:tc>
          <w:tcPr>
            <w:tcW w:w="1282" w:type="dxa"/>
            <w:tcBorders>
              <w:top w:val="single" w:sz="4" w:space="0" w:color="41B7EE"/>
              <w:left w:val="single" w:sz="4" w:space="0" w:color="41B7EE"/>
              <w:bottom w:val="single" w:sz="4" w:space="0" w:color="41B7EE"/>
              <w:right w:val="single" w:sz="4" w:space="0" w:color="41B7EE"/>
            </w:tcBorders>
          </w:tcPr>
          <w:p>
            <w:pPr/>
          </w:p>
        </w:tc>
        <w:tc>
          <w:tcPr>
            <w:tcW w:w="1280" w:type="dxa"/>
            <w:tcBorders>
              <w:top w:val="single" w:sz="4" w:space="0" w:color="41B7EE"/>
              <w:left w:val="single" w:sz="4" w:space="0" w:color="41B7EE"/>
              <w:bottom w:val="single" w:sz="4" w:space="0" w:color="41B7EE"/>
              <w:right w:val="single" w:sz="4" w:space="0" w:color="41B7EE"/>
            </w:tcBorders>
          </w:tcPr>
          <w:p>
            <w:pPr/>
          </w:p>
        </w:tc>
        <w:tc>
          <w:tcPr>
            <w:tcW w:w="1430" w:type="dxa"/>
            <w:tcBorders>
              <w:top w:val="single" w:sz="4" w:space="0" w:color="41B7EE"/>
              <w:left w:val="single" w:sz="4" w:space="0" w:color="41B7EE"/>
              <w:bottom w:val="single" w:sz="4" w:space="0" w:color="41B7EE"/>
              <w:right w:val="single" w:sz="4" w:space="0" w:color="41B7EE"/>
            </w:tcBorders>
          </w:tcPr>
          <w:p>
            <w:pPr/>
          </w:p>
        </w:tc>
        <w:tc>
          <w:tcPr>
            <w:tcW w:w="857" w:type="dxa"/>
            <w:tcBorders>
              <w:top w:val="single" w:sz="4" w:space="0" w:color="41B7EE"/>
              <w:left w:val="single" w:sz="4" w:space="0" w:color="41B7EE"/>
              <w:bottom w:val="single" w:sz="4" w:space="0" w:color="41B7EE"/>
              <w:right w:val="single" w:sz="4" w:space="0" w:color="41B7EE"/>
            </w:tcBorders>
          </w:tcPr>
          <w:p>
            <w:pPr/>
          </w:p>
        </w:tc>
        <w:tc>
          <w:tcPr>
            <w:tcW w:w="1220" w:type="dxa"/>
            <w:tcBorders>
              <w:top w:val="single" w:sz="4" w:space="0" w:color="41B7EE"/>
              <w:left w:val="single" w:sz="4" w:space="0" w:color="41B7EE"/>
              <w:bottom w:val="single" w:sz="4" w:space="0" w:color="41B7EE"/>
              <w:right w:val="single" w:sz="4" w:space="0" w:color="41B7EE"/>
            </w:tcBorders>
          </w:tcPr>
          <w:p>
            <w:pPr/>
          </w:p>
        </w:tc>
        <w:tc>
          <w:tcPr>
            <w:tcW w:w="876" w:type="dxa"/>
            <w:tcBorders>
              <w:top w:val="single" w:sz="4" w:space="0" w:color="41B7EE"/>
              <w:left w:val="single" w:sz="4" w:space="0" w:color="41B7EE"/>
              <w:bottom w:val="single" w:sz="4" w:space="0" w:color="41B7EE"/>
              <w:right w:val="single" w:sz="4" w:space="0" w:color="41B7EE"/>
            </w:tcBorders>
          </w:tcPr>
          <w:p>
            <w:pPr/>
          </w:p>
        </w:tc>
        <w:tc>
          <w:tcPr>
            <w:tcW w:w="1150"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455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282" w:type="dxa"/>
            <w:tcBorders>
              <w:top w:val="single" w:sz="4" w:space="0" w:color="41B7EE"/>
              <w:left w:val="single" w:sz="4" w:space="0" w:color="41B7EE"/>
              <w:bottom w:val="single" w:sz="4" w:space="0" w:color="41B7EE"/>
              <w:right w:val="single" w:sz="4" w:space="0" w:color="41B7EE"/>
            </w:tcBorders>
          </w:tcPr>
          <w:p>
            <w:pPr/>
          </w:p>
        </w:tc>
        <w:tc>
          <w:tcPr>
            <w:tcW w:w="1282" w:type="dxa"/>
            <w:tcBorders>
              <w:top w:val="single" w:sz="4" w:space="0" w:color="41B7EE"/>
              <w:left w:val="single" w:sz="4" w:space="0" w:color="41B7EE"/>
              <w:bottom w:val="single" w:sz="4" w:space="0" w:color="41B7EE"/>
              <w:right w:val="single" w:sz="4" w:space="0" w:color="41B7EE"/>
            </w:tcBorders>
          </w:tcPr>
          <w:p>
            <w:pPr/>
          </w:p>
        </w:tc>
        <w:tc>
          <w:tcPr>
            <w:tcW w:w="1280" w:type="dxa"/>
            <w:tcBorders>
              <w:top w:val="single" w:sz="4" w:space="0" w:color="41B7EE"/>
              <w:left w:val="single" w:sz="4" w:space="0" w:color="41B7EE"/>
              <w:bottom w:val="single" w:sz="4" w:space="0" w:color="41B7EE"/>
              <w:right w:val="single" w:sz="4" w:space="0" w:color="41B7EE"/>
            </w:tcBorders>
          </w:tcPr>
          <w:p>
            <w:pPr/>
          </w:p>
        </w:tc>
        <w:tc>
          <w:tcPr>
            <w:tcW w:w="1430" w:type="dxa"/>
            <w:tcBorders>
              <w:top w:val="single" w:sz="4" w:space="0" w:color="41B7EE"/>
              <w:left w:val="single" w:sz="4" w:space="0" w:color="41B7EE"/>
              <w:bottom w:val="single" w:sz="4" w:space="0" w:color="41B7EE"/>
              <w:right w:val="single" w:sz="4" w:space="0" w:color="41B7EE"/>
            </w:tcBorders>
          </w:tcPr>
          <w:p>
            <w:pPr/>
          </w:p>
        </w:tc>
        <w:tc>
          <w:tcPr>
            <w:tcW w:w="857" w:type="dxa"/>
            <w:tcBorders>
              <w:top w:val="single" w:sz="4" w:space="0" w:color="41B7EE"/>
              <w:left w:val="single" w:sz="4" w:space="0" w:color="41B7EE"/>
              <w:bottom w:val="single" w:sz="4" w:space="0" w:color="41B7EE"/>
              <w:right w:val="single" w:sz="4" w:space="0" w:color="41B7EE"/>
            </w:tcBorders>
          </w:tcPr>
          <w:p>
            <w:pPr/>
          </w:p>
        </w:tc>
        <w:tc>
          <w:tcPr>
            <w:tcW w:w="1220" w:type="dxa"/>
            <w:tcBorders>
              <w:top w:val="single" w:sz="4" w:space="0" w:color="41B7EE"/>
              <w:left w:val="single" w:sz="4" w:space="0" w:color="41B7EE"/>
              <w:bottom w:val="single" w:sz="4" w:space="0" w:color="41B7EE"/>
              <w:right w:val="single" w:sz="4" w:space="0" w:color="41B7EE"/>
            </w:tcBorders>
          </w:tcPr>
          <w:p>
            <w:pPr/>
          </w:p>
        </w:tc>
        <w:tc>
          <w:tcPr>
            <w:tcW w:w="876" w:type="dxa"/>
            <w:tcBorders>
              <w:top w:val="single" w:sz="4" w:space="0" w:color="41B7EE"/>
              <w:left w:val="single" w:sz="4" w:space="0" w:color="41B7EE"/>
              <w:bottom w:val="single" w:sz="4" w:space="0" w:color="41B7EE"/>
              <w:right w:val="single" w:sz="4" w:space="0" w:color="41B7EE"/>
            </w:tcBorders>
          </w:tcPr>
          <w:p>
            <w:pPr/>
          </w:p>
        </w:tc>
        <w:tc>
          <w:tcPr>
            <w:tcW w:w="1150" w:type="dxa"/>
            <w:tcBorders>
              <w:top w:val="single" w:sz="4" w:space="0" w:color="41B7EE"/>
              <w:left w:val="single" w:sz="4" w:space="0" w:color="41B7EE"/>
              <w:bottom w:val="single" w:sz="4" w:space="0" w:color="41B7EE"/>
              <w:right w:val="nil" w:sz="6" w:space="0" w:color="auto"/>
            </w:tcBorders>
          </w:tcPr>
          <w:p>
            <w:pPr/>
          </w:p>
        </w:tc>
      </w:tr>
      <w:tr>
        <w:trPr>
          <w:trHeight w:val="365" w:hRule="exact"/>
        </w:trPr>
        <w:tc>
          <w:tcPr>
            <w:tcW w:w="4556"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4"/>
              <w:ind w:left="1437" w:right="0"/>
              <w:jc w:val="left"/>
              <w:rPr>
                <w:rFonts w:ascii="宋体" w:hAnsi="宋体" w:cs="宋体" w:eastAsia="宋体" w:hint="default"/>
                <w:sz w:val="21"/>
                <w:szCs w:val="21"/>
              </w:rPr>
            </w:pPr>
            <w:r>
              <w:rPr>
                <w:rFonts w:ascii="宋体" w:hAnsi="宋体" w:cs="宋体" w:eastAsia="宋体" w:hint="default"/>
                <w:sz w:val="21"/>
                <w:szCs w:val="21"/>
              </w:rPr>
              <w:t>其他综合收益合计</w:t>
            </w:r>
            <w:r>
              <w:rPr>
                <w:rFonts w:ascii="宋体" w:hAnsi="宋体" w:cs="宋体" w:eastAsia="宋体" w:hint="default"/>
                <w:sz w:val="21"/>
                <w:szCs w:val="21"/>
              </w:rPr>
              <w:t> </w:t>
            </w:r>
          </w:p>
        </w:tc>
        <w:tc>
          <w:tcPr>
            <w:tcW w:w="1282"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left="105" w:right="0"/>
              <w:jc w:val="center"/>
              <w:rPr>
                <w:rFonts w:ascii="Arial" w:hAnsi="Arial" w:cs="Arial" w:eastAsia="Arial" w:hint="default"/>
                <w:sz w:val="21"/>
                <w:szCs w:val="21"/>
              </w:rPr>
            </w:pPr>
            <w:r>
              <w:rPr>
                <w:rFonts w:ascii="Arial"/>
                <w:sz w:val="21"/>
              </w:rPr>
              <w:t>-741,503.94</w:t>
            </w:r>
          </w:p>
        </w:tc>
        <w:tc>
          <w:tcPr>
            <w:tcW w:w="1282"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153,306.00</w:t>
            </w:r>
          </w:p>
        </w:tc>
        <w:tc>
          <w:tcPr>
            <w:tcW w:w="1280" w:type="dxa"/>
            <w:tcBorders>
              <w:top w:val="single" w:sz="4" w:space="0" w:color="41B7EE"/>
              <w:left w:val="single" w:sz="4" w:space="0" w:color="41B7EE"/>
              <w:bottom w:val="single" w:sz="8" w:space="0" w:color="41B7EE"/>
              <w:right w:val="single" w:sz="4" w:space="0" w:color="41B7EE"/>
            </w:tcBorders>
          </w:tcPr>
          <w:p>
            <w:pPr/>
          </w:p>
        </w:tc>
        <w:tc>
          <w:tcPr>
            <w:tcW w:w="1430"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-741,507.94</w:t>
            </w:r>
          </w:p>
        </w:tc>
        <w:tc>
          <w:tcPr>
            <w:tcW w:w="857" w:type="dxa"/>
            <w:tcBorders>
              <w:top w:val="single" w:sz="4" w:space="0" w:color="41B7EE"/>
              <w:left w:val="single" w:sz="4" w:space="0" w:color="41B7EE"/>
              <w:bottom w:val="single" w:sz="8" w:space="0" w:color="41B7EE"/>
              <w:right w:val="single" w:sz="4" w:space="0" w:color="41B7EE"/>
            </w:tcBorders>
          </w:tcPr>
          <w:p>
            <w:pPr/>
          </w:p>
        </w:tc>
        <w:tc>
          <w:tcPr>
            <w:tcW w:w="1220"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894,813.94</w:t>
            </w:r>
          </w:p>
        </w:tc>
        <w:tc>
          <w:tcPr>
            <w:tcW w:w="876" w:type="dxa"/>
            <w:tcBorders>
              <w:top w:val="single" w:sz="4" w:space="0" w:color="41B7EE"/>
              <w:left w:val="single" w:sz="4" w:space="0" w:color="41B7EE"/>
              <w:bottom w:val="single" w:sz="8" w:space="0" w:color="41B7EE"/>
              <w:right w:val="single" w:sz="4" w:space="0" w:color="41B7EE"/>
            </w:tcBorders>
          </w:tcPr>
          <w:p>
            <w:pPr/>
          </w:p>
        </w:tc>
        <w:tc>
          <w:tcPr>
            <w:tcW w:w="1150"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153,310.00</w:t>
            </w:r>
          </w:p>
        </w:tc>
      </w:tr>
    </w:tbl>
    <w:p>
      <w:pPr>
        <w:spacing w:line="240" w:lineRule="auto" w:before="11"/>
        <w:rPr>
          <w:rFonts w:ascii="宋体" w:hAnsi="宋体" w:cs="宋体" w:eastAsia="宋体" w:hint="default"/>
          <w:sz w:val="2"/>
          <w:szCs w:val="2"/>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697.55pt;height:1pt;mso-position-horizontal-relative:char;mso-position-vertical-relative:line" coordorigin="0,0" coordsize="13951,20">
            <v:group style="position:absolute;left:10;top:10;width:4552;height:2" coordorigin="10,10" coordsize="4552,2">
              <v:shape style="position:absolute;left:10;top:10;width:4552;height:2" coordorigin="10,10" coordsize="4552,0" path="m10,10l4561,10e" filled="false" stroked="true" strokeweight=".95999pt" strokecolor="#41b7ee">
                <v:path arrowok="t"/>
              </v:shape>
            </v:group>
            <v:group style="position:absolute;left:4561;top:10;width:58;height:2" coordorigin="4561,10" coordsize="58,2">
              <v:shape style="position:absolute;left:4561;top:10;width:58;height:2" coordorigin="4561,10" coordsize="58,0" path="m4561,10l4619,10e" filled="false" stroked="true" strokeweight=".95999pt" strokecolor="#41b7ee">
                <v:path arrowok="t"/>
              </v:shape>
            </v:group>
            <v:group style="position:absolute;left:4619;top:10;width:1224;height:2" coordorigin="4619,10" coordsize="1224,2">
              <v:shape style="position:absolute;left:4619;top:10;width:1224;height:2" coordorigin="4619,10" coordsize="1224,0" path="m4619,10l5843,10e" filled="false" stroked="true" strokeweight=".95999pt" strokecolor="#41b7ee">
                <v:path arrowok="t"/>
              </v:shape>
            </v:group>
            <v:group style="position:absolute;left:5843;top:10;width:58;height:2" coordorigin="5843,10" coordsize="58,2">
              <v:shape style="position:absolute;left:5843;top:10;width:58;height:2" coordorigin="5843,10" coordsize="58,0" path="m5843,10l5900,10e" filled="false" stroked="true" strokeweight=".95999pt" strokecolor="#41b7ee">
                <v:path arrowok="t"/>
              </v:shape>
            </v:group>
            <v:group style="position:absolute;left:5900;top:10;width:1224;height:2" coordorigin="5900,10" coordsize="1224,2">
              <v:shape style="position:absolute;left:5900;top:10;width:1224;height:2" coordorigin="5900,10" coordsize="1224,0" path="m5900,10l7124,10e" filled="false" stroked="true" strokeweight=".95999pt" strokecolor="#41b7ee">
                <v:path arrowok="t"/>
              </v:shape>
            </v:group>
            <v:group style="position:absolute;left:7124;top:10;width:58;height:2" coordorigin="7124,10" coordsize="58,2">
              <v:shape style="position:absolute;left:7124;top:10;width:58;height:2" coordorigin="7124,10" coordsize="58,0" path="m7124,10l7182,10e" filled="false" stroked="true" strokeweight=".95999pt" strokecolor="#41b7ee">
                <v:path arrowok="t"/>
              </v:shape>
            </v:group>
            <v:group style="position:absolute;left:7182;top:10;width:1223;height:2" coordorigin="7182,10" coordsize="1223,2">
              <v:shape style="position:absolute;left:7182;top:10;width:1223;height:2" coordorigin="7182,10" coordsize="1223,0" path="m7182,10l8404,10e" filled="false" stroked="true" strokeweight=".95999pt" strokecolor="#41b7ee">
                <v:path arrowok="t"/>
              </v:shape>
            </v:group>
            <v:group style="position:absolute;left:8404;top:10;width:58;height:2" coordorigin="8404,10" coordsize="58,2">
              <v:shape style="position:absolute;left:8404;top:10;width:58;height:2" coordorigin="8404,10" coordsize="58,0" path="m8404,10l8461,10e" filled="false" stroked="true" strokeweight=".95999pt" strokecolor="#41b7ee">
                <v:path arrowok="t"/>
              </v:shape>
            </v:group>
            <v:group style="position:absolute;left:8461;top:10;width:1373;height:2" coordorigin="8461,10" coordsize="1373,2">
              <v:shape style="position:absolute;left:8461;top:10;width:1373;height:2" coordorigin="8461,10" coordsize="1373,0" path="m8461,10l9834,10e" filled="false" stroked="true" strokeweight=".95999pt" strokecolor="#41b7ee">
                <v:path arrowok="t"/>
              </v:shape>
            </v:group>
            <v:group style="position:absolute;left:9834;top:10;width:58;height:2" coordorigin="9834,10" coordsize="58,2">
              <v:shape style="position:absolute;left:9834;top:10;width:58;height:2" coordorigin="9834,10" coordsize="58,0" path="m9834,10l9892,10e" filled="false" stroked="true" strokeweight=".95999pt" strokecolor="#41b7ee">
                <v:path arrowok="t"/>
              </v:shape>
            </v:group>
            <v:group style="position:absolute;left:9892;top:10;width:800;height:2" coordorigin="9892,10" coordsize="800,2">
              <v:shape style="position:absolute;left:9892;top:10;width:800;height:2" coordorigin="9892,10" coordsize="800,0" path="m9892,10l10691,10e" filled="false" stroked="true" strokeweight=".95999pt" strokecolor="#41b7ee">
                <v:path arrowok="t"/>
              </v:shape>
            </v:group>
            <v:group style="position:absolute;left:10691;top:10;width:58;height:2" coordorigin="10691,10" coordsize="58,2">
              <v:shape style="position:absolute;left:10691;top:10;width:58;height:2" coordorigin="10691,10" coordsize="58,0" path="m10691,10l10749,10e" filled="false" stroked="true" strokeweight=".95999pt" strokecolor="#41b7ee">
                <v:path arrowok="t"/>
              </v:shape>
            </v:group>
            <v:group style="position:absolute;left:10749;top:10;width:1163;height:2" coordorigin="10749,10" coordsize="1163,2">
              <v:shape style="position:absolute;left:10749;top:10;width:1163;height:2" coordorigin="10749,10" coordsize="1163,0" path="m10749,10l11911,10e" filled="false" stroked="true" strokeweight=".95999pt" strokecolor="#41b7ee">
                <v:path arrowok="t"/>
              </v:shape>
            </v:group>
            <v:group style="position:absolute;left:11911;top:10;width:58;height:2" coordorigin="11911,10" coordsize="58,2">
              <v:shape style="position:absolute;left:11911;top:10;width:58;height:2" coordorigin="11911,10" coordsize="58,0" path="m11911,10l11968,10e" filled="false" stroked="true" strokeweight=".95999pt" strokecolor="#41b7ee">
                <v:path arrowok="t"/>
              </v:shape>
            </v:group>
            <v:group style="position:absolute;left:11968;top:10;width:819;height:2" coordorigin="11968,10" coordsize="819,2">
              <v:shape style="position:absolute;left:11968;top:10;width:819;height:2" coordorigin="11968,10" coordsize="819,0" path="m11968,10l12787,10e" filled="false" stroked="true" strokeweight=".95999pt" strokecolor="#41b7ee">
                <v:path arrowok="t"/>
              </v:shape>
            </v:group>
            <v:group style="position:absolute;left:12787;top:10;width:58;height:2" coordorigin="12787,10" coordsize="58,2">
              <v:shape style="position:absolute;left:12787;top:10;width:58;height:2" coordorigin="12787,10" coordsize="58,0" path="m12787,10l12844,10e" filled="false" stroked="true" strokeweight=".95999pt" strokecolor="#41b7ee">
                <v:path arrowok="t"/>
              </v:shape>
            </v:group>
            <v:group style="position:absolute;left:12844;top:10;width:1097;height:2" coordorigin="12844,10" coordsize="1097,2">
              <v:shape style="position:absolute;left:12844;top:10;width:1097;height:2" coordorigin="12844,10" coordsize="1097,0" path="m12844,10l13941,10e" filled="false" stroked="true" strokeweight=".95999pt" strokecolor="#41b7ee">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before="63"/>
        <w:ind w:left="6665" w:right="6741" w:firstLine="0"/>
        <w:jc w:val="center"/>
        <w:rPr>
          <w:rFonts w:ascii="Calibri" w:hAnsi="Calibri" w:cs="Calibri" w:eastAsia="Calibri" w:hint="default"/>
          <w:sz w:val="18"/>
          <w:szCs w:val="18"/>
        </w:rPr>
      </w:pPr>
      <w:r>
        <w:rPr>
          <w:rFonts w:ascii="Calibri"/>
          <w:b/>
          <w:sz w:val="18"/>
        </w:rPr>
        <w:t>138 </w:t>
      </w:r>
      <w:r>
        <w:rPr>
          <w:rFonts w:ascii="Calibri"/>
          <w:sz w:val="18"/>
        </w:rPr>
        <w:t>/</w:t>
      </w:r>
      <w:r>
        <w:rPr>
          <w:rFonts w:ascii="Calibri"/>
          <w:spacing w:val="-5"/>
          <w:sz w:val="18"/>
        </w:rPr>
        <w:t> </w:t>
      </w:r>
      <w:r>
        <w:rPr>
          <w:rFonts w:ascii="Calibri"/>
          <w:b/>
          <w:sz w:val="18"/>
        </w:rPr>
        <w:t>173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360" w:bottom="1380" w:left="1380" w:right="1220"/>
        </w:sectPr>
      </w:pPr>
    </w:p>
    <w:p>
      <w:pPr>
        <w:pStyle w:val="Heading2"/>
        <w:spacing w:line="240" w:lineRule="auto" w:before="119"/>
        <w:ind w:left="258" w:right="0"/>
        <w:jc w:val="left"/>
        <w:rPr>
          <w:rFonts w:ascii="宋体" w:hAnsi="宋体" w:cs="宋体" w:eastAsia="宋体" w:hint="default"/>
          <w:b w:val="0"/>
          <w:bCs w:val="0"/>
        </w:rPr>
      </w:pPr>
      <w:r>
        <w:rPr>
          <w:rFonts w:ascii="宋体" w:hAnsi="宋体" w:cs="宋体" w:eastAsia="宋体" w:hint="default"/>
        </w:rPr>
        <w:t>56</w:t>
      </w:r>
      <w:r>
        <w:rPr/>
        <w:t>、</w:t>
      </w:r>
      <w:r>
        <w:rPr>
          <w:spacing w:val="-28"/>
        </w:rPr>
        <w:t> </w:t>
      </w:r>
      <w:r>
        <w:rPr/>
        <w:t>专项储备</w:t>
      </w:r>
      <w:r>
        <w:rPr>
          <w:rFonts w:ascii="宋体" w:hAnsi="宋体" w:cs="宋体" w:eastAsia="宋体" w:hint="default"/>
          <w:w w:val="99"/>
        </w:rPr>
        <w:t> </w:t>
      </w:r>
      <w:r>
        <w:rPr>
          <w:rFonts w:ascii="宋体" w:hAnsi="宋体" w:cs="宋体" w:eastAsia="宋体" w:hint="default"/>
          <w:b w:val="0"/>
          <w:bCs w:val="0"/>
        </w:rPr>
      </w:r>
    </w:p>
    <w:p>
      <w:pPr>
        <w:spacing w:line="290" w:lineRule="auto" w:before="59"/>
        <w:ind w:left="25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57</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1"/>
          <w:szCs w:val="21"/>
        </w:rPr>
        <w:t>盈余公积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ind w:left="2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76"/>
          <w:footerReference w:type="default" r:id="rId77"/>
          <w:pgSz w:w="11910" w:h="16840"/>
          <w:pgMar w:header="826" w:footer="1448" w:top="1360" w:bottom="1640" w:left="1540" w:right="1000"/>
          <w:pgNumType w:start="13"/>
          <w:cols w:num="2" w:equalWidth="0">
            <w:col w:w="2044" w:space="4478"/>
            <w:col w:w="2848"/>
          </w:cols>
        </w:sectPr>
      </w:pPr>
    </w:p>
    <w:p>
      <w:pPr>
        <w:spacing w:line="240" w:lineRule="auto" w:before="7"/>
        <w:rPr>
          <w:rFonts w:ascii="宋体" w:hAnsi="宋体" w:cs="宋体" w:eastAsia="宋体" w:hint="default"/>
          <w:sz w:val="2"/>
          <w:szCs w:val="2"/>
        </w:rPr>
      </w:pPr>
    </w:p>
    <w:p>
      <w:pPr>
        <w:spacing w:line="20" w:lineRule="exact"/>
        <w:ind w:left="217" w:right="0" w:firstLine="0"/>
        <w:rPr>
          <w:rFonts w:ascii="宋体" w:hAnsi="宋体" w:cs="宋体" w:eastAsia="宋体" w:hint="default"/>
          <w:sz w:val="2"/>
          <w:szCs w:val="2"/>
        </w:rPr>
      </w:pPr>
      <w:r>
        <w:rPr>
          <w:rFonts w:ascii="宋体" w:hAnsi="宋体" w:cs="宋体" w:eastAsia="宋体" w:hint="default"/>
          <w:sz w:val="2"/>
          <w:szCs w:val="2"/>
        </w:rPr>
        <w:pict>
          <v:group style="width:445.75pt;height:1pt;mso-position-horizontal-relative:char;mso-position-vertical-relative:line" coordorigin="0,0" coordsize="8915,20">
            <v:group style="position:absolute;left:10;top:10;width:1563;height:2" coordorigin="10,10" coordsize="1563,2">
              <v:shape style="position:absolute;left:10;top:10;width:1563;height:2" coordorigin="10,10" coordsize="1563,0" path="m10,10l1572,10e" filled="false" stroked="true" strokeweight=".95999pt" strokecolor="#41b7ee">
                <v:path arrowok="t"/>
              </v:shape>
            </v:group>
            <v:group style="position:absolute;left:1572;top:10;width:58;height:2" coordorigin="1572,10" coordsize="58,2">
              <v:shape style="position:absolute;left:1572;top:10;width:58;height:2" coordorigin="1572,10" coordsize="58,0" path="m1572,10l1630,10e" filled="false" stroked="true" strokeweight=".95999pt" strokecolor="#41b7ee">
                <v:path arrowok="t"/>
              </v:shape>
            </v:group>
            <v:group style="position:absolute;left:1630;top:10;width:2137;height:2" coordorigin="1630,10" coordsize="2137,2">
              <v:shape style="position:absolute;left:1630;top:10;width:2137;height:2" coordorigin="1630,10" coordsize="2137,0" path="m1630,10l3766,10e" filled="false" stroked="true" strokeweight=".95999pt" strokecolor="#41b7ee">
                <v:path arrowok="t"/>
              </v:shape>
            </v:group>
            <v:group style="position:absolute;left:3766;top:10;width:58;height:2" coordorigin="3766,10" coordsize="58,2">
              <v:shape style="position:absolute;left:3766;top:10;width:58;height:2" coordorigin="3766,10" coordsize="58,0" path="m3766,10l3824,10e" filled="false" stroked="true" strokeweight=".95999pt" strokecolor="#41b7ee">
                <v:path arrowok="t"/>
              </v:shape>
            </v:group>
            <v:group style="position:absolute;left:3824;top:10;width:1655;height:2" coordorigin="3824,10" coordsize="1655,2">
              <v:shape style="position:absolute;left:3824;top:10;width:1655;height:2" coordorigin="3824,10" coordsize="1655,0" path="m3824,10l5478,10e" filled="false" stroked="true" strokeweight=".95999pt" strokecolor="#41b7ee">
                <v:path arrowok="t"/>
              </v:shape>
            </v:group>
            <v:group style="position:absolute;left:5478;top:10;width:58;height:2" coordorigin="5478,10" coordsize="58,2">
              <v:shape style="position:absolute;left:5478;top:10;width:58;height:2" coordorigin="5478,10" coordsize="58,0" path="m5478,10l5535,10e" filled="false" stroked="true" strokeweight=".95999pt" strokecolor="#41b7ee">
                <v:path arrowok="t"/>
              </v:shape>
            </v:group>
            <v:group style="position:absolute;left:5535;top:10;width:1479;height:2" coordorigin="5535,10" coordsize="1479,2">
              <v:shape style="position:absolute;left:5535;top:10;width:1479;height:2" coordorigin="5535,10" coordsize="1479,0" path="m5535,10l7014,10e" filled="false" stroked="true" strokeweight=".95999pt" strokecolor="#41b7ee">
                <v:path arrowok="t"/>
              </v:shape>
            </v:group>
            <v:group style="position:absolute;left:7014;top:10;width:58;height:2" coordorigin="7014,10" coordsize="58,2">
              <v:shape style="position:absolute;left:7014;top:10;width:58;height:2" coordorigin="7014,10" coordsize="58,0" path="m7014,10l7071,10e" filled="false" stroked="true" strokeweight=".95999pt" strokecolor="#41b7ee">
                <v:path arrowok="t"/>
              </v:shape>
            </v:group>
            <v:group style="position:absolute;left:7071;top:10;width:1835;height:2" coordorigin="7071,10" coordsize="1835,2">
              <v:shape style="position:absolute;left:7071;top:10;width:1835;height:2" coordorigin="7071,10" coordsize="1835,0" path="m7071,10l8905,10e" filled="false" stroked="true" strokeweight=".95999pt" strokecolor="#41b7ee">
                <v:path arrowok="t"/>
              </v:shape>
            </v:group>
          </v:group>
        </w:pict>
      </w:r>
      <w:r>
        <w:rPr>
          <w:rFonts w:ascii="宋体" w:hAnsi="宋体" w:cs="宋体" w:eastAsia="宋体" w:hint="default"/>
          <w:sz w:val="2"/>
          <w:szCs w:val="2"/>
        </w:rPr>
      </w:r>
    </w:p>
    <w:tbl>
      <w:tblPr>
        <w:tblW w:w="0" w:type="auto"/>
        <w:jc w:val="left"/>
        <w:tblInd w:w="198" w:type="dxa"/>
        <w:tblLayout w:type="fixed"/>
        <w:tblCellMar>
          <w:top w:w="0" w:type="dxa"/>
          <w:left w:w="0" w:type="dxa"/>
          <w:bottom w:w="0" w:type="dxa"/>
          <w:right w:w="0" w:type="dxa"/>
        </w:tblCellMar>
        <w:tblLook w:val="01E0"/>
      </w:tblPr>
      <w:tblGrid>
        <w:gridCol w:w="1567"/>
        <w:gridCol w:w="2194"/>
        <w:gridCol w:w="1712"/>
        <w:gridCol w:w="1536"/>
        <w:gridCol w:w="1887"/>
      </w:tblGrid>
      <w:tr>
        <w:trPr>
          <w:trHeight w:val="362" w:hRule="exact"/>
        </w:trPr>
        <w:tc>
          <w:tcPr>
            <w:tcW w:w="1567"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4"/>
              <w:ind w:left="57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194"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4"/>
              <w:ind w:left="67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12"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4"/>
              <w:ind w:left="429"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536"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4"/>
              <w:ind w:right="239"/>
              <w:jc w:val="right"/>
              <w:rPr>
                <w:rFonts w:ascii="宋体" w:hAnsi="宋体" w:cs="宋体" w:eastAsia="宋体" w:hint="default"/>
                <w:sz w:val="21"/>
                <w:szCs w:val="21"/>
              </w:rPr>
            </w:pPr>
            <w:r>
              <w:rPr>
                <w:rFonts w:ascii="宋体" w:hAnsi="宋体" w:cs="宋体" w:eastAsia="宋体" w:hint="default"/>
                <w:spacing w:val="-2"/>
                <w:sz w:val="21"/>
                <w:szCs w:val="21"/>
              </w:rPr>
              <w:t>本期减少</w:t>
            </w:r>
            <w:r>
              <w:rPr>
                <w:rFonts w:ascii="宋体" w:hAnsi="宋体" w:cs="宋体" w:eastAsia="宋体" w:hint="default"/>
                <w:sz w:val="21"/>
                <w:szCs w:val="21"/>
              </w:rPr>
              <w:t> </w:t>
            </w:r>
          </w:p>
        </w:tc>
        <w:tc>
          <w:tcPr>
            <w:tcW w:w="1887"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4"/>
              <w:ind w:left="5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58" w:hRule="exact"/>
        </w:trPr>
        <w:tc>
          <w:tcPr>
            <w:tcW w:w="156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法定盈余公积</w:t>
            </w:r>
            <w:r>
              <w:rPr>
                <w:rFonts w:ascii="宋体" w:hAnsi="宋体" w:cs="宋体" w:eastAsia="宋体" w:hint="default"/>
                <w:sz w:val="21"/>
                <w:szCs w:val="21"/>
              </w:rPr>
              <w:t> </w:t>
            </w:r>
          </w:p>
        </w:tc>
        <w:tc>
          <w:tcPr>
            <w:tcW w:w="21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202"/>
              <w:jc w:val="right"/>
              <w:rPr>
                <w:rFonts w:ascii="Arial" w:hAnsi="Arial" w:cs="Arial" w:eastAsia="Arial" w:hint="default"/>
                <w:sz w:val="21"/>
                <w:szCs w:val="21"/>
              </w:rPr>
            </w:pPr>
            <w:r>
              <w:rPr>
                <w:rFonts w:ascii="Arial"/>
                <w:spacing w:val="-1"/>
                <w:sz w:val="21"/>
              </w:rPr>
              <w:t>1,127,892,902.78</w:t>
            </w:r>
          </w:p>
        </w:tc>
        <w:tc>
          <w:tcPr>
            <w:tcW w:w="171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202"/>
              <w:jc w:val="right"/>
              <w:rPr>
                <w:rFonts w:ascii="Arial" w:hAnsi="Arial" w:cs="Arial" w:eastAsia="Arial" w:hint="default"/>
                <w:sz w:val="21"/>
                <w:szCs w:val="21"/>
              </w:rPr>
            </w:pPr>
            <w:r>
              <w:rPr>
                <w:rFonts w:ascii="Arial"/>
                <w:spacing w:val="-1"/>
                <w:sz w:val="21"/>
              </w:rPr>
              <w:t>79,653,393.74</w:t>
            </w:r>
          </w:p>
        </w:tc>
        <w:tc>
          <w:tcPr>
            <w:tcW w:w="153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202"/>
              <w:jc w:val="right"/>
              <w:rPr>
                <w:rFonts w:ascii="Arial" w:hAnsi="Arial" w:cs="Arial" w:eastAsia="Arial" w:hint="default"/>
                <w:sz w:val="21"/>
                <w:szCs w:val="21"/>
              </w:rPr>
            </w:pPr>
            <w:r>
              <w:rPr>
                <w:rFonts w:ascii="Arial"/>
                <w:spacing w:val="-1"/>
                <w:sz w:val="21"/>
              </w:rPr>
              <w:t>74,150.79</w:t>
            </w:r>
          </w:p>
        </w:tc>
        <w:tc>
          <w:tcPr>
            <w:tcW w:w="188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right="207"/>
              <w:jc w:val="right"/>
              <w:rPr>
                <w:rFonts w:ascii="Arial" w:hAnsi="Arial" w:cs="Arial" w:eastAsia="Arial" w:hint="default"/>
                <w:sz w:val="21"/>
                <w:szCs w:val="21"/>
              </w:rPr>
            </w:pPr>
            <w:r>
              <w:rPr>
                <w:rFonts w:ascii="Arial"/>
                <w:spacing w:val="-1"/>
                <w:sz w:val="21"/>
              </w:rPr>
              <w:t>1,207,472,145.73</w:t>
            </w:r>
          </w:p>
        </w:tc>
      </w:tr>
      <w:tr>
        <w:trPr>
          <w:trHeight w:val="358" w:hRule="exact"/>
        </w:trPr>
        <w:tc>
          <w:tcPr>
            <w:tcW w:w="156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任意盈余公积</w:t>
            </w:r>
            <w:r>
              <w:rPr>
                <w:rFonts w:ascii="宋体" w:hAnsi="宋体" w:cs="宋体" w:eastAsia="宋体" w:hint="default"/>
                <w:sz w:val="21"/>
                <w:szCs w:val="21"/>
              </w:rPr>
              <w:t> </w:t>
            </w:r>
          </w:p>
        </w:tc>
        <w:tc>
          <w:tcPr>
            <w:tcW w:w="21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2"/>
              <w:jc w:val="right"/>
              <w:rPr>
                <w:rFonts w:ascii="Arial" w:hAnsi="Arial" w:cs="Arial" w:eastAsia="Arial" w:hint="default"/>
                <w:sz w:val="21"/>
                <w:szCs w:val="21"/>
              </w:rPr>
            </w:pPr>
            <w:r>
              <w:rPr>
                <w:rFonts w:ascii="Arial"/>
                <w:spacing w:val="-1"/>
                <w:sz w:val="21"/>
              </w:rPr>
              <w:t>390,551,221.68</w:t>
            </w:r>
          </w:p>
        </w:tc>
        <w:tc>
          <w:tcPr>
            <w:tcW w:w="171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2"/>
              <w:jc w:val="right"/>
              <w:rPr>
                <w:rFonts w:ascii="Arial" w:hAnsi="Arial" w:cs="Arial" w:eastAsia="Arial" w:hint="default"/>
                <w:sz w:val="21"/>
                <w:szCs w:val="21"/>
              </w:rPr>
            </w:pPr>
            <w:r>
              <w:rPr>
                <w:rFonts w:ascii="Arial"/>
                <w:spacing w:val="-1"/>
                <w:sz w:val="21"/>
              </w:rPr>
              <w:t>39,826,696.87</w:t>
            </w:r>
          </w:p>
        </w:tc>
        <w:tc>
          <w:tcPr>
            <w:tcW w:w="153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2"/>
              <w:jc w:val="right"/>
              <w:rPr>
                <w:rFonts w:ascii="Arial" w:hAnsi="Arial" w:cs="Arial" w:eastAsia="Arial" w:hint="default"/>
                <w:sz w:val="21"/>
                <w:szCs w:val="21"/>
              </w:rPr>
            </w:pPr>
            <w:r>
              <w:rPr>
                <w:rFonts w:ascii="Arial"/>
                <w:spacing w:val="-1"/>
                <w:sz w:val="21"/>
              </w:rPr>
              <w:t>37,075.40</w:t>
            </w:r>
          </w:p>
        </w:tc>
        <w:tc>
          <w:tcPr>
            <w:tcW w:w="188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07"/>
              <w:jc w:val="right"/>
              <w:rPr>
                <w:rFonts w:ascii="Arial" w:hAnsi="Arial" w:cs="Arial" w:eastAsia="Arial" w:hint="default"/>
                <w:sz w:val="21"/>
                <w:szCs w:val="21"/>
              </w:rPr>
            </w:pPr>
            <w:r>
              <w:rPr>
                <w:rFonts w:ascii="Arial"/>
                <w:spacing w:val="-1"/>
                <w:sz w:val="21"/>
              </w:rPr>
              <w:t>430,340,843.15</w:t>
            </w:r>
          </w:p>
        </w:tc>
      </w:tr>
      <w:tr>
        <w:trPr>
          <w:trHeight w:val="384" w:hRule="exact"/>
        </w:trPr>
        <w:tc>
          <w:tcPr>
            <w:tcW w:w="1567"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57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94"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202"/>
              <w:jc w:val="right"/>
              <w:rPr>
                <w:rFonts w:ascii="Arial" w:hAnsi="Arial" w:cs="Arial" w:eastAsia="Arial" w:hint="default"/>
                <w:sz w:val="21"/>
                <w:szCs w:val="21"/>
              </w:rPr>
            </w:pPr>
            <w:r>
              <w:rPr>
                <w:rFonts w:ascii="Arial"/>
                <w:spacing w:val="-1"/>
                <w:sz w:val="21"/>
              </w:rPr>
              <w:t>1,518,444,124.46</w:t>
            </w:r>
          </w:p>
        </w:tc>
        <w:tc>
          <w:tcPr>
            <w:tcW w:w="1712"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202"/>
              <w:jc w:val="right"/>
              <w:rPr>
                <w:rFonts w:ascii="Arial" w:hAnsi="Arial" w:cs="Arial" w:eastAsia="Arial" w:hint="default"/>
                <w:sz w:val="21"/>
                <w:szCs w:val="21"/>
              </w:rPr>
            </w:pPr>
            <w:r>
              <w:rPr>
                <w:rFonts w:ascii="Arial"/>
                <w:spacing w:val="-1"/>
                <w:sz w:val="21"/>
              </w:rPr>
              <w:t>119,480,090.61</w:t>
            </w:r>
          </w:p>
        </w:tc>
        <w:tc>
          <w:tcPr>
            <w:tcW w:w="1536"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202"/>
              <w:jc w:val="right"/>
              <w:rPr>
                <w:rFonts w:ascii="Arial" w:hAnsi="Arial" w:cs="Arial" w:eastAsia="Arial" w:hint="default"/>
                <w:sz w:val="21"/>
                <w:szCs w:val="21"/>
              </w:rPr>
            </w:pPr>
            <w:r>
              <w:rPr>
                <w:rFonts w:ascii="Arial"/>
                <w:spacing w:val="-1"/>
                <w:sz w:val="21"/>
              </w:rPr>
              <w:t>111,226.19</w:t>
            </w:r>
          </w:p>
        </w:tc>
        <w:tc>
          <w:tcPr>
            <w:tcW w:w="1887"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207"/>
              <w:jc w:val="right"/>
              <w:rPr>
                <w:rFonts w:ascii="Arial" w:hAnsi="Arial" w:cs="Arial" w:eastAsia="Arial" w:hint="default"/>
                <w:sz w:val="21"/>
                <w:szCs w:val="21"/>
              </w:rPr>
            </w:pPr>
            <w:r>
              <w:rPr>
                <w:rFonts w:ascii="Arial"/>
                <w:spacing w:val="-1"/>
                <w:sz w:val="21"/>
              </w:rPr>
              <w:t>1,637,812,988.88</w:t>
            </w:r>
          </w:p>
        </w:tc>
      </w:tr>
    </w:tbl>
    <w:p>
      <w:pPr>
        <w:pStyle w:val="BodyText"/>
        <w:spacing w:line="240" w:lineRule="auto" w:before="44"/>
        <w:ind w:left="258" w:right="0"/>
        <w:jc w:val="left"/>
        <w:rPr>
          <w:rFonts w:ascii="宋体" w:hAnsi="宋体" w:cs="宋体" w:eastAsia="宋体" w:hint="default"/>
        </w:rPr>
      </w:pPr>
      <w:r>
        <w:rPr/>
        <w:t>盈余公积说明，包括本期增减变动情况、变动原因说明：</w:t>
      </w:r>
      <w:r>
        <w:rPr>
          <w:rFonts w:ascii="宋体" w:hAnsi="宋体" w:cs="宋体" w:eastAsia="宋体" w:hint="default"/>
        </w:rPr>
        <w:t> </w:t>
      </w:r>
    </w:p>
    <w:p>
      <w:pPr>
        <w:pStyle w:val="BodyText"/>
        <w:spacing w:line="232" w:lineRule="auto" w:before="63"/>
        <w:ind w:left="258" w:right="270" w:firstLine="419"/>
        <w:jc w:val="both"/>
      </w:pPr>
      <w:r>
        <w:rPr>
          <w:spacing w:val="-4"/>
        </w:rPr>
        <w:t>（</w:t>
      </w:r>
      <w:r>
        <w:rPr>
          <w:rFonts w:ascii="Arial" w:hAnsi="Arial" w:cs="Arial" w:eastAsia="Arial" w:hint="default"/>
          <w:spacing w:val="-4"/>
        </w:rPr>
        <w:t>1</w:t>
      </w:r>
      <w:r>
        <w:rPr>
          <w:spacing w:val="-4"/>
        </w:rPr>
        <w:t>）根据《公司法》、公司章程的规定，本公司按净利润的</w:t>
      </w:r>
      <w:r>
        <w:rPr>
          <w:rFonts w:ascii="Arial" w:hAnsi="Arial" w:cs="Arial" w:eastAsia="Arial" w:hint="default"/>
          <w:spacing w:val="-4"/>
        </w:rPr>
        <w:t>10%</w:t>
      </w:r>
      <w:r>
        <w:rPr>
          <w:spacing w:val="-4"/>
        </w:rPr>
        <w:t>提取法定盈余公积。本公司</w:t>
      </w:r>
      <w:r>
        <w:rPr>
          <w:w w:val="100"/>
        </w:rPr>
        <w:t> </w:t>
      </w:r>
      <w:r>
        <w:rPr>
          <w:spacing w:val="-2"/>
        </w:rPr>
        <w:t>在提取法定盈余公积金后，可提取任意盈余公积金。经批准，任意盈余公积金可用于弥补以前年</w:t>
      </w:r>
      <w:r>
        <w:rPr>
          <w:spacing w:val="-25"/>
        </w:rPr>
        <w:t> </w:t>
      </w:r>
      <w:r>
        <w:rPr>
          <w:spacing w:val="-25"/>
        </w:rPr>
      </w:r>
      <w:r>
        <w:rPr/>
        <w:t>度亏损或增加股本。</w:t>
      </w:r>
    </w:p>
    <w:p>
      <w:pPr>
        <w:pStyle w:val="BodyText"/>
        <w:spacing w:line="272" w:lineRule="exact" w:before="27"/>
        <w:ind w:left="258" w:right="268" w:firstLine="419"/>
        <w:jc w:val="both"/>
      </w:pPr>
      <w:r>
        <w:rPr>
          <w:spacing w:val="-4"/>
        </w:rPr>
        <w:t>（</w:t>
      </w:r>
      <w:r>
        <w:rPr>
          <w:rFonts w:ascii="Arial" w:hAnsi="Arial" w:cs="Arial" w:eastAsia="Arial" w:hint="default"/>
          <w:spacing w:val="-4"/>
        </w:rPr>
        <w:t>2</w:t>
      </w:r>
      <w:r>
        <w:rPr>
          <w:spacing w:val="-4"/>
        </w:rPr>
        <w:t>）本年减少为公司对黑龙江省克东腐乳有限公司投资本年按权益法核算，调整损益影响金</w:t>
      </w:r>
      <w:r>
        <w:rPr>
          <w:w w:val="100"/>
        </w:rPr>
        <w:t> </w:t>
      </w:r>
      <w:r>
        <w:rPr/>
        <w:t>额。</w:t>
      </w:r>
    </w:p>
    <w:p>
      <w:pPr>
        <w:pStyle w:val="Heading2"/>
        <w:spacing w:line="240" w:lineRule="auto" w:before="31"/>
        <w:ind w:left="258" w:right="5964"/>
        <w:jc w:val="left"/>
        <w:rPr>
          <w:rFonts w:ascii="宋体" w:hAnsi="宋体" w:cs="宋体" w:eastAsia="宋体" w:hint="default"/>
          <w:b w:val="0"/>
          <w:bCs w:val="0"/>
        </w:rPr>
      </w:pPr>
      <w:r>
        <w:rPr>
          <w:rFonts w:ascii="宋体" w:hAnsi="宋体" w:cs="宋体" w:eastAsia="宋体" w:hint="default"/>
        </w:rPr>
        <w:t>58</w:t>
      </w:r>
      <w:r>
        <w:rPr/>
        <w:t>、</w:t>
      </w:r>
      <w:r>
        <w:rPr>
          <w:spacing w:val="-28"/>
        </w:rPr>
        <w:t> </w:t>
      </w:r>
      <w:r>
        <w:rPr/>
        <w:t>未分配利润</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58" w:right="59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6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927"/>
        <w:gridCol w:w="2616"/>
        <w:gridCol w:w="2518"/>
      </w:tblGrid>
      <w:tr>
        <w:trPr>
          <w:trHeight w:val="384" w:hRule="exact"/>
        </w:trPr>
        <w:tc>
          <w:tcPr>
            <w:tcW w:w="3927"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4"/>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16"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4"/>
              <w:ind w:left="103" w:right="0"/>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 </w:t>
            </w:r>
          </w:p>
        </w:tc>
        <w:tc>
          <w:tcPr>
            <w:tcW w:w="2518"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4"/>
              <w:ind w:left="101" w:right="0"/>
              <w:jc w:val="center"/>
              <w:rPr>
                <w:rFonts w:ascii="宋体" w:hAnsi="宋体" w:cs="宋体" w:eastAsia="宋体" w:hint="default"/>
                <w:sz w:val="21"/>
                <w:szCs w:val="21"/>
              </w:rPr>
            </w:pPr>
            <w:r>
              <w:rPr>
                <w:rFonts w:ascii="宋体" w:hAnsi="宋体" w:cs="宋体" w:eastAsia="宋体" w:hint="default"/>
                <w:sz w:val="21"/>
                <w:szCs w:val="21"/>
              </w:rPr>
              <w:t>上期</w:t>
            </w:r>
            <w:r>
              <w:rPr>
                <w:rFonts w:ascii="宋体" w:hAnsi="宋体" w:cs="宋体" w:eastAsia="宋体" w:hint="default"/>
                <w:sz w:val="21"/>
                <w:szCs w:val="21"/>
              </w:rPr>
              <w:t> </w:t>
            </w:r>
          </w:p>
        </w:tc>
      </w:tr>
      <w:tr>
        <w:trPr>
          <w:trHeight w:val="355" w:hRule="exact"/>
        </w:trPr>
        <w:tc>
          <w:tcPr>
            <w:tcW w:w="392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r>
              <w:rPr>
                <w:rFonts w:ascii="宋体" w:hAnsi="宋体" w:cs="宋体" w:eastAsia="宋体" w:hint="default"/>
                <w:sz w:val="21"/>
                <w:szCs w:val="21"/>
              </w:rPr>
              <w:t> </w:t>
            </w:r>
          </w:p>
        </w:tc>
        <w:tc>
          <w:tcPr>
            <w:tcW w:w="261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794,876,744.59</w:t>
            </w:r>
          </w:p>
        </w:tc>
        <w:tc>
          <w:tcPr>
            <w:tcW w:w="251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441,578,459.58</w:t>
            </w:r>
          </w:p>
        </w:tc>
      </w:tr>
      <w:tr>
        <w:trPr>
          <w:trHeight w:val="358" w:hRule="exact"/>
        </w:trPr>
        <w:tc>
          <w:tcPr>
            <w:tcW w:w="392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r>
              <w:rPr>
                <w:rFonts w:ascii="宋体" w:hAnsi="宋体" w:cs="宋体" w:eastAsia="宋体" w:hint="default"/>
                <w:sz w:val="21"/>
                <w:szCs w:val="21"/>
              </w:rPr>
              <w:t> </w:t>
            </w:r>
          </w:p>
        </w:tc>
        <w:tc>
          <w:tcPr>
            <w:tcW w:w="261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794,876,744.59</w:t>
            </w:r>
          </w:p>
        </w:tc>
        <w:tc>
          <w:tcPr>
            <w:tcW w:w="251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15"/>
              <w:jc w:val="right"/>
              <w:rPr>
                <w:rFonts w:ascii="Arial" w:hAnsi="Arial" w:cs="Arial" w:eastAsia="Arial" w:hint="default"/>
                <w:sz w:val="21"/>
                <w:szCs w:val="21"/>
              </w:rPr>
            </w:pPr>
            <w:r>
              <w:rPr>
                <w:rFonts w:ascii="Arial"/>
                <w:spacing w:val="-1"/>
                <w:sz w:val="21"/>
              </w:rPr>
              <w:t>441,578,459.58</w:t>
            </w:r>
          </w:p>
        </w:tc>
      </w:tr>
      <w:tr>
        <w:trPr>
          <w:trHeight w:val="358" w:hRule="exact"/>
        </w:trPr>
        <w:tc>
          <w:tcPr>
            <w:tcW w:w="392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r>
              <w:rPr>
                <w:rFonts w:ascii="宋体" w:hAnsi="宋体" w:cs="宋体" w:eastAsia="宋体" w:hint="default"/>
                <w:sz w:val="21"/>
                <w:szCs w:val="21"/>
              </w:rPr>
              <w:t> </w:t>
            </w:r>
          </w:p>
        </w:tc>
        <w:tc>
          <w:tcPr>
            <w:tcW w:w="261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848,615,373.80</w:t>
            </w:r>
          </w:p>
        </w:tc>
        <w:tc>
          <w:tcPr>
            <w:tcW w:w="251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15"/>
              <w:jc w:val="right"/>
              <w:rPr>
                <w:rFonts w:ascii="Arial" w:hAnsi="Arial" w:cs="Arial" w:eastAsia="Arial" w:hint="default"/>
                <w:sz w:val="21"/>
                <w:szCs w:val="21"/>
              </w:rPr>
            </w:pPr>
            <w:r>
              <w:rPr>
                <w:rFonts w:ascii="Arial"/>
                <w:spacing w:val="-1"/>
                <w:sz w:val="21"/>
              </w:rPr>
              <w:t>976,475,573.91</w:t>
            </w:r>
          </w:p>
        </w:tc>
      </w:tr>
      <w:tr>
        <w:trPr>
          <w:trHeight w:val="358" w:hRule="exact"/>
        </w:trPr>
        <w:tc>
          <w:tcPr>
            <w:tcW w:w="392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r>
              <w:rPr>
                <w:rFonts w:ascii="宋体" w:hAnsi="宋体" w:cs="宋体" w:eastAsia="宋体" w:hint="default"/>
                <w:sz w:val="21"/>
                <w:szCs w:val="21"/>
              </w:rPr>
              <w:t> </w:t>
            </w:r>
          </w:p>
        </w:tc>
        <w:tc>
          <w:tcPr>
            <w:tcW w:w="261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79,653,393.74</w:t>
            </w:r>
          </w:p>
        </w:tc>
        <w:tc>
          <w:tcPr>
            <w:tcW w:w="251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15"/>
              <w:jc w:val="right"/>
              <w:rPr>
                <w:rFonts w:ascii="Arial" w:hAnsi="Arial" w:cs="Arial" w:eastAsia="Arial" w:hint="default"/>
                <w:sz w:val="21"/>
                <w:szCs w:val="21"/>
              </w:rPr>
            </w:pPr>
            <w:r>
              <w:rPr>
                <w:rFonts w:ascii="Arial"/>
                <w:spacing w:val="-1"/>
                <w:sz w:val="21"/>
              </w:rPr>
              <w:t>95,469,142.31</w:t>
            </w:r>
          </w:p>
        </w:tc>
      </w:tr>
      <w:tr>
        <w:trPr>
          <w:trHeight w:val="355" w:hRule="exact"/>
        </w:trPr>
        <w:tc>
          <w:tcPr>
            <w:tcW w:w="392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532" w:right="0"/>
              <w:jc w:val="left"/>
              <w:rPr>
                <w:rFonts w:ascii="宋体" w:hAnsi="宋体" w:cs="宋体" w:eastAsia="宋体" w:hint="default"/>
                <w:sz w:val="21"/>
                <w:szCs w:val="21"/>
              </w:rPr>
            </w:pPr>
            <w:r>
              <w:rPr>
                <w:rFonts w:ascii="宋体" w:hAnsi="宋体" w:cs="宋体" w:eastAsia="宋体" w:hint="default"/>
                <w:sz w:val="21"/>
                <w:szCs w:val="21"/>
              </w:rPr>
              <w:t>提取任意盈余公积</w:t>
            </w:r>
            <w:r>
              <w:rPr>
                <w:rFonts w:ascii="宋体" w:hAnsi="宋体" w:cs="宋体" w:eastAsia="宋体" w:hint="default"/>
                <w:sz w:val="21"/>
                <w:szCs w:val="21"/>
              </w:rPr>
              <w:t> </w:t>
            </w:r>
          </w:p>
        </w:tc>
        <w:tc>
          <w:tcPr>
            <w:tcW w:w="261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39,826,696.87</w:t>
            </w:r>
          </w:p>
        </w:tc>
        <w:tc>
          <w:tcPr>
            <w:tcW w:w="251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15"/>
              <w:jc w:val="right"/>
              <w:rPr>
                <w:rFonts w:ascii="Arial" w:hAnsi="Arial" w:cs="Arial" w:eastAsia="Arial" w:hint="default"/>
                <w:sz w:val="21"/>
                <w:szCs w:val="21"/>
              </w:rPr>
            </w:pPr>
            <w:r>
              <w:rPr>
                <w:rFonts w:ascii="Arial"/>
                <w:spacing w:val="-1"/>
                <w:sz w:val="21"/>
              </w:rPr>
              <w:t>47,734,571.16</w:t>
            </w:r>
          </w:p>
        </w:tc>
      </w:tr>
      <w:tr>
        <w:trPr>
          <w:trHeight w:val="358" w:hRule="exact"/>
        </w:trPr>
        <w:tc>
          <w:tcPr>
            <w:tcW w:w="392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32" w:right="0"/>
              <w:jc w:val="left"/>
              <w:rPr>
                <w:rFonts w:ascii="宋体" w:hAnsi="宋体" w:cs="宋体" w:eastAsia="宋体" w:hint="default"/>
                <w:sz w:val="21"/>
                <w:szCs w:val="21"/>
              </w:rPr>
            </w:pPr>
            <w:r>
              <w:rPr>
                <w:rFonts w:ascii="宋体" w:hAnsi="宋体" w:cs="宋体" w:eastAsia="宋体" w:hint="default"/>
                <w:sz w:val="21"/>
                <w:szCs w:val="21"/>
              </w:rPr>
              <w:t>应付普通股股利</w:t>
            </w:r>
            <w:r>
              <w:rPr>
                <w:rFonts w:ascii="宋体" w:hAnsi="宋体" w:cs="宋体" w:eastAsia="宋体" w:hint="default"/>
                <w:sz w:val="21"/>
                <w:szCs w:val="21"/>
              </w:rPr>
              <w:t> </w:t>
            </w:r>
          </w:p>
        </w:tc>
        <w:tc>
          <w:tcPr>
            <w:tcW w:w="261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711,071,963.60</w:t>
            </w:r>
          </w:p>
        </w:tc>
        <w:tc>
          <w:tcPr>
            <w:tcW w:w="251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15"/>
              <w:jc w:val="right"/>
              <w:rPr>
                <w:rFonts w:ascii="Arial" w:hAnsi="Arial" w:cs="Arial" w:eastAsia="Arial" w:hint="default"/>
                <w:sz w:val="21"/>
                <w:szCs w:val="21"/>
              </w:rPr>
            </w:pPr>
            <w:r>
              <w:rPr>
                <w:rFonts w:ascii="Arial"/>
                <w:spacing w:val="-1"/>
                <w:sz w:val="21"/>
              </w:rPr>
              <w:t>479,973,575.43</w:t>
            </w:r>
          </w:p>
        </w:tc>
      </w:tr>
      <w:tr>
        <w:trPr>
          <w:trHeight w:val="358" w:hRule="exact"/>
        </w:trPr>
        <w:tc>
          <w:tcPr>
            <w:tcW w:w="392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532"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1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630,281.75</w:t>
            </w:r>
          </w:p>
        </w:tc>
        <w:tc>
          <w:tcPr>
            <w:tcW w:w="2518" w:type="dxa"/>
            <w:tcBorders>
              <w:top w:val="single" w:sz="4" w:space="0" w:color="41B7EE"/>
              <w:left w:val="single" w:sz="4" w:space="0" w:color="41B7EE"/>
              <w:bottom w:val="single" w:sz="4" w:space="0" w:color="41B7EE"/>
              <w:right w:val="nil" w:sz="6" w:space="0" w:color="auto"/>
            </w:tcBorders>
          </w:tcPr>
          <w:p>
            <w:pPr/>
          </w:p>
        </w:tc>
      </w:tr>
      <w:tr>
        <w:trPr>
          <w:trHeight w:val="384" w:hRule="exact"/>
        </w:trPr>
        <w:tc>
          <w:tcPr>
            <w:tcW w:w="3927"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期末未分配利润</w:t>
            </w:r>
            <w:r>
              <w:rPr>
                <w:rFonts w:ascii="宋体" w:hAnsi="宋体" w:cs="宋体" w:eastAsia="宋体" w:hint="default"/>
                <w:sz w:val="21"/>
                <w:szCs w:val="21"/>
              </w:rPr>
              <w:t> </w:t>
            </w:r>
          </w:p>
        </w:tc>
        <w:tc>
          <w:tcPr>
            <w:tcW w:w="2616"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812,309,782.43</w:t>
            </w:r>
          </w:p>
        </w:tc>
        <w:tc>
          <w:tcPr>
            <w:tcW w:w="2518"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115"/>
              <w:jc w:val="right"/>
              <w:rPr>
                <w:rFonts w:ascii="Arial" w:hAnsi="Arial" w:cs="Arial" w:eastAsia="Arial" w:hint="default"/>
                <w:sz w:val="21"/>
                <w:szCs w:val="21"/>
              </w:rPr>
            </w:pPr>
            <w:r>
              <w:rPr>
                <w:rFonts w:ascii="Arial"/>
                <w:spacing w:val="-1"/>
                <w:sz w:val="21"/>
              </w:rPr>
              <w:t>794,876,744.59</w:t>
            </w:r>
          </w:p>
        </w:tc>
      </w:tr>
    </w:tbl>
    <w:p>
      <w:pPr>
        <w:spacing w:after="0" w:line="240" w:lineRule="auto"/>
        <w:jc w:val="right"/>
        <w:rPr>
          <w:rFonts w:ascii="Arial" w:hAnsi="Arial" w:cs="Arial" w:eastAsia="Arial" w:hint="default"/>
          <w:sz w:val="21"/>
          <w:szCs w:val="21"/>
        </w:rPr>
        <w:sectPr>
          <w:type w:val="continuous"/>
          <w:pgSz w:w="11910" w:h="16840"/>
          <w:pgMar w:top="1360" w:bottom="1380" w:left="1540" w:right="1000"/>
        </w:sectPr>
      </w:pPr>
    </w:p>
    <w:p>
      <w:pPr>
        <w:pStyle w:val="Heading2"/>
        <w:spacing w:line="290" w:lineRule="auto" w:before="26"/>
        <w:ind w:left="258" w:right="0"/>
        <w:jc w:val="left"/>
        <w:rPr>
          <w:rFonts w:ascii="宋体" w:hAnsi="宋体" w:cs="宋体" w:eastAsia="宋体" w:hint="default"/>
          <w:b w:val="0"/>
          <w:bCs w:val="0"/>
        </w:rPr>
      </w:pPr>
      <w:r>
        <w:rPr>
          <w:rFonts w:ascii="宋体" w:hAnsi="宋体" w:cs="宋体" w:eastAsia="宋体" w:hint="default"/>
        </w:rPr>
        <w:t>59</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6"/>
        <w:ind w:left="2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540" w:right="1000"/>
          <w:cols w:num="2" w:equalWidth="0">
            <w:col w:w="3110" w:space="3411"/>
            <w:col w:w="2849"/>
          </w:cols>
        </w:sectPr>
      </w:pPr>
    </w:p>
    <w:p>
      <w:pPr>
        <w:spacing w:line="240" w:lineRule="auto" w:before="4"/>
        <w:rPr>
          <w:rFonts w:ascii="宋体" w:hAnsi="宋体" w:cs="宋体" w:eastAsia="宋体" w:hint="default"/>
          <w:sz w:val="2"/>
          <w:szCs w:val="2"/>
        </w:rPr>
      </w:pPr>
    </w:p>
    <w:tbl>
      <w:tblPr>
        <w:tblW w:w="0" w:type="auto"/>
        <w:jc w:val="left"/>
        <w:tblInd w:w="243"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385" w:hRule="exact"/>
        </w:trPr>
        <w:tc>
          <w:tcPr>
            <w:tcW w:w="1438" w:type="dxa"/>
            <w:vMerge w:val="restart"/>
            <w:tcBorders>
              <w:top w:val="single" w:sz="23" w:space="0" w:color="41B7EE"/>
              <w:left w:val="nil" w:sz="6" w:space="0" w:color="auto"/>
              <w:right w:val="single" w:sz="4" w:space="0" w:color="41B7EE"/>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0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40" w:type="dxa"/>
            <w:gridSpan w:val="2"/>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left="133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752" w:type="dxa"/>
            <w:gridSpan w:val="2"/>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134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58" w:hRule="exact"/>
        </w:trPr>
        <w:tc>
          <w:tcPr>
            <w:tcW w:w="1438" w:type="dxa"/>
            <w:vMerge/>
            <w:tcBorders>
              <w:left w:val="nil" w:sz="6" w:space="0" w:color="auto"/>
              <w:bottom w:val="single" w:sz="4" w:space="0" w:color="41B7EE"/>
              <w:right w:val="single" w:sz="4" w:space="0" w:color="41B7EE"/>
            </w:tcBorders>
          </w:tcPr>
          <w:p>
            <w:pPr/>
          </w:p>
        </w:tc>
        <w:tc>
          <w:tcPr>
            <w:tcW w:w="186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715"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7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722"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87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722"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7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96" w:right="0"/>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358" w:hRule="exact"/>
        </w:trPr>
        <w:tc>
          <w:tcPr>
            <w:tcW w:w="143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right="377"/>
              <w:jc w:val="right"/>
              <w:rPr>
                <w:rFonts w:ascii="宋体" w:hAnsi="宋体" w:cs="宋体" w:eastAsia="宋体" w:hint="default"/>
                <w:sz w:val="21"/>
                <w:szCs w:val="21"/>
              </w:rPr>
            </w:pPr>
            <w:r>
              <w:rPr>
                <w:rFonts w:ascii="宋体" w:hAnsi="宋体" w:cs="宋体" w:eastAsia="宋体" w:hint="default"/>
                <w:spacing w:val="-2"/>
                <w:sz w:val="21"/>
                <w:szCs w:val="21"/>
              </w:rPr>
              <w:t>主营业务</w:t>
            </w:r>
            <w:r>
              <w:rPr>
                <w:rFonts w:ascii="宋体" w:hAnsi="宋体" w:cs="宋体" w:eastAsia="宋体" w:hint="default"/>
                <w:sz w:val="21"/>
                <w:szCs w:val="21"/>
              </w:rPr>
              <w:t> </w:t>
            </w:r>
          </w:p>
        </w:tc>
        <w:tc>
          <w:tcPr>
            <w:tcW w:w="186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2,685,956,922.37</w:t>
            </w:r>
          </w:p>
        </w:tc>
        <w:tc>
          <w:tcPr>
            <w:tcW w:w="187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7,478,014.51</w:t>
            </w:r>
          </w:p>
        </w:tc>
        <w:tc>
          <w:tcPr>
            <w:tcW w:w="187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2,955,478,220.40</w:t>
            </w:r>
          </w:p>
        </w:tc>
        <w:tc>
          <w:tcPr>
            <w:tcW w:w="187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left="192" w:right="0"/>
              <w:jc w:val="center"/>
              <w:rPr>
                <w:rFonts w:ascii="Arial" w:hAnsi="Arial" w:cs="Arial" w:eastAsia="Arial" w:hint="default"/>
                <w:sz w:val="21"/>
                <w:szCs w:val="21"/>
              </w:rPr>
            </w:pPr>
            <w:r>
              <w:rPr>
                <w:rFonts w:ascii="Arial"/>
                <w:sz w:val="21"/>
              </w:rPr>
              <w:t>188,879,515.41</w:t>
            </w:r>
          </w:p>
        </w:tc>
      </w:tr>
      <w:tr>
        <w:trPr>
          <w:trHeight w:val="355" w:hRule="exact"/>
        </w:trPr>
        <w:tc>
          <w:tcPr>
            <w:tcW w:w="143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right="377"/>
              <w:jc w:val="right"/>
              <w:rPr>
                <w:rFonts w:ascii="宋体" w:hAnsi="宋体" w:cs="宋体" w:eastAsia="宋体" w:hint="default"/>
                <w:sz w:val="21"/>
                <w:szCs w:val="21"/>
              </w:rPr>
            </w:pPr>
            <w:r>
              <w:rPr>
                <w:rFonts w:ascii="宋体" w:hAnsi="宋体" w:cs="宋体" w:eastAsia="宋体" w:hint="default"/>
                <w:spacing w:val="-2"/>
                <w:sz w:val="21"/>
                <w:szCs w:val="21"/>
              </w:rPr>
              <w:t>其他业务</w:t>
            </w:r>
            <w:r>
              <w:rPr>
                <w:rFonts w:ascii="宋体" w:hAnsi="宋体" w:cs="宋体" w:eastAsia="宋体" w:hint="default"/>
                <w:sz w:val="21"/>
                <w:szCs w:val="21"/>
              </w:rPr>
              <w:t> </w:t>
            </w:r>
          </w:p>
        </w:tc>
        <w:tc>
          <w:tcPr>
            <w:tcW w:w="186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425,349,217.23</w:t>
            </w:r>
          </w:p>
        </w:tc>
        <w:tc>
          <w:tcPr>
            <w:tcW w:w="187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433,511,422.04</w:t>
            </w:r>
          </w:p>
        </w:tc>
        <w:tc>
          <w:tcPr>
            <w:tcW w:w="187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309,300,560.85</w:t>
            </w:r>
          </w:p>
        </w:tc>
        <w:tc>
          <w:tcPr>
            <w:tcW w:w="187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left="192" w:right="0"/>
              <w:jc w:val="center"/>
              <w:rPr>
                <w:rFonts w:ascii="Arial" w:hAnsi="Arial" w:cs="Arial" w:eastAsia="Arial" w:hint="default"/>
                <w:sz w:val="21"/>
                <w:szCs w:val="21"/>
              </w:rPr>
            </w:pPr>
            <w:r>
              <w:rPr>
                <w:rFonts w:ascii="Arial"/>
                <w:sz w:val="21"/>
              </w:rPr>
              <w:t>311,730,875.69</w:t>
            </w:r>
          </w:p>
        </w:tc>
      </w:tr>
      <w:tr>
        <w:trPr>
          <w:trHeight w:val="384" w:hRule="exact"/>
        </w:trPr>
        <w:tc>
          <w:tcPr>
            <w:tcW w:w="1438"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right="39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863"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3,111,306,139.60</w:t>
            </w:r>
          </w:p>
        </w:tc>
        <w:tc>
          <w:tcPr>
            <w:tcW w:w="1877"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440,989,436.55</w:t>
            </w:r>
          </w:p>
        </w:tc>
        <w:tc>
          <w:tcPr>
            <w:tcW w:w="1877"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3,264,778,781.25</w:t>
            </w:r>
          </w:p>
        </w:tc>
        <w:tc>
          <w:tcPr>
            <w:tcW w:w="1875"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left="192" w:right="0"/>
              <w:jc w:val="center"/>
              <w:rPr>
                <w:rFonts w:ascii="Arial" w:hAnsi="Arial" w:cs="Arial" w:eastAsia="Arial" w:hint="default"/>
                <w:sz w:val="21"/>
                <w:szCs w:val="21"/>
              </w:rPr>
            </w:pPr>
            <w:r>
              <w:rPr>
                <w:rFonts w:ascii="Arial"/>
                <w:sz w:val="21"/>
              </w:rPr>
              <w:t>500,610,391.10</w:t>
            </w:r>
          </w:p>
        </w:tc>
      </w:tr>
    </w:tbl>
    <w:p>
      <w:pPr>
        <w:spacing w:after="0" w:line="240" w:lineRule="auto"/>
        <w:jc w:val="center"/>
        <w:rPr>
          <w:rFonts w:ascii="Arial" w:hAnsi="Arial" w:cs="Arial" w:eastAsia="Arial" w:hint="default"/>
          <w:sz w:val="21"/>
          <w:szCs w:val="21"/>
        </w:rPr>
        <w:sectPr>
          <w:type w:val="continuous"/>
          <w:pgSz w:w="11910" w:h="16840"/>
          <w:pgMar w:top="1360" w:bottom="1380" w:left="1540" w:right="1000"/>
        </w:sectPr>
      </w:pPr>
    </w:p>
    <w:p>
      <w:pPr>
        <w:pStyle w:val="Heading2"/>
        <w:spacing w:line="240" w:lineRule="auto" w:before="26"/>
        <w:ind w:left="258" w:right="0"/>
        <w:jc w:val="left"/>
        <w:rPr>
          <w:rFonts w:ascii="宋体" w:hAnsi="宋体" w:cs="宋体" w:eastAsia="宋体" w:hint="default"/>
          <w:b w:val="0"/>
          <w:bCs w:val="0"/>
        </w:rPr>
      </w:pPr>
      <w:r>
        <w:rPr>
          <w:rFonts w:ascii="宋体" w:hAnsi="宋体" w:cs="宋体" w:eastAsia="宋体" w:hint="default"/>
        </w:rPr>
        <w:t>60</w:t>
      </w:r>
      <w:r>
        <w:rPr/>
        <w:t>、</w:t>
      </w:r>
      <w:r>
        <w:rPr>
          <w:spacing w:val="-28"/>
        </w:rPr>
        <w:t> </w:t>
      </w:r>
      <w:r>
        <w:rPr/>
        <w:t>税金及附加</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spacing w:line="240" w:lineRule="auto"/>
        <w:ind w:left="2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360" w:bottom="1380" w:left="1540" w:right="1000"/>
          <w:cols w:num="2" w:equalWidth="0">
            <w:col w:w="2044" w:space="4478"/>
            <w:col w:w="2848"/>
          </w:cols>
        </w:sectPr>
      </w:pPr>
    </w:p>
    <w:p>
      <w:pPr>
        <w:spacing w:line="240" w:lineRule="auto" w:before="4"/>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3490"/>
        <w:gridCol w:w="2907"/>
        <w:gridCol w:w="2664"/>
      </w:tblGrid>
      <w:tr>
        <w:trPr>
          <w:trHeight w:val="391" w:hRule="exact"/>
        </w:trPr>
        <w:tc>
          <w:tcPr>
            <w:tcW w:w="3490" w:type="dxa"/>
            <w:tcBorders>
              <w:top w:val="single" w:sz="23" w:space="0" w:color="41B7EE"/>
              <w:left w:val="nil" w:sz="6" w:space="0" w:color="auto"/>
              <w:bottom w:val="single" w:sz="8" w:space="0" w:color="41B7EE"/>
              <w:right w:val="single" w:sz="4" w:space="0" w:color="41B7EE"/>
            </w:tcBorders>
          </w:tcPr>
          <w:p>
            <w:pPr>
              <w:pStyle w:val="TableParagraph"/>
              <w:spacing w:line="240" w:lineRule="auto" w:before="6"/>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07" w:type="dxa"/>
            <w:tcBorders>
              <w:top w:val="single" w:sz="23" w:space="0" w:color="41B7EE"/>
              <w:left w:val="single" w:sz="4" w:space="0" w:color="41B7EE"/>
              <w:bottom w:val="single" w:sz="8" w:space="0" w:color="41B7EE"/>
              <w:right w:val="single" w:sz="4" w:space="0" w:color="41B7EE"/>
            </w:tcBorders>
          </w:tcPr>
          <w:p>
            <w:pPr>
              <w:pStyle w:val="TableParagraph"/>
              <w:spacing w:line="240" w:lineRule="auto" w:before="6"/>
              <w:ind w:left="92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664" w:type="dxa"/>
            <w:tcBorders>
              <w:top w:val="single" w:sz="23" w:space="0" w:color="41B7EE"/>
              <w:left w:val="single" w:sz="4" w:space="0" w:color="41B7EE"/>
              <w:bottom w:val="single" w:sz="8" w:space="0" w:color="41B7EE"/>
              <w:right w:val="nil" w:sz="6" w:space="0" w:color="auto"/>
            </w:tcBorders>
          </w:tcPr>
          <w:p>
            <w:pPr>
              <w:pStyle w:val="TableParagraph"/>
              <w:spacing w:line="240" w:lineRule="auto" w:before="6"/>
              <w:ind w:left="79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type w:val="continuous"/>
          <w:pgSz w:w="11910" w:h="16840"/>
          <w:pgMar w:top="1360" w:bottom="1380" w:left="1540" w:right="1000"/>
        </w:sectPr>
      </w:pPr>
    </w:p>
    <w:p>
      <w:pPr>
        <w:spacing w:line="240" w:lineRule="auto" w:before="10"/>
        <w:rPr>
          <w:rFonts w:ascii="宋体" w:hAnsi="宋体" w:cs="宋体" w:eastAsia="宋体" w:hint="default"/>
          <w:b/>
          <w:bCs/>
          <w:sz w:val="11"/>
          <w:szCs w:val="11"/>
        </w:rPr>
      </w:pPr>
    </w:p>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454.05pt;height:1pt;mso-position-horizontal-relative:char;mso-position-vertical-relative:line" coordorigin="0,0" coordsize="9081,20">
            <v:group style="position:absolute;left:10;top:10;width:3486;height:2" coordorigin="10,10" coordsize="3486,2">
              <v:shape style="position:absolute;left:10;top:10;width:3486;height:2" coordorigin="10,10" coordsize="3486,0" path="m10,10l3495,10e" filled="false" stroked="true" strokeweight=".96001pt" strokecolor="#41b7ee">
                <v:path arrowok="t"/>
              </v:shape>
            </v:group>
            <v:group style="position:absolute;left:3495;top:10;width:58;height:2" coordorigin="3495,10" coordsize="58,2">
              <v:shape style="position:absolute;left:3495;top:10;width:58;height:2" coordorigin="3495,10" coordsize="58,0" path="m3495,10l3553,10e" filled="false" stroked="true" strokeweight=".96001pt" strokecolor="#41b7ee">
                <v:path arrowok="t"/>
              </v:shape>
            </v:group>
            <v:group style="position:absolute;left:3553;top:10;width:2850;height:2" coordorigin="3553,10" coordsize="2850,2">
              <v:shape style="position:absolute;left:3553;top:10;width:2850;height:2" coordorigin="3553,10" coordsize="2850,0" path="m3553,10l6402,10e" filled="false" stroked="true" strokeweight=".96001pt" strokecolor="#41b7ee">
                <v:path arrowok="t"/>
              </v:shape>
            </v:group>
            <v:group style="position:absolute;left:6402;top:10;width:58;height:2" coordorigin="6402,10" coordsize="58,2">
              <v:shape style="position:absolute;left:6402;top:10;width:58;height:2" coordorigin="6402,10" coordsize="58,0" path="m6402,10l6459,10e" filled="false" stroked="true" strokeweight=".96001pt" strokecolor="#41b7ee">
                <v:path arrowok="t"/>
              </v:shape>
            </v:group>
            <v:group style="position:absolute;left:6459;top:10;width:2612;height:2" coordorigin="6459,10" coordsize="2612,2">
              <v:shape style="position:absolute;left:6459;top:10;width:2612;height:2" coordorigin="6459,10" coordsize="2612,0" path="m6459,10l9071,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16" w:type="dxa"/>
        <w:tblLayout w:type="fixed"/>
        <w:tblCellMar>
          <w:top w:w="0" w:type="dxa"/>
          <w:left w:w="0" w:type="dxa"/>
          <w:bottom w:w="0" w:type="dxa"/>
          <w:right w:w="0" w:type="dxa"/>
        </w:tblCellMar>
        <w:tblLook w:val="01E0"/>
      </w:tblPr>
      <w:tblGrid>
        <w:gridCol w:w="3490"/>
        <w:gridCol w:w="2907"/>
        <w:gridCol w:w="2664"/>
      </w:tblGrid>
      <w:tr>
        <w:trPr>
          <w:trHeight w:val="365" w:hRule="exact"/>
        </w:trPr>
        <w:tc>
          <w:tcPr>
            <w:tcW w:w="3490"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7"/>
              <w:ind w:left="112"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2907"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451,101.80</w:t>
            </w:r>
          </w:p>
        </w:tc>
        <w:tc>
          <w:tcPr>
            <w:tcW w:w="2664"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50"/>
              <w:ind w:right="110"/>
              <w:jc w:val="right"/>
              <w:rPr>
                <w:rFonts w:ascii="Arial" w:hAnsi="Arial" w:cs="Arial" w:eastAsia="Arial" w:hint="default"/>
                <w:sz w:val="21"/>
                <w:szCs w:val="21"/>
              </w:rPr>
            </w:pPr>
            <w:r>
              <w:rPr>
                <w:rFonts w:ascii="Arial"/>
                <w:spacing w:val="-1"/>
                <w:sz w:val="21"/>
              </w:rPr>
              <w:t>2,393,354.92</w:t>
            </w:r>
          </w:p>
        </w:tc>
      </w:tr>
      <w:tr>
        <w:trPr>
          <w:trHeight w:val="358" w:hRule="exact"/>
        </w:trPr>
        <w:tc>
          <w:tcPr>
            <w:tcW w:w="349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290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352,711.41</w:t>
            </w:r>
          </w:p>
        </w:tc>
        <w:tc>
          <w:tcPr>
            <w:tcW w:w="266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1,744,838.29</w:t>
            </w:r>
          </w:p>
        </w:tc>
      </w:tr>
      <w:tr>
        <w:trPr>
          <w:trHeight w:val="358" w:hRule="exact"/>
        </w:trPr>
        <w:tc>
          <w:tcPr>
            <w:tcW w:w="349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290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3,756,781.63</w:t>
            </w:r>
          </w:p>
        </w:tc>
        <w:tc>
          <w:tcPr>
            <w:tcW w:w="266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4,088,210.26</w:t>
            </w:r>
          </w:p>
        </w:tc>
      </w:tr>
      <w:tr>
        <w:trPr>
          <w:trHeight w:val="355" w:hRule="exact"/>
        </w:trPr>
        <w:tc>
          <w:tcPr>
            <w:tcW w:w="349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290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2,484,175.30</w:t>
            </w:r>
          </w:p>
        </w:tc>
        <w:tc>
          <w:tcPr>
            <w:tcW w:w="266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2,939,245.87</w:t>
            </w:r>
          </w:p>
        </w:tc>
      </w:tr>
      <w:tr>
        <w:trPr>
          <w:trHeight w:val="358" w:hRule="exact"/>
        </w:trPr>
        <w:tc>
          <w:tcPr>
            <w:tcW w:w="349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车船使用税</w:t>
            </w:r>
            <w:r>
              <w:rPr>
                <w:rFonts w:ascii="宋体" w:hAnsi="宋体" w:cs="宋体" w:eastAsia="宋体" w:hint="default"/>
                <w:sz w:val="21"/>
                <w:szCs w:val="21"/>
              </w:rPr>
              <w:t> </w:t>
            </w:r>
          </w:p>
        </w:tc>
        <w:tc>
          <w:tcPr>
            <w:tcW w:w="290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44,616.80</w:t>
            </w:r>
          </w:p>
        </w:tc>
        <w:tc>
          <w:tcPr>
            <w:tcW w:w="266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39,828.80</w:t>
            </w:r>
          </w:p>
        </w:tc>
      </w:tr>
      <w:tr>
        <w:trPr>
          <w:trHeight w:val="358" w:hRule="exact"/>
        </w:trPr>
        <w:tc>
          <w:tcPr>
            <w:tcW w:w="349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290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461,607.54</w:t>
            </w:r>
          </w:p>
        </w:tc>
        <w:tc>
          <w:tcPr>
            <w:tcW w:w="266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1,271,181.24</w:t>
            </w:r>
          </w:p>
        </w:tc>
      </w:tr>
      <w:tr>
        <w:trPr>
          <w:trHeight w:val="358" w:hRule="exact"/>
        </w:trPr>
        <w:tc>
          <w:tcPr>
            <w:tcW w:w="349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土地增值税</w:t>
            </w:r>
            <w:r>
              <w:rPr>
                <w:rFonts w:ascii="宋体" w:hAnsi="宋体" w:cs="宋体" w:eastAsia="宋体" w:hint="default"/>
                <w:sz w:val="21"/>
                <w:szCs w:val="21"/>
              </w:rPr>
              <w:t> </w:t>
            </w:r>
          </w:p>
        </w:tc>
        <w:tc>
          <w:tcPr>
            <w:tcW w:w="290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20,056.36</w:t>
            </w:r>
          </w:p>
        </w:tc>
        <w:tc>
          <w:tcPr>
            <w:tcW w:w="266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28,719,249.32</w:t>
            </w:r>
          </w:p>
        </w:tc>
      </w:tr>
      <w:tr>
        <w:trPr>
          <w:trHeight w:val="355" w:hRule="exact"/>
        </w:trPr>
        <w:tc>
          <w:tcPr>
            <w:tcW w:w="349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残疾人就业保证金</w:t>
            </w:r>
            <w:r>
              <w:rPr>
                <w:rFonts w:ascii="宋体" w:hAnsi="宋体" w:cs="宋体" w:eastAsia="宋体" w:hint="default"/>
                <w:sz w:val="21"/>
                <w:szCs w:val="21"/>
              </w:rPr>
              <w:t> </w:t>
            </w:r>
          </w:p>
        </w:tc>
        <w:tc>
          <w:tcPr>
            <w:tcW w:w="290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1,377,572.57</w:t>
            </w:r>
          </w:p>
        </w:tc>
        <w:tc>
          <w:tcPr>
            <w:tcW w:w="266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338,084.26</w:t>
            </w:r>
          </w:p>
        </w:tc>
      </w:tr>
      <w:tr>
        <w:trPr>
          <w:trHeight w:val="358" w:hRule="exact"/>
        </w:trPr>
        <w:tc>
          <w:tcPr>
            <w:tcW w:w="349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垃圾处理费</w:t>
            </w:r>
            <w:r>
              <w:rPr>
                <w:rFonts w:ascii="宋体" w:hAnsi="宋体" w:cs="宋体" w:eastAsia="宋体" w:hint="default"/>
                <w:sz w:val="21"/>
                <w:szCs w:val="21"/>
              </w:rPr>
              <w:t> </w:t>
            </w:r>
          </w:p>
        </w:tc>
        <w:tc>
          <w:tcPr>
            <w:tcW w:w="290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0"/>
              <w:jc w:val="right"/>
              <w:rPr>
                <w:rFonts w:ascii="Arial" w:hAnsi="Arial" w:cs="Arial" w:eastAsia="Arial" w:hint="default"/>
                <w:sz w:val="21"/>
                <w:szCs w:val="21"/>
              </w:rPr>
            </w:pPr>
            <w:r>
              <w:rPr>
                <w:rFonts w:ascii="Arial"/>
                <w:spacing w:val="-1"/>
                <w:sz w:val="21"/>
              </w:rPr>
              <w:t>1,269.99</w:t>
            </w:r>
          </w:p>
        </w:tc>
        <w:tc>
          <w:tcPr>
            <w:tcW w:w="266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z w:val="21"/>
              </w:rPr>
              <w:t>548.00</w:t>
            </w:r>
          </w:p>
        </w:tc>
      </w:tr>
      <w:tr>
        <w:trPr>
          <w:trHeight w:val="384" w:hRule="exact"/>
        </w:trPr>
        <w:tc>
          <w:tcPr>
            <w:tcW w:w="3490"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07"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8,949,893.40</w:t>
            </w:r>
          </w:p>
        </w:tc>
        <w:tc>
          <w:tcPr>
            <w:tcW w:w="2664"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41,534,540.96</w:t>
            </w:r>
          </w:p>
        </w:tc>
      </w:tr>
    </w:tbl>
    <w:p>
      <w:pPr>
        <w:spacing w:after="0" w:line="240" w:lineRule="auto"/>
        <w:jc w:val="right"/>
        <w:rPr>
          <w:rFonts w:ascii="Arial" w:hAnsi="Arial" w:cs="Arial" w:eastAsia="Arial" w:hint="default"/>
          <w:sz w:val="21"/>
          <w:szCs w:val="21"/>
        </w:rPr>
        <w:sectPr>
          <w:pgSz w:w="11910" w:h="16840"/>
          <w:pgMar w:header="826" w:footer="1448" w:top="1360" w:bottom="1640" w:left="1540" w:right="1000"/>
        </w:sectPr>
      </w:pPr>
    </w:p>
    <w:p>
      <w:pPr>
        <w:pStyle w:val="Heading2"/>
        <w:spacing w:line="240" w:lineRule="auto" w:before="45"/>
        <w:ind w:left="258" w:right="0"/>
        <w:jc w:val="left"/>
        <w:rPr>
          <w:rFonts w:ascii="宋体" w:hAnsi="宋体" w:cs="宋体" w:eastAsia="宋体" w:hint="default"/>
          <w:b w:val="0"/>
          <w:bCs w:val="0"/>
        </w:rPr>
      </w:pPr>
      <w:r>
        <w:rPr>
          <w:rFonts w:ascii="宋体" w:hAnsi="宋体" w:cs="宋体" w:eastAsia="宋体" w:hint="default"/>
        </w:rPr>
        <w:t>61</w:t>
      </w:r>
      <w:r>
        <w:rPr/>
        <w:t>、</w:t>
      </w:r>
      <w:r>
        <w:rPr>
          <w:spacing w:val="-28"/>
        </w:rPr>
        <w:t> </w:t>
      </w:r>
      <w:r>
        <w:rPr/>
        <w:t>销售费用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9"/>
        <w:rPr>
          <w:rFonts w:ascii="宋体" w:hAnsi="宋体" w:cs="宋体" w:eastAsia="宋体" w:hint="default"/>
          <w:sz w:val="29"/>
          <w:szCs w:val="29"/>
        </w:rPr>
      </w:pPr>
    </w:p>
    <w:p>
      <w:pPr>
        <w:pStyle w:val="BodyText"/>
        <w:spacing w:line="240" w:lineRule="auto"/>
        <w:ind w:left="2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540" w:right="1000"/>
          <w:cols w:num="2" w:equalWidth="0">
            <w:col w:w="2044" w:space="4478"/>
            <w:col w:w="2848"/>
          </w:cols>
        </w:sectPr>
      </w:pPr>
    </w:p>
    <w:p>
      <w:pPr>
        <w:spacing w:line="240" w:lineRule="auto" w:before="4"/>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485"/>
        <w:gridCol w:w="2907"/>
        <w:gridCol w:w="2657"/>
      </w:tblGrid>
      <w:tr>
        <w:trPr>
          <w:trHeight w:val="384" w:hRule="exact"/>
        </w:trPr>
        <w:tc>
          <w:tcPr>
            <w:tcW w:w="3485"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right="1421"/>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07"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left="92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657"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79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58" w:hRule="exact"/>
        </w:trPr>
        <w:tc>
          <w:tcPr>
            <w:tcW w:w="348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运输费</w:t>
            </w:r>
            <w:r>
              <w:rPr>
                <w:rFonts w:ascii="宋体" w:hAnsi="宋体" w:cs="宋体" w:eastAsia="宋体" w:hint="default"/>
                <w:sz w:val="21"/>
                <w:szCs w:val="21"/>
              </w:rPr>
              <w:t> </w:t>
            </w:r>
          </w:p>
        </w:tc>
        <w:tc>
          <w:tcPr>
            <w:tcW w:w="290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603,907.68</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579,112.00</w:t>
            </w:r>
          </w:p>
        </w:tc>
      </w:tr>
      <w:tr>
        <w:trPr>
          <w:trHeight w:val="355" w:hRule="exact"/>
        </w:trPr>
        <w:tc>
          <w:tcPr>
            <w:tcW w:w="348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90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9,036,431.54</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10,150,121.16</w:t>
            </w:r>
          </w:p>
        </w:tc>
      </w:tr>
      <w:tr>
        <w:trPr>
          <w:trHeight w:val="358" w:hRule="exact"/>
        </w:trPr>
        <w:tc>
          <w:tcPr>
            <w:tcW w:w="348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物料消耗</w:t>
            </w:r>
            <w:r>
              <w:rPr>
                <w:rFonts w:ascii="宋体" w:hAnsi="宋体" w:cs="宋体" w:eastAsia="宋体" w:hint="default"/>
                <w:sz w:val="21"/>
                <w:szCs w:val="21"/>
              </w:rPr>
              <w:t> </w:t>
            </w:r>
          </w:p>
        </w:tc>
        <w:tc>
          <w:tcPr>
            <w:tcW w:w="290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794,336.88</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1,215,878.35</w:t>
            </w:r>
          </w:p>
        </w:tc>
      </w:tr>
      <w:tr>
        <w:trPr>
          <w:trHeight w:val="358" w:hRule="exact"/>
        </w:trPr>
        <w:tc>
          <w:tcPr>
            <w:tcW w:w="348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折旧费</w:t>
            </w:r>
            <w:r>
              <w:rPr>
                <w:rFonts w:ascii="宋体" w:hAnsi="宋体" w:cs="宋体" w:eastAsia="宋体" w:hint="default"/>
                <w:sz w:val="21"/>
                <w:szCs w:val="21"/>
              </w:rPr>
              <w:t> </w:t>
            </w:r>
          </w:p>
        </w:tc>
        <w:tc>
          <w:tcPr>
            <w:tcW w:w="290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1,675,168.65</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3,081,474.10</w:t>
            </w:r>
          </w:p>
        </w:tc>
      </w:tr>
      <w:tr>
        <w:trPr>
          <w:trHeight w:val="358" w:hRule="exact"/>
        </w:trPr>
        <w:tc>
          <w:tcPr>
            <w:tcW w:w="348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装卸费</w:t>
            </w:r>
            <w:r>
              <w:rPr>
                <w:rFonts w:ascii="宋体" w:hAnsi="宋体" w:cs="宋体" w:eastAsia="宋体" w:hint="default"/>
                <w:sz w:val="21"/>
                <w:szCs w:val="21"/>
              </w:rPr>
              <w:t> </w:t>
            </w:r>
          </w:p>
        </w:tc>
        <w:tc>
          <w:tcPr>
            <w:tcW w:w="290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684,435.65</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898,653.16</w:t>
            </w:r>
          </w:p>
        </w:tc>
      </w:tr>
      <w:tr>
        <w:trPr>
          <w:trHeight w:val="355" w:hRule="exact"/>
        </w:trPr>
        <w:tc>
          <w:tcPr>
            <w:tcW w:w="348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仓储保管费</w:t>
            </w:r>
            <w:r>
              <w:rPr>
                <w:rFonts w:ascii="宋体" w:hAnsi="宋体" w:cs="宋体" w:eastAsia="宋体" w:hint="default"/>
                <w:sz w:val="21"/>
                <w:szCs w:val="21"/>
              </w:rPr>
              <w:t> </w:t>
            </w:r>
          </w:p>
        </w:tc>
        <w:tc>
          <w:tcPr>
            <w:tcW w:w="2907" w:type="dxa"/>
            <w:tcBorders>
              <w:top w:val="single" w:sz="4" w:space="0" w:color="41B7EE"/>
              <w:left w:val="single" w:sz="4" w:space="0" w:color="41B7EE"/>
              <w:bottom w:val="single" w:sz="4" w:space="0" w:color="41B7EE"/>
              <w:right w:val="single" w:sz="4" w:space="0" w:color="41B7EE"/>
            </w:tcBorders>
          </w:tcPr>
          <w:p>
            <w:pP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39,212.00</w:t>
            </w:r>
          </w:p>
        </w:tc>
      </w:tr>
      <w:tr>
        <w:trPr>
          <w:trHeight w:val="358" w:hRule="exact"/>
        </w:trPr>
        <w:tc>
          <w:tcPr>
            <w:tcW w:w="348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修理费</w:t>
            </w:r>
            <w:r>
              <w:rPr>
                <w:rFonts w:ascii="宋体" w:hAnsi="宋体" w:cs="宋体" w:eastAsia="宋体" w:hint="default"/>
                <w:sz w:val="21"/>
                <w:szCs w:val="21"/>
              </w:rPr>
              <w:t> </w:t>
            </w:r>
          </w:p>
        </w:tc>
        <w:tc>
          <w:tcPr>
            <w:tcW w:w="290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577,617.90</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507,300.44</w:t>
            </w:r>
          </w:p>
        </w:tc>
      </w:tr>
      <w:tr>
        <w:trPr>
          <w:trHeight w:val="358" w:hRule="exact"/>
        </w:trPr>
        <w:tc>
          <w:tcPr>
            <w:tcW w:w="348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业务招待费</w:t>
            </w:r>
            <w:r>
              <w:rPr>
                <w:rFonts w:ascii="宋体" w:hAnsi="宋体" w:cs="宋体" w:eastAsia="宋体" w:hint="default"/>
                <w:sz w:val="21"/>
                <w:szCs w:val="21"/>
              </w:rPr>
              <w:t> </w:t>
            </w:r>
          </w:p>
        </w:tc>
        <w:tc>
          <w:tcPr>
            <w:tcW w:w="290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96,944.00</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150,948.88</w:t>
            </w:r>
          </w:p>
        </w:tc>
      </w:tr>
      <w:tr>
        <w:trPr>
          <w:trHeight w:val="358" w:hRule="exact"/>
        </w:trPr>
        <w:tc>
          <w:tcPr>
            <w:tcW w:w="348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办公费</w:t>
            </w:r>
            <w:r>
              <w:rPr>
                <w:rFonts w:ascii="宋体" w:hAnsi="宋体" w:cs="宋体" w:eastAsia="宋体" w:hint="default"/>
                <w:sz w:val="21"/>
                <w:szCs w:val="21"/>
              </w:rPr>
              <w:t> </w:t>
            </w:r>
          </w:p>
        </w:tc>
        <w:tc>
          <w:tcPr>
            <w:tcW w:w="290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181,267.05</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199,359.58</w:t>
            </w:r>
          </w:p>
        </w:tc>
      </w:tr>
      <w:tr>
        <w:trPr>
          <w:trHeight w:val="355" w:hRule="exact"/>
        </w:trPr>
        <w:tc>
          <w:tcPr>
            <w:tcW w:w="348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低值易耗品摊销</w:t>
            </w:r>
            <w:r>
              <w:rPr>
                <w:rFonts w:ascii="宋体" w:hAnsi="宋体" w:cs="宋体" w:eastAsia="宋体" w:hint="default"/>
                <w:sz w:val="21"/>
                <w:szCs w:val="21"/>
              </w:rPr>
              <w:t> </w:t>
            </w:r>
          </w:p>
        </w:tc>
        <w:tc>
          <w:tcPr>
            <w:tcW w:w="290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104,523.00</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39,656.00</w:t>
            </w:r>
          </w:p>
        </w:tc>
      </w:tr>
      <w:tr>
        <w:trPr>
          <w:trHeight w:val="358" w:hRule="exact"/>
        </w:trPr>
        <w:tc>
          <w:tcPr>
            <w:tcW w:w="348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p>
        </w:tc>
        <w:tc>
          <w:tcPr>
            <w:tcW w:w="290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15,077.00</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56,245.30</w:t>
            </w:r>
          </w:p>
        </w:tc>
      </w:tr>
      <w:tr>
        <w:trPr>
          <w:trHeight w:val="358" w:hRule="exact"/>
        </w:trPr>
        <w:tc>
          <w:tcPr>
            <w:tcW w:w="348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交通费</w:t>
            </w:r>
            <w:r>
              <w:rPr>
                <w:rFonts w:ascii="宋体" w:hAnsi="宋体" w:cs="宋体" w:eastAsia="宋体" w:hint="default"/>
                <w:sz w:val="21"/>
                <w:szCs w:val="21"/>
              </w:rPr>
              <w:t> </w:t>
            </w:r>
          </w:p>
        </w:tc>
        <w:tc>
          <w:tcPr>
            <w:tcW w:w="290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256,454.00</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283,327.00</w:t>
            </w:r>
          </w:p>
        </w:tc>
      </w:tr>
      <w:tr>
        <w:trPr>
          <w:trHeight w:val="358" w:hRule="exact"/>
        </w:trPr>
        <w:tc>
          <w:tcPr>
            <w:tcW w:w="348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租赁费</w:t>
            </w:r>
            <w:r>
              <w:rPr>
                <w:rFonts w:ascii="宋体" w:hAnsi="宋体" w:cs="宋体" w:eastAsia="宋体" w:hint="default"/>
                <w:sz w:val="21"/>
                <w:szCs w:val="21"/>
              </w:rPr>
              <w:t> </w:t>
            </w:r>
          </w:p>
        </w:tc>
        <w:tc>
          <w:tcPr>
            <w:tcW w:w="290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297,924.53</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303,799.96</w:t>
            </w:r>
          </w:p>
        </w:tc>
      </w:tr>
      <w:tr>
        <w:trPr>
          <w:trHeight w:val="355" w:hRule="exact"/>
        </w:trPr>
        <w:tc>
          <w:tcPr>
            <w:tcW w:w="348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检验费</w:t>
            </w:r>
            <w:r>
              <w:rPr>
                <w:rFonts w:ascii="宋体" w:hAnsi="宋体" w:cs="宋体" w:eastAsia="宋体" w:hint="default"/>
                <w:sz w:val="21"/>
                <w:szCs w:val="21"/>
              </w:rPr>
              <w:t> </w:t>
            </w:r>
          </w:p>
        </w:tc>
        <w:tc>
          <w:tcPr>
            <w:tcW w:w="290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11,170.00</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4,650.00</w:t>
            </w:r>
          </w:p>
        </w:tc>
      </w:tr>
      <w:tr>
        <w:trPr>
          <w:trHeight w:val="358" w:hRule="exact"/>
        </w:trPr>
        <w:tc>
          <w:tcPr>
            <w:tcW w:w="348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财产保险费</w:t>
            </w:r>
            <w:r>
              <w:rPr>
                <w:rFonts w:ascii="宋体" w:hAnsi="宋体" w:cs="宋体" w:eastAsia="宋体" w:hint="default"/>
                <w:sz w:val="21"/>
                <w:szCs w:val="21"/>
              </w:rPr>
              <w:t> </w:t>
            </w:r>
          </w:p>
        </w:tc>
        <w:tc>
          <w:tcPr>
            <w:tcW w:w="290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168,164.64</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96,435.23</w:t>
            </w:r>
          </w:p>
        </w:tc>
      </w:tr>
      <w:tr>
        <w:trPr>
          <w:trHeight w:val="358" w:hRule="exact"/>
        </w:trPr>
        <w:tc>
          <w:tcPr>
            <w:tcW w:w="348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0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57,103.26</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32,820.88</w:t>
            </w:r>
          </w:p>
        </w:tc>
      </w:tr>
      <w:tr>
        <w:trPr>
          <w:trHeight w:val="384" w:hRule="exact"/>
        </w:trPr>
        <w:tc>
          <w:tcPr>
            <w:tcW w:w="3485"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right="142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07"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14,560,525.78</w:t>
            </w:r>
          </w:p>
        </w:tc>
        <w:tc>
          <w:tcPr>
            <w:tcW w:w="2657"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17,638,994.04</w:t>
            </w:r>
          </w:p>
        </w:tc>
      </w:tr>
    </w:tbl>
    <w:p>
      <w:pPr>
        <w:spacing w:after="0" w:line="240" w:lineRule="auto"/>
        <w:jc w:val="right"/>
        <w:rPr>
          <w:rFonts w:ascii="Arial" w:hAnsi="Arial" w:cs="Arial" w:eastAsia="Arial" w:hint="default"/>
          <w:sz w:val="21"/>
          <w:szCs w:val="21"/>
        </w:rPr>
        <w:sectPr>
          <w:type w:val="continuous"/>
          <w:pgSz w:w="11910" w:h="16840"/>
          <w:pgMar w:top="1360" w:bottom="1380" w:left="1540" w:right="1000"/>
        </w:sectPr>
      </w:pPr>
    </w:p>
    <w:p>
      <w:pPr>
        <w:pStyle w:val="Heading2"/>
        <w:spacing w:line="240" w:lineRule="auto" w:before="26"/>
        <w:ind w:left="258" w:right="0"/>
        <w:jc w:val="left"/>
        <w:rPr>
          <w:b w:val="0"/>
          <w:bCs w:val="0"/>
        </w:rPr>
      </w:pPr>
      <w:r>
        <w:rPr>
          <w:rFonts w:ascii="宋体" w:hAnsi="宋体" w:cs="宋体" w:eastAsia="宋体" w:hint="default"/>
        </w:rPr>
        <w:t>62</w:t>
      </w:r>
      <w:r>
        <w:rPr/>
        <w:t>、</w:t>
      </w:r>
      <w:r>
        <w:rPr>
          <w:spacing w:val="-25"/>
        </w:rPr>
        <w:t> </w:t>
      </w:r>
      <w:r>
        <w:rPr/>
        <w:t>管理费用</w:t>
      </w:r>
      <w:r>
        <w:rPr>
          <w:b w:val="0"/>
          <w:bCs w:val="0"/>
        </w:rPr>
      </w:r>
    </w:p>
    <w:p>
      <w:pPr>
        <w:pStyle w:val="BodyText"/>
        <w:spacing w:line="240" w:lineRule="auto" w:before="56"/>
        <w:ind w:left="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8"/>
          <w:szCs w:val="28"/>
        </w:rPr>
      </w:pPr>
    </w:p>
    <w:p>
      <w:pPr>
        <w:pStyle w:val="BodyText"/>
        <w:spacing w:line="240" w:lineRule="auto"/>
        <w:ind w:left="2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540" w:right="1000"/>
          <w:cols w:num="2" w:equalWidth="0">
            <w:col w:w="2044" w:space="4478"/>
            <w:col w:w="284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488"/>
        <w:gridCol w:w="2904"/>
        <w:gridCol w:w="2657"/>
      </w:tblGrid>
      <w:tr>
        <w:trPr>
          <w:trHeight w:val="384" w:hRule="exact"/>
        </w:trPr>
        <w:tc>
          <w:tcPr>
            <w:tcW w:w="3488"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left="109"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04"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left="92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657"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79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55"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788,962,562.35</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874,225,760.88</w:t>
            </w:r>
          </w:p>
        </w:tc>
      </w:tr>
      <w:tr>
        <w:trPr>
          <w:trHeight w:val="358"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折旧费</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172,481,663.20</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188,263,623.70</w:t>
            </w:r>
          </w:p>
        </w:tc>
      </w:tr>
      <w:tr>
        <w:trPr>
          <w:trHeight w:val="365" w:hRule="exact"/>
        </w:trPr>
        <w:tc>
          <w:tcPr>
            <w:tcW w:w="3488"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物料消耗</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7"/>
              <w:ind w:right="99"/>
              <w:jc w:val="right"/>
              <w:rPr>
                <w:rFonts w:ascii="Arial" w:hAnsi="Arial" w:cs="Arial" w:eastAsia="Arial" w:hint="default"/>
                <w:sz w:val="21"/>
                <w:szCs w:val="21"/>
              </w:rPr>
            </w:pPr>
            <w:r>
              <w:rPr>
                <w:rFonts w:ascii="Arial"/>
                <w:spacing w:val="-1"/>
                <w:sz w:val="21"/>
              </w:rPr>
              <w:t>64,903,581.32</w:t>
            </w:r>
          </w:p>
        </w:tc>
        <w:tc>
          <w:tcPr>
            <w:tcW w:w="2657"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7"/>
              <w:ind w:right="103"/>
              <w:jc w:val="right"/>
              <w:rPr>
                <w:rFonts w:ascii="Arial" w:hAnsi="Arial" w:cs="Arial" w:eastAsia="Arial" w:hint="default"/>
                <w:sz w:val="21"/>
                <w:szCs w:val="21"/>
              </w:rPr>
            </w:pPr>
            <w:r>
              <w:rPr>
                <w:rFonts w:ascii="Arial"/>
                <w:spacing w:val="-1"/>
                <w:sz w:val="21"/>
              </w:rPr>
              <w:t>61,663,378.11</w:t>
            </w:r>
          </w:p>
        </w:tc>
      </w:tr>
    </w:tbl>
    <w:p>
      <w:pPr>
        <w:spacing w:after="0" w:line="240" w:lineRule="auto"/>
        <w:jc w:val="right"/>
        <w:rPr>
          <w:rFonts w:ascii="Arial" w:hAnsi="Arial" w:cs="Arial" w:eastAsia="Arial" w:hint="default"/>
          <w:sz w:val="21"/>
          <w:szCs w:val="21"/>
        </w:rPr>
        <w:sectPr>
          <w:type w:val="continuous"/>
          <w:pgSz w:w="11910" w:h="16840"/>
          <w:pgMar w:top="1360" w:bottom="1380" w:left="1540" w:right="1000"/>
        </w:sectPr>
      </w:pPr>
    </w:p>
    <w:p>
      <w:pPr>
        <w:spacing w:line="240" w:lineRule="auto" w:before="10"/>
        <w:rPr>
          <w:rFonts w:ascii="宋体" w:hAnsi="宋体" w:cs="宋体" w:eastAsia="宋体" w:hint="default"/>
          <w:sz w:val="11"/>
          <w:szCs w:val="11"/>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483;height:2" coordorigin="10,10" coordsize="3483,2">
              <v:shape style="position:absolute;left:10;top:10;width:3483;height:2" coordorigin="10,10" coordsize="3483,0" path="m10,10l3492,10e" filled="false" stroked="true" strokeweight=".96001pt" strokecolor="#41b7ee">
                <v:path arrowok="t"/>
              </v:shape>
            </v:group>
            <v:group style="position:absolute;left:3493;top:10;width:58;height:2" coordorigin="3493,10" coordsize="58,2">
              <v:shape style="position:absolute;left:3493;top:10;width:58;height:2" coordorigin="3493,10" coordsize="58,0" path="m3493,10l3550,10e" filled="false" stroked="true" strokeweight=".96001pt" strokecolor="#41b7ee">
                <v:path arrowok="t"/>
              </v:shape>
            </v:group>
            <v:group style="position:absolute;left:3550;top:10;width:2847;height:2" coordorigin="3550,10" coordsize="2847,2">
              <v:shape style="position:absolute;left:3550;top:10;width:2847;height:2" coordorigin="3550,10" coordsize="2847,0" path="m3550,10l6397,10e" filled="false" stroked="true" strokeweight=".96001pt" strokecolor="#41b7ee">
                <v:path arrowok="t"/>
              </v:shape>
            </v:group>
            <v:group style="position:absolute;left:6397;top:10;width:58;height:2" coordorigin="6397,10" coordsize="58,2">
              <v:shape style="position:absolute;left:6397;top:10;width:58;height:2" coordorigin="6397,10" coordsize="58,0" path="m6397,10l6455,10e" filled="false" stroked="true" strokeweight=".96001pt" strokecolor="#41b7ee">
                <v:path arrowok="t"/>
              </v:shape>
            </v:group>
            <v:group style="position:absolute;left:6455;top:10;width:2605;height:2" coordorigin="6455,10" coordsize="2605,2">
              <v:shape style="position:absolute;left:6455;top:10;width:2605;height:2" coordorigin="6455,10" coordsize="2605,0" path="m6455,10l9059,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3488"/>
        <w:gridCol w:w="2904"/>
        <w:gridCol w:w="2657"/>
      </w:tblGrid>
      <w:tr>
        <w:trPr>
          <w:trHeight w:val="365" w:hRule="exact"/>
        </w:trPr>
        <w:tc>
          <w:tcPr>
            <w:tcW w:w="3488"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7"/>
              <w:ind w:left="107" w:right="0"/>
              <w:jc w:val="left"/>
              <w:rPr>
                <w:rFonts w:ascii="宋体" w:hAnsi="宋体" w:cs="宋体" w:eastAsia="宋体" w:hint="default"/>
                <w:sz w:val="21"/>
                <w:szCs w:val="21"/>
              </w:rPr>
            </w:pPr>
            <w:r>
              <w:rPr>
                <w:rFonts w:ascii="宋体" w:hAnsi="宋体" w:cs="宋体" w:eastAsia="宋体" w:hint="default"/>
                <w:sz w:val="21"/>
                <w:szCs w:val="21"/>
              </w:rPr>
              <w:t>保险费</w:t>
            </w:r>
            <w:r>
              <w:rPr>
                <w:rFonts w:ascii="宋体" w:hAnsi="宋体" w:cs="宋体" w:eastAsia="宋体" w:hint="default"/>
                <w:sz w:val="21"/>
                <w:szCs w:val="21"/>
              </w:rPr>
              <w:t> </w:t>
            </w:r>
          </w:p>
        </w:tc>
        <w:tc>
          <w:tcPr>
            <w:tcW w:w="2904"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46,857,946.78</w:t>
            </w:r>
          </w:p>
        </w:tc>
        <w:tc>
          <w:tcPr>
            <w:tcW w:w="2657"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50"/>
              <w:ind w:right="103"/>
              <w:jc w:val="right"/>
              <w:rPr>
                <w:rFonts w:ascii="Arial" w:hAnsi="Arial" w:cs="Arial" w:eastAsia="Arial" w:hint="default"/>
                <w:sz w:val="21"/>
                <w:szCs w:val="21"/>
              </w:rPr>
            </w:pPr>
            <w:r>
              <w:rPr>
                <w:rFonts w:ascii="Arial"/>
                <w:spacing w:val="-1"/>
                <w:sz w:val="21"/>
              </w:rPr>
              <w:t>46,499,364.92</w:t>
            </w:r>
          </w:p>
        </w:tc>
      </w:tr>
      <w:tr>
        <w:trPr>
          <w:trHeight w:val="358"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道路维修费</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162,228,462.49</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121,177,540.41</w:t>
            </w:r>
          </w:p>
        </w:tc>
      </w:tr>
      <w:tr>
        <w:trPr>
          <w:trHeight w:val="358"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水资源及水土防治费</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140,137,537.48</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61,672,436.63</w:t>
            </w:r>
          </w:p>
        </w:tc>
      </w:tr>
      <w:tr>
        <w:trPr>
          <w:trHeight w:val="355"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机械作业费</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53,035,530.07</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66,679,777.82</w:t>
            </w:r>
          </w:p>
        </w:tc>
      </w:tr>
      <w:tr>
        <w:trPr>
          <w:trHeight w:val="358"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修理费</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33,803,420.10</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26,572,802.90</w:t>
            </w:r>
          </w:p>
        </w:tc>
      </w:tr>
      <w:tr>
        <w:trPr>
          <w:trHeight w:val="358"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规划及绿化费</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59,493,530.47</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45,161,364.80</w:t>
            </w:r>
          </w:p>
        </w:tc>
      </w:tr>
      <w:tr>
        <w:trPr>
          <w:trHeight w:val="358"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业务招待费</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12,146,520.64</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11,567,158.22</w:t>
            </w:r>
          </w:p>
        </w:tc>
      </w:tr>
      <w:tr>
        <w:trPr>
          <w:trHeight w:val="355"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劳务费</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23,934,036.38</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22,097,347.07</w:t>
            </w:r>
          </w:p>
        </w:tc>
      </w:tr>
      <w:tr>
        <w:trPr>
          <w:trHeight w:val="358"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中介及服务费</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14,823,152.29</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18,833,101.44</w:t>
            </w:r>
          </w:p>
        </w:tc>
      </w:tr>
      <w:tr>
        <w:trPr>
          <w:trHeight w:val="358"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办公费</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16,041,672.94</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17,106,863.23</w:t>
            </w:r>
          </w:p>
        </w:tc>
      </w:tr>
      <w:tr>
        <w:trPr>
          <w:trHeight w:val="358"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10,672,921.87</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9,983,786.01</w:t>
            </w:r>
          </w:p>
        </w:tc>
      </w:tr>
      <w:tr>
        <w:trPr>
          <w:trHeight w:val="355"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无形资产摊销</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3,790,051.40</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3,659,766.55</w:t>
            </w:r>
          </w:p>
        </w:tc>
      </w:tr>
      <w:tr>
        <w:trPr>
          <w:trHeight w:val="358"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诉讼费</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169,900.76</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4,200,545.26</w:t>
            </w:r>
          </w:p>
        </w:tc>
      </w:tr>
      <w:tr>
        <w:trPr>
          <w:trHeight w:val="358"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宣传展览费</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4,357,087.01</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3,765,172.10</w:t>
            </w:r>
          </w:p>
        </w:tc>
      </w:tr>
      <w:tr>
        <w:trPr>
          <w:trHeight w:val="358"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物业管理及卫生费</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13,164,427.25</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13,153,346.04</w:t>
            </w:r>
          </w:p>
        </w:tc>
      </w:tr>
      <w:tr>
        <w:trPr>
          <w:trHeight w:val="355"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安全生产费</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9,268,382.22</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10,418,823.96</w:t>
            </w:r>
          </w:p>
        </w:tc>
      </w:tr>
      <w:tr>
        <w:trPr>
          <w:trHeight w:val="358"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存货盘亏或毁损</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2,933.16</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-673,372.56</w:t>
            </w:r>
          </w:p>
        </w:tc>
      </w:tr>
      <w:tr>
        <w:trPr>
          <w:trHeight w:val="358"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交通费</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32,530,880.39</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28,004,396.93</w:t>
            </w:r>
          </w:p>
        </w:tc>
      </w:tr>
      <w:tr>
        <w:trPr>
          <w:trHeight w:val="358"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长期待摊费用摊销</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7,209,422.37</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6,644,174.19</w:t>
            </w:r>
          </w:p>
        </w:tc>
      </w:tr>
      <w:tr>
        <w:trPr>
          <w:trHeight w:val="355"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认证验证及注册费</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1,115,024.00</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1,193,250.00</w:t>
            </w:r>
          </w:p>
        </w:tc>
      </w:tr>
      <w:tr>
        <w:trPr>
          <w:trHeight w:val="358"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防雹及降雨费</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2,753,052.54</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2,571,415.15</w:t>
            </w:r>
          </w:p>
        </w:tc>
      </w:tr>
      <w:tr>
        <w:trPr>
          <w:trHeight w:val="358"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粮油直补配套</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6,071,634.72</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6,071,634.72</w:t>
            </w:r>
          </w:p>
        </w:tc>
      </w:tr>
      <w:tr>
        <w:trPr>
          <w:trHeight w:val="358"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租赁及仓储费</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1,225,608.28</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9,353,157.19</w:t>
            </w:r>
          </w:p>
        </w:tc>
      </w:tr>
      <w:tr>
        <w:trPr>
          <w:trHeight w:val="355"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会议费</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1,781,706.80</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1,785,909.85</w:t>
            </w:r>
          </w:p>
        </w:tc>
      </w:tr>
      <w:tr>
        <w:trPr>
          <w:trHeight w:val="358"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公有车辆使用费</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3,526,500.06</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3,040,576.28</w:t>
            </w:r>
          </w:p>
        </w:tc>
      </w:tr>
      <w:tr>
        <w:trPr>
          <w:trHeight w:val="358"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董事会费</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129,875.75</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102,964.54</w:t>
            </w:r>
          </w:p>
        </w:tc>
      </w:tr>
      <w:tr>
        <w:trPr>
          <w:trHeight w:val="358"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上市信息披露费</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301,886.79</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301,886.79</w:t>
            </w:r>
          </w:p>
        </w:tc>
      </w:tr>
      <w:tr>
        <w:trPr>
          <w:trHeight w:val="355"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检验检疫费</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7,670.00</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14,320.00</w:t>
            </w:r>
          </w:p>
        </w:tc>
      </w:tr>
      <w:tr>
        <w:trPr>
          <w:trHeight w:val="358"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低值易耗品摊销</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1,086,679.07</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2,306,376.00</w:t>
            </w:r>
          </w:p>
        </w:tc>
      </w:tr>
      <w:tr>
        <w:trPr>
          <w:trHeight w:val="358"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414,590.83</w:t>
            </w:r>
          </w:p>
        </w:tc>
      </w:tr>
      <w:tr>
        <w:trPr>
          <w:trHeight w:val="384" w:hRule="exact"/>
        </w:trPr>
        <w:tc>
          <w:tcPr>
            <w:tcW w:w="3488"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2"/>
              <w:ind w:left="109"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1,688,015,260.95</w:t>
            </w:r>
          </w:p>
        </w:tc>
        <w:tc>
          <w:tcPr>
            <w:tcW w:w="2657"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105"/>
              <w:jc w:val="right"/>
              <w:rPr>
                <w:rFonts w:ascii="Arial" w:hAnsi="Arial" w:cs="Arial" w:eastAsia="Arial" w:hint="default"/>
                <w:sz w:val="21"/>
                <w:szCs w:val="21"/>
              </w:rPr>
            </w:pPr>
            <w:r>
              <w:rPr>
                <w:rFonts w:ascii="Arial"/>
                <w:spacing w:val="-1"/>
                <w:sz w:val="21"/>
              </w:rPr>
              <w:t>1,667,833,239.96</w:t>
            </w:r>
          </w:p>
        </w:tc>
      </w:tr>
    </w:tbl>
    <w:p>
      <w:pPr>
        <w:spacing w:after="0" w:line="240" w:lineRule="auto"/>
        <w:jc w:val="right"/>
        <w:rPr>
          <w:rFonts w:ascii="Arial" w:hAnsi="Arial" w:cs="Arial" w:eastAsia="Arial" w:hint="default"/>
          <w:sz w:val="21"/>
          <w:szCs w:val="21"/>
        </w:rPr>
        <w:sectPr>
          <w:footerReference w:type="default" r:id="rId78"/>
          <w:pgSz w:w="11910" w:h="16840"/>
          <w:pgMar w:footer="1482" w:header="826" w:top="1360" w:bottom="1680" w:left="1560" w:right="1000"/>
        </w:sectPr>
      </w:pPr>
    </w:p>
    <w:p>
      <w:pPr>
        <w:pStyle w:val="Heading2"/>
        <w:spacing w:line="240" w:lineRule="auto" w:before="44"/>
        <w:ind w:left="238" w:right="0"/>
        <w:jc w:val="left"/>
        <w:rPr>
          <w:b w:val="0"/>
          <w:bCs w:val="0"/>
        </w:rPr>
      </w:pPr>
      <w:r>
        <w:rPr>
          <w:rFonts w:ascii="宋体" w:hAnsi="宋体" w:cs="宋体" w:eastAsia="宋体" w:hint="default"/>
        </w:rPr>
        <w:t>63</w:t>
      </w:r>
      <w:r>
        <w:rPr/>
        <w:t>、</w:t>
      </w:r>
      <w:r>
        <w:rPr>
          <w:spacing w:val="-25"/>
        </w:rPr>
        <w:t> </w:t>
      </w:r>
      <w:r>
        <w:rPr/>
        <w:t>研发费用</w:t>
      </w:r>
      <w:r>
        <w:rPr>
          <w:b w:val="0"/>
          <w:bCs w:val="0"/>
        </w:rPr>
      </w:r>
    </w:p>
    <w:p>
      <w:pPr>
        <w:pStyle w:val="BodyText"/>
        <w:spacing w:line="240" w:lineRule="auto" w:before="56"/>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9"/>
          <w:szCs w:val="2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360" w:bottom="1380" w:left="1560" w:right="1000"/>
          <w:cols w:num="2" w:equalWidth="0">
            <w:col w:w="2024" w:space="4498"/>
            <w:col w:w="2828"/>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488"/>
        <w:gridCol w:w="2904"/>
        <w:gridCol w:w="2657"/>
      </w:tblGrid>
      <w:tr>
        <w:trPr>
          <w:trHeight w:val="384" w:hRule="exact"/>
        </w:trPr>
        <w:tc>
          <w:tcPr>
            <w:tcW w:w="3488"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left="109"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04"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left="92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657"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79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55"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研究项目</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1,820,752.25</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1,758,054.00</w:t>
            </w:r>
          </w:p>
        </w:tc>
      </w:tr>
      <w:tr>
        <w:trPr>
          <w:trHeight w:val="358"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实验项目</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2,118,738.46</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6,280,494.72</w:t>
            </w:r>
          </w:p>
        </w:tc>
      </w:tr>
      <w:tr>
        <w:trPr>
          <w:trHeight w:val="365" w:hRule="exact"/>
        </w:trPr>
        <w:tc>
          <w:tcPr>
            <w:tcW w:w="3488"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示范项目</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7"/>
              <w:ind w:right="99"/>
              <w:jc w:val="right"/>
              <w:rPr>
                <w:rFonts w:ascii="Arial" w:hAnsi="Arial" w:cs="Arial" w:eastAsia="Arial" w:hint="default"/>
                <w:sz w:val="21"/>
                <w:szCs w:val="21"/>
              </w:rPr>
            </w:pPr>
            <w:r>
              <w:rPr>
                <w:rFonts w:ascii="Arial"/>
                <w:spacing w:val="-1"/>
                <w:sz w:val="21"/>
              </w:rPr>
              <w:t>9,941,009.00</w:t>
            </w:r>
          </w:p>
        </w:tc>
        <w:tc>
          <w:tcPr>
            <w:tcW w:w="2657"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7"/>
              <w:ind w:right="103"/>
              <w:jc w:val="right"/>
              <w:rPr>
                <w:rFonts w:ascii="Arial" w:hAnsi="Arial" w:cs="Arial" w:eastAsia="Arial" w:hint="default"/>
                <w:sz w:val="21"/>
                <w:szCs w:val="21"/>
              </w:rPr>
            </w:pPr>
            <w:r>
              <w:rPr>
                <w:rFonts w:ascii="Arial"/>
                <w:spacing w:val="-1"/>
                <w:sz w:val="21"/>
              </w:rPr>
              <w:t>6,621,269.50</w:t>
            </w:r>
          </w:p>
        </w:tc>
      </w:tr>
    </w:tbl>
    <w:p>
      <w:pPr>
        <w:spacing w:after="0" w:line="240" w:lineRule="auto"/>
        <w:jc w:val="right"/>
        <w:rPr>
          <w:rFonts w:ascii="Arial" w:hAnsi="Arial" w:cs="Arial" w:eastAsia="Arial" w:hint="default"/>
          <w:sz w:val="21"/>
          <w:szCs w:val="21"/>
        </w:rPr>
        <w:sectPr>
          <w:type w:val="continuous"/>
          <w:pgSz w:w="11910" w:h="16840"/>
          <w:pgMar w:top="1360" w:bottom="1380" w:left="1560" w:right="1000"/>
        </w:sectPr>
      </w:pPr>
    </w:p>
    <w:p>
      <w:pPr>
        <w:spacing w:line="240" w:lineRule="auto" w:before="10"/>
        <w:rPr>
          <w:rFonts w:ascii="宋体" w:hAnsi="宋体" w:cs="宋体" w:eastAsia="宋体" w:hint="default"/>
          <w:sz w:val="11"/>
          <w:szCs w:val="11"/>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483;height:2" coordorigin="10,10" coordsize="3483,2">
              <v:shape style="position:absolute;left:10;top:10;width:3483;height:2" coordorigin="10,10" coordsize="3483,0" path="m10,10l3492,10e" filled="false" stroked="true" strokeweight=".96001pt" strokecolor="#41b7ee">
                <v:path arrowok="t"/>
              </v:shape>
            </v:group>
            <v:group style="position:absolute;left:3493;top:10;width:58;height:2" coordorigin="3493,10" coordsize="58,2">
              <v:shape style="position:absolute;left:3493;top:10;width:58;height:2" coordorigin="3493,10" coordsize="58,0" path="m3493,10l3550,10e" filled="false" stroked="true" strokeweight=".96001pt" strokecolor="#41b7ee">
                <v:path arrowok="t"/>
              </v:shape>
            </v:group>
            <v:group style="position:absolute;left:3550;top:10;width:2847;height:2" coordorigin="3550,10" coordsize="2847,2">
              <v:shape style="position:absolute;left:3550;top:10;width:2847;height:2" coordorigin="3550,10" coordsize="2847,0" path="m3550,10l6397,10e" filled="false" stroked="true" strokeweight=".96001pt" strokecolor="#41b7ee">
                <v:path arrowok="t"/>
              </v:shape>
            </v:group>
            <v:group style="position:absolute;left:6397;top:10;width:58;height:2" coordorigin="6397,10" coordsize="58,2">
              <v:shape style="position:absolute;left:6397;top:10;width:58;height:2" coordorigin="6397,10" coordsize="58,0" path="m6397,10l6455,10e" filled="false" stroked="true" strokeweight=".96001pt" strokecolor="#41b7ee">
                <v:path arrowok="t"/>
              </v:shape>
            </v:group>
            <v:group style="position:absolute;left:6455;top:10;width:2605;height:2" coordorigin="6455,10" coordsize="2605,2">
              <v:shape style="position:absolute;left:6455;top:10;width:2605;height:2" coordorigin="6455,10" coordsize="2605,0" path="m6455,10l9059,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3488"/>
        <w:gridCol w:w="2904"/>
        <w:gridCol w:w="2657"/>
      </w:tblGrid>
      <w:tr>
        <w:trPr>
          <w:trHeight w:val="365" w:hRule="exact"/>
        </w:trPr>
        <w:tc>
          <w:tcPr>
            <w:tcW w:w="3488"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7"/>
              <w:ind w:left="107" w:right="0"/>
              <w:jc w:val="left"/>
              <w:rPr>
                <w:rFonts w:ascii="宋体" w:hAnsi="宋体" w:cs="宋体" w:eastAsia="宋体" w:hint="default"/>
                <w:sz w:val="21"/>
                <w:szCs w:val="21"/>
              </w:rPr>
            </w:pPr>
            <w:r>
              <w:rPr>
                <w:rFonts w:ascii="宋体" w:hAnsi="宋体" w:cs="宋体" w:eastAsia="宋体" w:hint="default"/>
                <w:sz w:val="21"/>
                <w:szCs w:val="21"/>
              </w:rPr>
              <w:t>农技推广项目</w:t>
            </w:r>
            <w:r>
              <w:rPr>
                <w:rFonts w:ascii="宋体" w:hAnsi="宋体" w:cs="宋体" w:eastAsia="宋体" w:hint="default"/>
                <w:sz w:val="21"/>
                <w:szCs w:val="21"/>
              </w:rPr>
              <w:t> </w:t>
            </w:r>
          </w:p>
        </w:tc>
        <w:tc>
          <w:tcPr>
            <w:tcW w:w="2904"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412,461.40</w:t>
            </w:r>
          </w:p>
        </w:tc>
        <w:tc>
          <w:tcPr>
            <w:tcW w:w="2657"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50"/>
              <w:ind w:right="103"/>
              <w:jc w:val="right"/>
              <w:rPr>
                <w:rFonts w:ascii="Arial" w:hAnsi="Arial" w:cs="Arial" w:eastAsia="Arial" w:hint="default"/>
                <w:sz w:val="21"/>
                <w:szCs w:val="21"/>
              </w:rPr>
            </w:pPr>
            <w:r>
              <w:rPr>
                <w:rFonts w:ascii="Arial"/>
                <w:spacing w:val="-1"/>
                <w:sz w:val="21"/>
              </w:rPr>
              <w:t>739,362.00</w:t>
            </w:r>
          </w:p>
        </w:tc>
      </w:tr>
      <w:tr>
        <w:trPr>
          <w:trHeight w:val="358"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其他项目</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16,362.00</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323,848.00</w:t>
            </w:r>
          </w:p>
        </w:tc>
      </w:tr>
      <w:tr>
        <w:trPr>
          <w:trHeight w:val="384" w:hRule="exact"/>
        </w:trPr>
        <w:tc>
          <w:tcPr>
            <w:tcW w:w="3488"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2"/>
              <w:ind w:left="109"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14,309,323.11</w:t>
            </w:r>
          </w:p>
        </w:tc>
        <w:tc>
          <w:tcPr>
            <w:tcW w:w="2657"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15,723,028.22</w:t>
            </w:r>
          </w:p>
        </w:tc>
      </w:tr>
    </w:tbl>
    <w:p>
      <w:pPr>
        <w:spacing w:after="0" w:line="240" w:lineRule="auto"/>
        <w:jc w:val="right"/>
        <w:rPr>
          <w:rFonts w:ascii="Arial" w:hAnsi="Arial" w:cs="Arial" w:eastAsia="Arial" w:hint="default"/>
          <w:sz w:val="21"/>
          <w:szCs w:val="21"/>
        </w:rPr>
        <w:sectPr>
          <w:footerReference w:type="default" r:id="rId79"/>
          <w:pgSz w:w="11910" w:h="16840"/>
          <w:pgMar w:footer="1195" w:header="826" w:top="1360" w:bottom="1380" w:left="1560" w:right="1000"/>
          <w:pgNumType w:start="142"/>
        </w:sectPr>
      </w:pPr>
    </w:p>
    <w:p>
      <w:pPr>
        <w:pStyle w:val="Heading2"/>
        <w:spacing w:line="240" w:lineRule="auto" w:before="44"/>
        <w:ind w:left="238" w:right="0"/>
        <w:jc w:val="left"/>
        <w:rPr>
          <w:b w:val="0"/>
          <w:bCs w:val="0"/>
        </w:rPr>
      </w:pPr>
      <w:r>
        <w:rPr>
          <w:rFonts w:ascii="宋体" w:hAnsi="宋体" w:cs="宋体" w:eastAsia="宋体" w:hint="default"/>
        </w:rPr>
        <w:t>64</w:t>
      </w:r>
      <w:r>
        <w:rPr/>
        <w:t>、</w:t>
      </w:r>
      <w:r>
        <w:rPr>
          <w:spacing w:val="-25"/>
        </w:rPr>
        <w:t> </w:t>
      </w:r>
      <w:r>
        <w:rPr/>
        <w:t>财务费用</w:t>
      </w:r>
      <w:r>
        <w:rPr>
          <w:b w:val="0"/>
          <w:bCs w:val="0"/>
        </w:rPr>
      </w:r>
    </w:p>
    <w:p>
      <w:pPr>
        <w:pStyle w:val="BodyText"/>
        <w:spacing w:line="240" w:lineRule="auto" w:before="56"/>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9"/>
          <w:szCs w:val="29"/>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560" w:right="1000"/>
          <w:cols w:num="2" w:equalWidth="0">
            <w:col w:w="2024" w:space="4498"/>
            <w:col w:w="2828"/>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488"/>
        <w:gridCol w:w="2904"/>
        <w:gridCol w:w="2657"/>
      </w:tblGrid>
      <w:tr>
        <w:trPr>
          <w:trHeight w:val="384" w:hRule="exact"/>
        </w:trPr>
        <w:tc>
          <w:tcPr>
            <w:tcW w:w="3488"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4"/>
              <w:ind w:right="1421"/>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04"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4"/>
              <w:ind w:left="92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657"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4"/>
              <w:ind w:left="79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55"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right="0"/>
              <w:jc w:val="right"/>
              <w:rPr>
                <w:rFonts w:ascii="宋体" w:hAnsi="宋体" w:cs="宋体" w:eastAsia="宋体" w:hint="default"/>
                <w:sz w:val="21"/>
                <w:szCs w:val="21"/>
              </w:rPr>
            </w:pPr>
            <w:r>
              <w:rPr>
                <w:rFonts w:ascii="宋体"/>
                <w:w w:val="100"/>
                <w:sz w:val="21"/>
              </w:rPr>
              <w:t> </w:t>
            </w:r>
          </w:p>
        </w:tc>
      </w:tr>
      <w:tr>
        <w:trPr>
          <w:trHeight w:val="358"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减：利息收入</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-15,983,574.96</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-6,098,209.89</w:t>
            </w:r>
          </w:p>
        </w:tc>
      </w:tr>
      <w:tr>
        <w:trPr>
          <w:trHeight w:val="358"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金融机构手续费</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295,673.76</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283,548.06</w:t>
            </w:r>
          </w:p>
        </w:tc>
      </w:tr>
      <w:tr>
        <w:trPr>
          <w:trHeight w:val="358"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7,067,786.96</w:t>
            </w:r>
          </w:p>
        </w:tc>
        <w:tc>
          <w:tcPr>
            <w:tcW w:w="26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6,098,517.40</w:t>
            </w:r>
          </w:p>
        </w:tc>
      </w:tr>
      <w:tr>
        <w:trPr>
          <w:trHeight w:val="382" w:hRule="exact"/>
        </w:trPr>
        <w:tc>
          <w:tcPr>
            <w:tcW w:w="3488"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2"/>
              <w:ind w:right="142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-8,620,114.24</w:t>
            </w:r>
          </w:p>
        </w:tc>
        <w:tc>
          <w:tcPr>
            <w:tcW w:w="2657"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283,855.57</w:t>
            </w:r>
          </w:p>
        </w:tc>
      </w:tr>
    </w:tbl>
    <w:p>
      <w:pPr>
        <w:pStyle w:val="BodyText"/>
        <w:spacing w:line="240" w:lineRule="exact"/>
        <w:ind w:left="23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90" w:lineRule="auto"/>
        <w:ind w:left="238" w:right="1356" w:firstLine="419"/>
        <w:jc w:val="left"/>
        <w:rPr>
          <w:rFonts w:ascii="宋体" w:hAnsi="宋体" w:cs="宋体" w:eastAsia="宋体" w:hint="default"/>
        </w:rPr>
      </w:pPr>
      <w:r>
        <w:rPr/>
        <w:t>“其他”项主要为长期应付职工薪酬（辞退福利）中未确认融资费用摊销。</w:t>
      </w:r>
      <w:r>
        <w:rPr>
          <w:rFonts w:ascii="宋体" w:hAnsi="宋体" w:cs="宋体" w:eastAsia="宋体" w:hint="default"/>
          <w:w w:val="100"/>
        </w:rPr>
        <w:t> </w:t>
      </w:r>
      <w:r>
        <w:rPr>
          <w:rFonts w:ascii="宋体" w:hAnsi="宋体" w:cs="宋体" w:eastAsia="宋体" w:hint="default"/>
          <w:b/>
          <w:bCs/>
        </w:rPr>
        <w:t>65</w:t>
      </w:r>
      <w:r>
        <w:rPr>
          <w:rFonts w:ascii="宋体" w:hAnsi="宋体" w:cs="宋体" w:eastAsia="宋体" w:hint="default"/>
          <w:b/>
          <w:bCs/>
        </w:rPr>
        <w:t>、</w:t>
      </w:r>
      <w:r>
        <w:rPr>
          <w:rFonts w:ascii="宋体" w:hAnsi="宋体" w:cs="宋体" w:eastAsia="宋体" w:hint="default"/>
          <w:b/>
          <w:bCs/>
          <w:spacing w:val="-25"/>
        </w:rPr>
        <w:t> </w:t>
      </w:r>
      <w:r>
        <w:rPr>
          <w:rFonts w:ascii="宋体" w:hAnsi="宋体" w:cs="宋体" w:eastAsia="宋体" w:hint="default"/>
          <w:b/>
          <w:bCs/>
        </w:rPr>
        <w:t>其他收益</w:t>
      </w:r>
      <w:r>
        <w:rPr>
          <w:rFonts w:ascii="宋体" w:hAnsi="宋体" w:cs="宋体" w:eastAsia="宋体" w:hint="default"/>
        </w:rPr>
      </w:r>
    </w:p>
    <w:p>
      <w:pPr>
        <w:pStyle w:val="BodyText"/>
        <w:spacing w:line="240" w:lineRule="auto" w:before="14"/>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51" w:val="left" w:leader="none"/>
        </w:tabs>
        <w:spacing w:line="271" w:lineRule="exact"/>
        <w:ind w:left="0" w:right="27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404"/>
        <w:gridCol w:w="2835"/>
        <w:gridCol w:w="2595"/>
      </w:tblGrid>
      <w:tr>
        <w:trPr>
          <w:trHeight w:val="382" w:hRule="exact"/>
        </w:trPr>
        <w:tc>
          <w:tcPr>
            <w:tcW w:w="3404"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35"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95"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left="76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55" w:hRule="exact"/>
        </w:trPr>
        <w:tc>
          <w:tcPr>
            <w:tcW w:w="340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（一）政府补助</w:t>
            </w:r>
            <w:r>
              <w:rPr>
                <w:rFonts w:ascii="宋体" w:hAnsi="宋体" w:cs="宋体" w:eastAsia="宋体" w:hint="default"/>
                <w:sz w:val="21"/>
                <w:szCs w:val="21"/>
              </w:rPr>
              <w:t> </w:t>
            </w: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870,801.63</w:t>
            </w:r>
          </w:p>
        </w:tc>
        <w:tc>
          <w:tcPr>
            <w:tcW w:w="259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8,958,513.84</w:t>
            </w:r>
          </w:p>
        </w:tc>
      </w:tr>
      <w:tr>
        <w:trPr>
          <w:trHeight w:val="355" w:hRule="exact"/>
        </w:trPr>
        <w:tc>
          <w:tcPr>
            <w:tcW w:w="340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（二）扣缴税款手续费</w:t>
            </w:r>
            <w:r>
              <w:rPr>
                <w:rFonts w:ascii="宋体" w:hAnsi="宋体" w:cs="宋体" w:eastAsia="宋体" w:hint="default"/>
                <w:sz w:val="21"/>
                <w:szCs w:val="21"/>
              </w:rPr>
              <w:t> </w:t>
            </w: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67,466.05</w:t>
            </w:r>
          </w:p>
        </w:tc>
        <w:tc>
          <w:tcPr>
            <w:tcW w:w="259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102,992.22</w:t>
            </w:r>
          </w:p>
        </w:tc>
      </w:tr>
      <w:tr>
        <w:trPr>
          <w:trHeight w:val="384" w:hRule="exact"/>
        </w:trPr>
        <w:tc>
          <w:tcPr>
            <w:tcW w:w="3404"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35"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938,267.68</w:t>
            </w:r>
          </w:p>
        </w:tc>
        <w:tc>
          <w:tcPr>
            <w:tcW w:w="2595"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9,061,506.06</w:t>
            </w:r>
          </w:p>
        </w:tc>
      </w:tr>
    </w:tbl>
    <w:p>
      <w:pPr>
        <w:spacing w:after="0" w:line="240" w:lineRule="auto"/>
        <w:jc w:val="right"/>
        <w:rPr>
          <w:rFonts w:ascii="Arial" w:hAnsi="Arial" w:cs="Arial" w:eastAsia="Arial" w:hint="default"/>
          <w:sz w:val="21"/>
          <w:szCs w:val="21"/>
        </w:rPr>
        <w:sectPr>
          <w:type w:val="continuous"/>
          <w:pgSz w:w="11910" w:h="16840"/>
          <w:pgMar w:top="1360" w:bottom="1380" w:left="1560" w:right="1000"/>
        </w:sectPr>
      </w:pPr>
    </w:p>
    <w:p>
      <w:pPr>
        <w:pStyle w:val="Heading2"/>
        <w:spacing w:line="240" w:lineRule="auto" w:before="26"/>
        <w:ind w:left="238" w:right="0"/>
        <w:jc w:val="left"/>
        <w:rPr>
          <w:rFonts w:ascii="宋体" w:hAnsi="宋体" w:cs="宋体" w:eastAsia="宋体" w:hint="default"/>
          <w:b w:val="0"/>
          <w:bCs w:val="0"/>
        </w:rPr>
      </w:pPr>
      <w:r>
        <w:rPr>
          <w:rFonts w:ascii="宋体" w:hAnsi="宋体" w:cs="宋体" w:eastAsia="宋体" w:hint="default"/>
        </w:rPr>
        <w:t>66</w:t>
      </w:r>
      <w:r>
        <w:rPr/>
        <w:t>、</w:t>
      </w:r>
      <w:r>
        <w:rPr>
          <w:spacing w:val="-28"/>
        </w:rPr>
        <w:t> </w:t>
      </w:r>
      <w:r>
        <w:rPr/>
        <w:t>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spacing w:line="240" w:lineRule="auto"/>
        <w:ind w:left="23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360" w:bottom="1380" w:left="1560" w:right="1000"/>
          <w:cols w:num="2" w:equalWidth="0">
            <w:col w:w="2024" w:space="4498"/>
            <w:col w:w="2828"/>
          </w:cols>
        </w:sectPr>
      </w:pPr>
    </w:p>
    <w:p>
      <w:pPr>
        <w:spacing w:line="240" w:lineRule="auto" w:before="4"/>
        <w:rPr>
          <w:rFonts w:ascii="宋体" w:hAnsi="宋体" w:cs="宋体" w:eastAsia="宋体" w:hint="default"/>
          <w:b/>
          <w:bCs/>
          <w:sz w:val="2"/>
          <w:szCs w:val="2"/>
        </w:rPr>
      </w:pPr>
    </w:p>
    <w:tbl>
      <w:tblPr>
        <w:tblW w:w="0" w:type="auto"/>
        <w:jc w:val="left"/>
        <w:tblInd w:w="101" w:type="dxa"/>
        <w:tblLayout w:type="fixed"/>
        <w:tblCellMar>
          <w:top w:w="0" w:type="dxa"/>
          <w:left w:w="0" w:type="dxa"/>
          <w:bottom w:w="0" w:type="dxa"/>
          <w:right w:w="0" w:type="dxa"/>
        </w:tblCellMar>
        <w:tblLook w:val="01E0"/>
      </w:tblPr>
      <w:tblGrid>
        <w:gridCol w:w="4649"/>
        <w:gridCol w:w="2321"/>
        <w:gridCol w:w="2079"/>
      </w:tblGrid>
      <w:tr>
        <w:trPr>
          <w:trHeight w:val="384" w:hRule="exact"/>
        </w:trPr>
        <w:tc>
          <w:tcPr>
            <w:tcW w:w="4649"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left="11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21"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left="629"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079"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50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58" w:hRule="exact"/>
        </w:trPr>
        <w:tc>
          <w:tcPr>
            <w:tcW w:w="464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32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-44,077,962.78</w:t>
            </w:r>
          </w:p>
        </w:tc>
        <w:tc>
          <w:tcPr>
            <w:tcW w:w="207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-53,593,862.50</w:t>
            </w:r>
          </w:p>
        </w:tc>
      </w:tr>
      <w:tr>
        <w:trPr>
          <w:trHeight w:val="408" w:hRule="exact"/>
        </w:trPr>
        <w:tc>
          <w:tcPr>
            <w:tcW w:w="464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可供出售金融资产在持有期间取得的投资收益</w:t>
            </w:r>
            <w:r>
              <w:rPr>
                <w:rFonts w:ascii="宋体" w:hAnsi="宋体" w:cs="宋体" w:eastAsia="宋体" w:hint="default"/>
                <w:sz w:val="21"/>
                <w:szCs w:val="21"/>
              </w:rPr>
              <w:t> </w:t>
            </w:r>
          </w:p>
        </w:tc>
        <w:tc>
          <w:tcPr>
            <w:tcW w:w="2321" w:type="dxa"/>
            <w:tcBorders>
              <w:top w:val="single" w:sz="4" w:space="0" w:color="41B7EE"/>
              <w:left w:val="single" w:sz="4" w:space="0" w:color="41B7EE"/>
              <w:bottom w:val="single" w:sz="4" w:space="0" w:color="41B7EE"/>
              <w:right w:val="single" w:sz="4" w:space="0" w:color="41B7EE"/>
            </w:tcBorders>
          </w:tcPr>
          <w:p>
            <w:pPr/>
          </w:p>
        </w:tc>
        <w:tc>
          <w:tcPr>
            <w:tcW w:w="207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22"/>
              <w:ind w:right="103"/>
              <w:jc w:val="right"/>
              <w:rPr>
                <w:rFonts w:ascii="Arial" w:hAnsi="Arial" w:cs="Arial" w:eastAsia="Arial" w:hint="default"/>
                <w:sz w:val="21"/>
                <w:szCs w:val="21"/>
              </w:rPr>
            </w:pPr>
            <w:r>
              <w:rPr>
                <w:rFonts w:ascii="Arial"/>
                <w:spacing w:val="-1"/>
                <w:sz w:val="21"/>
              </w:rPr>
              <w:t>1,210,000.00</w:t>
            </w:r>
          </w:p>
        </w:tc>
      </w:tr>
      <w:tr>
        <w:trPr>
          <w:trHeight w:val="358" w:hRule="exact"/>
        </w:trPr>
        <w:tc>
          <w:tcPr>
            <w:tcW w:w="464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交易性金融资产在持有期间的投资收益</w:t>
            </w:r>
            <w:r>
              <w:rPr>
                <w:rFonts w:ascii="宋体" w:hAnsi="宋体" w:cs="宋体" w:eastAsia="宋体" w:hint="default"/>
                <w:sz w:val="21"/>
                <w:szCs w:val="21"/>
              </w:rPr>
              <w:t> </w:t>
            </w:r>
          </w:p>
        </w:tc>
        <w:tc>
          <w:tcPr>
            <w:tcW w:w="232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89,143,107.45</w:t>
            </w:r>
          </w:p>
        </w:tc>
        <w:tc>
          <w:tcPr>
            <w:tcW w:w="2079" w:type="dxa"/>
            <w:tcBorders>
              <w:top w:val="single" w:sz="4" w:space="0" w:color="41B7EE"/>
              <w:left w:val="single" w:sz="4" w:space="0" w:color="41B7EE"/>
              <w:bottom w:val="single" w:sz="4" w:space="0" w:color="41B7EE"/>
              <w:right w:val="nil" w:sz="6" w:space="0" w:color="auto"/>
            </w:tcBorders>
          </w:tcPr>
          <w:p>
            <w:pPr/>
          </w:p>
        </w:tc>
      </w:tr>
      <w:tr>
        <w:trPr>
          <w:trHeight w:val="410" w:hRule="exact"/>
        </w:trPr>
        <w:tc>
          <w:tcPr>
            <w:tcW w:w="464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30"/>
              <w:ind w:left="107"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其他权益工具投资在持有期间取得的股利收入</w:t>
            </w:r>
            <w:r>
              <w:rPr>
                <w:rFonts w:ascii="宋体" w:hAnsi="宋体" w:cs="宋体" w:eastAsia="宋体" w:hint="default"/>
                <w:sz w:val="21"/>
                <w:szCs w:val="21"/>
              </w:rPr>
              <w:t> </w:t>
            </w:r>
          </w:p>
        </w:tc>
        <w:tc>
          <w:tcPr>
            <w:tcW w:w="232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22"/>
              <w:ind w:right="99"/>
              <w:jc w:val="right"/>
              <w:rPr>
                <w:rFonts w:ascii="Arial" w:hAnsi="Arial" w:cs="Arial" w:eastAsia="Arial" w:hint="default"/>
                <w:sz w:val="21"/>
                <w:szCs w:val="21"/>
              </w:rPr>
            </w:pPr>
            <w:r>
              <w:rPr>
                <w:rFonts w:ascii="Arial"/>
                <w:spacing w:val="-1"/>
                <w:sz w:val="21"/>
              </w:rPr>
              <w:t>1,210,000.00</w:t>
            </w:r>
          </w:p>
        </w:tc>
        <w:tc>
          <w:tcPr>
            <w:tcW w:w="2079"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464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321" w:type="dxa"/>
            <w:tcBorders>
              <w:top w:val="single" w:sz="4" w:space="0" w:color="41B7EE"/>
              <w:left w:val="single" w:sz="4" w:space="0" w:color="41B7EE"/>
              <w:bottom w:val="single" w:sz="4" w:space="0" w:color="41B7EE"/>
              <w:right w:val="single" w:sz="4" w:space="0" w:color="41B7EE"/>
            </w:tcBorders>
          </w:tcPr>
          <w:p>
            <w:pPr/>
          </w:p>
        </w:tc>
        <w:tc>
          <w:tcPr>
            <w:tcW w:w="207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98,913,956.03</w:t>
            </w:r>
          </w:p>
        </w:tc>
      </w:tr>
      <w:tr>
        <w:trPr>
          <w:trHeight w:val="385" w:hRule="exact"/>
        </w:trPr>
        <w:tc>
          <w:tcPr>
            <w:tcW w:w="4649"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2"/>
              <w:ind w:left="11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21"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46,275,144.67</w:t>
            </w:r>
          </w:p>
        </w:tc>
        <w:tc>
          <w:tcPr>
            <w:tcW w:w="2079"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46,530,093.53</w:t>
            </w:r>
          </w:p>
        </w:tc>
      </w:tr>
    </w:tbl>
    <w:p>
      <w:pPr>
        <w:spacing w:after="0" w:line="240" w:lineRule="auto"/>
        <w:jc w:val="right"/>
        <w:rPr>
          <w:rFonts w:ascii="Arial" w:hAnsi="Arial" w:cs="Arial" w:eastAsia="Arial" w:hint="default"/>
          <w:sz w:val="21"/>
          <w:szCs w:val="21"/>
        </w:rPr>
        <w:sectPr>
          <w:type w:val="continuous"/>
          <w:pgSz w:w="11910" w:h="16840"/>
          <w:pgMar w:top="1360" w:bottom="1380" w:left="1560" w:right="1000"/>
        </w:sectPr>
      </w:pPr>
    </w:p>
    <w:p>
      <w:pPr>
        <w:pStyle w:val="Heading2"/>
        <w:spacing w:line="240" w:lineRule="auto" w:before="26"/>
        <w:ind w:left="238" w:right="0"/>
        <w:jc w:val="left"/>
        <w:rPr>
          <w:b w:val="0"/>
          <w:bCs w:val="0"/>
        </w:rPr>
      </w:pPr>
      <w:r>
        <w:rPr>
          <w:rFonts w:ascii="宋体" w:hAnsi="宋体" w:cs="宋体" w:eastAsia="宋体" w:hint="default"/>
        </w:rPr>
        <w:t>67</w:t>
      </w:r>
      <w:r>
        <w:rPr/>
        <w:t>、</w:t>
      </w:r>
      <w:r>
        <w:rPr>
          <w:spacing w:val="-24"/>
        </w:rPr>
        <w:t> </w:t>
      </w:r>
      <w:r>
        <w:rPr/>
        <w:t>净敞口套期收益</w:t>
      </w:r>
      <w:r>
        <w:rPr>
          <w:b w:val="0"/>
          <w:bCs w:val="0"/>
        </w:rPr>
      </w:r>
    </w:p>
    <w:p>
      <w:pPr>
        <w:spacing w:line="290" w:lineRule="auto" w:before="56"/>
        <w:ind w:left="23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68</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公允价值变动收益</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38" w:right="50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信用减值损失</w:t>
      </w:r>
      <w:r>
        <w:rPr>
          <w:rFonts w:ascii="宋体" w:hAnsi="宋体" w:cs="宋体" w:eastAsia="宋体" w:hint="default"/>
          <w:sz w:val="21"/>
          <w:szCs w:val="21"/>
        </w:rPr>
      </w:r>
    </w:p>
    <w:p>
      <w:pPr>
        <w:pStyle w:val="BodyText"/>
        <w:spacing w:line="240" w:lineRule="auto" w:before="14"/>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360" w:bottom="1380" w:left="1560" w:right="1000"/>
          <w:cols w:num="2" w:equalWidth="0">
            <w:col w:w="2536" w:space="3986"/>
            <w:col w:w="2828"/>
          </w:cols>
        </w:sectPr>
      </w:pPr>
    </w:p>
    <w:p>
      <w:pPr>
        <w:spacing w:line="240" w:lineRule="auto" w:before="7"/>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3651"/>
        <w:gridCol w:w="2688"/>
        <w:gridCol w:w="2710"/>
      </w:tblGrid>
      <w:tr>
        <w:trPr>
          <w:trHeight w:val="389" w:hRule="exact"/>
        </w:trPr>
        <w:tc>
          <w:tcPr>
            <w:tcW w:w="3651" w:type="dxa"/>
            <w:tcBorders>
              <w:top w:val="single" w:sz="23" w:space="0" w:color="41B7EE"/>
              <w:left w:val="nil" w:sz="6" w:space="0" w:color="auto"/>
              <w:bottom w:val="single" w:sz="8" w:space="0" w:color="41B7EE"/>
              <w:right w:val="single" w:sz="4" w:space="0" w:color="41B7EE"/>
            </w:tcBorders>
          </w:tcPr>
          <w:p>
            <w:pPr>
              <w:pStyle w:val="TableParagraph"/>
              <w:spacing w:line="240" w:lineRule="auto" w:before="4"/>
              <w:ind w:left="109"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88" w:type="dxa"/>
            <w:tcBorders>
              <w:top w:val="single" w:sz="23" w:space="0" w:color="41B7EE"/>
              <w:left w:val="single" w:sz="4" w:space="0" w:color="41B7EE"/>
              <w:bottom w:val="single" w:sz="8" w:space="0" w:color="41B7EE"/>
              <w:right w:val="single" w:sz="4" w:space="0" w:color="41B7EE"/>
            </w:tcBorders>
          </w:tcPr>
          <w:p>
            <w:pPr>
              <w:pStyle w:val="TableParagraph"/>
              <w:spacing w:line="240" w:lineRule="auto" w:before="4"/>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10" w:type="dxa"/>
            <w:tcBorders>
              <w:top w:val="single" w:sz="23" w:space="0" w:color="41B7EE"/>
              <w:left w:val="single" w:sz="4" w:space="0" w:color="41B7EE"/>
              <w:bottom w:val="single" w:sz="8" w:space="0" w:color="41B7EE"/>
              <w:right w:val="nil" w:sz="6" w:space="0" w:color="auto"/>
            </w:tcBorders>
          </w:tcPr>
          <w:p>
            <w:pPr>
              <w:pStyle w:val="TableParagraph"/>
              <w:spacing w:line="240" w:lineRule="auto" w:before="4"/>
              <w:ind w:left="82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bl>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646;height:2" coordorigin="10,10" coordsize="3646,2">
              <v:shape style="position:absolute;left:10;top:10;width:3646;height:2" coordorigin="10,10" coordsize="3646,0" path="m10,10l3656,10e" filled="false" stroked="true" strokeweight=".96002pt" strokecolor="#41b7ee">
                <v:path arrowok="t"/>
              </v:shape>
            </v:group>
            <v:group style="position:absolute;left:3656;top:10;width:58;height:2" coordorigin="3656,10" coordsize="58,2">
              <v:shape style="position:absolute;left:3656;top:10;width:58;height:2" coordorigin="3656,10" coordsize="58,0" path="m3656,10l3713,10e" filled="false" stroked="true" strokeweight=".96002pt" strokecolor="#41b7ee">
                <v:path arrowok="t"/>
              </v:shape>
            </v:group>
            <v:group style="position:absolute;left:3713;top:10;width:2631;height:2" coordorigin="3713,10" coordsize="2631,2">
              <v:shape style="position:absolute;left:3713;top:10;width:2631;height:2" coordorigin="3713,10" coordsize="2631,0" path="m3713,10l6344,10e" filled="false" stroked="true" strokeweight=".96002pt" strokecolor="#41b7ee">
                <v:path arrowok="t"/>
              </v:shape>
            </v:group>
            <v:group style="position:absolute;left:6344;top:10;width:58;height:2" coordorigin="6344,10" coordsize="58,2">
              <v:shape style="position:absolute;left:6344;top:10;width:58;height:2" coordorigin="6344,10" coordsize="58,0" path="m6344,10l6402,10e" filled="false" stroked="true" strokeweight=".96002pt" strokecolor="#41b7ee">
                <v:path arrowok="t"/>
              </v:shape>
            </v:group>
            <v:group style="position:absolute;left:6402;top:10;width:2658;height:2" coordorigin="6402,10" coordsize="2658,2">
              <v:shape style="position:absolute;left:6402;top:10;width:2658;height:2" coordorigin="6402,10" coordsize="2658,0" path="m6402,10l9059,10e" filled="false" stroked="true" strokeweight=".96002pt" strokecolor="#41b7ee">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360" w:bottom="1380" w:left="1560" w:right="1000"/>
        </w:sectPr>
      </w:pPr>
    </w:p>
    <w:p>
      <w:pPr>
        <w:spacing w:line="240" w:lineRule="auto" w:before="10"/>
        <w:rPr>
          <w:rFonts w:ascii="宋体" w:hAnsi="宋体" w:cs="宋体" w:eastAsia="宋体" w:hint="default"/>
          <w:sz w:val="11"/>
          <w:szCs w:val="11"/>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646;height:2" coordorigin="10,10" coordsize="3646,2">
              <v:shape style="position:absolute;left:10;top:10;width:3646;height:2" coordorigin="10,10" coordsize="3646,0" path="m10,10l3656,10e" filled="false" stroked="true" strokeweight=".96001pt" strokecolor="#41b7ee">
                <v:path arrowok="t"/>
              </v:shape>
            </v:group>
            <v:group style="position:absolute;left:3656;top:10;width:58;height:2" coordorigin="3656,10" coordsize="58,2">
              <v:shape style="position:absolute;left:3656;top:10;width:58;height:2" coordorigin="3656,10" coordsize="58,0" path="m3656,10l3713,10e" filled="false" stroked="true" strokeweight=".96001pt" strokecolor="#41b7ee">
                <v:path arrowok="t"/>
              </v:shape>
            </v:group>
            <v:group style="position:absolute;left:3713;top:10;width:2631;height:2" coordorigin="3713,10" coordsize="2631,2">
              <v:shape style="position:absolute;left:3713;top:10;width:2631;height:2" coordorigin="3713,10" coordsize="2631,0" path="m3713,10l6344,10e" filled="false" stroked="true" strokeweight=".96001pt" strokecolor="#41b7ee">
                <v:path arrowok="t"/>
              </v:shape>
            </v:group>
            <v:group style="position:absolute;left:6344;top:10;width:58;height:2" coordorigin="6344,10" coordsize="58,2">
              <v:shape style="position:absolute;left:6344;top:10;width:58;height:2" coordorigin="6344,10" coordsize="58,0" path="m6344,10l6402,10e" filled="false" stroked="true" strokeweight=".96001pt" strokecolor="#41b7ee">
                <v:path arrowok="t"/>
              </v:shape>
            </v:group>
            <v:group style="position:absolute;left:6402;top:10;width:2658;height:2" coordorigin="6402,10" coordsize="2658,2">
              <v:shape style="position:absolute;left:6402;top:10;width:2658;height:2" coordorigin="6402,10" coordsize="2658,0" path="m6402,10l9059,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3651"/>
        <w:gridCol w:w="2688"/>
        <w:gridCol w:w="2710"/>
      </w:tblGrid>
      <w:tr>
        <w:trPr>
          <w:trHeight w:val="418" w:hRule="exact"/>
        </w:trPr>
        <w:tc>
          <w:tcPr>
            <w:tcW w:w="3651"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33"/>
              <w:ind w:left="107" w:right="0"/>
              <w:jc w:val="left"/>
              <w:rPr>
                <w:rFonts w:ascii="宋体" w:hAnsi="宋体" w:cs="宋体" w:eastAsia="宋体" w:hint="default"/>
                <w:sz w:val="21"/>
                <w:szCs w:val="21"/>
              </w:rPr>
            </w:pPr>
            <w:r>
              <w:rPr>
                <w:rFonts w:ascii="宋体" w:hAnsi="宋体" w:cs="宋体" w:eastAsia="宋体" w:hint="default"/>
                <w:sz w:val="21"/>
                <w:szCs w:val="21"/>
              </w:rPr>
              <w:t>其他应收款坏账损失</w:t>
            </w:r>
            <w:r>
              <w:rPr>
                <w:rFonts w:ascii="宋体" w:hAnsi="宋体" w:cs="宋体" w:eastAsia="宋体" w:hint="default"/>
                <w:sz w:val="21"/>
                <w:szCs w:val="21"/>
              </w:rPr>
              <w:t> </w:t>
            </w:r>
          </w:p>
        </w:tc>
        <w:tc>
          <w:tcPr>
            <w:tcW w:w="2688"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125"/>
              <w:ind w:right="99"/>
              <w:jc w:val="right"/>
              <w:rPr>
                <w:rFonts w:ascii="Arial" w:hAnsi="Arial" w:cs="Arial" w:eastAsia="Arial" w:hint="default"/>
                <w:sz w:val="21"/>
                <w:szCs w:val="21"/>
              </w:rPr>
            </w:pPr>
            <w:r>
              <w:rPr>
                <w:rFonts w:ascii="Arial"/>
                <w:spacing w:val="-1"/>
                <w:sz w:val="21"/>
              </w:rPr>
              <w:t>690,555.00</w:t>
            </w:r>
          </w:p>
        </w:tc>
        <w:tc>
          <w:tcPr>
            <w:tcW w:w="2710"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33"/>
              <w:ind w:right="-1"/>
              <w:jc w:val="right"/>
              <w:rPr>
                <w:rFonts w:ascii="宋体" w:hAnsi="宋体" w:cs="宋体" w:eastAsia="宋体" w:hint="default"/>
                <w:sz w:val="21"/>
                <w:szCs w:val="21"/>
              </w:rPr>
            </w:pPr>
            <w:r>
              <w:rPr>
                <w:rFonts w:ascii="宋体"/>
                <w:w w:val="100"/>
                <w:sz w:val="21"/>
              </w:rPr>
              <w:t> </w:t>
            </w:r>
          </w:p>
        </w:tc>
      </w:tr>
      <w:tr>
        <w:trPr>
          <w:trHeight w:val="358" w:hRule="exact"/>
        </w:trPr>
        <w:tc>
          <w:tcPr>
            <w:tcW w:w="365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应收账款坏账损失</w:t>
            </w:r>
            <w:r>
              <w:rPr>
                <w:rFonts w:ascii="宋体" w:hAnsi="宋体" w:cs="宋体" w:eastAsia="宋体" w:hint="default"/>
                <w:sz w:val="21"/>
                <w:szCs w:val="21"/>
              </w:rPr>
              <w:t> </w:t>
            </w:r>
          </w:p>
        </w:tc>
        <w:tc>
          <w:tcPr>
            <w:tcW w:w="268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325,065.91</w:t>
            </w:r>
          </w:p>
        </w:tc>
        <w:tc>
          <w:tcPr>
            <w:tcW w:w="27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right="-1"/>
              <w:jc w:val="right"/>
              <w:rPr>
                <w:rFonts w:ascii="宋体" w:hAnsi="宋体" w:cs="宋体" w:eastAsia="宋体" w:hint="default"/>
                <w:sz w:val="21"/>
                <w:szCs w:val="21"/>
              </w:rPr>
            </w:pPr>
            <w:r>
              <w:rPr>
                <w:rFonts w:ascii="宋体"/>
                <w:w w:val="100"/>
                <w:sz w:val="21"/>
              </w:rPr>
              <w:t> </w:t>
            </w:r>
          </w:p>
        </w:tc>
      </w:tr>
      <w:tr>
        <w:trPr>
          <w:trHeight w:val="437" w:hRule="exact"/>
        </w:trPr>
        <w:tc>
          <w:tcPr>
            <w:tcW w:w="3651"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30"/>
              <w:ind w:left="109"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8"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122"/>
              <w:ind w:right="99"/>
              <w:jc w:val="right"/>
              <w:rPr>
                <w:rFonts w:ascii="Arial" w:hAnsi="Arial" w:cs="Arial" w:eastAsia="Arial" w:hint="default"/>
                <w:sz w:val="21"/>
                <w:szCs w:val="21"/>
              </w:rPr>
            </w:pPr>
            <w:r>
              <w:rPr>
                <w:rFonts w:ascii="Arial"/>
                <w:spacing w:val="-1"/>
                <w:sz w:val="21"/>
              </w:rPr>
              <w:t>1,015,620.91</w:t>
            </w:r>
          </w:p>
        </w:tc>
        <w:tc>
          <w:tcPr>
            <w:tcW w:w="2710"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30"/>
              <w:ind w:right="-1"/>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pgSz w:w="11910" w:h="16840"/>
          <w:pgMar w:header="826" w:footer="1195" w:top="1360" w:bottom="1380" w:left="1560" w:right="1000"/>
        </w:sectPr>
      </w:pPr>
    </w:p>
    <w:p>
      <w:pPr>
        <w:pStyle w:val="Heading2"/>
        <w:spacing w:line="240" w:lineRule="auto" w:before="44"/>
        <w:ind w:left="238" w:right="0"/>
        <w:jc w:val="left"/>
        <w:rPr>
          <w:rFonts w:ascii="宋体" w:hAnsi="宋体" w:cs="宋体" w:eastAsia="宋体" w:hint="default"/>
          <w:b w:val="0"/>
          <w:bCs w:val="0"/>
        </w:rPr>
      </w:pPr>
      <w:r>
        <w:rPr>
          <w:rFonts w:ascii="宋体" w:hAnsi="宋体" w:cs="宋体" w:eastAsia="宋体" w:hint="default"/>
        </w:rPr>
        <w:t>70</w:t>
      </w:r>
      <w:r>
        <w:rPr/>
        <w:t>、</w:t>
      </w:r>
      <w:r>
        <w:rPr>
          <w:spacing w:val="-27"/>
        </w:rPr>
        <w:t> </w:t>
      </w:r>
      <w:r>
        <w:rPr/>
        <w:t>资产减值损失</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8"/>
        <w:rPr>
          <w:rFonts w:ascii="宋体" w:hAnsi="宋体" w:cs="宋体" w:eastAsia="宋体" w:hint="default"/>
          <w:sz w:val="29"/>
          <w:szCs w:val="29"/>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560" w:right="1000"/>
          <w:cols w:num="2" w:equalWidth="0">
            <w:col w:w="2113" w:space="4409"/>
            <w:col w:w="2828"/>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632"/>
        <w:gridCol w:w="2616"/>
        <w:gridCol w:w="2801"/>
      </w:tblGrid>
      <w:tr>
        <w:trPr>
          <w:trHeight w:val="384" w:hRule="exact"/>
        </w:trPr>
        <w:tc>
          <w:tcPr>
            <w:tcW w:w="3632"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left="109"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16"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left="77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01"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86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10" w:hRule="exact"/>
        </w:trPr>
        <w:tc>
          <w:tcPr>
            <w:tcW w:w="363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一、坏账损失</w:t>
            </w:r>
            <w:r>
              <w:rPr>
                <w:rFonts w:ascii="宋体" w:hAnsi="宋体" w:cs="宋体" w:eastAsia="宋体" w:hint="default"/>
                <w:sz w:val="21"/>
                <w:szCs w:val="21"/>
              </w:rPr>
              <w:t> </w:t>
            </w:r>
          </w:p>
        </w:tc>
        <w:tc>
          <w:tcPr>
            <w:tcW w:w="2616" w:type="dxa"/>
            <w:tcBorders>
              <w:top w:val="single" w:sz="4" w:space="0" w:color="41B7EE"/>
              <w:left w:val="single" w:sz="4" w:space="0" w:color="41B7EE"/>
              <w:bottom w:val="single" w:sz="4" w:space="0" w:color="41B7EE"/>
              <w:right w:val="single" w:sz="4" w:space="0" w:color="41B7EE"/>
            </w:tcBorders>
          </w:tcPr>
          <w:p>
            <w:pPr/>
          </w:p>
        </w:tc>
        <w:tc>
          <w:tcPr>
            <w:tcW w:w="28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22"/>
              <w:ind w:right="103"/>
              <w:jc w:val="right"/>
              <w:rPr>
                <w:rFonts w:ascii="Arial" w:hAnsi="Arial" w:cs="Arial" w:eastAsia="Arial" w:hint="default"/>
                <w:sz w:val="21"/>
                <w:szCs w:val="21"/>
              </w:rPr>
            </w:pPr>
            <w:r>
              <w:rPr>
                <w:rFonts w:ascii="Arial"/>
                <w:spacing w:val="-1"/>
                <w:sz w:val="21"/>
              </w:rPr>
              <w:t>13,214,660.24</w:t>
            </w:r>
          </w:p>
        </w:tc>
      </w:tr>
      <w:tr>
        <w:trPr>
          <w:trHeight w:val="355" w:hRule="exact"/>
        </w:trPr>
        <w:tc>
          <w:tcPr>
            <w:tcW w:w="363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二、存货跌价损失</w:t>
            </w:r>
            <w:r>
              <w:rPr>
                <w:rFonts w:ascii="宋体" w:hAnsi="宋体" w:cs="宋体" w:eastAsia="宋体" w:hint="default"/>
                <w:sz w:val="21"/>
                <w:szCs w:val="21"/>
              </w:rPr>
              <w:t> </w:t>
            </w:r>
          </w:p>
        </w:tc>
        <w:tc>
          <w:tcPr>
            <w:tcW w:w="261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-4,739,721.45</w:t>
            </w:r>
          </w:p>
        </w:tc>
        <w:tc>
          <w:tcPr>
            <w:tcW w:w="28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-137,308.01</w:t>
            </w:r>
          </w:p>
        </w:tc>
      </w:tr>
      <w:tr>
        <w:trPr>
          <w:trHeight w:val="358" w:hRule="exact"/>
        </w:trPr>
        <w:tc>
          <w:tcPr>
            <w:tcW w:w="363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r>
              <w:rPr>
                <w:rFonts w:ascii="宋体" w:hAnsi="宋体" w:cs="宋体" w:eastAsia="宋体" w:hint="default"/>
                <w:sz w:val="21"/>
                <w:szCs w:val="21"/>
              </w:rPr>
              <w:t> </w:t>
            </w:r>
          </w:p>
        </w:tc>
        <w:tc>
          <w:tcPr>
            <w:tcW w:w="2616" w:type="dxa"/>
            <w:tcBorders>
              <w:top w:val="single" w:sz="4" w:space="0" w:color="41B7EE"/>
              <w:left w:val="single" w:sz="4" w:space="0" w:color="41B7EE"/>
              <w:bottom w:val="single" w:sz="4" w:space="0" w:color="41B7EE"/>
              <w:right w:val="single" w:sz="4" w:space="0" w:color="41B7EE"/>
            </w:tcBorders>
          </w:tcPr>
          <w:p>
            <w:pPr/>
          </w:p>
        </w:tc>
        <w:tc>
          <w:tcPr>
            <w:tcW w:w="2801"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63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r>
              <w:rPr>
                <w:rFonts w:ascii="宋体" w:hAnsi="宋体" w:cs="宋体" w:eastAsia="宋体" w:hint="default"/>
                <w:sz w:val="21"/>
                <w:szCs w:val="21"/>
              </w:rPr>
              <w:t> </w:t>
            </w:r>
          </w:p>
        </w:tc>
        <w:tc>
          <w:tcPr>
            <w:tcW w:w="2616" w:type="dxa"/>
            <w:tcBorders>
              <w:top w:val="single" w:sz="4" w:space="0" w:color="41B7EE"/>
              <w:left w:val="single" w:sz="4" w:space="0" w:color="41B7EE"/>
              <w:bottom w:val="single" w:sz="4" w:space="0" w:color="41B7EE"/>
              <w:right w:val="single" w:sz="4" w:space="0" w:color="41B7EE"/>
            </w:tcBorders>
          </w:tcPr>
          <w:p>
            <w:pPr/>
          </w:p>
        </w:tc>
        <w:tc>
          <w:tcPr>
            <w:tcW w:w="2801"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63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r>
              <w:rPr>
                <w:rFonts w:ascii="宋体" w:hAnsi="宋体" w:cs="宋体" w:eastAsia="宋体" w:hint="default"/>
                <w:sz w:val="21"/>
                <w:szCs w:val="21"/>
              </w:rPr>
              <w:t> </w:t>
            </w:r>
          </w:p>
        </w:tc>
        <w:tc>
          <w:tcPr>
            <w:tcW w:w="2616" w:type="dxa"/>
            <w:tcBorders>
              <w:top w:val="single" w:sz="4" w:space="0" w:color="41B7EE"/>
              <w:left w:val="single" w:sz="4" w:space="0" w:color="41B7EE"/>
              <w:bottom w:val="single" w:sz="4" w:space="0" w:color="41B7EE"/>
              <w:right w:val="single" w:sz="4" w:space="0" w:color="41B7EE"/>
            </w:tcBorders>
          </w:tcPr>
          <w:p>
            <w:pPr/>
          </w:p>
        </w:tc>
        <w:tc>
          <w:tcPr>
            <w:tcW w:w="2801" w:type="dxa"/>
            <w:tcBorders>
              <w:top w:val="single" w:sz="4" w:space="0" w:color="41B7EE"/>
              <w:left w:val="single" w:sz="4" w:space="0" w:color="41B7EE"/>
              <w:bottom w:val="single" w:sz="4" w:space="0" w:color="41B7EE"/>
              <w:right w:val="nil" w:sz="6" w:space="0" w:color="auto"/>
            </w:tcBorders>
          </w:tcPr>
          <w:p>
            <w:pPr/>
          </w:p>
        </w:tc>
      </w:tr>
      <w:tr>
        <w:trPr>
          <w:trHeight w:val="355" w:hRule="exact"/>
        </w:trPr>
        <w:tc>
          <w:tcPr>
            <w:tcW w:w="363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r>
              <w:rPr>
                <w:rFonts w:ascii="宋体" w:hAnsi="宋体" w:cs="宋体" w:eastAsia="宋体" w:hint="default"/>
                <w:sz w:val="21"/>
                <w:szCs w:val="21"/>
              </w:rPr>
              <w:t> </w:t>
            </w:r>
          </w:p>
        </w:tc>
        <w:tc>
          <w:tcPr>
            <w:tcW w:w="2616" w:type="dxa"/>
            <w:tcBorders>
              <w:top w:val="single" w:sz="4" w:space="0" w:color="41B7EE"/>
              <w:left w:val="single" w:sz="4" w:space="0" w:color="41B7EE"/>
              <w:bottom w:val="single" w:sz="4" w:space="0" w:color="41B7EE"/>
              <w:right w:val="single" w:sz="4" w:space="0" w:color="41B7EE"/>
            </w:tcBorders>
          </w:tcPr>
          <w:p>
            <w:pPr/>
          </w:p>
        </w:tc>
        <w:tc>
          <w:tcPr>
            <w:tcW w:w="2801" w:type="dxa"/>
            <w:tcBorders>
              <w:top w:val="single" w:sz="4" w:space="0" w:color="41B7EE"/>
              <w:left w:val="single" w:sz="4" w:space="0" w:color="41B7EE"/>
              <w:bottom w:val="single" w:sz="4" w:space="0" w:color="41B7EE"/>
              <w:right w:val="nil" w:sz="6" w:space="0" w:color="auto"/>
            </w:tcBorders>
          </w:tcPr>
          <w:p>
            <w:pPr/>
          </w:p>
        </w:tc>
      </w:tr>
      <w:tr>
        <w:trPr>
          <w:trHeight w:val="410" w:hRule="exact"/>
        </w:trPr>
        <w:tc>
          <w:tcPr>
            <w:tcW w:w="363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30"/>
              <w:ind w:left="107"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r>
              <w:rPr>
                <w:rFonts w:ascii="宋体" w:hAnsi="宋体" w:cs="宋体" w:eastAsia="宋体" w:hint="default"/>
                <w:sz w:val="21"/>
                <w:szCs w:val="21"/>
              </w:rPr>
              <w:t> </w:t>
            </w:r>
          </w:p>
        </w:tc>
        <w:tc>
          <w:tcPr>
            <w:tcW w:w="2616" w:type="dxa"/>
            <w:tcBorders>
              <w:top w:val="single" w:sz="4" w:space="0" w:color="41B7EE"/>
              <w:left w:val="single" w:sz="4" w:space="0" w:color="41B7EE"/>
              <w:bottom w:val="single" w:sz="4" w:space="0" w:color="41B7EE"/>
              <w:right w:val="single" w:sz="4" w:space="0" w:color="41B7EE"/>
            </w:tcBorders>
          </w:tcPr>
          <w:p>
            <w:pPr/>
          </w:p>
        </w:tc>
        <w:tc>
          <w:tcPr>
            <w:tcW w:w="28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22"/>
              <w:ind w:right="103"/>
              <w:jc w:val="right"/>
              <w:rPr>
                <w:rFonts w:ascii="Arial" w:hAnsi="Arial" w:cs="Arial" w:eastAsia="Arial" w:hint="default"/>
                <w:sz w:val="21"/>
                <w:szCs w:val="21"/>
              </w:rPr>
            </w:pPr>
            <w:r>
              <w:rPr>
                <w:rFonts w:ascii="Arial"/>
                <w:spacing w:val="-1"/>
                <w:sz w:val="21"/>
              </w:rPr>
              <w:t>-805,311.39</w:t>
            </w:r>
          </w:p>
        </w:tc>
      </w:tr>
      <w:tr>
        <w:trPr>
          <w:trHeight w:val="358" w:hRule="exact"/>
        </w:trPr>
        <w:tc>
          <w:tcPr>
            <w:tcW w:w="363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r>
              <w:rPr>
                <w:rFonts w:ascii="宋体" w:hAnsi="宋体" w:cs="宋体" w:eastAsia="宋体" w:hint="default"/>
                <w:sz w:val="21"/>
                <w:szCs w:val="21"/>
              </w:rPr>
              <w:t> </w:t>
            </w:r>
          </w:p>
        </w:tc>
        <w:tc>
          <w:tcPr>
            <w:tcW w:w="2616" w:type="dxa"/>
            <w:tcBorders>
              <w:top w:val="single" w:sz="4" w:space="0" w:color="41B7EE"/>
              <w:left w:val="single" w:sz="4" w:space="0" w:color="41B7EE"/>
              <w:bottom w:val="single" w:sz="4" w:space="0" w:color="41B7EE"/>
              <w:right w:val="single" w:sz="4" w:space="0" w:color="41B7EE"/>
            </w:tcBorders>
          </w:tcPr>
          <w:p>
            <w:pPr/>
          </w:p>
        </w:tc>
        <w:tc>
          <w:tcPr>
            <w:tcW w:w="2801"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63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r>
              <w:rPr>
                <w:rFonts w:ascii="宋体" w:hAnsi="宋体" w:cs="宋体" w:eastAsia="宋体" w:hint="default"/>
                <w:sz w:val="21"/>
                <w:szCs w:val="21"/>
              </w:rPr>
              <w:t> </w:t>
            </w:r>
          </w:p>
        </w:tc>
        <w:tc>
          <w:tcPr>
            <w:tcW w:w="2616" w:type="dxa"/>
            <w:tcBorders>
              <w:top w:val="single" w:sz="4" w:space="0" w:color="41B7EE"/>
              <w:left w:val="single" w:sz="4" w:space="0" w:color="41B7EE"/>
              <w:bottom w:val="single" w:sz="4" w:space="0" w:color="41B7EE"/>
              <w:right w:val="single" w:sz="4" w:space="0" w:color="41B7EE"/>
            </w:tcBorders>
          </w:tcPr>
          <w:p>
            <w:pPr/>
          </w:p>
        </w:tc>
        <w:tc>
          <w:tcPr>
            <w:tcW w:w="2801" w:type="dxa"/>
            <w:tcBorders>
              <w:top w:val="single" w:sz="4" w:space="0" w:color="41B7EE"/>
              <w:left w:val="single" w:sz="4" w:space="0" w:color="41B7EE"/>
              <w:bottom w:val="single" w:sz="4" w:space="0" w:color="41B7EE"/>
              <w:right w:val="nil" w:sz="6" w:space="0" w:color="auto"/>
            </w:tcBorders>
          </w:tcPr>
          <w:p>
            <w:pPr/>
          </w:p>
        </w:tc>
      </w:tr>
      <w:tr>
        <w:trPr>
          <w:trHeight w:val="355" w:hRule="exact"/>
        </w:trPr>
        <w:tc>
          <w:tcPr>
            <w:tcW w:w="363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r>
              <w:rPr>
                <w:rFonts w:ascii="宋体" w:hAnsi="宋体" w:cs="宋体" w:eastAsia="宋体" w:hint="default"/>
                <w:sz w:val="21"/>
                <w:szCs w:val="21"/>
              </w:rPr>
              <w:t> </w:t>
            </w:r>
          </w:p>
        </w:tc>
        <w:tc>
          <w:tcPr>
            <w:tcW w:w="2616" w:type="dxa"/>
            <w:tcBorders>
              <w:top w:val="single" w:sz="4" w:space="0" w:color="41B7EE"/>
              <w:left w:val="single" w:sz="4" w:space="0" w:color="41B7EE"/>
              <w:bottom w:val="single" w:sz="4" w:space="0" w:color="41B7EE"/>
              <w:right w:val="single" w:sz="4" w:space="0" w:color="41B7EE"/>
            </w:tcBorders>
          </w:tcPr>
          <w:p>
            <w:pPr/>
          </w:p>
        </w:tc>
        <w:tc>
          <w:tcPr>
            <w:tcW w:w="2801"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63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r>
              <w:rPr>
                <w:rFonts w:ascii="宋体" w:hAnsi="宋体" w:cs="宋体" w:eastAsia="宋体" w:hint="default"/>
                <w:sz w:val="21"/>
                <w:szCs w:val="21"/>
              </w:rPr>
              <w:t> </w:t>
            </w:r>
          </w:p>
        </w:tc>
        <w:tc>
          <w:tcPr>
            <w:tcW w:w="2616" w:type="dxa"/>
            <w:tcBorders>
              <w:top w:val="single" w:sz="4" w:space="0" w:color="41B7EE"/>
              <w:left w:val="single" w:sz="4" w:space="0" w:color="41B7EE"/>
              <w:bottom w:val="single" w:sz="4" w:space="0" w:color="41B7EE"/>
              <w:right w:val="single" w:sz="4" w:space="0" w:color="41B7EE"/>
            </w:tcBorders>
          </w:tcPr>
          <w:p>
            <w:pPr/>
          </w:p>
        </w:tc>
        <w:tc>
          <w:tcPr>
            <w:tcW w:w="2801"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63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r>
              <w:rPr>
                <w:rFonts w:ascii="宋体" w:hAnsi="宋体" w:cs="宋体" w:eastAsia="宋体" w:hint="default"/>
                <w:sz w:val="21"/>
                <w:szCs w:val="21"/>
              </w:rPr>
              <w:t> </w:t>
            </w:r>
          </w:p>
        </w:tc>
        <w:tc>
          <w:tcPr>
            <w:tcW w:w="2616" w:type="dxa"/>
            <w:tcBorders>
              <w:top w:val="single" w:sz="4" w:space="0" w:color="41B7EE"/>
              <w:left w:val="single" w:sz="4" w:space="0" w:color="41B7EE"/>
              <w:bottom w:val="single" w:sz="4" w:space="0" w:color="41B7EE"/>
              <w:right w:val="single" w:sz="4" w:space="0" w:color="41B7EE"/>
            </w:tcBorders>
          </w:tcPr>
          <w:p>
            <w:pPr/>
          </w:p>
        </w:tc>
        <w:tc>
          <w:tcPr>
            <w:tcW w:w="2801"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63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十三、商誉减值损失</w:t>
            </w:r>
            <w:r>
              <w:rPr>
                <w:rFonts w:ascii="宋体" w:hAnsi="宋体" w:cs="宋体" w:eastAsia="宋体" w:hint="default"/>
                <w:sz w:val="21"/>
                <w:szCs w:val="21"/>
              </w:rPr>
              <w:t> </w:t>
            </w:r>
          </w:p>
        </w:tc>
        <w:tc>
          <w:tcPr>
            <w:tcW w:w="2616" w:type="dxa"/>
            <w:tcBorders>
              <w:top w:val="single" w:sz="4" w:space="0" w:color="41B7EE"/>
              <w:left w:val="single" w:sz="4" w:space="0" w:color="41B7EE"/>
              <w:bottom w:val="single" w:sz="4" w:space="0" w:color="41B7EE"/>
              <w:right w:val="single" w:sz="4" w:space="0" w:color="41B7EE"/>
            </w:tcBorders>
          </w:tcPr>
          <w:p>
            <w:pPr/>
          </w:p>
        </w:tc>
        <w:tc>
          <w:tcPr>
            <w:tcW w:w="2801" w:type="dxa"/>
            <w:tcBorders>
              <w:top w:val="single" w:sz="4" w:space="0" w:color="41B7EE"/>
              <w:left w:val="single" w:sz="4" w:space="0" w:color="41B7EE"/>
              <w:bottom w:val="single" w:sz="4" w:space="0" w:color="41B7EE"/>
              <w:right w:val="nil" w:sz="6" w:space="0" w:color="auto"/>
            </w:tcBorders>
          </w:tcPr>
          <w:p>
            <w:pPr/>
          </w:p>
        </w:tc>
      </w:tr>
      <w:tr>
        <w:trPr>
          <w:trHeight w:val="408" w:hRule="exact"/>
        </w:trPr>
        <w:tc>
          <w:tcPr>
            <w:tcW w:w="363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十四、其他</w:t>
            </w:r>
            <w:r>
              <w:rPr>
                <w:rFonts w:ascii="宋体" w:hAnsi="宋体" w:cs="宋体" w:eastAsia="宋体" w:hint="default"/>
                <w:sz w:val="21"/>
                <w:szCs w:val="21"/>
              </w:rPr>
              <w:t> </w:t>
            </w:r>
          </w:p>
        </w:tc>
        <w:tc>
          <w:tcPr>
            <w:tcW w:w="2616" w:type="dxa"/>
            <w:tcBorders>
              <w:top w:val="single" w:sz="4" w:space="0" w:color="41B7EE"/>
              <w:left w:val="single" w:sz="4" w:space="0" w:color="41B7EE"/>
              <w:bottom w:val="single" w:sz="4" w:space="0" w:color="41B7EE"/>
              <w:right w:val="single" w:sz="4" w:space="0" w:color="41B7EE"/>
            </w:tcBorders>
          </w:tcPr>
          <w:p>
            <w:pPr/>
          </w:p>
        </w:tc>
        <w:tc>
          <w:tcPr>
            <w:tcW w:w="28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22"/>
              <w:ind w:right="103"/>
              <w:jc w:val="right"/>
              <w:rPr>
                <w:rFonts w:ascii="Arial" w:hAnsi="Arial" w:cs="Arial" w:eastAsia="Arial" w:hint="default"/>
                <w:sz w:val="21"/>
                <w:szCs w:val="21"/>
              </w:rPr>
            </w:pPr>
            <w:r>
              <w:rPr>
                <w:rFonts w:ascii="Arial"/>
                <w:spacing w:val="-1"/>
                <w:sz w:val="21"/>
              </w:rPr>
              <w:t>-42,211,021.19</w:t>
            </w:r>
          </w:p>
        </w:tc>
      </w:tr>
      <w:tr>
        <w:trPr>
          <w:trHeight w:val="384" w:hRule="exact"/>
        </w:trPr>
        <w:tc>
          <w:tcPr>
            <w:tcW w:w="3632"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109"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16"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-4,739,721.45</w:t>
            </w:r>
          </w:p>
        </w:tc>
        <w:tc>
          <w:tcPr>
            <w:tcW w:w="2801"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50"/>
              <w:ind w:right="103"/>
              <w:jc w:val="right"/>
              <w:rPr>
                <w:rFonts w:ascii="Arial" w:hAnsi="Arial" w:cs="Arial" w:eastAsia="Arial" w:hint="default"/>
                <w:sz w:val="21"/>
                <w:szCs w:val="21"/>
              </w:rPr>
            </w:pPr>
            <w:r>
              <w:rPr>
                <w:rFonts w:ascii="Arial"/>
                <w:spacing w:val="-1"/>
                <w:sz w:val="21"/>
              </w:rPr>
              <w:t>-29,938,980.35</w:t>
            </w:r>
          </w:p>
        </w:tc>
      </w:tr>
    </w:tbl>
    <w:p>
      <w:pPr>
        <w:pStyle w:val="BodyText"/>
        <w:spacing w:line="240" w:lineRule="auto" w:before="26"/>
        <w:ind w:left="23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90" w:lineRule="auto" w:before="58"/>
        <w:ind w:left="238" w:right="0" w:firstLine="419"/>
        <w:jc w:val="left"/>
        <w:rPr>
          <w:rFonts w:ascii="宋体" w:hAnsi="宋体" w:cs="宋体" w:eastAsia="宋体" w:hint="default"/>
        </w:rPr>
      </w:pPr>
      <w:r>
        <w:rPr/>
        <w:t>“其他”项主要为上年麦芽公司对收到的抵债资产（二九一房产抵债房）计提的减值损失。</w:t>
      </w:r>
      <w:r>
        <w:rPr>
          <w:rFonts w:ascii="宋体" w:hAnsi="宋体" w:cs="宋体" w:eastAsia="宋体" w:hint="default"/>
          <w:w w:val="100"/>
        </w:rPr>
        <w:t> </w:t>
      </w:r>
      <w:r>
        <w:rPr>
          <w:rFonts w:ascii="宋体" w:hAnsi="宋体" w:cs="宋体" w:eastAsia="宋体" w:hint="default"/>
          <w:b/>
          <w:bCs/>
        </w:rPr>
        <w:t>71</w:t>
      </w:r>
      <w:r>
        <w:rPr>
          <w:rFonts w:ascii="宋体" w:hAnsi="宋体" w:cs="宋体" w:eastAsia="宋体" w:hint="default"/>
          <w:b/>
          <w:bCs/>
        </w:rPr>
        <w:t>、</w:t>
      </w:r>
      <w:r>
        <w:rPr>
          <w:rFonts w:ascii="宋体" w:hAnsi="宋体" w:cs="宋体" w:eastAsia="宋体" w:hint="default"/>
          <w:b/>
          <w:bCs/>
          <w:spacing w:val="-24"/>
        </w:rPr>
        <w:t> </w:t>
      </w:r>
      <w:r>
        <w:rPr>
          <w:rFonts w:ascii="宋体" w:hAnsi="宋体" w:cs="宋体" w:eastAsia="宋体" w:hint="default"/>
          <w:b/>
          <w:bCs/>
        </w:rPr>
        <w:t>资产处置收益</w:t>
      </w:r>
      <w:r>
        <w:rPr>
          <w:rFonts w:ascii="宋体" w:hAnsi="宋体" w:cs="宋体" w:eastAsia="宋体" w:hint="default"/>
        </w:rPr>
      </w:r>
    </w:p>
    <w:p>
      <w:pPr>
        <w:pStyle w:val="BodyText"/>
        <w:spacing w:line="240" w:lineRule="auto" w:before="14"/>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51" w:val="left" w:leader="none"/>
        </w:tabs>
        <w:spacing w:line="271" w:lineRule="exact"/>
        <w:ind w:left="0" w:right="27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545"/>
        <w:gridCol w:w="2552"/>
        <w:gridCol w:w="2736"/>
      </w:tblGrid>
      <w:tr>
        <w:trPr>
          <w:trHeight w:val="382" w:hRule="exact"/>
        </w:trPr>
        <w:tc>
          <w:tcPr>
            <w:tcW w:w="3545"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right="145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552"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74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6"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left="83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55" w:hRule="exact"/>
        </w:trPr>
        <w:tc>
          <w:tcPr>
            <w:tcW w:w="354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right="1433"/>
              <w:jc w:val="right"/>
              <w:rPr>
                <w:rFonts w:ascii="宋体" w:hAnsi="宋体" w:cs="宋体" w:eastAsia="宋体" w:hint="default"/>
                <w:sz w:val="21"/>
                <w:szCs w:val="21"/>
              </w:rPr>
            </w:pPr>
            <w:r>
              <w:rPr>
                <w:rFonts w:ascii="宋体" w:hAnsi="宋体" w:cs="宋体" w:eastAsia="宋体" w:hint="default"/>
                <w:spacing w:val="-2"/>
                <w:sz w:val="21"/>
                <w:szCs w:val="21"/>
              </w:rPr>
              <w:t>非流动资产处置收益</w:t>
            </w:r>
            <w:r>
              <w:rPr>
                <w:rFonts w:ascii="宋体" w:hAnsi="宋体" w:cs="宋体" w:eastAsia="宋体" w:hint="default"/>
                <w:sz w:val="21"/>
                <w:szCs w:val="21"/>
              </w:rPr>
              <w:t> </w:t>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2,336,134.68</w:t>
            </w:r>
          </w:p>
        </w:tc>
        <w:tc>
          <w:tcPr>
            <w:tcW w:w="273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-2,405,103.35</w:t>
            </w:r>
          </w:p>
        </w:tc>
      </w:tr>
      <w:tr>
        <w:trPr>
          <w:trHeight w:val="382" w:hRule="exact"/>
        </w:trPr>
        <w:tc>
          <w:tcPr>
            <w:tcW w:w="3545"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5"/>
              <w:ind w:right="145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552"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2,336,134.68</w:t>
            </w:r>
          </w:p>
        </w:tc>
        <w:tc>
          <w:tcPr>
            <w:tcW w:w="2736"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-2,405,103.35</w:t>
            </w:r>
          </w:p>
        </w:tc>
      </w:tr>
    </w:tbl>
    <w:p>
      <w:pPr>
        <w:spacing w:after="0" w:line="240" w:lineRule="auto"/>
        <w:jc w:val="right"/>
        <w:rPr>
          <w:rFonts w:ascii="Arial" w:hAnsi="Arial" w:cs="Arial" w:eastAsia="Arial" w:hint="default"/>
          <w:sz w:val="21"/>
          <w:szCs w:val="21"/>
        </w:rPr>
        <w:sectPr>
          <w:type w:val="continuous"/>
          <w:pgSz w:w="11910" w:h="16840"/>
          <w:pgMar w:top="1360" w:bottom="1380" w:left="1560" w:right="1000"/>
        </w:sectPr>
      </w:pPr>
    </w:p>
    <w:p>
      <w:pPr>
        <w:spacing w:line="290" w:lineRule="auto" w:before="26"/>
        <w:ind w:left="238" w:right="0" w:firstLine="0"/>
        <w:jc w:val="left"/>
        <w:rPr>
          <w:rFonts w:ascii="宋体" w:hAnsi="宋体" w:cs="宋体" w:eastAsia="宋体" w:hint="default"/>
          <w:sz w:val="21"/>
          <w:szCs w:val="21"/>
        </w:rPr>
      </w:pPr>
      <w:r>
        <w:rPr>
          <w:rFonts w:ascii="宋体" w:hAnsi="宋体" w:cs="宋体" w:eastAsia="宋体" w:hint="default"/>
          <w:b/>
          <w:bCs/>
          <w:sz w:val="21"/>
          <w:szCs w:val="21"/>
        </w:rPr>
        <w:t>72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营业外收入</w:t>
      </w:r>
      <w:r>
        <w:rPr>
          <w:rFonts w:ascii="宋体" w:hAnsi="宋体" w:cs="宋体" w:eastAsia="宋体" w:hint="default"/>
          <w:b/>
          <w:bCs/>
          <w:w w:val="99"/>
          <w:sz w:val="21"/>
          <w:szCs w:val="21"/>
        </w:rPr>
        <w:t> </w:t>
      </w:r>
      <w:r>
        <w:rPr>
          <w:rFonts w:ascii="宋体" w:hAnsi="宋体" w:cs="宋体" w:eastAsia="宋体" w:hint="default"/>
          <w:sz w:val="21"/>
          <w:szCs w:val="21"/>
        </w:rPr>
        <w:t>营业外收入情况</w:t>
      </w:r>
      <w:r>
        <w:rPr>
          <w:rFonts w:ascii="宋体" w:hAnsi="宋体" w:cs="宋体" w:eastAsia="宋体" w:hint="default"/>
          <w:sz w:val="21"/>
          <w:szCs w:val="21"/>
        </w:rPr>
        <w:t> </w:t>
      </w:r>
    </w:p>
    <w:p>
      <w:pPr>
        <w:pStyle w:val="BodyText"/>
        <w:spacing w:line="227" w:lineRule="exact"/>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560" w:right="1000"/>
          <w:cols w:num="2" w:equalWidth="0">
            <w:col w:w="2130" w:space="4392"/>
            <w:col w:w="2828"/>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619"/>
        <w:gridCol w:w="2175"/>
        <w:gridCol w:w="2177"/>
        <w:gridCol w:w="2079"/>
      </w:tblGrid>
      <w:tr>
        <w:trPr>
          <w:trHeight w:val="581" w:hRule="exact"/>
        </w:trPr>
        <w:tc>
          <w:tcPr>
            <w:tcW w:w="2619"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105"/>
              <w:ind w:left="109"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175"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105"/>
              <w:ind w:left="55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77"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105"/>
              <w:ind w:left="55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079" w:type="dxa"/>
            <w:tcBorders>
              <w:top w:val="single" w:sz="23" w:space="0" w:color="009EEA"/>
              <w:left w:val="single" w:sz="4" w:space="0" w:color="009EEA"/>
              <w:bottom w:val="single" w:sz="4" w:space="0" w:color="009EEA"/>
              <w:right w:val="nil" w:sz="6" w:space="0" w:color="auto"/>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计入当期非经常性</w:t>
            </w:r>
          </w:p>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损益的金额</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358" w:hRule="exact"/>
        </w:trPr>
        <w:tc>
          <w:tcPr>
            <w:tcW w:w="261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9" w:right="0"/>
              <w:jc w:val="center"/>
              <w:rPr>
                <w:rFonts w:ascii="宋体" w:hAnsi="宋体" w:cs="宋体" w:eastAsia="宋体" w:hint="default"/>
                <w:sz w:val="21"/>
                <w:szCs w:val="21"/>
              </w:rPr>
            </w:pPr>
            <w:r>
              <w:rPr>
                <w:rFonts w:ascii="宋体" w:hAnsi="宋体" w:cs="宋体" w:eastAsia="宋体" w:hint="default"/>
                <w:sz w:val="21"/>
                <w:szCs w:val="21"/>
              </w:rPr>
              <w:t>非流动资产处置利得合计</w:t>
            </w:r>
            <w:r>
              <w:rPr>
                <w:rFonts w:ascii="宋体" w:hAnsi="宋体" w:cs="宋体" w:eastAsia="宋体" w:hint="default"/>
                <w:sz w:val="21"/>
                <w:szCs w:val="21"/>
              </w:rPr>
              <w:t> </w:t>
            </w:r>
          </w:p>
        </w:tc>
        <w:tc>
          <w:tcPr>
            <w:tcW w:w="217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221,233.02</w:t>
            </w:r>
          </w:p>
        </w:tc>
        <w:tc>
          <w:tcPr>
            <w:tcW w:w="21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39,164.56</w:t>
            </w:r>
          </w:p>
        </w:tc>
        <w:tc>
          <w:tcPr>
            <w:tcW w:w="207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221,233.02</w:t>
            </w:r>
          </w:p>
        </w:tc>
      </w:tr>
      <w:tr>
        <w:trPr>
          <w:trHeight w:val="362" w:hRule="exact"/>
        </w:trPr>
        <w:tc>
          <w:tcPr>
            <w:tcW w:w="2619"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2"/>
              <w:ind w:left="19" w:right="0"/>
              <w:jc w:val="center"/>
              <w:rPr>
                <w:rFonts w:ascii="宋体" w:hAnsi="宋体" w:cs="宋体" w:eastAsia="宋体" w:hint="default"/>
                <w:sz w:val="21"/>
                <w:szCs w:val="21"/>
              </w:rPr>
            </w:pPr>
            <w:r>
              <w:rPr>
                <w:rFonts w:ascii="宋体" w:hAnsi="宋体" w:cs="宋体" w:eastAsia="宋体" w:hint="default"/>
                <w:sz w:val="21"/>
                <w:szCs w:val="21"/>
              </w:rPr>
              <w:t>其中：固定资产处置利得</w:t>
            </w:r>
            <w:r>
              <w:rPr>
                <w:rFonts w:ascii="宋体" w:hAnsi="宋体" w:cs="宋体" w:eastAsia="宋体" w:hint="default"/>
                <w:sz w:val="21"/>
                <w:szCs w:val="21"/>
              </w:rPr>
              <w:t> </w:t>
            </w:r>
          </w:p>
        </w:tc>
        <w:tc>
          <w:tcPr>
            <w:tcW w:w="217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7"/>
              <w:ind w:right="99"/>
              <w:jc w:val="right"/>
              <w:rPr>
                <w:rFonts w:ascii="Arial" w:hAnsi="Arial" w:cs="Arial" w:eastAsia="Arial" w:hint="default"/>
                <w:sz w:val="21"/>
                <w:szCs w:val="21"/>
              </w:rPr>
            </w:pPr>
            <w:r>
              <w:rPr>
                <w:rFonts w:ascii="Arial"/>
                <w:spacing w:val="-1"/>
                <w:sz w:val="21"/>
              </w:rPr>
              <w:t>221,233.02</w:t>
            </w:r>
          </w:p>
        </w:tc>
        <w:tc>
          <w:tcPr>
            <w:tcW w:w="2177"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7"/>
              <w:ind w:right="98"/>
              <w:jc w:val="right"/>
              <w:rPr>
                <w:rFonts w:ascii="Arial" w:hAnsi="Arial" w:cs="Arial" w:eastAsia="Arial" w:hint="default"/>
                <w:sz w:val="21"/>
                <w:szCs w:val="21"/>
              </w:rPr>
            </w:pPr>
            <w:r>
              <w:rPr>
                <w:rFonts w:ascii="Arial"/>
                <w:spacing w:val="-1"/>
                <w:sz w:val="21"/>
              </w:rPr>
              <w:t>39,164.56</w:t>
            </w:r>
          </w:p>
        </w:tc>
        <w:tc>
          <w:tcPr>
            <w:tcW w:w="2079"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7"/>
              <w:ind w:right="103"/>
              <w:jc w:val="right"/>
              <w:rPr>
                <w:rFonts w:ascii="Arial" w:hAnsi="Arial" w:cs="Arial" w:eastAsia="Arial" w:hint="default"/>
                <w:sz w:val="21"/>
                <w:szCs w:val="21"/>
              </w:rPr>
            </w:pPr>
            <w:r>
              <w:rPr>
                <w:rFonts w:ascii="Arial"/>
                <w:spacing w:val="-1"/>
                <w:sz w:val="21"/>
              </w:rPr>
              <w:t>221,233.02</w:t>
            </w:r>
          </w:p>
        </w:tc>
      </w:tr>
    </w:tbl>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2614;height:2" coordorigin="10,10" coordsize="2614,2">
              <v:shape style="position:absolute;left:10;top:10;width:2614;height:2" coordorigin="10,10" coordsize="2614,0" path="m10,10l2624,10e" filled="false" stroked="true" strokeweight=".95996pt" strokecolor="#009eea">
                <v:path arrowok="t"/>
              </v:shape>
            </v:group>
            <v:group style="position:absolute;left:2624;top:10;width:58;height:2" coordorigin="2624,10" coordsize="58,2">
              <v:shape style="position:absolute;left:2624;top:10;width:58;height:2" coordorigin="2624,10" coordsize="58,0" path="m2624,10l2681,10e" filled="false" stroked="true" strokeweight=".95996pt" strokecolor="#009eea">
                <v:path arrowok="t"/>
              </v:shape>
            </v:group>
            <v:group style="position:absolute;left:2681;top:10;width:2118;height:2" coordorigin="2681,10" coordsize="2118,2">
              <v:shape style="position:absolute;left:2681;top:10;width:2118;height:2" coordorigin="2681,10" coordsize="2118,0" path="m2681,10l4799,10e" filled="false" stroked="true" strokeweight=".95996pt" strokecolor="#009eea">
                <v:path arrowok="t"/>
              </v:shape>
            </v:group>
            <v:group style="position:absolute;left:4799;top:10;width:58;height:2" coordorigin="4799,10" coordsize="58,2">
              <v:shape style="position:absolute;left:4799;top:10;width:58;height:2" coordorigin="4799,10" coordsize="58,0" path="m4799,10l4856,10e" filled="false" stroked="true" strokeweight=".95996pt" strokecolor="#009eea">
                <v:path arrowok="t"/>
              </v:shape>
            </v:group>
            <v:group style="position:absolute;left:4856;top:10;width:2120;height:2" coordorigin="4856,10" coordsize="2120,2">
              <v:shape style="position:absolute;left:4856;top:10;width:2120;height:2" coordorigin="4856,10" coordsize="2120,0" path="m4856,10l6975,10e" filled="false" stroked="true" strokeweight=".95996pt" strokecolor="#009eea">
                <v:path arrowok="t"/>
              </v:shape>
            </v:group>
            <v:group style="position:absolute;left:6975;top:10;width:58;height:2" coordorigin="6975,10" coordsize="58,2">
              <v:shape style="position:absolute;left:6975;top:10;width:58;height:2" coordorigin="6975,10" coordsize="58,0" path="m6975,10l7033,10e" filled="false" stroked="true" strokeweight=".95996pt" strokecolor="#009eea">
                <v:path arrowok="t"/>
              </v:shape>
            </v:group>
            <v:group style="position:absolute;left:7033;top:10;width:2026;height:2" coordorigin="7033,10" coordsize="2026,2">
              <v:shape style="position:absolute;left:7033;top:10;width:2026;height:2" coordorigin="7033,10" coordsize="2026,0" path="m7033,10l9059,10e" filled="false" stroked="true" strokeweight=".95996pt" strokecolor="#009ee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360" w:bottom="1380" w:left="1560" w:right="1000"/>
        </w:sectPr>
      </w:pPr>
    </w:p>
    <w:p>
      <w:pPr>
        <w:spacing w:line="240" w:lineRule="auto" w:before="10"/>
        <w:rPr>
          <w:rFonts w:ascii="宋体" w:hAnsi="宋体" w:cs="宋体" w:eastAsia="宋体" w:hint="default"/>
          <w:sz w:val="11"/>
          <w:szCs w:val="11"/>
        </w:rPr>
      </w:pPr>
    </w:p>
    <w:p>
      <w:pPr>
        <w:spacing w:line="20" w:lineRule="exact"/>
        <w:ind w:left="14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2614;height:2" coordorigin="10,10" coordsize="2614,2">
              <v:shape style="position:absolute;left:10;top:10;width:2614;height:2" coordorigin="10,10" coordsize="2614,0" path="m10,10l2624,10e" filled="false" stroked="true" strokeweight=".96001pt" strokecolor="#009eea">
                <v:path arrowok="t"/>
              </v:shape>
            </v:group>
            <v:group style="position:absolute;left:2624;top:10;width:58;height:2" coordorigin="2624,10" coordsize="58,2">
              <v:shape style="position:absolute;left:2624;top:10;width:58;height:2" coordorigin="2624,10" coordsize="58,0" path="m2624,10l2681,10e" filled="false" stroked="true" strokeweight=".96001pt" strokecolor="#009eea">
                <v:path arrowok="t"/>
              </v:shape>
            </v:group>
            <v:group style="position:absolute;left:2681;top:10;width:2118;height:2" coordorigin="2681,10" coordsize="2118,2">
              <v:shape style="position:absolute;left:2681;top:10;width:2118;height:2" coordorigin="2681,10" coordsize="2118,0" path="m2681,10l4799,10e" filled="false" stroked="true" strokeweight=".96001pt" strokecolor="#009eea">
                <v:path arrowok="t"/>
              </v:shape>
            </v:group>
            <v:group style="position:absolute;left:4799;top:10;width:58;height:2" coordorigin="4799,10" coordsize="58,2">
              <v:shape style="position:absolute;left:4799;top:10;width:58;height:2" coordorigin="4799,10" coordsize="58,0" path="m4799,10l4856,10e" filled="false" stroked="true" strokeweight=".96001pt" strokecolor="#009eea">
                <v:path arrowok="t"/>
              </v:shape>
            </v:group>
            <v:group style="position:absolute;left:4856;top:10;width:2120;height:2" coordorigin="4856,10" coordsize="2120,2">
              <v:shape style="position:absolute;left:4856;top:10;width:2120;height:2" coordorigin="4856,10" coordsize="2120,0" path="m4856,10l6975,10e" filled="false" stroked="true" strokeweight=".96001pt" strokecolor="#009eea">
                <v:path arrowok="t"/>
              </v:shape>
            </v:group>
            <v:group style="position:absolute;left:6975;top:10;width:58;height:2" coordorigin="6975,10" coordsize="58,2">
              <v:shape style="position:absolute;left:6975;top:10;width:58;height:2" coordorigin="6975,10" coordsize="58,0" path="m6975,10l7033,10e" filled="false" stroked="true" strokeweight=".96001pt" strokecolor="#009eea">
                <v:path arrowok="t"/>
              </v:shape>
            </v:group>
            <v:group style="position:absolute;left:7033;top:10;width:2026;height:2" coordorigin="7033,10" coordsize="2026,2">
              <v:shape style="position:absolute;left:7033;top:10;width:2026;height:2" coordorigin="7033,10" coordsize="2026,0" path="m7033,10l9059,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21" w:type="dxa"/>
        <w:tblLayout w:type="fixed"/>
        <w:tblCellMar>
          <w:top w:w="0" w:type="dxa"/>
          <w:left w:w="0" w:type="dxa"/>
          <w:bottom w:w="0" w:type="dxa"/>
          <w:right w:w="0" w:type="dxa"/>
        </w:tblCellMar>
        <w:tblLook w:val="01E0"/>
      </w:tblPr>
      <w:tblGrid>
        <w:gridCol w:w="2619"/>
        <w:gridCol w:w="2175"/>
        <w:gridCol w:w="2177"/>
        <w:gridCol w:w="2079"/>
      </w:tblGrid>
      <w:tr>
        <w:trPr>
          <w:trHeight w:val="365" w:hRule="exact"/>
        </w:trPr>
        <w:tc>
          <w:tcPr>
            <w:tcW w:w="2619"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7"/>
              <w:ind w:left="739" w:right="0"/>
              <w:jc w:val="left"/>
              <w:rPr>
                <w:rFonts w:ascii="宋体" w:hAnsi="宋体" w:cs="宋体" w:eastAsia="宋体" w:hint="default"/>
                <w:sz w:val="21"/>
                <w:szCs w:val="21"/>
              </w:rPr>
            </w:pPr>
            <w:r>
              <w:rPr>
                <w:rFonts w:ascii="宋体" w:hAnsi="宋体" w:cs="宋体" w:eastAsia="宋体" w:hint="default"/>
                <w:sz w:val="21"/>
                <w:szCs w:val="21"/>
              </w:rPr>
              <w:t>无形资产处置利得</w:t>
            </w:r>
            <w:r>
              <w:rPr>
                <w:rFonts w:ascii="宋体" w:hAnsi="宋体" w:cs="宋体" w:eastAsia="宋体" w:hint="default"/>
                <w:sz w:val="21"/>
                <w:szCs w:val="21"/>
              </w:rPr>
              <w:t> </w:t>
            </w:r>
          </w:p>
        </w:tc>
        <w:tc>
          <w:tcPr>
            <w:tcW w:w="2175" w:type="dxa"/>
            <w:tcBorders>
              <w:top w:val="single" w:sz="8" w:space="0" w:color="009EEA"/>
              <w:left w:val="single" w:sz="4" w:space="0" w:color="009EEA"/>
              <w:bottom w:val="single" w:sz="4" w:space="0" w:color="009EEA"/>
              <w:right w:val="single" w:sz="4" w:space="0" w:color="009EEA"/>
            </w:tcBorders>
          </w:tcPr>
          <w:p>
            <w:pPr/>
          </w:p>
        </w:tc>
        <w:tc>
          <w:tcPr>
            <w:tcW w:w="2177" w:type="dxa"/>
            <w:tcBorders>
              <w:top w:val="single" w:sz="8" w:space="0" w:color="009EEA"/>
              <w:left w:val="single" w:sz="4" w:space="0" w:color="009EEA"/>
              <w:bottom w:val="single" w:sz="4" w:space="0" w:color="009EEA"/>
              <w:right w:val="single" w:sz="4" w:space="0" w:color="009EEA"/>
            </w:tcBorders>
          </w:tcPr>
          <w:p>
            <w:pPr/>
          </w:p>
        </w:tc>
        <w:tc>
          <w:tcPr>
            <w:tcW w:w="2079" w:type="dxa"/>
            <w:tcBorders>
              <w:top w:val="single" w:sz="8" w:space="0" w:color="009EEA"/>
              <w:left w:val="single" w:sz="4" w:space="0" w:color="009EEA"/>
              <w:bottom w:val="single" w:sz="4" w:space="0" w:color="009EEA"/>
              <w:right w:val="nil" w:sz="6" w:space="0" w:color="auto"/>
            </w:tcBorders>
          </w:tcPr>
          <w:p>
            <w:pPr/>
          </w:p>
        </w:tc>
      </w:tr>
      <w:tr>
        <w:trPr>
          <w:trHeight w:val="355" w:hRule="exact"/>
        </w:trPr>
        <w:tc>
          <w:tcPr>
            <w:tcW w:w="261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债务重组利得</w:t>
            </w:r>
            <w:r>
              <w:rPr>
                <w:rFonts w:ascii="宋体" w:hAnsi="宋体" w:cs="宋体" w:eastAsia="宋体" w:hint="default"/>
                <w:sz w:val="21"/>
                <w:szCs w:val="21"/>
              </w:rPr>
              <w:t> </w:t>
            </w:r>
          </w:p>
        </w:tc>
        <w:tc>
          <w:tcPr>
            <w:tcW w:w="2175" w:type="dxa"/>
            <w:tcBorders>
              <w:top w:val="single" w:sz="4" w:space="0" w:color="009EEA"/>
              <w:left w:val="single" w:sz="4" w:space="0" w:color="009EEA"/>
              <w:bottom w:val="single" w:sz="4" w:space="0" w:color="009EEA"/>
              <w:right w:val="single" w:sz="4" w:space="0" w:color="009EEA"/>
            </w:tcBorders>
          </w:tcPr>
          <w:p>
            <w:pPr/>
          </w:p>
        </w:tc>
        <w:tc>
          <w:tcPr>
            <w:tcW w:w="21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331,390.27</w:t>
            </w:r>
          </w:p>
        </w:tc>
        <w:tc>
          <w:tcPr>
            <w:tcW w:w="2079"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261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接受捐赠</w:t>
            </w:r>
            <w:r>
              <w:rPr>
                <w:rFonts w:ascii="宋体" w:hAnsi="宋体" w:cs="宋体" w:eastAsia="宋体" w:hint="default"/>
                <w:sz w:val="21"/>
                <w:szCs w:val="21"/>
              </w:rPr>
              <w:t> </w:t>
            </w:r>
          </w:p>
        </w:tc>
        <w:tc>
          <w:tcPr>
            <w:tcW w:w="217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32,000.00</w:t>
            </w:r>
          </w:p>
        </w:tc>
        <w:tc>
          <w:tcPr>
            <w:tcW w:w="2177" w:type="dxa"/>
            <w:tcBorders>
              <w:top w:val="single" w:sz="4" w:space="0" w:color="009EEA"/>
              <w:left w:val="single" w:sz="4" w:space="0" w:color="009EEA"/>
              <w:bottom w:val="single" w:sz="4" w:space="0" w:color="009EEA"/>
              <w:right w:val="single" w:sz="4" w:space="0" w:color="009EEA"/>
            </w:tcBorders>
          </w:tcPr>
          <w:p>
            <w:pPr/>
          </w:p>
        </w:tc>
        <w:tc>
          <w:tcPr>
            <w:tcW w:w="207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32,000.00</w:t>
            </w:r>
          </w:p>
        </w:tc>
      </w:tr>
      <w:tr>
        <w:trPr>
          <w:trHeight w:val="358" w:hRule="exact"/>
        </w:trPr>
        <w:tc>
          <w:tcPr>
            <w:tcW w:w="261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217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262,500.00</w:t>
            </w:r>
          </w:p>
        </w:tc>
        <w:tc>
          <w:tcPr>
            <w:tcW w:w="21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262,500.00</w:t>
            </w:r>
          </w:p>
        </w:tc>
        <w:tc>
          <w:tcPr>
            <w:tcW w:w="207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262,500.00</w:t>
            </w:r>
          </w:p>
        </w:tc>
      </w:tr>
      <w:tr>
        <w:trPr>
          <w:trHeight w:val="355" w:hRule="exact"/>
        </w:trPr>
        <w:tc>
          <w:tcPr>
            <w:tcW w:w="261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无法支付的应付款</w:t>
            </w:r>
            <w:r>
              <w:rPr>
                <w:rFonts w:ascii="宋体" w:hAnsi="宋体" w:cs="宋体" w:eastAsia="宋体" w:hint="default"/>
                <w:sz w:val="21"/>
                <w:szCs w:val="21"/>
              </w:rPr>
              <w:t> </w:t>
            </w:r>
          </w:p>
        </w:tc>
        <w:tc>
          <w:tcPr>
            <w:tcW w:w="217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4,381,871.31</w:t>
            </w:r>
          </w:p>
        </w:tc>
        <w:tc>
          <w:tcPr>
            <w:tcW w:w="21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19,243,811.25</w:t>
            </w:r>
          </w:p>
        </w:tc>
        <w:tc>
          <w:tcPr>
            <w:tcW w:w="207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4,381,871.31</w:t>
            </w:r>
          </w:p>
        </w:tc>
      </w:tr>
      <w:tr>
        <w:trPr>
          <w:trHeight w:val="355" w:hRule="exact"/>
        </w:trPr>
        <w:tc>
          <w:tcPr>
            <w:tcW w:w="261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罚款收入</w:t>
            </w:r>
            <w:r>
              <w:rPr>
                <w:rFonts w:ascii="宋体" w:hAnsi="宋体" w:cs="宋体" w:eastAsia="宋体" w:hint="default"/>
                <w:sz w:val="21"/>
                <w:szCs w:val="21"/>
              </w:rPr>
              <w:t> </w:t>
            </w:r>
          </w:p>
        </w:tc>
        <w:tc>
          <w:tcPr>
            <w:tcW w:w="217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256,487.70</w:t>
            </w:r>
          </w:p>
        </w:tc>
        <w:tc>
          <w:tcPr>
            <w:tcW w:w="21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535,546.39</w:t>
            </w:r>
          </w:p>
        </w:tc>
        <w:tc>
          <w:tcPr>
            <w:tcW w:w="207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256,487.70</w:t>
            </w:r>
          </w:p>
        </w:tc>
      </w:tr>
      <w:tr>
        <w:trPr>
          <w:trHeight w:val="358" w:hRule="exact"/>
        </w:trPr>
        <w:tc>
          <w:tcPr>
            <w:tcW w:w="261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保险理赔</w:t>
            </w:r>
            <w:r>
              <w:rPr>
                <w:rFonts w:ascii="宋体" w:hAnsi="宋体" w:cs="宋体" w:eastAsia="宋体" w:hint="default"/>
                <w:sz w:val="21"/>
                <w:szCs w:val="21"/>
              </w:rPr>
              <w:t> </w:t>
            </w:r>
          </w:p>
        </w:tc>
        <w:tc>
          <w:tcPr>
            <w:tcW w:w="217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1,483,417.47</w:t>
            </w:r>
          </w:p>
        </w:tc>
        <w:tc>
          <w:tcPr>
            <w:tcW w:w="21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1,617,159.61</w:t>
            </w:r>
          </w:p>
        </w:tc>
        <w:tc>
          <w:tcPr>
            <w:tcW w:w="207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1,483,417.47</w:t>
            </w:r>
          </w:p>
        </w:tc>
      </w:tr>
      <w:tr>
        <w:trPr>
          <w:trHeight w:val="355" w:hRule="exact"/>
        </w:trPr>
        <w:tc>
          <w:tcPr>
            <w:tcW w:w="261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农机补贴利息</w:t>
            </w:r>
            <w:r>
              <w:rPr>
                <w:rFonts w:ascii="宋体" w:hAnsi="宋体" w:cs="宋体" w:eastAsia="宋体" w:hint="default"/>
                <w:sz w:val="21"/>
                <w:szCs w:val="21"/>
              </w:rPr>
              <w:t> </w:t>
            </w:r>
          </w:p>
        </w:tc>
        <w:tc>
          <w:tcPr>
            <w:tcW w:w="217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9,551.10</w:t>
            </w:r>
          </w:p>
        </w:tc>
        <w:tc>
          <w:tcPr>
            <w:tcW w:w="21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48,880.45</w:t>
            </w:r>
          </w:p>
        </w:tc>
        <w:tc>
          <w:tcPr>
            <w:tcW w:w="207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9,551.10</w:t>
            </w:r>
          </w:p>
        </w:tc>
      </w:tr>
      <w:tr>
        <w:trPr>
          <w:trHeight w:val="355" w:hRule="exact"/>
        </w:trPr>
        <w:tc>
          <w:tcPr>
            <w:tcW w:w="261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违约金</w:t>
            </w:r>
            <w:r>
              <w:rPr>
                <w:rFonts w:ascii="宋体" w:hAnsi="宋体" w:cs="宋体" w:eastAsia="宋体" w:hint="default"/>
                <w:sz w:val="21"/>
                <w:szCs w:val="21"/>
              </w:rPr>
              <w:t> </w:t>
            </w:r>
          </w:p>
        </w:tc>
        <w:tc>
          <w:tcPr>
            <w:tcW w:w="217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629,484.00</w:t>
            </w:r>
          </w:p>
        </w:tc>
        <w:tc>
          <w:tcPr>
            <w:tcW w:w="21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68,014.03</w:t>
            </w:r>
          </w:p>
        </w:tc>
        <w:tc>
          <w:tcPr>
            <w:tcW w:w="207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629,484.00</w:t>
            </w:r>
          </w:p>
        </w:tc>
      </w:tr>
      <w:tr>
        <w:trPr>
          <w:trHeight w:val="358" w:hRule="exact"/>
        </w:trPr>
        <w:tc>
          <w:tcPr>
            <w:tcW w:w="261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其他收入</w:t>
            </w:r>
            <w:r>
              <w:rPr>
                <w:rFonts w:ascii="宋体" w:hAnsi="宋体" w:cs="宋体" w:eastAsia="宋体" w:hint="default"/>
                <w:sz w:val="21"/>
                <w:szCs w:val="21"/>
              </w:rPr>
              <w:t> </w:t>
            </w:r>
          </w:p>
        </w:tc>
        <w:tc>
          <w:tcPr>
            <w:tcW w:w="217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45,377.70</w:t>
            </w:r>
          </w:p>
        </w:tc>
        <w:tc>
          <w:tcPr>
            <w:tcW w:w="21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4,227,340.88</w:t>
            </w:r>
          </w:p>
        </w:tc>
        <w:tc>
          <w:tcPr>
            <w:tcW w:w="207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45,377.70</w:t>
            </w:r>
          </w:p>
        </w:tc>
      </w:tr>
      <w:tr>
        <w:trPr>
          <w:trHeight w:val="382" w:hRule="exact"/>
        </w:trPr>
        <w:tc>
          <w:tcPr>
            <w:tcW w:w="2619"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left="109"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75"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7,321,922.30</w:t>
            </w:r>
          </w:p>
        </w:tc>
        <w:tc>
          <w:tcPr>
            <w:tcW w:w="2177"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26,373,807.44</w:t>
            </w:r>
          </w:p>
        </w:tc>
        <w:tc>
          <w:tcPr>
            <w:tcW w:w="2079"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7,321,922.30</w:t>
            </w:r>
          </w:p>
        </w:tc>
      </w:tr>
    </w:tbl>
    <w:p>
      <w:pPr>
        <w:spacing w:after="0" w:line="240" w:lineRule="auto"/>
        <w:jc w:val="right"/>
        <w:rPr>
          <w:rFonts w:ascii="Arial" w:hAnsi="Arial" w:cs="Arial" w:eastAsia="Arial" w:hint="default"/>
          <w:sz w:val="21"/>
          <w:szCs w:val="21"/>
        </w:rPr>
        <w:sectPr>
          <w:pgSz w:w="11910" w:h="16840"/>
          <w:pgMar w:header="826" w:footer="1195" w:top="1360" w:bottom="1380" w:left="1540" w:right="1000"/>
        </w:sectPr>
      </w:pPr>
    </w:p>
    <w:p>
      <w:pPr>
        <w:pStyle w:val="BodyText"/>
        <w:spacing w:line="257" w:lineRule="exact"/>
        <w:ind w:left="258" w:right="0"/>
        <w:jc w:val="left"/>
        <w:rPr>
          <w:rFonts w:ascii="宋体" w:hAnsi="宋体" w:cs="宋体" w:eastAsia="宋体" w:hint="default"/>
        </w:rPr>
      </w:pPr>
      <w:r>
        <w:rPr/>
        <w:t>计入当期损益的政府补助</w:t>
      </w:r>
      <w:r>
        <w:rPr>
          <w:rFonts w:ascii="宋体" w:hAnsi="宋体" w:cs="宋体" w:eastAsia="宋体" w:hint="default"/>
        </w:rPr>
        <w:t> </w:t>
      </w:r>
    </w:p>
    <w:p>
      <w:pPr>
        <w:pStyle w:val="BodyText"/>
        <w:spacing w:line="273" w:lineRule="exact"/>
        <w:ind w:left="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0"/>
          <w:szCs w:val="20"/>
        </w:rPr>
      </w:pPr>
    </w:p>
    <w:p>
      <w:pPr>
        <w:pStyle w:val="BodyText"/>
        <w:spacing w:line="240" w:lineRule="auto"/>
        <w:ind w:left="258" w:right="0"/>
        <w:jc w:val="left"/>
        <w:rPr>
          <w:rFonts w:ascii="宋体" w:hAnsi="宋体" w:cs="宋体" w:eastAsia="宋体" w:hint="default"/>
        </w:rPr>
      </w:pPr>
      <w:r>
        <w:rPr>
          <w:rFonts w:ascii="宋体" w:hAnsi="宋体" w:cs="宋体" w:eastAsia="宋体" w:hint="default"/>
          <w:w w:val="100"/>
        </w:rPr>
        <w:t> </w:t>
      </w:r>
      <w:r>
        <w:rPr/>
        <w:t>单位：元</w:t>
      </w:r>
      <w:r>
        <w:rPr>
          <w:spacing w:val="99"/>
        </w:rPr>
        <w:t> </w:t>
      </w:r>
      <w:r>
        <w:rPr>
          <w:rFonts w:ascii="宋体" w:hAnsi="宋体" w:cs="宋体" w:eastAsia="宋体" w:hint="default"/>
          <w:spacing w:val="99"/>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540" w:right="1000"/>
          <w:cols w:num="2" w:equalWidth="0">
            <w:col w:w="2676" w:space="3743"/>
            <w:col w:w="2951"/>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617"/>
        <w:gridCol w:w="2182"/>
        <w:gridCol w:w="2179"/>
        <w:gridCol w:w="2084"/>
      </w:tblGrid>
      <w:tr>
        <w:trPr>
          <w:trHeight w:val="581" w:hRule="exact"/>
        </w:trPr>
        <w:tc>
          <w:tcPr>
            <w:tcW w:w="2617"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105"/>
              <w:ind w:left="887" w:right="0"/>
              <w:jc w:val="left"/>
              <w:rPr>
                <w:rFonts w:ascii="宋体" w:hAnsi="宋体" w:cs="宋体" w:eastAsia="宋体" w:hint="default"/>
                <w:sz w:val="21"/>
                <w:szCs w:val="21"/>
              </w:rPr>
            </w:pPr>
            <w:r>
              <w:rPr>
                <w:rFonts w:ascii="宋体" w:hAnsi="宋体" w:cs="宋体" w:eastAsia="宋体" w:hint="default"/>
                <w:sz w:val="21"/>
                <w:szCs w:val="21"/>
              </w:rPr>
              <w:t>补助项目</w:t>
            </w:r>
            <w:r>
              <w:rPr>
                <w:rFonts w:ascii="宋体" w:hAnsi="宋体" w:cs="宋体" w:eastAsia="宋体" w:hint="default"/>
                <w:sz w:val="21"/>
                <w:szCs w:val="21"/>
              </w:rPr>
              <w:t> </w:t>
            </w:r>
          </w:p>
        </w:tc>
        <w:tc>
          <w:tcPr>
            <w:tcW w:w="2182"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105"/>
              <w:ind w:left="453" w:right="0"/>
              <w:jc w:val="left"/>
              <w:rPr>
                <w:rFonts w:ascii="宋体" w:hAnsi="宋体" w:cs="宋体" w:eastAsia="宋体" w:hint="default"/>
                <w:sz w:val="21"/>
                <w:szCs w:val="21"/>
              </w:rPr>
            </w:pPr>
            <w:r>
              <w:rPr>
                <w:rFonts w:ascii="宋体" w:hAnsi="宋体" w:cs="宋体" w:eastAsia="宋体" w:hint="default"/>
                <w:sz w:val="21"/>
                <w:szCs w:val="21"/>
              </w:rPr>
              <w:t>本期发生金额</w:t>
            </w:r>
            <w:r>
              <w:rPr>
                <w:rFonts w:ascii="宋体" w:hAnsi="宋体" w:cs="宋体" w:eastAsia="宋体" w:hint="default"/>
                <w:sz w:val="21"/>
                <w:szCs w:val="21"/>
              </w:rPr>
              <w:t> </w:t>
            </w:r>
          </w:p>
        </w:tc>
        <w:tc>
          <w:tcPr>
            <w:tcW w:w="2179"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105"/>
              <w:ind w:left="451" w:right="0"/>
              <w:jc w:val="left"/>
              <w:rPr>
                <w:rFonts w:ascii="宋体" w:hAnsi="宋体" w:cs="宋体" w:eastAsia="宋体" w:hint="default"/>
                <w:sz w:val="21"/>
                <w:szCs w:val="21"/>
              </w:rPr>
            </w:pPr>
            <w:r>
              <w:rPr>
                <w:rFonts w:ascii="宋体" w:hAnsi="宋体" w:cs="宋体" w:eastAsia="宋体" w:hint="default"/>
                <w:sz w:val="21"/>
                <w:szCs w:val="21"/>
              </w:rPr>
              <w:t>上期发生金额</w:t>
            </w:r>
            <w:r>
              <w:rPr>
                <w:rFonts w:ascii="宋体" w:hAnsi="宋体" w:cs="宋体" w:eastAsia="宋体" w:hint="default"/>
                <w:sz w:val="21"/>
                <w:szCs w:val="21"/>
              </w:rPr>
              <w:t> </w:t>
            </w:r>
          </w:p>
        </w:tc>
        <w:tc>
          <w:tcPr>
            <w:tcW w:w="2084" w:type="dxa"/>
            <w:tcBorders>
              <w:top w:val="single" w:sz="23" w:space="0" w:color="41B7EE"/>
              <w:left w:val="single" w:sz="4" w:space="0" w:color="41B7EE"/>
              <w:bottom w:val="single" w:sz="4" w:space="0" w:color="41B7EE"/>
              <w:right w:val="nil" w:sz="6" w:space="0" w:color="auto"/>
            </w:tcBorders>
          </w:tcPr>
          <w:p>
            <w:pPr>
              <w:pStyle w:val="TableParagraph"/>
              <w:spacing w:line="243" w:lineRule="exact"/>
              <w:ind w:right="4"/>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w:t>
            </w:r>
          </w:p>
          <w:p>
            <w:pPr>
              <w:pStyle w:val="TableParagraph"/>
              <w:spacing w:line="274" w:lineRule="exact"/>
              <w:ind w:left="99" w:right="0"/>
              <w:jc w:val="center"/>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384" w:hRule="exact"/>
        </w:trPr>
        <w:tc>
          <w:tcPr>
            <w:tcW w:w="2617"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节水型生产线项目</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2182"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left="1010" w:right="0"/>
              <w:jc w:val="left"/>
              <w:rPr>
                <w:rFonts w:ascii="Arial" w:hAnsi="Arial" w:cs="Arial" w:eastAsia="Arial" w:hint="default"/>
                <w:sz w:val="21"/>
                <w:szCs w:val="21"/>
              </w:rPr>
            </w:pPr>
            <w:r>
              <w:rPr>
                <w:rFonts w:ascii="Arial"/>
                <w:sz w:val="21"/>
              </w:rPr>
              <w:t>262,500.00</w:t>
            </w:r>
          </w:p>
        </w:tc>
        <w:tc>
          <w:tcPr>
            <w:tcW w:w="2179"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left="1007" w:right="0"/>
              <w:jc w:val="left"/>
              <w:rPr>
                <w:rFonts w:ascii="Arial" w:hAnsi="Arial" w:cs="Arial" w:eastAsia="Arial" w:hint="default"/>
                <w:sz w:val="21"/>
                <w:szCs w:val="21"/>
              </w:rPr>
            </w:pPr>
            <w:r>
              <w:rPr>
                <w:rFonts w:ascii="Arial"/>
                <w:sz w:val="21"/>
              </w:rPr>
              <w:t>262,500.00</w:t>
            </w:r>
          </w:p>
        </w:tc>
        <w:tc>
          <w:tcPr>
            <w:tcW w:w="2084"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type w:val="continuous"/>
          <w:pgSz w:w="11910" w:h="16840"/>
          <w:pgMar w:top="1360" w:bottom="1380" w:left="1540" w:right="1000"/>
        </w:sectPr>
      </w:pPr>
    </w:p>
    <w:p>
      <w:pPr>
        <w:pStyle w:val="Heading2"/>
        <w:spacing w:line="240" w:lineRule="auto" w:before="26"/>
        <w:ind w:left="258" w:right="0"/>
        <w:jc w:val="left"/>
        <w:rPr>
          <w:rFonts w:ascii="宋体" w:hAnsi="宋体" w:cs="宋体" w:eastAsia="宋体" w:hint="default"/>
          <w:b w:val="0"/>
          <w:bCs w:val="0"/>
        </w:rPr>
      </w:pPr>
      <w:r>
        <w:rPr>
          <w:rFonts w:ascii="宋体" w:hAnsi="宋体" w:cs="宋体" w:eastAsia="宋体" w:hint="default"/>
        </w:rPr>
        <w:t>73</w:t>
      </w:r>
      <w:r>
        <w:rPr/>
        <w:t>、</w:t>
      </w:r>
      <w:r>
        <w:rPr>
          <w:spacing w:val="-28"/>
        </w:rPr>
        <w:t> </w:t>
      </w:r>
      <w:r>
        <w:rPr/>
        <w:t>营业外支出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spacing w:line="240" w:lineRule="auto"/>
        <w:ind w:left="2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540" w:right="1000"/>
          <w:cols w:num="2" w:equalWidth="0">
            <w:col w:w="2150" w:space="4372"/>
            <w:col w:w="2848"/>
          </w:cols>
        </w:sectPr>
      </w:pPr>
    </w:p>
    <w:p>
      <w:pPr>
        <w:spacing w:line="240" w:lineRule="auto" w:before="4"/>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619"/>
        <w:gridCol w:w="2175"/>
        <w:gridCol w:w="2177"/>
        <w:gridCol w:w="2079"/>
      </w:tblGrid>
      <w:tr>
        <w:trPr>
          <w:trHeight w:val="581" w:hRule="exact"/>
        </w:trPr>
        <w:tc>
          <w:tcPr>
            <w:tcW w:w="2619"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105"/>
              <w:ind w:left="109"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175"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105"/>
              <w:ind w:left="55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77"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105"/>
              <w:ind w:left="55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079" w:type="dxa"/>
            <w:tcBorders>
              <w:top w:val="single" w:sz="23" w:space="0" w:color="41B7EE"/>
              <w:left w:val="single" w:sz="4" w:space="0" w:color="41B7EE"/>
              <w:bottom w:val="single" w:sz="4" w:space="0" w:color="41B7EE"/>
              <w:right w:val="nil" w:sz="6" w:space="0" w:color="auto"/>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计入当期非经常性</w:t>
            </w:r>
          </w:p>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损益的金额</w:t>
            </w:r>
            <w:r>
              <w:rPr>
                <w:rFonts w:ascii="宋体" w:hAnsi="宋体" w:cs="宋体" w:eastAsia="宋体" w:hint="default"/>
                <w:sz w:val="21"/>
                <w:szCs w:val="21"/>
              </w:rPr>
              <w:t> </w:t>
            </w:r>
          </w:p>
        </w:tc>
      </w:tr>
      <w:tr>
        <w:trPr>
          <w:trHeight w:val="358" w:hRule="exact"/>
        </w:trPr>
        <w:tc>
          <w:tcPr>
            <w:tcW w:w="261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r>
              <w:rPr>
                <w:rFonts w:ascii="宋体" w:hAnsi="宋体" w:cs="宋体" w:eastAsia="宋体" w:hint="default"/>
                <w:sz w:val="21"/>
                <w:szCs w:val="21"/>
              </w:rPr>
              <w:t> </w:t>
            </w:r>
          </w:p>
        </w:tc>
        <w:tc>
          <w:tcPr>
            <w:tcW w:w="217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24,607,463.82</w:t>
            </w:r>
          </w:p>
        </w:tc>
        <w:tc>
          <w:tcPr>
            <w:tcW w:w="217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66,103,992.14</w:t>
            </w:r>
          </w:p>
        </w:tc>
        <w:tc>
          <w:tcPr>
            <w:tcW w:w="207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right="103"/>
              <w:jc w:val="right"/>
              <w:rPr>
                <w:rFonts w:ascii="Arial" w:hAnsi="Arial" w:cs="Arial" w:eastAsia="Arial" w:hint="default"/>
                <w:sz w:val="21"/>
                <w:szCs w:val="21"/>
              </w:rPr>
            </w:pPr>
            <w:r>
              <w:rPr>
                <w:rFonts w:ascii="Arial"/>
                <w:spacing w:val="-1"/>
                <w:sz w:val="21"/>
              </w:rPr>
              <w:t>24,607,463.82</w:t>
            </w:r>
          </w:p>
        </w:tc>
      </w:tr>
      <w:tr>
        <w:trPr>
          <w:trHeight w:val="358" w:hRule="exact"/>
        </w:trPr>
        <w:tc>
          <w:tcPr>
            <w:tcW w:w="261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r>
              <w:rPr>
                <w:rFonts w:ascii="宋体" w:hAnsi="宋体" w:cs="宋体" w:eastAsia="宋体" w:hint="default"/>
                <w:sz w:val="21"/>
                <w:szCs w:val="21"/>
              </w:rPr>
              <w:t> </w:t>
            </w:r>
          </w:p>
        </w:tc>
        <w:tc>
          <w:tcPr>
            <w:tcW w:w="217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24,607,463.82</w:t>
            </w:r>
          </w:p>
        </w:tc>
        <w:tc>
          <w:tcPr>
            <w:tcW w:w="217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66,103,992.14</w:t>
            </w:r>
          </w:p>
        </w:tc>
        <w:tc>
          <w:tcPr>
            <w:tcW w:w="207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24,607,463.82</w:t>
            </w:r>
          </w:p>
        </w:tc>
      </w:tr>
      <w:tr>
        <w:trPr>
          <w:trHeight w:val="358" w:hRule="exact"/>
        </w:trPr>
        <w:tc>
          <w:tcPr>
            <w:tcW w:w="261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739" w:right="0"/>
              <w:jc w:val="left"/>
              <w:rPr>
                <w:rFonts w:ascii="宋体" w:hAnsi="宋体" w:cs="宋体" w:eastAsia="宋体" w:hint="default"/>
                <w:sz w:val="21"/>
                <w:szCs w:val="21"/>
              </w:rPr>
            </w:pPr>
            <w:r>
              <w:rPr>
                <w:rFonts w:ascii="宋体" w:hAnsi="宋体" w:cs="宋体" w:eastAsia="宋体" w:hint="default"/>
                <w:sz w:val="21"/>
                <w:szCs w:val="21"/>
              </w:rPr>
              <w:t>无形资产处置损失</w:t>
            </w:r>
            <w:r>
              <w:rPr>
                <w:rFonts w:ascii="宋体" w:hAnsi="宋体" w:cs="宋体" w:eastAsia="宋体" w:hint="default"/>
                <w:sz w:val="21"/>
                <w:szCs w:val="21"/>
              </w:rPr>
              <w:t> </w:t>
            </w:r>
          </w:p>
        </w:tc>
        <w:tc>
          <w:tcPr>
            <w:tcW w:w="2175" w:type="dxa"/>
            <w:tcBorders>
              <w:top w:val="single" w:sz="4" w:space="0" w:color="41B7EE"/>
              <w:left w:val="single" w:sz="4" w:space="0" w:color="41B7EE"/>
              <w:bottom w:val="single" w:sz="4" w:space="0" w:color="41B7EE"/>
              <w:right w:val="single" w:sz="4" w:space="0" w:color="41B7EE"/>
            </w:tcBorders>
          </w:tcPr>
          <w:p>
            <w:pPr/>
          </w:p>
        </w:tc>
        <w:tc>
          <w:tcPr>
            <w:tcW w:w="2177" w:type="dxa"/>
            <w:tcBorders>
              <w:top w:val="single" w:sz="4" w:space="0" w:color="41B7EE"/>
              <w:left w:val="single" w:sz="4" w:space="0" w:color="41B7EE"/>
              <w:bottom w:val="single" w:sz="4" w:space="0" w:color="41B7EE"/>
              <w:right w:val="single" w:sz="4" w:space="0" w:color="41B7EE"/>
            </w:tcBorders>
          </w:tcPr>
          <w:p>
            <w:pPr/>
          </w:p>
        </w:tc>
        <w:tc>
          <w:tcPr>
            <w:tcW w:w="2079" w:type="dxa"/>
            <w:tcBorders>
              <w:top w:val="single" w:sz="4" w:space="0" w:color="41B7EE"/>
              <w:left w:val="single" w:sz="4" w:space="0" w:color="41B7EE"/>
              <w:bottom w:val="single" w:sz="4" w:space="0" w:color="41B7EE"/>
              <w:right w:val="nil" w:sz="6" w:space="0" w:color="auto"/>
            </w:tcBorders>
          </w:tcPr>
          <w:p>
            <w:pPr/>
          </w:p>
        </w:tc>
      </w:tr>
      <w:tr>
        <w:trPr>
          <w:trHeight w:val="355" w:hRule="exact"/>
        </w:trPr>
        <w:tc>
          <w:tcPr>
            <w:tcW w:w="261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对外捐赠</w:t>
            </w:r>
            <w:r>
              <w:rPr>
                <w:rFonts w:ascii="宋体" w:hAnsi="宋体" w:cs="宋体" w:eastAsia="宋体" w:hint="default"/>
                <w:sz w:val="21"/>
                <w:szCs w:val="21"/>
              </w:rPr>
              <w:t> </w:t>
            </w:r>
          </w:p>
        </w:tc>
        <w:tc>
          <w:tcPr>
            <w:tcW w:w="217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5,000.00</w:t>
            </w:r>
          </w:p>
        </w:tc>
        <w:tc>
          <w:tcPr>
            <w:tcW w:w="2177" w:type="dxa"/>
            <w:tcBorders>
              <w:top w:val="single" w:sz="4" w:space="0" w:color="41B7EE"/>
              <w:left w:val="single" w:sz="4" w:space="0" w:color="41B7EE"/>
              <w:bottom w:val="single" w:sz="4" w:space="0" w:color="41B7EE"/>
              <w:right w:val="single" w:sz="4" w:space="0" w:color="41B7EE"/>
            </w:tcBorders>
          </w:tcPr>
          <w:p>
            <w:pPr/>
          </w:p>
        </w:tc>
        <w:tc>
          <w:tcPr>
            <w:tcW w:w="207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5,000.00</w:t>
            </w:r>
          </w:p>
        </w:tc>
      </w:tr>
      <w:tr>
        <w:trPr>
          <w:trHeight w:val="358" w:hRule="exact"/>
        </w:trPr>
        <w:tc>
          <w:tcPr>
            <w:tcW w:w="261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罚款支出</w:t>
            </w:r>
            <w:r>
              <w:rPr>
                <w:rFonts w:ascii="宋体" w:hAnsi="宋体" w:cs="宋体" w:eastAsia="宋体" w:hint="default"/>
                <w:sz w:val="21"/>
                <w:szCs w:val="21"/>
              </w:rPr>
              <w:t> </w:t>
            </w:r>
          </w:p>
        </w:tc>
        <w:tc>
          <w:tcPr>
            <w:tcW w:w="217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2,002.77</w:t>
            </w:r>
          </w:p>
        </w:tc>
        <w:tc>
          <w:tcPr>
            <w:tcW w:w="217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98"/>
              <w:jc w:val="right"/>
              <w:rPr>
                <w:rFonts w:ascii="Arial" w:hAnsi="Arial" w:cs="Arial" w:eastAsia="Arial" w:hint="default"/>
                <w:sz w:val="21"/>
                <w:szCs w:val="21"/>
              </w:rPr>
            </w:pPr>
            <w:r>
              <w:rPr>
                <w:rFonts w:ascii="Arial"/>
                <w:sz w:val="21"/>
              </w:rPr>
              <w:t>550.04</w:t>
            </w:r>
          </w:p>
        </w:tc>
        <w:tc>
          <w:tcPr>
            <w:tcW w:w="207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right="103"/>
              <w:jc w:val="right"/>
              <w:rPr>
                <w:rFonts w:ascii="Arial" w:hAnsi="Arial" w:cs="Arial" w:eastAsia="Arial" w:hint="default"/>
                <w:sz w:val="21"/>
                <w:szCs w:val="21"/>
              </w:rPr>
            </w:pPr>
            <w:r>
              <w:rPr>
                <w:rFonts w:ascii="Arial"/>
                <w:spacing w:val="-1"/>
                <w:sz w:val="21"/>
              </w:rPr>
              <w:t>2,002.77</w:t>
            </w:r>
          </w:p>
        </w:tc>
      </w:tr>
      <w:tr>
        <w:trPr>
          <w:trHeight w:val="358" w:hRule="exact"/>
        </w:trPr>
        <w:tc>
          <w:tcPr>
            <w:tcW w:w="261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赔偿金</w:t>
            </w:r>
            <w:r>
              <w:rPr>
                <w:rFonts w:ascii="宋体" w:hAnsi="宋体" w:cs="宋体" w:eastAsia="宋体" w:hint="default"/>
                <w:sz w:val="21"/>
                <w:szCs w:val="21"/>
              </w:rPr>
              <w:t> </w:t>
            </w:r>
          </w:p>
        </w:tc>
        <w:tc>
          <w:tcPr>
            <w:tcW w:w="217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172,000.00</w:t>
            </w:r>
          </w:p>
        </w:tc>
        <w:tc>
          <w:tcPr>
            <w:tcW w:w="217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2,311,966.21</w:t>
            </w:r>
          </w:p>
        </w:tc>
        <w:tc>
          <w:tcPr>
            <w:tcW w:w="207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172,000.00</w:t>
            </w:r>
          </w:p>
        </w:tc>
      </w:tr>
      <w:tr>
        <w:trPr>
          <w:trHeight w:val="358" w:hRule="exact"/>
        </w:trPr>
        <w:tc>
          <w:tcPr>
            <w:tcW w:w="261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违约金和滞纳金</w:t>
            </w:r>
            <w:r>
              <w:rPr>
                <w:rFonts w:ascii="宋体" w:hAnsi="宋体" w:cs="宋体" w:eastAsia="宋体" w:hint="default"/>
                <w:sz w:val="21"/>
                <w:szCs w:val="21"/>
              </w:rPr>
              <w:t> </w:t>
            </w:r>
          </w:p>
        </w:tc>
        <w:tc>
          <w:tcPr>
            <w:tcW w:w="217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15,093.76</w:t>
            </w:r>
          </w:p>
        </w:tc>
        <w:tc>
          <w:tcPr>
            <w:tcW w:w="217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1,384.69</w:t>
            </w:r>
          </w:p>
        </w:tc>
        <w:tc>
          <w:tcPr>
            <w:tcW w:w="207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15,093.76</w:t>
            </w:r>
          </w:p>
        </w:tc>
      </w:tr>
      <w:tr>
        <w:trPr>
          <w:trHeight w:val="355" w:hRule="exact"/>
        </w:trPr>
        <w:tc>
          <w:tcPr>
            <w:tcW w:w="261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防汛抢险支出</w:t>
            </w:r>
            <w:r>
              <w:rPr>
                <w:rFonts w:ascii="宋体" w:hAnsi="宋体" w:cs="宋体" w:eastAsia="宋体" w:hint="default"/>
                <w:sz w:val="21"/>
                <w:szCs w:val="21"/>
              </w:rPr>
              <w:t> </w:t>
            </w:r>
          </w:p>
        </w:tc>
        <w:tc>
          <w:tcPr>
            <w:tcW w:w="217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66,523,717.17</w:t>
            </w:r>
          </w:p>
        </w:tc>
        <w:tc>
          <w:tcPr>
            <w:tcW w:w="217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1,243,108.30</w:t>
            </w:r>
          </w:p>
        </w:tc>
        <w:tc>
          <w:tcPr>
            <w:tcW w:w="207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66,523,717.17</w:t>
            </w:r>
          </w:p>
        </w:tc>
      </w:tr>
      <w:tr>
        <w:trPr>
          <w:trHeight w:val="358" w:hRule="exact"/>
        </w:trPr>
        <w:tc>
          <w:tcPr>
            <w:tcW w:w="261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农机购置补贴</w:t>
            </w:r>
            <w:r>
              <w:rPr>
                <w:rFonts w:ascii="宋体" w:hAnsi="宋体" w:cs="宋体" w:eastAsia="宋体" w:hint="default"/>
                <w:sz w:val="21"/>
                <w:szCs w:val="21"/>
              </w:rPr>
              <w:t> </w:t>
            </w:r>
          </w:p>
        </w:tc>
        <w:tc>
          <w:tcPr>
            <w:tcW w:w="217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92,472,574.00</w:t>
            </w:r>
          </w:p>
        </w:tc>
        <w:tc>
          <w:tcPr>
            <w:tcW w:w="217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67,236,690.00</w:t>
            </w:r>
          </w:p>
        </w:tc>
        <w:tc>
          <w:tcPr>
            <w:tcW w:w="207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right="103"/>
              <w:jc w:val="right"/>
              <w:rPr>
                <w:rFonts w:ascii="Arial" w:hAnsi="Arial" w:cs="Arial" w:eastAsia="Arial" w:hint="default"/>
                <w:sz w:val="21"/>
                <w:szCs w:val="21"/>
              </w:rPr>
            </w:pPr>
            <w:r>
              <w:rPr>
                <w:rFonts w:ascii="Arial"/>
                <w:spacing w:val="-1"/>
                <w:sz w:val="21"/>
              </w:rPr>
              <w:t>92,472,574.00</w:t>
            </w:r>
          </w:p>
        </w:tc>
      </w:tr>
      <w:tr>
        <w:trPr>
          <w:trHeight w:val="358" w:hRule="exact"/>
        </w:trPr>
        <w:tc>
          <w:tcPr>
            <w:tcW w:w="261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5"/>
              <w:ind w:left="107" w:right="0"/>
              <w:jc w:val="left"/>
              <w:rPr>
                <w:rFonts w:ascii="宋体" w:hAnsi="宋体" w:cs="宋体" w:eastAsia="宋体" w:hint="default"/>
                <w:sz w:val="21"/>
                <w:szCs w:val="21"/>
              </w:rPr>
            </w:pPr>
            <w:r>
              <w:rPr>
                <w:rFonts w:ascii="宋体" w:hAnsi="宋体" w:cs="宋体" w:eastAsia="宋体" w:hint="default"/>
                <w:sz w:val="21"/>
                <w:szCs w:val="21"/>
              </w:rPr>
              <w:t>其他支出</w:t>
            </w:r>
            <w:r>
              <w:rPr>
                <w:rFonts w:ascii="宋体" w:hAnsi="宋体" w:cs="宋体" w:eastAsia="宋体" w:hint="default"/>
                <w:sz w:val="21"/>
                <w:szCs w:val="21"/>
              </w:rPr>
              <w:t> </w:t>
            </w:r>
          </w:p>
        </w:tc>
        <w:tc>
          <w:tcPr>
            <w:tcW w:w="217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114,141.63</w:t>
            </w:r>
          </w:p>
        </w:tc>
        <w:tc>
          <w:tcPr>
            <w:tcW w:w="217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702,877.15</w:t>
            </w:r>
          </w:p>
        </w:tc>
        <w:tc>
          <w:tcPr>
            <w:tcW w:w="207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114,141.63</w:t>
            </w:r>
          </w:p>
        </w:tc>
      </w:tr>
      <w:tr>
        <w:trPr>
          <w:trHeight w:val="384" w:hRule="exact"/>
        </w:trPr>
        <w:tc>
          <w:tcPr>
            <w:tcW w:w="2619"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10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75"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183,911,993.15</w:t>
            </w:r>
          </w:p>
        </w:tc>
        <w:tc>
          <w:tcPr>
            <w:tcW w:w="2177"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137,600,568.53</w:t>
            </w:r>
          </w:p>
        </w:tc>
        <w:tc>
          <w:tcPr>
            <w:tcW w:w="2079"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183,911,993.15</w:t>
            </w:r>
          </w:p>
        </w:tc>
      </w:tr>
    </w:tbl>
    <w:p>
      <w:pPr>
        <w:spacing w:after="0" w:line="240" w:lineRule="auto"/>
        <w:jc w:val="right"/>
        <w:rPr>
          <w:rFonts w:ascii="Arial" w:hAnsi="Arial" w:cs="Arial" w:eastAsia="Arial" w:hint="default"/>
          <w:sz w:val="21"/>
          <w:szCs w:val="21"/>
        </w:rPr>
        <w:sectPr>
          <w:type w:val="continuous"/>
          <w:pgSz w:w="11910" w:h="16840"/>
          <w:pgMar w:top="1360" w:bottom="1380" w:left="1540" w:right="1000"/>
        </w:sectPr>
      </w:pPr>
    </w:p>
    <w:p>
      <w:pPr>
        <w:pStyle w:val="Heading2"/>
        <w:spacing w:line="290" w:lineRule="auto" w:before="26"/>
        <w:ind w:left="258" w:right="0"/>
        <w:jc w:val="left"/>
        <w:rPr>
          <w:rFonts w:ascii="宋体" w:hAnsi="宋体" w:cs="宋体" w:eastAsia="宋体" w:hint="default"/>
          <w:b w:val="0"/>
          <w:bCs w:val="0"/>
        </w:rPr>
      </w:pPr>
      <w:r>
        <w:rPr>
          <w:rFonts w:ascii="宋体" w:hAnsi="宋体" w:cs="宋体" w:eastAsia="宋体" w:hint="default"/>
        </w:rPr>
        <w:t>74</w:t>
      </w:r>
      <w:r>
        <w:rPr/>
        <w:t>、</w:t>
      </w:r>
      <w:r>
        <w:rPr>
          <w:spacing w:val="-26"/>
        </w:rPr>
        <w:t> </w:t>
      </w:r>
      <w:r>
        <w:rPr/>
        <w:t>所得税费用</w:t>
      </w:r>
      <w:r>
        <w:rPr>
          <w:rFonts w:ascii="宋体" w:hAnsi="宋体" w:cs="宋体" w:eastAsia="宋体" w:hint="default"/>
          <w:w w:val="99"/>
        </w:rPr>
        <w:t> </w:t>
      </w:r>
      <w:r>
        <w:rPr>
          <w:rFonts w:ascii="宋体" w:hAnsi="宋体" w:cs="宋体" w:eastAsia="宋体" w:hint="default"/>
        </w:rPr>
        <w:t>(1).</w:t>
      </w:r>
      <w:r>
        <w:rPr/>
        <w:t>所得税费用表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6"/>
        <w:ind w:left="2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540" w:right="1000"/>
          <w:cols w:num="2" w:equalWidth="0">
            <w:col w:w="2056" w:space="4466"/>
            <w:col w:w="284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493"/>
        <w:gridCol w:w="2760"/>
        <w:gridCol w:w="2808"/>
      </w:tblGrid>
      <w:tr>
        <w:trPr>
          <w:trHeight w:val="382" w:hRule="exact"/>
        </w:trPr>
        <w:tc>
          <w:tcPr>
            <w:tcW w:w="3493"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4"/>
              <w:ind w:left="10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760"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4"/>
              <w:ind w:left="84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08"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4"/>
              <w:ind w:left="86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58" w:hRule="exact"/>
        </w:trPr>
        <w:tc>
          <w:tcPr>
            <w:tcW w:w="349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当期所得税费用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76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7"/>
              <w:ind w:left="1228" w:right="0"/>
              <w:jc w:val="left"/>
              <w:rPr>
                <w:rFonts w:ascii="Arial" w:hAnsi="Arial" w:cs="Arial" w:eastAsia="Arial" w:hint="default"/>
                <w:sz w:val="21"/>
                <w:szCs w:val="21"/>
              </w:rPr>
            </w:pPr>
            <w:r>
              <w:rPr>
                <w:rFonts w:ascii="Arial"/>
                <w:sz w:val="21"/>
              </w:rPr>
              <w:t>-11,231,333.56</w:t>
            </w:r>
          </w:p>
        </w:tc>
        <w:tc>
          <w:tcPr>
            <w:tcW w:w="280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7"/>
              <w:ind w:left="1337" w:right="0"/>
              <w:jc w:val="left"/>
              <w:rPr>
                <w:rFonts w:ascii="Arial" w:hAnsi="Arial" w:cs="Arial" w:eastAsia="Arial" w:hint="default"/>
                <w:sz w:val="21"/>
                <w:szCs w:val="21"/>
              </w:rPr>
            </w:pPr>
            <w:r>
              <w:rPr>
                <w:rFonts w:ascii="Arial"/>
                <w:sz w:val="21"/>
              </w:rPr>
              <w:t>17,879,400.91</w:t>
            </w:r>
          </w:p>
        </w:tc>
      </w:tr>
      <w:tr>
        <w:trPr>
          <w:trHeight w:val="365" w:hRule="exact"/>
        </w:trPr>
        <w:tc>
          <w:tcPr>
            <w:tcW w:w="3493"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递延所得税费用</w:t>
            </w:r>
            <w:r>
              <w:rPr>
                <w:rFonts w:ascii="宋体" w:hAnsi="宋体" w:cs="宋体" w:eastAsia="宋体" w:hint="default"/>
                <w:sz w:val="21"/>
                <w:szCs w:val="21"/>
              </w:rPr>
              <w:t> </w:t>
            </w:r>
          </w:p>
        </w:tc>
        <w:tc>
          <w:tcPr>
            <w:tcW w:w="2760" w:type="dxa"/>
            <w:tcBorders>
              <w:top w:val="single" w:sz="4" w:space="0" w:color="41B7EE"/>
              <w:left w:val="single" w:sz="4" w:space="0" w:color="41B7EE"/>
              <w:bottom w:val="single" w:sz="8" w:space="0" w:color="41B7EE"/>
              <w:right w:val="single" w:sz="4" w:space="0" w:color="41B7EE"/>
            </w:tcBorders>
          </w:tcPr>
          <w:p>
            <w:pPr/>
          </w:p>
        </w:tc>
        <w:tc>
          <w:tcPr>
            <w:tcW w:w="2808" w:type="dxa"/>
            <w:tcBorders>
              <w:top w:val="single" w:sz="4" w:space="0" w:color="41B7EE"/>
              <w:left w:val="single" w:sz="4" w:space="0" w:color="41B7EE"/>
              <w:bottom w:val="single" w:sz="8" w:space="0" w:color="41B7EE"/>
              <w:right w:val="nil" w:sz="6" w:space="0" w:color="auto"/>
            </w:tcBorders>
          </w:tcPr>
          <w:p>
            <w:pPr/>
          </w:p>
        </w:tc>
      </w:tr>
    </w:tbl>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454.05pt;height:1pt;mso-position-horizontal-relative:char;mso-position-vertical-relative:line" coordorigin="0,0" coordsize="9081,20">
            <v:group style="position:absolute;left:10;top:10;width:3488;height:2" coordorigin="10,10" coordsize="3488,2">
              <v:shape style="position:absolute;left:10;top:10;width:3488;height:2" coordorigin="10,10" coordsize="3488,0" path="m10,10l3497,10e" filled="false" stroked="true" strokeweight=".95996pt" strokecolor="#41b7ee">
                <v:path arrowok="t"/>
              </v:shape>
            </v:group>
            <v:group style="position:absolute;left:3497;top:10;width:58;height:2" coordorigin="3497,10" coordsize="58,2">
              <v:shape style="position:absolute;left:3497;top:10;width:58;height:2" coordorigin="3497,10" coordsize="58,0" path="m3497,10l3555,10e" filled="false" stroked="true" strokeweight=".95996pt" strokecolor="#41b7ee">
                <v:path arrowok="t"/>
              </v:shape>
            </v:group>
            <v:group style="position:absolute;left:3555;top:10;width:2703;height:2" coordorigin="3555,10" coordsize="2703,2">
              <v:shape style="position:absolute;left:3555;top:10;width:2703;height:2" coordorigin="3555,10" coordsize="2703,0" path="m3555,10l6258,10e" filled="false" stroked="true" strokeweight=".95996pt" strokecolor="#41b7ee">
                <v:path arrowok="t"/>
              </v:shape>
            </v:group>
            <v:group style="position:absolute;left:6258;top:10;width:58;height:2" coordorigin="6258,10" coordsize="58,2">
              <v:shape style="position:absolute;left:6258;top:10;width:58;height:2" coordorigin="6258,10" coordsize="58,0" path="m6258,10l6315,10e" filled="false" stroked="true" strokeweight=".95996pt" strokecolor="#41b7ee">
                <v:path arrowok="t"/>
              </v:shape>
            </v:group>
            <v:group style="position:absolute;left:6315;top:10;width:2756;height:2" coordorigin="6315,10" coordsize="2756,2">
              <v:shape style="position:absolute;left:6315;top:10;width:2756;height:2" coordorigin="6315,10" coordsize="2756,0" path="m6315,10l9071,10e" filled="false" stroked="true" strokeweight=".95996pt" strokecolor="#41b7ee">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360" w:bottom="1380" w:left="1540" w:right="1000"/>
        </w:sectPr>
      </w:pPr>
    </w:p>
    <w:p>
      <w:pPr>
        <w:spacing w:line="240" w:lineRule="auto" w:before="10"/>
        <w:rPr>
          <w:rFonts w:ascii="宋体" w:hAnsi="宋体" w:cs="宋体" w:eastAsia="宋体" w:hint="default"/>
          <w:sz w:val="11"/>
          <w:szCs w:val="11"/>
        </w:rPr>
      </w:pPr>
    </w:p>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454.05pt;height:1pt;mso-position-horizontal-relative:char;mso-position-vertical-relative:line" coordorigin="0,0" coordsize="9081,20">
            <v:group style="position:absolute;left:10;top:10;width:3488;height:2" coordorigin="10,10" coordsize="3488,2">
              <v:shape style="position:absolute;left:10;top:10;width:3488;height:2" coordorigin="10,10" coordsize="3488,0" path="m10,10l3497,10e" filled="false" stroked="true" strokeweight=".96001pt" strokecolor="#41b7ee">
                <v:path arrowok="t"/>
              </v:shape>
            </v:group>
            <v:group style="position:absolute;left:3497;top:10;width:58;height:2" coordorigin="3497,10" coordsize="58,2">
              <v:shape style="position:absolute;left:3497;top:10;width:58;height:2" coordorigin="3497,10" coordsize="58,0" path="m3497,10l3555,10e" filled="false" stroked="true" strokeweight=".96001pt" strokecolor="#41b7ee">
                <v:path arrowok="t"/>
              </v:shape>
            </v:group>
            <v:group style="position:absolute;left:3555;top:10;width:2703;height:2" coordorigin="3555,10" coordsize="2703,2">
              <v:shape style="position:absolute;left:3555;top:10;width:2703;height:2" coordorigin="3555,10" coordsize="2703,0" path="m3555,10l6258,10e" filled="false" stroked="true" strokeweight=".96001pt" strokecolor="#41b7ee">
                <v:path arrowok="t"/>
              </v:shape>
            </v:group>
            <v:group style="position:absolute;left:6258;top:10;width:58;height:2" coordorigin="6258,10" coordsize="58,2">
              <v:shape style="position:absolute;left:6258;top:10;width:58;height:2" coordorigin="6258,10" coordsize="58,0" path="m6258,10l6315,10e" filled="false" stroked="true" strokeweight=".96001pt" strokecolor="#41b7ee">
                <v:path arrowok="t"/>
              </v:shape>
            </v:group>
            <v:group style="position:absolute;left:6315;top:10;width:2756;height:2" coordorigin="6315,10" coordsize="2756,2">
              <v:shape style="position:absolute;left:6315;top:10;width:2756;height:2" coordorigin="6315,10" coordsize="2756,0" path="m6315,10l9071,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45" w:type="dxa"/>
        <w:tblLayout w:type="fixed"/>
        <w:tblCellMar>
          <w:top w:w="0" w:type="dxa"/>
          <w:left w:w="0" w:type="dxa"/>
          <w:bottom w:w="0" w:type="dxa"/>
          <w:right w:w="0" w:type="dxa"/>
        </w:tblCellMar>
        <w:tblLook w:val="01E0"/>
      </w:tblPr>
      <w:tblGrid>
        <w:gridCol w:w="3493"/>
        <w:gridCol w:w="2760"/>
        <w:gridCol w:w="2808"/>
      </w:tblGrid>
      <w:tr>
        <w:trPr>
          <w:trHeight w:val="392" w:hRule="exact"/>
        </w:trPr>
        <w:tc>
          <w:tcPr>
            <w:tcW w:w="3493" w:type="dxa"/>
            <w:tcBorders>
              <w:top w:val="single" w:sz="8" w:space="0" w:color="41B7EE"/>
              <w:left w:val="nil" w:sz="6" w:space="0" w:color="auto"/>
              <w:bottom w:val="single" w:sz="23" w:space="0" w:color="41B7EE"/>
              <w:right w:val="single" w:sz="4" w:space="0" w:color="41B7EE"/>
            </w:tcBorders>
          </w:tcPr>
          <w:p>
            <w:pPr>
              <w:pStyle w:val="TableParagraph"/>
              <w:spacing w:line="240" w:lineRule="auto" w:before="7"/>
              <w:ind w:left="10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760" w:type="dxa"/>
            <w:tcBorders>
              <w:top w:val="single" w:sz="8" w:space="0" w:color="41B7EE"/>
              <w:left w:val="single" w:sz="4" w:space="0" w:color="41B7EE"/>
              <w:bottom w:val="single" w:sz="23" w:space="0" w:color="41B7EE"/>
              <w:right w:val="single" w:sz="4" w:space="0" w:color="41B7EE"/>
            </w:tcBorders>
          </w:tcPr>
          <w:p>
            <w:pPr>
              <w:pStyle w:val="TableParagraph"/>
              <w:spacing w:line="240" w:lineRule="auto" w:before="50"/>
              <w:ind w:left="1221" w:right="0"/>
              <w:jc w:val="left"/>
              <w:rPr>
                <w:rFonts w:ascii="Arial" w:hAnsi="Arial" w:cs="Arial" w:eastAsia="Arial" w:hint="default"/>
                <w:sz w:val="21"/>
                <w:szCs w:val="21"/>
              </w:rPr>
            </w:pPr>
            <w:r>
              <w:rPr>
                <w:rFonts w:ascii="Arial"/>
                <w:sz w:val="21"/>
              </w:rPr>
              <w:t>-11,231,333.56</w:t>
            </w:r>
          </w:p>
        </w:tc>
        <w:tc>
          <w:tcPr>
            <w:tcW w:w="2808" w:type="dxa"/>
            <w:tcBorders>
              <w:top w:val="single" w:sz="8" w:space="0" w:color="41B7EE"/>
              <w:left w:val="single" w:sz="4" w:space="0" w:color="41B7EE"/>
              <w:bottom w:val="single" w:sz="23" w:space="0" w:color="41B7EE"/>
              <w:right w:val="nil" w:sz="6" w:space="0" w:color="auto"/>
            </w:tcBorders>
          </w:tcPr>
          <w:p>
            <w:pPr>
              <w:pStyle w:val="TableParagraph"/>
              <w:spacing w:line="240" w:lineRule="auto" w:before="50"/>
              <w:ind w:left="1337" w:right="0"/>
              <w:jc w:val="left"/>
              <w:rPr>
                <w:rFonts w:ascii="Arial" w:hAnsi="Arial" w:cs="Arial" w:eastAsia="Arial" w:hint="default"/>
                <w:sz w:val="21"/>
                <w:szCs w:val="21"/>
              </w:rPr>
            </w:pPr>
            <w:r>
              <w:rPr>
                <w:rFonts w:ascii="Arial"/>
                <w:sz w:val="21"/>
              </w:rPr>
              <w:t>17,879,400.91</w:t>
            </w:r>
          </w:p>
        </w:tc>
      </w:tr>
    </w:tbl>
    <w:p>
      <w:pPr>
        <w:spacing w:after="0" w:line="240" w:lineRule="auto"/>
        <w:jc w:val="left"/>
        <w:rPr>
          <w:rFonts w:ascii="Arial" w:hAnsi="Arial" w:cs="Arial" w:eastAsia="Arial" w:hint="default"/>
          <w:sz w:val="21"/>
          <w:szCs w:val="21"/>
        </w:rPr>
        <w:sectPr>
          <w:pgSz w:w="11910" w:h="16840"/>
          <w:pgMar w:header="826" w:footer="1195" w:top="1360" w:bottom="1380" w:left="1540" w:right="1000"/>
        </w:sectPr>
      </w:pPr>
    </w:p>
    <w:p>
      <w:pPr>
        <w:pStyle w:val="Heading2"/>
        <w:spacing w:line="240" w:lineRule="auto" w:before="44"/>
        <w:ind w:left="258" w:right="0"/>
        <w:jc w:val="left"/>
        <w:rPr>
          <w:rFonts w:ascii="宋体" w:hAnsi="宋体" w:cs="宋体" w:eastAsia="宋体" w:hint="default"/>
          <w:b w:val="0"/>
          <w:bCs w:val="0"/>
        </w:rPr>
      </w:pPr>
      <w:r>
        <w:rPr>
          <w:rFonts w:ascii="宋体" w:hAnsi="宋体" w:cs="宋体" w:eastAsia="宋体" w:hint="default"/>
        </w:rPr>
        <w:t>(2).</w:t>
      </w:r>
      <w:r>
        <w:rPr/>
        <w:t>会计利润与所得税费用调整过程</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8"/>
        <w:rPr>
          <w:rFonts w:ascii="宋体" w:hAnsi="宋体" w:cs="宋体" w:eastAsia="宋体" w:hint="default"/>
          <w:sz w:val="29"/>
          <w:szCs w:val="29"/>
        </w:rPr>
      </w:pPr>
    </w:p>
    <w:p>
      <w:pPr>
        <w:pStyle w:val="BodyText"/>
        <w:spacing w:line="240" w:lineRule="auto"/>
        <w:ind w:left="2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540" w:right="1000"/>
          <w:cols w:num="2" w:equalWidth="0">
            <w:col w:w="3744" w:space="2778"/>
            <w:col w:w="2848"/>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5235"/>
        <w:gridCol w:w="3821"/>
      </w:tblGrid>
      <w:tr>
        <w:trPr>
          <w:trHeight w:val="384" w:hRule="exact"/>
        </w:trPr>
        <w:tc>
          <w:tcPr>
            <w:tcW w:w="5235"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left="11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821"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100"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r>
      <w:tr>
        <w:trPr>
          <w:trHeight w:val="358" w:hRule="exact"/>
        </w:trPr>
        <w:tc>
          <w:tcPr>
            <w:tcW w:w="523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利润总额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82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822,337,189.69</w:t>
            </w:r>
          </w:p>
        </w:tc>
      </w:tr>
      <w:tr>
        <w:trPr>
          <w:trHeight w:val="358" w:hRule="exact"/>
        </w:trPr>
        <w:tc>
          <w:tcPr>
            <w:tcW w:w="523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r>
              <w:rPr>
                <w:rFonts w:ascii="宋体" w:hAnsi="宋体" w:cs="宋体" w:eastAsia="宋体" w:hint="default"/>
                <w:sz w:val="21"/>
                <w:szCs w:val="21"/>
              </w:rPr>
              <w:t> </w:t>
            </w:r>
          </w:p>
        </w:tc>
        <w:tc>
          <w:tcPr>
            <w:tcW w:w="382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205,584,297.43</w:t>
            </w:r>
          </w:p>
        </w:tc>
      </w:tr>
      <w:tr>
        <w:trPr>
          <w:trHeight w:val="355" w:hRule="exact"/>
        </w:trPr>
        <w:tc>
          <w:tcPr>
            <w:tcW w:w="523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r>
              <w:rPr>
                <w:rFonts w:ascii="宋体" w:hAnsi="宋体" w:cs="宋体" w:eastAsia="宋体" w:hint="default"/>
                <w:sz w:val="21"/>
                <w:szCs w:val="21"/>
              </w:rPr>
              <w:t> </w:t>
            </w:r>
          </w:p>
        </w:tc>
        <w:tc>
          <w:tcPr>
            <w:tcW w:w="382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7"/>
              <w:jc w:val="right"/>
              <w:rPr>
                <w:rFonts w:ascii="Arial" w:hAnsi="Arial" w:cs="Arial" w:eastAsia="Arial" w:hint="default"/>
                <w:sz w:val="21"/>
                <w:szCs w:val="21"/>
              </w:rPr>
            </w:pPr>
            <w:r>
              <w:rPr>
                <w:rFonts w:ascii="Arial"/>
                <w:spacing w:val="-1"/>
                <w:sz w:val="21"/>
              </w:rPr>
              <w:t>-1,716.16</w:t>
            </w:r>
          </w:p>
        </w:tc>
      </w:tr>
      <w:tr>
        <w:trPr>
          <w:trHeight w:val="358" w:hRule="exact"/>
        </w:trPr>
        <w:tc>
          <w:tcPr>
            <w:tcW w:w="523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r>
              <w:rPr>
                <w:rFonts w:ascii="宋体" w:hAnsi="宋体" w:cs="宋体" w:eastAsia="宋体" w:hint="default"/>
                <w:sz w:val="21"/>
                <w:szCs w:val="21"/>
              </w:rPr>
              <w:t> </w:t>
            </w:r>
          </w:p>
        </w:tc>
        <w:tc>
          <w:tcPr>
            <w:tcW w:w="382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-11,231,762.61</w:t>
            </w:r>
          </w:p>
        </w:tc>
      </w:tr>
      <w:tr>
        <w:trPr>
          <w:trHeight w:val="358" w:hRule="exact"/>
        </w:trPr>
        <w:tc>
          <w:tcPr>
            <w:tcW w:w="523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非应税收入的影响</w:t>
            </w:r>
            <w:r>
              <w:rPr>
                <w:rFonts w:ascii="宋体" w:hAnsi="宋体" w:cs="宋体" w:eastAsia="宋体" w:hint="default"/>
                <w:sz w:val="21"/>
                <w:szCs w:val="21"/>
              </w:rPr>
              <w:t> </w:t>
            </w:r>
          </w:p>
        </w:tc>
        <w:tc>
          <w:tcPr>
            <w:tcW w:w="382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-232,004,587.37</w:t>
            </w:r>
          </w:p>
        </w:tc>
      </w:tr>
      <w:tr>
        <w:trPr>
          <w:trHeight w:val="358" w:hRule="exact"/>
        </w:trPr>
        <w:tc>
          <w:tcPr>
            <w:tcW w:w="523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r>
              <w:rPr>
                <w:rFonts w:ascii="宋体" w:hAnsi="宋体" w:cs="宋体" w:eastAsia="宋体" w:hint="default"/>
                <w:sz w:val="21"/>
                <w:szCs w:val="21"/>
              </w:rPr>
              <w:t> </w:t>
            </w:r>
          </w:p>
        </w:tc>
        <w:tc>
          <w:tcPr>
            <w:tcW w:w="382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7,142,480.74</w:t>
            </w:r>
          </w:p>
        </w:tc>
      </w:tr>
      <w:tr>
        <w:trPr>
          <w:trHeight w:val="355" w:hRule="exact"/>
        </w:trPr>
        <w:tc>
          <w:tcPr>
            <w:tcW w:w="523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r>
              <w:rPr>
                <w:rFonts w:ascii="宋体" w:hAnsi="宋体" w:cs="宋体" w:eastAsia="宋体" w:hint="default"/>
                <w:sz w:val="21"/>
                <w:szCs w:val="21"/>
              </w:rPr>
              <w:t> </w:t>
            </w:r>
          </w:p>
        </w:tc>
        <w:tc>
          <w:tcPr>
            <w:tcW w:w="382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-73,481.87</w:t>
            </w:r>
          </w:p>
        </w:tc>
      </w:tr>
      <w:tr>
        <w:trPr>
          <w:trHeight w:val="554" w:hRule="exact"/>
        </w:trPr>
        <w:tc>
          <w:tcPr>
            <w:tcW w:w="5235" w:type="dxa"/>
            <w:tcBorders>
              <w:top w:val="single" w:sz="4" w:space="0" w:color="41B7EE"/>
              <w:left w:val="nil" w:sz="6" w:space="0" w:color="auto"/>
              <w:bottom w:val="single" w:sz="4" w:space="0" w:color="41B7EE"/>
              <w:right w:val="single" w:sz="4" w:space="0" w:color="41B7EE"/>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w:t>
            </w:r>
          </w:p>
          <w:p>
            <w:pPr>
              <w:pStyle w:val="TableParagraph"/>
              <w:spacing w:line="274" w:lineRule="exact"/>
              <w:ind w:left="112" w:right="0"/>
              <w:jc w:val="left"/>
              <w:rPr>
                <w:rFonts w:ascii="宋体" w:hAnsi="宋体" w:cs="宋体" w:eastAsia="宋体" w:hint="default"/>
                <w:sz w:val="21"/>
                <w:szCs w:val="21"/>
              </w:rPr>
            </w:pPr>
            <w:r>
              <w:rPr>
                <w:rFonts w:ascii="宋体" w:hAnsi="宋体" w:cs="宋体" w:eastAsia="宋体" w:hint="default"/>
                <w:sz w:val="21"/>
                <w:szCs w:val="21"/>
              </w:rPr>
              <w:t>抵扣亏损的影响</w:t>
            </w:r>
            <w:r>
              <w:rPr>
                <w:rFonts w:ascii="宋体" w:hAnsi="宋体" w:cs="宋体" w:eastAsia="宋体" w:hint="default"/>
                <w:sz w:val="21"/>
                <w:szCs w:val="21"/>
              </w:rPr>
              <w:t> </w:t>
            </w:r>
          </w:p>
        </w:tc>
        <w:tc>
          <w:tcPr>
            <w:tcW w:w="382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8"/>
              <w:ind w:right="108"/>
              <w:jc w:val="right"/>
              <w:rPr>
                <w:rFonts w:ascii="Arial" w:hAnsi="Arial" w:cs="Arial" w:eastAsia="Arial" w:hint="default"/>
                <w:sz w:val="21"/>
                <w:szCs w:val="21"/>
              </w:rPr>
            </w:pPr>
            <w:r>
              <w:rPr>
                <w:rFonts w:ascii="Arial"/>
                <w:spacing w:val="-1"/>
                <w:sz w:val="21"/>
              </w:rPr>
              <w:t>19,353,436.28</w:t>
            </w:r>
          </w:p>
        </w:tc>
      </w:tr>
      <w:tr>
        <w:trPr>
          <w:trHeight w:val="437" w:hRule="exact"/>
        </w:trPr>
        <w:tc>
          <w:tcPr>
            <w:tcW w:w="5235"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30"/>
              <w:ind w:left="112"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3821"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124"/>
              <w:ind w:right="108"/>
              <w:jc w:val="right"/>
              <w:rPr>
                <w:rFonts w:ascii="Arial" w:hAnsi="Arial" w:cs="Arial" w:eastAsia="Arial" w:hint="default"/>
                <w:sz w:val="21"/>
                <w:szCs w:val="21"/>
              </w:rPr>
            </w:pPr>
            <w:r>
              <w:rPr>
                <w:rFonts w:ascii="Arial"/>
                <w:spacing w:val="-1"/>
                <w:sz w:val="21"/>
              </w:rPr>
              <w:t>-11,231,333.56</w:t>
            </w:r>
          </w:p>
        </w:tc>
      </w:tr>
    </w:tbl>
    <w:p>
      <w:pPr>
        <w:spacing w:after="0" w:line="240" w:lineRule="auto"/>
        <w:jc w:val="right"/>
        <w:rPr>
          <w:rFonts w:ascii="Arial" w:hAnsi="Arial" w:cs="Arial" w:eastAsia="Arial" w:hint="default"/>
          <w:sz w:val="21"/>
          <w:szCs w:val="21"/>
        </w:rPr>
        <w:sectPr>
          <w:type w:val="continuous"/>
          <w:pgSz w:w="11910" w:h="16840"/>
          <w:pgMar w:top="1360" w:bottom="1380" w:left="1540" w:right="1000"/>
        </w:sectPr>
      </w:pPr>
    </w:p>
    <w:p>
      <w:pPr>
        <w:pStyle w:val="Heading2"/>
        <w:spacing w:line="240" w:lineRule="auto" w:before="26"/>
        <w:ind w:left="258" w:right="0"/>
        <w:jc w:val="left"/>
        <w:rPr>
          <w:rFonts w:ascii="宋体" w:hAnsi="宋体" w:cs="宋体" w:eastAsia="宋体" w:hint="default"/>
          <w:b w:val="0"/>
          <w:bCs w:val="0"/>
        </w:rPr>
      </w:pPr>
      <w:r>
        <w:rPr>
          <w:rFonts w:ascii="宋体" w:hAnsi="宋体" w:cs="宋体" w:eastAsia="宋体" w:hint="default"/>
        </w:rPr>
        <w:t>75</w:t>
      </w:r>
      <w:r>
        <w:rPr/>
        <w:t>、</w:t>
      </w:r>
      <w:r>
        <w:rPr>
          <w:spacing w:val="-27"/>
        </w:rPr>
        <w:t> </w:t>
      </w:r>
      <w:r>
        <w:rPr/>
        <w:t>其他综合收益</w:t>
      </w:r>
      <w:r>
        <w:rPr>
          <w:rFonts w:ascii="宋体" w:hAnsi="宋体" w:cs="宋体" w:eastAsia="宋体" w:hint="default"/>
          <w:w w:val="99"/>
        </w:rPr>
        <w:t> </w:t>
      </w:r>
      <w:r>
        <w:rPr>
          <w:rFonts w:ascii="宋体" w:hAnsi="宋体" w:cs="宋体" w:eastAsia="宋体" w:hint="default"/>
          <w:b w:val="0"/>
          <w:bCs w:val="0"/>
        </w:rPr>
      </w:r>
    </w:p>
    <w:p>
      <w:pPr>
        <w:spacing w:line="256" w:lineRule="auto" w:before="58"/>
        <w:ind w:left="25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详见附注七、</w:t>
      </w:r>
      <w:r>
        <w:rPr>
          <w:rFonts w:ascii="Arial" w:hAnsi="Arial" w:cs="Arial" w:eastAsia="Arial" w:hint="default"/>
          <w:sz w:val="21"/>
          <w:szCs w:val="21"/>
        </w:rPr>
        <w:t>55</w:t>
      </w:r>
      <w:r>
        <w:rPr>
          <w:rFonts w:ascii="宋体" w:hAnsi="宋体" w:cs="宋体" w:eastAsia="宋体" w:hint="default"/>
          <w:sz w:val="21"/>
          <w:szCs w:val="21"/>
        </w:rPr>
        <w:t>“其他综合收益”。</w:t>
      </w:r>
      <w:r>
        <w:rPr>
          <w:rFonts w:ascii="宋体" w:hAnsi="宋体" w:cs="宋体" w:eastAsia="宋体" w:hint="default"/>
          <w:w w:val="100"/>
          <w:sz w:val="21"/>
          <w:szCs w:val="21"/>
        </w:rPr>
        <w:t> </w:t>
      </w:r>
      <w:r>
        <w:rPr>
          <w:rFonts w:ascii="宋体" w:hAnsi="宋体" w:cs="宋体" w:eastAsia="宋体" w:hint="default"/>
          <w:b/>
          <w:bCs/>
          <w:sz w:val="21"/>
          <w:szCs w:val="21"/>
        </w:rPr>
        <w:t>76</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现金流量表项目</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41"/>
        <w:ind w:left="258" w:right="0"/>
        <w:jc w:val="left"/>
        <w:rPr>
          <w:rFonts w:ascii="宋体" w:hAnsi="宋体" w:cs="宋体" w:eastAsia="宋体" w:hint="default"/>
          <w:b w:val="0"/>
          <w:bCs w:val="0"/>
        </w:rPr>
      </w:pPr>
      <w:r>
        <w:rPr>
          <w:rFonts w:ascii="宋体" w:hAnsi="宋体" w:cs="宋体" w:eastAsia="宋体" w:hint="default"/>
        </w:rPr>
        <w:t>(1).</w:t>
      </w:r>
      <w:r>
        <w:rPr/>
        <w:t>收到的其他与经营活动有关的现金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ind w:left="2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540" w:right="1000"/>
          <w:cols w:num="2" w:equalWidth="0">
            <w:col w:w="3953" w:space="2569"/>
            <w:col w:w="284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490"/>
        <w:gridCol w:w="2751"/>
        <w:gridCol w:w="2820"/>
      </w:tblGrid>
      <w:tr>
        <w:trPr>
          <w:trHeight w:val="382" w:hRule="exact"/>
        </w:trPr>
        <w:tc>
          <w:tcPr>
            <w:tcW w:w="3490"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right="142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751"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84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20"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55" w:hRule="exact"/>
        </w:trPr>
        <w:tc>
          <w:tcPr>
            <w:tcW w:w="349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收到保证金</w:t>
            </w:r>
            <w:r>
              <w:rPr>
                <w:rFonts w:ascii="宋体" w:hAnsi="宋体" w:cs="宋体" w:eastAsia="宋体" w:hint="default"/>
                <w:sz w:val="21"/>
                <w:szCs w:val="21"/>
              </w:rPr>
              <w:t> </w:t>
            </w:r>
          </w:p>
        </w:tc>
        <w:tc>
          <w:tcPr>
            <w:tcW w:w="275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8"/>
              <w:ind w:right="104"/>
              <w:jc w:val="right"/>
              <w:rPr>
                <w:rFonts w:ascii="Arial" w:hAnsi="Arial" w:cs="Arial" w:eastAsia="Arial" w:hint="default"/>
                <w:sz w:val="21"/>
                <w:szCs w:val="21"/>
              </w:rPr>
            </w:pPr>
            <w:r>
              <w:rPr>
                <w:rFonts w:ascii="Arial"/>
                <w:spacing w:val="-1"/>
                <w:sz w:val="21"/>
              </w:rPr>
              <w:t>52,030,088.22</w:t>
            </w:r>
          </w:p>
        </w:tc>
        <w:tc>
          <w:tcPr>
            <w:tcW w:w="282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54,867,677.03</w:t>
            </w:r>
          </w:p>
        </w:tc>
      </w:tr>
      <w:tr>
        <w:trPr>
          <w:trHeight w:val="355" w:hRule="exact"/>
        </w:trPr>
        <w:tc>
          <w:tcPr>
            <w:tcW w:w="349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275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right="104"/>
              <w:jc w:val="right"/>
              <w:rPr>
                <w:rFonts w:ascii="Arial" w:hAnsi="Arial" w:cs="Arial" w:eastAsia="Arial" w:hint="default"/>
                <w:sz w:val="21"/>
                <w:szCs w:val="21"/>
              </w:rPr>
            </w:pPr>
            <w:r>
              <w:rPr>
                <w:rFonts w:ascii="Arial"/>
                <w:spacing w:val="-1"/>
                <w:sz w:val="21"/>
              </w:rPr>
              <w:t>15,983,574.96</w:t>
            </w:r>
          </w:p>
        </w:tc>
        <w:tc>
          <w:tcPr>
            <w:tcW w:w="282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5,673,750.82</w:t>
            </w:r>
          </w:p>
        </w:tc>
      </w:tr>
      <w:tr>
        <w:trPr>
          <w:trHeight w:val="358" w:hRule="exact"/>
        </w:trPr>
        <w:tc>
          <w:tcPr>
            <w:tcW w:w="349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275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right="103"/>
              <w:jc w:val="right"/>
              <w:rPr>
                <w:rFonts w:ascii="Arial" w:hAnsi="Arial" w:cs="Arial" w:eastAsia="Arial" w:hint="default"/>
                <w:sz w:val="21"/>
                <w:szCs w:val="21"/>
              </w:rPr>
            </w:pPr>
            <w:r>
              <w:rPr>
                <w:rFonts w:ascii="Arial"/>
                <w:spacing w:val="-1"/>
                <w:sz w:val="21"/>
              </w:rPr>
              <w:t>199,860.07</w:t>
            </w:r>
          </w:p>
        </w:tc>
        <w:tc>
          <w:tcPr>
            <w:tcW w:w="282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5,140,155.49</w:t>
            </w:r>
          </w:p>
        </w:tc>
      </w:tr>
      <w:tr>
        <w:trPr>
          <w:trHeight w:val="355" w:hRule="exact"/>
        </w:trPr>
        <w:tc>
          <w:tcPr>
            <w:tcW w:w="349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275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8"/>
              <w:ind w:right="104"/>
              <w:jc w:val="right"/>
              <w:rPr>
                <w:rFonts w:ascii="Arial" w:hAnsi="Arial" w:cs="Arial" w:eastAsia="Arial" w:hint="default"/>
                <w:sz w:val="21"/>
                <w:szCs w:val="21"/>
              </w:rPr>
            </w:pPr>
            <w:r>
              <w:rPr>
                <w:rFonts w:ascii="Arial"/>
                <w:spacing w:val="-1"/>
                <w:sz w:val="21"/>
              </w:rPr>
              <w:t>124,202,939.76</w:t>
            </w:r>
          </w:p>
        </w:tc>
        <w:tc>
          <w:tcPr>
            <w:tcW w:w="282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119,146,473.21</w:t>
            </w:r>
          </w:p>
        </w:tc>
      </w:tr>
      <w:tr>
        <w:trPr>
          <w:trHeight w:val="355" w:hRule="exact"/>
        </w:trPr>
        <w:tc>
          <w:tcPr>
            <w:tcW w:w="349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租赁收入</w:t>
            </w:r>
            <w:r>
              <w:rPr>
                <w:rFonts w:ascii="宋体" w:hAnsi="宋体" w:cs="宋体" w:eastAsia="宋体" w:hint="default"/>
                <w:sz w:val="21"/>
                <w:szCs w:val="21"/>
              </w:rPr>
              <w:t> </w:t>
            </w:r>
          </w:p>
        </w:tc>
        <w:tc>
          <w:tcPr>
            <w:tcW w:w="275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right="104"/>
              <w:jc w:val="right"/>
              <w:rPr>
                <w:rFonts w:ascii="Arial" w:hAnsi="Arial" w:cs="Arial" w:eastAsia="Arial" w:hint="default"/>
                <w:sz w:val="21"/>
                <w:szCs w:val="21"/>
              </w:rPr>
            </w:pPr>
            <w:r>
              <w:rPr>
                <w:rFonts w:ascii="Arial"/>
                <w:spacing w:val="-1"/>
                <w:sz w:val="21"/>
              </w:rPr>
              <w:t>11,189,732.13</w:t>
            </w:r>
          </w:p>
        </w:tc>
        <w:tc>
          <w:tcPr>
            <w:tcW w:w="282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13,245,233.91</w:t>
            </w:r>
          </w:p>
        </w:tc>
      </w:tr>
      <w:tr>
        <w:trPr>
          <w:trHeight w:val="358" w:hRule="exact"/>
        </w:trPr>
        <w:tc>
          <w:tcPr>
            <w:tcW w:w="349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75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right="103"/>
              <w:jc w:val="right"/>
              <w:rPr>
                <w:rFonts w:ascii="Arial" w:hAnsi="Arial" w:cs="Arial" w:eastAsia="Arial" w:hint="default"/>
                <w:sz w:val="21"/>
                <w:szCs w:val="21"/>
              </w:rPr>
            </w:pPr>
            <w:r>
              <w:rPr>
                <w:rFonts w:ascii="Arial"/>
                <w:spacing w:val="-1"/>
                <w:sz w:val="21"/>
              </w:rPr>
              <w:t>2,620,862.18</w:t>
            </w:r>
          </w:p>
        </w:tc>
        <w:tc>
          <w:tcPr>
            <w:tcW w:w="282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10,149,862.93</w:t>
            </w:r>
          </w:p>
        </w:tc>
      </w:tr>
      <w:tr>
        <w:trPr>
          <w:trHeight w:val="382" w:hRule="exact"/>
        </w:trPr>
        <w:tc>
          <w:tcPr>
            <w:tcW w:w="3490"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right="142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751"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98"/>
              <w:ind w:right="104"/>
              <w:jc w:val="right"/>
              <w:rPr>
                <w:rFonts w:ascii="Arial" w:hAnsi="Arial" w:cs="Arial" w:eastAsia="Arial" w:hint="default"/>
                <w:sz w:val="21"/>
                <w:szCs w:val="21"/>
              </w:rPr>
            </w:pPr>
            <w:r>
              <w:rPr>
                <w:rFonts w:ascii="Arial"/>
                <w:spacing w:val="-1"/>
                <w:sz w:val="21"/>
              </w:rPr>
              <w:t>206,227,057.32</w:t>
            </w:r>
          </w:p>
        </w:tc>
        <w:tc>
          <w:tcPr>
            <w:tcW w:w="2820"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208,223,153.39</w:t>
            </w:r>
          </w:p>
        </w:tc>
      </w:tr>
    </w:tbl>
    <w:p>
      <w:pPr>
        <w:spacing w:after="0" w:line="240" w:lineRule="auto"/>
        <w:jc w:val="right"/>
        <w:rPr>
          <w:rFonts w:ascii="Arial" w:hAnsi="Arial" w:cs="Arial" w:eastAsia="Arial" w:hint="default"/>
          <w:sz w:val="21"/>
          <w:szCs w:val="21"/>
        </w:rPr>
        <w:sectPr>
          <w:type w:val="continuous"/>
          <w:pgSz w:w="11910" w:h="16840"/>
          <w:pgMar w:top="1360" w:bottom="1380" w:left="1540" w:right="1000"/>
        </w:sectPr>
      </w:pPr>
    </w:p>
    <w:p>
      <w:pPr>
        <w:pStyle w:val="Heading2"/>
        <w:spacing w:line="240" w:lineRule="auto" w:before="26"/>
        <w:ind w:left="258" w:right="0"/>
        <w:jc w:val="left"/>
        <w:rPr>
          <w:rFonts w:ascii="宋体" w:hAnsi="宋体" w:cs="宋体" w:eastAsia="宋体" w:hint="default"/>
          <w:b w:val="0"/>
          <w:bCs w:val="0"/>
        </w:rPr>
      </w:pPr>
      <w:r>
        <w:rPr>
          <w:rFonts w:ascii="宋体" w:hAnsi="宋体" w:cs="宋体" w:eastAsia="宋体" w:hint="default"/>
        </w:rPr>
        <w:t>(2).</w:t>
      </w:r>
      <w:r>
        <w:rPr/>
        <w:t>支付的其他与经营活动有关的现金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spacing w:line="240" w:lineRule="auto"/>
        <w:ind w:left="2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540" w:right="1000"/>
          <w:cols w:num="2" w:equalWidth="0">
            <w:col w:w="3953" w:space="2569"/>
            <w:col w:w="2848"/>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490"/>
        <w:gridCol w:w="2732"/>
        <w:gridCol w:w="2840"/>
      </w:tblGrid>
      <w:tr>
        <w:trPr>
          <w:trHeight w:val="384" w:hRule="exact"/>
        </w:trPr>
        <w:tc>
          <w:tcPr>
            <w:tcW w:w="3490"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6"/>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732"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6"/>
              <w:ind w:left="83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40"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6"/>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55" w:hRule="exact"/>
        </w:trPr>
        <w:tc>
          <w:tcPr>
            <w:tcW w:w="349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p>
        </w:tc>
        <w:tc>
          <w:tcPr>
            <w:tcW w:w="273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10,503,225.55</w:t>
            </w:r>
          </w:p>
        </w:tc>
        <w:tc>
          <w:tcPr>
            <w:tcW w:w="284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9,865,942.77</w:t>
            </w:r>
          </w:p>
        </w:tc>
      </w:tr>
      <w:tr>
        <w:trPr>
          <w:trHeight w:val="355" w:hRule="exact"/>
        </w:trPr>
        <w:tc>
          <w:tcPr>
            <w:tcW w:w="349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办公费</w:t>
            </w:r>
            <w:r>
              <w:rPr>
                <w:rFonts w:ascii="宋体" w:hAnsi="宋体" w:cs="宋体" w:eastAsia="宋体" w:hint="default"/>
                <w:sz w:val="21"/>
                <w:szCs w:val="21"/>
              </w:rPr>
              <w:t> </w:t>
            </w:r>
          </w:p>
        </w:tc>
        <w:tc>
          <w:tcPr>
            <w:tcW w:w="273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13,871,968.32</w:t>
            </w:r>
          </w:p>
        </w:tc>
        <w:tc>
          <w:tcPr>
            <w:tcW w:w="284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16,813,284.52</w:t>
            </w:r>
          </w:p>
        </w:tc>
      </w:tr>
      <w:tr>
        <w:trPr>
          <w:trHeight w:val="358" w:hRule="exact"/>
        </w:trPr>
        <w:tc>
          <w:tcPr>
            <w:tcW w:w="349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业务招待费</w:t>
            </w:r>
            <w:r>
              <w:rPr>
                <w:rFonts w:ascii="宋体" w:hAnsi="宋体" w:cs="宋体" w:eastAsia="宋体" w:hint="default"/>
                <w:sz w:val="21"/>
                <w:szCs w:val="21"/>
              </w:rPr>
              <w:t> </w:t>
            </w:r>
          </w:p>
        </w:tc>
        <w:tc>
          <w:tcPr>
            <w:tcW w:w="273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12,226,384.87</w:t>
            </w:r>
          </w:p>
        </w:tc>
        <w:tc>
          <w:tcPr>
            <w:tcW w:w="284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11,726,063.85</w:t>
            </w:r>
          </w:p>
        </w:tc>
      </w:tr>
      <w:tr>
        <w:trPr>
          <w:trHeight w:val="355" w:hRule="exact"/>
        </w:trPr>
        <w:tc>
          <w:tcPr>
            <w:tcW w:w="349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物料消耗</w:t>
            </w:r>
            <w:r>
              <w:rPr>
                <w:rFonts w:ascii="宋体" w:hAnsi="宋体" w:cs="宋体" w:eastAsia="宋体" w:hint="default"/>
                <w:sz w:val="21"/>
                <w:szCs w:val="21"/>
              </w:rPr>
              <w:t> </w:t>
            </w:r>
          </w:p>
        </w:tc>
        <w:tc>
          <w:tcPr>
            <w:tcW w:w="273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36,868,055.94</w:t>
            </w:r>
          </w:p>
        </w:tc>
        <w:tc>
          <w:tcPr>
            <w:tcW w:w="284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44,517,787.97</w:t>
            </w:r>
          </w:p>
        </w:tc>
      </w:tr>
      <w:tr>
        <w:trPr>
          <w:trHeight w:val="362" w:hRule="exact"/>
        </w:trPr>
        <w:tc>
          <w:tcPr>
            <w:tcW w:w="3490"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修理费</w:t>
            </w:r>
            <w:r>
              <w:rPr>
                <w:rFonts w:ascii="宋体" w:hAnsi="宋体" w:cs="宋体" w:eastAsia="宋体" w:hint="default"/>
                <w:sz w:val="21"/>
                <w:szCs w:val="21"/>
              </w:rPr>
              <w:t> </w:t>
            </w:r>
          </w:p>
        </w:tc>
        <w:tc>
          <w:tcPr>
            <w:tcW w:w="273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7"/>
              <w:ind w:right="106"/>
              <w:jc w:val="right"/>
              <w:rPr>
                <w:rFonts w:ascii="Arial" w:hAnsi="Arial" w:cs="Arial" w:eastAsia="Arial" w:hint="default"/>
                <w:sz w:val="21"/>
                <w:szCs w:val="21"/>
              </w:rPr>
            </w:pPr>
            <w:r>
              <w:rPr>
                <w:rFonts w:ascii="Arial"/>
                <w:spacing w:val="-1"/>
                <w:sz w:val="21"/>
              </w:rPr>
              <w:t>12,051,499.53</w:t>
            </w:r>
          </w:p>
        </w:tc>
        <w:tc>
          <w:tcPr>
            <w:tcW w:w="2840"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7"/>
              <w:ind w:right="111"/>
              <w:jc w:val="right"/>
              <w:rPr>
                <w:rFonts w:ascii="Arial" w:hAnsi="Arial" w:cs="Arial" w:eastAsia="Arial" w:hint="default"/>
                <w:sz w:val="21"/>
                <w:szCs w:val="21"/>
              </w:rPr>
            </w:pPr>
            <w:r>
              <w:rPr>
                <w:rFonts w:ascii="Arial"/>
                <w:spacing w:val="-1"/>
                <w:sz w:val="21"/>
              </w:rPr>
              <w:t>20,858,866.89</w:t>
            </w:r>
          </w:p>
        </w:tc>
      </w:tr>
    </w:tbl>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454.05pt;height:1pt;mso-position-horizontal-relative:char;mso-position-vertical-relative:line" coordorigin="0,0" coordsize="9081,20">
            <v:group style="position:absolute;left:10;top:10;width:3486;height:2" coordorigin="10,10" coordsize="3486,2">
              <v:shape style="position:absolute;left:10;top:10;width:3486;height:2" coordorigin="10,10" coordsize="3486,0" path="m10,10l3495,10e" filled="false" stroked="true" strokeweight=".96002pt" strokecolor="#009eea">
                <v:path arrowok="t"/>
              </v:shape>
            </v:group>
            <v:group style="position:absolute;left:3495;top:10;width:58;height:2" coordorigin="3495,10" coordsize="58,2">
              <v:shape style="position:absolute;left:3495;top:10;width:58;height:2" coordorigin="3495,10" coordsize="58,0" path="m3495,10l3553,10e" filled="false" stroked="true" strokeweight=".96002pt" strokecolor="#009eea">
                <v:path arrowok="t"/>
              </v:shape>
            </v:group>
            <v:group style="position:absolute;left:3553;top:10;width:2674;height:2" coordorigin="3553,10" coordsize="2674,2">
              <v:shape style="position:absolute;left:3553;top:10;width:2674;height:2" coordorigin="3553,10" coordsize="2674,0" path="m3553,10l6227,10e" filled="false" stroked="true" strokeweight=".96002pt" strokecolor="#009eea">
                <v:path arrowok="t"/>
              </v:shape>
            </v:group>
            <v:group style="position:absolute;left:6227;top:10;width:58;height:2" coordorigin="6227,10" coordsize="58,2">
              <v:shape style="position:absolute;left:6227;top:10;width:58;height:2" coordorigin="6227,10" coordsize="58,0" path="m6227,10l6284,10e" filled="false" stroked="true" strokeweight=".96002pt" strokecolor="#009eea">
                <v:path arrowok="t"/>
              </v:shape>
            </v:group>
            <v:group style="position:absolute;left:6284;top:10;width:2787;height:2" coordorigin="6284,10" coordsize="2787,2">
              <v:shape style="position:absolute;left:6284;top:10;width:2787;height:2" coordorigin="6284,10" coordsize="2787,0" path="m6284,10l9071,10e" filled="false" stroked="true" strokeweight=".96002pt" strokecolor="#009ee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360" w:bottom="1380" w:left="1540" w:right="1000"/>
        </w:sectPr>
      </w:pPr>
    </w:p>
    <w:p>
      <w:pPr>
        <w:spacing w:line="240" w:lineRule="auto" w:before="10"/>
        <w:rPr>
          <w:rFonts w:ascii="宋体" w:hAnsi="宋体" w:cs="宋体" w:eastAsia="宋体" w:hint="default"/>
          <w:sz w:val="11"/>
          <w:szCs w:val="11"/>
        </w:rPr>
      </w:pPr>
    </w:p>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454.05pt;height:1pt;mso-position-horizontal-relative:char;mso-position-vertical-relative:line" coordorigin="0,0" coordsize="9081,20">
            <v:group style="position:absolute;left:10;top:10;width:3486;height:2" coordorigin="10,10" coordsize="3486,2">
              <v:shape style="position:absolute;left:10;top:10;width:3486;height:2" coordorigin="10,10" coordsize="3486,0" path="m10,10l3495,10e" filled="false" stroked="true" strokeweight=".96001pt" strokecolor="#009eea">
                <v:path arrowok="t"/>
              </v:shape>
            </v:group>
            <v:group style="position:absolute;left:3495;top:10;width:58;height:2" coordorigin="3495,10" coordsize="58,2">
              <v:shape style="position:absolute;left:3495;top:10;width:58;height:2" coordorigin="3495,10" coordsize="58,0" path="m3495,10l3553,10e" filled="false" stroked="true" strokeweight=".96001pt" strokecolor="#009eea">
                <v:path arrowok="t"/>
              </v:shape>
            </v:group>
            <v:group style="position:absolute;left:3553;top:10;width:2674;height:2" coordorigin="3553,10" coordsize="2674,2">
              <v:shape style="position:absolute;left:3553;top:10;width:2674;height:2" coordorigin="3553,10" coordsize="2674,0" path="m3553,10l6227,10e" filled="false" stroked="true" strokeweight=".96001pt" strokecolor="#009eea">
                <v:path arrowok="t"/>
              </v:shape>
            </v:group>
            <v:group style="position:absolute;left:6227;top:10;width:58;height:2" coordorigin="6227,10" coordsize="58,2">
              <v:shape style="position:absolute;left:6227;top:10;width:58;height:2" coordorigin="6227,10" coordsize="58,0" path="m6227,10l6284,10e" filled="false" stroked="true" strokeweight=".96001pt" strokecolor="#009eea">
                <v:path arrowok="t"/>
              </v:shape>
            </v:group>
            <v:group style="position:absolute;left:6284;top:10;width:2787;height:2" coordorigin="6284,10" coordsize="2787,2">
              <v:shape style="position:absolute;left:6284;top:10;width:2787;height:2" coordorigin="6284,10" coordsize="2787,0" path="m6284,10l9071,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16" w:type="dxa"/>
        <w:tblLayout w:type="fixed"/>
        <w:tblCellMar>
          <w:top w:w="0" w:type="dxa"/>
          <w:left w:w="0" w:type="dxa"/>
          <w:bottom w:w="0" w:type="dxa"/>
          <w:right w:w="0" w:type="dxa"/>
        </w:tblCellMar>
        <w:tblLook w:val="01E0"/>
      </w:tblPr>
      <w:tblGrid>
        <w:gridCol w:w="3490"/>
        <w:gridCol w:w="2732"/>
        <w:gridCol w:w="2840"/>
      </w:tblGrid>
      <w:tr>
        <w:trPr>
          <w:trHeight w:val="365" w:hRule="exact"/>
        </w:trPr>
        <w:tc>
          <w:tcPr>
            <w:tcW w:w="3490"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7"/>
              <w:ind w:left="112" w:right="0"/>
              <w:jc w:val="left"/>
              <w:rPr>
                <w:rFonts w:ascii="宋体" w:hAnsi="宋体" w:cs="宋体" w:eastAsia="宋体" w:hint="default"/>
                <w:sz w:val="21"/>
                <w:szCs w:val="21"/>
              </w:rPr>
            </w:pPr>
            <w:r>
              <w:rPr>
                <w:rFonts w:ascii="宋体" w:hAnsi="宋体" w:cs="宋体" w:eastAsia="宋体" w:hint="default"/>
                <w:sz w:val="21"/>
                <w:szCs w:val="21"/>
              </w:rPr>
              <w:t>保险费</w:t>
            </w:r>
            <w:r>
              <w:rPr>
                <w:rFonts w:ascii="宋体" w:hAnsi="宋体" w:cs="宋体" w:eastAsia="宋体" w:hint="default"/>
                <w:sz w:val="21"/>
                <w:szCs w:val="21"/>
              </w:rPr>
              <w:t> </w:t>
            </w:r>
          </w:p>
        </w:tc>
        <w:tc>
          <w:tcPr>
            <w:tcW w:w="2732"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0"/>
              <w:ind w:right="106"/>
              <w:jc w:val="right"/>
              <w:rPr>
                <w:rFonts w:ascii="Arial" w:hAnsi="Arial" w:cs="Arial" w:eastAsia="Arial" w:hint="default"/>
                <w:sz w:val="21"/>
                <w:szCs w:val="21"/>
              </w:rPr>
            </w:pPr>
            <w:r>
              <w:rPr>
                <w:rFonts w:ascii="Arial"/>
                <w:spacing w:val="-1"/>
                <w:sz w:val="21"/>
              </w:rPr>
              <w:t>46,644,952.71</w:t>
            </w:r>
          </w:p>
        </w:tc>
        <w:tc>
          <w:tcPr>
            <w:tcW w:w="2840"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50"/>
              <w:ind w:right="111"/>
              <w:jc w:val="right"/>
              <w:rPr>
                <w:rFonts w:ascii="Arial" w:hAnsi="Arial" w:cs="Arial" w:eastAsia="Arial" w:hint="default"/>
                <w:sz w:val="21"/>
                <w:szCs w:val="21"/>
              </w:rPr>
            </w:pPr>
            <w:r>
              <w:rPr>
                <w:rFonts w:ascii="Arial"/>
                <w:spacing w:val="-1"/>
                <w:sz w:val="21"/>
              </w:rPr>
              <w:t>46,266,932.62</w:t>
            </w:r>
          </w:p>
        </w:tc>
      </w:tr>
      <w:tr>
        <w:trPr>
          <w:trHeight w:val="355" w:hRule="exact"/>
        </w:trPr>
        <w:tc>
          <w:tcPr>
            <w:tcW w:w="349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pacing w:val="-14"/>
                <w:sz w:val="21"/>
                <w:szCs w:val="21"/>
              </w:rPr>
              <w:t>水资源及水土防治费等农田基础设施</w:t>
            </w:r>
            <w:r>
              <w:rPr>
                <w:rFonts w:ascii="宋体" w:hAnsi="宋体" w:cs="宋体" w:eastAsia="宋体" w:hint="default"/>
                <w:sz w:val="21"/>
                <w:szCs w:val="21"/>
              </w:rPr>
              <w:t> </w:t>
            </w:r>
          </w:p>
        </w:tc>
        <w:tc>
          <w:tcPr>
            <w:tcW w:w="273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97,504,086.68</w:t>
            </w:r>
          </w:p>
        </w:tc>
        <w:tc>
          <w:tcPr>
            <w:tcW w:w="284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60,018,533.29</w:t>
            </w:r>
          </w:p>
        </w:tc>
      </w:tr>
      <w:tr>
        <w:trPr>
          <w:trHeight w:val="355" w:hRule="exact"/>
        </w:trPr>
        <w:tc>
          <w:tcPr>
            <w:tcW w:w="349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运输费</w:t>
            </w:r>
            <w:r>
              <w:rPr>
                <w:rFonts w:ascii="宋体" w:hAnsi="宋体" w:cs="宋体" w:eastAsia="宋体" w:hint="default"/>
                <w:sz w:val="21"/>
                <w:szCs w:val="21"/>
              </w:rPr>
              <w:t> </w:t>
            </w:r>
          </w:p>
        </w:tc>
        <w:tc>
          <w:tcPr>
            <w:tcW w:w="273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619,616.70</w:t>
            </w:r>
          </w:p>
        </w:tc>
        <w:tc>
          <w:tcPr>
            <w:tcW w:w="284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579,112.00</w:t>
            </w:r>
          </w:p>
        </w:tc>
      </w:tr>
      <w:tr>
        <w:trPr>
          <w:trHeight w:val="358" w:hRule="exact"/>
        </w:trPr>
        <w:tc>
          <w:tcPr>
            <w:tcW w:w="349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广告宣传费</w:t>
            </w:r>
            <w:r>
              <w:rPr>
                <w:rFonts w:ascii="宋体" w:hAnsi="宋体" w:cs="宋体" w:eastAsia="宋体" w:hint="default"/>
                <w:sz w:val="21"/>
                <w:szCs w:val="21"/>
              </w:rPr>
              <w:t> </w:t>
            </w:r>
          </w:p>
        </w:tc>
        <w:tc>
          <w:tcPr>
            <w:tcW w:w="273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3,790,062.59</w:t>
            </w:r>
          </w:p>
        </w:tc>
        <w:tc>
          <w:tcPr>
            <w:tcW w:w="284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3,384,757.10</w:t>
            </w:r>
          </w:p>
        </w:tc>
      </w:tr>
      <w:tr>
        <w:trPr>
          <w:trHeight w:val="355" w:hRule="exact"/>
        </w:trPr>
        <w:tc>
          <w:tcPr>
            <w:tcW w:w="349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规划及绿化费</w:t>
            </w:r>
            <w:r>
              <w:rPr>
                <w:rFonts w:ascii="宋体" w:hAnsi="宋体" w:cs="宋体" w:eastAsia="宋体" w:hint="default"/>
                <w:sz w:val="21"/>
                <w:szCs w:val="21"/>
              </w:rPr>
              <w:t> </w:t>
            </w:r>
          </w:p>
        </w:tc>
        <w:tc>
          <w:tcPr>
            <w:tcW w:w="273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54,215,587.44</w:t>
            </w:r>
          </w:p>
        </w:tc>
        <w:tc>
          <w:tcPr>
            <w:tcW w:w="284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41,772,285.29</w:t>
            </w:r>
          </w:p>
        </w:tc>
      </w:tr>
      <w:tr>
        <w:trPr>
          <w:trHeight w:val="355" w:hRule="exact"/>
        </w:trPr>
        <w:tc>
          <w:tcPr>
            <w:tcW w:w="349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道路维修费</w:t>
            </w:r>
            <w:r>
              <w:rPr>
                <w:rFonts w:ascii="宋体" w:hAnsi="宋体" w:cs="宋体" w:eastAsia="宋体" w:hint="default"/>
                <w:sz w:val="21"/>
                <w:szCs w:val="21"/>
              </w:rPr>
              <w:t> </w:t>
            </w:r>
          </w:p>
        </w:tc>
        <w:tc>
          <w:tcPr>
            <w:tcW w:w="273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122,023,448.20</w:t>
            </w:r>
          </w:p>
        </w:tc>
        <w:tc>
          <w:tcPr>
            <w:tcW w:w="284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103,482,411.01</w:t>
            </w:r>
          </w:p>
        </w:tc>
      </w:tr>
      <w:tr>
        <w:trPr>
          <w:trHeight w:val="358" w:hRule="exact"/>
        </w:trPr>
        <w:tc>
          <w:tcPr>
            <w:tcW w:w="349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租赁、仓储和保管费</w:t>
            </w:r>
            <w:r>
              <w:rPr>
                <w:rFonts w:ascii="宋体" w:hAnsi="宋体" w:cs="宋体" w:eastAsia="宋体" w:hint="default"/>
                <w:sz w:val="21"/>
                <w:szCs w:val="21"/>
              </w:rPr>
              <w:t> </w:t>
            </w:r>
          </w:p>
        </w:tc>
        <w:tc>
          <w:tcPr>
            <w:tcW w:w="273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1,450,689.90</w:t>
            </w:r>
          </w:p>
        </w:tc>
        <w:tc>
          <w:tcPr>
            <w:tcW w:w="284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3,806,279.90</w:t>
            </w:r>
          </w:p>
        </w:tc>
      </w:tr>
      <w:tr>
        <w:trPr>
          <w:trHeight w:val="355" w:hRule="exact"/>
        </w:trPr>
        <w:tc>
          <w:tcPr>
            <w:tcW w:w="349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273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268,289,699.39</w:t>
            </w:r>
          </w:p>
        </w:tc>
        <w:tc>
          <w:tcPr>
            <w:tcW w:w="284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153,252,061.78</w:t>
            </w:r>
          </w:p>
        </w:tc>
      </w:tr>
      <w:tr>
        <w:trPr>
          <w:trHeight w:val="355" w:hRule="exact"/>
        </w:trPr>
        <w:tc>
          <w:tcPr>
            <w:tcW w:w="349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退还保证金</w:t>
            </w:r>
            <w:r>
              <w:rPr>
                <w:rFonts w:ascii="宋体" w:hAnsi="宋体" w:cs="宋体" w:eastAsia="宋体" w:hint="default"/>
                <w:sz w:val="21"/>
                <w:szCs w:val="21"/>
              </w:rPr>
              <w:t> </w:t>
            </w:r>
          </w:p>
        </w:tc>
        <w:tc>
          <w:tcPr>
            <w:tcW w:w="273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50,779,094.13</w:t>
            </w:r>
          </w:p>
        </w:tc>
        <w:tc>
          <w:tcPr>
            <w:tcW w:w="284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113,121,202.25</w:t>
            </w:r>
          </w:p>
        </w:tc>
      </w:tr>
      <w:tr>
        <w:trPr>
          <w:trHeight w:val="358" w:hRule="exact"/>
        </w:trPr>
        <w:tc>
          <w:tcPr>
            <w:tcW w:w="349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机械作业费</w:t>
            </w:r>
            <w:r>
              <w:rPr>
                <w:rFonts w:ascii="宋体" w:hAnsi="宋体" w:cs="宋体" w:eastAsia="宋体" w:hint="default"/>
                <w:sz w:val="21"/>
                <w:szCs w:val="21"/>
              </w:rPr>
              <w:t> </w:t>
            </w:r>
          </w:p>
        </w:tc>
        <w:tc>
          <w:tcPr>
            <w:tcW w:w="273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52,346,281.87</w:t>
            </w:r>
          </w:p>
        </w:tc>
        <w:tc>
          <w:tcPr>
            <w:tcW w:w="284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63,075,566.82</w:t>
            </w:r>
          </w:p>
        </w:tc>
      </w:tr>
      <w:tr>
        <w:trPr>
          <w:trHeight w:val="356" w:hRule="exact"/>
        </w:trPr>
        <w:tc>
          <w:tcPr>
            <w:tcW w:w="349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劳务费及装卸费</w:t>
            </w:r>
            <w:r>
              <w:rPr>
                <w:rFonts w:ascii="宋体" w:hAnsi="宋体" w:cs="宋体" w:eastAsia="宋体" w:hint="default"/>
                <w:sz w:val="21"/>
                <w:szCs w:val="21"/>
              </w:rPr>
              <w:t> </w:t>
            </w:r>
          </w:p>
        </w:tc>
        <w:tc>
          <w:tcPr>
            <w:tcW w:w="273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23,978,961.25</w:t>
            </w:r>
          </w:p>
        </w:tc>
        <w:tc>
          <w:tcPr>
            <w:tcW w:w="284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22,026,173.07</w:t>
            </w:r>
          </w:p>
        </w:tc>
      </w:tr>
      <w:tr>
        <w:trPr>
          <w:trHeight w:val="355" w:hRule="exact"/>
        </w:trPr>
        <w:tc>
          <w:tcPr>
            <w:tcW w:w="349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交通费</w:t>
            </w:r>
            <w:r>
              <w:rPr>
                <w:rFonts w:ascii="宋体" w:hAnsi="宋体" w:cs="宋体" w:eastAsia="宋体" w:hint="default"/>
                <w:sz w:val="21"/>
                <w:szCs w:val="21"/>
              </w:rPr>
              <w:t> </w:t>
            </w:r>
          </w:p>
        </w:tc>
        <w:tc>
          <w:tcPr>
            <w:tcW w:w="273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32,596,723.46</w:t>
            </w:r>
          </w:p>
        </w:tc>
        <w:tc>
          <w:tcPr>
            <w:tcW w:w="284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28,220,779.03</w:t>
            </w:r>
          </w:p>
        </w:tc>
      </w:tr>
      <w:tr>
        <w:trPr>
          <w:trHeight w:val="358" w:hRule="exact"/>
        </w:trPr>
        <w:tc>
          <w:tcPr>
            <w:tcW w:w="349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会议费</w:t>
            </w:r>
            <w:r>
              <w:rPr>
                <w:rFonts w:ascii="宋体" w:hAnsi="宋体" w:cs="宋体" w:eastAsia="宋体" w:hint="default"/>
                <w:sz w:val="21"/>
                <w:szCs w:val="21"/>
              </w:rPr>
              <w:t> </w:t>
            </w:r>
          </w:p>
        </w:tc>
        <w:tc>
          <w:tcPr>
            <w:tcW w:w="273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1,781,071.80</w:t>
            </w:r>
          </w:p>
        </w:tc>
        <w:tc>
          <w:tcPr>
            <w:tcW w:w="284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1,788,732.10</w:t>
            </w:r>
          </w:p>
        </w:tc>
      </w:tr>
      <w:tr>
        <w:trPr>
          <w:trHeight w:val="355" w:hRule="exact"/>
        </w:trPr>
        <w:tc>
          <w:tcPr>
            <w:tcW w:w="349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公有车辆使用费</w:t>
            </w:r>
            <w:r>
              <w:rPr>
                <w:rFonts w:ascii="宋体" w:hAnsi="宋体" w:cs="宋体" w:eastAsia="宋体" w:hint="default"/>
                <w:sz w:val="21"/>
                <w:szCs w:val="21"/>
              </w:rPr>
              <w:t> </w:t>
            </w:r>
          </w:p>
        </w:tc>
        <w:tc>
          <w:tcPr>
            <w:tcW w:w="273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3,461,097.27</w:t>
            </w:r>
          </w:p>
        </w:tc>
        <w:tc>
          <w:tcPr>
            <w:tcW w:w="284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2,949,634.71</w:t>
            </w:r>
          </w:p>
        </w:tc>
      </w:tr>
      <w:tr>
        <w:trPr>
          <w:trHeight w:val="355" w:hRule="exact"/>
        </w:trPr>
        <w:tc>
          <w:tcPr>
            <w:tcW w:w="349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诉讼费</w:t>
            </w:r>
            <w:r>
              <w:rPr>
                <w:rFonts w:ascii="宋体" w:hAnsi="宋体" w:cs="宋体" w:eastAsia="宋体" w:hint="default"/>
                <w:sz w:val="21"/>
                <w:szCs w:val="21"/>
              </w:rPr>
              <w:t> </w:t>
            </w:r>
          </w:p>
        </w:tc>
        <w:tc>
          <w:tcPr>
            <w:tcW w:w="273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162,804.76</w:t>
            </w:r>
          </w:p>
        </w:tc>
        <w:tc>
          <w:tcPr>
            <w:tcW w:w="284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4,200,495.26</w:t>
            </w:r>
          </w:p>
        </w:tc>
      </w:tr>
      <w:tr>
        <w:trPr>
          <w:trHeight w:val="358" w:hRule="exact"/>
        </w:trPr>
        <w:tc>
          <w:tcPr>
            <w:tcW w:w="349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物业管理及卫生费</w:t>
            </w:r>
            <w:r>
              <w:rPr>
                <w:rFonts w:ascii="宋体" w:hAnsi="宋体" w:cs="宋体" w:eastAsia="宋体" w:hint="default"/>
                <w:sz w:val="21"/>
                <w:szCs w:val="21"/>
              </w:rPr>
              <w:t> </w:t>
            </w:r>
          </w:p>
        </w:tc>
        <w:tc>
          <w:tcPr>
            <w:tcW w:w="273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10,253,782.63</w:t>
            </w:r>
          </w:p>
        </w:tc>
        <w:tc>
          <w:tcPr>
            <w:tcW w:w="284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9,661,014.77</w:t>
            </w:r>
          </w:p>
        </w:tc>
      </w:tr>
      <w:tr>
        <w:trPr>
          <w:trHeight w:val="355" w:hRule="exact"/>
        </w:trPr>
        <w:tc>
          <w:tcPr>
            <w:tcW w:w="349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中介及服务费</w:t>
            </w:r>
            <w:r>
              <w:rPr>
                <w:rFonts w:ascii="宋体" w:hAnsi="宋体" w:cs="宋体" w:eastAsia="宋体" w:hint="default"/>
                <w:sz w:val="21"/>
                <w:szCs w:val="21"/>
              </w:rPr>
              <w:t> </w:t>
            </w:r>
          </w:p>
        </w:tc>
        <w:tc>
          <w:tcPr>
            <w:tcW w:w="273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11,507,829.60</w:t>
            </w:r>
          </w:p>
        </w:tc>
        <w:tc>
          <w:tcPr>
            <w:tcW w:w="284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15,102,612.16</w:t>
            </w:r>
          </w:p>
        </w:tc>
      </w:tr>
      <w:tr>
        <w:trPr>
          <w:trHeight w:val="355" w:hRule="exact"/>
        </w:trPr>
        <w:tc>
          <w:tcPr>
            <w:tcW w:w="349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粮油直补配套</w:t>
            </w:r>
            <w:r>
              <w:rPr>
                <w:rFonts w:ascii="宋体" w:hAnsi="宋体" w:cs="宋体" w:eastAsia="宋体" w:hint="default"/>
                <w:sz w:val="21"/>
                <w:szCs w:val="21"/>
              </w:rPr>
              <w:t> </w:t>
            </w:r>
          </w:p>
        </w:tc>
        <w:tc>
          <w:tcPr>
            <w:tcW w:w="273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6,071,634.72</w:t>
            </w:r>
          </w:p>
        </w:tc>
        <w:tc>
          <w:tcPr>
            <w:tcW w:w="284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6,071,634.72</w:t>
            </w:r>
          </w:p>
        </w:tc>
      </w:tr>
      <w:tr>
        <w:trPr>
          <w:trHeight w:val="358" w:hRule="exact"/>
        </w:trPr>
        <w:tc>
          <w:tcPr>
            <w:tcW w:w="349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安全生产费</w:t>
            </w:r>
            <w:r>
              <w:rPr>
                <w:rFonts w:ascii="宋体" w:hAnsi="宋体" w:cs="宋体" w:eastAsia="宋体" w:hint="default"/>
                <w:sz w:val="21"/>
                <w:szCs w:val="21"/>
              </w:rPr>
              <w:t> </w:t>
            </w:r>
          </w:p>
        </w:tc>
        <w:tc>
          <w:tcPr>
            <w:tcW w:w="273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3,495,042.09</w:t>
            </w:r>
          </w:p>
        </w:tc>
        <w:tc>
          <w:tcPr>
            <w:tcW w:w="284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6,865,597.34</w:t>
            </w:r>
          </w:p>
        </w:tc>
      </w:tr>
      <w:tr>
        <w:trPr>
          <w:trHeight w:val="355" w:hRule="exact"/>
        </w:trPr>
        <w:tc>
          <w:tcPr>
            <w:tcW w:w="349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研究费用</w:t>
            </w:r>
            <w:r>
              <w:rPr>
                <w:rFonts w:ascii="宋体" w:hAnsi="宋体" w:cs="宋体" w:eastAsia="宋体" w:hint="default"/>
                <w:sz w:val="21"/>
                <w:szCs w:val="21"/>
              </w:rPr>
              <w:t> </w:t>
            </w:r>
          </w:p>
        </w:tc>
        <w:tc>
          <w:tcPr>
            <w:tcW w:w="273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10,098,931.50</w:t>
            </w:r>
          </w:p>
        </w:tc>
        <w:tc>
          <w:tcPr>
            <w:tcW w:w="284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13,944,730.28</w:t>
            </w:r>
          </w:p>
        </w:tc>
      </w:tr>
      <w:tr>
        <w:trPr>
          <w:trHeight w:val="356" w:hRule="exact"/>
        </w:trPr>
        <w:tc>
          <w:tcPr>
            <w:tcW w:w="349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防汛抢险支出</w:t>
            </w:r>
            <w:r>
              <w:rPr>
                <w:rFonts w:ascii="宋体" w:hAnsi="宋体" w:cs="宋体" w:eastAsia="宋体" w:hint="default"/>
                <w:sz w:val="21"/>
                <w:szCs w:val="21"/>
              </w:rPr>
              <w:t> </w:t>
            </w:r>
          </w:p>
        </w:tc>
        <w:tc>
          <w:tcPr>
            <w:tcW w:w="273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58,768,179.53</w:t>
            </w:r>
          </w:p>
        </w:tc>
        <w:tc>
          <w:tcPr>
            <w:tcW w:w="284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1,147,043.30</w:t>
            </w:r>
          </w:p>
        </w:tc>
      </w:tr>
      <w:tr>
        <w:trPr>
          <w:trHeight w:val="358" w:hRule="exact"/>
        </w:trPr>
        <w:tc>
          <w:tcPr>
            <w:tcW w:w="349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农机补贴</w:t>
            </w:r>
            <w:r>
              <w:rPr>
                <w:rFonts w:ascii="宋体" w:hAnsi="宋体" w:cs="宋体" w:eastAsia="宋体" w:hint="default"/>
                <w:sz w:val="21"/>
                <w:szCs w:val="21"/>
              </w:rPr>
              <w:t> </w:t>
            </w:r>
          </w:p>
        </w:tc>
        <w:tc>
          <w:tcPr>
            <w:tcW w:w="273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89,707,574.00</w:t>
            </w:r>
          </w:p>
        </w:tc>
        <w:tc>
          <w:tcPr>
            <w:tcW w:w="284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64,001,690.00</w:t>
            </w:r>
          </w:p>
        </w:tc>
      </w:tr>
      <w:tr>
        <w:trPr>
          <w:trHeight w:val="355" w:hRule="exact"/>
        </w:trPr>
        <w:tc>
          <w:tcPr>
            <w:tcW w:w="349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73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4,922,265.30</w:t>
            </w:r>
          </w:p>
        </w:tc>
        <w:tc>
          <w:tcPr>
            <w:tcW w:w="284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7,735,925.95</w:t>
            </w:r>
          </w:p>
        </w:tc>
      </w:tr>
      <w:tr>
        <w:trPr>
          <w:trHeight w:val="382" w:hRule="exact"/>
        </w:trPr>
        <w:tc>
          <w:tcPr>
            <w:tcW w:w="3490"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732"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1,039,990,551.73</w:t>
            </w:r>
          </w:p>
        </w:tc>
        <w:tc>
          <w:tcPr>
            <w:tcW w:w="2840"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876,257,150.75</w:t>
            </w:r>
          </w:p>
        </w:tc>
      </w:tr>
    </w:tbl>
    <w:p>
      <w:pPr>
        <w:spacing w:after="0" w:line="240" w:lineRule="auto"/>
        <w:jc w:val="right"/>
        <w:rPr>
          <w:rFonts w:ascii="Arial" w:hAnsi="Arial" w:cs="Arial" w:eastAsia="Arial" w:hint="default"/>
          <w:sz w:val="21"/>
          <w:szCs w:val="21"/>
        </w:rPr>
        <w:sectPr>
          <w:pgSz w:w="11910" w:h="16840"/>
          <w:pgMar w:header="826" w:footer="1195" w:top="1360" w:bottom="1380" w:left="1540" w:right="1000"/>
        </w:sectPr>
      </w:pPr>
    </w:p>
    <w:p>
      <w:pPr>
        <w:pStyle w:val="Heading2"/>
        <w:spacing w:line="240" w:lineRule="auto" w:before="44"/>
        <w:ind w:left="258" w:right="0"/>
        <w:jc w:val="left"/>
        <w:rPr>
          <w:rFonts w:ascii="宋体" w:hAnsi="宋体" w:cs="宋体" w:eastAsia="宋体" w:hint="default"/>
          <w:b w:val="0"/>
          <w:bCs w:val="0"/>
        </w:rPr>
      </w:pPr>
      <w:r>
        <w:rPr>
          <w:rFonts w:ascii="宋体" w:hAnsi="宋体" w:cs="宋体" w:eastAsia="宋体" w:hint="default"/>
        </w:rPr>
        <w:t>(3).</w:t>
      </w:r>
      <w:r>
        <w:rPr/>
        <w:t>收到的其他与投资活动有关的现金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8"/>
        <w:rPr>
          <w:rFonts w:ascii="宋体" w:hAnsi="宋体" w:cs="宋体" w:eastAsia="宋体" w:hint="default"/>
          <w:sz w:val="29"/>
          <w:szCs w:val="29"/>
        </w:rPr>
      </w:pPr>
    </w:p>
    <w:p>
      <w:pPr>
        <w:pStyle w:val="BodyText"/>
        <w:spacing w:line="240" w:lineRule="auto"/>
        <w:ind w:left="25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540" w:right="1000"/>
          <w:cols w:num="2" w:equalWidth="0">
            <w:col w:w="3953" w:space="2675"/>
            <w:col w:w="2742"/>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490"/>
        <w:gridCol w:w="2835"/>
        <w:gridCol w:w="2736"/>
      </w:tblGrid>
      <w:tr>
        <w:trPr>
          <w:trHeight w:val="382" w:hRule="exact"/>
        </w:trPr>
        <w:tc>
          <w:tcPr>
            <w:tcW w:w="3490"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4"/>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35"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4"/>
              <w:ind w:left="88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6"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4"/>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58" w:hRule="exact"/>
        </w:trPr>
        <w:tc>
          <w:tcPr>
            <w:tcW w:w="349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其他（定期存款收到的现金）</w:t>
            </w:r>
            <w:r>
              <w:rPr>
                <w:rFonts w:ascii="宋体" w:hAnsi="宋体" w:cs="宋体" w:eastAsia="宋体" w:hint="default"/>
                <w:sz w:val="21"/>
                <w:szCs w:val="21"/>
              </w:rPr>
              <w:t> </w:t>
            </w:r>
          </w:p>
        </w:tc>
        <w:tc>
          <w:tcPr>
            <w:tcW w:w="283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2"/>
              <w:ind w:right="0"/>
              <w:jc w:val="right"/>
              <w:rPr>
                <w:rFonts w:ascii="宋体" w:hAnsi="宋体" w:cs="宋体" w:eastAsia="宋体" w:hint="default"/>
                <w:sz w:val="21"/>
                <w:szCs w:val="21"/>
              </w:rPr>
            </w:pPr>
            <w:r>
              <w:rPr>
                <w:rFonts w:ascii="宋体"/>
                <w:w w:val="100"/>
                <w:sz w:val="21"/>
              </w:rPr>
              <w:t> </w:t>
            </w:r>
          </w:p>
        </w:tc>
        <w:tc>
          <w:tcPr>
            <w:tcW w:w="273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590,000,000.00</w:t>
            </w:r>
          </w:p>
        </w:tc>
      </w:tr>
      <w:tr>
        <w:trPr>
          <w:trHeight w:val="384" w:hRule="exact"/>
        </w:trPr>
        <w:tc>
          <w:tcPr>
            <w:tcW w:w="3490"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35"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0"/>
              <w:ind w:right="0"/>
              <w:jc w:val="right"/>
              <w:rPr>
                <w:rFonts w:ascii="宋体" w:hAnsi="宋体" w:cs="宋体" w:eastAsia="宋体" w:hint="default"/>
                <w:sz w:val="21"/>
                <w:szCs w:val="21"/>
              </w:rPr>
            </w:pPr>
            <w:r>
              <w:rPr>
                <w:rFonts w:ascii="宋体"/>
                <w:w w:val="100"/>
                <w:sz w:val="21"/>
              </w:rPr>
              <w:t> </w:t>
            </w:r>
          </w:p>
        </w:tc>
        <w:tc>
          <w:tcPr>
            <w:tcW w:w="2736"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590,000,000.00</w:t>
            </w:r>
          </w:p>
        </w:tc>
      </w:tr>
    </w:tbl>
    <w:p>
      <w:pPr>
        <w:spacing w:after="0" w:line="240" w:lineRule="auto"/>
        <w:jc w:val="right"/>
        <w:rPr>
          <w:rFonts w:ascii="Arial" w:hAnsi="Arial" w:cs="Arial" w:eastAsia="Arial" w:hint="default"/>
          <w:sz w:val="21"/>
          <w:szCs w:val="21"/>
        </w:rPr>
        <w:sectPr>
          <w:type w:val="continuous"/>
          <w:pgSz w:w="11910" w:h="16840"/>
          <w:pgMar w:top="1360" w:bottom="1380" w:left="1540" w:right="1000"/>
        </w:sectPr>
      </w:pPr>
    </w:p>
    <w:p>
      <w:pPr>
        <w:pStyle w:val="Heading2"/>
        <w:spacing w:line="240" w:lineRule="auto" w:before="26"/>
        <w:ind w:left="258" w:right="0"/>
        <w:jc w:val="left"/>
        <w:rPr>
          <w:rFonts w:ascii="宋体" w:hAnsi="宋体" w:cs="宋体" w:eastAsia="宋体" w:hint="default"/>
          <w:b w:val="0"/>
          <w:bCs w:val="0"/>
        </w:rPr>
      </w:pPr>
      <w:r>
        <w:rPr>
          <w:rFonts w:ascii="宋体" w:hAnsi="宋体" w:cs="宋体" w:eastAsia="宋体" w:hint="default"/>
        </w:rPr>
        <w:t>(4).</w:t>
      </w:r>
      <w:r>
        <w:rPr/>
        <w:t>支付的其他与投资活动有关的现金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spacing w:line="240" w:lineRule="auto"/>
        <w:ind w:left="2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540" w:right="1000"/>
          <w:cols w:num="2" w:equalWidth="0">
            <w:col w:w="3953" w:space="2569"/>
            <w:col w:w="2848"/>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493"/>
        <w:gridCol w:w="2904"/>
        <w:gridCol w:w="2664"/>
      </w:tblGrid>
      <w:tr>
        <w:trPr>
          <w:trHeight w:val="384" w:hRule="exact"/>
        </w:trPr>
        <w:tc>
          <w:tcPr>
            <w:tcW w:w="3493"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04"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left="919"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664"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79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554" w:hRule="exact"/>
        </w:trPr>
        <w:tc>
          <w:tcPr>
            <w:tcW w:w="3493" w:type="dxa"/>
            <w:tcBorders>
              <w:top w:val="single" w:sz="4" w:space="0" w:color="41B7EE"/>
              <w:left w:val="nil" w:sz="6" w:space="0" w:color="auto"/>
              <w:bottom w:val="single" w:sz="4" w:space="0" w:color="41B7EE"/>
              <w:right w:val="single" w:sz="4" w:space="0" w:color="41B7EE"/>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99"/>
                <w:w w:val="100"/>
                <w:sz w:val="21"/>
                <w:szCs w:val="21"/>
              </w:rPr>
              <w:t>、</w:t>
            </w:r>
            <w:r>
              <w:rPr>
                <w:rFonts w:ascii="宋体" w:hAnsi="宋体" w:cs="宋体" w:eastAsia="宋体" w:hint="default"/>
                <w:w w:val="100"/>
                <w:sz w:val="21"/>
                <w:szCs w:val="21"/>
              </w:rPr>
              <w:t>无</w:t>
            </w:r>
            <w:r>
              <w:rPr>
                <w:rFonts w:ascii="宋体" w:hAnsi="宋体" w:cs="宋体" w:eastAsia="宋体" w:hint="default"/>
                <w:spacing w:val="-3"/>
                <w:w w:val="100"/>
                <w:sz w:val="21"/>
                <w:szCs w:val="21"/>
              </w:rPr>
              <w:t>形</w:t>
            </w:r>
            <w:r>
              <w:rPr>
                <w:rFonts w:ascii="宋体" w:hAnsi="宋体" w:cs="宋体" w:eastAsia="宋体" w:hint="default"/>
                <w:w w:val="100"/>
                <w:sz w:val="21"/>
                <w:szCs w:val="21"/>
              </w:rPr>
              <w:t>资</w:t>
            </w:r>
            <w:r>
              <w:rPr>
                <w:rFonts w:ascii="宋体" w:hAnsi="宋体" w:cs="宋体" w:eastAsia="宋体" w:hint="default"/>
                <w:spacing w:val="-3"/>
                <w:w w:val="100"/>
                <w:sz w:val="21"/>
                <w:szCs w:val="21"/>
              </w:rPr>
              <w:t>产和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73" w:lineRule="exact"/>
              <w:ind w:left="112" w:right="0"/>
              <w:jc w:val="left"/>
              <w:rPr>
                <w:rFonts w:ascii="宋体" w:hAnsi="宋体" w:cs="宋体" w:eastAsia="宋体" w:hint="default"/>
                <w:sz w:val="21"/>
                <w:szCs w:val="21"/>
              </w:rPr>
            </w:pPr>
            <w:r>
              <w:rPr>
                <w:rFonts w:ascii="宋体" w:hAnsi="宋体" w:cs="宋体" w:eastAsia="宋体" w:hint="default"/>
                <w:sz w:val="21"/>
                <w:szCs w:val="21"/>
              </w:rPr>
              <w:t>资产所收回的现金净额为负数</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103"/>
              <w:jc w:val="right"/>
              <w:rPr>
                <w:rFonts w:ascii="Arial" w:hAnsi="Arial" w:cs="Arial" w:eastAsia="Arial" w:hint="default"/>
                <w:sz w:val="21"/>
                <w:szCs w:val="21"/>
              </w:rPr>
            </w:pPr>
            <w:r>
              <w:rPr>
                <w:rFonts w:ascii="Arial"/>
                <w:spacing w:val="-1"/>
                <w:sz w:val="21"/>
              </w:rPr>
              <w:t>212,443.95</w:t>
            </w:r>
          </w:p>
        </w:tc>
        <w:tc>
          <w:tcPr>
            <w:tcW w:w="266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6"/>
              <w:ind w:right="110"/>
              <w:jc w:val="right"/>
              <w:rPr>
                <w:rFonts w:ascii="Arial" w:hAnsi="Arial" w:cs="Arial" w:eastAsia="Arial" w:hint="default"/>
                <w:sz w:val="21"/>
                <w:szCs w:val="21"/>
              </w:rPr>
            </w:pPr>
            <w:r>
              <w:rPr>
                <w:rFonts w:ascii="Arial"/>
                <w:spacing w:val="-1"/>
                <w:sz w:val="21"/>
              </w:rPr>
              <w:t>33,290.00</w:t>
            </w:r>
          </w:p>
        </w:tc>
      </w:tr>
      <w:tr>
        <w:trPr>
          <w:trHeight w:val="358" w:hRule="exact"/>
        </w:trPr>
        <w:tc>
          <w:tcPr>
            <w:tcW w:w="349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其他（定期存款支付的现金）</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4" w:space="0" w:color="41B7EE"/>
              <w:right w:val="single" w:sz="4" w:space="0" w:color="41B7EE"/>
            </w:tcBorders>
          </w:tcPr>
          <w:p>
            <w:pPr/>
          </w:p>
        </w:tc>
        <w:tc>
          <w:tcPr>
            <w:tcW w:w="266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520,000,000.00</w:t>
            </w:r>
          </w:p>
        </w:tc>
      </w:tr>
      <w:tr>
        <w:trPr>
          <w:trHeight w:val="362" w:hRule="exact"/>
        </w:trPr>
        <w:tc>
          <w:tcPr>
            <w:tcW w:w="3493"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2"/>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04"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212,443.95</w:t>
            </w:r>
          </w:p>
        </w:tc>
        <w:tc>
          <w:tcPr>
            <w:tcW w:w="2664"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520,033,290.00</w:t>
            </w:r>
          </w:p>
        </w:tc>
      </w:tr>
    </w:tbl>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454.05pt;height:1pt;mso-position-horizontal-relative:char;mso-position-vertical-relative:line" coordorigin="0,0" coordsize="9081,20">
            <v:group style="position:absolute;left:10;top:10;width:3488;height:2" coordorigin="10,10" coordsize="3488,2">
              <v:shape style="position:absolute;left:10;top:10;width:3488;height:2" coordorigin="10,10" coordsize="3488,0" path="m10,10l3497,10e" filled="false" stroked="true" strokeweight=".96002pt" strokecolor="#41b7ee">
                <v:path arrowok="t"/>
              </v:shape>
            </v:group>
            <v:group style="position:absolute;left:3497;top:10;width:58;height:2" coordorigin="3497,10" coordsize="58,2">
              <v:shape style="position:absolute;left:3497;top:10;width:58;height:2" coordorigin="3497,10" coordsize="58,0" path="m3497,10l3555,10e" filled="false" stroked="true" strokeweight=".96002pt" strokecolor="#41b7ee">
                <v:path arrowok="t"/>
              </v:shape>
            </v:group>
            <v:group style="position:absolute;left:3555;top:10;width:2847;height:2" coordorigin="3555,10" coordsize="2847,2">
              <v:shape style="position:absolute;left:3555;top:10;width:2847;height:2" coordorigin="3555,10" coordsize="2847,0" path="m3555,10l6402,10e" filled="false" stroked="true" strokeweight=".96002pt" strokecolor="#41b7ee">
                <v:path arrowok="t"/>
              </v:shape>
            </v:group>
            <v:group style="position:absolute;left:6402;top:10;width:58;height:2" coordorigin="6402,10" coordsize="58,2">
              <v:shape style="position:absolute;left:6402;top:10;width:58;height:2" coordorigin="6402,10" coordsize="58,0" path="m6402,10l6459,10e" filled="false" stroked="true" strokeweight=".96002pt" strokecolor="#41b7ee">
                <v:path arrowok="t"/>
              </v:shape>
            </v:group>
            <v:group style="position:absolute;left:6459;top:10;width:2612;height:2" coordorigin="6459,10" coordsize="2612,2">
              <v:shape style="position:absolute;left:6459;top:10;width:2612;height:2" coordorigin="6459,10" coordsize="2612,0" path="m6459,10l9071,10e" filled="false" stroked="true" strokeweight=".96002pt" strokecolor="#41b7ee">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360" w:bottom="1380" w:left="1540" w:right="1000"/>
        </w:sectPr>
      </w:pPr>
    </w:p>
    <w:p>
      <w:pPr>
        <w:pStyle w:val="Heading2"/>
        <w:spacing w:line="240" w:lineRule="auto" w:before="119"/>
        <w:ind w:left="238" w:right="0"/>
        <w:jc w:val="left"/>
        <w:rPr>
          <w:rFonts w:ascii="宋体" w:hAnsi="宋体" w:cs="宋体" w:eastAsia="宋体" w:hint="default"/>
          <w:b w:val="0"/>
          <w:bCs w:val="0"/>
        </w:rPr>
      </w:pPr>
      <w:r>
        <w:rPr>
          <w:rFonts w:ascii="宋体" w:hAnsi="宋体" w:cs="宋体" w:eastAsia="宋体" w:hint="default"/>
        </w:rPr>
        <w:t>(5).</w:t>
      </w:r>
      <w:r>
        <w:rPr/>
        <w:t>收到的其他与筹资活动有关的现金</w:t>
      </w:r>
      <w:r>
        <w:rPr>
          <w:rFonts w:ascii="宋体" w:hAnsi="宋体" w:cs="宋体" w:eastAsia="宋体" w:hint="default"/>
          <w:w w:val="99"/>
        </w:rPr>
        <w:t> </w:t>
      </w:r>
      <w:r>
        <w:rPr>
          <w:rFonts w:ascii="宋体" w:hAnsi="宋体" w:cs="宋体" w:eastAsia="宋体" w:hint="default"/>
          <w:b w:val="0"/>
          <w:bCs w:val="0"/>
        </w:rPr>
      </w:r>
    </w:p>
    <w:p>
      <w:pPr>
        <w:spacing w:line="290" w:lineRule="auto" w:before="59"/>
        <w:ind w:left="23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ind w:left="238" w:right="0"/>
        <w:jc w:val="left"/>
        <w:rPr>
          <w:rFonts w:ascii="宋体" w:hAnsi="宋体" w:cs="宋体" w:eastAsia="宋体" w:hint="default"/>
          <w:b w:val="0"/>
          <w:bCs w:val="0"/>
        </w:rPr>
      </w:pPr>
      <w:r>
        <w:rPr>
          <w:rFonts w:ascii="宋体" w:hAnsi="宋体" w:cs="宋体" w:eastAsia="宋体" w:hint="default"/>
        </w:rPr>
        <w:t>77</w:t>
      </w:r>
      <w:r>
        <w:rPr/>
        <w:t>、</w:t>
      </w:r>
      <w:r>
        <w:rPr>
          <w:spacing w:val="-24"/>
        </w:rPr>
        <w:t> </w:t>
      </w:r>
      <w:r>
        <w:rPr/>
        <w:t>现金流量表补充资料</w:t>
      </w:r>
      <w:r>
        <w:rPr>
          <w:w w:val="100"/>
        </w:rPr>
        <w:t> </w:t>
      </w:r>
      <w:r>
        <w:rPr>
          <w:rFonts w:ascii="宋体" w:hAnsi="宋体" w:cs="宋体" w:eastAsia="宋体" w:hint="default"/>
        </w:rPr>
        <w:t>(1).</w:t>
      </w:r>
      <w:r>
        <w:rPr/>
        <w:t>现金流量表补充资料</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26" w:footer="1195" w:top="1360" w:bottom="1380" w:left="1560" w:right="1000"/>
          <w:cols w:num="2" w:equalWidth="0">
            <w:col w:w="3933" w:space="2589"/>
            <w:col w:w="2828"/>
          </w:cols>
        </w:sectPr>
      </w:pPr>
    </w:p>
    <w:p>
      <w:pPr>
        <w:spacing w:line="240" w:lineRule="auto" w:before="4"/>
        <w:rPr>
          <w:rFonts w:ascii="宋体" w:hAnsi="宋体" w:cs="宋体" w:eastAsia="宋体" w:hint="default"/>
          <w:sz w:val="2"/>
          <w:szCs w:val="2"/>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789;height:2" coordorigin="10,10" coordsize="4789,2">
              <v:shape style="position:absolute;left:10;top:10;width:4789;height:2" coordorigin="10,10" coordsize="4789,0" path="m10,10l4799,10e" filled="false" stroked="true" strokeweight=".95999pt" strokecolor="#41b7ee">
                <v:path arrowok="t"/>
              </v:shape>
            </v:group>
            <v:group style="position:absolute;left:4799;top:10;width:58;height:2" coordorigin="4799,10" coordsize="58,2">
              <v:shape style="position:absolute;left:4799;top:10;width:58;height:2" coordorigin="4799,10" coordsize="58,0" path="m4799,10l4856,10e" filled="false" stroked="true" strokeweight=".95999pt" strokecolor="#41b7ee">
                <v:path arrowok="t"/>
              </v:shape>
            </v:group>
            <v:group style="position:absolute;left:4856;top:10;width:2122;height:2" coordorigin="4856,10" coordsize="2122,2">
              <v:shape style="position:absolute;left:4856;top:10;width:2122;height:2" coordorigin="4856,10" coordsize="2122,0" path="m4856,10l6978,10e" filled="false" stroked="true" strokeweight=".95999pt" strokecolor="#41b7ee">
                <v:path arrowok="t"/>
              </v:shape>
            </v:group>
            <v:group style="position:absolute;left:6978;top:10;width:58;height:2" coordorigin="6978,10" coordsize="58,2">
              <v:shape style="position:absolute;left:6978;top:10;width:58;height:2" coordorigin="6978,10" coordsize="58,0" path="m6978,10l7035,10e" filled="false" stroked="true" strokeweight=".95999pt" strokecolor="#41b7ee">
                <v:path arrowok="t"/>
              </v:shape>
            </v:group>
            <v:group style="position:absolute;left:7035;top:10;width:2024;height:2" coordorigin="7035,10" coordsize="2024,2">
              <v:shape style="position:absolute;left:7035;top:10;width:2024;height:2" coordorigin="7035,10" coordsize="2024,0" path="m7035,10l9059,10e" filled="false" stroked="true" strokeweight=".95999pt" strokecolor="#41b7ee">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4794"/>
        <w:gridCol w:w="2179"/>
        <w:gridCol w:w="2076"/>
      </w:tblGrid>
      <w:tr>
        <w:trPr>
          <w:trHeight w:val="365" w:hRule="exact"/>
        </w:trPr>
        <w:tc>
          <w:tcPr>
            <w:tcW w:w="4794"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6"/>
              <w:ind w:left="107" w:right="0"/>
              <w:jc w:val="center"/>
              <w:rPr>
                <w:rFonts w:ascii="宋体" w:hAnsi="宋体" w:cs="宋体" w:eastAsia="宋体" w:hint="default"/>
                <w:sz w:val="21"/>
                <w:szCs w:val="21"/>
              </w:rPr>
            </w:pPr>
            <w:r>
              <w:rPr>
                <w:rFonts w:ascii="宋体" w:hAnsi="宋体" w:cs="宋体" w:eastAsia="宋体" w:hint="default"/>
                <w:sz w:val="21"/>
                <w:szCs w:val="21"/>
              </w:rPr>
              <w:t>补充资料</w:t>
            </w:r>
            <w:r>
              <w:rPr>
                <w:rFonts w:ascii="宋体" w:hAnsi="宋体" w:cs="宋体" w:eastAsia="宋体" w:hint="default"/>
                <w:sz w:val="21"/>
                <w:szCs w:val="21"/>
              </w:rPr>
              <w:t> </w:t>
            </w:r>
          </w:p>
        </w:tc>
        <w:tc>
          <w:tcPr>
            <w:tcW w:w="2179"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6"/>
              <w:ind w:left="662"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076"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6"/>
              <w:ind w:left="612"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358" w:hRule="exact"/>
        </w:trPr>
        <w:tc>
          <w:tcPr>
            <w:tcW w:w="479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．将净利润调节为经营活动现金流量：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9" w:type="dxa"/>
            <w:tcBorders>
              <w:top w:val="single" w:sz="4" w:space="0" w:color="41B7EE"/>
              <w:left w:val="single" w:sz="4" w:space="0" w:color="41B7EE"/>
              <w:bottom w:val="single" w:sz="4" w:space="0" w:color="41B7EE"/>
              <w:right w:val="single" w:sz="4" w:space="0" w:color="41B7EE"/>
            </w:tcBorders>
          </w:tcPr>
          <w:p>
            <w:pPr/>
          </w:p>
        </w:tc>
        <w:tc>
          <w:tcPr>
            <w:tcW w:w="2076" w:type="dxa"/>
            <w:tcBorders>
              <w:top w:val="single" w:sz="4" w:space="0" w:color="41B7EE"/>
              <w:left w:val="single" w:sz="4" w:space="0" w:color="41B7EE"/>
              <w:bottom w:val="single" w:sz="4" w:space="0" w:color="41B7EE"/>
              <w:right w:val="nil" w:sz="6" w:space="0" w:color="auto"/>
            </w:tcBorders>
          </w:tcPr>
          <w:p>
            <w:pPr/>
          </w:p>
        </w:tc>
      </w:tr>
      <w:tr>
        <w:trPr>
          <w:trHeight w:val="355" w:hRule="exact"/>
        </w:trPr>
        <w:tc>
          <w:tcPr>
            <w:tcW w:w="479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217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833,568,523.25</w:t>
            </w:r>
          </w:p>
        </w:tc>
        <w:tc>
          <w:tcPr>
            <w:tcW w:w="207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915,296,085.29</w:t>
            </w:r>
          </w:p>
        </w:tc>
      </w:tr>
      <w:tr>
        <w:trPr>
          <w:trHeight w:val="358" w:hRule="exact"/>
        </w:trPr>
        <w:tc>
          <w:tcPr>
            <w:tcW w:w="479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5"/>
              <w:ind w:left="107" w:right="0"/>
              <w:jc w:val="left"/>
              <w:rPr>
                <w:rFonts w:ascii="宋体" w:hAnsi="宋体" w:cs="宋体" w:eastAsia="宋体" w:hint="default"/>
                <w:sz w:val="21"/>
                <w:szCs w:val="21"/>
              </w:rPr>
            </w:pPr>
            <w:r>
              <w:rPr>
                <w:rFonts w:ascii="宋体" w:hAnsi="宋体" w:cs="宋体" w:eastAsia="宋体" w:hint="default"/>
                <w:sz w:val="21"/>
                <w:szCs w:val="21"/>
              </w:rPr>
              <w:t>加：资产减值准备</w:t>
            </w:r>
            <w:r>
              <w:rPr>
                <w:rFonts w:ascii="宋体" w:hAnsi="宋体" w:cs="宋体" w:eastAsia="宋体" w:hint="default"/>
                <w:sz w:val="21"/>
                <w:szCs w:val="21"/>
              </w:rPr>
              <w:t> </w:t>
            </w:r>
          </w:p>
        </w:tc>
        <w:tc>
          <w:tcPr>
            <w:tcW w:w="217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3,724,100.54</w:t>
            </w:r>
          </w:p>
        </w:tc>
        <w:tc>
          <w:tcPr>
            <w:tcW w:w="207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29,938,980.35</w:t>
            </w:r>
          </w:p>
        </w:tc>
      </w:tr>
      <w:tr>
        <w:trPr>
          <w:trHeight w:val="358" w:hRule="exact"/>
        </w:trPr>
        <w:tc>
          <w:tcPr>
            <w:tcW w:w="479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pacing w:val="-14"/>
                <w:sz w:val="21"/>
                <w:szCs w:val="21"/>
              </w:rPr>
              <w:t>固定资产折旧、油气资产折耗、生产性生物资产折旧</w:t>
            </w:r>
            <w:r>
              <w:rPr>
                <w:rFonts w:ascii="宋体" w:hAnsi="宋体" w:cs="宋体" w:eastAsia="宋体" w:hint="default"/>
                <w:sz w:val="21"/>
                <w:szCs w:val="21"/>
              </w:rPr>
              <w:t> </w:t>
            </w:r>
          </w:p>
        </w:tc>
        <w:tc>
          <w:tcPr>
            <w:tcW w:w="217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205,651,210.01</w:t>
            </w:r>
          </w:p>
        </w:tc>
        <w:tc>
          <w:tcPr>
            <w:tcW w:w="207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222,415,565.04</w:t>
            </w:r>
          </w:p>
        </w:tc>
      </w:tr>
      <w:tr>
        <w:trPr>
          <w:trHeight w:val="358" w:hRule="exact"/>
        </w:trPr>
        <w:tc>
          <w:tcPr>
            <w:tcW w:w="479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无形资产摊销</w:t>
            </w:r>
            <w:r>
              <w:rPr>
                <w:rFonts w:ascii="宋体" w:hAnsi="宋体" w:cs="宋体" w:eastAsia="宋体" w:hint="default"/>
                <w:sz w:val="21"/>
                <w:szCs w:val="21"/>
              </w:rPr>
              <w:t> </w:t>
            </w:r>
          </w:p>
        </w:tc>
        <w:tc>
          <w:tcPr>
            <w:tcW w:w="217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3,790,051.40</w:t>
            </w:r>
          </w:p>
        </w:tc>
        <w:tc>
          <w:tcPr>
            <w:tcW w:w="207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3,659,766.55</w:t>
            </w:r>
          </w:p>
        </w:tc>
      </w:tr>
      <w:tr>
        <w:trPr>
          <w:trHeight w:val="355" w:hRule="exact"/>
        </w:trPr>
        <w:tc>
          <w:tcPr>
            <w:tcW w:w="479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长期待摊费用摊销</w:t>
            </w:r>
            <w:r>
              <w:rPr>
                <w:rFonts w:ascii="宋体" w:hAnsi="宋体" w:cs="宋体" w:eastAsia="宋体" w:hint="default"/>
                <w:sz w:val="21"/>
                <w:szCs w:val="21"/>
              </w:rPr>
              <w:t> </w:t>
            </w:r>
          </w:p>
        </w:tc>
        <w:tc>
          <w:tcPr>
            <w:tcW w:w="217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7,209,422.37</w:t>
            </w:r>
          </w:p>
        </w:tc>
        <w:tc>
          <w:tcPr>
            <w:tcW w:w="207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6,644,174.19</w:t>
            </w:r>
          </w:p>
        </w:tc>
      </w:tr>
      <w:tr>
        <w:trPr>
          <w:trHeight w:val="554" w:hRule="exact"/>
        </w:trPr>
        <w:tc>
          <w:tcPr>
            <w:tcW w:w="4794" w:type="dxa"/>
            <w:tcBorders>
              <w:top w:val="single" w:sz="4" w:space="0" w:color="41B7EE"/>
              <w:left w:val="nil" w:sz="6" w:space="0" w:color="auto"/>
              <w:bottom w:val="single" w:sz="4" w:space="0" w:color="41B7EE"/>
              <w:right w:val="single" w:sz="4" w:space="0" w:color="41B7EE"/>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（收益以“－”号填列）</w:t>
            </w:r>
            <w:r>
              <w:rPr>
                <w:rFonts w:ascii="宋体" w:hAnsi="宋体" w:cs="宋体" w:eastAsia="宋体" w:hint="default"/>
                <w:sz w:val="21"/>
                <w:szCs w:val="21"/>
              </w:rPr>
              <w:t> </w:t>
            </w:r>
          </w:p>
        </w:tc>
        <w:tc>
          <w:tcPr>
            <w:tcW w:w="217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101"/>
              <w:jc w:val="right"/>
              <w:rPr>
                <w:rFonts w:ascii="Arial" w:hAnsi="Arial" w:cs="Arial" w:eastAsia="Arial" w:hint="default"/>
                <w:sz w:val="21"/>
                <w:szCs w:val="21"/>
              </w:rPr>
            </w:pPr>
            <w:r>
              <w:rPr>
                <w:rFonts w:ascii="Arial"/>
                <w:spacing w:val="-1"/>
                <w:sz w:val="21"/>
              </w:rPr>
              <w:t>-2,336,134.68</w:t>
            </w:r>
          </w:p>
        </w:tc>
        <w:tc>
          <w:tcPr>
            <w:tcW w:w="207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8"/>
              <w:ind w:right="103"/>
              <w:jc w:val="right"/>
              <w:rPr>
                <w:rFonts w:ascii="Arial" w:hAnsi="Arial" w:cs="Arial" w:eastAsia="Arial" w:hint="default"/>
                <w:sz w:val="21"/>
                <w:szCs w:val="21"/>
              </w:rPr>
            </w:pPr>
            <w:r>
              <w:rPr>
                <w:rFonts w:ascii="Arial"/>
                <w:spacing w:val="-1"/>
                <w:sz w:val="21"/>
              </w:rPr>
              <w:t>2,405,103.35</w:t>
            </w:r>
          </w:p>
        </w:tc>
      </w:tr>
      <w:tr>
        <w:trPr>
          <w:trHeight w:val="358" w:hRule="exact"/>
        </w:trPr>
        <w:tc>
          <w:tcPr>
            <w:tcW w:w="479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r>
              <w:rPr>
                <w:rFonts w:ascii="宋体" w:hAnsi="宋体" w:cs="宋体" w:eastAsia="宋体" w:hint="default"/>
                <w:sz w:val="21"/>
                <w:szCs w:val="21"/>
              </w:rPr>
              <w:t> </w:t>
            </w:r>
          </w:p>
        </w:tc>
        <w:tc>
          <w:tcPr>
            <w:tcW w:w="217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24,386,230.80</w:t>
            </w:r>
          </w:p>
        </w:tc>
        <w:tc>
          <w:tcPr>
            <w:tcW w:w="207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right="103"/>
              <w:jc w:val="right"/>
              <w:rPr>
                <w:rFonts w:ascii="Arial" w:hAnsi="Arial" w:cs="Arial" w:eastAsia="Arial" w:hint="default"/>
                <w:sz w:val="21"/>
                <w:szCs w:val="21"/>
              </w:rPr>
            </w:pPr>
            <w:r>
              <w:rPr>
                <w:rFonts w:ascii="Arial"/>
                <w:spacing w:val="-1"/>
                <w:sz w:val="21"/>
              </w:rPr>
              <w:t>66,064,827.58</w:t>
            </w:r>
          </w:p>
        </w:tc>
      </w:tr>
      <w:tr>
        <w:trPr>
          <w:trHeight w:val="358" w:hRule="exact"/>
        </w:trPr>
        <w:tc>
          <w:tcPr>
            <w:tcW w:w="479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r>
              <w:rPr>
                <w:rFonts w:ascii="宋体" w:hAnsi="宋体" w:cs="宋体" w:eastAsia="宋体" w:hint="default"/>
                <w:sz w:val="21"/>
                <w:szCs w:val="21"/>
              </w:rPr>
              <w:t> </w:t>
            </w:r>
          </w:p>
        </w:tc>
        <w:tc>
          <w:tcPr>
            <w:tcW w:w="2179" w:type="dxa"/>
            <w:tcBorders>
              <w:top w:val="single" w:sz="4" w:space="0" w:color="41B7EE"/>
              <w:left w:val="single" w:sz="4" w:space="0" w:color="41B7EE"/>
              <w:bottom w:val="single" w:sz="4" w:space="0" w:color="41B7EE"/>
              <w:right w:val="single" w:sz="4" w:space="0" w:color="41B7EE"/>
            </w:tcBorders>
          </w:tcPr>
          <w:p>
            <w:pPr/>
          </w:p>
        </w:tc>
        <w:tc>
          <w:tcPr>
            <w:tcW w:w="207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-5,877,624.39</w:t>
            </w:r>
          </w:p>
        </w:tc>
      </w:tr>
      <w:tr>
        <w:trPr>
          <w:trHeight w:val="358" w:hRule="exact"/>
        </w:trPr>
        <w:tc>
          <w:tcPr>
            <w:tcW w:w="479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r>
              <w:rPr>
                <w:rFonts w:ascii="宋体" w:hAnsi="宋体" w:cs="宋体" w:eastAsia="宋体" w:hint="default"/>
                <w:sz w:val="21"/>
                <w:szCs w:val="21"/>
              </w:rPr>
              <w:t> </w:t>
            </w:r>
          </w:p>
        </w:tc>
        <w:tc>
          <w:tcPr>
            <w:tcW w:w="217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-46,275,144.67</w:t>
            </w:r>
          </w:p>
        </w:tc>
        <w:tc>
          <w:tcPr>
            <w:tcW w:w="207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-46,530,093.53</w:t>
            </w:r>
          </w:p>
        </w:tc>
      </w:tr>
      <w:tr>
        <w:trPr>
          <w:trHeight w:val="355" w:hRule="exact"/>
        </w:trPr>
        <w:tc>
          <w:tcPr>
            <w:tcW w:w="479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r>
              <w:rPr>
                <w:rFonts w:ascii="宋体" w:hAnsi="宋体" w:cs="宋体" w:eastAsia="宋体" w:hint="default"/>
                <w:sz w:val="21"/>
                <w:szCs w:val="21"/>
              </w:rPr>
              <w:t> </w:t>
            </w:r>
          </w:p>
        </w:tc>
        <w:tc>
          <w:tcPr>
            <w:tcW w:w="217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24,038,202.98</w:t>
            </w:r>
          </w:p>
        </w:tc>
        <w:tc>
          <w:tcPr>
            <w:tcW w:w="207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539,628,713.24</w:t>
            </w:r>
          </w:p>
        </w:tc>
      </w:tr>
      <w:tr>
        <w:trPr>
          <w:trHeight w:val="358" w:hRule="exact"/>
        </w:trPr>
        <w:tc>
          <w:tcPr>
            <w:tcW w:w="479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r>
              <w:rPr>
                <w:rFonts w:ascii="宋体" w:hAnsi="宋体" w:cs="宋体" w:eastAsia="宋体" w:hint="default"/>
                <w:sz w:val="21"/>
                <w:szCs w:val="21"/>
              </w:rPr>
              <w:t> </w:t>
            </w:r>
          </w:p>
        </w:tc>
        <w:tc>
          <w:tcPr>
            <w:tcW w:w="217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103,808,035.48</w:t>
            </w:r>
          </w:p>
        </w:tc>
        <w:tc>
          <w:tcPr>
            <w:tcW w:w="207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right="103"/>
              <w:jc w:val="right"/>
              <w:rPr>
                <w:rFonts w:ascii="Arial" w:hAnsi="Arial" w:cs="Arial" w:eastAsia="Arial" w:hint="default"/>
                <w:sz w:val="21"/>
                <w:szCs w:val="21"/>
              </w:rPr>
            </w:pPr>
            <w:r>
              <w:rPr>
                <w:rFonts w:ascii="Arial"/>
                <w:spacing w:val="-1"/>
                <w:sz w:val="21"/>
              </w:rPr>
              <w:t>158,032,931.07</w:t>
            </w:r>
          </w:p>
        </w:tc>
      </w:tr>
      <w:tr>
        <w:trPr>
          <w:trHeight w:val="358" w:hRule="exact"/>
        </w:trPr>
        <w:tc>
          <w:tcPr>
            <w:tcW w:w="479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r>
              <w:rPr>
                <w:rFonts w:ascii="宋体" w:hAnsi="宋体" w:cs="宋体" w:eastAsia="宋体" w:hint="default"/>
                <w:sz w:val="21"/>
                <w:szCs w:val="21"/>
              </w:rPr>
              <w:t> </w:t>
            </w:r>
          </w:p>
        </w:tc>
        <w:tc>
          <w:tcPr>
            <w:tcW w:w="217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-343,029,352.85</w:t>
            </w:r>
          </w:p>
        </w:tc>
        <w:tc>
          <w:tcPr>
            <w:tcW w:w="207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-577,481,355.11</w:t>
            </w:r>
          </w:p>
        </w:tc>
      </w:tr>
      <w:tr>
        <w:trPr>
          <w:trHeight w:val="358" w:hRule="exact"/>
        </w:trPr>
        <w:tc>
          <w:tcPr>
            <w:tcW w:w="479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17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-366,827.32</w:t>
            </w:r>
          </w:p>
        </w:tc>
        <w:tc>
          <w:tcPr>
            <w:tcW w:w="207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-325,159.36</w:t>
            </w:r>
          </w:p>
        </w:tc>
      </w:tr>
      <w:tr>
        <w:trPr>
          <w:trHeight w:val="355" w:hRule="exact"/>
        </w:trPr>
        <w:tc>
          <w:tcPr>
            <w:tcW w:w="479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217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814,168,317.31</w:t>
            </w:r>
          </w:p>
        </w:tc>
        <w:tc>
          <w:tcPr>
            <w:tcW w:w="207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5"/>
              <w:jc w:val="right"/>
              <w:rPr>
                <w:rFonts w:ascii="Arial" w:hAnsi="Arial" w:cs="Arial" w:eastAsia="Arial" w:hint="default"/>
                <w:sz w:val="21"/>
                <w:szCs w:val="21"/>
              </w:rPr>
            </w:pPr>
            <w:r>
              <w:rPr>
                <w:rFonts w:ascii="Arial"/>
                <w:spacing w:val="-1"/>
                <w:sz w:val="21"/>
              </w:rPr>
              <w:t>1,313,871,914.27</w:t>
            </w:r>
          </w:p>
        </w:tc>
      </w:tr>
      <w:tr>
        <w:trPr>
          <w:trHeight w:val="358" w:hRule="exact"/>
        </w:trPr>
        <w:tc>
          <w:tcPr>
            <w:tcW w:w="479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．不涉及现金收支的重大投资和筹资活动：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9" w:type="dxa"/>
            <w:tcBorders>
              <w:top w:val="single" w:sz="4" w:space="0" w:color="41B7EE"/>
              <w:left w:val="single" w:sz="4" w:space="0" w:color="41B7EE"/>
              <w:bottom w:val="single" w:sz="4" w:space="0" w:color="41B7EE"/>
              <w:right w:val="single" w:sz="4" w:space="0" w:color="41B7EE"/>
            </w:tcBorders>
          </w:tcPr>
          <w:p>
            <w:pPr/>
          </w:p>
        </w:tc>
        <w:tc>
          <w:tcPr>
            <w:tcW w:w="2076"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479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．现金及现金等价物净变动情况：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9" w:type="dxa"/>
            <w:tcBorders>
              <w:top w:val="single" w:sz="4" w:space="0" w:color="41B7EE"/>
              <w:left w:val="single" w:sz="4" w:space="0" w:color="41B7EE"/>
              <w:bottom w:val="single" w:sz="4" w:space="0" w:color="41B7EE"/>
              <w:right w:val="single" w:sz="4" w:space="0" w:color="41B7EE"/>
            </w:tcBorders>
          </w:tcPr>
          <w:p>
            <w:pPr/>
          </w:p>
        </w:tc>
        <w:tc>
          <w:tcPr>
            <w:tcW w:w="2076"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479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现金的期末余额</w:t>
            </w:r>
            <w:r>
              <w:rPr>
                <w:rFonts w:ascii="宋体" w:hAnsi="宋体" w:cs="宋体" w:eastAsia="宋体" w:hint="default"/>
                <w:sz w:val="21"/>
                <w:szCs w:val="21"/>
              </w:rPr>
              <w:t> </w:t>
            </w:r>
          </w:p>
        </w:tc>
        <w:tc>
          <w:tcPr>
            <w:tcW w:w="217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1,020,129,252.92</w:t>
            </w:r>
          </w:p>
        </w:tc>
        <w:tc>
          <w:tcPr>
            <w:tcW w:w="207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312,973,104.49</w:t>
            </w:r>
          </w:p>
        </w:tc>
      </w:tr>
      <w:tr>
        <w:trPr>
          <w:trHeight w:val="355" w:hRule="exact"/>
        </w:trPr>
        <w:tc>
          <w:tcPr>
            <w:tcW w:w="479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减：现金的期初余额</w:t>
            </w:r>
            <w:r>
              <w:rPr>
                <w:rFonts w:ascii="宋体" w:hAnsi="宋体" w:cs="宋体" w:eastAsia="宋体" w:hint="default"/>
                <w:sz w:val="21"/>
                <w:szCs w:val="21"/>
              </w:rPr>
              <w:t> </w:t>
            </w:r>
          </w:p>
        </w:tc>
        <w:tc>
          <w:tcPr>
            <w:tcW w:w="217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312,973,104.49</w:t>
            </w:r>
          </w:p>
        </w:tc>
        <w:tc>
          <w:tcPr>
            <w:tcW w:w="207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484,042,293.67</w:t>
            </w:r>
          </w:p>
        </w:tc>
      </w:tr>
      <w:tr>
        <w:trPr>
          <w:trHeight w:val="384" w:hRule="exact"/>
        </w:trPr>
        <w:tc>
          <w:tcPr>
            <w:tcW w:w="4794"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r>
              <w:rPr>
                <w:rFonts w:ascii="宋体" w:hAnsi="宋体" w:cs="宋体" w:eastAsia="宋体" w:hint="default"/>
                <w:sz w:val="21"/>
                <w:szCs w:val="21"/>
              </w:rPr>
              <w:t> </w:t>
            </w:r>
          </w:p>
        </w:tc>
        <w:tc>
          <w:tcPr>
            <w:tcW w:w="2179"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707,156,148.43</w:t>
            </w:r>
          </w:p>
        </w:tc>
        <w:tc>
          <w:tcPr>
            <w:tcW w:w="2076"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50"/>
              <w:ind w:right="103"/>
              <w:jc w:val="right"/>
              <w:rPr>
                <w:rFonts w:ascii="Arial" w:hAnsi="Arial" w:cs="Arial" w:eastAsia="Arial" w:hint="default"/>
                <w:sz w:val="21"/>
                <w:szCs w:val="21"/>
              </w:rPr>
            </w:pPr>
            <w:r>
              <w:rPr>
                <w:rFonts w:ascii="Arial"/>
                <w:spacing w:val="-1"/>
                <w:sz w:val="21"/>
              </w:rPr>
              <w:t>-171,069,189.18</w:t>
            </w:r>
          </w:p>
        </w:tc>
      </w:tr>
    </w:tbl>
    <w:p>
      <w:pPr>
        <w:spacing w:after="0" w:line="240" w:lineRule="auto"/>
        <w:jc w:val="right"/>
        <w:rPr>
          <w:rFonts w:ascii="Arial" w:hAnsi="Arial" w:cs="Arial" w:eastAsia="Arial" w:hint="default"/>
          <w:sz w:val="21"/>
          <w:szCs w:val="21"/>
        </w:rPr>
        <w:sectPr>
          <w:type w:val="continuous"/>
          <w:pgSz w:w="11910" w:h="16840"/>
          <w:pgMar w:top="1360" w:bottom="1380" w:left="1560" w:right="1000"/>
        </w:sectPr>
      </w:pPr>
    </w:p>
    <w:p>
      <w:pPr>
        <w:pStyle w:val="Heading2"/>
        <w:spacing w:line="240" w:lineRule="auto" w:before="44"/>
        <w:ind w:left="238" w:right="0"/>
        <w:jc w:val="left"/>
        <w:rPr>
          <w:rFonts w:ascii="宋体" w:hAnsi="宋体" w:cs="宋体" w:eastAsia="宋体" w:hint="default"/>
          <w:b w:val="0"/>
          <w:bCs w:val="0"/>
        </w:rPr>
      </w:pPr>
      <w:r>
        <w:rPr>
          <w:rFonts w:ascii="宋体" w:hAnsi="宋体" w:cs="宋体" w:eastAsia="宋体" w:hint="default"/>
        </w:rPr>
        <w:t>(2).</w:t>
      </w:r>
      <w:r>
        <w:rPr/>
        <w:t>本期支付的取得子公司的现金净额</w:t>
      </w:r>
      <w:r>
        <w:rPr>
          <w:rFonts w:ascii="宋体" w:hAnsi="宋体" w:cs="宋体" w:eastAsia="宋体" w:hint="default"/>
          <w:w w:val="99"/>
        </w:rPr>
        <w:t> </w:t>
      </w:r>
      <w:r>
        <w:rPr>
          <w:rFonts w:ascii="宋体" w:hAnsi="宋体" w:cs="宋体" w:eastAsia="宋体" w:hint="default"/>
          <w:b w:val="0"/>
          <w:bCs w:val="0"/>
        </w:rPr>
      </w:r>
    </w:p>
    <w:p>
      <w:pPr>
        <w:spacing w:line="290" w:lineRule="auto" w:before="59"/>
        <w:ind w:left="23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本期收到的处置子公司的现金净额</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3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现金和现金等价物的构成</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7"/>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360" w:bottom="1380" w:left="1560" w:right="1000"/>
          <w:cols w:num="2" w:equalWidth="0">
            <w:col w:w="3933" w:space="2589"/>
            <w:col w:w="2828"/>
          </w:cols>
        </w:sectPr>
      </w:pPr>
    </w:p>
    <w:p>
      <w:pPr>
        <w:spacing w:line="240" w:lineRule="auto" w:before="7"/>
        <w:rPr>
          <w:rFonts w:ascii="宋体" w:hAnsi="宋体" w:cs="宋体" w:eastAsia="宋体" w:hint="default"/>
          <w:b/>
          <w:bCs/>
          <w:sz w:val="2"/>
          <w:szCs w:val="2"/>
        </w:rPr>
      </w:pPr>
    </w:p>
    <w:tbl>
      <w:tblPr>
        <w:tblW w:w="0" w:type="auto"/>
        <w:jc w:val="left"/>
        <w:tblInd w:w="101" w:type="dxa"/>
        <w:tblLayout w:type="fixed"/>
        <w:tblCellMar>
          <w:top w:w="0" w:type="dxa"/>
          <w:left w:w="0" w:type="dxa"/>
          <w:bottom w:w="0" w:type="dxa"/>
          <w:right w:w="0" w:type="dxa"/>
        </w:tblCellMar>
        <w:tblLook w:val="01E0"/>
      </w:tblPr>
      <w:tblGrid>
        <w:gridCol w:w="4066"/>
        <w:gridCol w:w="2470"/>
        <w:gridCol w:w="2513"/>
      </w:tblGrid>
      <w:tr>
        <w:trPr>
          <w:trHeight w:val="382" w:hRule="exact"/>
        </w:trPr>
        <w:tc>
          <w:tcPr>
            <w:tcW w:w="4066"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470"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4"/>
              <w:ind w:left="80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513"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4"/>
              <w:ind w:left="83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58" w:hRule="exact"/>
        </w:trPr>
        <w:tc>
          <w:tcPr>
            <w:tcW w:w="406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一、现金</w:t>
            </w:r>
            <w:r>
              <w:rPr>
                <w:rFonts w:ascii="宋体" w:hAnsi="宋体" w:cs="宋体" w:eastAsia="宋体" w:hint="default"/>
                <w:sz w:val="21"/>
                <w:szCs w:val="21"/>
              </w:rPr>
              <w:t> </w:t>
            </w:r>
          </w:p>
        </w:tc>
        <w:tc>
          <w:tcPr>
            <w:tcW w:w="24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1,020,129,252.92</w:t>
            </w:r>
          </w:p>
        </w:tc>
        <w:tc>
          <w:tcPr>
            <w:tcW w:w="251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312,973,104.49</w:t>
            </w:r>
          </w:p>
        </w:tc>
      </w:tr>
      <w:tr>
        <w:trPr>
          <w:trHeight w:val="365" w:hRule="exact"/>
        </w:trPr>
        <w:tc>
          <w:tcPr>
            <w:tcW w:w="4066"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其中：库存现金</w:t>
            </w:r>
            <w:r>
              <w:rPr>
                <w:rFonts w:ascii="宋体" w:hAnsi="宋体" w:cs="宋体" w:eastAsia="宋体" w:hint="default"/>
                <w:sz w:val="21"/>
                <w:szCs w:val="21"/>
              </w:rPr>
              <w:t> </w:t>
            </w:r>
          </w:p>
        </w:tc>
        <w:tc>
          <w:tcPr>
            <w:tcW w:w="2470"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11,154.77</w:t>
            </w:r>
          </w:p>
        </w:tc>
        <w:tc>
          <w:tcPr>
            <w:tcW w:w="2513"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11,154.77</w:t>
            </w:r>
          </w:p>
        </w:tc>
      </w:tr>
    </w:tbl>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062;height:2" coordorigin="10,10" coordsize="4062,2">
              <v:shape style="position:absolute;left:10;top:10;width:4062;height:2" coordorigin="10,10" coordsize="4062,0" path="m10,10l4071,10e" filled="false" stroked="true" strokeweight=".96002pt" strokecolor="#41b7ee">
                <v:path arrowok="t"/>
              </v:shape>
            </v:group>
            <v:group style="position:absolute;left:4071;top:10;width:58;height:2" coordorigin="4071,10" coordsize="58,2">
              <v:shape style="position:absolute;left:4071;top:10;width:58;height:2" coordorigin="4071,10" coordsize="58,0" path="m4071,10l4129,10e" filled="false" stroked="true" strokeweight=".96002pt" strokecolor="#41b7ee">
                <v:path arrowok="t"/>
              </v:shape>
            </v:group>
            <v:group style="position:absolute;left:4129;top:10;width:2413;height:2" coordorigin="4129,10" coordsize="2413,2">
              <v:shape style="position:absolute;left:4129;top:10;width:2413;height:2" coordorigin="4129,10" coordsize="2413,0" path="m4129,10l6541,10e" filled="false" stroked="true" strokeweight=".96002pt" strokecolor="#41b7ee">
                <v:path arrowok="t"/>
              </v:shape>
            </v:group>
            <v:group style="position:absolute;left:6541;top:10;width:58;height:2" coordorigin="6541,10" coordsize="58,2">
              <v:shape style="position:absolute;left:6541;top:10;width:58;height:2" coordorigin="6541,10" coordsize="58,0" path="m6541,10l6599,10e" filled="false" stroked="true" strokeweight=".96002pt" strokecolor="#41b7ee">
                <v:path arrowok="t"/>
              </v:shape>
            </v:group>
            <v:group style="position:absolute;left:6599;top:10;width:2461;height:2" coordorigin="6599,10" coordsize="2461,2">
              <v:shape style="position:absolute;left:6599;top:10;width:2461;height:2" coordorigin="6599,10" coordsize="2461,0" path="m6599,10l9059,10e" filled="false" stroked="true" strokeweight=".96002pt" strokecolor="#41b7ee">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360" w:bottom="1380" w:left="1560" w:right="1000"/>
        </w:sectPr>
      </w:pPr>
    </w:p>
    <w:p>
      <w:pPr>
        <w:spacing w:line="240" w:lineRule="auto" w:before="10"/>
        <w:rPr>
          <w:rFonts w:ascii="宋体" w:hAnsi="宋体" w:cs="宋体" w:eastAsia="宋体" w:hint="default"/>
          <w:b/>
          <w:bCs/>
          <w:sz w:val="11"/>
          <w:szCs w:val="11"/>
        </w:rPr>
      </w:pPr>
    </w:p>
    <w:p>
      <w:pPr>
        <w:spacing w:line="20" w:lineRule="exact"/>
        <w:ind w:left="14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062;height:2" coordorigin="10,10" coordsize="4062,2">
              <v:shape style="position:absolute;left:10;top:10;width:4062;height:2" coordorigin="10,10" coordsize="4062,0" path="m10,10l4071,10e" filled="false" stroked="true" strokeweight=".96001pt" strokecolor="#41b7ee">
                <v:path arrowok="t"/>
              </v:shape>
            </v:group>
            <v:group style="position:absolute;left:4071;top:10;width:58;height:2" coordorigin="4071,10" coordsize="58,2">
              <v:shape style="position:absolute;left:4071;top:10;width:58;height:2" coordorigin="4071,10" coordsize="58,0" path="m4071,10l4129,10e" filled="false" stroked="true" strokeweight=".96001pt" strokecolor="#41b7ee">
                <v:path arrowok="t"/>
              </v:shape>
            </v:group>
            <v:group style="position:absolute;left:4129;top:10;width:2413;height:2" coordorigin="4129,10" coordsize="2413,2">
              <v:shape style="position:absolute;left:4129;top:10;width:2413;height:2" coordorigin="4129,10" coordsize="2413,0" path="m4129,10l6541,10e" filled="false" stroked="true" strokeweight=".96001pt" strokecolor="#41b7ee">
                <v:path arrowok="t"/>
              </v:shape>
            </v:group>
            <v:group style="position:absolute;left:6541;top:10;width:58;height:2" coordorigin="6541,10" coordsize="58,2">
              <v:shape style="position:absolute;left:6541;top:10;width:58;height:2" coordorigin="6541,10" coordsize="58,0" path="m6541,10l6599,10e" filled="false" stroked="true" strokeweight=".96001pt" strokecolor="#41b7ee">
                <v:path arrowok="t"/>
              </v:shape>
            </v:group>
            <v:group style="position:absolute;left:6599;top:10;width:2461;height:2" coordorigin="6599,10" coordsize="2461,2">
              <v:shape style="position:absolute;left:6599;top:10;width:2461;height:2" coordorigin="6599,10" coordsize="2461,0" path="m6599,10l9059,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21" w:type="dxa"/>
        <w:tblLayout w:type="fixed"/>
        <w:tblCellMar>
          <w:top w:w="0" w:type="dxa"/>
          <w:left w:w="0" w:type="dxa"/>
          <w:bottom w:w="0" w:type="dxa"/>
          <w:right w:w="0" w:type="dxa"/>
        </w:tblCellMar>
        <w:tblLook w:val="01E0"/>
      </w:tblPr>
      <w:tblGrid>
        <w:gridCol w:w="4066"/>
        <w:gridCol w:w="2470"/>
        <w:gridCol w:w="2513"/>
      </w:tblGrid>
      <w:tr>
        <w:trPr>
          <w:trHeight w:val="365" w:hRule="exact"/>
        </w:trPr>
        <w:tc>
          <w:tcPr>
            <w:tcW w:w="4066"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7"/>
              <w:ind w:left="107"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可随时用于支付的银行存款</w:t>
            </w:r>
            <w:r>
              <w:rPr>
                <w:rFonts w:ascii="宋体" w:hAnsi="宋体" w:cs="宋体" w:eastAsia="宋体" w:hint="default"/>
                <w:sz w:val="21"/>
                <w:szCs w:val="21"/>
              </w:rPr>
              <w:t> </w:t>
            </w:r>
          </w:p>
        </w:tc>
        <w:tc>
          <w:tcPr>
            <w:tcW w:w="2470"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1,020,118,098.15</w:t>
            </w:r>
          </w:p>
        </w:tc>
        <w:tc>
          <w:tcPr>
            <w:tcW w:w="2513"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50"/>
              <w:ind w:right="103"/>
              <w:jc w:val="right"/>
              <w:rPr>
                <w:rFonts w:ascii="Arial" w:hAnsi="Arial" w:cs="Arial" w:eastAsia="Arial" w:hint="default"/>
                <w:sz w:val="21"/>
                <w:szCs w:val="21"/>
              </w:rPr>
            </w:pPr>
            <w:r>
              <w:rPr>
                <w:rFonts w:ascii="Arial"/>
                <w:spacing w:val="-1"/>
                <w:sz w:val="21"/>
              </w:rPr>
              <w:t>312,961,949.72</w:t>
            </w:r>
          </w:p>
        </w:tc>
      </w:tr>
      <w:tr>
        <w:trPr>
          <w:trHeight w:val="358" w:hRule="exact"/>
        </w:trPr>
        <w:tc>
          <w:tcPr>
            <w:tcW w:w="4066"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二、现金等价物</w:t>
            </w:r>
            <w:r>
              <w:rPr>
                <w:rFonts w:ascii="宋体" w:hAnsi="宋体" w:cs="宋体" w:eastAsia="宋体" w:hint="default"/>
                <w:sz w:val="21"/>
                <w:szCs w:val="21"/>
              </w:rPr>
              <w:t> </w:t>
            </w:r>
          </w:p>
        </w:tc>
        <w:tc>
          <w:tcPr>
            <w:tcW w:w="2470" w:type="dxa"/>
            <w:tcBorders>
              <w:top w:val="single" w:sz="4" w:space="0" w:color="41B7EE"/>
              <w:left w:val="single" w:sz="4" w:space="0" w:color="41B7EE"/>
              <w:bottom w:val="single" w:sz="4" w:space="0" w:color="41B7EE"/>
              <w:right w:val="single" w:sz="4" w:space="0" w:color="41B7EE"/>
            </w:tcBorders>
          </w:tcPr>
          <w:p>
            <w:pPr/>
          </w:p>
        </w:tc>
        <w:tc>
          <w:tcPr>
            <w:tcW w:w="2513" w:type="dxa"/>
            <w:tcBorders>
              <w:top w:val="single" w:sz="4" w:space="0" w:color="41B7EE"/>
              <w:left w:val="single" w:sz="4" w:space="0" w:color="41B7EE"/>
              <w:bottom w:val="single" w:sz="4" w:space="0" w:color="41B7EE"/>
              <w:right w:val="nil" w:sz="6" w:space="0" w:color="auto"/>
            </w:tcBorders>
          </w:tcPr>
          <w:p>
            <w:pPr/>
          </w:p>
        </w:tc>
      </w:tr>
      <w:tr>
        <w:trPr>
          <w:trHeight w:val="384" w:hRule="exact"/>
        </w:trPr>
        <w:tc>
          <w:tcPr>
            <w:tcW w:w="4066"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r>
              <w:rPr>
                <w:rFonts w:ascii="宋体" w:hAnsi="宋体" w:cs="宋体" w:eastAsia="宋体" w:hint="default"/>
                <w:sz w:val="21"/>
                <w:szCs w:val="21"/>
              </w:rPr>
              <w:t> </w:t>
            </w:r>
          </w:p>
        </w:tc>
        <w:tc>
          <w:tcPr>
            <w:tcW w:w="2470"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1,020,129,252.92</w:t>
            </w:r>
          </w:p>
        </w:tc>
        <w:tc>
          <w:tcPr>
            <w:tcW w:w="2513"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312,973,104.49</w:t>
            </w:r>
          </w:p>
        </w:tc>
      </w:tr>
    </w:tbl>
    <w:p>
      <w:pPr>
        <w:spacing w:line="290" w:lineRule="auto" w:before="44"/>
        <w:ind w:left="258" w:right="0" w:firstLine="0"/>
        <w:jc w:val="left"/>
        <w:rPr>
          <w:rFonts w:ascii="宋体" w:hAnsi="宋体" w:cs="宋体" w:eastAsia="宋体" w:hint="default"/>
          <w:sz w:val="21"/>
          <w:szCs w:val="21"/>
        </w:rPr>
      </w:pPr>
      <w:r>
        <w:rPr>
          <w:rFonts w:ascii="宋体" w:hAnsi="宋体" w:cs="宋体" w:eastAsia="宋体" w:hint="default"/>
          <w:b/>
          <w:bCs/>
          <w:sz w:val="21"/>
          <w:szCs w:val="21"/>
        </w:rPr>
        <w:t>78</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21"/>
          <w:szCs w:val="21"/>
        </w:rPr>
        <w:t>说明对上年期末余额进行调整的“其他”项目名称及调整金额等事项：</w:t>
      </w:r>
      <w:r>
        <w:rPr>
          <w:rFonts w:ascii="宋体" w:hAnsi="宋体" w:cs="宋体" w:eastAsia="宋体" w:hint="default"/>
          <w:sz w:val="21"/>
          <w:szCs w:val="21"/>
        </w:rPr>
        <w:t> </w:t>
      </w:r>
    </w:p>
    <w:p>
      <w:pPr>
        <w:pStyle w:val="BodyText"/>
        <w:spacing w:line="227" w:lineRule="exact"/>
        <w:ind w:left="258" w:right="59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FF"/>
        </w:rPr>
        <w:t> </w:t>
      </w:r>
      <w:r>
        <w:rPr>
          <w:rFonts w:ascii="宋体" w:hAnsi="宋体" w:cs="宋体" w:eastAsia="宋体" w:hint="default"/>
        </w:rPr>
      </w:r>
    </w:p>
    <w:p>
      <w:pPr>
        <w:pStyle w:val="Heading2"/>
        <w:spacing w:line="240" w:lineRule="auto" w:before="58"/>
        <w:ind w:left="258" w:right="0"/>
        <w:jc w:val="left"/>
        <w:rPr>
          <w:rFonts w:ascii="宋体" w:hAnsi="宋体" w:cs="宋体" w:eastAsia="宋体" w:hint="default"/>
          <w:b w:val="0"/>
          <w:bCs w:val="0"/>
        </w:rPr>
      </w:pPr>
      <w:r>
        <w:rPr>
          <w:rFonts w:ascii="宋体" w:hAnsi="宋体" w:cs="宋体" w:eastAsia="宋体" w:hint="default"/>
        </w:rPr>
        <w:t>79</w:t>
      </w:r>
      <w:r>
        <w:rPr/>
        <w:t>、</w:t>
      </w:r>
      <w:r>
        <w:rPr>
          <w:spacing w:val="-27"/>
        </w:rPr>
        <w:t> </w:t>
      </w:r>
      <w:r>
        <w:rPr/>
        <w:t>所有权或使用权受到限制的资产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58" w:right="59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6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214"/>
        <w:gridCol w:w="3104"/>
        <w:gridCol w:w="2744"/>
      </w:tblGrid>
      <w:tr>
        <w:trPr>
          <w:trHeight w:val="384" w:hRule="exact"/>
        </w:trPr>
        <w:tc>
          <w:tcPr>
            <w:tcW w:w="3214"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right="128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104"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left="914" w:right="0"/>
              <w:jc w:val="left"/>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2744"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943" w:right="0"/>
              <w:jc w:val="left"/>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r>
        <w:trPr>
          <w:trHeight w:val="358" w:hRule="exact"/>
        </w:trPr>
        <w:tc>
          <w:tcPr>
            <w:tcW w:w="321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1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
              <w:jc w:val="right"/>
              <w:rPr>
                <w:rFonts w:ascii="宋体" w:hAnsi="宋体" w:cs="宋体" w:eastAsia="宋体" w:hint="default"/>
                <w:sz w:val="21"/>
                <w:szCs w:val="21"/>
              </w:rPr>
            </w:pPr>
            <w:r>
              <w:rPr>
                <w:rFonts w:ascii="Arial"/>
                <w:spacing w:val="-1"/>
                <w:sz w:val="21"/>
              </w:rPr>
              <w:t>1,626,199.71</w:t>
            </w:r>
            <w:r>
              <w:rPr>
                <w:rFonts w:ascii="宋体"/>
                <w:w w:val="100"/>
                <w:sz w:val="21"/>
              </w:rPr>
              <w:t> </w:t>
            </w:r>
          </w:p>
        </w:tc>
        <w:tc>
          <w:tcPr>
            <w:tcW w:w="274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5" w:right="0"/>
              <w:jc w:val="left"/>
              <w:rPr>
                <w:rFonts w:ascii="Arial" w:hAnsi="Arial" w:cs="Arial" w:eastAsia="Arial" w:hint="default"/>
                <w:sz w:val="21"/>
                <w:szCs w:val="21"/>
              </w:rPr>
            </w:pPr>
            <w:r>
              <w:rPr>
                <w:rFonts w:ascii="宋体" w:hAnsi="宋体" w:cs="宋体" w:eastAsia="宋体" w:hint="default"/>
                <w:sz w:val="21"/>
                <w:szCs w:val="21"/>
              </w:rPr>
              <w:t>详见附注七、</w:t>
            </w:r>
            <w:r>
              <w:rPr>
                <w:rFonts w:ascii="Arial" w:hAnsi="Arial" w:cs="Arial" w:eastAsia="Arial" w:hint="default"/>
                <w:sz w:val="21"/>
                <w:szCs w:val="21"/>
              </w:rPr>
              <w:t>1</w:t>
            </w:r>
          </w:p>
        </w:tc>
      </w:tr>
      <w:tr>
        <w:trPr>
          <w:trHeight w:val="355" w:hRule="exact"/>
        </w:trPr>
        <w:tc>
          <w:tcPr>
            <w:tcW w:w="321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31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11,084,844.29</w:t>
            </w:r>
          </w:p>
        </w:tc>
        <w:tc>
          <w:tcPr>
            <w:tcW w:w="274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5" w:right="0"/>
              <w:jc w:val="left"/>
              <w:rPr>
                <w:rFonts w:ascii="Arial" w:hAnsi="Arial" w:cs="Arial" w:eastAsia="Arial" w:hint="default"/>
                <w:sz w:val="21"/>
                <w:szCs w:val="21"/>
              </w:rPr>
            </w:pPr>
            <w:r>
              <w:rPr>
                <w:rFonts w:ascii="宋体" w:hAnsi="宋体" w:cs="宋体" w:eastAsia="宋体" w:hint="default"/>
                <w:sz w:val="21"/>
                <w:szCs w:val="21"/>
              </w:rPr>
              <w:t>详见附注七、</w:t>
            </w:r>
            <w:r>
              <w:rPr>
                <w:rFonts w:ascii="Arial" w:hAnsi="Arial" w:cs="Arial" w:eastAsia="Arial" w:hint="default"/>
                <w:sz w:val="21"/>
                <w:szCs w:val="21"/>
              </w:rPr>
              <w:t>9</w:t>
            </w:r>
          </w:p>
        </w:tc>
      </w:tr>
      <w:tr>
        <w:trPr>
          <w:trHeight w:val="358" w:hRule="exact"/>
        </w:trPr>
        <w:tc>
          <w:tcPr>
            <w:tcW w:w="321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31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106"/>
              <w:jc w:val="right"/>
              <w:rPr>
                <w:rFonts w:ascii="Arial" w:hAnsi="Arial" w:cs="Arial" w:eastAsia="Arial" w:hint="default"/>
                <w:sz w:val="21"/>
                <w:szCs w:val="21"/>
              </w:rPr>
            </w:pPr>
            <w:r>
              <w:rPr>
                <w:rFonts w:ascii="Arial"/>
                <w:spacing w:val="-1"/>
                <w:sz w:val="21"/>
              </w:rPr>
              <w:t>8,322,541.02</w:t>
            </w:r>
          </w:p>
        </w:tc>
        <w:tc>
          <w:tcPr>
            <w:tcW w:w="274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5" w:right="0"/>
              <w:jc w:val="left"/>
              <w:rPr>
                <w:rFonts w:ascii="Arial" w:hAnsi="Arial" w:cs="Arial" w:eastAsia="Arial" w:hint="default"/>
                <w:sz w:val="21"/>
                <w:szCs w:val="21"/>
              </w:rPr>
            </w:pPr>
            <w:r>
              <w:rPr>
                <w:rFonts w:ascii="宋体" w:hAnsi="宋体" w:cs="宋体" w:eastAsia="宋体" w:hint="default"/>
                <w:sz w:val="21"/>
                <w:szCs w:val="21"/>
              </w:rPr>
              <w:t>详见附注七、</w:t>
            </w:r>
            <w:r>
              <w:rPr>
                <w:rFonts w:ascii="Arial" w:hAnsi="Arial" w:cs="Arial" w:eastAsia="Arial" w:hint="default"/>
                <w:sz w:val="21"/>
                <w:szCs w:val="21"/>
              </w:rPr>
              <w:t>20</w:t>
            </w:r>
          </w:p>
        </w:tc>
      </w:tr>
      <w:tr>
        <w:trPr>
          <w:trHeight w:val="358" w:hRule="exact"/>
        </w:trPr>
        <w:tc>
          <w:tcPr>
            <w:tcW w:w="321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310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44,531,210.07</w:t>
            </w:r>
          </w:p>
        </w:tc>
        <w:tc>
          <w:tcPr>
            <w:tcW w:w="274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5" w:right="0"/>
              <w:jc w:val="left"/>
              <w:rPr>
                <w:rFonts w:ascii="Arial" w:hAnsi="Arial" w:cs="Arial" w:eastAsia="Arial" w:hint="default"/>
                <w:sz w:val="21"/>
                <w:szCs w:val="21"/>
              </w:rPr>
            </w:pPr>
            <w:r>
              <w:rPr>
                <w:rFonts w:ascii="宋体" w:hAnsi="宋体" w:cs="宋体" w:eastAsia="宋体" w:hint="default"/>
                <w:sz w:val="21"/>
                <w:szCs w:val="21"/>
              </w:rPr>
              <w:t>详见附注七、</w:t>
            </w:r>
            <w:r>
              <w:rPr>
                <w:rFonts w:ascii="Arial" w:hAnsi="Arial" w:cs="Arial" w:eastAsia="Arial" w:hint="default"/>
                <w:sz w:val="21"/>
                <w:szCs w:val="21"/>
              </w:rPr>
              <w:t>25</w:t>
            </w:r>
          </w:p>
        </w:tc>
      </w:tr>
      <w:tr>
        <w:trPr>
          <w:trHeight w:val="384" w:hRule="exact"/>
        </w:trPr>
        <w:tc>
          <w:tcPr>
            <w:tcW w:w="3214"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right="128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104"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65,564,795.09</w:t>
            </w:r>
          </w:p>
        </w:tc>
        <w:tc>
          <w:tcPr>
            <w:tcW w:w="2744"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
              <w:ind w:left="94" w:right="0"/>
              <w:jc w:val="center"/>
              <w:rPr>
                <w:rFonts w:ascii="宋体" w:hAnsi="宋体" w:cs="宋体" w:eastAsia="宋体" w:hint="default"/>
                <w:sz w:val="21"/>
                <w:szCs w:val="21"/>
              </w:rPr>
            </w:pPr>
            <w:r>
              <w:rPr>
                <w:rFonts w:ascii="宋体"/>
                <w:sz w:val="21"/>
              </w:rPr>
              <w:t>/ </w:t>
            </w:r>
          </w:p>
        </w:tc>
      </w:tr>
    </w:tbl>
    <w:p>
      <w:pPr>
        <w:pStyle w:val="Heading2"/>
        <w:spacing w:line="290" w:lineRule="auto" w:before="26"/>
        <w:ind w:left="258" w:right="5964"/>
        <w:jc w:val="left"/>
        <w:rPr>
          <w:rFonts w:ascii="宋体" w:hAnsi="宋体" w:cs="宋体" w:eastAsia="宋体" w:hint="default"/>
          <w:b w:val="0"/>
          <w:bCs w:val="0"/>
        </w:rPr>
      </w:pPr>
      <w:r>
        <w:rPr>
          <w:rFonts w:ascii="宋体" w:hAnsi="宋体" w:cs="宋体" w:eastAsia="宋体" w:hint="default"/>
        </w:rPr>
        <w:t>80</w:t>
      </w:r>
      <w:r>
        <w:rPr/>
        <w:t>、</w:t>
      </w:r>
      <w:r>
        <w:rPr>
          <w:spacing w:val="-26"/>
        </w:rPr>
        <w:t> </w:t>
      </w:r>
      <w:r>
        <w:rPr/>
        <w:t>外币货币性项目</w:t>
      </w:r>
      <w:r>
        <w:rPr>
          <w:rFonts w:ascii="宋体" w:hAnsi="宋体" w:cs="宋体" w:eastAsia="宋体" w:hint="default"/>
          <w:w w:val="99"/>
        </w:rPr>
        <w:t> </w:t>
      </w:r>
      <w:r>
        <w:rPr>
          <w:rFonts w:ascii="宋体" w:hAnsi="宋体" w:cs="宋体" w:eastAsia="宋体" w:hint="default"/>
        </w:rPr>
        <w:t>(1).</w:t>
      </w:r>
      <w:r>
        <w:rPr/>
        <w:t>外币货币性项目</w:t>
      </w:r>
      <w:r>
        <w:rPr>
          <w:rFonts w:ascii="宋体" w:hAnsi="宋体" w:cs="宋体" w:eastAsia="宋体" w:hint="default"/>
          <w:b w:val="0"/>
          <w:bCs w:val="0"/>
          <w:w w:val="100"/>
        </w:rPr>
        <w:t> </w:t>
      </w:r>
    </w:p>
    <w:p>
      <w:pPr>
        <w:pStyle w:val="Heading2"/>
        <w:spacing w:line="290" w:lineRule="auto" w:before="14"/>
        <w:ind w:left="258" w:right="0"/>
        <w:jc w:val="left"/>
        <w:rPr>
          <w:b w:val="0"/>
          <w:bCs w:val="0"/>
        </w:rPr>
      </w:pPr>
      <w:r>
        <w:rPr>
          <w:rFonts w:ascii="宋体" w:hAnsi="宋体" w:cs="宋体" w:eastAsia="宋体" w:hint="default"/>
          <w:b w:val="0"/>
          <w:bCs w:val="0"/>
        </w:rPr>
        <w:t>□适用 </w:t>
      </w:r>
      <w:r>
        <w:rPr>
          <w:rFonts w:ascii="宋体" w:hAnsi="宋体" w:cs="宋体" w:eastAsia="宋体" w:hint="default"/>
          <w:b w:val="0"/>
          <w:bCs w:val="0"/>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rFonts w:ascii="宋体" w:hAnsi="宋体" w:cs="宋体" w:eastAsia="宋体" w:hint="default"/>
          <w:spacing w:val="-1"/>
        </w:rPr>
        <w:t>(2).</w:t>
      </w:r>
      <w:r>
        <w:rPr>
          <w:spacing w:val="-1"/>
        </w:rPr>
        <w:t>境外经营实体说明，包括对于重要的境外经营实体，应披露其境外主要经营地、记账本位币</w:t>
      </w:r>
      <w:r>
        <w:rPr>
          <w:b w:val="0"/>
          <w:bCs w:val="0"/>
          <w:spacing w:val="-1"/>
        </w:rPr>
      </w:r>
    </w:p>
    <w:p>
      <w:pPr>
        <w:pStyle w:val="Heading2"/>
        <w:spacing w:line="229" w:lineRule="exact" w:before="0"/>
        <w:ind w:left="685" w:right="0"/>
        <w:jc w:val="left"/>
        <w:rPr>
          <w:rFonts w:ascii="宋体" w:hAnsi="宋体" w:cs="宋体" w:eastAsia="宋体" w:hint="default"/>
          <w:b w:val="0"/>
          <w:bCs w:val="0"/>
        </w:rPr>
      </w:pPr>
      <w:r>
        <w:rPr/>
        <w:t>及选择依据，记账本位币发生变化的还应披露原因</w:t>
      </w:r>
      <w:r>
        <w:rPr>
          <w:rFonts w:ascii="宋体" w:hAnsi="宋体" w:cs="宋体" w:eastAsia="宋体" w:hint="default"/>
          <w:w w:val="99"/>
        </w:rPr>
        <w:t> </w:t>
      </w:r>
      <w:r>
        <w:rPr>
          <w:rFonts w:ascii="宋体" w:hAnsi="宋体" w:cs="宋体" w:eastAsia="宋体" w:hint="default"/>
          <w:b w:val="0"/>
          <w:bCs w:val="0"/>
        </w:rPr>
      </w:r>
    </w:p>
    <w:p>
      <w:pPr>
        <w:spacing w:line="292" w:lineRule="auto" w:before="56"/>
        <w:ind w:left="258" w:right="713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81</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套期</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0"/>
        <w:ind w:left="258" w:right="6909"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82</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政府补助</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政府补助基本情况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58" w:right="5964"/>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6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71" w:type="dxa"/>
        <w:tblLayout w:type="fixed"/>
        <w:tblCellMar>
          <w:top w:w="0" w:type="dxa"/>
          <w:left w:w="0" w:type="dxa"/>
          <w:bottom w:w="0" w:type="dxa"/>
          <w:right w:w="0" w:type="dxa"/>
        </w:tblCellMar>
        <w:tblLook w:val="01E0"/>
      </w:tblPr>
      <w:tblGrid>
        <w:gridCol w:w="2732"/>
        <w:gridCol w:w="2007"/>
        <w:gridCol w:w="1973"/>
        <w:gridCol w:w="2237"/>
      </w:tblGrid>
      <w:tr>
        <w:trPr>
          <w:trHeight w:val="384" w:hRule="exact"/>
        </w:trPr>
        <w:tc>
          <w:tcPr>
            <w:tcW w:w="2732"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6"/>
              <w:ind w:left="107" w:right="0"/>
              <w:jc w:val="center"/>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2007"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6"/>
              <w:ind w:left="102"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73"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6"/>
              <w:ind w:left="561" w:right="0"/>
              <w:jc w:val="left"/>
              <w:rPr>
                <w:rFonts w:ascii="宋体" w:hAnsi="宋体" w:cs="宋体" w:eastAsia="宋体" w:hint="default"/>
                <w:sz w:val="21"/>
                <w:szCs w:val="21"/>
              </w:rPr>
            </w:pPr>
            <w:r>
              <w:rPr>
                <w:rFonts w:ascii="宋体" w:hAnsi="宋体" w:cs="宋体" w:eastAsia="宋体" w:hint="default"/>
                <w:sz w:val="21"/>
                <w:szCs w:val="21"/>
              </w:rPr>
              <w:t>列报项目</w:t>
            </w:r>
            <w:r>
              <w:rPr>
                <w:rFonts w:ascii="宋体" w:hAnsi="宋体" w:cs="宋体" w:eastAsia="宋体" w:hint="default"/>
                <w:sz w:val="21"/>
                <w:szCs w:val="21"/>
              </w:rPr>
              <w:t> </w:t>
            </w:r>
          </w:p>
        </w:tc>
        <w:tc>
          <w:tcPr>
            <w:tcW w:w="2237"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6"/>
              <w:ind w:right="66"/>
              <w:jc w:val="right"/>
              <w:rPr>
                <w:rFonts w:ascii="宋体" w:hAnsi="宋体" w:cs="宋体" w:eastAsia="宋体" w:hint="default"/>
                <w:sz w:val="21"/>
                <w:szCs w:val="21"/>
              </w:rPr>
            </w:pPr>
            <w:r>
              <w:rPr>
                <w:rFonts w:ascii="宋体" w:hAnsi="宋体" w:cs="宋体" w:eastAsia="宋体" w:hint="default"/>
                <w:spacing w:val="-2"/>
                <w:sz w:val="21"/>
                <w:szCs w:val="21"/>
              </w:rPr>
              <w:t>计入当期损益的金额</w:t>
            </w:r>
            <w:r>
              <w:rPr>
                <w:rFonts w:ascii="宋体" w:hAnsi="宋体" w:cs="宋体" w:eastAsia="宋体" w:hint="default"/>
                <w:sz w:val="21"/>
                <w:szCs w:val="21"/>
              </w:rPr>
              <w:t> </w:t>
            </w:r>
          </w:p>
        </w:tc>
      </w:tr>
      <w:tr>
        <w:trPr>
          <w:trHeight w:val="355" w:hRule="exact"/>
        </w:trPr>
        <w:tc>
          <w:tcPr>
            <w:tcW w:w="273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57"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10"/>
                <w:sz w:val="21"/>
                <w:szCs w:val="21"/>
              </w:rPr>
              <w:t> </w:t>
            </w:r>
            <w:r>
              <w:rPr>
                <w:rFonts w:ascii="宋体" w:hAnsi="宋体" w:cs="宋体" w:eastAsia="宋体" w:hint="default"/>
                <w:sz w:val="21"/>
                <w:szCs w:val="21"/>
              </w:rPr>
              <w:t>年新建粮食仓储项目</w:t>
            </w:r>
            <w:r>
              <w:rPr>
                <w:rFonts w:ascii="宋体" w:hAnsi="宋体" w:cs="宋体" w:eastAsia="宋体" w:hint="default"/>
                <w:sz w:val="21"/>
                <w:szCs w:val="21"/>
              </w:rPr>
              <w:t> </w:t>
            </w:r>
          </w:p>
        </w:tc>
        <w:tc>
          <w:tcPr>
            <w:tcW w:w="200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9"/>
              <w:jc w:val="right"/>
              <w:rPr>
                <w:rFonts w:ascii="Arial" w:hAnsi="Arial" w:cs="Arial" w:eastAsia="Arial" w:hint="default"/>
                <w:sz w:val="21"/>
                <w:szCs w:val="21"/>
              </w:rPr>
            </w:pPr>
            <w:r>
              <w:rPr>
                <w:rFonts w:ascii="Arial"/>
                <w:spacing w:val="-1"/>
                <w:sz w:val="21"/>
              </w:rPr>
              <w:t>2,500,000.00</w:t>
            </w:r>
          </w:p>
        </w:tc>
        <w:tc>
          <w:tcPr>
            <w:tcW w:w="197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5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237"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273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57" w:right="0"/>
              <w:jc w:val="left"/>
              <w:rPr>
                <w:rFonts w:ascii="宋体" w:hAnsi="宋体" w:cs="宋体" w:eastAsia="宋体" w:hint="default"/>
                <w:sz w:val="21"/>
                <w:szCs w:val="21"/>
              </w:rPr>
            </w:pPr>
            <w:r>
              <w:rPr>
                <w:rFonts w:ascii="宋体" w:hAnsi="宋体" w:cs="宋体" w:eastAsia="宋体" w:hint="default"/>
                <w:sz w:val="21"/>
                <w:szCs w:val="21"/>
              </w:rPr>
              <w:t>国家农机补贴</w:t>
            </w:r>
            <w:r>
              <w:rPr>
                <w:rFonts w:ascii="宋体" w:hAnsi="宋体" w:cs="宋体" w:eastAsia="宋体" w:hint="default"/>
                <w:sz w:val="21"/>
                <w:szCs w:val="21"/>
              </w:rPr>
              <w:t> </w:t>
            </w:r>
          </w:p>
        </w:tc>
        <w:tc>
          <w:tcPr>
            <w:tcW w:w="200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9"/>
              <w:jc w:val="right"/>
              <w:rPr>
                <w:rFonts w:ascii="Arial" w:hAnsi="Arial" w:cs="Arial" w:eastAsia="Arial" w:hint="default"/>
                <w:sz w:val="21"/>
                <w:szCs w:val="21"/>
              </w:rPr>
            </w:pPr>
            <w:r>
              <w:rPr>
                <w:rFonts w:ascii="Arial"/>
                <w:spacing w:val="-1"/>
                <w:sz w:val="21"/>
              </w:rPr>
              <w:t>124,500.00</w:t>
            </w:r>
          </w:p>
        </w:tc>
        <w:tc>
          <w:tcPr>
            <w:tcW w:w="197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52"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Arial" w:hAnsi="Arial" w:cs="Arial" w:eastAsia="Arial" w:hint="default"/>
                <w:sz w:val="21"/>
                <w:szCs w:val="21"/>
              </w:rPr>
              <w:t>/</w:t>
            </w:r>
            <w:r>
              <w:rPr>
                <w:rFonts w:ascii="宋体" w:hAnsi="宋体" w:cs="宋体" w:eastAsia="宋体" w:hint="default"/>
                <w:sz w:val="21"/>
                <w:szCs w:val="21"/>
              </w:rPr>
              <w:t>其他收益</w:t>
            </w:r>
          </w:p>
        </w:tc>
        <w:tc>
          <w:tcPr>
            <w:tcW w:w="223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50"/>
              <w:jc w:val="right"/>
              <w:rPr>
                <w:rFonts w:ascii="Arial" w:hAnsi="Arial" w:cs="Arial" w:eastAsia="Arial" w:hint="default"/>
                <w:sz w:val="21"/>
                <w:szCs w:val="21"/>
              </w:rPr>
            </w:pPr>
            <w:r>
              <w:rPr>
                <w:rFonts w:ascii="Arial"/>
                <w:sz w:val="21"/>
              </w:rPr>
              <w:t>691.67</w:t>
            </w:r>
          </w:p>
        </w:tc>
      </w:tr>
      <w:tr>
        <w:trPr>
          <w:trHeight w:val="365" w:hRule="exact"/>
        </w:trPr>
        <w:tc>
          <w:tcPr>
            <w:tcW w:w="2732"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left="57" w:right="0"/>
              <w:jc w:val="left"/>
              <w:rPr>
                <w:rFonts w:ascii="宋体" w:hAnsi="宋体" w:cs="宋体" w:eastAsia="宋体" w:hint="default"/>
                <w:sz w:val="21"/>
                <w:szCs w:val="21"/>
              </w:rPr>
            </w:pPr>
            <w:r>
              <w:rPr>
                <w:rFonts w:ascii="宋体" w:hAnsi="宋体" w:cs="宋体" w:eastAsia="宋体" w:hint="default"/>
                <w:sz w:val="21"/>
                <w:szCs w:val="21"/>
              </w:rPr>
              <w:t>税收减免</w:t>
            </w:r>
            <w:r>
              <w:rPr>
                <w:rFonts w:ascii="宋体" w:hAnsi="宋体" w:cs="宋体" w:eastAsia="宋体" w:hint="default"/>
                <w:sz w:val="21"/>
                <w:szCs w:val="21"/>
              </w:rPr>
              <w:t> </w:t>
            </w:r>
          </w:p>
        </w:tc>
        <w:tc>
          <w:tcPr>
            <w:tcW w:w="2007"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49"/>
              <w:jc w:val="right"/>
              <w:rPr>
                <w:rFonts w:ascii="Arial" w:hAnsi="Arial" w:cs="Arial" w:eastAsia="Arial" w:hint="default"/>
                <w:sz w:val="21"/>
                <w:szCs w:val="21"/>
              </w:rPr>
            </w:pPr>
            <w:r>
              <w:rPr>
                <w:rFonts w:ascii="Arial"/>
                <w:spacing w:val="-1"/>
                <w:sz w:val="21"/>
              </w:rPr>
              <w:t>766,474.31</w:t>
            </w:r>
          </w:p>
        </w:tc>
        <w:tc>
          <w:tcPr>
            <w:tcW w:w="1973"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
              <w:ind w:left="52"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37"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50"/>
              <w:jc w:val="right"/>
              <w:rPr>
                <w:rFonts w:ascii="Arial" w:hAnsi="Arial" w:cs="Arial" w:eastAsia="Arial" w:hint="default"/>
                <w:sz w:val="21"/>
                <w:szCs w:val="21"/>
              </w:rPr>
            </w:pPr>
            <w:r>
              <w:rPr>
                <w:rFonts w:ascii="Arial"/>
                <w:spacing w:val="-1"/>
                <w:sz w:val="21"/>
              </w:rPr>
              <w:t>766,474.31</w:t>
            </w:r>
          </w:p>
        </w:tc>
      </w:tr>
    </w:tbl>
    <w:p>
      <w:pPr>
        <w:spacing w:line="20" w:lineRule="exact"/>
        <w:ind w:left="190" w:right="0" w:firstLine="0"/>
        <w:rPr>
          <w:rFonts w:ascii="宋体" w:hAnsi="宋体" w:cs="宋体" w:eastAsia="宋体" w:hint="default"/>
          <w:sz w:val="2"/>
          <w:szCs w:val="2"/>
        </w:rPr>
      </w:pPr>
      <w:r>
        <w:rPr>
          <w:rFonts w:ascii="宋体" w:hAnsi="宋体" w:cs="宋体" w:eastAsia="宋体" w:hint="default"/>
          <w:sz w:val="2"/>
          <w:szCs w:val="2"/>
        </w:rPr>
        <w:pict>
          <v:group style="width:448.4pt;height:1pt;mso-position-horizontal-relative:char;mso-position-vertical-relative:line" coordorigin="0,0" coordsize="8968,20">
            <v:group style="position:absolute;left:10;top:10;width:2727;height:2" coordorigin="10,10" coordsize="2727,2">
              <v:shape style="position:absolute;left:10;top:10;width:2727;height:2" coordorigin="10,10" coordsize="2727,0" path="m10,10l2736,10e" filled="false" stroked="true" strokeweight=".96002pt" strokecolor="#009eea">
                <v:path arrowok="t"/>
              </v:shape>
            </v:group>
            <v:group style="position:absolute;left:2737;top:10;width:58;height:2" coordorigin="2737,10" coordsize="58,2">
              <v:shape style="position:absolute;left:2737;top:10;width:58;height:2" coordorigin="2737,10" coordsize="58,0" path="m2737,10l2794,10e" filled="false" stroked="true" strokeweight=".96002pt" strokecolor="#009eea">
                <v:path arrowok="t"/>
              </v:shape>
            </v:group>
            <v:group style="position:absolute;left:2794;top:10;width:1950;height:2" coordorigin="2794,10" coordsize="1950,2">
              <v:shape style="position:absolute;left:2794;top:10;width:1950;height:2" coordorigin="2794,10" coordsize="1950,0" path="m2794,10l4743,10e" filled="false" stroked="true" strokeweight=".96002pt" strokecolor="#009eea">
                <v:path arrowok="t"/>
              </v:shape>
            </v:group>
            <v:group style="position:absolute;left:4743;top:10;width:58;height:2" coordorigin="4743,10" coordsize="58,2">
              <v:shape style="position:absolute;left:4743;top:10;width:58;height:2" coordorigin="4743,10" coordsize="58,0" path="m4743,10l4801,10e" filled="false" stroked="true" strokeweight=".96002pt" strokecolor="#009eea">
                <v:path arrowok="t"/>
              </v:shape>
            </v:group>
            <v:group style="position:absolute;left:4801;top:10;width:1916;height:2" coordorigin="4801,10" coordsize="1916,2">
              <v:shape style="position:absolute;left:4801;top:10;width:1916;height:2" coordorigin="4801,10" coordsize="1916,0" path="m4801,10l6716,10e" filled="false" stroked="true" strokeweight=".96002pt" strokecolor="#009eea">
                <v:path arrowok="t"/>
              </v:shape>
            </v:group>
            <v:group style="position:absolute;left:6716;top:10;width:58;height:2" coordorigin="6716,10" coordsize="58,2">
              <v:shape style="position:absolute;left:6716;top:10;width:58;height:2" coordorigin="6716,10" coordsize="58,0" path="m6716,10l6774,10e" filled="false" stroked="true" strokeweight=".96002pt" strokecolor="#009eea">
                <v:path arrowok="t"/>
              </v:shape>
            </v:group>
            <v:group style="position:absolute;left:6774;top:10;width:2185;height:2" coordorigin="6774,10" coordsize="2185,2">
              <v:shape style="position:absolute;left:6774;top:10;width:2185;height:2" coordorigin="6774,10" coordsize="2185,0" path="m6774,10l8958,10e" filled="false" stroked="true" strokeweight=".96002pt" strokecolor="#009eea">
                <v:path arrowok="t"/>
              </v:shape>
            </v:group>
          </v:group>
        </w:pict>
      </w:r>
      <w:r>
        <w:rPr>
          <w:rFonts w:ascii="宋体" w:hAnsi="宋体" w:cs="宋体" w:eastAsia="宋体" w:hint="default"/>
          <w:sz w:val="2"/>
          <w:szCs w:val="2"/>
        </w:rPr>
      </w:r>
    </w:p>
    <w:p>
      <w:pPr>
        <w:pStyle w:val="Heading2"/>
        <w:spacing w:line="240" w:lineRule="auto" w:before="45"/>
        <w:ind w:left="258" w:right="5964"/>
        <w:jc w:val="left"/>
        <w:rPr>
          <w:rFonts w:ascii="宋体" w:hAnsi="宋体" w:cs="宋体" w:eastAsia="宋体" w:hint="default"/>
          <w:b w:val="0"/>
          <w:bCs w:val="0"/>
        </w:rPr>
      </w:pPr>
      <w:r>
        <w:rPr>
          <w:rFonts w:ascii="宋体" w:hAnsi="宋体" w:cs="宋体" w:eastAsia="宋体" w:hint="default"/>
        </w:rPr>
        <w:t>(2).</w:t>
      </w:r>
      <w:r>
        <w:rPr/>
        <w:t>政府补助退回情况</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58" w:right="713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83</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spacing w:line="290" w:lineRule="auto" w:before="12"/>
        <w:ind w:left="258" w:right="718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八、</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合并范围的变更</w:t>
      </w:r>
      <w:r>
        <w:rPr>
          <w:rFonts w:ascii="宋体" w:hAnsi="宋体" w:cs="宋体" w:eastAsia="宋体" w:hint="default"/>
          <w:sz w:val="21"/>
          <w:szCs w:val="21"/>
        </w:rPr>
      </w:r>
    </w:p>
    <w:p>
      <w:pPr>
        <w:pStyle w:val="Heading2"/>
        <w:spacing w:line="240" w:lineRule="auto" w:before="14"/>
        <w:ind w:left="258" w:right="5964"/>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非同一控制下企业合并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58" w:right="59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left="258" w:right="5964"/>
        <w:jc w:val="left"/>
        <w:rPr>
          <w:rFonts w:ascii="宋体" w:hAnsi="宋体" w:cs="宋体" w:eastAsia="宋体" w:hint="default"/>
          <w:b w:val="0"/>
          <w:bCs w:val="0"/>
        </w:rPr>
      </w:pPr>
      <w:r>
        <w:rPr>
          <w:rFonts w:ascii="宋体" w:hAnsi="宋体" w:cs="宋体" w:eastAsia="宋体" w:hint="default"/>
        </w:rPr>
        <w:t>2</w:t>
      </w:r>
      <w:r>
        <w:rPr/>
        <w:t>、</w:t>
      </w:r>
      <w:r>
        <w:rPr>
          <w:spacing w:val="-2"/>
        </w:rPr>
        <w:t> </w:t>
      </w:r>
      <w:r>
        <w:rPr/>
        <w:t>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58" w:right="59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26" w:footer="1195" w:top="1360" w:bottom="1380" w:left="1540" w:right="1000"/>
        </w:sectPr>
      </w:pPr>
    </w:p>
    <w:p>
      <w:pPr>
        <w:pStyle w:val="Heading2"/>
        <w:spacing w:line="240" w:lineRule="auto" w:before="119"/>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反向购买</w:t>
      </w:r>
      <w:r>
        <w:rPr>
          <w:rFonts w:ascii="宋体" w:hAnsi="宋体" w:cs="宋体" w:eastAsia="宋体" w:hint="default"/>
          <w:w w:val="99"/>
        </w:rPr>
        <w:t> </w:t>
      </w:r>
      <w:r>
        <w:rPr>
          <w:rFonts w:ascii="宋体" w:hAnsi="宋体" w:cs="宋体" w:eastAsia="宋体" w:hint="default"/>
          <w:b w:val="0"/>
          <w:bCs w:val="0"/>
        </w:rPr>
      </w:r>
    </w:p>
    <w:p>
      <w:pPr>
        <w:spacing w:line="290" w:lineRule="auto" w:before="59"/>
        <w:ind w:left="138" w:right="71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left="138" w:right="0"/>
        <w:jc w:val="left"/>
        <w:rPr>
          <w:rFonts w:ascii="宋体" w:hAnsi="宋体" w:cs="宋体" w:eastAsia="宋体" w:hint="default"/>
        </w:rPr>
      </w:pPr>
      <w:r>
        <w:rPr/>
        <w:t>是否存在单次处置对子公司投资即丧失控制权的情形</w:t>
      </w:r>
      <w:r>
        <w:rPr>
          <w:rFonts w:ascii="宋体" w:hAnsi="宋体" w:cs="宋体" w:eastAsia="宋体" w:hint="default"/>
        </w:rPr>
        <w:t> </w:t>
      </w:r>
    </w:p>
    <w:p>
      <w:pPr>
        <w:pStyle w:val="BodyText"/>
        <w:spacing w:line="240" w:lineRule="auto"/>
        <w:ind w:left="138" w:right="718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4" w:lineRule="exact" w:before="22"/>
        <w:ind w:left="138" w:right="74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是否存在通过多次交易分步处置对子公司投资且在本期丧失控制权的情形</w:t>
      </w:r>
      <w:r>
        <w:rPr>
          <w:rFonts w:ascii="宋体" w:hAnsi="宋体" w:cs="宋体" w:eastAsia="宋体" w:hint="default"/>
        </w:rPr>
        <w:t> </w:t>
      </w:r>
    </w:p>
    <w:p>
      <w:pPr>
        <w:pStyle w:val="BodyText"/>
        <w:spacing w:line="246" w:lineRule="exact"/>
        <w:ind w:left="138" w:right="0"/>
        <w:jc w:val="left"/>
        <w:rPr>
          <w:rFonts w:ascii="宋体" w:hAnsi="宋体" w:cs="宋体" w:eastAsia="宋体" w:hint="default"/>
        </w:rPr>
      </w:pPr>
      <w:r>
        <w:rPr/>
        <w:t>□适用√不适用</w:t>
      </w:r>
      <w:r>
        <w:rPr>
          <w:rFonts w:ascii="宋体" w:hAnsi="宋体" w:cs="宋体" w:eastAsia="宋体" w:hint="default"/>
        </w:rPr>
        <w:t> </w:t>
      </w:r>
    </w:p>
    <w:p>
      <w:pPr>
        <w:spacing w:line="290" w:lineRule="auto" w:before="58"/>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z w:val="21"/>
          <w:szCs w:val="21"/>
        </w:rPr>
        <w:t>说明其他原因导致的合并范围变动（如，新设子公司、清算子公司等）及其相关情况：</w:t>
      </w:r>
      <w:r>
        <w:rPr>
          <w:rFonts w:ascii="宋体" w:hAnsi="宋体" w:cs="宋体" w:eastAsia="宋体" w:hint="default"/>
          <w:sz w:val="21"/>
          <w:szCs w:val="21"/>
        </w:rPr>
        <w:t> </w:t>
      </w:r>
    </w:p>
    <w:p>
      <w:pPr>
        <w:pStyle w:val="BodyText"/>
        <w:spacing w:line="229"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2"/>
        <w:spacing w:line="240" w:lineRule="auto" w:before="57"/>
        <w:ind w:left="138" w:right="0"/>
        <w:jc w:val="left"/>
        <w:rPr>
          <w:rFonts w:ascii="宋体" w:hAnsi="宋体" w:cs="宋体" w:eastAsia="宋体" w:hint="default"/>
          <w:b w:val="0"/>
          <w:bCs w:val="0"/>
        </w:rPr>
      </w:pPr>
      <w:r>
        <w:rPr>
          <w:rFonts w:ascii="宋体" w:hAnsi="宋体" w:cs="宋体" w:eastAsia="宋体" w:hint="default"/>
        </w:rPr>
        <w:t>6</w:t>
      </w:r>
      <w:r>
        <w:rPr/>
        <w:t>、</w:t>
      </w:r>
      <w:r>
        <w:rPr>
          <w:spacing w:val="-3"/>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26" w:footer="1195" w:top="1360" w:bottom="1380" w:left="1660" w:right="1140"/>
        </w:sectPr>
      </w:pPr>
    </w:p>
    <w:p>
      <w:pPr>
        <w:spacing w:line="240" w:lineRule="auto" w:before="13"/>
        <w:rPr>
          <w:rFonts w:ascii="宋体" w:hAnsi="宋体" w:cs="宋体" w:eastAsia="宋体" w:hint="default"/>
          <w:sz w:val="10"/>
          <w:szCs w:val="10"/>
        </w:rPr>
      </w:pPr>
    </w:p>
    <w:p>
      <w:pPr>
        <w:pStyle w:val="Heading2"/>
        <w:spacing w:line="290" w:lineRule="auto" w:before="36"/>
        <w:ind w:left="158" w:right="6431"/>
        <w:jc w:val="left"/>
        <w:rPr>
          <w:rFonts w:ascii="宋体" w:hAnsi="宋体" w:cs="宋体" w:eastAsia="宋体" w:hint="default"/>
          <w:b w:val="0"/>
          <w:bCs w:val="0"/>
        </w:rPr>
      </w:pPr>
      <w:r>
        <w:rPr/>
        <w:t>九、</w:t>
      </w:r>
      <w:r>
        <w:rPr>
          <w:spacing w:val="-105"/>
        </w:rPr>
        <w:t> </w:t>
      </w:r>
      <w:r>
        <w:rPr>
          <w:rFonts w:ascii="宋体" w:hAnsi="宋体" w:cs="宋体" w:eastAsia="宋体" w:hint="default"/>
          <w:spacing w:val="-105"/>
        </w:rPr>
      </w:r>
      <w:r>
        <w:rPr/>
        <w:t>在其他主体中的权益</w:t>
      </w:r>
      <w:r>
        <w:rPr>
          <w:rFonts w:ascii="宋体" w:hAnsi="宋体" w:cs="宋体" w:eastAsia="宋体" w:hint="default"/>
          <w:w w:val="99"/>
        </w:rPr>
        <w:t> </w:t>
      </w:r>
      <w:r>
        <w:rPr>
          <w:rFonts w:ascii="宋体" w:hAnsi="宋体" w:cs="宋体" w:eastAsia="宋体" w:hint="default"/>
        </w:rPr>
        <w:t>1</w:t>
      </w:r>
      <w:r>
        <w:rPr/>
        <w:t>、</w:t>
      </w:r>
      <w:r>
        <w:rPr>
          <w:spacing w:val="-3"/>
        </w:rPr>
        <w:t> </w:t>
      </w:r>
      <w:r>
        <w:rPr/>
        <w:t>在子公司中的权益</w:t>
      </w:r>
      <w:r>
        <w:rPr>
          <w:spacing w:val="-104"/>
        </w:rPr>
        <w:t> </w:t>
      </w:r>
      <w:r>
        <w:rPr>
          <w:spacing w:val="-104"/>
        </w:rPr>
      </w:r>
      <w:r>
        <w:rPr>
          <w:rFonts w:ascii="宋体" w:hAnsi="宋体" w:cs="宋体" w:eastAsia="宋体" w:hint="default"/>
        </w:rPr>
        <w:t>(1).</w:t>
      </w:r>
      <w:r>
        <w:rPr/>
        <w:t>企业集团的构成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3279;height:2" coordorigin="10,10" coordsize="3279,2">
              <v:shape style="position:absolute;left:10;top:10;width:3279;height:2" coordorigin="10,10" coordsize="3279,0" path="m10,10l3288,10e" filled="false" stroked="true" strokeweight=".96001pt" strokecolor="#41b7ee">
                <v:path arrowok="t"/>
              </v:shape>
            </v:group>
            <v:group style="position:absolute;left:3289;top:10;width:58;height:2" coordorigin="3289,10" coordsize="58,2">
              <v:shape style="position:absolute;left:3289;top:10;width:58;height:2" coordorigin="3289,10" coordsize="58,0" path="m3289,10l3346,10e" filled="false" stroked="true" strokeweight=".96001pt" strokecolor="#41b7ee">
                <v:path arrowok="t"/>
              </v:shape>
            </v:group>
            <v:group style="position:absolute;left:3346;top:10;width:944;height:2" coordorigin="3346,10" coordsize="944,2">
              <v:shape style="position:absolute;left:3346;top:10;width:944;height:2" coordorigin="3346,10" coordsize="944,0" path="m3346,10l4289,10e" filled="false" stroked="true" strokeweight=".96001pt" strokecolor="#41b7ee">
                <v:path arrowok="t"/>
              </v:shape>
            </v:group>
            <v:group style="position:absolute;left:4289;top:10;width:58;height:2" coordorigin="4289,10" coordsize="58,2">
              <v:shape style="position:absolute;left:4289;top:10;width:58;height:2" coordorigin="4289,10" coordsize="58,0" path="m4289,10l4347,10e" filled="false" stroked="true" strokeweight=".96001pt" strokecolor="#41b7ee">
                <v:path arrowok="t"/>
              </v:shape>
            </v:group>
            <v:group style="position:absolute;left:4347;top:10;width:656;height:2" coordorigin="4347,10" coordsize="656,2">
              <v:shape style="position:absolute;left:4347;top:10;width:656;height:2" coordorigin="4347,10" coordsize="656,0" path="m4347,10l5003,10e" filled="false" stroked="true" strokeweight=".96001pt" strokecolor="#41b7ee">
                <v:path arrowok="t"/>
              </v:shape>
            </v:group>
            <v:group style="position:absolute;left:5003;top:10;width:58;height:2" coordorigin="5003,10" coordsize="58,2">
              <v:shape style="position:absolute;left:5003;top:10;width:58;height:2" coordorigin="5003,10" coordsize="58,0" path="m5003,10l5060,10e" filled="false" stroked="true" strokeweight=".96001pt" strokecolor="#41b7ee">
                <v:path arrowok="t"/>
              </v:shape>
            </v:group>
            <v:group style="position:absolute;left:5060;top:10;width:1361;height:2" coordorigin="5060,10" coordsize="1361,2">
              <v:shape style="position:absolute;left:5060;top:10;width:1361;height:2" coordorigin="5060,10" coordsize="1361,0" path="m5060,10l6421,10e" filled="false" stroked="true" strokeweight=".96001pt" strokecolor="#41b7ee">
                <v:path arrowok="t"/>
              </v:shape>
            </v:group>
            <v:group style="position:absolute;left:6421;top:10;width:58;height:2" coordorigin="6421,10" coordsize="58,2">
              <v:shape style="position:absolute;left:6421;top:10;width:58;height:2" coordorigin="6421,10" coordsize="58,0" path="m6421,10l6479,10e" filled="false" stroked="true" strokeweight=".96001pt" strokecolor="#41b7ee">
                <v:path arrowok="t"/>
              </v:shape>
            </v:group>
            <v:group style="position:absolute;left:6479;top:10;width:1235;height:2" coordorigin="6479,10" coordsize="1235,2">
              <v:shape style="position:absolute;left:6479;top:10;width:1235;height:2" coordorigin="6479,10" coordsize="1235,0" path="m6479,10l7713,10e" filled="false" stroked="true" strokeweight=".96001pt" strokecolor="#41b7ee">
                <v:path arrowok="t"/>
              </v:shape>
            </v:group>
            <v:group style="position:absolute;left:7713;top:10;width:58;height:2" coordorigin="7713,10" coordsize="58,2">
              <v:shape style="position:absolute;left:7713;top:10;width:58;height:2" coordorigin="7713,10" coordsize="58,0" path="m7713,10l7770,10e" filled="false" stroked="true" strokeweight=".96001pt" strokecolor="#41b7ee">
                <v:path arrowok="t"/>
              </v:shape>
            </v:group>
            <v:group style="position:absolute;left:7770;top:10;width:1131;height:2" coordorigin="7770,10" coordsize="1131,2">
              <v:shape style="position:absolute;left:7770;top:10;width:1131;height:2" coordorigin="7770,10" coordsize="1131,0" path="m7770,10l8901,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3284"/>
        <w:gridCol w:w="1001"/>
        <w:gridCol w:w="713"/>
        <w:gridCol w:w="1418"/>
        <w:gridCol w:w="718"/>
        <w:gridCol w:w="574"/>
        <w:gridCol w:w="1183"/>
      </w:tblGrid>
      <w:tr>
        <w:trPr>
          <w:trHeight w:val="365" w:hRule="exact"/>
        </w:trPr>
        <w:tc>
          <w:tcPr>
            <w:tcW w:w="3284" w:type="dxa"/>
            <w:vMerge w:val="restart"/>
            <w:tcBorders>
              <w:top w:val="single" w:sz="8" w:space="0" w:color="41B7EE"/>
              <w:left w:val="nil" w:sz="6" w:space="0" w:color="auto"/>
              <w:right w:val="single" w:sz="4" w:space="0" w:color="41B7EE"/>
            </w:tcBorders>
          </w:tcPr>
          <w:p>
            <w:pPr>
              <w:pStyle w:val="TableParagraph"/>
              <w:spacing w:line="272" w:lineRule="exact" w:before="77"/>
              <w:ind w:left="1327" w:right="1214"/>
              <w:jc w:val="center"/>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1001" w:type="dxa"/>
            <w:vMerge w:val="restart"/>
            <w:tcBorders>
              <w:top w:val="single" w:sz="8" w:space="0" w:color="41B7EE"/>
              <w:left w:val="single" w:sz="4" w:space="0" w:color="41B7EE"/>
              <w:right w:val="single" w:sz="4" w:space="0" w:color="41B7EE"/>
            </w:tcBorders>
          </w:tcPr>
          <w:p>
            <w:pPr>
              <w:pStyle w:val="TableParagraph"/>
              <w:spacing w:line="272" w:lineRule="exact" w:before="77"/>
              <w:ind w:left="388" w:right="72" w:hanging="315"/>
              <w:jc w:val="left"/>
              <w:rPr>
                <w:rFonts w:ascii="宋体" w:hAnsi="宋体" w:cs="宋体" w:eastAsia="宋体" w:hint="default"/>
                <w:sz w:val="21"/>
                <w:szCs w:val="21"/>
              </w:rPr>
            </w:pPr>
            <w:r>
              <w:rPr>
                <w:rFonts w:ascii="宋体" w:hAnsi="宋体" w:cs="宋体" w:eastAsia="宋体" w:hint="default"/>
                <w:sz w:val="21"/>
                <w:szCs w:val="21"/>
              </w:rPr>
              <w:t>主要经营</w:t>
            </w:r>
            <w:r>
              <w:rPr>
                <w:rFonts w:ascii="宋体" w:hAnsi="宋体" w:cs="宋体" w:eastAsia="宋体" w:hint="default"/>
                <w:w w:val="100"/>
                <w:sz w:val="21"/>
                <w:szCs w:val="21"/>
              </w:rPr>
              <w:t> </w:t>
            </w:r>
            <w:r>
              <w:rPr>
                <w:rFonts w:ascii="宋体" w:hAnsi="宋体" w:cs="宋体" w:eastAsia="宋体" w:hint="default"/>
                <w:sz w:val="21"/>
                <w:szCs w:val="21"/>
              </w:rPr>
              <w:t>地</w:t>
            </w:r>
            <w:r>
              <w:rPr>
                <w:rFonts w:ascii="宋体" w:hAnsi="宋体" w:cs="宋体" w:eastAsia="宋体" w:hint="default"/>
                <w:sz w:val="21"/>
                <w:szCs w:val="21"/>
              </w:rPr>
              <w:t> </w:t>
            </w:r>
          </w:p>
        </w:tc>
        <w:tc>
          <w:tcPr>
            <w:tcW w:w="713" w:type="dxa"/>
            <w:vMerge w:val="restart"/>
            <w:tcBorders>
              <w:top w:val="single" w:sz="8" w:space="0" w:color="41B7EE"/>
              <w:left w:val="single" w:sz="4" w:space="0" w:color="41B7EE"/>
              <w:right w:val="single" w:sz="4" w:space="0" w:color="41B7EE"/>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3"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18" w:type="dxa"/>
            <w:vMerge w:val="restart"/>
            <w:tcBorders>
              <w:top w:val="single" w:sz="8" w:space="0" w:color="41B7EE"/>
              <w:left w:val="single" w:sz="4" w:space="0" w:color="41B7EE"/>
              <w:right w:val="single" w:sz="4" w:space="0" w:color="41B7EE"/>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1292" w:type="dxa"/>
            <w:gridSpan w:val="2"/>
            <w:tcBorders>
              <w:top w:val="single" w:sz="8" w:space="0" w:color="41B7EE"/>
              <w:left w:val="single" w:sz="4" w:space="0" w:color="41B7EE"/>
              <w:bottom w:val="single" w:sz="4" w:space="0" w:color="41B7EE"/>
              <w:right w:val="single" w:sz="4" w:space="0" w:color="41B7EE"/>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pacing w:val="-5"/>
                <w:sz w:val="21"/>
                <w:szCs w:val="21"/>
              </w:rPr>
              <w:t>持股比例（</w:t>
            </w:r>
            <w:r>
              <w:rPr>
                <w:rFonts w:ascii="宋体" w:hAnsi="宋体" w:cs="宋体" w:eastAsia="宋体" w:hint="default"/>
                <w:spacing w:val="-5"/>
                <w:sz w:val="21"/>
                <w:szCs w:val="21"/>
              </w:rPr>
              <w:t>%)</w:t>
            </w:r>
          </w:p>
        </w:tc>
        <w:tc>
          <w:tcPr>
            <w:tcW w:w="1183" w:type="dxa"/>
            <w:vMerge w:val="restart"/>
            <w:tcBorders>
              <w:top w:val="single" w:sz="8" w:space="0" w:color="41B7EE"/>
              <w:left w:val="single" w:sz="4" w:space="0" w:color="41B7EE"/>
              <w:right w:val="nil" w:sz="6" w:space="0" w:color="auto"/>
            </w:tcBorders>
          </w:tcPr>
          <w:p>
            <w:pPr>
              <w:pStyle w:val="TableParagraph"/>
              <w:spacing w:line="272" w:lineRule="exact" w:before="77"/>
              <w:ind w:left="374" w:right="276"/>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r>
      <w:tr>
        <w:trPr>
          <w:trHeight w:val="358" w:hRule="exact"/>
        </w:trPr>
        <w:tc>
          <w:tcPr>
            <w:tcW w:w="3284" w:type="dxa"/>
            <w:vMerge/>
            <w:tcBorders>
              <w:left w:val="nil" w:sz="6" w:space="0" w:color="auto"/>
              <w:bottom w:val="single" w:sz="4" w:space="0" w:color="41B7EE"/>
              <w:right w:val="single" w:sz="4" w:space="0" w:color="41B7EE"/>
            </w:tcBorders>
          </w:tcPr>
          <w:p>
            <w:pPr/>
          </w:p>
        </w:tc>
        <w:tc>
          <w:tcPr>
            <w:tcW w:w="1001" w:type="dxa"/>
            <w:vMerge/>
            <w:tcBorders>
              <w:left w:val="single" w:sz="4" w:space="0" w:color="41B7EE"/>
              <w:bottom w:val="single" w:sz="4" w:space="0" w:color="41B7EE"/>
              <w:right w:val="single" w:sz="4" w:space="0" w:color="41B7EE"/>
            </w:tcBorders>
          </w:tcPr>
          <w:p>
            <w:pPr/>
          </w:p>
        </w:tc>
        <w:tc>
          <w:tcPr>
            <w:tcW w:w="713" w:type="dxa"/>
            <w:vMerge/>
            <w:tcBorders>
              <w:left w:val="single" w:sz="4" w:space="0" w:color="41B7EE"/>
              <w:bottom w:val="single" w:sz="4" w:space="0" w:color="41B7EE"/>
              <w:right w:val="single" w:sz="4" w:space="0" w:color="41B7EE"/>
            </w:tcBorders>
          </w:tcPr>
          <w:p>
            <w:pPr/>
          </w:p>
        </w:tc>
        <w:tc>
          <w:tcPr>
            <w:tcW w:w="1418" w:type="dxa"/>
            <w:vMerge/>
            <w:tcBorders>
              <w:left w:val="single" w:sz="4" w:space="0" w:color="41B7EE"/>
              <w:bottom w:val="single" w:sz="4" w:space="0" w:color="41B7EE"/>
              <w:right w:val="single" w:sz="4" w:space="0" w:color="41B7EE"/>
            </w:tcBorders>
          </w:tcPr>
          <w:p>
            <w:pP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right="36"/>
              <w:jc w:val="right"/>
              <w:rPr>
                <w:rFonts w:ascii="宋体" w:hAnsi="宋体" w:cs="宋体" w:eastAsia="宋体" w:hint="default"/>
                <w:sz w:val="21"/>
                <w:szCs w:val="21"/>
              </w:rPr>
            </w:pPr>
            <w:r>
              <w:rPr>
                <w:rFonts w:ascii="宋体" w:hAnsi="宋体" w:cs="宋体" w:eastAsia="宋体" w:hint="default"/>
                <w:spacing w:val="-2"/>
                <w:sz w:val="21"/>
                <w:szCs w:val="21"/>
              </w:rPr>
              <w:t>直接</w:t>
            </w:r>
            <w:r>
              <w:rPr>
                <w:rFonts w:ascii="宋体" w:hAnsi="宋体" w:cs="宋体" w:eastAsia="宋体" w:hint="default"/>
                <w:sz w:val="21"/>
                <w:szCs w:val="21"/>
              </w:rPr>
              <w:t> </w:t>
            </w:r>
          </w:p>
        </w:tc>
        <w:tc>
          <w:tcPr>
            <w:tcW w:w="57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72" w:right="-34"/>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183" w:type="dxa"/>
            <w:vMerge/>
            <w:tcBorders>
              <w:left w:val="single" w:sz="4" w:space="0" w:color="41B7EE"/>
              <w:bottom w:val="single" w:sz="4" w:space="0" w:color="41B7EE"/>
              <w:right w:val="nil" w:sz="6" w:space="0" w:color="auto"/>
            </w:tcBorders>
          </w:tcPr>
          <w:p>
            <w:pPr/>
          </w:p>
        </w:tc>
      </w:tr>
      <w:tr>
        <w:trPr>
          <w:trHeight w:val="554" w:hRule="exact"/>
        </w:trPr>
        <w:tc>
          <w:tcPr>
            <w:tcW w:w="328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02"/>
              <w:ind w:left="28" w:right="0"/>
              <w:jc w:val="left"/>
              <w:rPr>
                <w:rFonts w:ascii="宋体" w:hAnsi="宋体" w:cs="宋体" w:eastAsia="宋体" w:hint="default"/>
                <w:sz w:val="21"/>
                <w:szCs w:val="21"/>
              </w:rPr>
            </w:pPr>
            <w:r>
              <w:rPr>
                <w:rFonts w:ascii="宋体" w:hAnsi="宋体" w:cs="宋体" w:eastAsia="宋体" w:hint="default"/>
                <w:sz w:val="21"/>
                <w:szCs w:val="21"/>
              </w:rPr>
              <w:t>黑龙江北大荒纸业有限责任公司</w:t>
            </w:r>
            <w:r>
              <w:rPr>
                <w:rFonts w:ascii="宋体" w:hAnsi="宋体" w:cs="宋体" w:eastAsia="宋体" w:hint="default"/>
                <w:sz w:val="21"/>
                <w:szCs w:val="21"/>
              </w:rPr>
              <w:t> </w:t>
            </w:r>
          </w:p>
        </w:tc>
        <w:tc>
          <w:tcPr>
            <w:tcW w:w="10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密山市</w:t>
            </w:r>
            <w:r>
              <w:rPr>
                <w:rFonts w:ascii="宋体" w:hAnsi="宋体" w:cs="宋体" w:eastAsia="宋体" w:hint="default"/>
                <w:sz w:val="21"/>
                <w:szCs w:val="21"/>
              </w:rPr>
              <w:t> </w:t>
            </w: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密山</w:t>
            </w:r>
            <w:r>
              <w:rPr>
                <w:rFonts w:ascii="宋体" w:hAnsi="宋体" w:cs="宋体" w:eastAsia="宋体" w:hint="default"/>
                <w:sz w:val="21"/>
                <w:szCs w:val="21"/>
              </w:rPr>
              <w:t> </w:t>
            </w:r>
          </w:p>
        </w:tc>
        <w:tc>
          <w:tcPr>
            <w:tcW w:w="14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纸制品制造</w:t>
            </w:r>
            <w:r>
              <w:rPr>
                <w:rFonts w:ascii="宋体" w:hAnsi="宋体" w:cs="宋体" w:eastAsia="宋体" w:hint="default"/>
                <w:sz w:val="21"/>
                <w:szCs w:val="21"/>
              </w:rPr>
              <w:t> </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17"/>
              <w:jc w:val="right"/>
              <w:rPr>
                <w:rFonts w:ascii="Arial" w:hAnsi="Arial" w:cs="Arial" w:eastAsia="Arial" w:hint="default"/>
                <w:sz w:val="21"/>
                <w:szCs w:val="21"/>
              </w:rPr>
            </w:pPr>
            <w:r>
              <w:rPr>
                <w:rFonts w:ascii="Arial"/>
                <w:spacing w:val="-1"/>
                <w:sz w:val="21"/>
              </w:rPr>
              <w:t>97.86</w:t>
            </w:r>
          </w:p>
        </w:tc>
        <w:tc>
          <w:tcPr>
            <w:tcW w:w="574" w:type="dxa"/>
            <w:tcBorders>
              <w:top w:val="single" w:sz="4" w:space="0" w:color="41B7EE"/>
              <w:left w:val="single" w:sz="4" w:space="0" w:color="41B7EE"/>
              <w:bottom w:val="single" w:sz="4" w:space="0" w:color="41B7EE"/>
              <w:right w:val="single" w:sz="4" w:space="0" w:color="41B7EE"/>
            </w:tcBorders>
          </w:tcPr>
          <w:p>
            <w:pPr/>
          </w:p>
        </w:tc>
        <w:tc>
          <w:tcPr>
            <w:tcW w:w="1183" w:type="dxa"/>
            <w:tcBorders>
              <w:top w:val="single" w:sz="4" w:space="0" w:color="41B7EE"/>
              <w:left w:val="single" w:sz="4" w:space="0" w:color="41B7EE"/>
              <w:bottom w:val="single" w:sz="4" w:space="0" w:color="41B7EE"/>
              <w:right w:val="nil" w:sz="6" w:space="0" w:color="auto"/>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sz w:val="21"/>
                <w:szCs w:val="21"/>
              </w:rPr>
              <w:t> </w:t>
            </w:r>
          </w:p>
        </w:tc>
      </w:tr>
      <w:tr>
        <w:trPr>
          <w:trHeight w:val="475" w:hRule="exact"/>
        </w:trPr>
        <w:tc>
          <w:tcPr>
            <w:tcW w:w="328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62"/>
              <w:ind w:left="28" w:right="0"/>
              <w:jc w:val="left"/>
              <w:rPr>
                <w:rFonts w:ascii="宋体" w:hAnsi="宋体" w:cs="宋体" w:eastAsia="宋体" w:hint="default"/>
                <w:sz w:val="21"/>
                <w:szCs w:val="21"/>
              </w:rPr>
            </w:pPr>
            <w:r>
              <w:rPr>
                <w:rFonts w:ascii="宋体" w:hAnsi="宋体" w:cs="宋体" w:eastAsia="宋体" w:hint="default"/>
                <w:sz w:val="21"/>
                <w:szCs w:val="21"/>
              </w:rPr>
              <w:t>黑龙江北大荒投资管理有限公司</w:t>
            </w:r>
            <w:r>
              <w:rPr>
                <w:rFonts w:ascii="宋体" w:hAnsi="宋体" w:cs="宋体" w:eastAsia="宋体" w:hint="default"/>
                <w:sz w:val="21"/>
                <w:szCs w:val="21"/>
              </w:rPr>
              <w:t> </w:t>
            </w:r>
          </w:p>
        </w:tc>
        <w:tc>
          <w:tcPr>
            <w:tcW w:w="10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2"/>
              <w:ind w:left="24" w:right="0"/>
              <w:jc w:val="left"/>
              <w:rPr>
                <w:rFonts w:ascii="宋体" w:hAnsi="宋体" w:cs="宋体" w:eastAsia="宋体" w:hint="default"/>
                <w:sz w:val="21"/>
                <w:szCs w:val="21"/>
              </w:rPr>
            </w:pPr>
            <w:r>
              <w:rPr>
                <w:rFonts w:ascii="宋体" w:hAnsi="宋体" w:cs="宋体" w:eastAsia="宋体" w:hint="default"/>
                <w:sz w:val="21"/>
                <w:szCs w:val="21"/>
              </w:rPr>
              <w:t>哈尔滨市</w:t>
            </w:r>
            <w:r>
              <w:rPr>
                <w:rFonts w:ascii="宋体" w:hAnsi="宋体" w:cs="宋体" w:eastAsia="宋体" w:hint="default"/>
                <w:sz w:val="21"/>
                <w:szCs w:val="21"/>
              </w:rPr>
              <w:t> </w:t>
            </w: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2"/>
              <w:ind w:left="21" w:right="0"/>
              <w:jc w:val="left"/>
              <w:rPr>
                <w:rFonts w:ascii="宋体" w:hAnsi="宋体" w:cs="宋体" w:eastAsia="宋体" w:hint="default"/>
                <w:sz w:val="21"/>
                <w:szCs w:val="21"/>
              </w:rPr>
            </w:pPr>
            <w:r>
              <w:rPr>
                <w:rFonts w:ascii="宋体" w:hAnsi="宋体" w:cs="宋体" w:eastAsia="宋体" w:hint="default"/>
                <w:sz w:val="21"/>
                <w:szCs w:val="21"/>
              </w:rPr>
              <w:t>哈尔滨</w:t>
            </w:r>
          </w:p>
        </w:tc>
        <w:tc>
          <w:tcPr>
            <w:tcW w:w="1418" w:type="dxa"/>
            <w:tcBorders>
              <w:top w:val="single" w:sz="4" w:space="0" w:color="41B7EE"/>
              <w:left w:val="single" w:sz="4" w:space="0" w:color="41B7EE"/>
              <w:bottom w:val="single" w:sz="4" w:space="0" w:color="41B7EE"/>
              <w:right w:val="single" w:sz="4" w:space="0" w:color="41B7EE"/>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pacing w:val="-15"/>
                <w:sz w:val="18"/>
                <w:szCs w:val="18"/>
              </w:rPr>
              <w:t>投资管理、投资咨</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pacing w:val="-17"/>
                <w:sz w:val="18"/>
                <w:szCs w:val="18"/>
              </w:rPr>
              <w:t>询、风险投资等</w:t>
            </w:r>
            <w:r>
              <w:rPr>
                <w:rFonts w:ascii="宋体" w:hAnsi="宋体" w:cs="宋体" w:eastAsia="宋体" w:hint="default"/>
                <w:sz w:val="18"/>
                <w:szCs w:val="18"/>
              </w:rPr>
              <w:t> </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8"/>
              <w:ind w:right="16"/>
              <w:jc w:val="right"/>
              <w:rPr>
                <w:rFonts w:ascii="Arial" w:hAnsi="Arial" w:cs="Arial" w:eastAsia="Arial" w:hint="default"/>
                <w:sz w:val="21"/>
                <w:szCs w:val="21"/>
              </w:rPr>
            </w:pPr>
            <w:r>
              <w:rPr>
                <w:rFonts w:ascii="Arial"/>
                <w:sz w:val="21"/>
              </w:rPr>
              <w:t>100.00</w:t>
            </w:r>
          </w:p>
        </w:tc>
        <w:tc>
          <w:tcPr>
            <w:tcW w:w="574" w:type="dxa"/>
            <w:tcBorders>
              <w:top w:val="single" w:sz="4" w:space="0" w:color="41B7EE"/>
              <w:left w:val="single" w:sz="4" w:space="0" w:color="41B7EE"/>
              <w:bottom w:val="single" w:sz="4" w:space="0" w:color="41B7EE"/>
              <w:right w:val="single" w:sz="4" w:space="0" w:color="41B7EE"/>
            </w:tcBorders>
          </w:tcPr>
          <w:p>
            <w:pPr/>
          </w:p>
        </w:tc>
        <w:tc>
          <w:tcPr>
            <w:tcW w:w="118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62"/>
              <w:ind w:left="21" w:right="0"/>
              <w:jc w:val="left"/>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358" w:hRule="exact"/>
        </w:trPr>
        <w:tc>
          <w:tcPr>
            <w:tcW w:w="328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北大荒鑫亚经贸有限责任公司</w:t>
            </w:r>
            <w:r>
              <w:rPr>
                <w:rFonts w:ascii="宋体" w:hAnsi="宋体" w:cs="宋体" w:eastAsia="宋体" w:hint="default"/>
                <w:sz w:val="21"/>
                <w:szCs w:val="21"/>
              </w:rPr>
              <w:t> </w:t>
            </w:r>
          </w:p>
        </w:tc>
        <w:tc>
          <w:tcPr>
            <w:tcW w:w="10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哈尔滨市</w:t>
            </w:r>
            <w:r>
              <w:rPr>
                <w:rFonts w:ascii="宋体" w:hAnsi="宋体" w:cs="宋体" w:eastAsia="宋体" w:hint="default"/>
                <w:sz w:val="21"/>
                <w:szCs w:val="21"/>
              </w:rPr>
              <w:t> </w:t>
            </w: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哈尔滨</w:t>
            </w:r>
          </w:p>
        </w:tc>
        <w:tc>
          <w:tcPr>
            <w:tcW w:w="14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贸易</w:t>
            </w:r>
            <w:r>
              <w:rPr>
                <w:rFonts w:ascii="宋体" w:hAnsi="宋体" w:cs="宋体" w:eastAsia="宋体" w:hint="default"/>
                <w:sz w:val="21"/>
                <w:szCs w:val="21"/>
              </w:rPr>
              <w:t> </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16"/>
              <w:jc w:val="right"/>
              <w:rPr>
                <w:rFonts w:ascii="Arial" w:hAnsi="Arial" w:cs="Arial" w:eastAsia="Arial" w:hint="default"/>
                <w:sz w:val="21"/>
                <w:szCs w:val="21"/>
              </w:rPr>
            </w:pPr>
            <w:r>
              <w:rPr>
                <w:rFonts w:ascii="Arial"/>
                <w:sz w:val="21"/>
              </w:rPr>
              <w:t>100.00</w:t>
            </w:r>
          </w:p>
        </w:tc>
        <w:tc>
          <w:tcPr>
            <w:tcW w:w="574" w:type="dxa"/>
            <w:tcBorders>
              <w:top w:val="single" w:sz="4" w:space="0" w:color="41B7EE"/>
              <w:left w:val="single" w:sz="4" w:space="0" w:color="41B7EE"/>
              <w:bottom w:val="single" w:sz="4" w:space="0" w:color="41B7EE"/>
              <w:right w:val="single" w:sz="4" w:space="0" w:color="41B7EE"/>
            </w:tcBorders>
          </w:tcPr>
          <w:p>
            <w:pPr/>
          </w:p>
        </w:tc>
        <w:tc>
          <w:tcPr>
            <w:tcW w:w="118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358" w:hRule="exact"/>
        </w:trPr>
        <w:tc>
          <w:tcPr>
            <w:tcW w:w="328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5"/>
              <w:ind w:left="28" w:right="0"/>
              <w:jc w:val="left"/>
              <w:rPr>
                <w:rFonts w:ascii="宋体" w:hAnsi="宋体" w:cs="宋体" w:eastAsia="宋体" w:hint="default"/>
                <w:sz w:val="21"/>
                <w:szCs w:val="21"/>
              </w:rPr>
            </w:pPr>
            <w:r>
              <w:rPr>
                <w:rFonts w:ascii="宋体" w:hAnsi="宋体" w:cs="宋体" w:eastAsia="宋体" w:hint="default"/>
                <w:sz w:val="21"/>
                <w:szCs w:val="21"/>
              </w:rPr>
              <w:t>北大荒龙垦麦芽有限公司</w:t>
            </w:r>
            <w:r>
              <w:rPr>
                <w:rFonts w:ascii="宋体" w:hAnsi="宋体" w:cs="宋体" w:eastAsia="宋体" w:hint="default"/>
                <w:sz w:val="21"/>
                <w:szCs w:val="21"/>
              </w:rPr>
              <w:t> </w:t>
            </w:r>
          </w:p>
        </w:tc>
        <w:tc>
          <w:tcPr>
            <w:tcW w:w="10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
              <w:ind w:left="24" w:right="0"/>
              <w:jc w:val="left"/>
              <w:rPr>
                <w:rFonts w:ascii="宋体" w:hAnsi="宋体" w:cs="宋体" w:eastAsia="宋体" w:hint="default"/>
                <w:sz w:val="21"/>
                <w:szCs w:val="21"/>
              </w:rPr>
            </w:pPr>
            <w:r>
              <w:rPr>
                <w:rFonts w:ascii="宋体" w:hAnsi="宋体" w:cs="宋体" w:eastAsia="宋体" w:hint="default"/>
                <w:sz w:val="21"/>
                <w:szCs w:val="21"/>
              </w:rPr>
              <w:t>哈尔滨市</w:t>
            </w:r>
            <w:r>
              <w:rPr>
                <w:rFonts w:ascii="宋体" w:hAnsi="宋体" w:cs="宋体" w:eastAsia="宋体" w:hint="default"/>
                <w:sz w:val="21"/>
                <w:szCs w:val="21"/>
              </w:rPr>
              <w:t> </w:t>
            </w: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
              <w:ind w:left="21" w:right="0"/>
              <w:jc w:val="left"/>
              <w:rPr>
                <w:rFonts w:ascii="宋体" w:hAnsi="宋体" w:cs="宋体" w:eastAsia="宋体" w:hint="default"/>
                <w:sz w:val="21"/>
                <w:szCs w:val="21"/>
              </w:rPr>
            </w:pPr>
            <w:r>
              <w:rPr>
                <w:rFonts w:ascii="宋体" w:hAnsi="宋体" w:cs="宋体" w:eastAsia="宋体" w:hint="default"/>
                <w:sz w:val="21"/>
                <w:szCs w:val="21"/>
              </w:rPr>
              <w:t>哈尔滨</w:t>
            </w:r>
          </w:p>
        </w:tc>
        <w:tc>
          <w:tcPr>
            <w:tcW w:w="14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
              <w:ind w:left="21" w:right="0"/>
              <w:jc w:val="left"/>
              <w:rPr>
                <w:rFonts w:ascii="宋体" w:hAnsi="宋体" w:cs="宋体" w:eastAsia="宋体" w:hint="default"/>
                <w:sz w:val="21"/>
                <w:szCs w:val="21"/>
              </w:rPr>
            </w:pPr>
            <w:r>
              <w:rPr>
                <w:rFonts w:ascii="宋体" w:hAnsi="宋体" w:cs="宋体" w:eastAsia="宋体" w:hint="default"/>
                <w:sz w:val="21"/>
                <w:szCs w:val="21"/>
              </w:rPr>
              <w:t>农副食品加工</w:t>
            </w:r>
            <w:r>
              <w:rPr>
                <w:rFonts w:ascii="宋体" w:hAnsi="宋体" w:cs="宋体" w:eastAsia="宋体" w:hint="default"/>
                <w:sz w:val="21"/>
                <w:szCs w:val="21"/>
              </w:rPr>
              <w:t> </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58.44</w:t>
            </w:r>
          </w:p>
        </w:tc>
        <w:tc>
          <w:tcPr>
            <w:tcW w:w="574" w:type="dxa"/>
            <w:tcBorders>
              <w:top w:val="single" w:sz="4" w:space="0" w:color="41B7EE"/>
              <w:left w:val="single" w:sz="4" w:space="0" w:color="41B7EE"/>
              <w:bottom w:val="single" w:sz="4" w:space="0" w:color="41B7EE"/>
              <w:right w:val="single" w:sz="4" w:space="0" w:color="41B7EE"/>
            </w:tcBorders>
          </w:tcPr>
          <w:p>
            <w:pPr/>
          </w:p>
        </w:tc>
        <w:tc>
          <w:tcPr>
            <w:tcW w:w="118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
              <w:ind w:left="21" w:right="0"/>
              <w:jc w:val="left"/>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554" w:hRule="exact"/>
        </w:trPr>
        <w:tc>
          <w:tcPr>
            <w:tcW w:w="3284" w:type="dxa"/>
            <w:tcBorders>
              <w:top w:val="single" w:sz="4" w:space="0" w:color="41B7EE"/>
              <w:left w:val="nil" w:sz="6" w:space="0" w:color="auto"/>
              <w:bottom w:val="single" w:sz="4" w:space="0" w:color="41B7EE"/>
              <w:right w:val="single" w:sz="4" w:space="0" w:color="41B7EE"/>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黑龙江省宝泉岭农垦四方山石墨产</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业有限公司</w:t>
            </w:r>
            <w:r>
              <w:rPr>
                <w:rFonts w:ascii="宋体" w:hAnsi="宋体" w:cs="宋体" w:eastAsia="宋体" w:hint="default"/>
                <w:sz w:val="21"/>
                <w:szCs w:val="21"/>
              </w:rPr>
              <w:t> </w:t>
            </w:r>
          </w:p>
        </w:tc>
        <w:tc>
          <w:tcPr>
            <w:tcW w:w="10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鹤岗市</w:t>
            </w:r>
            <w:r>
              <w:rPr>
                <w:rFonts w:ascii="宋体" w:hAnsi="宋体" w:cs="宋体" w:eastAsia="宋体" w:hint="default"/>
                <w:sz w:val="21"/>
                <w:szCs w:val="21"/>
              </w:rPr>
              <w:t> </w:t>
            </w: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鹤岗</w:t>
            </w:r>
            <w:r>
              <w:rPr>
                <w:rFonts w:ascii="宋体" w:hAnsi="宋体" w:cs="宋体" w:eastAsia="宋体" w:hint="default"/>
                <w:sz w:val="21"/>
                <w:szCs w:val="21"/>
              </w:rPr>
              <w:t> </w:t>
            </w:r>
          </w:p>
        </w:tc>
        <w:tc>
          <w:tcPr>
            <w:tcW w:w="14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采矿业</w:t>
            </w:r>
            <w:r>
              <w:rPr>
                <w:rFonts w:ascii="宋体" w:hAnsi="宋体" w:cs="宋体" w:eastAsia="宋体" w:hint="default"/>
                <w:sz w:val="21"/>
                <w:szCs w:val="21"/>
              </w:rPr>
              <w:t> </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16"/>
              <w:jc w:val="right"/>
              <w:rPr>
                <w:rFonts w:ascii="Arial" w:hAnsi="Arial" w:cs="Arial" w:eastAsia="Arial" w:hint="default"/>
                <w:sz w:val="21"/>
                <w:szCs w:val="21"/>
              </w:rPr>
            </w:pPr>
            <w:r>
              <w:rPr>
                <w:rFonts w:ascii="Arial"/>
                <w:sz w:val="21"/>
              </w:rPr>
              <w:t>100.00</w:t>
            </w:r>
          </w:p>
        </w:tc>
        <w:tc>
          <w:tcPr>
            <w:tcW w:w="574" w:type="dxa"/>
            <w:tcBorders>
              <w:top w:val="single" w:sz="4" w:space="0" w:color="41B7EE"/>
              <w:left w:val="single" w:sz="4" w:space="0" w:color="41B7EE"/>
              <w:bottom w:val="single" w:sz="4" w:space="0" w:color="41B7EE"/>
              <w:right w:val="single" w:sz="4" w:space="0" w:color="41B7EE"/>
            </w:tcBorders>
          </w:tcPr>
          <w:p>
            <w:pPr/>
          </w:p>
        </w:tc>
        <w:tc>
          <w:tcPr>
            <w:tcW w:w="118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资产合并</w:t>
            </w:r>
            <w:r>
              <w:rPr>
                <w:rFonts w:ascii="宋体" w:hAnsi="宋体" w:cs="宋体" w:eastAsia="宋体" w:hint="default"/>
                <w:sz w:val="21"/>
                <w:szCs w:val="21"/>
              </w:rPr>
              <w:t> </w:t>
            </w:r>
          </w:p>
        </w:tc>
      </w:tr>
      <w:tr>
        <w:trPr>
          <w:trHeight w:val="358" w:hRule="exact"/>
        </w:trPr>
        <w:tc>
          <w:tcPr>
            <w:tcW w:w="328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北大荒鑫都房地产开发有限公司</w:t>
            </w:r>
            <w:r>
              <w:rPr>
                <w:rFonts w:ascii="宋体" w:hAnsi="宋体" w:cs="宋体" w:eastAsia="宋体" w:hint="default"/>
                <w:sz w:val="21"/>
                <w:szCs w:val="21"/>
              </w:rPr>
              <w:t> </w:t>
            </w:r>
          </w:p>
        </w:tc>
        <w:tc>
          <w:tcPr>
            <w:tcW w:w="10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哈尔滨市</w:t>
            </w:r>
            <w:r>
              <w:rPr>
                <w:rFonts w:ascii="宋体" w:hAnsi="宋体" w:cs="宋体" w:eastAsia="宋体" w:hint="default"/>
                <w:sz w:val="21"/>
                <w:szCs w:val="21"/>
              </w:rPr>
              <w:t> </w:t>
            </w: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哈尔滨</w:t>
            </w:r>
          </w:p>
        </w:tc>
        <w:tc>
          <w:tcPr>
            <w:tcW w:w="14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房地产开发</w:t>
            </w:r>
            <w:r>
              <w:rPr>
                <w:rFonts w:ascii="宋体" w:hAnsi="宋体" w:cs="宋体" w:eastAsia="宋体" w:hint="default"/>
                <w:sz w:val="21"/>
                <w:szCs w:val="21"/>
              </w:rPr>
              <w:t> </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60.00</w:t>
            </w:r>
          </w:p>
        </w:tc>
        <w:tc>
          <w:tcPr>
            <w:tcW w:w="574" w:type="dxa"/>
            <w:tcBorders>
              <w:top w:val="single" w:sz="4" w:space="0" w:color="41B7EE"/>
              <w:left w:val="single" w:sz="4" w:space="0" w:color="41B7EE"/>
              <w:bottom w:val="single" w:sz="4" w:space="0" w:color="41B7EE"/>
              <w:right w:val="single" w:sz="4" w:space="0" w:color="41B7EE"/>
            </w:tcBorders>
          </w:tcPr>
          <w:p>
            <w:pPr/>
          </w:p>
        </w:tc>
        <w:tc>
          <w:tcPr>
            <w:tcW w:w="118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358" w:hRule="exact"/>
        </w:trPr>
        <w:tc>
          <w:tcPr>
            <w:tcW w:w="328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北大荒鑫都建筑工程有限公司</w:t>
            </w:r>
            <w:r>
              <w:rPr>
                <w:rFonts w:ascii="宋体" w:hAnsi="宋体" w:cs="宋体" w:eastAsia="宋体" w:hint="default"/>
                <w:sz w:val="21"/>
                <w:szCs w:val="21"/>
              </w:rPr>
              <w:t> </w:t>
            </w:r>
          </w:p>
        </w:tc>
        <w:tc>
          <w:tcPr>
            <w:tcW w:w="10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哈尔滨市</w:t>
            </w:r>
            <w:r>
              <w:rPr>
                <w:rFonts w:ascii="宋体" w:hAnsi="宋体" w:cs="宋体" w:eastAsia="宋体" w:hint="default"/>
                <w:sz w:val="21"/>
                <w:szCs w:val="21"/>
              </w:rPr>
              <w:t> </w:t>
            </w: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哈尔滨</w:t>
            </w:r>
          </w:p>
        </w:tc>
        <w:tc>
          <w:tcPr>
            <w:tcW w:w="14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建筑业</w:t>
            </w:r>
            <w:r>
              <w:rPr>
                <w:rFonts w:ascii="宋体" w:hAnsi="宋体" w:cs="宋体" w:eastAsia="宋体" w:hint="default"/>
                <w:sz w:val="21"/>
                <w:szCs w:val="21"/>
              </w:rPr>
              <w:t> </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60.00</w:t>
            </w:r>
          </w:p>
        </w:tc>
        <w:tc>
          <w:tcPr>
            <w:tcW w:w="574" w:type="dxa"/>
            <w:tcBorders>
              <w:top w:val="single" w:sz="4" w:space="0" w:color="41B7EE"/>
              <w:left w:val="single" w:sz="4" w:space="0" w:color="41B7EE"/>
              <w:bottom w:val="single" w:sz="4" w:space="0" w:color="41B7EE"/>
              <w:right w:val="single" w:sz="4" w:space="0" w:color="41B7EE"/>
            </w:tcBorders>
          </w:tcPr>
          <w:p>
            <w:pPr/>
          </w:p>
        </w:tc>
        <w:tc>
          <w:tcPr>
            <w:tcW w:w="118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425" w:hRule="exact"/>
        </w:trPr>
        <w:tc>
          <w:tcPr>
            <w:tcW w:w="328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35"/>
              <w:ind w:left="28" w:right="0"/>
              <w:jc w:val="left"/>
              <w:rPr>
                <w:rFonts w:ascii="宋体" w:hAnsi="宋体" w:cs="宋体" w:eastAsia="宋体" w:hint="default"/>
                <w:sz w:val="21"/>
                <w:szCs w:val="21"/>
              </w:rPr>
            </w:pPr>
            <w:r>
              <w:rPr>
                <w:rFonts w:ascii="宋体" w:hAnsi="宋体" w:cs="宋体" w:eastAsia="宋体" w:hint="default"/>
                <w:sz w:val="21"/>
                <w:szCs w:val="21"/>
              </w:rPr>
              <w:t>秦皇岛市强生商贸有限公司</w:t>
            </w:r>
            <w:r>
              <w:rPr>
                <w:rFonts w:ascii="宋体" w:hAnsi="宋体" w:cs="宋体" w:eastAsia="宋体" w:hint="default"/>
                <w:sz w:val="21"/>
                <w:szCs w:val="21"/>
              </w:rPr>
              <w:t> </w:t>
            </w:r>
          </w:p>
        </w:tc>
        <w:tc>
          <w:tcPr>
            <w:tcW w:w="10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5"/>
              <w:ind w:left="24" w:right="0"/>
              <w:jc w:val="left"/>
              <w:rPr>
                <w:rFonts w:ascii="宋体" w:hAnsi="宋体" w:cs="宋体" w:eastAsia="宋体" w:hint="default"/>
                <w:sz w:val="21"/>
                <w:szCs w:val="21"/>
              </w:rPr>
            </w:pPr>
            <w:r>
              <w:rPr>
                <w:rFonts w:ascii="宋体" w:hAnsi="宋体" w:cs="宋体" w:eastAsia="宋体" w:hint="default"/>
                <w:sz w:val="21"/>
                <w:szCs w:val="21"/>
              </w:rPr>
              <w:t>秦皇岛市</w:t>
            </w:r>
            <w:r>
              <w:rPr>
                <w:rFonts w:ascii="宋体" w:hAnsi="宋体" w:cs="宋体" w:eastAsia="宋体" w:hint="default"/>
                <w:sz w:val="21"/>
                <w:szCs w:val="21"/>
              </w:rPr>
              <w:t> </w:t>
            </w: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5"/>
              <w:ind w:left="21" w:right="0"/>
              <w:jc w:val="left"/>
              <w:rPr>
                <w:rFonts w:ascii="宋体" w:hAnsi="宋体" w:cs="宋体" w:eastAsia="宋体" w:hint="default"/>
                <w:sz w:val="21"/>
                <w:szCs w:val="21"/>
              </w:rPr>
            </w:pPr>
            <w:r>
              <w:rPr>
                <w:rFonts w:ascii="宋体" w:hAnsi="宋体" w:cs="宋体" w:eastAsia="宋体" w:hint="default"/>
                <w:sz w:val="21"/>
                <w:szCs w:val="21"/>
              </w:rPr>
              <w:t>秦皇岛</w:t>
            </w:r>
          </w:p>
        </w:tc>
        <w:tc>
          <w:tcPr>
            <w:tcW w:w="14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5"/>
              <w:ind w:left="21" w:right="0"/>
              <w:jc w:val="left"/>
              <w:rPr>
                <w:rFonts w:ascii="宋体" w:hAnsi="宋体" w:cs="宋体" w:eastAsia="宋体" w:hint="default"/>
                <w:sz w:val="21"/>
                <w:szCs w:val="21"/>
              </w:rPr>
            </w:pPr>
            <w:r>
              <w:rPr>
                <w:rFonts w:ascii="宋体" w:hAnsi="宋体" w:cs="宋体" w:eastAsia="宋体" w:hint="default"/>
                <w:sz w:val="21"/>
                <w:szCs w:val="21"/>
              </w:rPr>
              <w:t>商贸</w:t>
            </w:r>
            <w:r>
              <w:rPr>
                <w:rFonts w:ascii="宋体" w:hAnsi="宋体" w:cs="宋体" w:eastAsia="宋体" w:hint="default"/>
                <w:sz w:val="21"/>
                <w:szCs w:val="21"/>
              </w:rPr>
              <w:t> </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81"/>
              <w:ind w:right="16"/>
              <w:jc w:val="right"/>
              <w:rPr>
                <w:rFonts w:ascii="Arial" w:hAnsi="Arial" w:cs="Arial" w:eastAsia="Arial" w:hint="default"/>
                <w:sz w:val="21"/>
                <w:szCs w:val="21"/>
              </w:rPr>
            </w:pPr>
            <w:r>
              <w:rPr>
                <w:rFonts w:ascii="Arial"/>
                <w:sz w:val="21"/>
              </w:rPr>
              <w:t>100.00</w:t>
            </w:r>
          </w:p>
        </w:tc>
        <w:tc>
          <w:tcPr>
            <w:tcW w:w="574" w:type="dxa"/>
            <w:tcBorders>
              <w:top w:val="single" w:sz="4" w:space="0" w:color="41B7EE"/>
              <w:left w:val="single" w:sz="4" w:space="0" w:color="41B7EE"/>
              <w:bottom w:val="single" w:sz="4" w:space="0" w:color="41B7EE"/>
              <w:right w:val="single" w:sz="4" w:space="0" w:color="41B7EE"/>
            </w:tcBorders>
          </w:tcPr>
          <w:p>
            <w:pPr/>
          </w:p>
        </w:tc>
        <w:tc>
          <w:tcPr>
            <w:tcW w:w="1183" w:type="dxa"/>
            <w:tcBorders>
              <w:top w:val="single" w:sz="4" w:space="0" w:color="41B7EE"/>
              <w:left w:val="single" w:sz="4" w:space="0" w:color="41B7EE"/>
              <w:bottom w:val="single" w:sz="4" w:space="0" w:color="41B7EE"/>
              <w:right w:val="nil" w:sz="6" w:space="0" w:color="auto"/>
            </w:tcBorders>
          </w:tcPr>
          <w:p>
            <w:pPr>
              <w:pStyle w:val="TableParagraph"/>
              <w:spacing w:line="182" w:lineRule="exact"/>
              <w:ind w:left="21" w:right="0"/>
              <w:jc w:val="left"/>
              <w:rPr>
                <w:rFonts w:ascii="宋体" w:hAnsi="宋体" w:cs="宋体" w:eastAsia="宋体" w:hint="default"/>
                <w:sz w:val="16"/>
                <w:szCs w:val="16"/>
              </w:rPr>
            </w:pPr>
            <w:r>
              <w:rPr>
                <w:rFonts w:ascii="宋体" w:hAnsi="宋体" w:cs="宋体" w:eastAsia="宋体" w:hint="default"/>
                <w:sz w:val="16"/>
                <w:szCs w:val="16"/>
              </w:rPr>
              <w:t>收购（非同一控</w:t>
            </w:r>
          </w:p>
          <w:p>
            <w:pPr>
              <w:pStyle w:val="TableParagraph"/>
              <w:spacing w:line="208" w:lineRule="exact"/>
              <w:ind w:left="21" w:right="0"/>
              <w:jc w:val="left"/>
              <w:rPr>
                <w:rFonts w:ascii="宋体" w:hAnsi="宋体" w:cs="宋体" w:eastAsia="宋体" w:hint="default"/>
                <w:sz w:val="16"/>
                <w:szCs w:val="16"/>
              </w:rPr>
            </w:pPr>
            <w:r>
              <w:rPr>
                <w:rFonts w:ascii="宋体" w:hAnsi="宋体" w:cs="宋体" w:eastAsia="宋体" w:hint="default"/>
                <w:sz w:val="16"/>
                <w:szCs w:val="16"/>
              </w:rPr>
              <w:t>制下企业合并）</w:t>
            </w:r>
          </w:p>
        </w:tc>
      </w:tr>
      <w:tr>
        <w:trPr>
          <w:trHeight w:val="355" w:hRule="exact"/>
        </w:trPr>
        <w:tc>
          <w:tcPr>
            <w:tcW w:w="328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黑龙江亚德经贸有限公司</w:t>
            </w:r>
            <w:r>
              <w:rPr>
                <w:rFonts w:ascii="宋体" w:hAnsi="宋体" w:cs="宋体" w:eastAsia="宋体" w:hint="default"/>
                <w:sz w:val="21"/>
                <w:szCs w:val="21"/>
              </w:rPr>
              <w:t> </w:t>
            </w:r>
          </w:p>
        </w:tc>
        <w:tc>
          <w:tcPr>
            <w:tcW w:w="10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哈尔滨市</w:t>
            </w:r>
            <w:r>
              <w:rPr>
                <w:rFonts w:ascii="宋体" w:hAnsi="宋体" w:cs="宋体" w:eastAsia="宋体" w:hint="default"/>
                <w:sz w:val="21"/>
                <w:szCs w:val="21"/>
              </w:rPr>
              <w:t> </w:t>
            </w: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21" w:right="0"/>
              <w:jc w:val="left"/>
              <w:rPr>
                <w:rFonts w:ascii="宋体" w:hAnsi="宋体" w:cs="宋体" w:eastAsia="宋体" w:hint="default"/>
                <w:sz w:val="21"/>
                <w:szCs w:val="21"/>
              </w:rPr>
            </w:pPr>
            <w:r>
              <w:rPr>
                <w:rFonts w:ascii="宋体" w:hAnsi="宋体" w:cs="宋体" w:eastAsia="宋体" w:hint="default"/>
                <w:sz w:val="21"/>
                <w:szCs w:val="21"/>
              </w:rPr>
              <w:t>哈尔滨</w:t>
            </w:r>
          </w:p>
        </w:tc>
        <w:tc>
          <w:tcPr>
            <w:tcW w:w="14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21" w:right="0"/>
              <w:jc w:val="left"/>
              <w:rPr>
                <w:rFonts w:ascii="宋体" w:hAnsi="宋体" w:cs="宋体" w:eastAsia="宋体" w:hint="default"/>
                <w:sz w:val="21"/>
                <w:szCs w:val="21"/>
              </w:rPr>
            </w:pPr>
            <w:r>
              <w:rPr>
                <w:rFonts w:ascii="宋体" w:hAnsi="宋体" w:cs="宋体" w:eastAsia="宋体" w:hint="default"/>
                <w:sz w:val="21"/>
                <w:szCs w:val="21"/>
              </w:rPr>
              <w:t>商贸</w:t>
            </w:r>
            <w:r>
              <w:rPr>
                <w:rFonts w:ascii="宋体" w:hAnsi="宋体" w:cs="宋体" w:eastAsia="宋体" w:hint="default"/>
                <w:sz w:val="21"/>
                <w:szCs w:val="21"/>
              </w:rPr>
              <w:t> </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6"/>
              <w:jc w:val="right"/>
              <w:rPr>
                <w:rFonts w:ascii="Arial" w:hAnsi="Arial" w:cs="Arial" w:eastAsia="Arial" w:hint="default"/>
                <w:sz w:val="21"/>
                <w:szCs w:val="21"/>
              </w:rPr>
            </w:pPr>
            <w:r>
              <w:rPr>
                <w:rFonts w:ascii="Arial"/>
                <w:sz w:val="21"/>
              </w:rPr>
              <w:t>100.00</w:t>
            </w:r>
          </w:p>
        </w:tc>
        <w:tc>
          <w:tcPr>
            <w:tcW w:w="574" w:type="dxa"/>
            <w:tcBorders>
              <w:top w:val="single" w:sz="4" w:space="0" w:color="41B7EE"/>
              <w:left w:val="single" w:sz="4" w:space="0" w:color="41B7EE"/>
              <w:bottom w:val="single" w:sz="4" w:space="0" w:color="41B7EE"/>
              <w:right w:val="single" w:sz="4" w:space="0" w:color="41B7EE"/>
            </w:tcBorders>
          </w:tcPr>
          <w:p>
            <w:pPr/>
          </w:p>
        </w:tc>
        <w:tc>
          <w:tcPr>
            <w:tcW w:w="118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21" w:right="0"/>
              <w:jc w:val="left"/>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358" w:hRule="exact"/>
        </w:trPr>
        <w:tc>
          <w:tcPr>
            <w:tcW w:w="328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黑龙江省岱旸投资管理有限公司</w:t>
            </w:r>
            <w:r>
              <w:rPr>
                <w:rFonts w:ascii="宋体" w:hAnsi="宋体" w:cs="宋体" w:eastAsia="宋体" w:hint="default"/>
                <w:sz w:val="21"/>
                <w:szCs w:val="21"/>
              </w:rPr>
              <w:t> </w:t>
            </w:r>
          </w:p>
        </w:tc>
        <w:tc>
          <w:tcPr>
            <w:tcW w:w="10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哈尔滨市</w:t>
            </w:r>
            <w:r>
              <w:rPr>
                <w:rFonts w:ascii="宋体" w:hAnsi="宋体" w:cs="宋体" w:eastAsia="宋体" w:hint="default"/>
                <w:sz w:val="21"/>
                <w:szCs w:val="21"/>
              </w:rPr>
              <w:t> </w:t>
            </w: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哈尔滨</w:t>
            </w:r>
          </w:p>
        </w:tc>
        <w:tc>
          <w:tcPr>
            <w:tcW w:w="14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投资管理</w:t>
            </w:r>
            <w:r>
              <w:rPr>
                <w:rFonts w:ascii="宋体" w:hAnsi="宋体" w:cs="宋体" w:eastAsia="宋体" w:hint="default"/>
                <w:sz w:val="21"/>
                <w:szCs w:val="21"/>
              </w:rPr>
              <w:t> </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16"/>
              <w:jc w:val="right"/>
              <w:rPr>
                <w:rFonts w:ascii="Arial" w:hAnsi="Arial" w:cs="Arial" w:eastAsia="Arial" w:hint="default"/>
                <w:sz w:val="21"/>
                <w:szCs w:val="21"/>
              </w:rPr>
            </w:pPr>
            <w:r>
              <w:rPr>
                <w:rFonts w:ascii="Arial"/>
                <w:sz w:val="21"/>
              </w:rPr>
              <w:t>100.00</w:t>
            </w:r>
          </w:p>
        </w:tc>
        <w:tc>
          <w:tcPr>
            <w:tcW w:w="574" w:type="dxa"/>
            <w:tcBorders>
              <w:top w:val="single" w:sz="4" w:space="0" w:color="41B7EE"/>
              <w:left w:val="single" w:sz="4" w:space="0" w:color="41B7EE"/>
              <w:bottom w:val="single" w:sz="4" w:space="0" w:color="41B7EE"/>
              <w:right w:val="single" w:sz="4" w:space="0" w:color="41B7EE"/>
            </w:tcBorders>
          </w:tcPr>
          <w:p>
            <w:pPr/>
          </w:p>
        </w:tc>
        <w:tc>
          <w:tcPr>
            <w:tcW w:w="118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358" w:hRule="exact"/>
        </w:trPr>
        <w:tc>
          <w:tcPr>
            <w:tcW w:w="328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pacing w:val="-18"/>
                <w:sz w:val="21"/>
                <w:szCs w:val="21"/>
              </w:rPr>
              <w:t>黑龙江北大荒玉丰农业发展有限公司</w:t>
            </w:r>
            <w:r>
              <w:rPr>
                <w:rFonts w:ascii="宋体" w:hAnsi="宋体" w:cs="宋体" w:eastAsia="宋体" w:hint="default"/>
                <w:sz w:val="21"/>
                <w:szCs w:val="21"/>
              </w:rPr>
              <w:t> </w:t>
            </w:r>
          </w:p>
        </w:tc>
        <w:tc>
          <w:tcPr>
            <w:tcW w:w="10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绥化市</w:t>
            </w:r>
            <w:r>
              <w:rPr>
                <w:rFonts w:ascii="宋体" w:hAnsi="宋体" w:cs="宋体" w:eastAsia="宋体" w:hint="default"/>
                <w:sz w:val="21"/>
                <w:szCs w:val="21"/>
              </w:rPr>
              <w:t> </w:t>
            </w: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绥化</w:t>
            </w:r>
            <w:r>
              <w:rPr>
                <w:rFonts w:ascii="宋体" w:hAnsi="宋体" w:cs="宋体" w:eastAsia="宋体" w:hint="default"/>
                <w:sz w:val="21"/>
                <w:szCs w:val="21"/>
              </w:rPr>
              <w:t> </w:t>
            </w:r>
          </w:p>
        </w:tc>
        <w:tc>
          <w:tcPr>
            <w:tcW w:w="14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商贸</w:t>
            </w:r>
            <w:r>
              <w:rPr>
                <w:rFonts w:ascii="宋体" w:hAnsi="宋体" w:cs="宋体" w:eastAsia="宋体" w:hint="default"/>
                <w:sz w:val="21"/>
                <w:szCs w:val="21"/>
              </w:rPr>
              <w:t> </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51.00</w:t>
            </w:r>
          </w:p>
        </w:tc>
        <w:tc>
          <w:tcPr>
            <w:tcW w:w="574" w:type="dxa"/>
            <w:tcBorders>
              <w:top w:val="single" w:sz="4" w:space="0" w:color="41B7EE"/>
              <w:left w:val="single" w:sz="4" w:space="0" w:color="41B7EE"/>
              <w:bottom w:val="single" w:sz="4" w:space="0" w:color="41B7EE"/>
              <w:right w:val="single" w:sz="4" w:space="0" w:color="41B7EE"/>
            </w:tcBorders>
          </w:tcPr>
          <w:p>
            <w:pPr/>
          </w:p>
        </w:tc>
        <w:tc>
          <w:tcPr>
            <w:tcW w:w="118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554" w:hRule="exact"/>
        </w:trPr>
        <w:tc>
          <w:tcPr>
            <w:tcW w:w="328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02"/>
              <w:ind w:left="28" w:right="0"/>
              <w:jc w:val="left"/>
              <w:rPr>
                <w:rFonts w:ascii="宋体" w:hAnsi="宋体" w:cs="宋体" w:eastAsia="宋体" w:hint="default"/>
                <w:sz w:val="21"/>
                <w:szCs w:val="21"/>
              </w:rPr>
            </w:pPr>
            <w:r>
              <w:rPr>
                <w:rFonts w:ascii="宋体" w:hAnsi="宋体" w:cs="宋体" w:eastAsia="宋体" w:hint="default"/>
                <w:sz w:val="21"/>
                <w:szCs w:val="21"/>
              </w:rPr>
              <w:t>秦皇岛北大荒麦芽有限公司</w:t>
            </w:r>
            <w:r>
              <w:rPr>
                <w:rFonts w:ascii="宋体" w:hAnsi="宋体" w:cs="宋体" w:eastAsia="宋体" w:hint="default"/>
                <w:sz w:val="21"/>
                <w:szCs w:val="21"/>
              </w:rPr>
              <w:t> </w:t>
            </w:r>
          </w:p>
        </w:tc>
        <w:tc>
          <w:tcPr>
            <w:tcW w:w="10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秦皇岛市</w:t>
            </w:r>
            <w:r>
              <w:rPr>
                <w:rFonts w:ascii="宋体" w:hAnsi="宋体" w:cs="宋体" w:eastAsia="宋体" w:hint="default"/>
                <w:sz w:val="21"/>
                <w:szCs w:val="21"/>
              </w:rPr>
              <w:t> </w:t>
            </w: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秦皇岛</w:t>
            </w:r>
          </w:p>
        </w:tc>
        <w:tc>
          <w:tcPr>
            <w:tcW w:w="14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农副食品加工</w:t>
            </w:r>
            <w:r>
              <w:rPr>
                <w:rFonts w:ascii="宋体" w:hAnsi="宋体" w:cs="宋体" w:eastAsia="宋体" w:hint="default"/>
                <w:sz w:val="21"/>
                <w:szCs w:val="21"/>
              </w:rPr>
              <w:t> </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16"/>
              <w:jc w:val="right"/>
              <w:rPr>
                <w:rFonts w:ascii="Arial" w:hAnsi="Arial" w:cs="Arial" w:eastAsia="Arial" w:hint="default"/>
                <w:sz w:val="21"/>
                <w:szCs w:val="21"/>
              </w:rPr>
            </w:pPr>
            <w:r>
              <w:rPr>
                <w:rFonts w:ascii="Arial"/>
                <w:sz w:val="21"/>
              </w:rPr>
              <w:t>100.00</w:t>
            </w:r>
          </w:p>
        </w:tc>
        <w:tc>
          <w:tcPr>
            <w:tcW w:w="574" w:type="dxa"/>
            <w:tcBorders>
              <w:top w:val="single" w:sz="4" w:space="0" w:color="41B7EE"/>
              <w:left w:val="single" w:sz="4" w:space="0" w:color="41B7EE"/>
              <w:bottom w:val="single" w:sz="4" w:space="0" w:color="41B7EE"/>
              <w:right w:val="single" w:sz="4" w:space="0" w:color="41B7EE"/>
            </w:tcBorders>
          </w:tcPr>
          <w:p>
            <w:pPr/>
          </w:p>
        </w:tc>
        <w:tc>
          <w:tcPr>
            <w:tcW w:w="1183" w:type="dxa"/>
            <w:tcBorders>
              <w:top w:val="single" w:sz="4" w:space="0" w:color="41B7EE"/>
              <w:left w:val="single" w:sz="4" w:space="0" w:color="41B7EE"/>
              <w:bottom w:val="single" w:sz="4" w:space="0" w:color="41B7EE"/>
              <w:right w:val="nil" w:sz="6" w:space="0" w:color="auto"/>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sz w:val="21"/>
                <w:szCs w:val="21"/>
              </w:rPr>
              <w:t> </w:t>
            </w:r>
          </w:p>
        </w:tc>
      </w:tr>
      <w:tr>
        <w:trPr>
          <w:trHeight w:val="358" w:hRule="exact"/>
        </w:trPr>
        <w:tc>
          <w:tcPr>
            <w:tcW w:w="3284" w:type="dxa"/>
            <w:tcBorders>
              <w:top w:val="single" w:sz="4" w:space="0" w:color="41B7EE"/>
              <w:left w:val="nil" w:sz="6" w:space="0" w:color="auto"/>
              <w:bottom w:val="single" w:sz="4" w:space="0" w:color="41B7EE"/>
              <w:right w:val="single" w:sz="13" w:space="0" w:color="FFFFFF"/>
            </w:tcBorders>
          </w:tcPr>
          <w:p>
            <w:pPr>
              <w:pStyle w:val="TableParagraph"/>
              <w:spacing w:line="240" w:lineRule="auto" w:before="4"/>
              <w:ind w:left="28" w:right="-32"/>
              <w:jc w:val="left"/>
              <w:rPr>
                <w:rFonts w:ascii="宋体" w:hAnsi="宋体" w:cs="宋体" w:eastAsia="宋体" w:hint="default"/>
                <w:sz w:val="21"/>
                <w:szCs w:val="21"/>
              </w:rPr>
            </w:pPr>
            <w:r>
              <w:rPr>
                <w:rFonts w:ascii="宋体" w:hAnsi="宋体" w:cs="宋体" w:eastAsia="宋体" w:hint="default"/>
                <w:spacing w:val="-26"/>
                <w:sz w:val="21"/>
                <w:szCs w:val="21"/>
              </w:rPr>
              <w:t>秦皇岛北大荒龙业房地产开发有限公司</w:t>
            </w:r>
            <w:r>
              <w:rPr>
                <w:rFonts w:ascii="宋体" w:hAnsi="宋体" w:cs="宋体" w:eastAsia="宋体" w:hint="default"/>
                <w:sz w:val="21"/>
                <w:szCs w:val="21"/>
              </w:rPr>
              <w:t> </w:t>
            </w:r>
          </w:p>
        </w:tc>
        <w:tc>
          <w:tcPr>
            <w:tcW w:w="1001" w:type="dxa"/>
            <w:tcBorders>
              <w:top w:val="single" w:sz="4" w:space="0" w:color="41B7EE"/>
              <w:left w:val="single" w:sz="13" w:space="0" w:color="FFFFFF"/>
              <w:bottom w:val="single" w:sz="4" w:space="0" w:color="41B7EE"/>
              <w:right w:val="single" w:sz="4" w:space="0" w:color="41B7EE"/>
            </w:tcBorders>
          </w:tcPr>
          <w:p>
            <w:pPr>
              <w:pStyle w:val="TableParagraph"/>
              <w:spacing w:line="240" w:lineRule="auto" w:before="4"/>
              <w:ind w:left="12" w:right="0"/>
              <w:jc w:val="left"/>
              <w:rPr>
                <w:rFonts w:ascii="宋体" w:hAnsi="宋体" w:cs="宋体" w:eastAsia="宋体" w:hint="default"/>
                <w:sz w:val="21"/>
                <w:szCs w:val="21"/>
              </w:rPr>
            </w:pPr>
            <w:r>
              <w:rPr>
                <w:rFonts w:ascii="宋体" w:hAnsi="宋体" w:cs="宋体" w:eastAsia="宋体" w:hint="default"/>
                <w:sz w:val="21"/>
                <w:szCs w:val="21"/>
              </w:rPr>
              <w:t>秦皇岛市</w:t>
            </w:r>
            <w:r>
              <w:rPr>
                <w:rFonts w:ascii="宋体" w:hAnsi="宋体" w:cs="宋体" w:eastAsia="宋体" w:hint="default"/>
                <w:sz w:val="21"/>
                <w:szCs w:val="21"/>
              </w:rPr>
              <w:t> </w:t>
            </w: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秦皇岛</w:t>
            </w:r>
          </w:p>
        </w:tc>
        <w:tc>
          <w:tcPr>
            <w:tcW w:w="14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房地产开发</w:t>
            </w:r>
            <w:r>
              <w:rPr>
                <w:rFonts w:ascii="宋体" w:hAnsi="宋体" w:cs="宋体" w:eastAsia="宋体" w:hint="default"/>
                <w:sz w:val="21"/>
                <w:szCs w:val="21"/>
              </w:rPr>
              <w:t> </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6"/>
              <w:jc w:val="right"/>
              <w:rPr>
                <w:rFonts w:ascii="Arial" w:hAnsi="Arial" w:cs="Arial" w:eastAsia="Arial" w:hint="default"/>
                <w:sz w:val="21"/>
                <w:szCs w:val="21"/>
              </w:rPr>
            </w:pPr>
            <w:r>
              <w:rPr>
                <w:rFonts w:ascii="Arial"/>
                <w:sz w:val="21"/>
              </w:rPr>
              <w:t>100.00</w:t>
            </w:r>
          </w:p>
        </w:tc>
        <w:tc>
          <w:tcPr>
            <w:tcW w:w="574" w:type="dxa"/>
            <w:tcBorders>
              <w:top w:val="single" w:sz="4" w:space="0" w:color="41B7EE"/>
              <w:left w:val="single" w:sz="4" w:space="0" w:color="41B7EE"/>
              <w:bottom w:val="single" w:sz="4" w:space="0" w:color="41B7EE"/>
              <w:right w:val="single" w:sz="4" w:space="0" w:color="41B7EE"/>
            </w:tcBorders>
          </w:tcPr>
          <w:p>
            <w:pPr/>
          </w:p>
        </w:tc>
        <w:tc>
          <w:tcPr>
            <w:tcW w:w="118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358" w:hRule="exact"/>
        </w:trPr>
        <w:tc>
          <w:tcPr>
            <w:tcW w:w="328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珠海锦尚房地产开发有限公司</w:t>
            </w:r>
            <w:r>
              <w:rPr>
                <w:rFonts w:ascii="宋体" w:hAnsi="宋体" w:cs="宋体" w:eastAsia="宋体" w:hint="default"/>
                <w:sz w:val="21"/>
                <w:szCs w:val="21"/>
              </w:rPr>
              <w:t> </w:t>
            </w:r>
          </w:p>
        </w:tc>
        <w:tc>
          <w:tcPr>
            <w:tcW w:w="10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珠海市</w:t>
            </w:r>
            <w:r>
              <w:rPr>
                <w:rFonts w:ascii="宋体" w:hAnsi="宋体" w:cs="宋体" w:eastAsia="宋体" w:hint="default"/>
                <w:sz w:val="21"/>
                <w:szCs w:val="21"/>
              </w:rPr>
              <w:t> </w:t>
            </w: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珠海</w:t>
            </w:r>
            <w:r>
              <w:rPr>
                <w:rFonts w:ascii="宋体" w:hAnsi="宋体" w:cs="宋体" w:eastAsia="宋体" w:hint="default"/>
                <w:sz w:val="21"/>
                <w:szCs w:val="21"/>
              </w:rPr>
              <w:t> </w:t>
            </w:r>
          </w:p>
        </w:tc>
        <w:tc>
          <w:tcPr>
            <w:tcW w:w="14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房地产开发</w:t>
            </w:r>
            <w:r>
              <w:rPr>
                <w:rFonts w:ascii="宋体" w:hAnsi="宋体" w:cs="宋体" w:eastAsia="宋体" w:hint="default"/>
                <w:sz w:val="21"/>
                <w:szCs w:val="21"/>
              </w:rPr>
              <w:t> </w:t>
            </w:r>
          </w:p>
        </w:tc>
        <w:tc>
          <w:tcPr>
            <w:tcW w:w="71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6"/>
              <w:jc w:val="right"/>
              <w:rPr>
                <w:rFonts w:ascii="Arial" w:hAnsi="Arial" w:cs="Arial" w:eastAsia="Arial" w:hint="default"/>
                <w:sz w:val="21"/>
                <w:szCs w:val="21"/>
              </w:rPr>
            </w:pPr>
            <w:r>
              <w:rPr>
                <w:rFonts w:ascii="Arial"/>
                <w:sz w:val="21"/>
              </w:rPr>
              <w:t>100.00</w:t>
            </w:r>
          </w:p>
        </w:tc>
        <w:tc>
          <w:tcPr>
            <w:tcW w:w="574" w:type="dxa"/>
            <w:tcBorders>
              <w:top w:val="single" w:sz="4" w:space="0" w:color="41B7EE"/>
              <w:left w:val="single" w:sz="4" w:space="0" w:color="41B7EE"/>
              <w:bottom w:val="single" w:sz="4" w:space="0" w:color="41B7EE"/>
              <w:right w:val="single" w:sz="4" w:space="0" w:color="41B7EE"/>
            </w:tcBorders>
          </w:tcPr>
          <w:p>
            <w:pPr/>
          </w:p>
        </w:tc>
        <w:tc>
          <w:tcPr>
            <w:tcW w:w="118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382" w:hRule="exact"/>
        </w:trPr>
        <w:tc>
          <w:tcPr>
            <w:tcW w:w="3284"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北京泰鑫天迈投资管理有限公司</w:t>
            </w:r>
            <w:r>
              <w:rPr>
                <w:rFonts w:ascii="宋体" w:hAnsi="宋体" w:cs="宋体" w:eastAsia="宋体" w:hint="default"/>
                <w:sz w:val="21"/>
                <w:szCs w:val="21"/>
              </w:rPr>
              <w:t> </w:t>
            </w:r>
          </w:p>
        </w:tc>
        <w:tc>
          <w:tcPr>
            <w:tcW w:w="1001"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北京市</w:t>
            </w:r>
            <w:r>
              <w:rPr>
                <w:rFonts w:ascii="宋体" w:hAnsi="宋体" w:cs="宋体" w:eastAsia="宋体" w:hint="default"/>
                <w:sz w:val="21"/>
                <w:szCs w:val="21"/>
              </w:rPr>
              <w:t> </w:t>
            </w:r>
          </w:p>
        </w:tc>
        <w:tc>
          <w:tcPr>
            <w:tcW w:w="713"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2"/>
              <w:ind w:left="21"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418"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2"/>
              <w:ind w:left="21" w:right="0"/>
              <w:jc w:val="left"/>
              <w:rPr>
                <w:rFonts w:ascii="宋体" w:hAnsi="宋体" w:cs="宋体" w:eastAsia="宋体" w:hint="default"/>
                <w:sz w:val="21"/>
                <w:szCs w:val="21"/>
              </w:rPr>
            </w:pPr>
            <w:r>
              <w:rPr>
                <w:rFonts w:ascii="宋体" w:hAnsi="宋体" w:cs="宋体" w:eastAsia="宋体" w:hint="default"/>
                <w:sz w:val="21"/>
                <w:szCs w:val="21"/>
              </w:rPr>
              <w:t>投资管理</w:t>
            </w:r>
            <w:r>
              <w:rPr>
                <w:rFonts w:ascii="宋体" w:hAnsi="宋体" w:cs="宋体" w:eastAsia="宋体" w:hint="default"/>
                <w:sz w:val="21"/>
                <w:szCs w:val="21"/>
              </w:rPr>
              <w:t> </w:t>
            </w:r>
          </w:p>
        </w:tc>
        <w:tc>
          <w:tcPr>
            <w:tcW w:w="718"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16"/>
              <w:jc w:val="right"/>
              <w:rPr>
                <w:rFonts w:ascii="Arial" w:hAnsi="Arial" w:cs="Arial" w:eastAsia="Arial" w:hint="default"/>
                <w:sz w:val="21"/>
                <w:szCs w:val="21"/>
              </w:rPr>
            </w:pPr>
            <w:r>
              <w:rPr>
                <w:rFonts w:ascii="Arial"/>
                <w:sz w:val="21"/>
              </w:rPr>
              <w:t>100.00</w:t>
            </w:r>
          </w:p>
        </w:tc>
        <w:tc>
          <w:tcPr>
            <w:tcW w:w="574" w:type="dxa"/>
            <w:tcBorders>
              <w:top w:val="single" w:sz="4" w:space="0" w:color="41B7EE"/>
              <w:left w:val="single" w:sz="4" w:space="0" w:color="41B7EE"/>
              <w:bottom w:val="single" w:sz="23" w:space="0" w:color="41B7EE"/>
              <w:right w:val="single" w:sz="4" w:space="0" w:color="41B7EE"/>
            </w:tcBorders>
          </w:tcPr>
          <w:p>
            <w:pPr/>
          </w:p>
        </w:tc>
        <w:tc>
          <w:tcPr>
            <w:tcW w:w="1183"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2"/>
              <w:ind w:left="21" w:right="0"/>
              <w:jc w:val="left"/>
              <w:rPr>
                <w:rFonts w:ascii="宋体" w:hAnsi="宋体" w:cs="宋体" w:eastAsia="宋体" w:hint="default"/>
                <w:sz w:val="21"/>
                <w:szCs w:val="21"/>
              </w:rPr>
            </w:pPr>
            <w:r>
              <w:rPr>
                <w:rFonts w:ascii="宋体" w:hAnsi="宋体" w:cs="宋体" w:eastAsia="宋体" w:hint="default"/>
                <w:sz w:val="21"/>
                <w:szCs w:val="21"/>
              </w:rPr>
              <w:t>资产合并</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footerReference w:type="default" r:id="rId80"/>
          <w:pgSz w:w="11910" w:h="16840"/>
          <w:pgMar w:footer="1195" w:header="826" w:top="1360" w:bottom="1380" w:left="1640" w:right="1060"/>
        </w:sectPr>
      </w:pPr>
    </w:p>
    <w:p>
      <w:pPr>
        <w:pStyle w:val="Heading2"/>
        <w:spacing w:line="240" w:lineRule="auto" w:before="44"/>
        <w:ind w:left="158" w:right="0"/>
        <w:jc w:val="left"/>
        <w:rPr>
          <w:rFonts w:ascii="宋体" w:hAnsi="宋体" w:cs="宋体" w:eastAsia="宋体" w:hint="default"/>
          <w:b w:val="0"/>
          <w:bCs w:val="0"/>
        </w:rPr>
      </w:pPr>
      <w:r>
        <w:rPr>
          <w:rFonts w:ascii="宋体" w:hAnsi="宋体" w:cs="宋体" w:eastAsia="宋体" w:hint="default"/>
        </w:rPr>
        <w:t>(2).</w:t>
      </w:r>
      <w:r>
        <w:rPr/>
        <w:t>重要的非全资子公司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8"/>
        <w:rPr>
          <w:rFonts w:ascii="宋体" w:hAnsi="宋体" w:cs="宋体" w:eastAsia="宋体" w:hint="default"/>
          <w:sz w:val="29"/>
          <w:szCs w:val="29"/>
        </w:rPr>
      </w:pPr>
    </w:p>
    <w:p>
      <w:pPr>
        <w:pStyle w:val="BodyText"/>
        <w:spacing w:line="240" w:lineRule="auto"/>
        <w:ind w:left="15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640" w:right="1060"/>
          <w:cols w:num="2" w:equalWidth="0">
            <w:col w:w="2588" w:space="4145"/>
            <w:col w:w="247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569"/>
        <w:gridCol w:w="874"/>
        <w:gridCol w:w="1692"/>
        <w:gridCol w:w="1068"/>
        <w:gridCol w:w="1688"/>
      </w:tblGrid>
      <w:tr>
        <w:trPr>
          <w:trHeight w:val="737" w:hRule="exact"/>
        </w:trPr>
        <w:tc>
          <w:tcPr>
            <w:tcW w:w="3569"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57"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874" w:type="dxa"/>
            <w:tcBorders>
              <w:top w:val="single" w:sz="23" w:space="0" w:color="41B7EE"/>
              <w:left w:val="single" w:sz="4" w:space="0" w:color="41B7EE"/>
              <w:bottom w:val="single" w:sz="4" w:space="0" w:color="41B7EE"/>
              <w:right w:val="single" w:sz="12" w:space="0" w:color="FFFFFF"/>
            </w:tcBorders>
          </w:tcPr>
          <w:p>
            <w:pPr>
              <w:pStyle w:val="TableParagraph"/>
              <w:spacing w:line="240" w:lineRule="auto" w:before="87"/>
              <w:ind w:left="69" w:right="-27"/>
              <w:jc w:val="left"/>
              <w:rPr>
                <w:rFonts w:ascii="宋体" w:hAnsi="宋体" w:cs="宋体" w:eastAsia="宋体" w:hint="default"/>
                <w:sz w:val="18"/>
                <w:szCs w:val="18"/>
              </w:rPr>
            </w:pPr>
            <w:r>
              <w:rPr>
                <w:rFonts w:ascii="宋体" w:hAnsi="宋体" w:cs="宋体" w:eastAsia="宋体" w:hint="default"/>
                <w:sz w:val="18"/>
                <w:szCs w:val="18"/>
              </w:rPr>
              <w:t>少数股东 持股比例</w:t>
            </w:r>
            <w:r>
              <w:rPr>
                <w:rFonts w:ascii="宋体" w:hAnsi="宋体" w:cs="宋体" w:eastAsia="宋体" w:hint="default"/>
                <w:sz w:val="18"/>
                <w:szCs w:val="18"/>
              </w:rPr>
              <w:t> </w:t>
            </w:r>
          </w:p>
        </w:tc>
        <w:tc>
          <w:tcPr>
            <w:tcW w:w="1692" w:type="dxa"/>
            <w:tcBorders>
              <w:top w:val="single" w:sz="23" w:space="0" w:color="41B7EE"/>
              <w:left w:val="single" w:sz="12" w:space="0" w:color="FFFFFF"/>
              <w:bottom w:val="single" w:sz="4" w:space="0" w:color="41B7EE"/>
              <w:right w:val="single" w:sz="4" w:space="0" w:color="41B7EE"/>
            </w:tcBorders>
          </w:tcPr>
          <w:p>
            <w:pPr>
              <w:pStyle w:val="TableParagraph"/>
              <w:spacing w:line="240" w:lineRule="auto" w:before="45"/>
              <w:ind w:left="304" w:right="103" w:hanging="212"/>
              <w:jc w:val="left"/>
              <w:rPr>
                <w:rFonts w:ascii="宋体" w:hAnsi="宋体" w:cs="宋体" w:eastAsia="宋体" w:hint="default"/>
                <w:sz w:val="21"/>
                <w:szCs w:val="21"/>
              </w:rPr>
            </w:pPr>
            <w:r>
              <w:rPr>
                <w:rFonts w:ascii="宋体" w:hAnsi="宋体" w:cs="宋体" w:eastAsia="宋体" w:hint="default"/>
                <w:sz w:val="21"/>
                <w:szCs w:val="21"/>
              </w:rPr>
              <w:t>本期归属于少数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股东的损益</w:t>
            </w:r>
            <w:r>
              <w:rPr>
                <w:rFonts w:ascii="宋体" w:hAnsi="宋体" w:cs="宋体" w:eastAsia="宋体" w:hint="default"/>
                <w:sz w:val="21"/>
                <w:szCs w:val="21"/>
              </w:rPr>
              <w:t> </w:t>
            </w:r>
          </w:p>
        </w:tc>
        <w:tc>
          <w:tcPr>
            <w:tcW w:w="1068" w:type="dxa"/>
            <w:tcBorders>
              <w:top w:val="single" w:sz="23" w:space="0" w:color="41B7EE"/>
              <w:left w:val="single" w:sz="4" w:space="0" w:color="41B7EE"/>
              <w:bottom w:val="single" w:sz="4" w:space="0" w:color="41B7EE"/>
              <w:right w:val="single" w:sz="4" w:space="0" w:color="41B7EE"/>
            </w:tcBorders>
          </w:tcPr>
          <w:p>
            <w:pPr>
              <w:pStyle w:val="TableParagraph"/>
              <w:spacing w:line="206" w:lineRule="exact"/>
              <w:ind w:left="79" w:right="0"/>
              <w:jc w:val="left"/>
              <w:rPr>
                <w:rFonts w:ascii="宋体" w:hAnsi="宋体" w:cs="宋体" w:eastAsia="宋体" w:hint="default"/>
                <w:sz w:val="18"/>
                <w:szCs w:val="18"/>
              </w:rPr>
            </w:pPr>
            <w:r>
              <w:rPr>
                <w:rFonts w:ascii="宋体" w:hAnsi="宋体" w:cs="宋体" w:eastAsia="宋体" w:hint="default"/>
                <w:sz w:val="18"/>
                <w:szCs w:val="18"/>
              </w:rPr>
              <w:t>本期向少数</w:t>
            </w:r>
          </w:p>
          <w:p>
            <w:pPr>
              <w:pStyle w:val="TableParagraph"/>
              <w:spacing w:line="232" w:lineRule="exact" w:before="23"/>
              <w:ind w:left="170" w:right="77" w:hanging="92"/>
              <w:jc w:val="left"/>
              <w:rPr>
                <w:rFonts w:ascii="宋体" w:hAnsi="宋体" w:cs="宋体" w:eastAsia="宋体" w:hint="default"/>
                <w:sz w:val="18"/>
                <w:szCs w:val="18"/>
              </w:rPr>
            </w:pPr>
            <w:r>
              <w:rPr>
                <w:rFonts w:ascii="宋体" w:hAnsi="宋体" w:cs="宋体" w:eastAsia="宋体" w:hint="default"/>
                <w:sz w:val="18"/>
                <w:szCs w:val="18"/>
              </w:rPr>
              <w:t>股东宣告分 派的股利</w:t>
            </w:r>
            <w:r>
              <w:rPr>
                <w:rFonts w:ascii="宋体" w:hAnsi="宋体" w:cs="宋体" w:eastAsia="宋体" w:hint="default"/>
                <w:sz w:val="18"/>
                <w:szCs w:val="18"/>
              </w:rPr>
              <w:t> </w:t>
            </w:r>
          </w:p>
        </w:tc>
        <w:tc>
          <w:tcPr>
            <w:tcW w:w="1688"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45"/>
              <w:ind w:left="530" w:right="96" w:hanging="420"/>
              <w:jc w:val="left"/>
              <w:rPr>
                <w:rFonts w:ascii="宋体" w:hAnsi="宋体" w:cs="宋体" w:eastAsia="宋体" w:hint="default"/>
                <w:sz w:val="21"/>
                <w:szCs w:val="21"/>
              </w:rPr>
            </w:pPr>
            <w:r>
              <w:rPr>
                <w:rFonts w:ascii="宋体" w:hAnsi="宋体" w:cs="宋体" w:eastAsia="宋体" w:hint="default"/>
                <w:sz w:val="21"/>
                <w:szCs w:val="21"/>
              </w:rPr>
              <w:t>期末少数股东权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益余额</w:t>
            </w:r>
            <w:r>
              <w:rPr>
                <w:rFonts w:ascii="宋体" w:hAnsi="宋体" w:cs="宋体" w:eastAsia="宋体" w:hint="default"/>
                <w:sz w:val="21"/>
                <w:szCs w:val="21"/>
              </w:rPr>
              <w:t> </w:t>
            </w:r>
          </w:p>
        </w:tc>
      </w:tr>
      <w:tr>
        <w:trPr>
          <w:trHeight w:val="355" w:hRule="exact"/>
        </w:trPr>
        <w:tc>
          <w:tcPr>
            <w:tcW w:w="356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黑龙江北大荒纸业有限责任公司</w:t>
            </w:r>
            <w:r>
              <w:rPr>
                <w:rFonts w:ascii="宋体" w:hAnsi="宋体" w:cs="宋体" w:eastAsia="宋体" w:hint="default"/>
                <w:sz w:val="21"/>
                <w:szCs w:val="21"/>
              </w:rPr>
              <w:t> </w:t>
            </w:r>
          </w:p>
        </w:tc>
        <w:tc>
          <w:tcPr>
            <w:tcW w:w="87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2.14</w:t>
            </w:r>
          </w:p>
        </w:tc>
        <w:tc>
          <w:tcPr>
            <w:tcW w:w="169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-1,778.62</w:t>
            </w:r>
          </w:p>
        </w:tc>
        <w:tc>
          <w:tcPr>
            <w:tcW w:w="1068" w:type="dxa"/>
            <w:tcBorders>
              <w:top w:val="single" w:sz="4" w:space="0" w:color="41B7EE"/>
              <w:left w:val="single" w:sz="4" w:space="0" w:color="41B7EE"/>
              <w:bottom w:val="single" w:sz="4" w:space="0" w:color="41B7EE"/>
              <w:right w:val="single" w:sz="4" w:space="0" w:color="41B7EE"/>
            </w:tcBorders>
          </w:tcPr>
          <w:p>
            <w:pPr/>
          </w:p>
        </w:tc>
        <w:tc>
          <w:tcPr>
            <w:tcW w:w="168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-4,546,674.75</w:t>
            </w:r>
          </w:p>
        </w:tc>
      </w:tr>
      <w:tr>
        <w:trPr>
          <w:trHeight w:val="358" w:hRule="exact"/>
        </w:trPr>
        <w:tc>
          <w:tcPr>
            <w:tcW w:w="356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北大荒龙垦麦芽有限公司</w:t>
            </w:r>
            <w:r>
              <w:rPr>
                <w:rFonts w:ascii="宋体" w:hAnsi="宋体" w:cs="宋体" w:eastAsia="宋体" w:hint="default"/>
                <w:sz w:val="21"/>
                <w:szCs w:val="21"/>
              </w:rPr>
              <w:t> </w:t>
            </w:r>
          </w:p>
        </w:tc>
        <w:tc>
          <w:tcPr>
            <w:tcW w:w="87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41.56</w:t>
            </w:r>
          </w:p>
        </w:tc>
        <w:tc>
          <w:tcPr>
            <w:tcW w:w="169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-14,743,271.21</w:t>
            </w:r>
          </w:p>
        </w:tc>
        <w:tc>
          <w:tcPr>
            <w:tcW w:w="1068" w:type="dxa"/>
            <w:tcBorders>
              <w:top w:val="single" w:sz="4" w:space="0" w:color="41B7EE"/>
              <w:left w:val="single" w:sz="4" w:space="0" w:color="41B7EE"/>
              <w:bottom w:val="single" w:sz="4" w:space="0" w:color="41B7EE"/>
              <w:right w:val="single" w:sz="4" w:space="0" w:color="41B7EE"/>
            </w:tcBorders>
          </w:tcPr>
          <w:p>
            <w:pPr/>
          </w:p>
        </w:tc>
        <w:tc>
          <w:tcPr>
            <w:tcW w:w="168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1"/>
              <w:jc w:val="right"/>
              <w:rPr>
                <w:rFonts w:ascii="Arial" w:hAnsi="Arial" w:cs="Arial" w:eastAsia="Arial" w:hint="default"/>
                <w:sz w:val="21"/>
                <w:szCs w:val="21"/>
              </w:rPr>
            </w:pPr>
            <w:r>
              <w:rPr>
                <w:rFonts w:ascii="Arial"/>
                <w:spacing w:val="-1"/>
                <w:sz w:val="21"/>
              </w:rPr>
              <w:t>-195,249,667.46</w:t>
            </w:r>
          </w:p>
        </w:tc>
      </w:tr>
      <w:tr>
        <w:trPr>
          <w:trHeight w:val="358" w:hRule="exact"/>
        </w:trPr>
        <w:tc>
          <w:tcPr>
            <w:tcW w:w="356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5"/>
              <w:ind w:left="28" w:right="0"/>
              <w:jc w:val="left"/>
              <w:rPr>
                <w:rFonts w:ascii="宋体" w:hAnsi="宋体" w:cs="宋体" w:eastAsia="宋体" w:hint="default"/>
                <w:sz w:val="21"/>
                <w:szCs w:val="21"/>
              </w:rPr>
            </w:pPr>
            <w:r>
              <w:rPr>
                <w:rFonts w:ascii="宋体" w:hAnsi="宋体" w:cs="宋体" w:eastAsia="宋体" w:hint="default"/>
                <w:sz w:val="21"/>
                <w:szCs w:val="21"/>
              </w:rPr>
              <w:t>北大荒鑫都房地产开发有限公司</w:t>
            </w:r>
            <w:r>
              <w:rPr>
                <w:rFonts w:ascii="宋体" w:hAnsi="宋体" w:cs="宋体" w:eastAsia="宋体" w:hint="default"/>
                <w:sz w:val="21"/>
                <w:szCs w:val="21"/>
              </w:rPr>
              <w:t> </w:t>
            </w:r>
          </w:p>
        </w:tc>
        <w:tc>
          <w:tcPr>
            <w:tcW w:w="87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40.00</w:t>
            </w:r>
          </w:p>
        </w:tc>
        <w:tc>
          <w:tcPr>
            <w:tcW w:w="169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1,764,220.50</w:t>
            </w:r>
          </w:p>
        </w:tc>
        <w:tc>
          <w:tcPr>
            <w:tcW w:w="1068" w:type="dxa"/>
            <w:tcBorders>
              <w:top w:val="single" w:sz="4" w:space="0" w:color="41B7EE"/>
              <w:left w:val="single" w:sz="4" w:space="0" w:color="41B7EE"/>
              <w:bottom w:val="single" w:sz="4" w:space="0" w:color="41B7EE"/>
              <w:right w:val="single" w:sz="4" w:space="0" w:color="41B7EE"/>
            </w:tcBorders>
          </w:tcPr>
          <w:p>
            <w:pPr/>
          </w:p>
        </w:tc>
        <w:tc>
          <w:tcPr>
            <w:tcW w:w="168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-42,206,342.53</w:t>
            </w:r>
          </w:p>
        </w:tc>
      </w:tr>
      <w:tr>
        <w:trPr>
          <w:trHeight w:val="358" w:hRule="exact"/>
        </w:trPr>
        <w:tc>
          <w:tcPr>
            <w:tcW w:w="356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北大荒鑫都建筑工程有限公司</w:t>
            </w:r>
            <w:r>
              <w:rPr>
                <w:rFonts w:ascii="宋体" w:hAnsi="宋体" w:cs="宋体" w:eastAsia="宋体" w:hint="default"/>
                <w:sz w:val="21"/>
                <w:szCs w:val="21"/>
              </w:rPr>
              <w:t> </w:t>
            </w:r>
          </w:p>
        </w:tc>
        <w:tc>
          <w:tcPr>
            <w:tcW w:w="87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40.00</w:t>
            </w:r>
          </w:p>
        </w:tc>
        <w:tc>
          <w:tcPr>
            <w:tcW w:w="169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-326,934.26</w:t>
            </w:r>
          </w:p>
        </w:tc>
        <w:tc>
          <w:tcPr>
            <w:tcW w:w="1068" w:type="dxa"/>
            <w:tcBorders>
              <w:top w:val="single" w:sz="4" w:space="0" w:color="41B7EE"/>
              <w:left w:val="single" w:sz="4" w:space="0" w:color="41B7EE"/>
              <w:bottom w:val="single" w:sz="4" w:space="0" w:color="41B7EE"/>
              <w:right w:val="single" w:sz="4" w:space="0" w:color="41B7EE"/>
            </w:tcBorders>
          </w:tcPr>
          <w:p>
            <w:pPr/>
          </w:p>
        </w:tc>
        <w:tc>
          <w:tcPr>
            <w:tcW w:w="168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15,804,879.06</w:t>
            </w:r>
          </w:p>
        </w:tc>
      </w:tr>
      <w:tr>
        <w:trPr>
          <w:trHeight w:val="362" w:hRule="exact"/>
        </w:trPr>
        <w:tc>
          <w:tcPr>
            <w:tcW w:w="3569"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黑龙江北大荒玉丰农业发展有限公司</w:t>
            </w:r>
            <w:r>
              <w:rPr>
                <w:rFonts w:ascii="宋体" w:hAnsi="宋体" w:cs="宋体" w:eastAsia="宋体" w:hint="default"/>
                <w:sz w:val="21"/>
                <w:szCs w:val="21"/>
              </w:rPr>
              <w:t> </w:t>
            </w:r>
          </w:p>
        </w:tc>
        <w:tc>
          <w:tcPr>
            <w:tcW w:w="874"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49.00</w:t>
            </w:r>
          </w:p>
        </w:tc>
        <w:tc>
          <w:tcPr>
            <w:tcW w:w="1692"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-1,739,086.96</w:t>
            </w:r>
          </w:p>
        </w:tc>
        <w:tc>
          <w:tcPr>
            <w:tcW w:w="1068" w:type="dxa"/>
            <w:tcBorders>
              <w:top w:val="single" w:sz="4" w:space="0" w:color="41B7EE"/>
              <w:left w:val="single" w:sz="4" w:space="0" w:color="41B7EE"/>
              <w:bottom w:val="single" w:sz="8" w:space="0" w:color="41B7EE"/>
              <w:right w:val="single" w:sz="4" w:space="0" w:color="41B7EE"/>
            </w:tcBorders>
          </w:tcPr>
          <w:p>
            <w:pPr/>
          </w:p>
        </w:tc>
        <w:tc>
          <w:tcPr>
            <w:tcW w:w="1688"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7,834,443.13</w:t>
            </w:r>
          </w:p>
        </w:tc>
      </w:tr>
    </w:tbl>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3565;height:2" coordorigin="10,10" coordsize="3565,2">
              <v:shape style="position:absolute;left:10;top:10;width:3565;height:2" coordorigin="10,10" coordsize="3565,0" path="m10,10l3574,10e" filled="false" stroked="true" strokeweight=".95996pt" strokecolor="#41b7ee">
                <v:path arrowok="t"/>
              </v:shape>
            </v:group>
            <v:group style="position:absolute;left:3574;top:10;width:58;height:2" coordorigin="3574,10" coordsize="58,2">
              <v:shape style="position:absolute;left:3574;top:10;width:58;height:2" coordorigin="3574,10" coordsize="58,0" path="m3574,10l3632,10e" filled="false" stroked="true" strokeweight=".95996pt" strokecolor="#41b7ee">
                <v:path arrowok="t"/>
              </v:shape>
            </v:group>
            <v:group style="position:absolute;left:3632;top:10;width:816;height:2" coordorigin="3632,10" coordsize="816,2">
              <v:shape style="position:absolute;left:3632;top:10;width:816;height:2" coordorigin="3632,10" coordsize="816,0" path="m3632,10l4448,10e" filled="false" stroked="true" strokeweight=".95996pt" strokecolor="#41b7ee">
                <v:path arrowok="t"/>
              </v:shape>
            </v:group>
            <v:group style="position:absolute;left:4448;top:10;width:58;height:2" coordorigin="4448,10" coordsize="58,2">
              <v:shape style="position:absolute;left:4448;top:10;width:58;height:2" coordorigin="4448,10" coordsize="58,0" path="m4448,10l4505,10e" filled="false" stroked="true" strokeweight=".95996pt" strokecolor="#41b7ee">
                <v:path arrowok="t"/>
              </v:shape>
            </v:group>
            <v:group style="position:absolute;left:4505;top:10;width:1635;height:2" coordorigin="4505,10" coordsize="1635,2">
              <v:shape style="position:absolute;left:4505;top:10;width:1635;height:2" coordorigin="4505,10" coordsize="1635,0" path="m4505,10l6140,10e" filled="false" stroked="true" strokeweight=".95996pt" strokecolor="#41b7ee">
                <v:path arrowok="t"/>
              </v:shape>
            </v:group>
            <v:group style="position:absolute;left:6140;top:10;width:58;height:2" coordorigin="6140,10" coordsize="58,2">
              <v:shape style="position:absolute;left:6140;top:10;width:58;height:2" coordorigin="6140,10" coordsize="58,0" path="m6140,10l6198,10e" filled="false" stroked="true" strokeweight=".95996pt" strokecolor="#41b7ee">
                <v:path arrowok="t"/>
              </v:shape>
            </v:group>
            <v:group style="position:absolute;left:6198;top:10;width:1011;height:2" coordorigin="6198,10" coordsize="1011,2">
              <v:shape style="position:absolute;left:6198;top:10;width:1011;height:2" coordorigin="6198,10" coordsize="1011,0" path="m6198,10l7208,10e" filled="false" stroked="true" strokeweight=".95996pt" strokecolor="#41b7ee">
                <v:path arrowok="t"/>
              </v:shape>
            </v:group>
            <v:group style="position:absolute;left:7208;top:10;width:58;height:2" coordorigin="7208,10" coordsize="58,2">
              <v:shape style="position:absolute;left:7208;top:10;width:58;height:2" coordorigin="7208,10" coordsize="58,0" path="m7208,10l7266,10e" filled="false" stroked="true" strokeweight=".95996pt" strokecolor="#41b7ee">
                <v:path arrowok="t"/>
              </v:shape>
            </v:group>
            <v:group style="position:absolute;left:7266;top:10;width:1635;height:2" coordorigin="7266,10" coordsize="1635,2">
              <v:shape style="position:absolute;left:7266;top:10;width:1635;height:2" coordorigin="7266,10" coordsize="1635,0" path="m7266,10l8901,10e" filled="false" stroked="true" strokeweight=".95996pt" strokecolor="#41b7ee">
                <v:path arrowok="t"/>
              </v:shape>
            </v:group>
          </v:group>
        </w:pict>
      </w:r>
      <w:r>
        <w:rPr>
          <w:rFonts w:ascii="宋体" w:hAnsi="宋体" w:cs="宋体" w:eastAsia="宋体" w:hint="default"/>
          <w:sz w:val="2"/>
          <w:szCs w:val="2"/>
        </w:rPr>
      </w:r>
    </w:p>
    <w:p>
      <w:pPr>
        <w:pStyle w:val="BodyText"/>
        <w:spacing w:line="259" w:lineRule="exact"/>
        <w:ind w:left="158" w:right="0"/>
        <w:jc w:val="left"/>
        <w:rPr>
          <w:rFonts w:ascii="宋体" w:hAnsi="宋体" w:cs="宋体" w:eastAsia="宋体" w:hint="default"/>
        </w:rPr>
      </w:pPr>
      <w:r>
        <w:rPr>
          <w:rFonts w:ascii="宋体"/>
          <w:w w:val="100"/>
        </w:rPr>
        <w:t> </w:t>
      </w:r>
    </w:p>
    <w:p>
      <w:pPr>
        <w:pStyle w:val="BodyText"/>
        <w:spacing w:line="274" w:lineRule="exact"/>
        <w:ind w:left="15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360" w:bottom="1380" w:left="1640" w:right="1060"/>
        </w:sectPr>
      </w:pPr>
    </w:p>
    <w:p>
      <w:pPr>
        <w:spacing w:line="240" w:lineRule="auto" w:before="1"/>
        <w:rPr>
          <w:rFonts w:ascii="宋体" w:hAnsi="宋体" w:cs="宋体" w:eastAsia="宋体" w:hint="default"/>
          <w:sz w:val="6"/>
          <w:szCs w:val="6"/>
        </w:rPr>
      </w:pPr>
    </w:p>
    <w:p>
      <w:pPr>
        <w:spacing w:line="544" w:lineRule="exact"/>
        <w:ind w:left="204"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696.35pt;height:27.25pt;mso-position-horizontal-relative:char;mso-position-vertical-relative:line" coordorigin="0,0" coordsize="13927,545">
            <v:group style="position:absolute;left:7;top:538;width:13913;height:2" coordorigin="7,538" coordsize="13913,2">
              <v:shape style="position:absolute;left:7;top:538;width:13913;height:2" coordorigin="7,538" coordsize="13913,0" path="m7,538l13920,538e" filled="false" stroked="true" strokeweight=".72pt" strokecolor="#000000">
                <v:path arrowok="t"/>
              </v:shape>
              <v:shape style="position:absolute;left:98;top:0;width:4665;height:480" type="#_x0000_t75" stroked="false">
                <v:imagedata r:id="rId16" o:title=""/>
              </v:shape>
              <v:shape style="position:absolute;left:0;top:0;width:13927;height:545" type="#_x0000_t202" filled="false" stroked="false">
                <v:textbox inset="0,0,0,0">
                  <w:txbxContent>
                    <w:p>
                      <w:pPr>
                        <w:spacing w:line="454" w:lineRule="exact" w:before="0"/>
                        <w:ind w:left="0" w:right="31" w:firstLine="0"/>
                        <w:jc w:val="right"/>
                        <w:rPr>
                          <w:rFonts w:ascii="微软雅黑" w:hAnsi="微软雅黑" w:cs="微软雅黑" w:eastAsia="微软雅黑" w:hint="default"/>
                          <w:sz w:val="28"/>
                          <w:szCs w:val="28"/>
                        </w:rPr>
                      </w:pPr>
                      <w:r>
                        <w:rPr>
                          <w:rFonts w:ascii="微软雅黑" w:hAnsi="微软雅黑" w:cs="微软雅黑" w:eastAsia="微软雅黑" w:hint="default"/>
                          <w:b/>
                          <w:bCs/>
                          <w:sz w:val="28"/>
                          <w:szCs w:val="28"/>
                        </w:rPr>
                        <w:t>2019</w:t>
                      </w:r>
                      <w:r>
                        <w:rPr>
                          <w:rFonts w:ascii="微软雅黑" w:hAnsi="微软雅黑" w:cs="微软雅黑" w:eastAsia="微软雅黑" w:hint="default"/>
                          <w:b/>
                          <w:bCs/>
                          <w:spacing w:val="-17"/>
                          <w:sz w:val="28"/>
                          <w:szCs w:val="28"/>
                        </w:rPr>
                        <w:t> </w:t>
                      </w:r>
                      <w:r>
                        <w:rPr>
                          <w:rFonts w:ascii="微软雅黑" w:hAnsi="微软雅黑" w:cs="微软雅黑" w:eastAsia="微软雅黑" w:hint="default"/>
                          <w:b/>
                          <w:bCs/>
                          <w:sz w:val="28"/>
                          <w:szCs w:val="28"/>
                        </w:rPr>
                        <w:t>年年度报告</w:t>
                      </w:r>
                      <w:r>
                        <w:rPr>
                          <w:rFonts w:ascii="微软雅黑" w:hAnsi="微软雅黑" w:cs="微软雅黑" w:eastAsia="微软雅黑" w:hint="default"/>
                          <w:sz w:val="28"/>
                          <w:szCs w:val="28"/>
                        </w:rPr>
                      </w:r>
                    </w:p>
                  </w:txbxContent>
                </v:textbox>
                <w10:wrap type="none"/>
              </v:shape>
            </v:group>
          </v:group>
        </w:pict>
      </w:r>
      <w:r>
        <w:rPr>
          <w:rFonts w:ascii="宋体" w:hAnsi="宋体" w:cs="宋体" w:eastAsia="宋体" w:hint="default"/>
          <w:position w:val="-10"/>
          <w:sz w:val="20"/>
          <w:szCs w:val="20"/>
        </w:rPr>
      </w: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headerReference w:type="default" r:id="rId81"/>
          <w:footerReference w:type="default" r:id="rId82"/>
          <w:pgSz w:w="16840" w:h="11910" w:orient="landscape"/>
          <w:pgMar w:header="0" w:footer="0" w:top="740" w:bottom="280" w:left="1200" w:right="1240"/>
        </w:sectPr>
      </w:pPr>
    </w:p>
    <w:p>
      <w:pPr>
        <w:pStyle w:val="Heading2"/>
        <w:spacing w:line="240" w:lineRule="auto" w:before="36"/>
        <w:ind w:left="240" w:right="0"/>
        <w:jc w:val="left"/>
        <w:rPr>
          <w:rFonts w:ascii="宋体" w:hAnsi="宋体" w:cs="宋体" w:eastAsia="宋体" w:hint="default"/>
          <w:b w:val="0"/>
          <w:bCs w:val="0"/>
        </w:rPr>
      </w:pPr>
      <w:r>
        <w:rPr>
          <w:rFonts w:ascii="宋体" w:hAnsi="宋体" w:cs="宋体" w:eastAsia="宋体" w:hint="default"/>
        </w:rPr>
        <w:t>(3).</w:t>
      </w:r>
      <w:r>
        <w:rPr/>
        <w:t>重要非全资子公司的主要财务信息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40" w:right="0"/>
        <w:jc w:val="left"/>
        <w:rPr>
          <w:rFonts w:ascii="宋体" w:hAnsi="宋体" w:cs="宋体" w:eastAsia="宋体" w:hint="default"/>
        </w:rPr>
      </w:pPr>
      <w:r>
        <w:rPr/>
        <w:t>单位</w:t>
      </w:r>
      <w:r>
        <w:rPr>
          <w:rFonts w:ascii="宋体" w:hAnsi="宋体" w:cs="宋体" w:eastAsia="宋体" w:hint="default"/>
        </w:rPr>
        <w:t>:</w:t>
      </w:r>
      <w:r>
        <w:rPr/>
        <w:t>万元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360" w:bottom="1380" w:left="1200" w:right="1240"/>
          <w:cols w:num="2" w:equalWidth="0">
            <w:col w:w="3932" w:space="7631"/>
            <w:col w:w="2837"/>
          </w:cols>
        </w:sectPr>
      </w:pPr>
    </w:p>
    <w:p>
      <w:pPr>
        <w:spacing w:line="240" w:lineRule="auto" w:before="4"/>
        <w:rPr>
          <w:rFonts w:ascii="宋体" w:hAnsi="宋体" w:cs="宋体" w:eastAsia="宋体" w:hint="default"/>
          <w:sz w:val="2"/>
          <w:szCs w:val="2"/>
        </w:rPr>
      </w:pPr>
    </w:p>
    <w:p>
      <w:pPr>
        <w:spacing w:line="20" w:lineRule="exact"/>
        <w:ind w:left="201" w:right="0" w:firstLine="0"/>
        <w:rPr>
          <w:rFonts w:ascii="宋体" w:hAnsi="宋体" w:cs="宋体" w:eastAsia="宋体" w:hint="default"/>
          <w:sz w:val="2"/>
          <w:szCs w:val="2"/>
        </w:rPr>
      </w:pPr>
      <w:r>
        <w:rPr>
          <w:rFonts w:ascii="宋体" w:hAnsi="宋体" w:cs="宋体" w:eastAsia="宋体" w:hint="default"/>
          <w:sz w:val="2"/>
          <w:szCs w:val="2"/>
        </w:rPr>
        <w:pict>
          <v:group style="width:697.55pt;height:1pt;mso-position-horizontal-relative:char;mso-position-vertical-relative:line" coordorigin="0,0" coordsize="13951,20">
            <v:group style="position:absolute;left:10;top:10;width:2545;height:2" coordorigin="10,10" coordsize="2545,2">
              <v:shape style="position:absolute;left:10;top:10;width:2545;height:2" coordorigin="10,10" coordsize="2545,0" path="m10,10l2554,10e" filled="false" stroked="true" strokeweight=".96001pt" strokecolor="#41b7ee">
                <v:path arrowok="t"/>
              </v:shape>
            </v:group>
            <v:group style="position:absolute;left:2554;top:10;width:58;height:2" coordorigin="2554,10" coordsize="58,2">
              <v:shape style="position:absolute;left:2554;top:10;width:58;height:2" coordorigin="2554,10" coordsize="58,0" path="m2554,10l2612,10e" filled="false" stroked="true" strokeweight=".96001pt" strokecolor="#41b7ee">
                <v:path arrowok="t"/>
              </v:shape>
            </v:group>
            <v:group style="position:absolute;left:2612;top:10;width:5704;height:2" coordorigin="2612,10" coordsize="5704,2">
              <v:shape style="position:absolute;left:2612;top:10;width:5704;height:2" coordorigin="2612,10" coordsize="5704,0" path="m2612,10l8315,10e" filled="false" stroked="true" strokeweight=".96001pt" strokecolor="#41b7ee">
                <v:path arrowok="t"/>
              </v:shape>
            </v:group>
            <v:group style="position:absolute;left:8315;top:10;width:58;height:2" coordorigin="8315,10" coordsize="58,2">
              <v:shape style="position:absolute;left:8315;top:10;width:58;height:2" coordorigin="8315,10" coordsize="58,0" path="m8315,10l8373,10e" filled="false" stroked="true" strokeweight=".96001pt" strokecolor="#41b7ee">
                <v:path arrowok="t"/>
              </v:shape>
            </v:group>
            <v:group style="position:absolute;left:8373;top:10;width:5569;height:2" coordorigin="8373,10" coordsize="5569,2">
              <v:shape style="position:absolute;left:8373;top:10;width:5569;height:2" coordorigin="8373,10" coordsize="5569,0" path="m8373,10l13941,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82" w:type="dxa"/>
        <w:tblLayout w:type="fixed"/>
        <w:tblCellMar>
          <w:top w:w="0" w:type="dxa"/>
          <w:left w:w="0" w:type="dxa"/>
          <w:bottom w:w="0" w:type="dxa"/>
          <w:right w:w="0" w:type="dxa"/>
        </w:tblCellMar>
        <w:tblLook w:val="01E0"/>
      </w:tblPr>
      <w:tblGrid>
        <w:gridCol w:w="2549"/>
        <w:gridCol w:w="946"/>
        <w:gridCol w:w="963"/>
        <w:gridCol w:w="965"/>
        <w:gridCol w:w="962"/>
        <w:gridCol w:w="963"/>
        <w:gridCol w:w="962"/>
        <w:gridCol w:w="962"/>
        <w:gridCol w:w="965"/>
        <w:gridCol w:w="963"/>
        <w:gridCol w:w="965"/>
        <w:gridCol w:w="821"/>
        <w:gridCol w:w="946"/>
      </w:tblGrid>
      <w:tr>
        <w:trPr>
          <w:trHeight w:val="365" w:hRule="exact"/>
        </w:trPr>
        <w:tc>
          <w:tcPr>
            <w:tcW w:w="2549" w:type="dxa"/>
            <w:vMerge w:val="restart"/>
            <w:tcBorders>
              <w:top w:val="single" w:sz="8" w:space="0" w:color="41B7EE"/>
              <w:left w:val="nil" w:sz="6" w:space="0" w:color="auto"/>
              <w:right w:val="single" w:sz="4" w:space="0" w:color="41B7EE"/>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5761" w:type="dxa"/>
            <w:gridSpan w:val="6"/>
            <w:tcBorders>
              <w:top w:val="single" w:sz="8" w:space="0" w:color="41B7EE"/>
              <w:left w:val="single" w:sz="4" w:space="0" w:color="41B7EE"/>
              <w:bottom w:val="single" w:sz="4" w:space="0" w:color="41B7EE"/>
              <w:right w:val="single" w:sz="4" w:space="0" w:color="41B7EE"/>
            </w:tcBorders>
          </w:tcPr>
          <w:p>
            <w:pPr>
              <w:pStyle w:val="TableParagraph"/>
              <w:spacing w:line="240" w:lineRule="auto" w:before="29"/>
              <w:ind w:left="1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621" w:type="dxa"/>
            <w:gridSpan w:val="6"/>
            <w:tcBorders>
              <w:top w:val="single" w:sz="8" w:space="0" w:color="41B7EE"/>
              <w:left w:val="single" w:sz="4" w:space="0" w:color="41B7EE"/>
              <w:bottom w:val="single" w:sz="4" w:space="0" w:color="41B7EE"/>
              <w:right w:val="nil" w:sz="6" w:space="0" w:color="auto"/>
            </w:tcBorders>
          </w:tcPr>
          <w:p>
            <w:pPr>
              <w:pStyle w:val="TableParagraph"/>
              <w:spacing w:line="240" w:lineRule="auto" w:before="2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8" w:hRule="exact"/>
        </w:trPr>
        <w:tc>
          <w:tcPr>
            <w:tcW w:w="2549" w:type="dxa"/>
            <w:vMerge/>
            <w:tcBorders>
              <w:left w:val="nil" w:sz="6" w:space="0" w:color="auto"/>
              <w:bottom w:val="single" w:sz="4" w:space="0" w:color="41B7EE"/>
              <w:right w:val="single" w:sz="4" w:space="0" w:color="41B7EE"/>
            </w:tcBorders>
          </w:tcPr>
          <w:p>
            <w:pPr/>
          </w:p>
        </w:tc>
        <w:tc>
          <w:tcPr>
            <w:tcW w:w="94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7"/>
              <w:ind w:left="131" w:right="0"/>
              <w:jc w:val="left"/>
              <w:rPr>
                <w:rFonts w:ascii="宋体" w:hAnsi="宋体" w:cs="宋体" w:eastAsia="宋体" w:hint="default"/>
                <w:sz w:val="18"/>
                <w:szCs w:val="18"/>
              </w:rPr>
            </w:pPr>
            <w:r>
              <w:rPr>
                <w:rFonts w:ascii="宋体" w:hAnsi="宋体" w:cs="宋体" w:eastAsia="宋体" w:hint="default"/>
                <w:spacing w:val="-12"/>
                <w:sz w:val="18"/>
                <w:szCs w:val="18"/>
              </w:rPr>
              <w:t>流动资产</w:t>
            </w:r>
            <w:r>
              <w:rPr>
                <w:rFonts w:ascii="宋体" w:hAnsi="宋体" w:cs="宋体" w:eastAsia="宋体" w:hint="default"/>
                <w:sz w:val="18"/>
                <w:szCs w:val="18"/>
              </w:rPr>
            </w:r>
          </w:p>
        </w:tc>
        <w:tc>
          <w:tcPr>
            <w:tcW w:w="96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7"/>
              <w:ind w:right="27"/>
              <w:jc w:val="right"/>
              <w:rPr>
                <w:rFonts w:ascii="宋体" w:hAnsi="宋体" w:cs="宋体" w:eastAsia="宋体" w:hint="default"/>
                <w:sz w:val="18"/>
                <w:szCs w:val="18"/>
              </w:rPr>
            </w:pPr>
            <w:r>
              <w:rPr>
                <w:rFonts w:ascii="宋体" w:hAnsi="宋体" w:cs="宋体" w:eastAsia="宋体" w:hint="default"/>
                <w:spacing w:val="-12"/>
                <w:sz w:val="18"/>
                <w:szCs w:val="18"/>
              </w:rPr>
              <w:t>非流动资产</w:t>
            </w:r>
            <w:r>
              <w:rPr>
                <w:rFonts w:ascii="宋体" w:hAnsi="宋体" w:cs="宋体" w:eastAsia="宋体" w:hint="default"/>
                <w:sz w:val="18"/>
                <w:szCs w:val="18"/>
              </w:rPr>
            </w:r>
          </w:p>
        </w:tc>
        <w:tc>
          <w:tcPr>
            <w:tcW w:w="96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7"/>
              <w:ind w:left="141" w:right="0"/>
              <w:jc w:val="left"/>
              <w:rPr>
                <w:rFonts w:ascii="宋体" w:hAnsi="宋体" w:cs="宋体" w:eastAsia="宋体" w:hint="default"/>
                <w:sz w:val="18"/>
                <w:szCs w:val="18"/>
              </w:rPr>
            </w:pPr>
            <w:r>
              <w:rPr>
                <w:rFonts w:ascii="宋体" w:hAnsi="宋体" w:cs="宋体" w:eastAsia="宋体" w:hint="default"/>
                <w:spacing w:val="-12"/>
                <w:sz w:val="18"/>
                <w:szCs w:val="18"/>
              </w:rPr>
              <w:t>资产合计</w:t>
            </w:r>
            <w:r>
              <w:rPr>
                <w:rFonts w:ascii="宋体" w:hAnsi="宋体" w:cs="宋体" w:eastAsia="宋体" w:hint="default"/>
                <w:sz w:val="18"/>
                <w:szCs w:val="18"/>
              </w:rPr>
            </w:r>
          </w:p>
        </w:tc>
        <w:tc>
          <w:tcPr>
            <w:tcW w:w="9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7"/>
              <w:ind w:left="139" w:right="0"/>
              <w:jc w:val="left"/>
              <w:rPr>
                <w:rFonts w:ascii="宋体" w:hAnsi="宋体" w:cs="宋体" w:eastAsia="宋体" w:hint="default"/>
                <w:sz w:val="18"/>
                <w:szCs w:val="18"/>
              </w:rPr>
            </w:pPr>
            <w:r>
              <w:rPr>
                <w:rFonts w:ascii="宋体" w:hAnsi="宋体" w:cs="宋体" w:eastAsia="宋体" w:hint="default"/>
                <w:spacing w:val="-12"/>
                <w:sz w:val="18"/>
                <w:szCs w:val="18"/>
              </w:rPr>
              <w:t>流动负债</w:t>
            </w:r>
            <w:r>
              <w:rPr>
                <w:rFonts w:ascii="宋体" w:hAnsi="宋体" w:cs="宋体" w:eastAsia="宋体" w:hint="default"/>
                <w:sz w:val="18"/>
                <w:szCs w:val="18"/>
              </w:rPr>
            </w:r>
          </w:p>
        </w:tc>
        <w:tc>
          <w:tcPr>
            <w:tcW w:w="96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7"/>
              <w:ind w:right="27"/>
              <w:jc w:val="right"/>
              <w:rPr>
                <w:rFonts w:ascii="宋体" w:hAnsi="宋体" w:cs="宋体" w:eastAsia="宋体" w:hint="default"/>
                <w:sz w:val="18"/>
                <w:szCs w:val="18"/>
              </w:rPr>
            </w:pPr>
            <w:r>
              <w:rPr>
                <w:rFonts w:ascii="宋体" w:hAnsi="宋体" w:cs="宋体" w:eastAsia="宋体" w:hint="default"/>
                <w:spacing w:val="-12"/>
                <w:sz w:val="18"/>
                <w:szCs w:val="18"/>
              </w:rPr>
              <w:t>非流动负债</w:t>
            </w:r>
            <w:r>
              <w:rPr>
                <w:rFonts w:ascii="宋体" w:hAnsi="宋体" w:cs="宋体" w:eastAsia="宋体" w:hint="default"/>
                <w:sz w:val="18"/>
                <w:szCs w:val="18"/>
              </w:rPr>
            </w:r>
          </w:p>
        </w:tc>
        <w:tc>
          <w:tcPr>
            <w:tcW w:w="9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7"/>
              <w:ind w:left="139" w:right="0"/>
              <w:jc w:val="left"/>
              <w:rPr>
                <w:rFonts w:ascii="宋体" w:hAnsi="宋体" w:cs="宋体" w:eastAsia="宋体" w:hint="default"/>
                <w:sz w:val="18"/>
                <w:szCs w:val="18"/>
              </w:rPr>
            </w:pPr>
            <w:r>
              <w:rPr>
                <w:rFonts w:ascii="宋体" w:hAnsi="宋体" w:cs="宋体" w:eastAsia="宋体" w:hint="default"/>
                <w:spacing w:val="-12"/>
                <w:sz w:val="18"/>
                <w:szCs w:val="18"/>
              </w:rPr>
              <w:t>负债合计</w:t>
            </w:r>
            <w:r>
              <w:rPr>
                <w:rFonts w:ascii="宋体" w:hAnsi="宋体" w:cs="宋体" w:eastAsia="宋体" w:hint="default"/>
                <w:sz w:val="18"/>
                <w:szCs w:val="18"/>
              </w:rPr>
            </w:r>
          </w:p>
        </w:tc>
        <w:tc>
          <w:tcPr>
            <w:tcW w:w="9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7"/>
              <w:ind w:left="139" w:right="0"/>
              <w:jc w:val="left"/>
              <w:rPr>
                <w:rFonts w:ascii="宋体" w:hAnsi="宋体" w:cs="宋体" w:eastAsia="宋体" w:hint="default"/>
                <w:sz w:val="18"/>
                <w:szCs w:val="18"/>
              </w:rPr>
            </w:pPr>
            <w:r>
              <w:rPr>
                <w:rFonts w:ascii="宋体" w:hAnsi="宋体" w:cs="宋体" w:eastAsia="宋体" w:hint="default"/>
                <w:spacing w:val="-12"/>
                <w:sz w:val="18"/>
                <w:szCs w:val="18"/>
              </w:rPr>
              <w:t>流动资产</w:t>
            </w:r>
            <w:r>
              <w:rPr>
                <w:rFonts w:ascii="宋体" w:hAnsi="宋体" w:cs="宋体" w:eastAsia="宋体" w:hint="default"/>
                <w:sz w:val="18"/>
                <w:szCs w:val="18"/>
              </w:rPr>
            </w:r>
          </w:p>
        </w:tc>
        <w:tc>
          <w:tcPr>
            <w:tcW w:w="96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7"/>
              <w:ind w:right="26"/>
              <w:jc w:val="right"/>
              <w:rPr>
                <w:rFonts w:ascii="宋体" w:hAnsi="宋体" w:cs="宋体" w:eastAsia="宋体" w:hint="default"/>
                <w:sz w:val="18"/>
                <w:szCs w:val="18"/>
              </w:rPr>
            </w:pPr>
            <w:r>
              <w:rPr>
                <w:rFonts w:ascii="宋体" w:hAnsi="宋体" w:cs="宋体" w:eastAsia="宋体" w:hint="default"/>
                <w:spacing w:val="-12"/>
                <w:sz w:val="18"/>
                <w:szCs w:val="18"/>
              </w:rPr>
              <w:t>非流动资产</w:t>
            </w:r>
            <w:r>
              <w:rPr>
                <w:rFonts w:ascii="宋体" w:hAnsi="宋体" w:cs="宋体" w:eastAsia="宋体" w:hint="default"/>
                <w:sz w:val="18"/>
                <w:szCs w:val="18"/>
              </w:rPr>
            </w:r>
          </w:p>
        </w:tc>
        <w:tc>
          <w:tcPr>
            <w:tcW w:w="96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7"/>
              <w:ind w:left="139" w:right="0"/>
              <w:jc w:val="left"/>
              <w:rPr>
                <w:rFonts w:ascii="宋体" w:hAnsi="宋体" w:cs="宋体" w:eastAsia="宋体" w:hint="default"/>
                <w:sz w:val="18"/>
                <w:szCs w:val="18"/>
              </w:rPr>
            </w:pPr>
            <w:r>
              <w:rPr>
                <w:rFonts w:ascii="宋体" w:hAnsi="宋体" w:cs="宋体" w:eastAsia="宋体" w:hint="default"/>
                <w:spacing w:val="-12"/>
                <w:sz w:val="18"/>
                <w:szCs w:val="18"/>
              </w:rPr>
              <w:t>资产合计</w:t>
            </w:r>
            <w:r>
              <w:rPr>
                <w:rFonts w:ascii="宋体" w:hAnsi="宋体" w:cs="宋体" w:eastAsia="宋体" w:hint="default"/>
                <w:sz w:val="18"/>
                <w:szCs w:val="18"/>
              </w:rPr>
            </w:r>
          </w:p>
        </w:tc>
        <w:tc>
          <w:tcPr>
            <w:tcW w:w="96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7"/>
              <w:ind w:left="141" w:right="0"/>
              <w:jc w:val="left"/>
              <w:rPr>
                <w:rFonts w:ascii="宋体" w:hAnsi="宋体" w:cs="宋体" w:eastAsia="宋体" w:hint="default"/>
                <w:sz w:val="18"/>
                <w:szCs w:val="18"/>
              </w:rPr>
            </w:pPr>
            <w:r>
              <w:rPr>
                <w:rFonts w:ascii="宋体" w:hAnsi="宋体" w:cs="宋体" w:eastAsia="宋体" w:hint="default"/>
                <w:spacing w:val="-12"/>
                <w:sz w:val="18"/>
                <w:szCs w:val="18"/>
              </w:rPr>
              <w:t>流动负债</w:t>
            </w:r>
            <w:r>
              <w:rPr>
                <w:rFonts w:ascii="宋体" w:hAnsi="宋体" w:cs="宋体" w:eastAsia="宋体" w:hint="default"/>
                <w:sz w:val="18"/>
                <w:szCs w:val="18"/>
              </w:rPr>
            </w:r>
          </w:p>
        </w:tc>
        <w:tc>
          <w:tcPr>
            <w:tcW w:w="821" w:type="dxa"/>
            <w:tcBorders>
              <w:top w:val="single" w:sz="4" w:space="0" w:color="41B7EE"/>
              <w:left w:val="single" w:sz="4" w:space="0" w:color="41B7EE"/>
              <w:bottom w:val="single" w:sz="4" w:space="0" w:color="41B7EE"/>
              <w:right w:val="single" w:sz="13" w:space="0" w:color="FFFFFF"/>
            </w:tcBorders>
          </w:tcPr>
          <w:p>
            <w:pPr>
              <w:pStyle w:val="TableParagraph"/>
              <w:spacing w:line="240" w:lineRule="auto" w:before="27"/>
              <w:ind w:right="-56"/>
              <w:jc w:val="right"/>
              <w:rPr>
                <w:rFonts w:ascii="宋体" w:hAnsi="宋体" w:cs="宋体" w:eastAsia="宋体" w:hint="default"/>
                <w:sz w:val="18"/>
                <w:szCs w:val="18"/>
              </w:rPr>
            </w:pPr>
            <w:r>
              <w:rPr>
                <w:rFonts w:ascii="宋体" w:hAnsi="宋体" w:cs="宋体" w:eastAsia="宋体" w:hint="default"/>
                <w:spacing w:val="-12"/>
                <w:sz w:val="18"/>
                <w:szCs w:val="18"/>
              </w:rPr>
              <w:t>非流动负债</w:t>
            </w:r>
            <w:r>
              <w:rPr>
                <w:rFonts w:ascii="宋体" w:hAnsi="宋体" w:cs="宋体" w:eastAsia="宋体" w:hint="default"/>
                <w:sz w:val="18"/>
                <w:szCs w:val="18"/>
              </w:rPr>
            </w:r>
          </w:p>
        </w:tc>
        <w:tc>
          <w:tcPr>
            <w:tcW w:w="946" w:type="dxa"/>
            <w:tcBorders>
              <w:top w:val="single" w:sz="4" w:space="0" w:color="41B7EE"/>
              <w:left w:val="single" w:sz="13" w:space="0" w:color="FFFFFF"/>
              <w:bottom w:val="single" w:sz="4" w:space="0" w:color="41B7EE"/>
              <w:right w:val="nil" w:sz="6" w:space="0" w:color="auto"/>
            </w:tcBorders>
          </w:tcPr>
          <w:p>
            <w:pPr>
              <w:pStyle w:val="TableParagraph"/>
              <w:spacing w:line="240" w:lineRule="auto" w:before="27"/>
              <w:ind w:left="120" w:right="0"/>
              <w:jc w:val="left"/>
              <w:rPr>
                <w:rFonts w:ascii="宋体" w:hAnsi="宋体" w:cs="宋体" w:eastAsia="宋体" w:hint="default"/>
                <w:sz w:val="18"/>
                <w:szCs w:val="18"/>
              </w:rPr>
            </w:pPr>
            <w:r>
              <w:rPr>
                <w:rFonts w:ascii="宋体" w:hAnsi="宋体" w:cs="宋体" w:eastAsia="宋体" w:hint="default"/>
                <w:spacing w:val="-12"/>
                <w:sz w:val="18"/>
                <w:szCs w:val="18"/>
              </w:rPr>
              <w:t>负债合计</w:t>
            </w:r>
            <w:r>
              <w:rPr>
                <w:rFonts w:ascii="宋体" w:hAnsi="宋体" w:cs="宋体" w:eastAsia="宋体" w:hint="default"/>
                <w:sz w:val="18"/>
                <w:szCs w:val="18"/>
              </w:rPr>
            </w:r>
          </w:p>
        </w:tc>
      </w:tr>
      <w:tr>
        <w:trPr>
          <w:trHeight w:val="355" w:hRule="exact"/>
        </w:trPr>
        <w:tc>
          <w:tcPr>
            <w:tcW w:w="254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pacing w:val="-20"/>
                <w:sz w:val="18"/>
                <w:szCs w:val="18"/>
              </w:rPr>
              <w:t>黑龙江北大荒纸业有限责任公司</w:t>
            </w:r>
          </w:p>
        </w:tc>
        <w:tc>
          <w:tcPr>
            <w:tcW w:w="94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1"/>
              <w:jc w:val="right"/>
              <w:rPr>
                <w:rFonts w:ascii="Arial" w:hAnsi="Arial" w:cs="Arial" w:eastAsia="Arial" w:hint="default"/>
                <w:sz w:val="20"/>
                <w:szCs w:val="20"/>
              </w:rPr>
            </w:pPr>
            <w:r>
              <w:rPr>
                <w:rFonts w:ascii="Arial"/>
                <w:w w:val="95"/>
                <w:sz w:val="20"/>
              </w:rPr>
              <w:t>132.69</w:t>
            </w:r>
            <w:r>
              <w:rPr>
                <w:rFonts w:ascii="Arial"/>
                <w:sz w:val="20"/>
              </w:rPr>
            </w:r>
          </w:p>
        </w:tc>
        <w:tc>
          <w:tcPr>
            <w:tcW w:w="96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2"/>
              <w:jc w:val="right"/>
              <w:rPr>
                <w:rFonts w:ascii="Arial" w:hAnsi="Arial" w:cs="Arial" w:eastAsia="Arial" w:hint="default"/>
                <w:sz w:val="20"/>
                <w:szCs w:val="20"/>
              </w:rPr>
            </w:pPr>
            <w:r>
              <w:rPr>
                <w:rFonts w:ascii="Arial"/>
                <w:w w:val="95"/>
                <w:sz w:val="20"/>
              </w:rPr>
              <w:t>921.37</w:t>
            </w:r>
            <w:r>
              <w:rPr>
                <w:rFonts w:ascii="Arial"/>
                <w:sz w:val="20"/>
              </w:rPr>
            </w:r>
          </w:p>
        </w:tc>
        <w:tc>
          <w:tcPr>
            <w:tcW w:w="96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spacing w:val="-1"/>
                <w:sz w:val="20"/>
              </w:rPr>
              <w:t>1,054.06</w:t>
            </w:r>
          </w:p>
        </w:tc>
        <w:tc>
          <w:tcPr>
            <w:tcW w:w="9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14,574.78</w:t>
            </w:r>
            <w:r>
              <w:rPr>
                <w:rFonts w:ascii="Arial"/>
                <w:sz w:val="20"/>
              </w:rPr>
            </w:r>
          </w:p>
        </w:tc>
        <w:tc>
          <w:tcPr>
            <w:tcW w:w="96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225.43</w:t>
            </w:r>
            <w:r>
              <w:rPr>
                <w:rFonts w:ascii="Arial"/>
                <w:sz w:val="20"/>
              </w:rPr>
            </w:r>
          </w:p>
        </w:tc>
        <w:tc>
          <w:tcPr>
            <w:tcW w:w="9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14,800.21</w:t>
            </w:r>
            <w:r>
              <w:rPr>
                <w:rFonts w:ascii="Arial"/>
                <w:sz w:val="20"/>
              </w:rPr>
            </w:r>
          </w:p>
        </w:tc>
        <w:tc>
          <w:tcPr>
            <w:tcW w:w="9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140.87</w:t>
            </w:r>
            <w:r>
              <w:rPr>
                <w:rFonts w:ascii="Arial"/>
                <w:sz w:val="20"/>
              </w:rPr>
            </w:r>
          </w:p>
        </w:tc>
        <w:tc>
          <w:tcPr>
            <w:tcW w:w="96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958.22</w:t>
            </w:r>
            <w:r>
              <w:rPr>
                <w:rFonts w:ascii="Arial"/>
                <w:sz w:val="20"/>
              </w:rPr>
            </w:r>
          </w:p>
        </w:tc>
        <w:tc>
          <w:tcPr>
            <w:tcW w:w="96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spacing w:val="-1"/>
                <w:sz w:val="20"/>
              </w:rPr>
              <w:t>1,099.09</w:t>
            </w:r>
          </w:p>
        </w:tc>
        <w:tc>
          <w:tcPr>
            <w:tcW w:w="96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2"/>
              <w:jc w:val="right"/>
              <w:rPr>
                <w:rFonts w:ascii="Arial" w:hAnsi="Arial" w:cs="Arial" w:eastAsia="Arial" w:hint="default"/>
                <w:sz w:val="20"/>
                <w:szCs w:val="20"/>
              </w:rPr>
            </w:pPr>
            <w:r>
              <w:rPr>
                <w:rFonts w:ascii="Arial"/>
                <w:w w:val="95"/>
                <w:sz w:val="20"/>
              </w:rPr>
              <w:t>14,585.24</w:t>
            </w:r>
            <w:r>
              <w:rPr>
                <w:rFonts w:ascii="Arial"/>
                <w:sz w:val="20"/>
              </w:rPr>
            </w:r>
          </w:p>
        </w:tc>
        <w:tc>
          <w:tcPr>
            <w:tcW w:w="82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251.68</w:t>
            </w:r>
            <w:r>
              <w:rPr>
                <w:rFonts w:ascii="Arial"/>
                <w:sz w:val="20"/>
              </w:rPr>
            </w:r>
          </w:p>
        </w:tc>
        <w:tc>
          <w:tcPr>
            <w:tcW w:w="94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5"/>
              <w:ind w:right="27"/>
              <w:jc w:val="right"/>
              <w:rPr>
                <w:rFonts w:ascii="Arial" w:hAnsi="Arial" w:cs="Arial" w:eastAsia="Arial" w:hint="default"/>
                <w:sz w:val="20"/>
                <w:szCs w:val="20"/>
              </w:rPr>
            </w:pPr>
            <w:r>
              <w:rPr>
                <w:rFonts w:ascii="Arial"/>
                <w:w w:val="95"/>
                <w:sz w:val="20"/>
              </w:rPr>
              <w:t>14,836.92</w:t>
            </w:r>
            <w:r>
              <w:rPr>
                <w:rFonts w:ascii="Arial"/>
                <w:sz w:val="20"/>
              </w:rPr>
            </w:r>
          </w:p>
        </w:tc>
      </w:tr>
      <w:tr>
        <w:trPr>
          <w:trHeight w:val="358" w:hRule="exact"/>
        </w:trPr>
        <w:tc>
          <w:tcPr>
            <w:tcW w:w="254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8"/>
              <w:ind w:left="28" w:right="0"/>
              <w:jc w:val="left"/>
              <w:rPr>
                <w:rFonts w:ascii="宋体" w:hAnsi="宋体" w:cs="宋体" w:eastAsia="宋体" w:hint="default"/>
                <w:sz w:val="18"/>
                <w:szCs w:val="18"/>
              </w:rPr>
            </w:pPr>
            <w:r>
              <w:rPr>
                <w:rFonts w:ascii="宋体" w:hAnsi="宋体" w:cs="宋体" w:eastAsia="宋体" w:hint="default"/>
                <w:spacing w:val="-12"/>
                <w:sz w:val="18"/>
                <w:szCs w:val="18"/>
              </w:rPr>
              <w:t>北大荒龙垦麦芽有限公司</w:t>
            </w:r>
            <w:r>
              <w:rPr>
                <w:rFonts w:ascii="宋体" w:hAnsi="宋体" w:cs="宋体" w:eastAsia="宋体" w:hint="default"/>
                <w:sz w:val="18"/>
                <w:szCs w:val="18"/>
              </w:rPr>
            </w:r>
          </w:p>
        </w:tc>
        <w:tc>
          <w:tcPr>
            <w:tcW w:w="94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8"/>
              <w:ind w:right="21"/>
              <w:jc w:val="right"/>
              <w:rPr>
                <w:rFonts w:ascii="Arial" w:hAnsi="Arial" w:cs="Arial" w:eastAsia="Arial" w:hint="default"/>
                <w:sz w:val="20"/>
                <w:szCs w:val="20"/>
              </w:rPr>
            </w:pPr>
            <w:r>
              <w:rPr>
                <w:rFonts w:ascii="Arial"/>
                <w:spacing w:val="-1"/>
                <w:sz w:val="20"/>
              </w:rPr>
              <w:t>1,892.97</w:t>
            </w:r>
          </w:p>
        </w:tc>
        <w:tc>
          <w:tcPr>
            <w:tcW w:w="96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8"/>
              <w:ind w:right="22"/>
              <w:jc w:val="right"/>
              <w:rPr>
                <w:rFonts w:ascii="Arial" w:hAnsi="Arial" w:cs="Arial" w:eastAsia="Arial" w:hint="default"/>
                <w:sz w:val="20"/>
                <w:szCs w:val="20"/>
              </w:rPr>
            </w:pPr>
            <w:r>
              <w:rPr>
                <w:rFonts w:ascii="Arial"/>
                <w:w w:val="95"/>
                <w:sz w:val="20"/>
              </w:rPr>
              <w:t>61,075.31</w:t>
            </w:r>
            <w:r>
              <w:rPr>
                <w:rFonts w:ascii="Arial"/>
                <w:sz w:val="20"/>
              </w:rPr>
            </w:r>
          </w:p>
        </w:tc>
        <w:tc>
          <w:tcPr>
            <w:tcW w:w="96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8"/>
              <w:ind w:right="24"/>
              <w:jc w:val="right"/>
              <w:rPr>
                <w:rFonts w:ascii="Arial" w:hAnsi="Arial" w:cs="Arial" w:eastAsia="Arial" w:hint="default"/>
                <w:sz w:val="20"/>
                <w:szCs w:val="20"/>
              </w:rPr>
            </w:pPr>
            <w:r>
              <w:rPr>
                <w:rFonts w:ascii="Arial"/>
                <w:w w:val="95"/>
                <w:sz w:val="20"/>
              </w:rPr>
              <w:t>62,968.28</w:t>
            </w:r>
            <w:r>
              <w:rPr>
                <w:rFonts w:ascii="Arial"/>
                <w:sz w:val="20"/>
              </w:rPr>
            </w:r>
          </w:p>
        </w:tc>
        <w:tc>
          <w:tcPr>
            <w:tcW w:w="9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8"/>
              <w:ind w:right="24"/>
              <w:jc w:val="right"/>
              <w:rPr>
                <w:rFonts w:ascii="Arial" w:hAnsi="Arial" w:cs="Arial" w:eastAsia="Arial" w:hint="default"/>
                <w:sz w:val="20"/>
                <w:szCs w:val="20"/>
              </w:rPr>
            </w:pPr>
            <w:r>
              <w:rPr>
                <w:rFonts w:ascii="Arial"/>
                <w:w w:val="95"/>
                <w:sz w:val="20"/>
              </w:rPr>
              <w:t>90,946.47</w:t>
            </w:r>
            <w:r>
              <w:rPr>
                <w:rFonts w:ascii="Arial"/>
                <w:sz w:val="20"/>
              </w:rPr>
            </w:r>
          </w:p>
        </w:tc>
        <w:tc>
          <w:tcPr>
            <w:tcW w:w="96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8"/>
              <w:ind w:right="26"/>
              <w:jc w:val="right"/>
              <w:rPr>
                <w:rFonts w:ascii="Arial" w:hAnsi="Arial" w:cs="Arial" w:eastAsia="Arial" w:hint="default"/>
                <w:sz w:val="20"/>
                <w:szCs w:val="20"/>
              </w:rPr>
            </w:pPr>
            <w:r>
              <w:rPr>
                <w:rFonts w:ascii="Arial"/>
                <w:spacing w:val="-1"/>
                <w:w w:val="95"/>
                <w:sz w:val="20"/>
              </w:rPr>
              <w:t>2.00</w:t>
            </w:r>
            <w:r>
              <w:rPr>
                <w:rFonts w:ascii="Arial"/>
                <w:sz w:val="20"/>
              </w:rPr>
            </w:r>
          </w:p>
        </w:tc>
        <w:tc>
          <w:tcPr>
            <w:tcW w:w="9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8"/>
              <w:ind w:right="24"/>
              <w:jc w:val="right"/>
              <w:rPr>
                <w:rFonts w:ascii="Arial" w:hAnsi="Arial" w:cs="Arial" w:eastAsia="Arial" w:hint="default"/>
                <w:sz w:val="20"/>
                <w:szCs w:val="20"/>
              </w:rPr>
            </w:pPr>
            <w:r>
              <w:rPr>
                <w:rFonts w:ascii="Arial"/>
                <w:w w:val="95"/>
                <w:sz w:val="20"/>
              </w:rPr>
              <w:t>90,948.47</w:t>
            </w:r>
            <w:r>
              <w:rPr>
                <w:rFonts w:ascii="Arial"/>
                <w:sz w:val="20"/>
              </w:rPr>
            </w:r>
          </w:p>
        </w:tc>
        <w:tc>
          <w:tcPr>
            <w:tcW w:w="9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8"/>
              <w:ind w:right="24"/>
              <w:jc w:val="right"/>
              <w:rPr>
                <w:rFonts w:ascii="Arial" w:hAnsi="Arial" w:cs="Arial" w:eastAsia="Arial" w:hint="default"/>
                <w:sz w:val="20"/>
                <w:szCs w:val="20"/>
              </w:rPr>
            </w:pPr>
            <w:r>
              <w:rPr>
                <w:rFonts w:ascii="Arial"/>
                <w:spacing w:val="-1"/>
                <w:sz w:val="20"/>
              </w:rPr>
              <w:t>3,257.42</w:t>
            </w:r>
          </w:p>
        </w:tc>
        <w:tc>
          <w:tcPr>
            <w:tcW w:w="96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8"/>
              <w:ind w:right="24"/>
              <w:jc w:val="right"/>
              <w:rPr>
                <w:rFonts w:ascii="Arial" w:hAnsi="Arial" w:cs="Arial" w:eastAsia="Arial" w:hint="default"/>
                <w:sz w:val="20"/>
                <w:szCs w:val="20"/>
              </w:rPr>
            </w:pPr>
            <w:r>
              <w:rPr>
                <w:rFonts w:ascii="Arial"/>
                <w:w w:val="95"/>
                <w:sz w:val="20"/>
              </w:rPr>
              <w:t>62,365.07</w:t>
            </w:r>
            <w:r>
              <w:rPr>
                <w:rFonts w:ascii="Arial"/>
                <w:sz w:val="20"/>
              </w:rPr>
            </w:r>
          </w:p>
        </w:tc>
        <w:tc>
          <w:tcPr>
            <w:tcW w:w="96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8"/>
              <w:ind w:right="25"/>
              <w:jc w:val="right"/>
              <w:rPr>
                <w:rFonts w:ascii="Arial" w:hAnsi="Arial" w:cs="Arial" w:eastAsia="Arial" w:hint="default"/>
                <w:sz w:val="20"/>
                <w:szCs w:val="20"/>
              </w:rPr>
            </w:pPr>
            <w:r>
              <w:rPr>
                <w:rFonts w:ascii="Arial"/>
                <w:w w:val="95"/>
                <w:sz w:val="20"/>
              </w:rPr>
              <w:t>65,622.49</w:t>
            </w:r>
            <w:r>
              <w:rPr>
                <w:rFonts w:ascii="Arial"/>
                <w:sz w:val="20"/>
              </w:rPr>
            </w:r>
          </w:p>
        </w:tc>
        <w:tc>
          <w:tcPr>
            <w:tcW w:w="96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8"/>
              <w:ind w:right="22"/>
              <w:jc w:val="right"/>
              <w:rPr>
                <w:rFonts w:ascii="Arial" w:hAnsi="Arial" w:cs="Arial" w:eastAsia="Arial" w:hint="default"/>
                <w:sz w:val="20"/>
                <w:szCs w:val="20"/>
              </w:rPr>
            </w:pPr>
            <w:r>
              <w:rPr>
                <w:rFonts w:ascii="Arial"/>
                <w:w w:val="95"/>
                <w:sz w:val="20"/>
              </w:rPr>
              <w:t>90,045.42</w:t>
            </w:r>
            <w:r>
              <w:rPr>
                <w:rFonts w:ascii="Arial"/>
                <w:sz w:val="20"/>
              </w:rPr>
            </w:r>
          </w:p>
        </w:tc>
        <w:tc>
          <w:tcPr>
            <w:tcW w:w="82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8"/>
              <w:ind w:right="24"/>
              <w:jc w:val="right"/>
              <w:rPr>
                <w:rFonts w:ascii="Arial" w:hAnsi="Arial" w:cs="Arial" w:eastAsia="Arial" w:hint="default"/>
                <w:sz w:val="20"/>
                <w:szCs w:val="20"/>
              </w:rPr>
            </w:pPr>
            <w:r>
              <w:rPr>
                <w:rFonts w:ascii="Arial"/>
                <w:spacing w:val="-1"/>
                <w:w w:val="95"/>
                <w:sz w:val="20"/>
              </w:rPr>
              <w:t>9.79</w:t>
            </w:r>
            <w:r>
              <w:rPr>
                <w:rFonts w:ascii="Arial"/>
                <w:sz w:val="20"/>
              </w:rPr>
            </w:r>
          </w:p>
        </w:tc>
        <w:tc>
          <w:tcPr>
            <w:tcW w:w="94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8"/>
              <w:ind w:right="27"/>
              <w:jc w:val="right"/>
              <w:rPr>
                <w:rFonts w:ascii="Arial" w:hAnsi="Arial" w:cs="Arial" w:eastAsia="Arial" w:hint="default"/>
                <w:sz w:val="20"/>
                <w:szCs w:val="20"/>
              </w:rPr>
            </w:pPr>
            <w:r>
              <w:rPr>
                <w:rFonts w:ascii="Arial"/>
                <w:w w:val="95"/>
                <w:sz w:val="20"/>
              </w:rPr>
              <w:t>90,055.21</w:t>
            </w:r>
            <w:r>
              <w:rPr>
                <w:rFonts w:ascii="Arial"/>
                <w:sz w:val="20"/>
              </w:rPr>
            </w:r>
          </w:p>
        </w:tc>
      </w:tr>
      <w:tr>
        <w:trPr>
          <w:trHeight w:val="358" w:hRule="exact"/>
        </w:trPr>
        <w:tc>
          <w:tcPr>
            <w:tcW w:w="254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pacing w:val="-12"/>
                <w:sz w:val="18"/>
                <w:szCs w:val="18"/>
              </w:rPr>
              <w:t>北大荒鑫都房地产开发有限公司</w:t>
            </w:r>
            <w:r>
              <w:rPr>
                <w:rFonts w:ascii="宋体" w:hAnsi="宋体" w:cs="宋体" w:eastAsia="宋体" w:hint="default"/>
                <w:sz w:val="18"/>
                <w:szCs w:val="18"/>
              </w:rPr>
            </w:r>
          </w:p>
        </w:tc>
        <w:tc>
          <w:tcPr>
            <w:tcW w:w="94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2"/>
              <w:jc w:val="right"/>
              <w:rPr>
                <w:rFonts w:ascii="Arial" w:hAnsi="Arial" w:cs="Arial" w:eastAsia="Arial" w:hint="default"/>
                <w:sz w:val="20"/>
                <w:szCs w:val="20"/>
              </w:rPr>
            </w:pPr>
            <w:r>
              <w:rPr>
                <w:rFonts w:ascii="Arial"/>
                <w:w w:val="95"/>
                <w:sz w:val="20"/>
              </w:rPr>
              <w:t>15,434.50</w:t>
            </w:r>
            <w:r>
              <w:rPr>
                <w:rFonts w:ascii="Arial"/>
                <w:sz w:val="20"/>
              </w:rPr>
            </w:r>
          </w:p>
        </w:tc>
        <w:tc>
          <w:tcPr>
            <w:tcW w:w="96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2"/>
              <w:jc w:val="right"/>
              <w:rPr>
                <w:rFonts w:ascii="Arial" w:hAnsi="Arial" w:cs="Arial" w:eastAsia="Arial" w:hint="default"/>
                <w:sz w:val="20"/>
                <w:szCs w:val="20"/>
              </w:rPr>
            </w:pPr>
            <w:r>
              <w:rPr>
                <w:rFonts w:ascii="Arial"/>
                <w:w w:val="95"/>
                <w:sz w:val="20"/>
              </w:rPr>
              <w:t>519.59</w:t>
            </w:r>
            <w:r>
              <w:rPr>
                <w:rFonts w:ascii="Arial"/>
                <w:sz w:val="20"/>
              </w:rPr>
            </w:r>
          </w:p>
        </w:tc>
        <w:tc>
          <w:tcPr>
            <w:tcW w:w="96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15,954.09</w:t>
            </w:r>
            <w:r>
              <w:rPr>
                <w:rFonts w:ascii="Arial"/>
                <w:sz w:val="20"/>
              </w:rPr>
            </w:r>
          </w:p>
        </w:tc>
        <w:tc>
          <w:tcPr>
            <w:tcW w:w="9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26,429.57</w:t>
            </w:r>
            <w:r>
              <w:rPr>
                <w:rFonts w:ascii="Arial"/>
                <w:sz w:val="20"/>
              </w:rPr>
            </w:r>
          </w:p>
        </w:tc>
        <w:tc>
          <w:tcPr>
            <w:tcW w:w="96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76.11</w:t>
            </w:r>
            <w:r>
              <w:rPr>
                <w:rFonts w:ascii="Arial"/>
                <w:sz w:val="20"/>
              </w:rPr>
            </w:r>
          </w:p>
        </w:tc>
        <w:tc>
          <w:tcPr>
            <w:tcW w:w="9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26,505.68</w:t>
            </w:r>
            <w:r>
              <w:rPr>
                <w:rFonts w:ascii="Arial"/>
                <w:sz w:val="20"/>
              </w:rPr>
            </w:r>
          </w:p>
        </w:tc>
        <w:tc>
          <w:tcPr>
            <w:tcW w:w="9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16,798.94</w:t>
            </w:r>
            <w:r>
              <w:rPr>
                <w:rFonts w:ascii="Arial"/>
                <w:sz w:val="20"/>
              </w:rPr>
            </w:r>
          </w:p>
        </w:tc>
        <w:tc>
          <w:tcPr>
            <w:tcW w:w="96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514.28</w:t>
            </w:r>
            <w:r>
              <w:rPr>
                <w:rFonts w:ascii="Arial"/>
                <w:sz w:val="20"/>
              </w:rPr>
            </w:r>
          </w:p>
        </w:tc>
        <w:tc>
          <w:tcPr>
            <w:tcW w:w="96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5"/>
              <w:jc w:val="right"/>
              <w:rPr>
                <w:rFonts w:ascii="Arial" w:hAnsi="Arial" w:cs="Arial" w:eastAsia="Arial" w:hint="default"/>
                <w:sz w:val="20"/>
                <w:szCs w:val="20"/>
              </w:rPr>
            </w:pPr>
            <w:r>
              <w:rPr>
                <w:rFonts w:ascii="Arial"/>
                <w:w w:val="95"/>
                <w:sz w:val="20"/>
              </w:rPr>
              <w:t>17,313.22</w:t>
            </w:r>
            <w:r>
              <w:rPr>
                <w:rFonts w:ascii="Arial"/>
                <w:sz w:val="20"/>
              </w:rPr>
            </w:r>
          </w:p>
        </w:tc>
        <w:tc>
          <w:tcPr>
            <w:tcW w:w="96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2"/>
              <w:jc w:val="right"/>
              <w:rPr>
                <w:rFonts w:ascii="Arial" w:hAnsi="Arial" w:cs="Arial" w:eastAsia="Arial" w:hint="default"/>
                <w:sz w:val="20"/>
                <w:szCs w:val="20"/>
              </w:rPr>
            </w:pPr>
            <w:r>
              <w:rPr>
                <w:rFonts w:ascii="Arial"/>
                <w:w w:val="95"/>
                <w:sz w:val="20"/>
              </w:rPr>
              <w:t>28,203.77</w:t>
            </w:r>
            <w:r>
              <w:rPr>
                <w:rFonts w:ascii="Arial"/>
                <w:sz w:val="20"/>
              </w:rPr>
            </w:r>
          </w:p>
        </w:tc>
        <w:tc>
          <w:tcPr>
            <w:tcW w:w="82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102.09</w:t>
            </w:r>
            <w:r>
              <w:rPr>
                <w:rFonts w:ascii="Arial"/>
                <w:sz w:val="20"/>
              </w:rPr>
            </w:r>
          </w:p>
        </w:tc>
        <w:tc>
          <w:tcPr>
            <w:tcW w:w="94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7"/>
              <w:ind w:right="27"/>
              <w:jc w:val="right"/>
              <w:rPr>
                <w:rFonts w:ascii="Arial" w:hAnsi="Arial" w:cs="Arial" w:eastAsia="Arial" w:hint="default"/>
                <w:sz w:val="20"/>
                <w:szCs w:val="20"/>
              </w:rPr>
            </w:pPr>
            <w:r>
              <w:rPr>
                <w:rFonts w:ascii="Arial"/>
                <w:w w:val="95"/>
                <w:sz w:val="20"/>
              </w:rPr>
              <w:t>28,305.86</w:t>
            </w:r>
            <w:r>
              <w:rPr>
                <w:rFonts w:ascii="Arial"/>
                <w:sz w:val="20"/>
              </w:rPr>
            </w:r>
          </w:p>
        </w:tc>
      </w:tr>
      <w:tr>
        <w:trPr>
          <w:trHeight w:val="358" w:hRule="exact"/>
        </w:trPr>
        <w:tc>
          <w:tcPr>
            <w:tcW w:w="254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pacing w:val="-12"/>
                <w:sz w:val="18"/>
                <w:szCs w:val="18"/>
              </w:rPr>
              <w:t>北大荒鑫都建筑工程有限公司</w:t>
            </w:r>
            <w:r>
              <w:rPr>
                <w:rFonts w:ascii="宋体" w:hAnsi="宋体" w:cs="宋体" w:eastAsia="宋体" w:hint="default"/>
                <w:sz w:val="18"/>
                <w:szCs w:val="18"/>
              </w:rPr>
            </w:r>
          </w:p>
        </w:tc>
        <w:tc>
          <w:tcPr>
            <w:tcW w:w="94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1"/>
              <w:jc w:val="right"/>
              <w:rPr>
                <w:rFonts w:ascii="Arial" w:hAnsi="Arial" w:cs="Arial" w:eastAsia="Arial" w:hint="default"/>
                <w:sz w:val="20"/>
                <w:szCs w:val="20"/>
              </w:rPr>
            </w:pPr>
            <w:r>
              <w:rPr>
                <w:rFonts w:ascii="Arial"/>
                <w:spacing w:val="-1"/>
                <w:sz w:val="20"/>
              </w:rPr>
              <w:t>3,443.46</w:t>
            </w:r>
          </w:p>
        </w:tc>
        <w:tc>
          <w:tcPr>
            <w:tcW w:w="96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2"/>
              <w:jc w:val="right"/>
              <w:rPr>
                <w:rFonts w:ascii="Arial" w:hAnsi="Arial" w:cs="Arial" w:eastAsia="Arial" w:hint="default"/>
                <w:sz w:val="20"/>
                <w:szCs w:val="20"/>
              </w:rPr>
            </w:pPr>
            <w:r>
              <w:rPr>
                <w:rFonts w:ascii="Arial"/>
                <w:w w:val="95"/>
                <w:sz w:val="20"/>
              </w:rPr>
              <w:t>758.68</w:t>
            </w:r>
            <w:r>
              <w:rPr>
                <w:rFonts w:ascii="Arial"/>
                <w:sz w:val="20"/>
              </w:rPr>
            </w:r>
          </w:p>
        </w:tc>
        <w:tc>
          <w:tcPr>
            <w:tcW w:w="96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spacing w:val="-1"/>
                <w:sz w:val="20"/>
              </w:rPr>
              <w:t>4,202.14</w:t>
            </w:r>
          </w:p>
        </w:tc>
        <w:tc>
          <w:tcPr>
            <w:tcW w:w="9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250.92</w:t>
            </w:r>
            <w:r>
              <w:rPr>
                <w:rFonts w:ascii="Arial"/>
                <w:sz w:val="20"/>
              </w:rPr>
            </w:r>
          </w:p>
        </w:tc>
        <w:tc>
          <w:tcPr>
            <w:tcW w:w="963" w:type="dxa"/>
            <w:tcBorders>
              <w:top w:val="single" w:sz="4" w:space="0" w:color="41B7EE"/>
              <w:left w:val="single" w:sz="4" w:space="0" w:color="41B7EE"/>
              <w:bottom w:val="single" w:sz="4" w:space="0" w:color="41B7EE"/>
              <w:right w:val="single" w:sz="4" w:space="0" w:color="41B7EE"/>
            </w:tcBorders>
          </w:tcPr>
          <w:p>
            <w:pPr/>
          </w:p>
        </w:tc>
        <w:tc>
          <w:tcPr>
            <w:tcW w:w="9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250.92</w:t>
            </w:r>
            <w:r>
              <w:rPr>
                <w:rFonts w:ascii="Arial"/>
                <w:sz w:val="20"/>
              </w:rPr>
            </w:r>
          </w:p>
        </w:tc>
        <w:tc>
          <w:tcPr>
            <w:tcW w:w="9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spacing w:val="-1"/>
                <w:sz w:val="20"/>
              </w:rPr>
              <w:t>3,451.05</w:t>
            </w:r>
          </w:p>
        </w:tc>
        <w:tc>
          <w:tcPr>
            <w:tcW w:w="96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830.69</w:t>
            </w:r>
            <w:r>
              <w:rPr>
                <w:rFonts w:ascii="Arial"/>
                <w:sz w:val="20"/>
              </w:rPr>
            </w:r>
          </w:p>
        </w:tc>
        <w:tc>
          <w:tcPr>
            <w:tcW w:w="96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spacing w:val="-1"/>
                <w:sz w:val="20"/>
              </w:rPr>
              <w:t>4,281.74</w:t>
            </w:r>
          </w:p>
        </w:tc>
        <w:tc>
          <w:tcPr>
            <w:tcW w:w="96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1"/>
              <w:jc w:val="right"/>
              <w:rPr>
                <w:rFonts w:ascii="Arial" w:hAnsi="Arial" w:cs="Arial" w:eastAsia="Arial" w:hint="default"/>
                <w:sz w:val="20"/>
                <w:szCs w:val="20"/>
              </w:rPr>
            </w:pPr>
            <w:r>
              <w:rPr>
                <w:rFonts w:ascii="Arial"/>
                <w:w w:val="95"/>
                <w:sz w:val="20"/>
              </w:rPr>
              <w:t>248.78</w:t>
            </w:r>
            <w:r>
              <w:rPr>
                <w:rFonts w:ascii="Arial"/>
                <w:sz w:val="20"/>
              </w:rPr>
            </w:r>
          </w:p>
        </w:tc>
        <w:tc>
          <w:tcPr>
            <w:tcW w:w="821" w:type="dxa"/>
            <w:tcBorders>
              <w:top w:val="single" w:sz="4" w:space="0" w:color="41B7EE"/>
              <w:left w:val="single" w:sz="4" w:space="0" w:color="41B7EE"/>
              <w:bottom w:val="single" w:sz="4" w:space="0" w:color="41B7EE"/>
              <w:right w:val="single" w:sz="4" w:space="0" w:color="41B7EE"/>
            </w:tcBorders>
          </w:tcPr>
          <w:p>
            <w:pPr/>
          </w:p>
        </w:tc>
        <w:tc>
          <w:tcPr>
            <w:tcW w:w="94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5"/>
              <w:ind w:right="26"/>
              <w:jc w:val="right"/>
              <w:rPr>
                <w:rFonts w:ascii="Arial" w:hAnsi="Arial" w:cs="Arial" w:eastAsia="Arial" w:hint="default"/>
                <w:sz w:val="20"/>
                <w:szCs w:val="20"/>
              </w:rPr>
            </w:pPr>
            <w:r>
              <w:rPr>
                <w:rFonts w:ascii="Arial"/>
                <w:w w:val="95"/>
                <w:sz w:val="20"/>
              </w:rPr>
              <w:t>248.78</w:t>
            </w:r>
            <w:r>
              <w:rPr>
                <w:rFonts w:ascii="Arial"/>
                <w:sz w:val="20"/>
              </w:rPr>
            </w:r>
          </w:p>
        </w:tc>
      </w:tr>
      <w:tr>
        <w:trPr>
          <w:trHeight w:val="502" w:hRule="exact"/>
        </w:trPr>
        <w:tc>
          <w:tcPr>
            <w:tcW w:w="2549" w:type="dxa"/>
            <w:tcBorders>
              <w:top w:val="single" w:sz="4" w:space="0" w:color="41B7EE"/>
              <w:left w:val="nil" w:sz="6" w:space="0" w:color="auto"/>
              <w:bottom w:val="single" w:sz="23" w:space="0" w:color="41B7EE"/>
              <w:right w:val="single" w:sz="4" w:space="0" w:color="41B7EE"/>
            </w:tcBorders>
          </w:tcPr>
          <w:p>
            <w:pPr>
              <w:pStyle w:val="TableParagraph"/>
              <w:spacing w:line="204" w:lineRule="exact"/>
              <w:ind w:left="28" w:right="0"/>
              <w:jc w:val="left"/>
              <w:rPr>
                <w:rFonts w:ascii="宋体" w:hAnsi="宋体" w:cs="宋体" w:eastAsia="宋体" w:hint="default"/>
                <w:sz w:val="18"/>
                <w:szCs w:val="18"/>
              </w:rPr>
            </w:pPr>
            <w:r>
              <w:rPr>
                <w:rFonts w:ascii="宋体" w:hAnsi="宋体" w:cs="宋体" w:eastAsia="宋体" w:hint="default"/>
                <w:spacing w:val="-12"/>
                <w:sz w:val="18"/>
                <w:szCs w:val="18"/>
              </w:rPr>
              <w:t>黑龙江北大荒玉丰农业发展有限</w:t>
            </w:r>
            <w:r>
              <w:rPr>
                <w:rFonts w:ascii="宋体" w:hAnsi="宋体" w:cs="宋体" w:eastAsia="宋体" w:hint="default"/>
                <w:sz w:val="18"/>
                <w:szCs w:val="18"/>
              </w:rPr>
            </w:r>
          </w:p>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spacing w:val="-12"/>
                <w:sz w:val="18"/>
                <w:szCs w:val="18"/>
              </w:rPr>
              <w:t>公司</w:t>
            </w:r>
            <w:r>
              <w:rPr>
                <w:rFonts w:ascii="宋体" w:hAnsi="宋体" w:cs="宋体" w:eastAsia="宋体" w:hint="default"/>
                <w:sz w:val="18"/>
                <w:szCs w:val="18"/>
              </w:rPr>
            </w:r>
          </w:p>
        </w:tc>
        <w:tc>
          <w:tcPr>
            <w:tcW w:w="946"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115"/>
              <w:ind w:right="22"/>
              <w:jc w:val="right"/>
              <w:rPr>
                <w:rFonts w:ascii="Arial" w:hAnsi="Arial" w:cs="Arial" w:eastAsia="Arial" w:hint="default"/>
                <w:sz w:val="20"/>
                <w:szCs w:val="20"/>
              </w:rPr>
            </w:pPr>
            <w:r>
              <w:rPr>
                <w:rFonts w:ascii="Arial"/>
                <w:w w:val="95"/>
                <w:sz w:val="20"/>
              </w:rPr>
              <w:t>66.26</w:t>
            </w:r>
            <w:r>
              <w:rPr>
                <w:rFonts w:ascii="Arial"/>
                <w:sz w:val="20"/>
              </w:rPr>
            </w:r>
          </w:p>
        </w:tc>
        <w:tc>
          <w:tcPr>
            <w:tcW w:w="963"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115"/>
              <w:ind w:right="22"/>
              <w:jc w:val="right"/>
              <w:rPr>
                <w:rFonts w:ascii="Arial" w:hAnsi="Arial" w:cs="Arial" w:eastAsia="Arial" w:hint="default"/>
                <w:sz w:val="20"/>
                <w:szCs w:val="20"/>
              </w:rPr>
            </w:pPr>
            <w:r>
              <w:rPr>
                <w:rFonts w:ascii="Arial"/>
                <w:spacing w:val="-1"/>
                <w:sz w:val="20"/>
              </w:rPr>
              <w:t>6,849.35</w:t>
            </w:r>
          </w:p>
        </w:tc>
        <w:tc>
          <w:tcPr>
            <w:tcW w:w="965"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115"/>
              <w:ind w:right="24"/>
              <w:jc w:val="right"/>
              <w:rPr>
                <w:rFonts w:ascii="Arial" w:hAnsi="Arial" w:cs="Arial" w:eastAsia="Arial" w:hint="default"/>
                <w:sz w:val="20"/>
                <w:szCs w:val="20"/>
              </w:rPr>
            </w:pPr>
            <w:r>
              <w:rPr>
                <w:rFonts w:ascii="Arial"/>
                <w:spacing w:val="-1"/>
                <w:sz w:val="20"/>
              </w:rPr>
              <w:t>6,915.61</w:t>
            </w:r>
          </w:p>
        </w:tc>
        <w:tc>
          <w:tcPr>
            <w:tcW w:w="962"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115"/>
              <w:ind w:right="24"/>
              <w:jc w:val="right"/>
              <w:rPr>
                <w:rFonts w:ascii="Arial" w:hAnsi="Arial" w:cs="Arial" w:eastAsia="Arial" w:hint="default"/>
                <w:sz w:val="20"/>
                <w:szCs w:val="20"/>
              </w:rPr>
            </w:pPr>
            <w:r>
              <w:rPr>
                <w:rFonts w:ascii="Arial"/>
                <w:spacing w:val="-1"/>
                <w:sz w:val="20"/>
              </w:rPr>
              <w:t>5,316.75</w:t>
            </w:r>
          </w:p>
        </w:tc>
        <w:tc>
          <w:tcPr>
            <w:tcW w:w="963" w:type="dxa"/>
            <w:tcBorders>
              <w:top w:val="single" w:sz="4" w:space="0" w:color="41B7EE"/>
              <w:left w:val="single" w:sz="4" w:space="0" w:color="41B7EE"/>
              <w:bottom w:val="single" w:sz="23" w:space="0" w:color="41B7EE"/>
              <w:right w:val="single" w:sz="4" w:space="0" w:color="41B7EE"/>
            </w:tcBorders>
          </w:tcPr>
          <w:p>
            <w:pPr/>
          </w:p>
        </w:tc>
        <w:tc>
          <w:tcPr>
            <w:tcW w:w="962"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115"/>
              <w:ind w:right="24"/>
              <w:jc w:val="right"/>
              <w:rPr>
                <w:rFonts w:ascii="Arial" w:hAnsi="Arial" w:cs="Arial" w:eastAsia="Arial" w:hint="default"/>
                <w:sz w:val="20"/>
                <w:szCs w:val="20"/>
              </w:rPr>
            </w:pPr>
            <w:r>
              <w:rPr>
                <w:rFonts w:ascii="Arial"/>
                <w:spacing w:val="-1"/>
                <w:sz w:val="20"/>
              </w:rPr>
              <w:t>5,316.75</w:t>
            </w:r>
          </w:p>
        </w:tc>
        <w:tc>
          <w:tcPr>
            <w:tcW w:w="962"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115"/>
              <w:ind w:right="24"/>
              <w:jc w:val="right"/>
              <w:rPr>
                <w:rFonts w:ascii="Arial" w:hAnsi="Arial" w:cs="Arial" w:eastAsia="Arial" w:hint="default"/>
                <w:sz w:val="20"/>
                <w:szCs w:val="20"/>
              </w:rPr>
            </w:pPr>
            <w:r>
              <w:rPr>
                <w:rFonts w:ascii="Arial"/>
                <w:w w:val="95"/>
                <w:sz w:val="20"/>
              </w:rPr>
              <w:t>66.97</w:t>
            </w:r>
            <w:r>
              <w:rPr>
                <w:rFonts w:ascii="Arial"/>
                <w:sz w:val="20"/>
              </w:rPr>
            </w:r>
          </w:p>
        </w:tc>
        <w:tc>
          <w:tcPr>
            <w:tcW w:w="965"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115"/>
              <w:ind w:right="24"/>
              <w:jc w:val="right"/>
              <w:rPr>
                <w:rFonts w:ascii="Arial" w:hAnsi="Arial" w:cs="Arial" w:eastAsia="Arial" w:hint="default"/>
                <w:sz w:val="20"/>
                <w:szCs w:val="20"/>
              </w:rPr>
            </w:pPr>
            <w:r>
              <w:rPr>
                <w:rFonts w:ascii="Arial"/>
                <w:spacing w:val="-1"/>
                <w:sz w:val="20"/>
              </w:rPr>
              <w:t>7,102.65</w:t>
            </w:r>
          </w:p>
        </w:tc>
        <w:tc>
          <w:tcPr>
            <w:tcW w:w="963"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115"/>
              <w:ind w:right="24"/>
              <w:jc w:val="right"/>
              <w:rPr>
                <w:rFonts w:ascii="Arial" w:hAnsi="Arial" w:cs="Arial" w:eastAsia="Arial" w:hint="default"/>
                <w:sz w:val="20"/>
                <w:szCs w:val="20"/>
              </w:rPr>
            </w:pPr>
            <w:r>
              <w:rPr>
                <w:rFonts w:ascii="Arial"/>
                <w:spacing w:val="-1"/>
                <w:sz w:val="20"/>
              </w:rPr>
              <w:t>7,169.62</w:t>
            </w:r>
          </w:p>
        </w:tc>
        <w:tc>
          <w:tcPr>
            <w:tcW w:w="965"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115"/>
              <w:ind w:right="21"/>
              <w:jc w:val="right"/>
              <w:rPr>
                <w:rFonts w:ascii="Arial" w:hAnsi="Arial" w:cs="Arial" w:eastAsia="Arial" w:hint="default"/>
                <w:sz w:val="20"/>
                <w:szCs w:val="20"/>
              </w:rPr>
            </w:pPr>
            <w:r>
              <w:rPr>
                <w:rFonts w:ascii="Arial"/>
                <w:spacing w:val="-1"/>
                <w:sz w:val="20"/>
              </w:rPr>
              <w:t>5,215.84</w:t>
            </w:r>
          </w:p>
        </w:tc>
        <w:tc>
          <w:tcPr>
            <w:tcW w:w="821" w:type="dxa"/>
            <w:tcBorders>
              <w:top w:val="single" w:sz="4" w:space="0" w:color="41B7EE"/>
              <w:left w:val="single" w:sz="4" w:space="0" w:color="41B7EE"/>
              <w:bottom w:val="single" w:sz="23" w:space="0" w:color="41B7EE"/>
              <w:right w:val="single" w:sz="4" w:space="0" w:color="41B7EE"/>
            </w:tcBorders>
          </w:tcPr>
          <w:p>
            <w:pPr/>
          </w:p>
        </w:tc>
        <w:tc>
          <w:tcPr>
            <w:tcW w:w="946"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115"/>
              <w:ind w:right="26"/>
              <w:jc w:val="right"/>
              <w:rPr>
                <w:rFonts w:ascii="Arial" w:hAnsi="Arial" w:cs="Arial" w:eastAsia="Arial" w:hint="default"/>
                <w:sz w:val="20"/>
                <w:szCs w:val="20"/>
              </w:rPr>
            </w:pPr>
            <w:r>
              <w:rPr>
                <w:rFonts w:ascii="Arial"/>
                <w:spacing w:val="-1"/>
                <w:sz w:val="20"/>
              </w:rPr>
              <w:t>5,215.84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tbl>
      <w:tblPr>
        <w:tblW w:w="0" w:type="auto"/>
        <w:jc w:val="left"/>
        <w:tblInd w:w="103" w:type="dxa"/>
        <w:tblLayout w:type="fixed"/>
        <w:tblCellMar>
          <w:top w:w="0" w:type="dxa"/>
          <w:left w:w="0" w:type="dxa"/>
          <w:bottom w:w="0" w:type="dxa"/>
          <w:right w:w="0" w:type="dxa"/>
        </w:tblCellMar>
        <w:tblLook w:val="01E0"/>
      </w:tblPr>
      <w:tblGrid>
        <w:gridCol w:w="3168"/>
        <w:gridCol w:w="1153"/>
        <w:gridCol w:w="1296"/>
        <w:gridCol w:w="1440"/>
        <w:gridCol w:w="1440"/>
        <w:gridCol w:w="1296"/>
        <w:gridCol w:w="1441"/>
        <w:gridCol w:w="1440"/>
        <w:gridCol w:w="1416"/>
      </w:tblGrid>
      <w:tr>
        <w:trPr>
          <w:trHeight w:val="384" w:hRule="exact"/>
        </w:trPr>
        <w:tc>
          <w:tcPr>
            <w:tcW w:w="3168" w:type="dxa"/>
            <w:vMerge w:val="restart"/>
            <w:tcBorders>
              <w:top w:val="single" w:sz="23" w:space="0" w:color="41B7EE"/>
              <w:left w:val="nil" w:sz="6" w:space="0" w:color="auto"/>
              <w:right w:val="single" w:sz="4" w:space="0" w:color="41B7EE"/>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5329" w:type="dxa"/>
            <w:gridSpan w:val="4"/>
            <w:tcBorders>
              <w:top w:val="single" w:sz="23" w:space="0" w:color="41B7EE"/>
              <w:left w:val="single" w:sz="4" w:space="0" w:color="41B7EE"/>
              <w:bottom w:val="single" w:sz="4" w:space="0" w:color="41B7EE"/>
              <w:right w:val="single" w:sz="4" w:space="0" w:color="41B7EE"/>
            </w:tcBorders>
          </w:tcPr>
          <w:p>
            <w:pPr>
              <w:pStyle w:val="TableParagraph"/>
              <w:spacing w:line="240" w:lineRule="auto" w:before="8"/>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5593" w:type="dxa"/>
            <w:gridSpan w:val="4"/>
            <w:tcBorders>
              <w:top w:val="single" w:sz="23" w:space="0" w:color="41B7EE"/>
              <w:left w:val="single" w:sz="4" w:space="0" w:color="41B7EE"/>
              <w:bottom w:val="single" w:sz="4" w:space="0" w:color="41B7EE"/>
              <w:right w:val="nil" w:sz="6" w:space="0" w:color="auto"/>
            </w:tcBorders>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45" w:hRule="exact"/>
        </w:trPr>
        <w:tc>
          <w:tcPr>
            <w:tcW w:w="3168" w:type="dxa"/>
            <w:vMerge/>
            <w:tcBorders>
              <w:left w:val="nil" w:sz="6" w:space="0" w:color="auto"/>
              <w:bottom w:val="single" w:sz="4" w:space="0" w:color="41B7EE"/>
              <w:right w:val="single" w:sz="4" w:space="0" w:color="41B7EE"/>
            </w:tcBorders>
          </w:tcPr>
          <w:p>
            <w:pPr/>
          </w:p>
        </w:tc>
        <w:tc>
          <w:tcPr>
            <w:tcW w:w="115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2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9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37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4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175"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440" w:type="dxa"/>
            <w:tcBorders>
              <w:top w:val="single" w:sz="4" w:space="0" w:color="41B7EE"/>
              <w:left w:val="single" w:sz="4" w:space="0" w:color="41B7EE"/>
              <w:bottom w:val="single" w:sz="4" w:space="0" w:color="41B7EE"/>
              <w:right w:val="single" w:sz="4" w:space="0" w:color="41B7EE"/>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经营活动现金</w:t>
            </w:r>
          </w:p>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流量</w:t>
            </w:r>
          </w:p>
        </w:tc>
        <w:tc>
          <w:tcPr>
            <w:tcW w:w="129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28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4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44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4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175"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416" w:type="dxa"/>
            <w:tcBorders>
              <w:top w:val="single" w:sz="4" w:space="0" w:color="41B7EE"/>
              <w:left w:val="single" w:sz="4" w:space="0" w:color="41B7EE"/>
              <w:bottom w:val="single" w:sz="4" w:space="0" w:color="41B7EE"/>
              <w:right w:val="nil" w:sz="6" w:space="0" w:color="auto"/>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经营活动现金</w:t>
            </w:r>
          </w:p>
          <w:p>
            <w:pPr>
              <w:pStyle w:val="TableParagraph"/>
              <w:spacing w:line="240" w:lineRule="auto" w:before="33"/>
              <w:ind w:right="2"/>
              <w:jc w:val="center"/>
              <w:rPr>
                <w:rFonts w:ascii="宋体" w:hAnsi="宋体" w:cs="宋体" w:eastAsia="宋体" w:hint="default"/>
                <w:sz w:val="18"/>
                <w:szCs w:val="18"/>
              </w:rPr>
            </w:pPr>
            <w:r>
              <w:rPr>
                <w:rFonts w:ascii="宋体" w:hAnsi="宋体" w:cs="宋体" w:eastAsia="宋体" w:hint="default"/>
                <w:sz w:val="18"/>
                <w:szCs w:val="18"/>
              </w:rPr>
              <w:t>流量</w:t>
            </w:r>
          </w:p>
        </w:tc>
      </w:tr>
      <w:tr>
        <w:trPr>
          <w:trHeight w:val="358" w:hRule="exact"/>
        </w:trPr>
        <w:tc>
          <w:tcPr>
            <w:tcW w:w="316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黑龙江北大荒纸业有限责任公司</w:t>
            </w:r>
          </w:p>
        </w:tc>
        <w:tc>
          <w:tcPr>
            <w:tcW w:w="115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99"/>
              <w:jc w:val="right"/>
              <w:rPr>
                <w:rFonts w:ascii="Arial" w:hAnsi="Arial" w:cs="Arial" w:eastAsia="Arial" w:hint="default"/>
                <w:sz w:val="21"/>
                <w:szCs w:val="21"/>
              </w:rPr>
            </w:pPr>
            <w:r>
              <w:rPr>
                <w:rFonts w:ascii="Arial"/>
                <w:spacing w:val="-1"/>
                <w:sz w:val="21"/>
              </w:rPr>
              <w:t>5.71</w:t>
            </w:r>
          </w:p>
        </w:tc>
        <w:tc>
          <w:tcPr>
            <w:tcW w:w="129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99"/>
              <w:jc w:val="right"/>
              <w:rPr>
                <w:rFonts w:ascii="Arial" w:hAnsi="Arial" w:cs="Arial" w:eastAsia="Arial" w:hint="default"/>
                <w:sz w:val="21"/>
                <w:szCs w:val="21"/>
              </w:rPr>
            </w:pPr>
            <w:r>
              <w:rPr>
                <w:rFonts w:ascii="Arial"/>
                <w:spacing w:val="-1"/>
                <w:sz w:val="21"/>
              </w:rPr>
              <w:t>-8.31</w:t>
            </w:r>
          </w:p>
        </w:tc>
        <w:tc>
          <w:tcPr>
            <w:tcW w:w="144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99"/>
              <w:jc w:val="right"/>
              <w:rPr>
                <w:rFonts w:ascii="Arial" w:hAnsi="Arial" w:cs="Arial" w:eastAsia="Arial" w:hint="default"/>
                <w:sz w:val="21"/>
                <w:szCs w:val="21"/>
              </w:rPr>
            </w:pPr>
            <w:r>
              <w:rPr>
                <w:rFonts w:ascii="Arial"/>
                <w:spacing w:val="-1"/>
                <w:sz w:val="21"/>
              </w:rPr>
              <w:t>-8.31</w:t>
            </w:r>
          </w:p>
        </w:tc>
        <w:tc>
          <w:tcPr>
            <w:tcW w:w="144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99"/>
              <w:jc w:val="right"/>
              <w:rPr>
                <w:rFonts w:ascii="Arial" w:hAnsi="Arial" w:cs="Arial" w:eastAsia="Arial" w:hint="default"/>
                <w:sz w:val="21"/>
                <w:szCs w:val="21"/>
              </w:rPr>
            </w:pPr>
            <w:r>
              <w:rPr>
                <w:rFonts w:ascii="Arial"/>
                <w:spacing w:val="-1"/>
                <w:sz w:val="21"/>
              </w:rPr>
              <w:t>3.37</w:t>
            </w:r>
          </w:p>
        </w:tc>
        <w:tc>
          <w:tcPr>
            <w:tcW w:w="129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99"/>
              <w:jc w:val="right"/>
              <w:rPr>
                <w:rFonts w:ascii="Arial" w:hAnsi="Arial" w:cs="Arial" w:eastAsia="Arial" w:hint="default"/>
                <w:sz w:val="21"/>
                <w:szCs w:val="21"/>
              </w:rPr>
            </w:pPr>
            <w:r>
              <w:rPr>
                <w:rFonts w:ascii="Arial"/>
                <w:spacing w:val="-1"/>
                <w:sz w:val="21"/>
              </w:rPr>
              <w:t>4.38</w:t>
            </w:r>
          </w:p>
        </w:tc>
        <w:tc>
          <w:tcPr>
            <w:tcW w:w="144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99"/>
              <w:jc w:val="right"/>
              <w:rPr>
                <w:rFonts w:ascii="Arial" w:hAnsi="Arial" w:cs="Arial" w:eastAsia="Arial" w:hint="default"/>
                <w:sz w:val="21"/>
                <w:szCs w:val="21"/>
              </w:rPr>
            </w:pPr>
            <w:r>
              <w:rPr>
                <w:rFonts w:ascii="Arial"/>
                <w:spacing w:val="-1"/>
                <w:sz w:val="21"/>
              </w:rPr>
              <w:t>18.02</w:t>
            </w:r>
          </w:p>
        </w:tc>
        <w:tc>
          <w:tcPr>
            <w:tcW w:w="144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99"/>
              <w:jc w:val="right"/>
              <w:rPr>
                <w:rFonts w:ascii="Arial" w:hAnsi="Arial" w:cs="Arial" w:eastAsia="Arial" w:hint="default"/>
                <w:sz w:val="21"/>
                <w:szCs w:val="21"/>
              </w:rPr>
            </w:pPr>
            <w:r>
              <w:rPr>
                <w:rFonts w:ascii="Arial"/>
                <w:spacing w:val="-1"/>
                <w:sz w:val="21"/>
              </w:rPr>
              <w:t>18.02</w:t>
            </w:r>
          </w:p>
        </w:tc>
        <w:tc>
          <w:tcPr>
            <w:tcW w:w="141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-2.10</w:t>
            </w:r>
          </w:p>
        </w:tc>
      </w:tr>
      <w:tr>
        <w:trPr>
          <w:trHeight w:val="358" w:hRule="exact"/>
        </w:trPr>
        <w:tc>
          <w:tcPr>
            <w:tcW w:w="316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北大荒龙垦麦芽有限公司</w:t>
            </w:r>
          </w:p>
        </w:tc>
        <w:tc>
          <w:tcPr>
            <w:tcW w:w="115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99"/>
              <w:jc w:val="right"/>
              <w:rPr>
                <w:rFonts w:ascii="Arial" w:hAnsi="Arial" w:cs="Arial" w:eastAsia="Arial" w:hint="default"/>
                <w:sz w:val="21"/>
                <w:szCs w:val="21"/>
              </w:rPr>
            </w:pPr>
            <w:r>
              <w:rPr>
                <w:rFonts w:ascii="Arial"/>
                <w:sz w:val="21"/>
              </w:rPr>
              <w:t>943.94</w:t>
            </w:r>
          </w:p>
        </w:tc>
        <w:tc>
          <w:tcPr>
            <w:tcW w:w="129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98"/>
              <w:jc w:val="right"/>
              <w:rPr>
                <w:rFonts w:ascii="Arial" w:hAnsi="Arial" w:cs="Arial" w:eastAsia="Arial" w:hint="default"/>
                <w:sz w:val="21"/>
                <w:szCs w:val="21"/>
              </w:rPr>
            </w:pPr>
            <w:r>
              <w:rPr>
                <w:rFonts w:ascii="Arial"/>
                <w:spacing w:val="-1"/>
                <w:sz w:val="21"/>
              </w:rPr>
              <w:t>-3,547.47</w:t>
            </w:r>
          </w:p>
        </w:tc>
        <w:tc>
          <w:tcPr>
            <w:tcW w:w="144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98"/>
              <w:jc w:val="right"/>
              <w:rPr>
                <w:rFonts w:ascii="Arial" w:hAnsi="Arial" w:cs="Arial" w:eastAsia="Arial" w:hint="default"/>
                <w:sz w:val="21"/>
                <w:szCs w:val="21"/>
              </w:rPr>
            </w:pPr>
            <w:r>
              <w:rPr>
                <w:rFonts w:ascii="Arial"/>
                <w:spacing w:val="-1"/>
                <w:sz w:val="21"/>
              </w:rPr>
              <w:t>-3,547.47</w:t>
            </w:r>
          </w:p>
        </w:tc>
        <w:tc>
          <w:tcPr>
            <w:tcW w:w="144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98"/>
              <w:jc w:val="right"/>
              <w:rPr>
                <w:rFonts w:ascii="Arial" w:hAnsi="Arial" w:cs="Arial" w:eastAsia="Arial" w:hint="default"/>
                <w:sz w:val="21"/>
                <w:szCs w:val="21"/>
              </w:rPr>
            </w:pPr>
            <w:r>
              <w:rPr>
                <w:rFonts w:ascii="Arial"/>
                <w:spacing w:val="-1"/>
                <w:sz w:val="21"/>
              </w:rPr>
              <w:t>-359.41</w:t>
            </w:r>
          </w:p>
        </w:tc>
        <w:tc>
          <w:tcPr>
            <w:tcW w:w="129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98"/>
              <w:jc w:val="right"/>
              <w:rPr>
                <w:rFonts w:ascii="Arial" w:hAnsi="Arial" w:cs="Arial" w:eastAsia="Arial" w:hint="default"/>
                <w:sz w:val="21"/>
                <w:szCs w:val="21"/>
              </w:rPr>
            </w:pPr>
            <w:r>
              <w:rPr>
                <w:rFonts w:ascii="Arial"/>
                <w:sz w:val="21"/>
              </w:rPr>
              <w:t>925.04</w:t>
            </w:r>
          </w:p>
        </w:tc>
        <w:tc>
          <w:tcPr>
            <w:tcW w:w="144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99"/>
              <w:jc w:val="right"/>
              <w:rPr>
                <w:rFonts w:ascii="Arial" w:hAnsi="Arial" w:cs="Arial" w:eastAsia="Arial" w:hint="default"/>
                <w:sz w:val="21"/>
                <w:szCs w:val="21"/>
              </w:rPr>
            </w:pPr>
            <w:r>
              <w:rPr>
                <w:rFonts w:ascii="Arial"/>
                <w:spacing w:val="-1"/>
                <w:sz w:val="21"/>
              </w:rPr>
              <w:t>-2,326.56</w:t>
            </w:r>
          </w:p>
        </w:tc>
        <w:tc>
          <w:tcPr>
            <w:tcW w:w="144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98"/>
              <w:jc w:val="right"/>
              <w:rPr>
                <w:rFonts w:ascii="Arial" w:hAnsi="Arial" w:cs="Arial" w:eastAsia="Arial" w:hint="default"/>
                <w:sz w:val="21"/>
                <w:szCs w:val="21"/>
              </w:rPr>
            </w:pPr>
            <w:r>
              <w:rPr>
                <w:rFonts w:ascii="Arial"/>
                <w:spacing w:val="-1"/>
                <w:sz w:val="21"/>
              </w:rPr>
              <w:t>-2,326.56</w:t>
            </w:r>
          </w:p>
        </w:tc>
        <w:tc>
          <w:tcPr>
            <w:tcW w:w="141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-466.65</w:t>
            </w:r>
          </w:p>
        </w:tc>
      </w:tr>
      <w:tr>
        <w:trPr>
          <w:trHeight w:val="358" w:hRule="exact"/>
        </w:trPr>
        <w:tc>
          <w:tcPr>
            <w:tcW w:w="316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北大荒鑫都房地产开发有限公司</w:t>
            </w:r>
          </w:p>
        </w:tc>
        <w:tc>
          <w:tcPr>
            <w:tcW w:w="115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99"/>
              <w:jc w:val="right"/>
              <w:rPr>
                <w:rFonts w:ascii="Arial" w:hAnsi="Arial" w:cs="Arial" w:eastAsia="Arial" w:hint="default"/>
                <w:sz w:val="21"/>
                <w:szCs w:val="21"/>
              </w:rPr>
            </w:pPr>
            <w:r>
              <w:rPr>
                <w:rFonts w:ascii="Arial"/>
                <w:spacing w:val="-1"/>
                <w:sz w:val="21"/>
              </w:rPr>
              <w:t>1,094.28</w:t>
            </w:r>
          </w:p>
        </w:tc>
        <w:tc>
          <w:tcPr>
            <w:tcW w:w="129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98"/>
              <w:jc w:val="right"/>
              <w:rPr>
                <w:rFonts w:ascii="Arial" w:hAnsi="Arial" w:cs="Arial" w:eastAsia="Arial" w:hint="default"/>
                <w:sz w:val="21"/>
                <w:szCs w:val="21"/>
              </w:rPr>
            </w:pPr>
            <w:r>
              <w:rPr>
                <w:rFonts w:ascii="Arial"/>
                <w:sz w:val="21"/>
              </w:rPr>
              <w:t>441.06</w:t>
            </w:r>
          </w:p>
        </w:tc>
        <w:tc>
          <w:tcPr>
            <w:tcW w:w="144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98"/>
              <w:jc w:val="right"/>
              <w:rPr>
                <w:rFonts w:ascii="Arial" w:hAnsi="Arial" w:cs="Arial" w:eastAsia="Arial" w:hint="default"/>
                <w:sz w:val="21"/>
                <w:szCs w:val="21"/>
              </w:rPr>
            </w:pPr>
            <w:r>
              <w:rPr>
                <w:rFonts w:ascii="Arial"/>
                <w:sz w:val="21"/>
              </w:rPr>
              <w:t>441.06</w:t>
            </w:r>
          </w:p>
        </w:tc>
        <w:tc>
          <w:tcPr>
            <w:tcW w:w="144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98"/>
              <w:jc w:val="right"/>
              <w:rPr>
                <w:rFonts w:ascii="Arial" w:hAnsi="Arial" w:cs="Arial" w:eastAsia="Arial" w:hint="default"/>
                <w:sz w:val="21"/>
                <w:szCs w:val="21"/>
              </w:rPr>
            </w:pPr>
            <w:r>
              <w:rPr>
                <w:rFonts w:ascii="Arial"/>
                <w:sz w:val="21"/>
              </w:rPr>
              <w:t>224.21</w:t>
            </w:r>
          </w:p>
        </w:tc>
        <w:tc>
          <w:tcPr>
            <w:tcW w:w="129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98"/>
              <w:jc w:val="right"/>
              <w:rPr>
                <w:rFonts w:ascii="Arial" w:hAnsi="Arial" w:cs="Arial" w:eastAsia="Arial" w:hint="default"/>
                <w:sz w:val="21"/>
                <w:szCs w:val="21"/>
              </w:rPr>
            </w:pPr>
            <w:r>
              <w:rPr>
                <w:rFonts w:ascii="Arial"/>
                <w:spacing w:val="-1"/>
                <w:sz w:val="21"/>
              </w:rPr>
              <w:t>60,983.01</w:t>
            </w:r>
          </w:p>
        </w:tc>
        <w:tc>
          <w:tcPr>
            <w:tcW w:w="144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99"/>
              <w:jc w:val="right"/>
              <w:rPr>
                <w:rFonts w:ascii="Arial" w:hAnsi="Arial" w:cs="Arial" w:eastAsia="Arial" w:hint="default"/>
                <w:sz w:val="21"/>
                <w:szCs w:val="21"/>
              </w:rPr>
            </w:pPr>
            <w:r>
              <w:rPr>
                <w:rFonts w:ascii="Arial"/>
                <w:spacing w:val="-1"/>
                <w:sz w:val="21"/>
              </w:rPr>
              <w:t>-12,452.12</w:t>
            </w:r>
          </w:p>
        </w:tc>
        <w:tc>
          <w:tcPr>
            <w:tcW w:w="144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31"/>
              <w:ind w:right="98"/>
              <w:jc w:val="right"/>
              <w:rPr>
                <w:rFonts w:ascii="Arial" w:hAnsi="Arial" w:cs="Arial" w:eastAsia="Arial" w:hint="default"/>
                <w:sz w:val="21"/>
                <w:szCs w:val="21"/>
              </w:rPr>
            </w:pPr>
            <w:r>
              <w:rPr>
                <w:rFonts w:ascii="Arial"/>
                <w:spacing w:val="-1"/>
                <w:sz w:val="21"/>
              </w:rPr>
              <w:t>-12,452.12</w:t>
            </w:r>
          </w:p>
        </w:tc>
        <w:tc>
          <w:tcPr>
            <w:tcW w:w="141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14,547.50</w:t>
            </w:r>
          </w:p>
        </w:tc>
      </w:tr>
      <w:tr>
        <w:trPr>
          <w:trHeight w:val="355" w:hRule="exact"/>
        </w:trPr>
        <w:tc>
          <w:tcPr>
            <w:tcW w:w="316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北大荒鑫都建筑工程有限公司</w:t>
            </w:r>
          </w:p>
        </w:tc>
        <w:tc>
          <w:tcPr>
            <w:tcW w:w="1153" w:type="dxa"/>
            <w:tcBorders>
              <w:top w:val="single" w:sz="4" w:space="0" w:color="41B7EE"/>
              <w:left w:val="single" w:sz="4" w:space="0" w:color="41B7EE"/>
              <w:bottom w:val="single" w:sz="4" w:space="0" w:color="41B7EE"/>
              <w:right w:val="single" w:sz="4" w:space="0" w:color="41B7EE"/>
            </w:tcBorders>
          </w:tcPr>
          <w:p>
            <w:pPr/>
          </w:p>
        </w:tc>
        <w:tc>
          <w:tcPr>
            <w:tcW w:w="129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-81.73</w:t>
            </w:r>
          </w:p>
        </w:tc>
        <w:tc>
          <w:tcPr>
            <w:tcW w:w="144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-81.73</w:t>
            </w:r>
          </w:p>
        </w:tc>
        <w:tc>
          <w:tcPr>
            <w:tcW w:w="144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25.25</w:t>
            </w:r>
          </w:p>
        </w:tc>
        <w:tc>
          <w:tcPr>
            <w:tcW w:w="1296" w:type="dxa"/>
            <w:tcBorders>
              <w:top w:val="single" w:sz="4" w:space="0" w:color="41B7EE"/>
              <w:left w:val="single" w:sz="4" w:space="0" w:color="41B7EE"/>
              <w:bottom w:val="single" w:sz="4" w:space="0" w:color="41B7EE"/>
              <w:right w:val="single" w:sz="4" w:space="0" w:color="41B7EE"/>
            </w:tcBorders>
          </w:tcPr>
          <w:p>
            <w:pPr/>
          </w:p>
        </w:tc>
        <w:tc>
          <w:tcPr>
            <w:tcW w:w="144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-96.42</w:t>
            </w:r>
          </w:p>
        </w:tc>
        <w:tc>
          <w:tcPr>
            <w:tcW w:w="144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-96.42</w:t>
            </w:r>
          </w:p>
        </w:tc>
        <w:tc>
          <w:tcPr>
            <w:tcW w:w="141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z w:val="21"/>
              </w:rPr>
              <w:t>632.62</w:t>
            </w:r>
          </w:p>
        </w:tc>
      </w:tr>
      <w:tr>
        <w:trPr>
          <w:trHeight w:val="365" w:hRule="exact"/>
        </w:trPr>
        <w:tc>
          <w:tcPr>
            <w:tcW w:w="3168"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黑龙江北大荒玉丰农业发展有限公司</w:t>
            </w:r>
          </w:p>
        </w:tc>
        <w:tc>
          <w:tcPr>
            <w:tcW w:w="1153" w:type="dxa"/>
            <w:tcBorders>
              <w:top w:val="single" w:sz="4" w:space="0" w:color="41B7EE"/>
              <w:left w:val="single" w:sz="4" w:space="0" w:color="41B7EE"/>
              <w:bottom w:val="single" w:sz="8" w:space="0" w:color="41B7EE"/>
              <w:right w:val="single" w:sz="4" w:space="0" w:color="41B7EE"/>
            </w:tcBorders>
          </w:tcPr>
          <w:p>
            <w:pPr/>
          </w:p>
        </w:tc>
        <w:tc>
          <w:tcPr>
            <w:tcW w:w="1296"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31"/>
              <w:ind w:right="98"/>
              <w:jc w:val="right"/>
              <w:rPr>
                <w:rFonts w:ascii="Arial" w:hAnsi="Arial" w:cs="Arial" w:eastAsia="Arial" w:hint="default"/>
                <w:sz w:val="21"/>
                <w:szCs w:val="21"/>
              </w:rPr>
            </w:pPr>
            <w:r>
              <w:rPr>
                <w:rFonts w:ascii="Arial"/>
                <w:spacing w:val="-1"/>
                <w:sz w:val="21"/>
              </w:rPr>
              <w:t>-354.92</w:t>
            </w:r>
          </w:p>
        </w:tc>
        <w:tc>
          <w:tcPr>
            <w:tcW w:w="1440"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31"/>
              <w:ind w:right="98"/>
              <w:jc w:val="right"/>
              <w:rPr>
                <w:rFonts w:ascii="Arial" w:hAnsi="Arial" w:cs="Arial" w:eastAsia="Arial" w:hint="default"/>
                <w:sz w:val="21"/>
                <w:szCs w:val="21"/>
              </w:rPr>
            </w:pPr>
            <w:r>
              <w:rPr>
                <w:rFonts w:ascii="Arial"/>
                <w:spacing w:val="-1"/>
                <w:sz w:val="21"/>
              </w:rPr>
              <w:t>-354.92</w:t>
            </w:r>
          </w:p>
        </w:tc>
        <w:tc>
          <w:tcPr>
            <w:tcW w:w="1440" w:type="dxa"/>
            <w:tcBorders>
              <w:top w:val="single" w:sz="4" w:space="0" w:color="41B7EE"/>
              <w:left w:val="single" w:sz="4" w:space="0" w:color="41B7EE"/>
              <w:bottom w:val="single" w:sz="8" w:space="0" w:color="41B7EE"/>
              <w:right w:val="single" w:sz="4" w:space="0" w:color="41B7EE"/>
            </w:tcBorders>
          </w:tcPr>
          <w:p>
            <w:pPr/>
          </w:p>
        </w:tc>
        <w:tc>
          <w:tcPr>
            <w:tcW w:w="1296" w:type="dxa"/>
            <w:tcBorders>
              <w:top w:val="single" w:sz="4" w:space="0" w:color="41B7EE"/>
              <w:left w:val="single" w:sz="4" w:space="0" w:color="41B7EE"/>
              <w:bottom w:val="single" w:sz="8" w:space="0" w:color="41B7EE"/>
              <w:right w:val="single" w:sz="4" w:space="0" w:color="41B7EE"/>
            </w:tcBorders>
          </w:tcPr>
          <w:p>
            <w:pPr/>
          </w:p>
        </w:tc>
        <w:tc>
          <w:tcPr>
            <w:tcW w:w="1441"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31"/>
              <w:ind w:right="99"/>
              <w:jc w:val="right"/>
              <w:rPr>
                <w:rFonts w:ascii="Arial" w:hAnsi="Arial" w:cs="Arial" w:eastAsia="Arial" w:hint="default"/>
                <w:sz w:val="21"/>
                <w:szCs w:val="21"/>
              </w:rPr>
            </w:pPr>
            <w:r>
              <w:rPr>
                <w:rFonts w:ascii="Arial"/>
                <w:spacing w:val="-1"/>
                <w:sz w:val="21"/>
              </w:rPr>
              <w:t>-269.38</w:t>
            </w:r>
          </w:p>
        </w:tc>
        <w:tc>
          <w:tcPr>
            <w:tcW w:w="1440"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31"/>
              <w:ind w:right="98"/>
              <w:jc w:val="right"/>
              <w:rPr>
                <w:rFonts w:ascii="Arial" w:hAnsi="Arial" w:cs="Arial" w:eastAsia="Arial" w:hint="default"/>
                <w:sz w:val="21"/>
                <w:szCs w:val="21"/>
              </w:rPr>
            </w:pPr>
            <w:r>
              <w:rPr>
                <w:rFonts w:ascii="Arial"/>
                <w:spacing w:val="-1"/>
                <w:sz w:val="21"/>
              </w:rPr>
              <w:t>-269.38</w:t>
            </w:r>
          </w:p>
        </w:tc>
        <w:tc>
          <w:tcPr>
            <w:tcW w:w="1416"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-0.65</w:t>
            </w:r>
          </w:p>
        </w:tc>
      </w:tr>
    </w:tbl>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705.5pt;height:1pt;mso-position-horizontal-relative:char;mso-position-vertical-relative:line" coordorigin="0,0" coordsize="14110,20">
            <v:group style="position:absolute;left:10;top:10;width:3164;height:2" coordorigin="10,10" coordsize="3164,2">
              <v:shape style="position:absolute;left:10;top:10;width:3164;height:2" coordorigin="10,10" coordsize="3164,0" path="m10,10l3173,10e" filled="false" stroked="true" strokeweight=".95999pt" strokecolor="#41b7ee">
                <v:path arrowok="t"/>
              </v:shape>
            </v:group>
            <v:group style="position:absolute;left:3173;top:10;width:58;height:2" coordorigin="3173,10" coordsize="58,2">
              <v:shape style="position:absolute;left:3173;top:10;width:58;height:2" coordorigin="3173,10" coordsize="58,0" path="m3173,10l3231,10e" filled="false" stroked="true" strokeweight=".95999pt" strokecolor="#41b7ee">
                <v:path arrowok="t"/>
              </v:shape>
            </v:group>
            <v:group style="position:absolute;left:3231;top:10;width:1095;height:2" coordorigin="3231,10" coordsize="1095,2">
              <v:shape style="position:absolute;left:3231;top:10;width:1095;height:2" coordorigin="3231,10" coordsize="1095,0" path="m3231,10l4326,10e" filled="false" stroked="true" strokeweight=".95999pt" strokecolor="#41b7ee">
                <v:path arrowok="t"/>
              </v:shape>
            </v:group>
            <v:group style="position:absolute;left:4326;top:10;width:58;height:2" coordorigin="4326,10" coordsize="58,2">
              <v:shape style="position:absolute;left:4326;top:10;width:58;height:2" coordorigin="4326,10" coordsize="58,0" path="m4326,10l4383,10e" filled="false" stroked="true" strokeweight=".95999pt" strokecolor="#41b7ee">
                <v:path arrowok="t"/>
              </v:shape>
            </v:group>
            <v:group style="position:absolute;left:4383;top:10;width:1239;height:2" coordorigin="4383,10" coordsize="1239,2">
              <v:shape style="position:absolute;left:4383;top:10;width:1239;height:2" coordorigin="4383,10" coordsize="1239,0" path="m4383,10l5622,10e" filled="false" stroked="true" strokeweight=".95999pt" strokecolor="#41b7ee">
                <v:path arrowok="t"/>
              </v:shape>
            </v:group>
            <v:group style="position:absolute;left:5622;top:10;width:58;height:2" coordorigin="5622,10" coordsize="58,2">
              <v:shape style="position:absolute;left:5622;top:10;width:58;height:2" coordorigin="5622,10" coordsize="58,0" path="m5622,10l5679,10e" filled="false" stroked="true" strokeweight=".95999pt" strokecolor="#41b7ee">
                <v:path arrowok="t"/>
              </v:shape>
            </v:group>
            <v:group style="position:absolute;left:5679;top:10;width:1383;height:2" coordorigin="5679,10" coordsize="1383,2">
              <v:shape style="position:absolute;left:5679;top:10;width:1383;height:2" coordorigin="5679,10" coordsize="1383,0" path="m5679,10l7062,10e" filled="false" stroked="true" strokeweight=".95999pt" strokecolor="#41b7ee">
                <v:path arrowok="t"/>
              </v:shape>
            </v:group>
            <v:group style="position:absolute;left:7062;top:10;width:58;height:2" coordorigin="7062,10" coordsize="58,2">
              <v:shape style="position:absolute;left:7062;top:10;width:58;height:2" coordorigin="7062,10" coordsize="58,0" path="m7062,10l7119,10e" filled="false" stroked="true" strokeweight=".95999pt" strokecolor="#41b7ee">
                <v:path arrowok="t"/>
              </v:shape>
            </v:group>
            <v:group style="position:absolute;left:7119;top:10;width:1383;height:2" coordorigin="7119,10" coordsize="1383,2">
              <v:shape style="position:absolute;left:7119;top:10;width:1383;height:2" coordorigin="7119,10" coordsize="1383,0" path="m7119,10l8502,10e" filled="false" stroked="true" strokeweight=".95999pt" strokecolor="#41b7ee">
                <v:path arrowok="t"/>
              </v:shape>
            </v:group>
            <v:group style="position:absolute;left:8502;top:10;width:58;height:2" coordorigin="8502,10" coordsize="58,2">
              <v:shape style="position:absolute;left:8502;top:10;width:58;height:2" coordorigin="8502,10" coordsize="58,0" path="m8502,10l8560,10e" filled="false" stroked="true" strokeweight=".95999pt" strokecolor="#41b7ee">
                <v:path arrowok="t"/>
              </v:shape>
            </v:group>
            <v:group style="position:absolute;left:8560;top:10;width:1239;height:2" coordorigin="8560,10" coordsize="1239,2">
              <v:shape style="position:absolute;left:8560;top:10;width:1239;height:2" coordorigin="8560,10" coordsize="1239,0" path="m8560,10l9798,10e" filled="false" stroked="true" strokeweight=".95999pt" strokecolor="#41b7ee">
                <v:path arrowok="t"/>
              </v:shape>
            </v:group>
            <v:group style="position:absolute;left:9798;top:10;width:58;height:2" coordorigin="9798,10" coordsize="58,2">
              <v:shape style="position:absolute;left:9798;top:10;width:58;height:2" coordorigin="9798,10" coordsize="58,0" path="m9798,10l9856,10e" filled="false" stroked="true" strokeweight=".95999pt" strokecolor="#41b7ee">
                <v:path arrowok="t"/>
              </v:shape>
            </v:group>
            <v:group style="position:absolute;left:9856;top:10;width:1383;height:2" coordorigin="9856,10" coordsize="1383,2">
              <v:shape style="position:absolute;left:9856;top:10;width:1383;height:2" coordorigin="9856,10" coordsize="1383,0" path="m9856,10l11239,10e" filled="false" stroked="true" strokeweight=".95999pt" strokecolor="#41b7ee">
                <v:path arrowok="t"/>
              </v:shape>
            </v:group>
            <v:group style="position:absolute;left:11239;top:10;width:58;height:2" coordorigin="11239,10" coordsize="58,2">
              <v:shape style="position:absolute;left:11239;top:10;width:58;height:2" coordorigin="11239,10" coordsize="58,0" path="m11239,10l11296,10e" filled="false" stroked="true" strokeweight=".95999pt" strokecolor="#41b7ee">
                <v:path arrowok="t"/>
              </v:shape>
            </v:group>
            <v:group style="position:absolute;left:11296;top:10;width:1383;height:2" coordorigin="11296,10" coordsize="1383,2">
              <v:shape style="position:absolute;left:11296;top:10;width:1383;height:2" coordorigin="11296,10" coordsize="1383,0" path="m11296,10l12679,10e" filled="false" stroked="true" strokeweight=".95999pt" strokecolor="#41b7ee">
                <v:path arrowok="t"/>
              </v:shape>
            </v:group>
            <v:group style="position:absolute;left:12679;top:10;width:58;height:2" coordorigin="12679,10" coordsize="58,2">
              <v:shape style="position:absolute;left:12679;top:10;width:58;height:2" coordorigin="12679,10" coordsize="58,0" path="m12679,10l12736,10e" filled="false" stroked="true" strokeweight=".95999pt" strokecolor="#41b7ee">
                <v:path arrowok="t"/>
              </v:shape>
            </v:group>
            <v:group style="position:absolute;left:12736;top:10;width:1364;height:2" coordorigin="12736,10" coordsize="1364,2">
              <v:shape style="position:absolute;left:12736;top:10;width:1364;height:2" coordorigin="12736,10" coordsize="1364,0" path="m12736,10l14100,10e" filled="false" stroked="true" strokeweight=".95999pt" strokecolor="#41b7ee">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0"/>
        <w:ind w:left="6806" w:right="6850" w:firstLine="0"/>
        <w:jc w:val="center"/>
        <w:rPr>
          <w:rFonts w:ascii="Calibri" w:hAnsi="Calibri" w:cs="Calibri" w:eastAsia="Calibri" w:hint="default"/>
          <w:sz w:val="18"/>
          <w:szCs w:val="18"/>
        </w:rPr>
      </w:pPr>
      <w:r>
        <w:rPr>
          <w:rFonts w:ascii="Calibri"/>
          <w:b/>
          <w:sz w:val="18"/>
        </w:rPr>
        <w:t>151 </w:t>
      </w:r>
      <w:r>
        <w:rPr>
          <w:rFonts w:ascii="Calibri"/>
          <w:sz w:val="18"/>
        </w:rPr>
        <w:t>/</w:t>
      </w:r>
      <w:r>
        <w:rPr>
          <w:rFonts w:ascii="Calibri"/>
          <w:spacing w:val="-5"/>
          <w:sz w:val="18"/>
        </w:rPr>
        <w:t> </w:t>
      </w:r>
      <w:r>
        <w:rPr>
          <w:rFonts w:ascii="Calibri"/>
          <w:b/>
          <w:sz w:val="18"/>
        </w:rPr>
        <w:t>173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360" w:bottom="1380" w:left="1200" w:right="1240"/>
        </w:sectPr>
      </w:pPr>
    </w:p>
    <w:p>
      <w:pPr>
        <w:pStyle w:val="Heading2"/>
        <w:spacing w:line="240" w:lineRule="auto" w:before="119"/>
        <w:ind w:left="178" w:right="0"/>
        <w:jc w:val="left"/>
        <w:rPr>
          <w:rFonts w:ascii="宋体" w:hAnsi="宋体" w:cs="宋体" w:eastAsia="宋体" w:hint="default"/>
          <w:b w:val="0"/>
          <w:bCs w:val="0"/>
        </w:rPr>
      </w:pPr>
      <w:r>
        <w:rPr>
          <w:rFonts w:ascii="宋体" w:hAnsi="宋体" w:cs="宋体" w:eastAsia="宋体" w:hint="default"/>
        </w:rPr>
        <w:t>(4).</w:t>
      </w:r>
      <w:r>
        <w:rPr/>
        <w:t>使用企业集团资产和清偿企业集团债务的重大限制</w:t>
      </w:r>
      <w:r>
        <w:rPr>
          <w:rFonts w:ascii="宋体" w:hAnsi="宋体" w:cs="宋体" w:eastAsia="宋体" w:hint="default"/>
          <w:w w:val="99"/>
        </w:rPr>
        <w:t> </w:t>
      </w:r>
      <w:r>
        <w:rPr>
          <w:rFonts w:ascii="宋体" w:hAnsi="宋体" w:cs="宋体" w:eastAsia="宋体" w:hint="default"/>
          <w:b w:val="0"/>
          <w:bCs w:val="0"/>
        </w:rPr>
      </w:r>
    </w:p>
    <w:p>
      <w:pPr>
        <w:spacing w:line="290" w:lineRule="auto" w:before="59"/>
        <w:ind w:left="17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b/>
          <w:bCs/>
          <w:w w:val="99"/>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向纳入合并财务报表范围的结构化主体提供的财务支持或其他支持</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17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left="17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子公司的所有者权益份额发生变化且仍控制子公司的交易</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left="178" w:right="0"/>
        <w:jc w:val="left"/>
        <w:rPr>
          <w:rFonts w:ascii="宋体" w:hAnsi="宋体" w:cs="宋体" w:eastAsia="宋体" w:hint="default"/>
          <w:b w:val="0"/>
          <w:bCs w:val="0"/>
        </w:rPr>
      </w:pPr>
      <w:r>
        <w:rPr>
          <w:rFonts w:ascii="宋体" w:hAnsi="宋体" w:cs="宋体" w:eastAsia="宋体" w:hint="default"/>
        </w:rPr>
        <w:t>3</w:t>
      </w:r>
      <w:r>
        <w:rPr/>
        <w:t>、</w:t>
      </w:r>
      <w:r>
        <w:rPr>
          <w:spacing w:val="-4"/>
        </w:rPr>
        <w:t> </w:t>
      </w:r>
      <w:r>
        <w:rPr/>
        <w:t>在合营企业或联营企业中的权益</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178" w:right="213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17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left="4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83"/>
          <w:footerReference w:type="default" r:id="rId84"/>
          <w:pgSz w:w="11910" w:h="16840"/>
          <w:pgMar w:header="826" w:footer="0" w:top="1360" w:bottom="280" w:left="1620" w:right="1060"/>
          <w:cols w:num="2" w:equalWidth="0">
            <w:col w:w="6823" w:space="40"/>
            <w:col w:w="2367"/>
          </w:cols>
        </w:sectPr>
      </w:pPr>
    </w:p>
    <w:p>
      <w:pPr>
        <w:spacing w:line="240" w:lineRule="auto" w:before="7"/>
        <w:rPr>
          <w:rFonts w:ascii="宋体" w:hAnsi="宋体" w:cs="宋体" w:eastAsia="宋体" w:hint="default"/>
          <w:sz w:val="2"/>
          <w:szCs w:val="2"/>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48.4pt;height:1pt;mso-position-horizontal-relative:char;mso-position-vertical-relative:line" coordorigin="0,0" coordsize="8968,20">
            <v:group style="position:absolute;left:10;top:10;width:2715;height:2" coordorigin="10,10" coordsize="2715,2">
              <v:shape style="position:absolute;left:10;top:10;width:2715;height:2" coordorigin="10,10" coordsize="2715,0" path="m10,10l2724,10e" filled="false" stroked="true" strokeweight=".95999pt" strokecolor="#41b7ee">
                <v:path arrowok="t"/>
              </v:shape>
            </v:group>
            <v:group style="position:absolute;left:2725;top:10;width:58;height:2" coordorigin="2725,10" coordsize="58,2">
              <v:shape style="position:absolute;left:2725;top:10;width:58;height:2" coordorigin="2725,10" coordsize="58,0" path="m2725,10l2782,10e" filled="false" stroked="true" strokeweight=".95999pt" strokecolor="#41b7ee">
                <v:path arrowok="t"/>
              </v:shape>
            </v:group>
            <v:group style="position:absolute;left:2782;top:10;width:792;height:2" coordorigin="2782,10" coordsize="792,2">
              <v:shape style="position:absolute;left:2782;top:10;width:792;height:2" coordorigin="2782,10" coordsize="792,0" path="m2782,10l3574,10e" filled="false" stroked="true" strokeweight=".95999pt" strokecolor="#41b7ee">
                <v:path arrowok="t"/>
              </v:shape>
            </v:group>
            <v:group style="position:absolute;left:3574;top:10;width:58;height:2" coordorigin="3574,10" coordsize="58,2">
              <v:shape style="position:absolute;left:3574;top:10;width:58;height:2" coordorigin="3574,10" coordsize="58,0" path="m3574,10l3632,10e" filled="false" stroked="true" strokeweight=".95999pt" strokecolor="#41b7ee">
                <v:path arrowok="t"/>
              </v:shape>
            </v:group>
            <v:group style="position:absolute;left:3632;top:10;width:792;height:2" coordorigin="3632,10" coordsize="792,2">
              <v:shape style="position:absolute;left:3632;top:10;width:792;height:2" coordorigin="3632,10" coordsize="792,0" path="m3632,10l4424,10e" filled="false" stroked="true" strokeweight=".95999pt" strokecolor="#41b7ee">
                <v:path arrowok="t"/>
              </v:shape>
            </v:group>
            <v:group style="position:absolute;left:4424;top:10;width:58;height:2" coordorigin="4424,10" coordsize="58,2">
              <v:shape style="position:absolute;left:4424;top:10;width:58;height:2" coordorigin="4424,10" coordsize="58,0" path="m4424,10l4481,10e" filled="false" stroked="true" strokeweight=".95999pt" strokecolor="#41b7ee">
                <v:path arrowok="t"/>
              </v:shape>
            </v:group>
            <v:group style="position:absolute;left:4481;top:10;width:1794;height:2" coordorigin="4481,10" coordsize="1794,2">
              <v:shape style="position:absolute;left:4481;top:10;width:1794;height:2" coordorigin="4481,10" coordsize="1794,0" path="m4481,10l6275,10e" filled="false" stroked="true" strokeweight=".95999pt" strokecolor="#41b7ee">
                <v:path arrowok="t"/>
              </v:shape>
            </v:group>
            <v:group style="position:absolute;left:6275;top:10;width:58;height:2" coordorigin="6275,10" coordsize="58,2">
              <v:shape style="position:absolute;left:6275;top:10;width:58;height:2" coordorigin="6275,10" coordsize="58,0" path="m6275,10l6332,10e" filled="false" stroked="true" strokeweight=".95999pt" strokecolor="#41b7ee">
                <v:path arrowok="t"/>
              </v:shape>
            </v:group>
            <v:group style="position:absolute;left:6332;top:10;width:1158;height:2" coordorigin="6332,10" coordsize="1158,2">
              <v:shape style="position:absolute;left:6332;top:10;width:1158;height:2" coordorigin="6332,10" coordsize="1158,0" path="m6332,10l7489,10e" filled="false" stroked="true" strokeweight=".95999pt" strokecolor="#41b7ee">
                <v:path arrowok="t"/>
              </v:shape>
            </v:group>
            <v:group style="position:absolute;left:7490;top:10;width:58;height:2" coordorigin="7490,10" coordsize="58,2">
              <v:shape style="position:absolute;left:7490;top:10;width:58;height:2" coordorigin="7490,10" coordsize="58,0" path="m7490,10l7547,10e" filled="false" stroked="true" strokeweight=".95999pt" strokecolor="#41b7ee">
                <v:path arrowok="t"/>
              </v:shape>
            </v:group>
            <v:group style="position:absolute;left:7547;top:10;width:1412;height:2" coordorigin="7547,10" coordsize="1412,2">
              <v:shape style="position:absolute;left:7547;top:10;width:1412;height:2" coordorigin="7547,10" coordsize="1412,0" path="m7547,10l8958,10e" filled="false" stroked="true" strokeweight=".95999pt" strokecolor="#41b7ee">
                <v:path arrowok="t"/>
              </v:shape>
            </v:group>
          </v:group>
        </w:pict>
      </w:r>
      <w:r>
        <w:rPr>
          <w:rFonts w:ascii="宋体" w:hAnsi="宋体" w:cs="宋体" w:eastAsia="宋体" w:hint="default"/>
          <w:sz w:val="2"/>
          <w:szCs w:val="2"/>
        </w:rPr>
      </w:r>
    </w:p>
    <w:tbl>
      <w:tblPr>
        <w:tblW w:w="0" w:type="auto"/>
        <w:jc w:val="left"/>
        <w:tblInd w:w="110" w:type="dxa"/>
        <w:tblLayout w:type="fixed"/>
        <w:tblCellMar>
          <w:top w:w="0" w:type="dxa"/>
          <w:left w:w="0" w:type="dxa"/>
          <w:bottom w:w="0" w:type="dxa"/>
          <w:right w:w="0" w:type="dxa"/>
        </w:tblCellMar>
        <w:tblLook w:val="01E0"/>
      </w:tblPr>
      <w:tblGrid>
        <w:gridCol w:w="2720"/>
        <w:gridCol w:w="850"/>
        <w:gridCol w:w="850"/>
        <w:gridCol w:w="1851"/>
        <w:gridCol w:w="648"/>
        <w:gridCol w:w="567"/>
        <w:gridCol w:w="1464"/>
      </w:tblGrid>
      <w:tr>
        <w:trPr>
          <w:trHeight w:val="562" w:hRule="exact"/>
        </w:trPr>
        <w:tc>
          <w:tcPr>
            <w:tcW w:w="2720" w:type="dxa"/>
            <w:vMerge w:val="restart"/>
            <w:tcBorders>
              <w:top w:val="single" w:sz="8" w:space="0" w:color="41B7EE"/>
              <w:left w:val="nil" w:sz="6" w:space="0" w:color="auto"/>
              <w:right w:val="single" w:sz="4" w:space="0" w:color="41B7EE"/>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04" w:right="0"/>
              <w:jc w:val="left"/>
              <w:rPr>
                <w:rFonts w:ascii="宋体" w:hAnsi="宋体" w:cs="宋体" w:eastAsia="宋体" w:hint="default"/>
                <w:sz w:val="21"/>
                <w:szCs w:val="21"/>
              </w:rPr>
            </w:pPr>
            <w:r>
              <w:rPr>
                <w:rFonts w:ascii="宋体" w:hAnsi="宋体" w:cs="宋体" w:eastAsia="宋体" w:hint="default"/>
                <w:sz w:val="21"/>
                <w:szCs w:val="21"/>
              </w:rPr>
              <w:t>合营企业或联营企业名称</w:t>
            </w:r>
            <w:r>
              <w:rPr>
                <w:rFonts w:ascii="宋体" w:hAnsi="宋体" w:cs="宋体" w:eastAsia="宋体" w:hint="default"/>
                <w:sz w:val="21"/>
                <w:szCs w:val="21"/>
              </w:rPr>
              <w:t> </w:t>
            </w:r>
          </w:p>
        </w:tc>
        <w:tc>
          <w:tcPr>
            <w:tcW w:w="850" w:type="dxa"/>
            <w:vMerge w:val="restart"/>
            <w:tcBorders>
              <w:top w:val="single" w:sz="8" w:space="0" w:color="41B7EE"/>
              <w:left w:val="single" w:sz="4" w:space="0" w:color="41B7EE"/>
              <w:right w:val="single" w:sz="4" w:space="0" w:color="41B7EE"/>
            </w:tcBorders>
          </w:tcPr>
          <w:p>
            <w:pPr>
              <w:pStyle w:val="TableParagraph"/>
              <w:spacing w:line="240" w:lineRule="auto" w:before="146"/>
              <w:ind w:left="103" w:right="-1" w:firstLine="105"/>
              <w:jc w:val="left"/>
              <w:rPr>
                <w:rFonts w:ascii="宋体" w:hAnsi="宋体" w:cs="宋体" w:eastAsia="宋体" w:hint="default"/>
                <w:sz w:val="21"/>
                <w:szCs w:val="21"/>
              </w:rPr>
            </w:pPr>
            <w:r>
              <w:rPr>
                <w:rFonts w:ascii="宋体" w:hAnsi="宋体" w:cs="宋体" w:eastAsia="宋体" w:hint="default"/>
                <w:sz w:val="21"/>
                <w:szCs w:val="21"/>
              </w:rPr>
              <w:t>主要</w:t>
            </w:r>
            <w:r>
              <w:rPr>
                <w:rFonts w:ascii="宋体" w:hAnsi="宋体" w:cs="宋体" w:eastAsia="宋体" w:hint="default"/>
                <w:w w:val="100"/>
                <w:sz w:val="21"/>
                <w:szCs w:val="21"/>
              </w:rPr>
              <w:t> </w:t>
            </w:r>
            <w:r>
              <w:rPr>
                <w:rFonts w:ascii="宋体" w:hAnsi="宋体" w:cs="宋体" w:eastAsia="宋体" w:hint="default"/>
                <w:sz w:val="21"/>
                <w:szCs w:val="21"/>
              </w:rPr>
              <w:t>经营地</w:t>
            </w:r>
            <w:r>
              <w:rPr>
                <w:rFonts w:ascii="宋体" w:hAnsi="宋体" w:cs="宋体" w:eastAsia="宋体" w:hint="default"/>
                <w:sz w:val="21"/>
                <w:szCs w:val="21"/>
              </w:rPr>
              <w:t> </w:t>
            </w:r>
          </w:p>
        </w:tc>
        <w:tc>
          <w:tcPr>
            <w:tcW w:w="850" w:type="dxa"/>
            <w:vMerge w:val="restart"/>
            <w:tcBorders>
              <w:top w:val="single" w:sz="8" w:space="0" w:color="41B7EE"/>
              <w:left w:val="single" w:sz="4" w:space="0" w:color="41B7EE"/>
              <w:right w:val="single" w:sz="4" w:space="0" w:color="41B7EE"/>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1"/>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851" w:type="dxa"/>
            <w:vMerge w:val="restart"/>
            <w:tcBorders>
              <w:top w:val="single" w:sz="8" w:space="0" w:color="41B7EE"/>
              <w:left w:val="single" w:sz="4" w:space="0" w:color="41B7EE"/>
              <w:right w:val="single" w:sz="4" w:space="0" w:color="41B7EE"/>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99"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1215" w:type="dxa"/>
            <w:gridSpan w:val="2"/>
            <w:tcBorders>
              <w:top w:val="single" w:sz="8" w:space="0" w:color="41B7EE"/>
              <w:left w:val="single" w:sz="4" w:space="0" w:color="41B7EE"/>
              <w:bottom w:val="single" w:sz="4" w:space="0" w:color="41B7EE"/>
              <w:right w:val="single" w:sz="4" w:space="0" w:color="41B7EE"/>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464" w:type="dxa"/>
            <w:vMerge w:val="restart"/>
            <w:tcBorders>
              <w:top w:val="single" w:sz="8" w:space="0" w:color="41B7EE"/>
              <w:left w:val="single" w:sz="4" w:space="0" w:color="41B7EE"/>
              <w:right w:val="nil" w:sz="6" w:space="0" w:color="auto"/>
            </w:tcBorders>
          </w:tcPr>
          <w:p>
            <w:pPr>
              <w:pStyle w:val="TableParagraph"/>
              <w:spacing w:line="232" w:lineRule="exact" w:before="98"/>
              <w:ind w:left="98" w:right="98"/>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r>
              <w:rPr>
                <w:rFonts w:ascii="宋体" w:hAnsi="宋体" w:cs="宋体" w:eastAsia="宋体" w:hint="default"/>
                <w:sz w:val="18"/>
                <w:szCs w:val="18"/>
              </w:rPr>
              <w:t> </w:t>
            </w:r>
          </w:p>
        </w:tc>
      </w:tr>
      <w:tr>
        <w:trPr>
          <w:trHeight w:val="355" w:hRule="exact"/>
        </w:trPr>
        <w:tc>
          <w:tcPr>
            <w:tcW w:w="2720" w:type="dxa"/>
            <w:vMerge/>
            <w:tcBorders>
              <w:left w:val="nil" w:sz="6" w:space="0" w:color="auto"/>
              <w:bottom w:val="single" w:sz="4" w:space="0" w:color="41B7EE"/>
              <w:right w:val="single" w:sz="4" w:space="0" w:color="41B7EE"/>
            </w:tcBorders>
          </w:tcPr>
          <w:p>
            <w:pPr/>
          </w:p>
        </w:tc>
        <w:tc>
          <w:tcPr>
            <w:tcW w:w="850" w:type="dxa"/>
            <w:vMerge/>
            <w:tcBorders>
              <w:left w:val="single" w:sz="4" w:space="0" w:color="41B7EE"/>
              <w:bottom w:val="single" w:sz="4" w:space="0" w:color="41B7EE"/>
              <w:right w:val="single" w:sz="4" w:space="0" w:color="41B7EE"/>
            </w:tcBorders>
          </w:tcPr>
          <w:p>
            <w:pPr/>
          </w:p>
        </w:tc>
        <w:tc>
          <w:tcPr>
            <w:tcW w:w="850" w:type="dxa"/>
            <w:vMerge/>
            <w:tcBorders>
              <w:left w:val="single" w:sz="4" w:space="0" w:color="41B7EE"/>
              <w:bottom w:val="single" w:sz="4" w:space="0" w:color="41B7EE"/>
              <w:right w:val="single" w:sz="4" w:space="0" w:color="41B7EE"/>
            </w:tcBorders>
          </w:tcPr>
          <w:p>
            <w:pPr/>
          </w:p>
        </w:tc>
        <w:tc>
          <w:tcPr>
            <w:tcW w:w="1851" w:type="dxa"/>
            <w:vMerge/>
            <w:tcBorders>
              <w:left w:val="single" w:sz="4" w:space="0" w:color="41B7EE"/>
              <w:bottom w:val="single" w:sz="4" w:space="0" w:color="41B7EE"/>
              <w:right w:val="single" w:sz="4" w:space="0" w:color="41B7EE"/>
            </w:tcBorders>
          </w:tcPr>
          <w:p>
            <w:pPr/>
          </w:p>
        </w:tc>
        <w:tc>
          <w:tcPr>
            <w:tcW w:w="64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right="5"/>
              <w:jc w:val="right"/>
              <w:rPr>
                <w:rFonts w:ascii="宋体" w:hAnsi="宋体" w:cs="宋体" w:eastAsia="宋体" w:hint="default"/>
                <w:sz w:val="21"/>
                <w:szCs w:val="21"/>
              </w:rPr>
            </w:pPr>
            <w:r>
              <w:rPr>
                <w:rFonts w:ascii="宋体" w:hAnsi="宋体" w:cs="宋体" w:eastAsia="宋体" w:hint="default"/>
                <w:spacing w:val="-2"/>
                <w:sz w:val="21"/>
                <w:szCs w:val="21"/>
              </w:rPr>
              <w:t>直接</w:t>
            </w:r>
            <w:r>
              <w:rPr>
                <w:rFonts w:ascii="宋体" w:hAnsi="宋体" w:cs="宋体" w:eastAsia="宋体" w:hint="default"/>
                <w:sz w:val="21"/>
                <w:szCs w:val="21"/>
              </w:rPr>
              <w:t> </w:t>
            </w:r>
          </w:p>
        </w:tc>
        <w:tc>
          <w:tcPr>
            <w:tcW w:w="5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67" w:right="-37"/>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464" w:type="dxa"/>
            <w:vMerge/>
            <w:tcBorders>
              <w:left w:val="single" w:sz="4" w:space="0" w:color="41B7EE"/>
              <w:bottom w:val="single" w:sz="4" w:space="0" w:color="41B7EE"/>
              <w:right w:val="nil" w:sz="6" w:space="0" w:color="auto"/>
            </w:tcBorders>
          </w:tcPr>
          <w:p>
            <w:pPr/>
          </w:p>
        </w:tc>
      </w:tr>
      <w:tr>
        <w:trPr>
          <w:trHeight w:val="554" w:hRule="exact"/>
        </w:trPr>
        <w:tc>
          <w:tcPr>
            <w:tcW w:w="2720" w:type="dxa"/>
            <w:tcBorders>
              <w:top w:val="single" w:sz="4" w:space="0" w:color="41B7EE"/>
              <w:left w:val="nil" w:sz="6" w:space="0" w:color="auto"/>
              <w:bottom w:val="single" w:sz="4" w:space="0" w:color="41B7EE"/>
              <w:right w:val="single" w:sz="4" w:space="0" w:color="41B7EE"/>
            </w:tcBorders>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z w:val="21"/>
                <w:szCs w:val="21"/>
              </w:rPr>
              <w:t>黑龙江北大荒全利选煤有限</w:t>
            </w:r>
          </w:p>
          <w:p>
            <w:pPr>
              <w:pStyle w:val="TableParagraph"/>
              <w:spacing w:line="273" w:lineRule="exact"/>
              <w:ind w:left="57"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85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50" w:right="0"/>
              <w:jc w:val="left"/>
              <w:rPr>
                <w:rFonts w:ascii="宋体" w:hAnsi="宋体" w:cs="宋体" w:eastAsia="宋体" w:hint="default"/>
                <w:sz w:val="21"/>
                <w:szCs w:val="21"/>
              </w:rPr>
            </w:pPr>
            <w:r>
              <w:rPr>
                <w:rFonts w:ascii="宋体" w:hAnsi="宋体" w:cs="宋体" w:eastAsia="宋体" w:hint="default"/>
                <w:sz w:val="21"/>
                <w:szCs w:val="21"/>
              </w:rPr>
              <w:t>鹤岗市</w:t>
            </w:r>
            <w:r>
              <w:rPr>
                <w:rFonts w:ascii="宋体" w:hAnsi="宋体" w:cs="宋体" w:eastAsia="宋体" w:hint="default"/>
                <w:sz w:val="21"/>
                <w:szCs w:val="21"/>
              </w:rPr>
              <w:t> </w:t>
            </w:r>
          </w:p>
        </w:tc>
        <w:tc>
          <w:tcPr>
            <w:tcW w:w="85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50" w:right="0"/>
              <w:jc w:val="left"/>
              <w:rPr>
                <w:rFonts w:ascii="宋体" w:hAnsi="宋体" w:cs="宋体" w:eastAsia="宋体" w:hint="default"/>
                <w:sz w:val="21"/>
                <w:szCs w:val="21"/>
              </w:rPr>
            </w:pPr>
            <w:r>
              <w:rPr>
                <w:rFonts w:ascii="宋体" w:hAnsi="宋体" w:cs="宋体" w:eastAsia="宋体" w:hint="default"/>
                <w:sz w:val="21"/>
                <w:szCs w:val="21"/>
              </w:rPr>
              <w:t>鹤岗市</w:t>
            </w:r>
            <w:r>
              <w:rPr>
                <w:rFonts w:ascii="宋体" w:hAnsi="宋体" w:cs="宋体" w:eastAsia="宋体" w:hint="default"/>
                <w:sz w:val="21"/>
                <w:szCs w:val="21"/>
              </w:rPr>
              <w:t> </w:t>
            </w:r>
          </w:p>
        </w:tc>
        <w:tc>
          <w:tcPr>
            <w:tcW w:w="185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52" w:right="0"/>
              <w:jc w:val="left"/>
              <w:rPr>
                <w:rFonts w:ascii="宋体" w:hAnsi="宋体" w:cs="宋体" w:eastAsia="宋体" w:hint="default"/>
                <w:sz w:val="21"/>
                <w:szCs w:val="21"/>
              </w:rPr>
            </w:pPr>
            <w:r>
              <w:rPr>
                <w:rFonts w:ascii="宋体" w:hAnsi="宋体" w:cs="宋体" w:eastAsia="宋体" w:hint="default"/>
                <w:sz w:val="21"/>
                <w:szCs w:val="21"/>
              </w:rPr>
              <w:t>煤炭贸易</w:t>
            </w:r>
            <w:r>
              <w:rPr>
                <w:rFonts w:ascii="宋体" w:hAnsi="宋体" w:cs="宋体" w:eastAsia="宋体" w:hint="default"/>
                <w:sz w:val="21"/>
                <w:szCs w:val="21"/>
              </w:rPr>
              <w:t> </w:t>
            </w:r>
          </w:p>
        </w:tc>
        <w:tc>
          <w:tcPr>
            <w:tcW w:w="64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51"/>
              <w:jc w:val="right"/>
              <w:rPr>
                <w:rFonts w:ascii="Arial" w:hAnsi="Arial" w:cs="Arial" w:eastAsia="Arial" w:hint="default"/>
                <w:sz w:val="21"/>
                <w:szCs w:val="21"/>
              </w:rPr>
            </w:pPr>
            <w:r>
              <w:rPr>
                <w:rFonts w:ascii="Arial"/>
                <w:spacing w:val="-1"/>
                <w:sz w:val="21"/>
              </w:rPr>
              <w:t>40.00</w:t>
            </w:r>
          </w:p>
        </w:tc>
        <w:tc>
          <w:tcPr>
            <w:tcW w:w="567" w:type="dxa"/>
            <w:tcBorders>
              <w:top w:val="single" w:sz="4" w:space="0" w:color="41B7EE"/>
              <w:left w:val="single" w:sz="4" w:space="0" w:color="41B7EE"/>
              <w:bottom w:val="single" w:sz="4" w:space="0" w:color="41B7EE"/>
              <w:right w:val="single" w:sz="4" w:space="0" w:color="41B7EE"/>
            </w:tcBorders>
          </w:tcPr>
          <w:p>
            <w:pPr/>
          </w:p>
        </w:tc>
        <w:tc>
          <w:tcPr>
            <w:tcW w:w="146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02"/>
              <w:ind w:left="11" w:right="0"/>
              <w:jc w:val="center"/>
              <w:rPr>
                <w:rFonts w:ascii="宋体" w:hAnsi="宋体" w:cs="宋体" w:eastAsia="宋体" w:hint="default"/>
                <w:sz w:val="21"/>
                <w:szCs w:val="21"/>
              </w:rPr>
            </w:pPr>
            <w:r>
              <w:rPr>
                <w:rFonts w:ascii="宋体" w:hAnsi="宋体" w:cs="宋体" w:eastAsia="宋体" w:hint="default"/>
                <w:sz w:val="21"/>
                <w:szCs w:val="21"/>
              </w:rPr>
              <w:t>按权益法核算</w:t>
            </w:r>
            <w:r>
              <w:rPr>
                <w:rFonts w:ascii="宋体" w:hAnsi="宋体" w:cs="宋体" w:eastAsia="宋体" w:hint="default"/>
                <w:sz w:val="21"/>
                <w:szCs w:val="21"/>
              </w:rPr>
              <w:t> </w:t>
            </w:r>
          </w:p>
        </w:tc>
      </w:tr>
      <w:tr>
        <w:trPr>
          <w:trHeight w:val="557" w:hRule="exact"/>
        </w:trPr>
        <w:tc>
          <w:tcPr>
            <w:tcW w:w="2720" w:type="dxa"/>
            <w:tcBorders>
              <w:top w:val="single" w:sz="4" w:space="0" w:color="41B7EE"/>
              <w:left w:val="nil" w:sz="6" w:space="0" w:color="auto"/>
              <w:bottom w:val="single" w:sz="4" w:space="0" w:color="41B7EE"/>
              <w:right w:val="single" w:sz="4" w:space="0" w:color="41B7EE"/>
            </w:tcBorders>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z w:val="21"/>
                <w:szCs w:val="21"/>
              </w:rPr>
              <w:t>黑龙江北大荒汉枫农业发展</w:t>
            </w:r>
          </w:p>
          <w:p>
            <w:pPr>
              <w:pStyle w:val="TableParagraph"/>
              <w:spacing w:line="273" w:lineRule="exact"/>
              <w:ind w:left="57"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85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50" w:right="0"/>
              <w:jc w:val="left"/>
              <w:rPr>
                <w:rFonts w:ascii="宋体" w:hAnsi="宋体" w:cs="宋体" w:eastAsia="宋体" w:hint="default"/>
                <w:sz w:val="21"/>
                <w:szCs w:val="21"/>
              </w:rPr>
            </w:pPr>
            <w:r>
              <w:rPr>
                <w:rFonts w:ascii="宋体" w:hAnsi="宋体" w:cs="宋体" w:eastAsia="宋体" w:hint="default"/>
                <w:sz w:val="21"/>
                <w:szCs w:val="21"/>
              </w:rPr>
              <w:t>尚志市</w:t>
            </w:r>
            <w:r>
              <w:rPr>
                <w:rFonts w:ascii="宋体" w:hAnsi="宋体" w:cs="宋体" w:eastAsia="宋体" w:hint="default"/>
                <w:sz w:val="21"/>
                <w:szCs w:val="21"/>
              </w:rPr>
              <w:t> </w:t>
            </w:r>
          </w:p>
        </w:tc>
        <w:tc>
          <w:tcPr>
            <w:tcW w:w="85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50" w:right="0"/>
              <w:jc w:val="left"/>
              <w:rPr>
                <w:rFonts w:ascii="宋体" w:hAnsi="宋体" w:cs="宋体" w:eastAsia="宋体" w:hint="default"/>
                <w:sz w:val="21"/>
                <w:szCs w:val="21"/>
              </w:rPr>
            </w:pPr>
            <w:r>
              <w:rPr>
                <w:rFonts w:ascii="宋体" w:hAnsi="宋体" w:cs="宋体" w:eastAsia="宋体" w:hint="default"/>
                <w:sz w:val="21"/>
                <w:szCs w:val="21"/>
              </w:rPr>
              <w:t>尚志市</w:t>
            </w:r>
            <w:r>
              <w:rPr>
                <w:rFonts w:ascii="宋体" w:hAnsi="宋体" w:cs="宋体" w:eastAsia="宋体" w:hint="default"/>
                <w:sz w:val="21"/>
                <w:szCs w:val="21"/>
              </w:rPr>
              <w:t> </w:t>
            </w:r>
          </w:p>
        </w:tc>
        <w:tc>
          <w:tcPr>
            <w:tcW w:w="1851" w:type="dxa"/>
            <w:tcBorders>
              <w:top w:val="single" w:sz="4" w:space="0" w:color="41B7EE"/>
              <w:left w:val="single" w:sz="4" w:space="0" w:color="41B7EE"/>
              <w:bottom w:val="single" w:sz="4" w:space="0" w:color="41B7EE"/>
              <w:right w:val="single" w:sz="4" w:space="0" w:color="41B7EE"/>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粮食、化肥、大米</w:t>
            </w:r>
          </w:p>
          <w:p>
            <w:pPr>
              <w:pStyle w:val="TableParagraph"/>
              <w:spacing w:line="273" w:lineRule="exact"/>
              <w:ind w:left="52" w:right="0"/>
              <w:jc w:val="left"/>
              <w:rPr>
                <w:rFonts w:ascii="宋体" w:hAnsi="宋体" w:cs="宋体" w:eastAsia="宋体" w:hint="default"/>
                <w:sz w:val="21"/>
                <w:szCs w:val="21"/>
              </w:rPr>
            </w:pPr>
            <w:r>
              <w:rPr>
                <w:rFonts w:ascii="宋体" w:hAnsi="宋体" w:cs="宋体" w:eastAsia="宋体" w:hint="default"/>
                <w:sz w:val="21"/>
                <w:szCs w:val="21"/>
              </w:rPr>
              <w:t>加工</w:t>
            </w:r>
            <w:r>
              <w:rPr>
                <w:rFonts w:ascii="宋体" w:hAnsi="宋体" w:cs="宋体" w:eastAsia="宋体" w:hint="default"/>
                <w:sz w:val="21"/>
                <w:szCs w:val="21"/>
              </w:rPr>
              <w:t> </w:t>
            </w:r>
          </w:p>
        </w:tc>
        <w:tc>
          <w:tcPr>
            <w:tcW w:w="64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51"/>
              <w:jc w:val="right"/>
              <w:rPr>
                <w:rFonts w:ascii="Arial" w:hAnsi="Arial" w:cs="Arial" w:eastAsia="Arial" w:hint="default"/>
                <w:sz w:val="21"/>
                <w:szCs w:val="21"/>
              </w:rPr>
            </w:pPr>
            <w:r>
              <w:rPr>
                <w:rFonts w:ascii="Arial"/>
                <w:spacing w:val="-1"/>
                <w:sz w:val="21"/>
              </w:rPr>
              <w:t>40.00</w:t>
            </w:r>
          </w:p>
        </w:tc>
        <w:tc>
          <w:tcPr>
            <w:tcW w:w="567" w:type="dxa"/>
            <w:tcBorders>
              <w:top w:val="single" w:sz="4" w:space="0" w:color="41B7EE"/>
              <w:left w:val="single" w:sz="4" w:space="0" w:color="41B7EE"/>
              <w:bottom w:val="single" w:sz="4" w:space="0" w:color="41B7EE"/>
              <w:right w:val="single" w:sz="4" w:space="0" w:color="41B7EE"/>
            </w:tcBorders>
          </w:tcPr>
          <w:p>
            <w:pPr/>
          </w:p>
        </w:tc>
        <w:tc>
          <w:tcPr>
            <w:tcW w:w="146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02"/>
              <w:ind w:left="11" w:right="0"/>
              <w:jc w:val="center"/>
              <w:rPr>
                <w:rFonts w:ascii="宋体" w:hAnsi="宋体" w:cs="宋体" w:eastAsia="宋体" w:hint="default"/>
                <w:sz w:val="21"/>
                <w:szCs w:val="21"/>
              </w:rPr>
            </w:pPr>
            <w:r>
              <w:rPr>
                <w:rFonts w:ascii="宋体" w:hAnsi="宋体" w:cs="宋体" w:eastAsia="宋体" w:hint="default"/>
                <w:sz w:val="21"/>
                <w:szCs w:val="21"/>
              </w:rPr>
              <w:t>按权益法核算</w:t>
            </w:r>
            <w:r>
              <w:rPr>
                <w:rFonts w:ascii="宋体" w:hAnsi="宋体" w:cs="宋体" w:eastAsia="宋体" w:hint="default"/>
                <w:sz w:val="21"/>
                <w:szCs w:val="21"/>
              </w:rPr>
              <w:t> </w:t>
            </w:r>
          </w:p>
        </w:tc>
      </w:tr>
      <w:tr>
        <w:trPr>
          <w:trHeight w:val="554" w:hRule="exact"/>
        </w:trPr>
        <w:tc>
          <w:tcPr>
            <w:tcW w:w="2720" w:type="dxa"/>
            <w:tcBorders>
              <w:top w:val="single" w:sz="4" w:space="0" w:color="41B7EE"/>
              <w:left w:val="nil" w:sz="6" w:space="0" w:color="auto"/>
              <w:bottom w:val="single" w:sz="4" w:space="0" w:color="41B7EE"/>
              <w:right w:val="single" w:sz="4" w:space="0" w:color="41B7EE"/>
            </w:tcBorders>
          </w:tcPr>
          <w:p>
            <w:pPr>
              <w:pStyle w:val="TableParagraph"/>
              <w:spacing w:line="239" w:lineRule="exact"/>
              <w:ind w:left="57" w:right="0"/>
              <w:jc w:val="left"/>
              <w:rPr>
                <w:rFonts w:ascii="宋体" w:hAnsi="宋体" w:cs="宋体" w:eastAsia="宋体" w:hint="default"/>
                <w:sz w:val="21"/>
                <w:szCs w:val="21"/>
              </w:rPr>
            </w:pPr>
            <w:r>
              <w:rPr>
                <w:rFonts w:ascii="宋体" w:hAnsi="宋体" w:cs="宋体" w:eastAsia="宋体" w:hint="default"/>
                <w:sz w:val="21"/>
                <w:szCs w:val="21"/>
              </w:rPr>
              <w:t>黑龙江北大荒投资担保股份</w:t>
            </w:r>
          </w:p>
          <w:p>
            <w:pPr>
              <w:pStyle w:val="TableParagraph"/>
              <w:spacing w:line="273" w:lineRule="exact"/>
              <w:ind w:left="57"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850" w:type="dxa"/>
            <w:tcBorders>
              <w:top w:val="single" w:sz="4" w:space="0" w:color="41B7EE"/>
              <w:left w:val="single" w:sz="4" w:space="0" w:color="41B7EE"/>
              <w:bottom w:val="single" w:sz="4" w:space="0" w:color="41B7EE"/>
              <w:right w:val="single" w:sz="24" w:space="0" w:color="FFFFFF"/>
            </w:tcBorders>
          </w:tcPr>
          <w:p>
            <w:pPr>
              <w:pStyle w:val="TableParagraph"/>
              <w:spacing w:line="240" w:lineRule="auto" w:before="109"/>
              <w:ind w:left="50" w:right="-45"/>
              <w:jc w:val="left"/>
              <w:rPr>
                <w:rFonts w:ascii="宋体" w:hAnsi="宋体" w:cs="宋体" w:eastAsia="宋体" w:hint="default"/>
                <w:sz w:val="21"/>
                <w:szCs w:val="21"/>
              </w:rPr>
            </w:pPr>
            <w:r>
              <w:rPr>
                <w:rFonts w:ascii="宋体" w:hAnsi="宋体" w:cs="宋体" w:eastAsia="宋体" w:hint="default"/>
                <w:spacing w:val="-25"/>
                <w:sz w:val="20"/>
                <w:szCs w:val="20"/>
              </w:rPr>
              <w:t>哈尔滨市</w:t>
            </w:r>
            <w:r>
              <w:rPr>
                <w:rFonts w:ascii="宋体" w:hAnsi="宋体" w:cs="宋体" w:eastAsia="宋体" w:hint="default"/>
                <w:w w:val="100"/>
                <w:sz w:val="21"/>
                <w:szCs w:val="21"/>
              </w:rPr>
              <w:t> </w:t>
            </w:r>
          </w:p>
        </w:tc>
        <w:tc>
          <w:tcPr>
            <w:tcW w:w="850" w:type="dxa"/>
            <w:tcBorders>
              <w:top w:val="single" w:sz="4" w:space="0" w:color="41B7EE"/>
              <w:left w:val="single" w:sz="24" w:space="0" w:color="FFFFFF"/>
              <w:bottom w:val="single" w:sz="4" w:space="0" w:color="41B7EE"/>
              <w:right w:val="single" w:sz="4" w:space="0" w:color="41B7EE"/>
            </w:tcBorders>
          </w:tcPr>
          <w:p>
            <w:pPr>
              <w:pStyle w:val="TableParagraph"/>
              <w:spacing w:line="240" w:lineRule="auto" w:before="109"/>
              <w:ind w:left="25" w:right="-14"/>
              <w:jc w:val="left"/>
              <w:rPr>
                <w:rFonts w:ascii="宋体" w:hAnsi="宋体" w:cs="宋体" w:eastAsia="宋体" w:hint="default"/>
                <w:sz w:val="20"/>
                <w:szCs w:val="20"/>
              </w:rPr>
            </w:pPr>
            <w:r>
              <w:rPr>
                <w:rFonts w:ascii="宋体" w:hAnsi="宋体" w:cs="宋体" w:eastAsia="宋体" w:hint="default"/>
                <w:spacing w:val="-25"/>
                <w:sz w:val="20"/>
                <w:szCs w:val="20"/>
              </w:rPr>
              <w:t>哈尔滨市</w:t>
            </w:r>
            <w:r>
              <w:rPr>
                <w:rFonts w:ascii="宋体" w:hAnsi="宋体" w:cs="宋体" w:eastAsia="宋体" w:hint="default"/>
                <w:sz w:val="20"/>
                <w:szCs w:val="20"/>
              </w:rPr>
              <w:t> </w:t>
            </w:r>
          </w:p>
        </w:tc>
        <w:tc>
          <w:tcPr>
            <w:tcW w:w="185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52" w:right="0"/>
              <w:jc w:val="left"/>
              <w:rPr>
                <w:rFonts w:ascii="宋体" w:hAnsi="宋体" w:cs="宋体" w:eastAsia="宋体" w:hint="default"/>
                <w:sz w:val="21"/>
                <w:szCs w:val="21"/>
              </w:rPr>
            </w:pPr>
            <w:r>
              <w:rPr>
                <w:rFonts w:ascii="宋体" w:hAnsi="宋体" w:cs="宋体" w:eastAsia="宋体" w:hint="default"/>
                <w:sz w:val="21"/>
                <w:szCs w:val="21"/>
              </w:rPr>
              <w:t>其他金融业务</w:t>
            </w:r>
            <w:r>
              <w:rPr>
                <w:rFonts w:ascii="宋体" w:hAnsi="宋体" w:cs="宋体" w:eastAsia="宋体" w:hint="default"/>
                <w:sz w:val="21"/>
                <w:szCs w:val="21"/>
              </w:rPr>
              <w:t> </w:t>
            </w:r>
          </w:p>
        </w:tc>
        <w:tc>
          <w:tcPr>
            <w:tcW w:w="64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51"/>
              <w:jc w:val="right"/>
              <w:rPr>
                <w:rFonts w:ascii="Arial" w:hAnsi="Arial" w:cs="Arial" w:eastAsia="Arial" w:hint="default"/>
                <w:sz w:val="21"/>
                <w:szCs w:val="21"/>
              </w:rPr>
            </w:pPr>
            <w:r>
              <w:rPr>
                <w:rFonts w:ascii="Arial"/>
                <w:spacing w:val="-1"/>
                <w:sz w:val="21"/>
              </w:rPr>
              <w:t>49.00</w:t>
            </w:r>
          </w:p>
        </w:tc>
        <w:tc>
          <w:tcPr>
            <w:tcW w:w="567" w:type="dxa"/>
            <w:tcBorders>
              <w:top w:val="single" w:sz="4" w:space="0" w:color="41B7EE"/>
              <w:left w:val="single" w:sz="4" w:space="0" w:color="41B7EE"/>
              <w:bottom w:val="single" w:sz="4" w:space="0" w:color="41B7EE"/>
              <w:right w:val="single" w:sz="4" w:space="0" w:color="41B7EE"/>
            </w:tcBorders>
          </w:tcPr>
          <w:p>
            <w:pPr/>
          </w:p>
        </w:tc>
        <w:tc>
          <w:tcPr>
            <w:tcW w:w="146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02"/>
              <w:ind w:left="11" w:right="0"/>
              <w:jc w:val="center"/>
              <w:rPr>
                <w:rFonts w:ascii="宋体" w:hAnsi="宋体" w:cs="宋体" w:eastAsia="宋体" w:hint="default"/>
                <w:sz w:val="21"/>
                <w:szCs w:val="21"/>
              </w:rPr>
            </w:pPr>
            <w:r>
              <w:rPr>
                <w:rFonts w:ascii="宋体" w:hAnsi="宋体" w:cs="宋体" w:eastAsia="宋体" w:hint="default"/>
                <w:sz w:val="21"/>
                <w:szCs w:val="21"/>
              </w:rPr>
              <w:t>按权益法核算</w:t>
            </w:r>
            <w:r>
              <w:rPr>
                <w:rFonts w:ascii="宋体" w:hAnsi="宋体" w:cs="宋体" w:eastAsia="宋体" w:hint="default"/>
                <w:sz w:val="21"/>
                <w:szCs w:val="21"/>
              </w:rPr>
              <w:t> </w:t>
            </w:r>
          </w:p>
        </w:tc>
      </w:tr>
      <w:tr>
        <w:trPr>
          <w:trHeight w:val="554" w:hRule="exact"/>
        </w:trPr>
        <w:tc>
          <w:tcPr>
            <w:tcW w:w="2720" w:type="dxa"/>
            <w:tcBorders>
              <w:top w:val="single" w:sz="4" w:space="0" w:color="41B7EE"/>
              <w:left w:val="nil" w:sz="6" w:space="0" w:color="auto"/>
              <w:bottom w:val="single" w:sz="4" w:space="0" w:color="41B7EE"/>
              <w:right w:val="single" w:sz="4" w:space="0" w:color="41B7EE"/>
            </w:tcBorders>
          </w:tcPr>
          <w:p>
            <w:pPr>
              <w:pStyle w:val="TableParagraph"/>
              <w:spacing w:line="239" w:lineRule="exact"/>
              <w:ind w:left="57" w:right="0"/>
              <w:jc w:val="left"/>
              <w:rPr>
                <w:rFonts w:ascii="宋体" w:hAnsi="宋体" w:cs="宋体" w:eastAsia="宋体" w:hint="default"/>
                <w:sz w:val="21"/>
                <w:szCs w:val="21"/>
              </w:rPr>
            </w:pPr>
            <w:r>
              <w:rPr>
                <w:rFonts w:ascii="宋体" w:hAnsi="宋体" w:cs="宋体" w:eastAsia="宋体" w:hint="default"/>
                <w:sz w:val="21"/>
                <w:szCs w:val="21"/>
              </w:rPr>
              <w:t>哈尔滨乔仕房地产开发有限</w:t>
            </w:r>
          </w:p>
          <w:p>
            <w:pPr>
              <w:pStyle w:val="TableParagraph"/>
              <w:spacing w:line="273" w:lineRule="exact"/>
              <w:ind w:left="57"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85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50" w:right="0"/>
              <w:jc w:val="left"/>
              <w:rPr>
                <w:rFonts w:ascii="宋体" w:hAnsi="宋体" w:cs="宋体" w:eastAsia="宋体" w:hint="default"/>
                <w:sz w:val="21"/>
                <w:szCs w:val="21"/>
              </w:rPr>
            </w:pPr>
            <w:r>
              <w:rPr>
                <w:rFonts w:ascii="宋体" w:hAnsi="宋体" w:cs="宋体" w:eastAsia="宋体" w:hint="default"/>
                <w:sz w:val="21"/>
                <w:szCs w:val="21"/>
              </w:rPr>
              <w:t>双城市</w:t>
            </w:r>
            <w:r>
              <w:rPr>
                <w:rFonts w:ascii="宋体" w:hAnsi="宋体" w:cs="宋体" w:eastAsia="宋体" w:hint="default"/>
                <w:sz w:val="21"/>
                <w:szCs w:val="21"/>
              </w:rPr>
              <w:t> </w:t>
            </w:r>
          </w:p>
        </w:tc>
        <w:tc>
          <w:tcPr>
            <w:tcW w:w="85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50" w:right="0"/>
              <w:jc w:val="left"/>
              <w:rPr>
                <w:rFonts w:ascii="宋体" w:hAnsi="宋体" w:cs="宋体" w:eastAsia="宋体" w:hint="default"/>
                <w:sz w:val="21"/>
                <w:szCs w:val="21"/>
              </w:rPr>
            </w:pPr>
            <w:r>
              <w:rPr>
                <w:rFonts w:ascii="宋体" w:hAnsi="宋体" w:cs="宋体" w:eastAsia="宋体" w:hint="default"/>
                <w:sz w:val="21"/>
                <w:szCs w:val="21"/>
              </w:rPr>
              <w:t>双城市</w:t>
            </w:r>
            <w:r>
              <w:rPr>
                <w:rFonts w:ascii="宋体" w:hAnsi="宋体" w:cs="宋体" w:eastAsia="宋体" w:hint="default"/>
                <w:sz w:val="21"/>
                <w:szCs w:val="21"/>
              </w:rPr>
              <w:t> </w:t>
            </w:r>
          </w:p>
        </w:tc>
        <w:tc>
          <w:tcPr>
            <w:tcW w:w="185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52" w:right="0"/>
              <w:jc w:val="left"/>
              <w:rPr>
                <w:rFonts w:ascii="宋体" w:hAnsi="宋体" w:cs="宋体" w:eastAsia="宋体" w:hint="default"/>
                <w:sz w:val="21"/>
                <w:szCs w:val="21"/>
              </w:rPr>
            </w:pPr>
            <w:r>
              <w:rPr>
                <w:rFonts w:ascii="宋体" w:hAnsi="宋体" w:cs="宋体" w:eastAsia="宋体" w:hint="default"/>
                <w:sz w:val="21"/>
                <w:szCs w:val="21"/>
              </w:rPr>
              <w:t>房地产开发与经营</w:t>
            </w:r>
            <w:r>
              <w:rPr>
                <w:rFonts w:ascii="宋体" w:hAnsi="宋体" w:cs="宋体" w:eastAsia="宋体" w:hint="default"/>
                <w:sz w:val="21"/>
                <w:szCs w:val="21"/>
              </w:rPr>
              <w:t> </w:t>
            </w:r>
          </w:p>
        </w:tc>
        <w:tc>
          <w:tcPr>
            <w:tcW w:w="64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51"/>
              <w:jc w:val="right"/>
              <w:rPr>
                <w:rFonts w:ascii="Arial" w:hAnsi="Arial" w:cs="Arial" w:eastAsia="Arial" w:hint="default"/>
                <w:sz w:val="21"/>
                <w:szCs w:val="21"/>
              </w:rPr>
            </w:pPr>
            <w:r>
              <w:rPr>
                <w:rFonts w:ascii="Arial"/>
                <w:spacing w:val="-1"/>
                <w:sz w:val="21"/>
              </w:rPr>
              <w:t>51.22</w:t>
            </w:r>
          </w:p>
        </w:tc>
        <w:tc>
          <w:tcPr>
            <w:tcW w:w="567" w:type="dxa"/>
            <w:tcBorders>
              <w:top w:val="single" w:sz="4" w:space="0" w:color="41B7EE"/>
              <w:left w:val="single" w:sz="4" w:space="0" w:color="41B7EE"/>
              <w:bottom w:val="single" w:sz="4" w:space="0" w:color="41B7EE"/>
              <w:right w:val="single" w:sz="4" w:space="0" w:color="41B7EE"/>
            </w:tcBorders>
          </w:tcPr>
          <w:p>
            <w:pPr/>
          </w:p>
        </w:tc>
        <w:tc>
          <w:tcPr>
            <w:tcW w:w="146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02"/>
              <w:ind w:left="11" w:right="0"/>
              <w:jc w:val="center"/>
              <w:rPr>
                <w:rFonts w:ascii="宋体" w:hAnsi="宋体" w:cs="宋体" w:eastAsia="宋体" w:hint="default"/>
                <w:sz w:val="21"/>
                <w:szCs w:val="21"/>
              </w:rPr>
            </w:pPr>
            <w:r>
              <w:rPr>
                <w:rFonts w:ascii="宋体" w:hAnsi="宋体" w:cs="宋体" w:eastAsia="宋体" w:hint="default"/>
                <w:sz w:val="21"/>
                <w:szCs w:val="21"/>
              </w:rPr>
              <w:t>按权益法核算</w:t>
            </w:r>
            <w:r>
              <w:rPr>
                <w:rFonts w:ascii="宋体" w:hAnsi="宋体" w:cs="宋体" w:eastAsia="宋体" w:hint="default"/>
                <w:sz w:val="21"/>
                <w:szCs w:val="21"/>
              </w:rPr>
              <w:t> </w:t>
            </w:r>
          </w:p>
        </w:tc>
      </w:tr>
      <w:tr>
        <w:trPr>
          <w:trHeight w:val="555" w:hRule="exact"/>
        </w:trPr>
        <w:tc>
          <w:tcPr>
            <w:tcW w:w="2720" w:type="dxa"/>
            <w:tcBorders>
              <w:top w:val="single" w:sz="4" w:space="0" w:color="41B7EE"/>
              <w:left w:val="nil" w:sz="6" w:space="0" w:color="auto"/>
              <w:bottom w:val="single" w:sz="4" w:space="0" w:color="41B7EE"/>
              <w:right w:val="single" w:sz="4" w:space="0" w:color="41B7EE"/>
            </w:tcBorders>
          </w:tcPr>
          <w:p>
            <w:pPr>
              <w:pStyle w:val="TableParagraph"/>
              <w:spacing w:line="239" w:lineRule="exact"/>
              <w:ind w:left="57" w:right="0"/>
              <w:jc w:val="left"/>
              <w:rPr>
                <w:rFonts w:ascii="宋体" w:hAnsi="宋体" w:cs="宋体" w:eastAsia="宋体" w:hint="default"/>
                <w:sz w:val="21"/>
                <w:szCs w:val="21"/>
              </w:rPr>
            </w:pPr>
            <w:r>
              <w:rPr>
                <w:rFonts w:ascii="宋体" w:hAnsi="宋体" w:cs="宋体" w:eastAsia="宋体" w:hint="default"/>
                <w:sz w:val="21"/>
                <w:szCs w:val="21"/>
              </w:rPr>
              <w:t>佳沃北大荒农业控股有限公</w:t>
            </w:r>
          </w:p>
          <w:p>
            <w:pPr>
              <w:pStyle w:val="TableParagraph"/>
              <w:spacing w:line="273" w:lineRule="exact"/>
              <w:ind w:left="57"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850" w:type="dxa"/>
            <w:tcBorders>
              <w:top w:val="single" w:sz="4" w:space="0" w:color="41B7EE"/>
              <w:left w:val="single" w:sz="4" w:space="0" w:color="41B7EE"/>
              <w:bottom w:val="single" w:sz="4" w:space="0" w:color="41B7EE"/>
              <w:right w:val="single" w:sz="24" w:space="0" w:color="FFFFFF"/>
            </w:tcBorders>
          </w:tcPr>
          <w:p>
            <w:pPr>
              <w:pStyle w:val="TableParagraph"/>
              <w:spacing w:line="240" w:lineRule="auto" w:before="109"/>
              <w:ind w:left="50" w:right="-45"/>
              <w:jc w:val="left"/>
              <w:rPr>
                <w:rFonts w:ascii="宋体" w:hAnsi="宋体" w:cs="宋体" w:eastAsia="宋体" w:hint="default"/>
                <w:sz w:val="21"/>
                <w:szCs w:val="21"/>
              </w:rPr>
            </w:pPr>
            <w:r>
              <w:rPr>
                <w:rFonts w:ascii="宋体" w:hAnsi="宋体" w:cs="宋体" w:eastAsia="宋体" w:hint="default"/>
                <w:spacing w:val="-25"/>
                <w:sz w:val="20"/>
                <w:szCs w:val="20"/>
              </w:rPr>
              <w:t>哈尔滨市</w:t>
            </w:r>
            <w:r>
              <w:rPr>
                <w:rFonts w:ascii="宋体" w:hAnsi="宋体" w:cs="宋体" w:eastAsia="宋体" w:hint="default"/>
                <w:w w:val="100"/>
                <w:sz w:val="21"/>
                <w:szCs w:val="21"/>
              </w:rPr>
              <w:t> </w:t>
            </w:r>
          </w:p>
        </w:tc>
        <w:tc>
          <w:tcPr>
            <w:tcW w:w="850" w:type="dxa"/>
            <w:tcBorders>
              <w:top w:val="single" w:sz="4" w:space="0" w:color="41B7EE"/>
              <w:left w:val="single" w:sz="24" w:space="0" w:color="FFFFFF"/>
              <w:bottom w:val="single" w:sz="4" w:space="0" w:color="41B7EE"/>
              <w:right w:val="single" w:sz="21" w:space="0" w:color="FFFFFF"/>
            </w:tcBorders>
          </w:tcPr>
          <w:p>
            <w:pPr>
              <w:pStyle w:val="TableParagraph"/>
              <w:spacing w:line="240" w:lineRule="auto" w:before="109"/>
              <w:ind w:left="25" w:right="-41"/>
              <w:jc w:val="left"/>
              <w:rPr>
                <w:rFonts w:ascii="宋体" w:hAnsi="宋体" w:cs="宋体" w:eastAsia="宋体" w:hint="default"/>
                <w:sz w:val="21"/>
                <w:szCs w:val="21"/>
              </w:rPr>
            </w:pPr>
            <w:r>
              <w:rPr>
                <w:rFonts w:ascii="宋体" w:hAnsi="宋体" w:cs="宋体" w:eastAsia="宋体" w:hint="default"/>
                <w:spacing w:val="-25"/>
                <w:sz w:val="20"/>
                <w:szCs w:val="20"/>
              </w:rPr>
              <w:t>哈尔滨市</w:t>
            </w:r>
            <w:r>
              <w:rPr>
                <w:rFonts w:ascii="宋体" w:hAnsi="宋体" w:cs="宋体" w:eastAsia="宋体" w:hint="default"/>
                <w:w w:val="100"/>
                <w:sz w:val="21"/>
                <w:szCs w:val="21"/>
              </w:rPr>
              <w:t> </w:t>
            </w:r>
          </w:p>
        </w:tc>
        <w:tc>
          <w:tcPr>
            <w:tcW w:w="1851" w:type="dxa"/>
            <w:tcBorders>
              <w:top w:val="single" w:sz="4" w:space="0" w:color="41B7EE"/>
              <w:left w:val="single" w:sz="21" w:space="0" w:color="FFFFFF"/>
              <w:bottom w:val="single" w:sz="4" w:space="0" w:color="41B7EE"/>
              <w:right w:val="single" w:sz="4" w:space="0" w:color="41B7EE"/>
            </w:tcBorders>
          </w:tcPr>
          <w:p>
            <w:pPr>
              <w:pStyle w:val="TableParagraph"/>
              <w:spacing w:line="240" w:lineRule="auto" w:before="109"/>
              <w:ind w:left="31" w:right="0"/>
              <w:jc w:val="left"/>
              <w:rPr>
                <w:rFonts w:ascii="宋体" w:hAnsi="宋体" w:cs="宋体" w:eastAsia="宋体" w:hint="default"/>
                <w:sz w:val="21"/>
                <w:szCs w:val="21"/>
              </w:rPr>
            </w:pPr>
            <w:r>
              <w:rPr>
                <w:rFonts w:ascii="宋体" w:hAnsi="宋体" w:cs="宋体" w:eastAsia="宋体" w:hint="default"/>
                <w:sz w:val="20"/>
                <w:szCs w:val="20"/>
              </w:rPr>
              <w:t>企业管理咨询等</w:t>
            </w:r>
            <w:r>
              <w:rPr>
                <w:rFonts w:ascii="宋体" w:hAnsi="宋体" w:cs="宋体" w:eastAsia="宋体" w:hint="default"/>
                <w:w w:val="100"/>
                <w:sz w:val="21"/>
                <w:szCs w:val="21"/>
              </w:rPr>
              <w:t> </w:t>
            </w:r>
          </w:p>
        </w:tc>
        <w:tc>
          <w:tcPr>
            <w:tcW w:w="64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51"/>
              <w:jc w:val="right"/>
              <w:rPr>
                <w:rFonts w:ascii="Arial" w:hAnsi="Arial" w:cs="Arial" w:eastAsia="Arial" w:hint="default"/>
                <w:sz w:val="21"/>
                <w:szCs w:val="21"/>
              </w:rPr>
            </w:pPr>
            <w:r>
              <w:rPr>
                <w:rFonts w:ascii="Arial"/>
                <w:spacing w:val="-1"/>
                <w:sz w:val="21"/>
              </w:rPr>
              <w:t>30.00</w:t>
            </w:r>
          </w:p>
        </w:tc>
        <w:tc>
          <w:tcPr>
            <w:tcW w:w="567" w:type="dxa"/>
            <w:tcBorders>
              <w:top w:val="single" w:sz="4" w:space="0" w:color="41B7EE"/>
              <w:left w:val="single" w:sz="4" w:space="0" w:color="41B7EE"/>
              <w:bottom w:val="single" w:sz="4" w:space="0" w:color="41B7EE"/>
              <w:right w:val="single" w:sz="4" w:space="0" w:color="41B7EE"/>
            </w:tcBorders>
          </w:tcPr>
          <w:p>
            <w:pPr/>
          </w:p>
        </w:tc>
        <w:tc>
          <w:tcPr>
            <w:tcW w:w="146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02"/>
              <w:ind w:left="11" w:right="0"/>
              <w:jc w:val="center"/>
              <w:rPr>
                <w:rFonts w:ascii="宋体" w:hAnsi="宋体" w:cs="宋体" w:eastAsia="宋体" w:hint="default"/>
                <w:sz w:val="21"/>
                <w:szCs w:val="21"/>
              </w:rPr>
            </w:pPr>
            <w:r>
              <w:rPr>
                <w:rFonts w:ascii="宋体" w:hAnsi="宋体" w:cs="宋体" w:eastAsia="宋体" w:hint="default"/>
                <w:sz w:val="21"/>
                <w:szCs w:val="21"/>
              </w:rPr>
              <w:t>按权益法核算</w:t>
            </w:r>
            <w:r>
              <w:rPr>
                <w:rFonts w:ascii="宋体" w:hAnsi="宋体" w:cs="宋体" w:eastAsia="宋体" w:hint="default"/>
                <w:sz w:val="21"/>
                <w:szCs w:val="21"/>
              </w:rPr>
              <w:t> </w:t>
            </w:r>
          </w:p>
        </w:tc>
      </w:tr>
      <w:tr>
        <w:trPr>
          <w:trHeight w:val="554" w:hRule="exact"/>
        </w:trPr>
        <w:tc>
          <w:tcPr>
            <w:tcW w:w="2720" w:type="dxa"/>
            <w:tcBorders>
              <w:top w:val="single" w:sz="4" w:space="0" w:color="41B7EE"/>
              <w:left w:val="nil" w:sz="6" w:space="0" w:color="auto"/>
              <w:bottom w:val="single" w:sz="4" w:space="0" w:color="41B7EE"/>
              <w:right w:val="single" w:sz="4" w:space="0" w:color="41B7EE"/>
            </w:tcBorders>
          </w:tcPr>
          <w:p>
            <w:pPr>
              <w:pStyle w:val="TableParagraph"/>
              <w:spacing w:line="240" w:lineRule="exact"/>
              <w:ind w:left="57" w:right="0"/>
              <w:jc w:val="left"/>
              <w:rPr>
                <w:rFonts w:ascii="宋体" w:hAnsi="宋体" w:cs="宋体" w:eastAsia="宋体" w:hint="default"/>
                <w:sz w:val="21"/>
                <w:szCs w:val="21"/>
              </w:rPr>
            </w:pPr>
            <w:r>
              <w:rPr>
                <w:rFonts w:ascii="宋体" w:hAnsi="宋体" w:cs="宋体" w:eastAsia="宋体" w:hint="default"/>
                <w:sz w:val="21"/>
                <w:szCs w:val="21"/>
              </w:rPr>
              <w:t>北大荒龙麦农业股份有限公</w:t>
            </w:r>
          </w:p>
          <w:p>
            <w:pPr>
              <w:pStyle w:val="TableParagraph"/>
              <w:spacing w:line="274" w:lineRule="exact"/>
              <w:ind w:left="57"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850" w:type="dxa"/>
            <w:tcBorders>
              <w:top w:val="single" w:sz="4" w:space="0" w:color="41B7EE"/>
              <w:left w:val="single" w:sz="4" w:space="0" w:color="41B7EE"/>
              <w:bottom w:val="single" w:sz="4" w:space="0" w:color="41B7EE"/>
              <w:right w:val="single" w:sz="24" w:space="0" w:color="FFFFFF"/>
            </w:tcBorders>
          </w:tcPr>
          <w:p>
            <w:pPr>
              <w:pStyle w:val="TableParagraph"/>
              <w:spacing w:line="240" w:lineRule="auto" w:before="112"/>
              <w:ind w:left="50" w:right="-45"/>
              <w:jc w:val="left"/>
              <w:rPr>
                <w:rFonts w:ascii="宋体" w:hAnsi="宋体" w:cs="宋体" w:eastAsia="宋体" w:hint="default"/>
                <w:sz w:val="21"/>
                <w:szCs w:val="21"/>
              </w:rPr>
            </w:pPr>
            <w:r>
              <w:rPr>
                <w:rFonts w:ascii="宋体" w:hAnsi="宋体" w:cs="宋体" w:eastAsia="宋体" w:hint="default"/>
                <w:spacing w:val="-25"/>
                <w:sz w:val="20"/>
                <w:szCs w:val="20"/>
              </w:rPr>
              <w:t>哈尔滨市</w:t>
            </w:r>
            <w:r>
              <w:rPr>
                <w:rFonts w:ascii="宋体" w:hAnsi="宋体" w:cs="宋体" w:eastAsia="宋体" w:hint="default"/>
                <w:w w:val="100"/>
                <w:sz w:val="21"/>
                <w:szCs w:val="21"/>
              </w:rPr>
              <w:t> </w:t>
            </w:r>
          </w:p>
        </w:tc>
        <w:tc>
          <w:tcPr>
            <w:tcW w:w="850" w:type="dxa"/>
            <w:tcBorders>
              <w:top w:val="single" w:sz="4" w:space="0" w:color="41B7EE"/>
              <w:left w:val="single" w:sz="24" w:space="0" w:color="FFFFFF"/>
              <w:bottom w:val="single" w:sz="4" w:space="0" w:color="41B7EE"/>
              <w:right w:val="single" w:sz="21" w:space="0" w:color="FFFFFF"/>
            </w:tcBorders>
          </w:tcPr>
          <w:p>
            <w:pPr>
              <w:pStyle w:val="TableParagraph"/>
              <w:spacing w:line="240" w:lineRule="auto" w:before="112"/>
              <w:ind w:left="25" w:right="-41"/>
              <w:jc w:val="left"/>
              <w:rPr>
                <w:rFonts w:ascii="宋体" w:hAnsi="宋体" w:cs="宋体" w:eastAsia="宋体" w:hint="default"/>
                <w:sz w:val="21"/>
                <w:szCs w:val="21"/>
              </w:rPr>
            </w:pPr>
            <w:r>
              <w:rPr>
                <w:rFonts w:ascii="宋体" w:hAnsi="宋体" w:cs="宋体" w:eastAsia="宋体" w:hint="default"/>
                <w:spacing w:val="-25"/>
                <w:sz w:val="20"/>
                <w:szCs w:val="20"/>
              </w:rPr>
              <w:t>哈尔滨市</w:t>
            </w:r>
            <w:r>
              <w:rPr>
                <w:rFonts w:ascii="宋体" w:hAnsi="宋体" w:cs="宋体" w:eastAsia="宋体" w:hint="default"/>
                <w:w w:val="100"/>
                <w:sz w:val="21"/>
                <w:szCs w:val="21"/>
              </w:rPr>
              <w:t> </w:t>
            </w:r>
          </w:p>
        </w:tc>
        <w:tc>
          <w:tcPr>
            <w:tcW w:w="1851" w:type="dxa"/>
            <w:tcBorders>
              <w:top w:val="single" w:sz="4" w:space="0" w:color="41B7EE"/>
              <w:left w:val="single" w:sz="21" w:space="0" w:color="FFFFFF"/>
              <w:bottom w:val="single" w:sz="4" w:space="0" w:color="41B7EE"/>
              <w:right w:val="single" w:sz="20" w:space="0" w:color="FFFFFF"/>
            </w:tcBorders>
          </w:tcPr>
          <w:p>
            <w:pPr>
              <w:pStyle w:val="TableParagraph"/>
              <w:spacing w:line="260" w:lineRule="exact" w:before="8"/>
              <w:ind w:left="31" w:right="-68"/>
              <w:jc w:val="left"/>
              <w:rPr>
                <w:rFonts w:ascii="宋体" w:hAnsi="宋体" w:cs="宋体" w:eastAsia="宋体" w:hint="default"/>
                <w:sz w:val="20"/>
                <w:szCs w:val="20"/>
              </w:rPr>
            </w:pPr>
            <w:r>
              <w:rPr>
                <w:rFonts w:ascii="宋体" w:hAnsi="宋体" w:cs="宋体" w:eastAsia="宋体" w:hint="default"/>
                <w:spacing w:val="-7"/>
                <w:sz w:val="20"/>
                <w:szCs w:val="20"/>
              </w:rPr>
              <w:t>粮食收购，热力生产</w:t>
            </w:r>
            <w:r>
              <w:rPr>
                <w:rFonts w:ascii="宋体" w:hAnsi="宋体" w:cs="宋体" w:eastAsia="宋体" w:hint="default"/>
                <w:w w:val="99"/>
                <w:sz w:val="20"/>
                <w:szCs w:val="20"/>
              </w:rPr>
              <w:t> </w:t>
            </w:r>
            <w:r>
              <w:rPr>
                <w:rFonts w:ascii="宋体" w:hAnsi="宋体" w:cs="宋体" w:eastAsia="宋体" w:hint="default"/>
                <w:spacing w:val="-7"/>
                <w:sz w:val="20"/>
                <w:szCs w:val="20"/>
              </w:rPr>
              <w:t>和供应，谷物种植等</w:t>
            </w:r>
            <w:r>
              <w:rPr>
                <w:rFonts w:ascii="宋体" w:hAnsi="宋体" w:cs="宋体" w:eastAsia="宋体" w:hint="default"/>
                <w:sz w:val="20"/>
                <w:szCs w:val="20"/>
              </w:rPr>
              <w:t> </w:t>
            </w:r>
          </w:p>
        </w:tc>
        <w:tc>
          <w:tcPr>
            <w:tcW w:w="648" w:type="dxa"/>
            <w:tcBorders>
              <w:top w:val="single" w:sz="4" w:space="0" w:color="41B7EE"/>
              <w:left w:val="single" w:sz="20" w:space="0" w:color="FFFFFF"/>
              <w:bottom w:val="single" w:sz="4" w:space="0" w:color="41B7EE"/>
              <w:right w:val="single" w:sz="4" w:space="0" w:color="41B7EE"/>
            </w:tcBorders>
          </w:tcPr>
          <w:p>
            <w:pPr>
              <w:pStyle w:val="TableParagraph"/>
              <w:spacing w:line="240" w:lineRule="auto" w:before="146"/>
              <w:ind w:right="51"/>
              <w:jc w:val="right"/>
              <w:rPr>
                <w:rFonts w:ascii="Arial" w:hAnsi="Arial" w:cs="Arial" w:eastAsia="Arial" w:hint="default"/>
                <w:sz w:val="21"/>
                <w:szCs w:val="21"/>
              </w:rPr>
            </w:pPr>
            <w:r>
              <w:rPr>
                <w:rFonts w:ascii="Arial"/>
                <w:spacing w:val="-1"/>
                <w:sz w:val="21"/>
              </w:rPr>
              <w:t>49.00</w:t>
            </w:r>
          </w:p>
        </w:tc>
        <w:tc>
          <w:tcPr>
            <w:tcW w:w="567" w:type="dxa"/>
            <w:tcBorders>
              <w:top w:val="single" w:sz="4" w:space="0" w:color="41B7EE"/>
              <w:left w:val="single" w:sz="4" w:space="0" w:color="41B7EE"/>
              <w:bottom w:val="single" w:sz="4" w:space="0" w:color="41B7EE"/>
              <w:right w:val="single" w:sz="4" w:space="0" w:color="41B7EE"/>
            </w:tcBorders>
          </w:tcPr>
          <w:p>
            <w:pPr/>
          </w:p>
        </w:tc>
        <w:tc>
          <w:tcPr>
            <w:tcW w:w="146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02"/>
              <w:ind w:left="11" w:right="0"/>
              <w:jc w:val="center"/>
              <w:rPr>
                <w:rFonts w:ascii="宋体" w:hAnsi="宋体" w:cs="宋体" w:eastAsia="宋体" w:hint="default"/>
                <w:sz w:val="21"/>
                <w:szCs w:val="21"/>
              </w:rPr>
            </w:pPr>
            <w:r>
              <w:rPr>
                <w:rFonts w:ascii="宋体" w:hAnsi="宋体" w:cs="宋体" w:eastAsia="宋体" w:hint="default"/>
                <w:sz w:val="21"/>
                <w:szCs w:val="21"/>
              </w:rPr>
              <w:t>按权益法核算</w:t>
            </w:r>
            <w:r>
              <w:rPr>
                <w:rFonts w:ascii="宋体" w:hAnsi="宋体" w:cs="宋体" w:eastAsia="宋体" w:hint="default"/>
                <w:sz w:val="21"/>
                <w:szCs w:val="21"/>
              </w:rPr>
              <w:t> </w:t>
            </w:r>
          </w:p>
        </w:tc>
      </w:tr>
      <w:tr>
        <w:trPr>
          <w:trHeight w:val="943" w:hRule="exact"/>
        </w:trPr>
        <w:tc>
          <w:tcPr>
            <w:tcW w:w="272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60"/>
              <w:ind w:left="57" w:right="132"/>
              <w:jc w:val="left"/>
              <w:rPr>
                <w:rFonts w:ascii="宋体" w:hAnsi="宋体" w:cs="宋体" w:eastAsia="宋体" w:hint="default"/>
                <w:sz w:val="21"/>
                <w:szCs w:val="21"/>
              </w:rPr>
            </w:pPr>
            <w:r>
              <w:rPr>
                <w:rFonts w:ascii="宋体" w:hAnsi="宋体" w:cs="宋体" w:eastAsia="宋体" w:hint="default"/>
                <w:spacing w:val="-2"/>
                <w:sz w:val="21"/>
                <w:szCs w:val="21"/>
              </w:rPr>
              <w:t>黑龙江北大荒浩良河化肥有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85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0" w:right="0"/>
              <w:jc w:val="left"/>
              <w:rPr>
                <w:rFonts w:ascii="宋体" w:hAnsi="宋体" w:cs="宋体" w:eastAsia="宋体" w:hint="default"/>
                <w:sz w:val="21"/>
                <w:szCs w:val="21"/>
              </w:rPr>
            </w:pPr>
            <w:r>
              <w:rPr>
                <w:rFonts w:ascii="宋体" w:hAnsi="宋体" w:cs="宋体" w:eastAsia="宋体" w:hint="default"/>
                <w:sz w:val="21"/>
                <w:szCs w:val="21"/>
              </w:rPr>
              <w:t>伊春市</w:t>
            </w:r>
            <w:r>
              <w:rPr>
                <w:rFonts w:ascii="宋体" w:hAnsi="宋体" w:cs="宋体" w:eastAsia="宋体" w:hint="default"/>
                <w:sz w:val="21"/>
                <w:szCs w:val="21"/>
              </w:rPr>
              <w:t> </w:t>
            </w:r>
          </w:p>
        </w:tc>
        <w:tc>
          <w:tcPr>
            <w:tcW w:w="85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0" w:right="0"/>
              <w:jc w:val="left"/>
              <w:rPr>
                <w:rFonts w:ascii="宋体" w:hAnsi="宋体" w:cs="宋体" w:eastAsia="宋体" w:hint="default"/>
                <w:sz w:val="21"/>
                <w:szCs w:val="21"/>
              </w:rPr>
            </w:pPr>
            <w:r>
              <w:rPr>
                <w:rFonts w:ascii="宋体" w:hAnsi="宋体" w:cs="宋体" w:eastAsia="宋体" w:hint="default"/>
                <w:sz w:val="21"/>
                <w:szCs w:val="21"/>
              </w:rPr>
              <w:t>伊春市</w:t>
            </w:r>
            <w:r>
              <w:rPr>
                <w:rFonts w:ascii="宋体" w:hAnsi="宋体" w:cs="宋体" w:eastAsia="宋体" w:hint="default"/>
                <w:sz w:val="21"/>
                <w:szCs w:val="21"/>
              </w:rPr>
              <w:t> </w:t>
            </w:r>
          </w:p>
        </w:tc>
        <w:tc>
          <w:tcPr>
            <w:tcW w:w="1851" w:type="dxa"/>
            <w:tcBorders>
              <w:top w:val="single" w:sz="4" w:space="0" w:color="41B7EE"/>
              <w:left w:val="single" w:sz="4" w:space="0" w:color="41B7EE"/>
              <w:bottom w:val="single" w:sz="4" w:space="0" w:color="41B7EE"/>
              <w:right w:val="single" w:sz="4" w:space="0" w:color="41B7EE"/>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pacing w:val="-21"/>
                <w:sz w:val="18"/>
                <w:szCs w:val="18"/>
              </w:rPr>
              <w:t>肥料制造；基础化学原料</w:t>
            </w:r>
          </w:p>
          <w:p>
            <w:pPr>
              <w:pStyle w:val="TableParagraph"/>
              <w:spacing w:line="232" w:lineRule="exact" w:before="24"/>
              <w:ind w:left="52" w:right="29"/>
              <w:jc w:val="left"/>
              <w:rPr>
                <w:rFonts w:ascii="宋体" w:hAnsi="宋体" w:cs="宋体" w:eastAsia="宋体" w:hint="default"/>
                <w:sz w:val="18"/>
                <w:szCs w:val="18"/>
              </w:rPr>
            </w:pPr>
            <w:r>
              <w:rPr>
                <w:rFonts w:ascii="宋体" w:hAnsi="宋体" w:cs="宋体" w:eastAsia="宋体" w:hint="default"/>
                <w:spacing w:val="-21"/>
                <w:sz w:val="18"/>
                <w:szCs w:val="18"/>
              </w:rPr>
              <w:t>制造；电力、热力的生产</w:t>
            </w:r>
            <w:r>
              <w:rPr>
                <w:rFonts w:ascii="宋体" w:hAnsi="宋体" w:cs="宋体" w:eastAsia="宋体" w:hint="default"/>
                <w:sz w:val="18"/>
                <w:szCs w:val="18"/>
              </w:rPr>
              <w:t> </w:t>
            </w:r>
            <w:r>
              <w:rPr>
                <w:rFonts w:ascii="宋体" w:hAnsi="宋体" w:cs="宋体" w:eastAsia="宋体" w:hint="default"/>
                <w:spacing w:val="-19"/>
                <w:sz w:val="18"/>
                <w:szCs w:val="18"/>
              </w:rPr>
              <w:t>和供应；燃气生产和供</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1"/>
                <w:sz w:val="18"/>
                <w:szCs w:val="18"/>
              </w:rPr>
              <w:t>应；水的生产和供应</w:t>
            </w:r>
            <w:r>
              <w:rPr>
                <w:rFonts w:ascii="宋体" w:hAnsi="宋体" w:cs="宋体" w:eastAsia="宋体" w:hint="default"/>
                <w:sz w:val="18"/>
                <w:szCs w:val="18"/>
              </w:rPr>
              <w:t> </w:t>
            </w:r>
          </w:p>
        </w:tc>
        <w:tc>
          <w:tcPr>
            <w:tcW w:w="64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51"/>
              <w:jc w:val="right"/>
              <w:rPr>
                <w:rFonts w:ascii="Arial" w:hAnsi="Arial" w:cs="Arial" w:eastAsia="Arial" w:hint="default"/>
                <w:sz w:val="21"/>
                <w:szCs w:val="21"/>
              </w:rPr>
            </w:pPr>
            <w:r>
              <w:rPr>
                <w:rFonts w:ascii="Arial"/>
                <w:spacing w:val="-1"/>
                <w:sz w:val="21"/>
              </w:rPr>
              <w:t>49.00</w:t>
            </w:r>
          </w:p>
        </w:tc>
        <w:tc>
          <w:tcPr>
            <w:tcW w:w="567" w:type="dxa"/>
            <w:tcBorders>
              <w:top w:val="single" w:sz="4" w:space="0" w:color="41B7EE"/>
              <w:left w:val="single" w:sz="4" w:space="0" w:color="41B7EE"/>
              <w:bottom w:val="single" w:sz="4" w:space="0" w:color="41B7EE"/>
              <w:right w:val="single" w:sz="4" w:space="0" w:color="41B7EE"/>
            </w:tcBorders>
          </w:tcPr>
          <w:p>
            <w:pPr/>
          </w:p>
        </w:tc>
        <w:tc>
          <w:tcPr>
            <w:tcW w:w="146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1" w:right="0"/>
              <w:jc w:val="center"/>
              <w:rPr>
                <w:rFonts w:ascii="宋体" w:hAnsi="宋体" w:cs="宋体" w:eastAsia="宋体" w:hint="default"/>
                <w:sz w:val="21"/>
                <w:szCs w:val="21"/>
              </w:rPr>
            </w:pPr>
            <w:r>
              <w:rPr>
                <w:rFonts w:ascii="宋体" w:hAnsi="宋体" w:cs="宋体" w:eastAsia="宋体" w:hint="default"/>
                <w:sz w:val="21"/>
                <w:szCs w:val="21"/>
              </w:rPr>
              <w:t>按权益法核算</w:t>
            </w:r>
            <w:r>
              <w:rPr>
                <w:rFonts w:ascii="宋体" w:hAnsi="宋体" w:cs="宋体" w:eastAsia="宋体" w:hint="default"/>
                <w:sz w:val="21"/>
                <w:szCs w:val="21"/>
              </w:rPr>
              <w:t> </w:t>
            </w:r>
          </w:p>
        </w:tc>
      </w:tr>
      <w:tr>
        <w:trPr>
          <w:trHeight w:val="953" w:hRule="exact"/>
        </w:trPr>
        <w:tc>
          <w:tcPr>
            <w:tcW w:w="2720"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7" w:right="0"/>
              <w:jc w:val="left"/>
              <w:rPr>
                <w:rFonts w:ascii="宋体" w:hAnsi="宋体" w:cs="宋体" w:eastAsia="宋体" w:hint="default"/>
                <w:sz w:val="21"/>
                <w:szCs w:val="21"/>
              </w:rPr>
            </w:pPr>
            <w:r>
              <w:rPr>
                <w:rFonts w:ascii="宋体" w:hAnsi="宋体" w:cs="宋体" w:eastAsia="宋体" w:hint="default"/>
                <w:sz w:val="21"/>
                <w:szCs w:val="21"/>
              </w:rPr>
              <w:t>黑龙江省克东腐乳有限公司</w:t>
            </w:r>
            <w:r>
              <w:rPr>
                <w:rFonts w:ascii="宋体" w:hAnsi="宋体" w:cs="宋体" w:eastAsia="宋体" w:hint="default"/>
                <w:sz w:val="21"/>
                <w:szCs w:val="21"/>
              </w:rPr>
              <w:t> </w:t>
            </w:r>
          </w:p>
        </w:tc>
        <w:tc>
          <w:tcPr>
            <w:tcW w:w="850"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72" w:lineRule="exact"/>
              <w:ind w:left="50" w:right="155"/>
              <w:jc w:val="left"/>
              <w:rPr>
                <w:rFonts w:ascii="宋体" w:hAnsi="宋体" w:cs="宋体" w:eastAsia="宋体" w:hint="default"/>
                <w:sz w:val="21"/>
                <w:szCs w:val="21"/>
              </w:rPr>
            </w:pPr>
            <w:r>
              <w:rPr>
                <w:rFonts w:ascii="宋体" w:hAnsi="宋体" w:cs="宋体" w:eastAsia="宋体" w:hint="default"/>
                <w:sz w:val="21"/>
                <w:szCs w:val="21"/>
              </w:rPr>
              <w:t>齐齐哈</w:t>
            </w:r>
            <w:r>
              <w:rPr>
                <w:rFonts w:ascii="宋体" w:hAnsi="宋体" w:cs="宋体" w:eastAsia="宋体" w:hint="default"/>
                <w:spacing w:val="-102"/>
                <w:sz w:val="21"/>
                <w:szCs w:val="21"/>
              </w:rPr>
              <w:t> </w:t>
            </w:r>
            <w:r>
              <w:rPr>
                <w:rFonts w:ascii="宋体" w:hAnsi="宋体" w:cs="宋体" w:eastAsia="宋体" w:hint="default"/>
                <w:sz w:val="21"/>
                <w:szCs w:val="21"/>
              </w:rPr>
              <w:t>尔市</w:t>
            </w:r>
            <w:r>
              <w:rPr>
                <w:rFonts w:ascii="宋体" w:hAnsi="宋体" w:cs="宋体" w:eastAsia="宋体" w:hint="default"/>
                <w:sz w:val="21"/>
                <w:szCs w:val="21"/>
              </w:rPr>
              <w:t> </w:t>
            </w:r>
          </w:p>
        </w:tc>
        <w:tc>
          <w:tcPr>
            <w:tcW w:w="850"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72" w:lineRule="exact"/>
              <w:ind w:left="50" w:right="155"/>
              <w:jc w:val="left"/>
              <w:rPr>
                <w:rFonts w:ascii="宋体" w:hAnsi="宋体" w:cs="宋体" w:eastAsia="宋体" w:hint="default"/>
                <w:sz w:val="21"/>
                <w:szCs w:val="21"/>
              </w:rPr>
            </w:pPr>
            <w:r>
              <w:rPr>
                <w:rFonts w:ascii="宋体" w:hAnsi="宋体" w:cs="宋体" w:eastAsia="宋体" w:hint="default"/>
                <w:sz w:val="21"/>
                <w:szCs w:val="21"/>
              </w:rPr>
              <w:t>齐齐哈</w:t>
            </w:r>
            <w:r>
              <w:rPr>
                <w:rFonts w:ascii="宋体" w:hAnsi="宋体" w:cs="宋体" w:eastAsia="宋体" w:hint="default"/>
                <w:spacing w:val="-102"/>
                <w:sz w:val="21"/>
                <w:szCs w:val="21"/>
              </w:rPr>
              <w:t> </w:t>
            </w:r>
            <w:r>
              <w:rPr>
                <w:rFonts w:ascii="宋体" w:hAnsi="宋体" w:cs="宋体" w:eastAsia="宋体" w:hint="default"/>
                <w:sz w:val="21"/>
                <w:szCs w:val="21"/>
              </w:rPr>
              <w:t>尔市</w:t>
            </w:r>
            <w:r>
              <w:rPr>
                <w:rFonts w:ascii="宋体" w:hAnsi="宋体" w:cs="宋体" w:eastAsia="宋体" w:hint="default"/>
                <w:sz w:val="21"/>
                <w:szCs w:val="21"/>
              </w:rPr>
              <w:t> </w:t>
            </w:r>
          </w:p>
        </w:tc>
        <w:tc>
          <w:tcPr>
            <w:tcW w:w="1851" w:type="dxa"/>
            <w:tcBorders>
              <w:top w:val="single" w:sz="4" w:space="0" w:color="41B7EE"/>
              <w:left w:val="single" w:sz="4" w:space="0" w:color="41B7EE"/>
              <w:bottom w:val="single" w:sz="8" w:space="0" w:color="41B7EE"/>
              <w:right w:val="single" w:sz="4" w:space="0" w:color="41B7EE"/>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pacing w:val="-7"/>
                <w:sz w:val="18"/>
                <w:szCs w:val="18"/>
              </w:rPr>
              <w:t>生产豆制品（发酵性豆</w:t>
            </w:r>
          </w:p>
          <w:p>
            <w:pPr>
              <w:pStyle w:val="TableParagraph"/>
              <w:spacing w:line="232" w:lineRule="exact" w:before="24"/>
              <w:ind w:left="52" w:right="51"/>
              <w:jc w:val="left"/>
              <w:rPr>
                <w:rFonts w:ascii="宋体" w:hAnsi="宋体" w:cs="宋体" w:eastAsia="宋体" w:hint="default"/>
                <w:sz w:val="18"/>
                <w:szCs w:val="18"/>
              </w:rPr>
            </w:pPr>
            <w:r>
              <w:rPr>
                <w:rFonts w:ascii="宋体" w:hAnsi="宋体" w:cs="宋体" w:eastAsia="宋体" w:hint="default"/>
                <w:spacing w:val="-7"/>
                <w:sz w:val="18"/>
                <w:szCs w:val="18"/>
              </w:rPr>
              <w:t>制品），调味品，食品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用塑料容器，电子商 务，互联网销售</w:t>
            </w:r>
            <w:r>
              <w:rPr>
                <w:rFonts w:ascii="宋体" w:hAnsi="宋体" w:cs="宋体" w:eastAsia="宋体" w:hint="default"/>
                <w:sz w:val="18"/>
                <w:szCs w:val="18"/>
              </w:rPr>
              <w:t> </w:t>
            </w:r>
          </w:p>
        </w:tc>
        <w:tc>
          <w:tcPr>
            <w:tcW w:w="648"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51"/>
              <w:jc w:val="right"/>
              <w:rPr>
                <w:rFonts w:ascii="Arial" w:hAnsi="Arial" w:cs="Arial" w:eastAsia="Arial" w:hint="default"/>
                <w:sz w:val="21"/>
                <w:szCs w:val="21"/>
              </w:rPr>
            </w:pPr>
            <w:r>
              <w:rPr>
                <w:rFonts w:ascii="Arial"/>
                <w:spacing w:val="-1"/>
                <w:sz w:val="21"/>
              </w:rPr>
              <w:t>22.36</w:t>
            </w:r>
          </w:p>
        </w:tc>
        <w:tc>
          <w:tcPr>
            <w:tcW w:w="567" w:type="dxa"/>
            <w:tcBorders>
              <w:top w:val="single" w:sz="4" w:space="0" w:color="41B7EE"/>
              <w:left w:val="single" w:sz="4" w:space="0" w:color="41B7EE"/>
              <w:bottom w:val="single" w:sz="8" w:space="0" w:color="41B7EE"/>
              <w:right w:val="single" w:sz="4" w:space="0" w:color="41B7EE"/>
            </w:tcBorders>
          </w:tcPr>
          <w:p>
            <w:pPr/>
          </w:p>
        </w:tc>
        <w:tc>
          <w:tcPr>
            <w:tcW w:w="1464"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1" w:right="0"/>
              <w:jc w:val="center"/>
              <w:rPr>
                <w:rFonts w:ascii="宋体" w:hAnsi="宋体" w:cs="宋体" w:eastAsia="宋体" w:hint="default"/>
                <w:sz w:val="21"/>
                <w:szCs w:val="21"/>
              </w:rPr>
            </w:pPr>
            <w:r>
              <w:rPr>
                <w:rFonts w:ascii="宋体" w:hAnsi="宋体" w:cs="宋体" w:eastAsia="宋体" w:hint="default"/>
                <w:sz w:val="21"/>
                <w:szCs w:val="21"/>
              </w:rPr>
              <w:t>按权益法核算</w:t>
            </w:r>
            <w:r>
              <w:rPr>
                <w:rFonts w:ascii="宋体" w:hAnsi="宋体" w:cs="宋体" w:eastAsia="宋体" w:hint="default"/>
                <w:sz w:val="21"/>
                <w:szCs w:val="21"/>
              </w:rPr>
              <w:t> </w:t>
            </w:r>
          </w:p>
        </w:tc>
      </w:tr>
    </w:tbl>
    <w:p>
      <w:pPr>
        <w:spacing w:line="240" w:lineRule="auto" w:before="11"/>
        <w:rPr>
          <w:rFonts w:ascii="宋体" w:hAnsi="宋体" w:cs="宋体" w:eastAsia="宋体" w:hint="default"/>
          <w:sz w:val="2"/>
          <w:szCs w:val="2"/>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48.4pt;height:1pt;mso-position-horizontal-relative:char;mso-position-vertical-relative:line" coordorigin="0,0" coordsize="8968,20">
            <v:group style="position:absolute;left:10;top:10;width:2715;height:2" coordorigin="10,10" coordsize="2715,2">
              <v:shape style="position:absolute;left:10;top:10;width:2715;height:2" coordorigin="10,10" coordsize="2715,0" path="m10,10l2724,10e" filled="false" stroked="true" strokeweight=".95996pt" strokecolor="#41b7ee">
                <v:path arrowok="t"/>
              </v:shape>
            </v:group>
            <v:group style="position:absolute;left:2725;top:10;width:58;height:2" coordorigin="2725,10" coordsize="58,2">
              <v:shape style="position:absolute;left:2725;top:10;width:58;height:2" coordorigin="2725,10" coordsize="58,0" path="m2725,10l2782,10e" filled="false" stroked="true" strokeweight=".95996pt" strokecolor="#41b7ee">
                <v:path arrowok="t"/>
              </v:shape>
            </v:group>
            <v:group style="position:absolute;left:2782;top:10;width:792;height:2" coordorigin="2782,10" coordsize="792,2">
              <v:shape style="position:absolute;left:2782;top:10;width:792;height:2" coordorigin="2782,10" coordsize="792,0" path="m2782,10l3574,10e" filled="false" stroked="true" strokeweight=".95996pt" strokecolor="#41b7ee">
                <v:path arrowok="t"/>
              </v:shape>
            </v:group>
            <v:group style="position:absolute;left:3574;top:10;width:58;height:2" coordorigin="3574,10" coordsize="58,2">
              <v:shape style="position:absolute;left:3574;top:10;width:58;height:2" coordorigin="3574,10" coordsize="58,0" path="m3574,10l3632,10e" filled="false" stroked="true" strokeweight=".95996pt" strokecolor="#41b7ee">
                <v:path arrowok="t"/>
              </v:shape>
            </v:group>
            <v:group style="position:absolute;left:3632;top:10;width:792;height:2" coordorigin="3632,10" coordsize="792,2">
              <v:shape style="position:absolute;left:3632;top:10;width:792;height:2" coordorigin="3632,10" coordsize="792,0" path="m3632,10l4424,10e" filled="false" stroked="true" strokeweight=".95996pt" strokecolor="#41b7ee">
                <v:path arrowok="t"/>
              </v:shape>
            </v:group>
            <v:group style="position:absolute;left:4424;top:10;width:58;height:2" coordorigin="4424,10" coordsize="58,2">
              <v:shape style="position:absolute;left:4424;top:10;width:58;height:2" coordorigin="4424,10" coordsize="58,0" path="m4424,10l4481,10e" filled="false" stroked="true" strokeweight=".95996pt" strokecolor="#41b7ee">
                <v:path arrowok="t"/>
              </v:shape>
            </v:group>
            <v:group style="position:absolute;left:4481;top:10;width:1794;height:2" coordorigin="4481,10" coordsize="1794,2">
              <v:shape style="position:absolute;left:4481;top:10;width:1794;height:2" coordorigin="4481,10" coordsize="1794,0" path="m4481,10l6275,10e" filled="false" stroked="true" strokeweight=".95996pt" strokecolor="#41b7ee">
                <v:path arrowok="t"/>
              </v:shape>
            </v:group>
            <v:group style="position:absolute;left:6275;top:10;width:58;height:2" coordorigin="6275,10" coordsize="58,2">
              <v:shape style="position:absolute;left:6275;top:10;width:58;height:2" coordorigin="6275,10" coordsize="58,0" path="m6275,10l6332,10e" filled="false" stroked="true" strokeweight=".95996pt" strokecolor="#41b7ee">
                <v:path arrowok="t"/>
              </v:shape>
            </v:group>
            <v:group style="position:absolute;left:6332;top:10;width:591;height:2" coordorigin="6332,10" coordsize="591,2">
              <v:shape style="position:absolute;left:6332;top:10;width:591;height:2" coordorigin="6332,10" coordsize="591,0" path="m6332,10l6923,10e" filled="false" stroked="true" strokeweight=".95996pt" strokecolor="#41b7ee">
                <v:path arrowok="t"/>
              </v:shape>
            </v:group>
            <v:group style="position:absolute;left:6923;top:10;width:58;height:2" coordorigin="6923,10" coordsize="58,2">
              <v:shape style="position:absolute;left:6923;top:10;width:58;height:2" coordorigin="6923,10" coordsize="58,0" path="m6923,10l6980,10e" filled="false" stroked="true" strokeweight=".95996pt" strokecolor="#41b7ee">
                <v:path arrowok="t"/>
              </v:shape>
            </v:group>
            <v:group style="position:absolute;left:6980;top:10;width:510;height:2" coordorigin="6980,10" coordsize="510,2">
              <v:shape style="position:absolute;left:6980;top:10;width:510;height:2" coordorigin="6980,10" coordsize="510,0" path="m6980,10l7489,10e" filled="false" stroked="true" strokeweight=".95996pt" strokecolor="#41b7ee">
                <v:path arrowok="t"/>
              </v:shape>
            </v:group>
            <v:group style="position:absolute;left:7490;top:10;width:58;height:2" coordorigin="7490,10" coordsize="58,2">
              <v:shape style="position:absolute;left:7490;top:10;width:58;height:2" coordorigin="7490,10" coordsize="58,0" path="m7490,10l7547,10e" filled="false" stroked="true" strokeweight=".95996pt" strokecolor="#41b7ee">
                <v:path arrowok="t"/>
              </v:shape>
            </v:group>
            <v:group style="position:absolute;left:7547;top:10;width:1412;height:2" coordorigin="7547,10" coordsize="1412,2">
              <v:shape style="position:absolute;left:7547;top:10;width:1412;height:2" coordorigin="7547,10" coordsize="1412,0" path="m7547,10l8958,10e" filled="false" stroked="true" strokeweight=".95996pt" strokecolor="#41b7ee">
                <v:path arrowok="t"/>
              </v:shape>
            </v:group>
          </v:group>
        </w:pict>
      </w:r>
      <w:r>
        <w:rPr>
          <w:rFonts w:ascii="宋体" w:hAnsi="宋体" w:cs="宋体" w:eastAsia="宋体" w:hint="default"/>
          <w:sz w:val="2"/>
          <w:szCs w:val="2"/>
        </w:rPr>
      </w:r>
    </w:p>
    <w:p>
      <w:pPr>
        <w:pStyle w:val="BodyText"/>
        <w:spacing w:line="238" w:lineRule="exact"/>
        <w:ind w:left="178" w:right="102"/>
        <w:jc w:val="left"/>
        <w:rPr>
          <w:rFonts w:ascii="宋体" w:hAnsi="宋体" w:cs="宋体" w:eastAsia="宋体" w:hint="default"/>
        </w:rPr>
      </w:pPr>
      <w:r>
        <w:rPr/>
        <w:pict>
          <v:group style="position:absolute;margin-left:400.75pt;margin-top:-105.040039pt;width:31.95pt;height:7.6pt;mso-position-horizontal-relative:page;mso-position-vertical-relative:paragraph;z-index:-938896" coordorigin="8015,-2101" coordsize="639,152">
            <v:shape style="position:absolute;left:8015;top:-2101;width:639;height:152" coordorigin="8015,-2101" coordsize="639,152" path="m8015,-1950l8653,-1950,8653,-2101,8015,-2101,8015,-1950xe" filled="true" fillcolor="#ffffff" stroked="false">
              <v:path arrowok="t"/>
              <v:fill type="solid"/>
            </v:shape>
            <w10:wrap type="none"/>
          </v:group>
        </w:pict>
      </w:r>
      <w:r>
        <w:rPr/>
        <w:t>其他说明：</w:t>
      </w:r>
      <w:r>
        <w:rPr>
          <w:rFonts w:ascii="宋体" w:hAnsi="宋体" w:cs="宋体" w:eastAsia="宋体" w:hint="default"/>
        </w:rPr>
        <w:t> </w:t>
      </w:r>
    </w:p>
    <w:p>
      <w:pPr>
        <w:pStyle w:val="BodyText"/>
        <w:spacing w:line="272" w:lineRule="exact" w:before="26"/>
        <w:ind w:left="178" w:right="105" w:firstLine="419"/>
        <w:jc w:val="left"/>
        <w:rPr>
          <w:rFonts w:ascii="宋体" w:hAnsi="宋体" w:cs="宋体" w:eastAsia="宋体" w:hint="default"/>
        </w:rPr>
      </w:pPr>
      <w:r>
        <w:rPr/>
        <w:t>哈尔滨乔仕房地产开发有限公司因停业且主要管理人员涉诉，未能提供</w:t>
      </w:r>
      <w:r>
        <w:rPr>
          <w:spacing w:val="-52"/>
        </w:rPr>
        <w:t> </w:t>
      </w:r>
      <w:r>
        <w:rPr>
          <w:rFonts w:ascii="宋体" w:hAnsi="宋体" w:cs="宋体" w:eastAsia="宋体" w:hint="default"/>
        </w:rPr>
        <w:t>2019</w:t>
      </w:r>
      <w:r>
        <w:rPr>
          <w:rFonts w:ascii="宋体" w:hAnsi="宋体" w:cs="宋体" w:eastAsia="宋体" w:hint="default"/>
          <w:spacing w:val="-54"/>
        </w:rPr>
        <w:t> </w:t>
      </w:r>
      <w:r>
        <w:rPr/>
        <w:t>年度决算报表，</w:t>
      </w:r>
      <w:r>
        <w:rPr>
          <w:w w:val="100"/>
        </w:rPr>
        <w:t> </w:t>
      </w:r>
      <w:r>
        <w:rPr/>
        <w:t>无法披露相关财务信息。</w:t>
      </w:r>
      <w:r>
        <w:rPr>
          <w:rFonts w:ascii="宋体" w:hAnsi="宋体" w:cs="宋体" w:eastAsia="宋体" w:hint="default"/>
        </w:rPr>
        <w:t> </w:t>
      </w:r>
    </w:p>
    <w:p>
      <w:pPr>
        <w:pStyle w:val="BodyText"/>
        <w:spacing w:line="249" w:lineRule="exact"/>
        <w:ind w:left="178" w:right="0"/>
        <w:jc w:val="left"/>
        <w:rPr>
          <w:rFonts w:ascii="宋体" w:hAnsi="宋体" w:cs="宋体" w:eastAsia="宋体" w:hint="default"/>
        </w:rPr>
      </w:pPr>
      <w:r>
        <w:rPr>
          <w:rFonts w:ascii="宋体"/>
          <w:w w:val="100"/>
        </w:rPr>
        <w:t> </w:t>
      </w:r>
    </w:p>
    <w:p>
      <w:pPr>
        <w:pStyle w:val="Heading2"/>
        <w:spacing w:line="240" w:lineRule="auto"/>
        <w:ind w:left="178" w:right="102"/>
        <w:jc w:val="left"/>
        <w:rPr>
          <w:rFonts w:ascii="宋体" w:hAnsi="宋体" w:cs="宋体" w:eastAsia="宋体" w:hint="default"/>
          <w:b w:val="0"/>
          <w:bCs w:val="0"/>
        </w:rPr>
      </w:pPr>
      <w:r>
        <w:rPr>
          <w:rFonts w:ascii="宋体" w:hAnsi="宋体" w:cs="宋体" w:eastAsia="宋体" w:hint="default"/>
        </w:rPr>
        <w:t>(2).</w:t>
      </w:r>
      <w:r>
        <w:rPr/>
        <w:t>重要合营企业的主要财务信息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78" w:right="10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78"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63"/>
        <w:ind w:left="0" w:right="37" w:firstLine="0"/>
        <w:jc w:val="center"/>
        <w:rPr>
          <w:rFonts w:ascii="Calibri" w:hAnsi="Calibri" w:cs="Calibri" w:eastAsia="Calibri" w:hint="default"/>
          <w:sz w:val="18"/>
          <w:szCs w:val="18"/>
        </w:rPr>
      </w:pPr>
      <w:r>
        <w:rPr>
          <w:rFonts w:ascii="Calibri"/>
          <w:b/>
          <w:sz w:val="18"/>
        </w:rPr>
        <w:t>152 </w:t>
      </w:r>
      <w:r>
        <w:rPr>
          <w:rFonts w:ascii="Calibri"/>
          <w:sz w:val="18"/>
        </w:rPr>
        <w:t>/</w:t>
      </w:r>
      <w:r>
        <w:rPr>
          <w:rFonts w:ascii="Calibri"/>
          <w:spacing w:val="-3"/>
          <w:sz w:val="18"/>
        </w:rPr>
        <w:t> </w:t>
      </w:r>
      <w:r>
        <w:rPr>
          <w:rFonts w:ascii="Calibri"/>
          <w:b/>
          <w:sz w:val="18"/>
        </w:rPr>
        <w:t>173</w:t>
      </w:r>
      <w:r>
        <w:rPr>
          <w:rFonts w:ascii="Calibri"/>
          <w:sz w:val="18"/>
        </w:rPr>
      </w:r>
    </w:p>
    <w:p>
      <w:pPr>
        <w:spacing w:after="0"/>
        <w:jc w:val="center"/>
        <w:rPr>
          <w:rFonts w:ascii="Calibri" w:hAnsi="Calibri" w:cs="Calibri" w:eastAsia="Calibri" w:hint="default"/>
          <w:sz w:val="18"/>
          <w:szCs w:val="18"/>
        </w:rPr>
        <w:sectPr>
          <w:type w:val="continuous"/>
          <w:pgSz w:w="11910" w:h="16840"/>
          <w:pgMar w:top="1360" w:bottom="1380" w:left="1620" w:right="1060"/>
        </w:sectPr>
      </w:pPr>
    </w:p>
    <w:p>
      <w:pPr>
        <w:spacing w:line="240" w:lineRule="auto" w:before="6"/>
        <w:rPr>
          <w:rFonts w:ascii="Calibri" w:hAnsi="Calibri" w:cs="Calibri" w:eastAsia="Calibri" w:hint="default"/>
          <w:b/>
          <w:bCs/>
          <w:sz w:val="6"/>
          <w:szCs w:val="6"/>
        </w:rPr>
      </w:pPr>
    </w:p>
    <w:p>
      <w:pPr>
        <w:spacing w:line="544" w:lineRule="exact"/>
        <w:ind w:left="104" w:right="0" w:firstLine="0"/>
        <w:rPr>
          <w:rFonts w:ascii="Calibri" w:hAnsi="Calibri" w:cs="Calibri" w:eastAsia="Calibri" w:hint="default"/>
          <w:sz w:val="20"/>
          <w:szCs w:val="20"/>
        </w:rPr>
      </w:pPr>
      <w:r>
        <w:rPr>
          <w:rFonts w:ascii="Calibri" w:hAnsi="Calibri" w:cs="Calibri" w:eastAsia="Calibri" w:hint="default"/>
          <w:position w:val="-10"/>
          <w:sz w:val="20"/>
          <w:szCs w:val="20"/>
        </w:rPr>
        <w:pict>
          <v:group style="width:696.35pt;height:27.25pt;mso-position-horizontal-relative:char;mso-position-vertical-relative:line" coordorigin="0,0" coordsize="13927,545">
            <v:group style="position:absolute;left:7;top:538;width:13913;height:2" coordorigin="7,538" coordsize="13913,2">
              <v:shape style="position:absolute;left:7;top:538;width:13913;height:2" coordorigin="7,538" coordsize="13913,0" path="m7,538l13920,538e" filled="false" stroked="true" strokeweight=".72pt" strokecolor="#000000">
                <v:path arrowok="t"/>
              </v:shape>
              <v:shape style="position:absolute;left:98;top:0;width:4665;height:480" type="#_x0000_t75" stroked="false">
                <v:imagedata r:id="rId16" o:title=""/>
              </v:shape>
              <v:shape style="position:absolute;left:0;top:0;width:13927;height:545" type="#_x0000_t202" filled="false" stroked="false">
                <v:textbox inset="0,0,0,0">
                  <w:txbxContent>
                    <w:p>
                      <w:pPr>
                        <w:spacing w:line="454" w:lineRule="exact" w:before="0"/>
                        <w:ind w:left="0" w:right="31" w:firstLine="0"/>
                        <w:jc w:val="right"/>
                        <w:rPr>
                          <w:rFonts w:ascii="微软雅黑" w:hAnsi="微软雅黑" w:cs="微软雅黑" w:eastAsia="微软雅黑" w:hint="default"/>
                          <w:sz w:val="28"/>
                          <w:szCs w:val="28"/>
                        </w:rPr>
                      </w:pPr>
                      <w:r>
                        <w:rPr>
                          <w:rFonts w:ascii="微软雅黑" w:hAnsi="微软雅黑" w:cs="微软雅黑" w:eastAsia="微软雅黑" w:hint="default"/>
                          <w:b/>
                          <w:bCs/>
                          <w:sz w:val="28"/>
                          <w:szCs w:val="28"/>
                        </w:rPr>
                        <w:t>2019</w:t>
                      </w:r>
                      <w:r>
                        <w:rPr>
                          <w:rFonts w:ascii="微软雅黑" w:hAnsi="微软雅黑" w:cs="微软雅黑" w:eastAsia="微软雅黑" w:hint="default"/>
                          <w:b/>
                          <w:bCs/>
                          <w:spacing w:val="-17"/>
                          <w:sz w:val="28"/>
                          <w:szCs w:val="28"/>
                        </w:rPr>
                        <w:t> </w:t>
                      </w:r>
                      <w:r>
                        <w:rPr>
                          <w:rFonts w:ascii="微软雅黑" w:hAnsi="微软雅黑" w:cs="微软雅黑" w:eastAsia="微软雅黑" w:hint="default"/>
                          <w:b/>
                          <w:bCs/>
                          <w:sz w:val="28"/>
                          <w:szCs w:val="28"/>
                        </w:rPr>
                        <w:t>年年度报告</w:t>
                      </w:r>
                      <w:r>
                        <w:rPr>
                          <w:rFonts w:ascii="微软雅黑" w:hAnsi="微软雅黑" w:cs="微软雅黑" w:eastAsia="微软雅黑" w:hint="default"/>
                          <w:sz w:val="28"/>
                          <w:szCs w:val="28"/>
                        </w:rPr>
                      </w:r>
                    </w:p>
                  </w:txbxContent>
                </v:textbox>
                <w10:wrap type="none"/>
              </v:shape>
            </v:group>
          </v:group>
        </w:pict>
      </w:r>
      <w:r>
        <w:rPr>
          <w:rFonts w:ascii="Calibri" w:hAnsi="Calibri" w:cs="Calibri" w:eastAsia="Calibri" w:hint="default"/>
          <w:position w:val="-10"/>
          <w:sz w:val="20"/>
          <w:szCs w:val="20"/>
        </w:rPr>
      </w: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headerReference w:type="default" r:id="rId85"/>
          <w:footerReference w:type="default" r:id="rId86"/>
          <w:pgSz w:w="16840" w:h="11910" w:orient="landscape"/>
          <w:pgMar w:header="0" w:footer="0" w:top="740" w:bottom="280" w:left="1300" w:right="1260"/>
        </w:sectPr>
      </w:pPr>
    </w:p>
    <w:p>
      <w:pPr>
        <w:spacing w:line="240" w:lineRule="auto" w:before="2"/>
        <w:rPr>
          <w:rFonts w:ascii="Calibri" w:hAnsi="Calibri" w:cs="Calibri" w:eastAsia="Calibri" w:hint="default"/>
          <w:b/>
          <w:bCs/>
          <w:sz w:val="17"/>
          <w:szCs w:val="17"/>
        </w:rPr>
      </w:pPr>
    </w:p>
    <w:p>
      <w:pPr>
        <w:pStyle w:val="Heading2"/>
        <w:spacing w:line="240" w:lineRule="auto" w:before="0"/>
        <w:ind w:left="140" w:right="0"/>
        <w:jc w:val="left"/>
        <w:rPr>
          <w:rFonts w:ascii="宋体" w:hAnsi="宋体" w:cs="宋体" w:eastAsia="宋体" w:hint="default"/>
          <w:b w:val="0"/>
          <w:bCs w:val="0"/>
        </w:rPr>
      </w:pPr>
      <w:r>
        <w:rPr>
          <w:rFonts w:ascii="宋体" w:hAnsi="宋体" w:cs="宋体" w:eastAsia="宋体" w:hint="default"/>
        </w:rPr>
        <w:t>(3).</w:t>
      </w:r>
      <w:r>
        <w:rPr/>
        <w:t>重要联营企业的主要财务信息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240" w:lineRule="auto"/>
        <w:ind w:left="140" w:right="0"/>
        <w:jc w:val="left"/>
        <w:rPr>
          <w:rFonts w:ascii="宋体" w:hAnsi="宋体" w:cs="宋体" w:eastAsia="宋体" w:hint="default"/>
        </w:rPr>
      </w:pPr>
      <w:r>
        <w:rPr/>
        <w:t>单位：万元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360" w:bottom="1380" w:left="1300" w:right="1260"/>
          <w:cols w:num="2" w:equalWidth="0">
            <w:col w:w="3412" w:space="7939"/>
            <w:col w:w="2929"/>
          </w:cols>
        </w:sectPr>
      </w:pPr>
    </w:p>
    <w:p>
      <w:pPr>
        <w:spacing w:line="240" w:lineRule="auto" w:before="4"/>
        <w:rPr>
          <w:rFonts w:ascii="宋体" w:hAnsi="宋体" w:cs="宋体" w:eastAsia="宋体" w:hint="default"/>
          <w:sz w:val="2"/>
          <w:szCs w:val="2"/>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703.05pt;height:1pt;mso-position-horizontal-relative:char;mso-position-vertical-relative:line" coordorigin="0,0" coordsize="14061,20">
            <v:group style="position:absolute;left:10;top:10;width:2017;height:2" coordorigin="10,10" coordsize="2017,2">
              <v:shape style="position:absolute;left:10;top:10;width:2017;height:2" coordorigin="10,10" coordsize="2017,0" path="m10,10l2026,10e" filled="false" stroked="true" strokeweight=".96001pt" strokecolor="#41b7ee">
                <v:path arrowok="t"/>
              </v:shape>
            </v:group>
            <v:group style="position:absolute;left:2026;top:10;width:58;height:2" coordorigin="2026,10" coordsize="58,2">
              <v:shape style="position:absolute;left:2026;top:10;width:58;height:2" coordorigin="2026,10" coordsize="58,0" path="m2026,10l2084,10e" filled="false" stroked="true" strokeweight=".96001pt" strokecolor="#41b7ee">
                <v:path arrowok="t"/>
              </v:shape>
            </v:group>
            <v:group style="position:absolute;left:2084;top:10;width:6357;height:2" coordorigin="2084,10" coordsize="6357,2">
              <v:shape style="position:absolute;left:2084;top:10;width:6357;height:2" coordorigin="2084,10" coordsize="6357,0" path="m2084,10l8440,10e" filled="false" stroked="true" strokeweight=".96001pt" strokecolor="#41b7ee">
                <v:path arrowok="t"/>
              </v:shape>
            </v:group>
            <v:group style="position:absolute;left:8440;top:10;width:58;height:2" coordorigin="8440,10" coordsize="58,2">
              <v:shape style="position:absolute;left:8440;top:10;width:58;height:2" coordorigin="8440,10" coordsize="58,0" path="m8440,10l8497,10e" filled="false" stroked="true" strokeweight=".96001pt" strokecolor="#41b7ee">
                <v:path arrowok="t"/>
              </v:shape>
            </v:group>
            <v:group style="position:absolute;left:8497;top:10;width:5554;height:2" coordorigin="8497,10" coordsize="5554,2">
              <v:shape style="position:absolute;left:8497;top:10;width:5554;height:2" coordorigin="8497,10" coordsize="5554,0" path="m8497,10l14051,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2021"/>
        <w:gridCol w:w="948"/>
        <w:gridCol w:w="946"/>
        <w:gridCol w:w="790"/>
        <w:gridCol w:w="862"/>
        <w:gridCol w:w="994"/>
        <w:gridCol w:w="994"/>
        <w:gridCol w:w="859"/>
        <w:gridCol w:w="989"/>
        <w:gridCol w:w="946"/>
        <w:gridCol w:w="853"/>
        <w:gridCol w:w="854"/>
        <w:gridCol w:w="994"/>
        <w:gridCol w:w="994"/>
      </w:tblGrid>
      <w:tr>
        <w:trPr>
          <w:trHeight w:val="365" w:hRule="exact"/>
        </w:trPr>
        <w:tc>
          <w:tcPr>
            <w:tcW w:w="2021" w:type="dxa"/>
            <w:vMerge w:val="restart"/>
            <w:tcBorders>
              <w:top w:val="single" w:sz="8" w:space="0" w:color="41B7EE"/>
              <w:left w:val="nil" w:sz="6" w:space="0" w:color="auto"/>
              <w:right w:val="single" w:sz="4" w:space="0" w:color="41B7EE"/>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20"/>
                <w:szCs w:val="20"/>
              </w:rPr>
            </w:pPr>
            <w:r>
              <w:rPr>
                <w:rFonts w:ascii="宋体"/>
                <w:w w:val="99"/>
                <w:sz w:val="20"/>
              </w:rPr>
              <w:t> </w:t>
            </w:r>
            <w:r>
              <w:rPr>
                <w:rFonts w:ascii="宋体"/>
                <w:sz w:val="20"/>
              </w:rPr>
            </w:r>
          </w:p>
        </w:tc>
        <w:tc>
          <w:tcPr>
            <w:tcW w:w="6392" w:type="dxa"/>
            <w:gridSpan w:val="7"/>
            <w:tcBorders>
              <w:top w:val="single" w:sz="8" w:space="0" w:color="41B7EE"/>
              <w:left w:val="single" w:sz="4" w:space="0" w:color="41B7EE"/>
              <w:bottom w:val="single" w:sz="4" w:space="0" w:color="41B7EE"/>
              <w:right w:val="single" w:sz="4" w:space="0" w:color="41B7EE"/>
            </w:tcBorders>
          </w:tcPr>
          <w:p>
            <w:pPr>
              <w:pStyle w:val="TableParagraph"/>
              <w:spacing w:line="240" w:lineRule="auto" w:before="13"/>
              <w:ind w:left="2201" w:right="0"/>
              <w:jc w:val="left"/>
              <w:rPr>
                <w:rFonts w:ascii="宋体" w:hAnsi="宋体" w:cs="宋体" w:eastAsia="宋体" w:hint="default"/>
                <w:sz w:val="20"/>
                <w:szCs w:val="20"/>
              </w:rPr>
            </w:pPr>
            <w:r>
              <w:rPr>
                <w:rFonts w:ascii="宋体" w:hAnsi="宋体" w:cs="宋体" w:eastAsia="宋体" w:hint="default"/>
                <w:sz w:val="20"/>
                <w:szCs w:val="20"/>
              </w:rPr>
              <w:t>期末余额</w:t>
            </w:r>
            <w:r>
              <w:rPr>
                <w:rFonts w:ascii="宋体" w:hAnsi="宋体" w:cs="宋体" w:eastAsia="宋体" w:hint="default"/>
                <w:sz w:val="20"/>
                <w:szCs w:val="20"/>
              </w:rPr>
              <w:t>/</w:t>
            </w:r>
            <w:r>
              <w:rPr>
                <w:rFonts w:ascii="宋体" w:hAnsi="宋体" w:cs="宋体" w:eastAsia="宋体" w:hint="default"/>
                <w:spacing w:val="-3"/>
                <w:sz w:val="20"/>
                <w:szCs w:val="20"/>
              </w:rPr>
              <w:t> </w:t>
            </w:r>
            <w:r>
              <w:rPr>
                <w:rFonts w:ascii="宋体" w:hAnsi="宋体" w:cs="宋体" w:eastAsia="宋体" w:hint="default"/>
                <w:sz w:val="20"/>
                <w:szCs w:val="20"/>
              </w:rPr>
              <w:t>本期发生额</w:t>
            </w:r>
            <w:r>
              <w:rPr>
                <w:rFonts w:ascii="宋体" w:hAnsi="宋体" w:cs="宋体" w:eastAsia="宋体" w:hint="default"/>
                <w:sz w:val="20"/>
                <w:szCs w:val="20"/>
              </w:rPr>
              <w:t> </w:t>
            </w:r>
          </w:p>
        </w:tc>
        <w:tc>
          <w:tcPr>
            <w:tcW w:w="5629" w:type="dxa"/>
            <w:gridSpan w:val="6"/>
            <w:tcBorders>
              <w:top w:val="single" w:sz="8" w:space="0" w:color="41B7EE"/>
              <w:left w:val="single" w:sz="4" w:space="0" w:color="41B7EE"/>
              <w:bottom w:val="single" w:sz="4" w:space="0" w:color="41B7EE"/>
              <w:right w:val="nil" w:sz="6" w:space="0" w:color="auto"/>
            </w:tcBorders>
          </w:tcPr>
          <w:p>
            <w:pPr>
              <w:pStyle w:val="TableParagraph"/>
              <w:spacing w:line="240" w:lineRule="auto" w:before="13"/>
              <w:ind w:left="1819" w:right="0"/>
              <w:jc w:val="left"/>
              <w:rPr>
                <w:rFonts w:ascii="宋体" w:hAnsi="宋体" w:cs="宋体" w:eastAsia="宋体" w:hint="default"/>
                <w:sz w:val="20"/>
                <w:szCs w:val="20"/>
              </w:rPr>
            </w:pPr>
            <w:r>
              <w:rPr>
                <w:rFonts w:ascii="宋体" w:hAnsi="宋体" w:cs="宋体" w:eastAsia="宋体" w:hint="default"/>
                <w:sz w:val="20"/>
                <w:szCs w:val="20"/>
              </w:rPr>
              <w:t>期初余额</w:t>
            </w:r>
            <w:r>
              <w:rPr>
                <w:rFonts w:ascii="宋体" w:hAnsi="宋体" w:cs="宋体" w:eastAsia="宋体" w:hint="default"/>
                <w:sz w:val="20"/>
                <w:szCs w:val="20"/>
              </w:rPr>
              <w:t>/</w:t>
            </w:r>
            <w:r>
              <w:rPr>
                <w:rFonts w:ascii="宋体" w:hAnsi="宋体" w:cs="宋体" w:eastAsia="宋体" w:hint="default"/>
                <w:spacing w:val="-3"/>
                <w:sz w:val="20"/>
                <w:szCs w:val="20"/>
              </w:rPr>
              <w:t> </w:t>
            </w:r>
            <w:r>
              <w:rPr>
                <w:rFonts w:ascii="宋体" w:hAnsi="宋体" w:cs="宋体" w:eastAsia="宋体" w:hint="default"/>
                <w:sz w:val="20"/>
                <w:szCs w:val="20"/>
              </w:rPr>
              <w:t>上期发生额</w:t>
            </w:r>
            <w:r>
              <w:rPr>
                <w:rFonts w:ascii="宋体" w:hAnsi="宋体" w:cs="宋体" w:eastAsia="宋体" w:hint="default"/>
                <w:sz w:val="20"/>
                <w:szCs w:val="20"/>
              </w:rPr>
              <w:t> </w:t>
            </w:r>
          </w:p>
        </w:tc>
      </w:tr>
      <w:tr>
        <w:trPr>
          <w:trHeight w:val="1047" w:hRule="exact"/>
        </w:trPr>
        <w:tc>
          <w:tcPr>
            <w:tcW w:w="2021" w:type="dxa"/>
            <w:vMerge/>
            <w:tcBorders>
              <w:left w:val="nil" w:sz="6" w:space="0" w:color="auto"/>
              <w:bottom w:val="single" w:sz="4" w:space="0" w:color="41B7EE"/>
              <w:right w:val="single" w:sz="4" w:space="0" w:color="41B7EE"/>
            </w:tcBorders>
          </w:tcPr>
          <w:p>
            <w:pPr/>
          </w:p>
        </w:tc>
        <w:tc>
          <w:tcPr>
            <w:tcW w:w="948" w:type="dxa"/>
            <w:tcBorders>
              <w:top w:val="single" w:sz="4" w:space="0" w:color="41B7EE"/>
              <w:left w:val="single" w:sz="4" w:space="0" w:color="41B7EE"/>
              <w:bottom w:val="single" w:sz="4" w:space="0" w:color="41B7EE"/>
              <w:right w:val="single" w:sz="4" w:space="0" w:color="41B7EE"/>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pacing w:val="-21"/>
                <w:sz w:val="20"/>
                <w:szCs w:val="20"/>
              </w:rPr>
              <w:t>北大荒龙</w:t>
            </w:r>
            <w:r>
              <w:rPr>
                <w:rFonts w:ascii="宋体" w:hAnsi="宋体" w:cs="宋体" w:eastAsia="宋体" w:hint="default"/>
                <w:sz w:val="20"/>
                <w:szCs w:val="20"/>
              </w:rPr>
            </w:r>
          </w:p>
          <w:p>
            <w:pPr>
              <w:pStyle w:val="TableParagraph"/>
              <w:spacing w:line="237" w:lineRule="auto" w:before="1"/>
              <w:ind w:left="107" w:right="108"/>
              <w:jc w:val="center"/>
              <w:rPr>
                <w:rFonts w:ascii="宋体" w:hAnsi="宋体" w:cs="宋体" w:eastAsia="宋体" w:hint="default"/>
                <w:sz w:val="20"/>
                <w:szCs w:val="20"/>
              </w:rPr>
            </w:pPr>
            <w:r>
              <w:rPr>
                <w:rFonts w:ascii="宋体" w:hAnsi="宋体" w:cs="宋体" w:eastAsia="宋体" w:hint="default"/>
                <w:spacing w:val="-21"/>
                <w:sz w:val="20"/>
                <w:szCs w:val="20"/>
              </w:rPr>
              <w:t>麦农业股</w:t>
            </w:r>
            <w:r>
              <w:rPr>
                <w:rFonts w:ascii="宋体" w:hAnsi="宋体" w:cs="宋体" w:eastAsia="宋体" w:hint="default"/>
                <w:spacing w:val="-20"/>
                <w:w w:val="99"/>
                <w:sz w:val="20"/>
                <w:szCs w:val="20"/>
              </w:rPr>
              <w:t> </w:t>
            </w:r>
            <w:r>
              <w:rPr>
                <w:rFonts w:ascii="宋体" w:hAnsi="宋体" w:cs="宋体" w:eastAsia="宋体" w:hint="default"/>
                <w:spacing w:val="-21"/>
                <w:sz w:val="20"/>
                <w:szCs w:val="20"/>
              </w:rPr>
              <w:t>份有限公</w:t>
            </w:r>
            <w:r>
              <w:rPr>
                <w:rFonts w:ascii="宋体" w:hAnsi="宋体" w:cs="宋体" w:eastAsia="宋体" w:hint="default"/>
                <w:spacing w:val="-20"/>
                <w:w w:val="99"/>
                <w:sz w:val="20"/>
                <w:szCs w:val="20"/>
              </w:rPr>
              <w:t> </w:t>
            </w:r>
            <w:r>
              <w:rPr>
                <w:rFonts w:ascii="宋体" w:hAnsi="宋体" w:cs="宋体" w:eastAsia="宋体" w:hint="default"/>
                <w:spacing w:val="-21"/>
                <w:sz w:val="20"/>
                <w:szCs w:val="20"/>
              </w:rPr>
              <w:t>司</w:t>
            </w:r>
            <w:r>
              <w:rPr>
                <w:rFonts w:ascii="宋体" w:hAnsi="宋体" w:cs="宋体" w:eastAsia="宋体" w:hint="default"/>
                <w:sz w:val="20"/>
                <w:szCs w:val="20"/>
              </w:rPr>
              <w:t> </w:t>
            </w:r>
          </w:p>
        </w:tc>
        <w:tc>
          <w:tcPr>
            <w:tcW w:w="946" w:type="dxa"/>
            <w:tcBorders>
              <w:top w:val="single" w:sz="4" w:space="0" w:color="41B7EE"/>
              <w:left w:val="single" w:sz="4" w:space="0" w:color="41B7EE"/>
              <w:bottom w:val="single" w:sz="4" w:space="0" w:color="41B7EE"/>
              <w:right w:val="single" w:sz="4" w:space="0" w:color="41B7EE"/>
            </w:tcBorders>
          </w:tcPr>
          <w:p>
            <w:pPr>
              <w:pStyle w:val="TableParagraph"/>
              <w:spacing w:line="228" w:lineRule="exact"/>
              <w:ind w:left="105" w:right="0"/>
              <w:jc w:val="both"/>
              <w:rPr>
                <w:rFonts w:ascii="宋体" w:hAnsi="宋体" w:cs="宋体" w:eastAsia="宋体" w:hint="default"/>
                <w:sz w:val="20"/>
                <w:szCs w:val="20"/>
              </w:rPr>
            </w:pPr>
            <w:r>
              <w:rPr>
                <w:rFonts w:ascii="宋体" w:hAnsi="宋体" w:cs="宋体" w:eastAsia="宋体" w:hint="default"/>
                <w:spacing w:val="-21"/>
                <w:sz w:val="20"/>
                <w:szCs w:val="20"/>
              </w:rPr>
              <w:t>黑龙江北</w:t>
            </w:r>
            <w:r>
              <w:rPr>
                <w:rFonts w:ascii="宋体" w:hAnsi="宋体" w:cs="宋体" w:eastAsia="宋体" w:hint="default"/>
                <w:sz w:val="20"/>
                <w:szCs w:val="20"/>
              </w:rPr>
            </w:r>
          </w:p>
          <w:p>
            <w:pPr>
              <w:pStyle w:val="TableParagraph"/>
              <w:spacing w:line="237" w:lineRule="auto" w:before="1"/>
              <w:ind w:left="105" w:right="9"/>
              <w:jc w:val="both"/>
              <w:rPr>
                <w:rFonts w:ascii="宋体" w:hAnsi="宋体" w:cs="宋体" w:eastAsia="宋体" w:hint="default"/>
                <w:sz w:val="20"/>
                <w:szCs w:val="20"/>
              </w:rPr>
            </w:pPr>
            <w:r>
              <w:rPr>
                <w:rFonts w:ascii="宋体" w:hAnsi="宋体" w:cs="宋体" w:eastAsia="宋体" w:hint="default"/>
                <w:spacing w:val="-21"/>
                <w:sz w:val="20"/>
                <w:szCs w:val="20"/>
              </w:rPr>
              <w:t>大荒投资</w:t>
            </w:r>
            <w:r>
              <w:rPr>
                <w:rFonts w:ascii="宋体" w:hAnsi="宋体" w:cs="宋体" w:eastAsia="宋体" w:hint="default"/>
                <w:spacing w:val="-20"/>
                <w:w w:val="99"/>
                <w:sz w:val="20"/>
                <w:szCs w:val="20"/>
              </w:rPr>
              <w:t> </w:t>
            </w:r>
            <w:r>
              <w:rPr>
                <w:rFonts w:ascii="宋体" w:hAnsi="宋体" w:cs="宋体" w:eastAsia="宋体" w:hint="default"/>
                <w:spacing w:val="-21"/>
                <w:sz w:val="20"/>
                <w:szCs w:val="20"/>
              </w:rPr>
              <w:t>担保股份</w:t>
            </w:r>
            <w:r>
              <w:rPr>
                <w:rFonts w:ascii="宋体" w:hAnsi="宋体" w:cs="宋体" w:eastAsia="宋体" w:hint="default"/>
                <w:spacing w:val="-20"/>
                <w:w w:val="99"/>
                <w:sz w:val="20"/>
                <w:szCs w:val="20"/>
              </w:rPr>
              <w:t> </w:t>
            </w:r>
            <w:r>
              <w:rPr>
                <w:rFonts w:ascii="宋体" w:hAnsi="宋体" w:cs="宋体" w:eastAsia="宋体" w:hint="default"/>
                <w:spacing w:val="-21"/>
                <w:sz w:val="20"/>
                <w:szCs w:val="20"/>
              </w:rPr>
              <w:t>有限公司</w:t>
            </w:r>
            <w:r>
              <w:rPr>
                <w:rFonts w:ascii="宋体" w:hAnsi="宋体" w:cs="宋体" w:eastAsia="宋体" w:hint="default"/>
                <w:sz w:val="20"/>
                <w:szCs w:val="20"/>
              </w:rPr>
              <w:t> </w:t>
            </w:r>
          </w:p>
        </w:tc>
        <w:tc>
          <w:tcPr>
            <w:tcW w:w="790" w:type="dxa"/>
            <w:tcBorders>
              <w:top w:val="single" w:sz="4" w:space="0" w:color="41B7EE"/>
              <w:left w:val="single" w:sz="4" w:space="0" w:color="41B7EE"/>
              <w:bottom w:val="single" w:sz="4" w:space="0" w:color="41B7EE"/>
              <w:right w:val="single" w:sz="4" w:space="0" w:color="41B7EE"/>
            </w:tcBorders>
          </w:tcPr>
          <w:p>
            <w:pPr>
              <w:pStyle w:val="TableParagraph"/>
              <w:spacing w:line="228" w:lineRule="exact"/>
              <w:ind w:left="26" w:right="0"/>
              <w:jc w:val="both"/>
              <w:rPr>
                <w:rFonts w:ascii="宋体" w:hAnsi="宋体" w:cs="宋体" w:eastAsia="宋体" w:hint="default"/>
                <w:sz w:val="20"/>
                <w:szCs w:val="20"/>
              </w:rPr>
            </w:pPr>
            <w:r>
              <w:rPr>
                <w:rFonts w:ascii="宋体" w:hAnsi="宋体" w:cs="宋体" w:eastAsia="宋体" w:hint="default"/>
                <w:spacing w:val="-21"/>
                <w:sz w:val="20"/>
                <w:szCs w:val="20"/>
              </w:rPr>
              <w:t>黑龙江北</w:t>
            </w:r>
            <w:r>
              <w:rPr>
                <w:rFonts w:ascii="宋体" w:hAnsi="宋体" w:cs="宋体" w:eastAsia="宋体" w:hint="default"/>
                <w:sz w:val="20"/>
                <w:szCs w:val="20"/>
              </w:rPr>
            </w:r>
          </w:p>
          <w:p>
            <w:pPr>
              <w:pStyle w:val="TableParagraph"/>
              <w:spacing w:line="237" w:lineRule="auto" w:before="1"/>
              <w:ind w:left="26" w:right="31"/>
              <w:jc w:val="both"/>
              <w:rPr>
                <w:rFonts w:ascii="宋体" w:hAnsi="宋体" w:cs="宋体" w:eastAsia="宋体" w:hint="default"/>
                <w:sz w:val="20"/>
                <w:szCs w:val="20"/>
              </w:rPr>
            </w:pPr>
            <w:r>
              <w:rPr>
                <w:rFonts w:ascii="宋体" w:hAnsi="宋体" w:cs="宋体" w:eastAsia="宋体" w:hint="default"/>
                <w:spacing w:val="-21"/>
                <w:sz w:val="20"/>
                <w:szCs w:val="20"/>
              </w:rPr>
              <w:t>大荒汉枫</w:t>
            </w:r>
            <w:r>
              <w:rPr>
                <w:rFonts w:ascii="宋体" w:hAnsi="宋体" w:cs="宋体" w:eastAsia="宋体" w:hint="default"/>
                <w:spacing w:val="-20"/>
                <w:w w:val="99"/>
                <w:sz w:val="20"/>
                <w:szCs w:val="20"/>
              </w:rPr>
              <w:t> </w:t>
            </w:r>
            <w:r>
              <w:rPr>
                <w:rFonts w:ascii="宋体" w:hAnsi="宋体" w:cs="宋体" w:eastAsia="宋体" w:hint="default"/>
                <w:spacing w:val="-21"/>
                <w:sz w:val="20"/>
                <w:szCs w:val="20"/>
              </w:rPr>
              <w:t>农业发展</w:t>
            </w:r>
            <w:r>
              <w:rPr>
                <w:rFonts w:ascii="宋体" w:hAnsi="宋体" w:cs="宋体" w:eastAsia="宋体" w:hint="default"/>
                <w:spacing w:val="-20"/>
                <w:w w:val="99"/>
                <w:sz w:val="20"/>
                <w:szCs w:val="20"/>
              </w:rPr>
              <w:t> </w:t>
            </w:r>
            <w:r>
              <w:rPr>
                <w:rFonts w:ascii="宋体" w:hAnsi="宋体" w:cs="宋体" w:eastAsia="宋体" w:hint="default"/>
                <w:spacing w:val="-21"/>
                <w:sz w:val="20"/>
                <w:szCs w:val="20"/>
              </w:rPr>
              <w:t>有限公司</w:t>
            </w:r>
            <w:r>
              <w:rPr>
                <w:rFonts w:ascii="宋体" w:hAnsi="宋体" w:cs="宋体" w:eastAsia="宋体" w:hint="default"/>
                <w:sz w:val="20"/>
                <w:szCs w:val="20"/>
              </w:rPr>
            </w:r>
          </w:p>
        </w:tc>
        <w:tc>
          <w:tcPr>
            <w:tcW w:w="862" w:type="dxa"/>
            <w:tcBorders>
              <w:top w:val="single" w:sz="4" w:space="0" w:color="41B7EE"/>
              <w:left w:val="single" w:sz="4" w:space="0" w:color="41B7EE"/>
              <w:bottom w:val="single" w:sz="4" w:space="0" w:color="41B7EE"/>
              <w:right w:val="single" w:sz="4" w:space="0" w:color="41B7EE"/>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pacing w:val="-21"/>
                <w:sz w:val="20"/>
                <w:szCs w:val="20"/>
              </w:rPr>
              <w:t>黑龙江北</w:t>
            </w:r>
            <w:r>
              <w:rPr>
                <w:rFonts w:ascii="宋体" w:hAnsi="宋体" w:cs="宋体" w:eastAsia="宋体" w:hint="default"/>
                <w:sz w:val="20"/>
                <w:szCs w:val="20"/>
              </w:rPr>
            </w:r>
          </w:p>
          <w:p>
            <w:pPr>
              <w:pStyle w:val="TableParagraph"/>
              <w:spacing w:line="237" w:lineRule="auto" w:before="1"/>
              <w:ind w:left="64" w:right="65"/>
              <w:jc w:val="center"/>
              <w:rPr>
                <w:rFonts w:ascii="宋体" w:hAnsi="宋体" w:cs="宋体" w:eastAsia="宋体" w:hint="default"/>
                <w:sz w:val="20"/>
                <w:szCs w:val="20"/>
              </w:rPr>
            </w:pPr>
            <w:r>
              <w:rPr>
                <w:rFonts w:ascii="宋体" w:hAnsi="宋体" w:cs="宋体" w:eastAsia="宋体" w:hint="default"/>
                <w:spacing w:val="-21"/>
                <w:sz w:val="20"/>
                <w:szCs w:val="20"/>
              </w:rPr>
              <w:t>大荒全利</w:t>
            </w:r>
            <w:r>
              <w:rPr>
                <w:rFonts w:ascii="宋体" w:hAnsi="宋体" w:cs="宋体" w:eastAsia="宋体" w:hint="default"/>
                <w:spacing w:val="-20"/>
                <w:w w:val="99"/>
                <w:sz w:val="20"/>
                <w:szCs w:val="20"/>
              </w:rPr>
              <w:t> </w:t>
            </w:r>
            <w:r>
              <w:rPr>
                <w:rFonts w:ascii="宋体" w:hAnsi="宋体" w:cs="宋体" w:eastAsia="宋体" w:hint="default"/>
                <w:spacing w:val="-21"/>
                <w:sz w:val="20"/>
                <w:szCs w:val="20"/>
              </w:rPr>
              <w:t>选煤有限</w:t>
            </w:r>
            <w:r>
              <w:rPr>
                <w:rFonts w:ascii="宋体" w:hAnsi="宋体" w:cs="宋体" w:eastAsia="宋体" w:hint="default"/>
                <w:spacing w:val="-20"/>
                <w:w w:val="99"/>
                <w:sz w:val="20"/>
                <w:szCs w:val="20"/>
              </w:rPr>
              <w:t> </w:t>
            </w:r>
            <w:r>
              <w:rPr>
                <w:rFonts w:ascii="宋体" w:hAnsi="宋体" w:cs="宋体" w:eastAsia="宋体" w:hint="default"/>
                <w:spacing w:val="-21"/>
                <w:sz w:val="20"/>
                <w:szCs w:val="20"/>
              </w:rPr>
              <w:t>公司</w:t>
            </w:r>
            <w:r>
              <w:rPr>
                <w:rFonts w:ascii="宋体" w:hAnsi="宋体" w:cs="宋体" w:eastAsia="宋体" w:hint="default"/>
                <w:sz w:val="20"/>
                <w:szCs w:val="20"/>
              </w:rPr>
              <w:t> </w:t>
            </w:r>
          </w:p>
        </w:tc>
        <w:tc>
          <w:tcPr>
            <w:tcW w:w="994" w:type="dxa"/>
            <w:tcBorders>
              <w:top w:val="single" w:sz="4" w:space="0" w:color="41B7EE"/>
              <w:left w:val="single" w:sz="4" w:space="0" w:color="41B7EE"/>
              <w:bottom w:val="single" w:sz="4" w:space="0" w:color="41B7EE"/>
              <w:right w:val="single" w:sz="4" w:space="0" w:color="41B7EE"/>
            </w:tcBorders>
          </w:tcPr>
          <w:p>
            <w:pPr>
              <w:pStyle w:val="TableParagraph"/>
              <w:spacing w:line="237" w:lineRule="auto" w:before="100"/>
              <w:ind w:left="40" w:right="41"/>
              <w:jc w:val="center"/>
              <w:rPr>
                <w:rFonts w:ascii="宋体" w:hAnsi="宋体" w:cs="宋体" w:eastAsia="宋体" w:hint="default"/>
                <w:sz w:val="20"/>
                <w:szCs w:val="20"/>
              </w:rPr>
            </w:pPr>
            <w:r>
              <w:rPr>
                <w:rFonts w:ascii="宋体" w:hAnsi="宋体" w:cs="宋体" w:eastAsia="宋体" w:hint="default"/>
                <w:spacing w:val="-21"/>
                <w:sz w:val="20"/>
                <w:szCs w:val="20"/>
              </w:rPr>
              <w:t>佳沃北大荒</w:t>
            </w:r>
            <w:r>
              <w:rPr>
                <w:rFonts w:ascii="宋体" w:hAnsi="宋体" w:cs="宋体" w:eastAsia="宋体" w:hint="default"/>
                <w:spacing w:val="-20"/>
                <w:w w:val="99"/>
                <w:sz w:val="20"/>
                <w:szCs w:val="20"/>
              </w:rPr>
              <w:t> </w:t>
            </w:r>
            <w:r>
              <w:rPr>
                <w:rFonts w:ascii="宋体" w:hAnsi="宋体" w:cs="宋体" w:eastAsia="宋体" w:hint="default"/>
                <w:spacing w:val="-21"/>
                <w:sz w:val="20"/>
                <w:szCs w:val="20"/>
              </w:rPr>
              <w:t>农业控股有</w:t>
            </w:r>
            <w:r>
              <w:rPr>
                <w:rFonts w:ascii="宋体" w:hAnsi="宋体" w:cs="宋体" w:eastAsia="宋体" w:hint="default"/>
                <w:spacing w:val="-20"/>
                <w:w w:val="99"/>
                <w:sz w:val="20"/>
                <w:szCs w:val="20"/>
              </w:rPr>
              <w:t> </w:t>
            </w:r>
            <w:r>
              <w:rPr>
                <w:rFonts w:ascii="宋体" w:hAnsi="宋体" w:cs="宋体" w:eastAsia="宋体" w:hint="default"/>
                <w:spacing w:val="-21"/>
                <w:sz w:val="20"/>
                <w:szCs w:val="20"/>
              </w:rPr>
              <w:t>限公司</w:t>
            </w:r>
            <w:r>
              <w:rPr>
                <w:rFonts w:ascii="宋体" w:hAnsi="宋体" w:cs="宋体" w:eastAsia="宋体" w:hint="default"/>
                <w:sz w:val="20"/>
                <w:szCs w:val="20"/>
              </w:rPr>
              <w:t> </w:t>
            </w:r>
          </w:p>
        </w:tc>
        <w:tc>
          <w:tcPr>
            <w:tcW w:w="994" w:type="dxa"/>
            <w:tcBorders>
              <w:top w:val="single" w:sz="4" w:space="0" w:color="41B7EE"/>
              <w:left w:val="single" w:sz="4" w:space="0" w:color="41B7EE"/>
              <w:bottom w:val="single" w:sz="4" w:space="0" w:color="41B7EE"/>
              <w:right w:val="single" w:sz="4" w:space="0" w:color="41B7EE"/>
            </w:tcBorders>
          </w:tcPr>
          <w:p>
            <w:pPr>
              <w:pStyle w:val="TableParagraph"/>
              <w:spacing w:line="237" w:lineRule="auto" w:before="100"/>
              <w:ind w:left="40" w:right="41"/>
              <w:jc w:val="both"/>
              <w:rPr>
                <w:rFonts w:ascii="宋体" w:hAnsi="宋体" w:cs="宋体" w:eastAsia="宋体" w:hint="default"/>
                <w:sz w:val="20"/>
                <w:szCs w:val="20"/>
              </w:rPr>
            </w:pPr>
            <w:r>
              <w:rPr>
                <w:rFonts w:ascii="宋体" w:hAnsi="宋体" w:cs="宋体" w:eastAsia="宋体" w:hint="default"/>
                <w:spacing w:val="-21"/>
                <w:sz w:val="20"/>
                <w:szCs w:val="20"/>
              </w:rPr>
              <w:t>黑龙江北大</w:t>
            </w:r>
            <w:r>
              <w:rPr>
                <w:rFonts w:ascii="宋体" w:hAnsi="宋体" w:cs="宋体" w:eastAsia="宋体" w:hint="default"/>
                <w:spacing w:val="-20"/>
                <w:w w:val="99"/>
                <w:sz w:val="20"/>
                <w:szCs w:val="20"/>
              </w:rPr>
              <w:t> </w:t>
            </w:r>
            <w:r>
              <w:rPr>
                <w:rFonts w:ascii="宋体" w:hAnsi="宋体" w:cs="宋体" w:eastAsia="宋体" w:hint="default"/>
                <w:spacing w:val="-21"/>
                <w:sz w:val="20"/>
                <w:szCs w:val="20"/>
              </w:rPr>
              <w:t>荒浩良河化</w:t>
            </w:r>
            <w:r>
              <w:rPr>
                <w:rFonts w:ascii="宋体" w:hAnsi="宋体" w:cs="宋体" w:eastAsia="宋体" w:hint="default"/>
                <w:spacing w:val="-20"/>
                <w:w w:val="99"/>
                <w:sz w:val="20"/>
                <w:szCs w:val="20"/>
              </w:rPr>
              <w:t> </w:t>
            </w:r>
            <w:r>
              <w:rPr>
                <w:rFonts w:ascii="宋体" w:hAnsi="宋体" w:cs="宋体" w:eastAsia="宋体" w:hint="default"/>
                <w:spacing w:val="-21"/>
                <w:sz w:val="20"/>
                <w:szCs w:val="20"/>
              </w:rPr>
              <w:t>肥有限公司</w:t>
            </w:r>
            <w:r>
              <w:rPr>
                <w:rFonts w:ascii="宋体" w:hAnsi="宋体" w:cs="宋体" w:eastAsia="宋体" w:hint="default"/>
                <w:sz w:val="20"/>
                <w:szCs w:val="20"/>
              </w:rPr>
            </w:r>
          </w:p>
        </w:tc>
        <w:tc>
          <w:tcPr>
            <w:tcW w:w="859" w:type="dxa"/>
            <w:tcBorders>
              <w:top w:val="single" w:sz="4" w:space="0" w:color="41B7EE"/>
              <w:left w:val="single" w:sz="4" w:space="0" w:color="41B7EE"/>
              <w:bottom w:val="single" w:sz="4" w:space="0" w:color="41B7EE"/>
              <w:right w:val="single" w:sz="9" w:space="0" w:color="FFFFFF"/>
            </w:tcBorders>
          </w:tcPr>
          <w:p>
            <w:pPr>
              <w:pStyle w:val="TableParagraph"/>
              <w:spacing w:line="237" w:lineRule="auto" w:before="100"/>
              <w:ind w:left="64" w:right="-41"/>
              <w:jc w:val="both"/>
              <w:rPr>
                <w:rFonts w:ascii="宋体" w:hAnsi="宋体" w:cs="宋体" w:eastAsia="宋体" w:hint="default"/>
                <w:sz w:val="20"/>
                <w:szCs w:val="20"/>
              </w:rPr>
            </w:pPr>
            <w:r>
              <w:rPr>
                <w:rFonts w:ascii="宋体" w:hAnsi="宋体" w:cs="宋体" w:eastAsia="宋体" w:hint="default"/>
                <w:spacing w:val="-21"/>
                <w:sz w:val="20"/>
                <w:szCs w:val="20"/>
              </w:rPr>
              <w:t>黑龙江省</w:t>
            </w:r>
            <w:r>
              <w:rPr>
                <w:rFonts w:ascii="宋体" w:hAnsi="宋体" w:cs="宋体" w:eastAsia="宋体" w:hint="default"/>
                <w:spacing w:val="-20"/>
                <w:w w:val="99"/>
                <w:sz w:val="20"/>
                <w:szCs w:val="20"/>
              </w:rPr>
              <w:t> </w:t>
            </w:r>
            <w:r>
              <w:rPr>
                <w:rFonts w:ascii="宋体" w:hAnsi="宋体" w:cs="宋体" w:eastAsia="宋体" w:hint="default"/>
                <w:spacing w:val="-21"/>
                <w:sz w:val="20"/>
                <w:szCs w:val="20"/>
              </w:rPr>
              <w:t>克东腐乳</w:t>
            </w:r>
            <w:r>
              <w:rPr>
                <w:rFonts w:ascii="宋体" w:hAnsi="宋体" w:cs="宋体" w:eastAsia="宋体" w:hint="default"/>
                <w:spacing w:val="-20"/>
                <w:w w:val="99"/>
                <w:sz w:val="20"/>
                <w:szCs w:val="20"/>
              </w:rPr>
              <w:t> </w:t>
            </w:r>
            <w:r>
              <w:rPr>
                <w:rFonts w:ascii="宋体" w:hAnsi="宋体" w:cs="宋体" w:eastAsia="宋体" w:hint="default"/>
                <w:spacing w:val="-21"/>
                <w:sz w:val="20"/>
                <w:szCs w:val="20"/>
              </w:rPr>
              <w:t>有限公司</w:t>
            </w:r>
            <w:r>
              <w:rPr>
                <w:rFonts w:ascii="宋体" w:hAnsi="宋体" w:cs="宋体" w:eastAsia="宋体" w:hint="default"/>
                <w:sz w:val="20"/>
                <w:szCs w:val="20"/>
              </w:rPr>
              <w:t> </w:t>
            </w:r>
          </w:p>
        </w:tc>
        <w:tc>
          <w:tcPr>
            <w:tcW w:w="989" w:type="dxa"/>
            <w:tcBorders>
              <w:top w:val="single" w:sz="4" w:space="0" w:color="41B7EE"/>
              <w:left w:val="single" w:sz="9" w:space="0" w:color="FFFFFF"/>
              <w:bottom w:val="single" w:sz="4" w:space="0" w:color="41B7EE"/>
              <w:right w:val="single" w:sz="4" w:space="0" w:color="41B7EE"/>
            </w:tcBorders>
          </w:tcPr>
          <w:p>
            <w:pPr>
              <w:pStyle w:val="TableParagraph"/>
              <w:spacing w:line="237" w:lineRule="auto" w:before="100"/>
              <w:ind w:left="32" w:right="38"/>
              <w:jc w:val="center"/>
              <w:rPr>
                <w:rFonts w:ascii="宋体" w:hAnsi="宋体" w:cs="宋体" w:eastAsia="宋体" w:hint="default"/>
                <w:sz w:val="20"/>
                <w:szCs w:val="20"/>
              </w:rPr>
            </w:pPr>
            <w:r>
              <w:rPr>
                <w:rFonts w:ascii="宋体" w:hAnsi="宋体" w:cs="宋体" w:eastAsia="宋体" w:hint="default"/>
                <w:spacing w:val="-21"/>
                <w:sz w:val="20"/>
                <w:szCs w:val="20"/>
              </w:rPr>
              <w:t>北大荒龙麦</w:t>
            </w:r>
            <w:r>
              <w:rPr>
                <w:rFonts w:ascii="宋体" w:hAnsi="宋体" w:cs="宋体" w:eastAsia="宋体" w:hint="default"/>
                <w:spacing w:val="-20"/>
                <w:w w:val="99"/>
                <w:sz w:val="20"/>
                <w:szCs w:val="20"/>
              </w:rPr>
              <w:t> </w:t>
            </w:r>
            <w:r>
              <w:rPr>
                <w:rFonts w:ascii="宋体" w:hAnsi="宋体" w:cs="宋体" w:eastAsia="宋体" w:hint="default"/>
                <w:spacing w:val="-21"/>
                <w:sz w:val="20"/>
                <w:szCs w:val="20"/>
              </w:rPr>
              <w:t>农业股份有</w:t>
            </w:r>
            <w:r>
              <w:rPr>
                <w:rFonts w:ascii="宋体" w:hAnsi="宋体" w:cs="宋体" w:eastAsia="宋体" w:hint="default"/>
                <w:spacing w:val="-20"/>
                <w:w w:val="99"/>
                <w:sz w:val="20"/>
                <w:szCs w:val="20"/>
              </w:rPr>
              <w:t> </w:t>
            </w:r>
            <w:r>
              <w:rPr>
                <w:rFonts w:ascii="宋体" w:hAnsi="宋体" w:cs="宋体" w:eastAsia="宋体" w:hint="default"/>
                <w:spacing w:val="-21"/>
                <w:sz w:val="20"/>
                <w:szCs w:val="20"/>
              </w:rPr>
              <w:t>限公司</w:t>
            </w:r>
            <w:r>
              <w:rPr>
                <w:rFonts w:ascii="宋体" w:hAnsi="宋体" w:cs="宋体" w:eastAsia="宋体" w:hint="default"/>
                <w:sz w:val="20"/>
                <w:szCs w:val="20"/>
              </w:rPr>
              <w:t> </w:t>
            </w:r>
          </w:p>
        </w:tc>
        <w:tc>
          <w:tcPr>
            <w:tcW w:w="946" w:type="dxa"/>
            <w:tcBorders>
              <w:top w:val="single" w:sz="4" w:space="0" w:color="41B7EE"/>
              <w:left w:val="single" w:sz="4" w:space="0" w:color="41B7EE"/>
              <w:bottom w:val="single" w:sz="4" w:space="0" w:color="41B7EE"/>
              <w:right w:val="single" w:sz="4" w:space="0" w:color="41B7EE"/>
            </w:tcBorders>
          </w:tcPr>
          <w:p>
            <w:pPr>
              <w:pStyle w:val="TableParagraph"/>
              <w:spacing w:line="228" w:lineRule="exact"/>
              <w:ind w:left="105" w:right="0"/>
              <w:jc w:val="both"/>
              <w:rPr>
                <w:rFonts w:ascii="宋体" w:hAnsi="宋体" w:cs="宋体" w:eastAsia="宋体" w:hint="default"/>
                <w:sz w:val="20"/>
                <w:szCs w:val="20"/>
              </w:rPr>
            </w:pPr>
            <w:r>
              <w:rPr>
                <w:rFonts w:ascii="宋体" w:hAnsi="宋体" w:cs="宋体" w:eastAsia="宋体" w:hint="default"/>
                <w:spacing w:val="-21"/>
                <w:sz w:val="20"/>
                <w:szCs w:val="20"/>
              </w:rPr>
              <w:t>黑龙江北</w:t>
            </w:r>
            <w:r>
              <w:rPr>
                <w:rFonts w:ascii="宋体" w:hAnsi="宋体" w:cs="宋体" w:eastAsia="宋体" w:hint="default"/>
                <w:sz w:val="20"/>
                <w:szCs w:val="20"/>
              </w:rPr>
            </w:r>
          </w:p>
          <w:p>
            <w:pPr>
              <w:pStyle w:val="TableParagraph"/>
              <w:spacing w:line="237" w:lineRule="auto" w:before="1"/>
              <w:ind w:left="105" w:right="8"/>
              <w:jc w:val="both"/>
              <w:rPr>
                <w:rFonts w:ascii="宋体" w:hAnsi="宋体" w:cs="宋体" w:eastAsia="宋体" w:hint="default"/>
                <w:sz w:val="20"/>
                <w:szCs w:val="20"/>
              </w:rPr>
            </w:pPr>
            <w:r>
              <w:rPr>
                <w:rFonts w:ascii="宋体" w:hAnsi="宋体" w:cs="宋体" w:eastAsia="宋体" w:hint="default"/>
                <w:spacing w:val="-21"/>
                <w:sz w:val="20"/>
                <w:szCs w:val="20"/>
              </w:rPr>
              <w:t>大荒投资</w:t>
            </w:r>
            <w:r>
              <w:rPr>
                <w:rFonts w:ascii="宋体" w:hAnsi="宋体" w:cs="宋体" w:eastAsia="宋体" w:hint="default"/>
                <w:spacing w:val="-20"/>
                <w:w w:val="99"/>
                <w:sz w:val="20"/>
                <w:szCs w:val="20"/>
              </w:rPr>
              <w:t> </w:t>
            </w:r>
            <w:r>
              <w:rPr>
                <w:rFonts w:ascii="宋体" w:hAnsi="宋体" w:cs="宋体" w:eastAsia="宋体" w:hint="default"/>
                <w:spacing w:val="-21"/>
                <w:sz w:val="20"/>
                <w:szCs w:val="20"/>
              </w:rPr>
              <w:t>担保股份</w:t>
            </w:r>
            <w:r>
              <w:rPr>
                <w:rFonts w:ascii="宋体" w:hAnsi="宋体" w:cs="宋体" w:eastAsia="宋体" w:hint="default"/>
                <w:spacing w:val="-20"/>
                <w:w w:val="99"/>
                <w:sz w:val="20"/>
                <w:szCs w:val="20"/>
              </w:rPr>
              <w:t> </w:t>
            </w:r>
            <w:r>
              <w:rPr>
                <w:rFonts w:ascii="宋体" w:hAnsi="宋体" w:cs="宋体" w:eastAsia="宋体" w:hint="default"/>
                <w:spacing w:val="-21"/>
                <w:sz w:val="20"/>
                <w:szCs w:val="20"/>
              </w:rPr>
              <w:t>有限公司</w:t>
            </w:r>
            <w:r>
              <w:rPr>
                <w:rFonts w:ascii="宋体" w:hAnsi="宋体" w:cs="宋体" w:eastAsia="宋体" w:hint="default"/>
                <w:sz w:val="20"/>
                <w:szCs w:val="20"/>
              </w:rPr>
              <w:t> </w:t>
            </w:r>
          </w:p>
        </w:tc>
        <w:tc>
          <w:tcPr>
            <w:tcW w:w="853" w:type="dxa"/>
            <w:tcBorders>
              <w:top w:val="single" w:sz="4" w:space="0" w:color="41B7EE"/>
              <w:left w:val="single" w:sz="4" w:space="0" w:color="41B7EE"/>
              <w:bottom w:val="single" w:sz="4" w:space="0" w:color="41B7EE"/>
              <w:right w:val="single" w:sz="12" w:space="0" w:color="FFFFFF"/>
            </w:tcBorders>
          </w:tcPr>
          <w:p>
            <w:pPr>
              <w:pStyle w:val="TableParagraph"/>
              <w:spacing w:line="228" w:lineRule="exact"/>
              <w:ind w:left="59" w:right="0"/>
              <w:jc w:val="both"/>
              <w:rPr>
                <w:rFonts w:ascii="宋体" w:hAnsi="宋体" w:cs="宋体" w:eastAsia="宋体" w:hint="default"/>
                <w:sz w:val="20"/>
                <w:szCs w:val="20"/>
              </w:rPr>
            </w:pPr>
            <w:r>
              <w:rPr>
                <w:rFonts w:ascii="宋体" w:hAnsi="宋体" w:cs="宋体" w:eastAsia="宋体" w:hint="default"/>
                <w:spacing w:val="-21"/>
                <w:sz w:val="20"/>
                <w:szCs w:val="20"/>
              </w:rPr>
              <w:t>黑龙江北</w:t>
            </w:r>
            <w:r>
              <w:rPr>
                <w:rFonts w:ascii="宋体" w:hAnsi="宋体" w:cs="宋体" w:eastAsia="宋体" w:hint="default"/>
                <w:sz w:val="20"/>
                <w:szCs w:val="20"/>
              </w:rPr>
            </w:r>
          </w:p>
          <w:p>
            <w:pPr>
              <w:pStyle w:val="TableParagraph"/>
              <w:spacing w:line="237" w:lineRule="auto" w:before="1"/>
              <w:ind w:left="59" w:right="-49"/>
              <w:jc w:val="both"/>
              <w:rPr>
                <w:rFonts w:ascii="宋体" w:hAnsi="宋体" w:cs="宋体" w:eastAsia="宋体" w:hint="default"/>
                <w:sz w:val="20"/>
                <w:szCs w:val="20"/>
              </w:rPr>
            </w:pPr>
            <w:r>
              <w:rPr>
                <w:rFonts w:ascii="宋体" w:hAnsi="宋体" w:cs="宋体" w:eastAsia="宋体" w:hint="default"/>
                <w:spacing w:val="-21"/>
                <w:sz w:val="20"/>
                <w:szCs w:val="20"/>
              </w:rPr>
              <w:t>大荒汉枫</w:t>
            </w:r>
            <w:r>
              <w:rPr>
                <w:rFonts w:ascii="宋体" w:hAnsi="宋体" w:cs="宋体" w:eastAsia="宋体" w:hint="default"/>
                <w:spacing w:val="-20"/>
                <w:w w:val="99"/>
                <w:sz w:val="20"/>
                <w:szCs w:val="20"/>
              </w:rPr>
              <w:t> </w:t>
            </w:r>
            <w:r>
              <w:rPr>
                <w:rFonts w:ascii="宋体" w:hAnsi="宋体" w:cs="宋体" w:eastAsia="宋体" w:hint="default"/>
                <w:spacing w:val="-21"/>
                <w:sz w:val="20"/>
                <w:szCs w:val="20"/>
              </w:rPr>
              <w:t>农业发展</w:t>
            </w:r>
            <w:r>
              <w:rPr>
                <w:rFonts w:ascii="宋体" w:hAnsi="宋体" w:cs="宋体" w:eastAsia="宋体" w:hint="default"/>
                <w:spacing w:val="-20"/>
                <w:w w:val="99"/>
                <w:sz w:val="20"/>
                <w:szCs w:val="20"/>
              </w:rPr>
              <w:t> </w:t>
            </w:r>
            <w:r>
              <w:rPr>
                <w:rFonts w:ascii="宋体" w:hAnsi="宋体" w:cs="宋体" w:eastAsia="宋体" w:hint="default"/>
                <w:spacing w:val="-21"/>
                <w:sz w:val="20"/>
                <w:szCs w:val="20"/>
              </w:rPr>
              <w:t>有限公司</w:t>
            </w:r>
            <w:r>
              <w:rPr>
                <w:rFonts w:ascii="宋体" w:hAnsi="宋体" w:cs="宋体" w:eastAsia="宋体" w:hint="default"/>
                <w:sz w:val="20"/>
                <w:szCs w:val="20"/>
              </w:rPr>
              <w:t> </w:t>
            </w:r>
          </w:p>
        </w:tc>
        <w:tc>
          <w:tcPr>
            <w:tcW w:w="854" w:type="dxa"/>
            <w:tcBorders>
              <w:top w:val="single" w:sz="4" w:space="0" w:color="41B7EE"/>
              <w:left w:val="single" w:sz="12" w:space="0" w:color="FFFFFF"/>
              <w:bottom w:val="single" w:sz="4" w:space="0" w:color="41B7EE"/>
              <w:right w:val="single" w:sz="4" w:space="0" w:color="41B7EE"/>
            </w:tcBorders>
          </w:tcPr>
          <w:p>
            <w:pPr>
              <w:pStyle w:val="TableParagraph"/>
              <w:spacing w:line="228" w:lineRule="exact"/>
              <w:ind w:right="13"/>
              <w:jc w:val="center"/>
              <w:rPr>
                <w:rFonts w:ascii="宋体" w:hAnsi="宋体" w:cs="宋体" w:eastAsia="宋体" w:hint="default"/>
                <w:sz w:val="20"/>
                <w:szCs w:val="20"/>
              </w:rPr>
            </w:pPr>
            <w:r>
              <w:rPr>
                <w:rFonts w:ascii="宋体" w:hAnsi="宋体" w:cs="宋体" w:eastAsia="宋体" w:hint="default"/>
                <w:spacing w:val="-21"/>
                <w:sz w:val="20"/>
                <w:szCs w:val="20"/>
              </w:rPr>
              <w:t>黑龙江北</w:t>
            </w:r>
            <w:r>
              <w:rPr>
                <w:rFonts w:ascii="宋体" w:hAnsi="宋体" w:cs="宋体" w:eastAsia="宋体" w:hint="default"/>
                <w:sz w:val="20"/>
                <w:szCs w:val="20"/>
              </w:rPr>
            </w:r>
          </w:p>
          <w:p>
            <w:pPr>
              <w:pStyle w:val="TableParagraph"/>
              <w:spacing w:line="237" w:lineRule="auto" w:before="1"/>
              <w:ind w:left="49" w:right="62"/>
              <w:jc w:val="center"/>
              <w:rPr>
                <w:rFonts w:ascii="宋体" w:hAnsi="宋体" w:cs="宋体" w:eastAsia="宋体" w:hint="default"/>
                <w:sz w:val="20"/>
                <w:szCs w:val="20"/>
              </w:rPr>
            </w:pPr>
            <w:r>
              <w:rPr>
                <w:rFonts w:ascii="宋体" w:hAnsi="宋体" w:cs="宋体" w:eastAsia="宋体" w:hint="default"/>
                <w:spacing w:val="-21"/>
                <w:sz w:val="20"/>
                <w:szCs w:val="20"/>
              </w:rPr>
              <w:t>大荒全利</w:t>
            </w:r>
            <w:r>
              <w:rPr>
                <w:rFonts w:ascii="宋体" w:hAnsi="宋体" w:cs="宋体" w:eastAsia="宋体" w:hint="default"/>
                <w:spacing w:val="-20"/>
                <w:w w:val="99"/>
                <w:sz w:val="20"/>
                <w:szCs w:val="20"/>
              </w:rPr>
              <w:t> </w:t>
            </w:r>
            <w:r>
              <w:rPr>
                <w:rFonts w:ascii="宋体" w:hAnsi="宋体" w:cs="宋体" w:eastAsia="宋体" w:hint="default"/>
                <w:spacing w:val="-21"/>
                <w:sz w:val="20"/>
                <w:szCs w:val="20"/>
              </w:rPr>
              <w:t>选煤有限</w:t>
            </w:r>
            <w:r>
              <w:rPr>
                <w:rFonts w:ascii="宋体" w:hAnsi="宋体" w:cs="宋体" w:eastAsia="宋体" w:hint="default"/>
                <w:spacing w:val="-20"/>
                <w:w w:val="99"/>
                <w:sz w:val="20"/>
                <w:szCs w:val="20"/>
              </w:rPr>
              <w:t> </w:t>
            </w:r>
            <w:r>
              <w:rPr>
                <w:rFonts w:ascii="宋体" w:hAnsi="宋体" w:cs="宋体" w:eastAsia="宋体" w:hint="default"/>
                <w:spacing w:val="-21"/>
                <w:sz w:val="20"/>
                <w:szCs w:val="20"/>
              </w:rPr>
              <w:t>公司</w:t>
            </w:r>
            <w:r>
              <w:rPr>
                <w:rFonts w:ascii="宋体" w:hAnsi="宋体" w:cs="宋体" w:eastAsia="宋体" w:hint="default"/>
                <w:sz w:val="20"/>
                <w:szCs w:val="20"/>
              </w:rPr>
              <w:t> </w:t>
            </w:r>
          </w:p>
        </w:tc>
        <w:tc>
          <w:tcPr>
            <w:tcW w:w="994" w:type="dxa"/>
            <w:tcBorders>
              <w:top w:val="single" w:sz="4" w:space="0" w:color="41B7EE"/>
              <w:left w:val="single" w:sz="4" w:space="0" w:color="41B7EE"/>
              <w:bottom w:val="single" w:sz="4" w:space="0" w:color="41B7EE"/>
              <w:right w:val="single" w:sz="4" w:space="0" w:color="41B7EE"/>
            </w:tcBorders>
          </w:tcPr>
          <w:p>
            <w:pPr>
              <w:pStyle w:val="TableParagraph"/>
              <w:spacing w:line="237" w:lineRule="auto" w:before="100"/>
              <w:ind w:left="40" w:right="41"/>
              <w:jc w:val="center"/>
              <w:rPr>
                <w:rFonts w:ascii="宋体" w:hAnsi="宋体" w:cs="宋体" w:eastAsia="宋体" w:hint="default"/>
                <w:sz w:val="20"/>
                <w:szCs w:val="20"/>
              </w:rPr>
            </w:pPr>
            <w:r>
              <w:rPr>
                <w:rFonts w:ascii="宋体" w:hAnsi="宋体" w:cs="宋体" w:eastAsia="宋体" w:hint="default"/>
                <w:spacing w:val="-21"/>
                <w:sz w:val="20"/>
                <w:szCs w:val="20"/>
              </w:rPr>
              <w:t>佳沃北大荒</w:t>
            </w:r>
            <w:r>
              <w:rPr>
                <w:rFonts w:ascii="宋体" w:hAnsi="宋体" w:cs="宋体" w:eastAsia="宋体" w:hint="default"/>
                <w:spacing w:val="-20"/>
                <w:w w:val="99"/>
                <w:sz w:val="20"/>
                <w:szCs w:val="20"/>
              </w:rPr>
              <w:t> </w:t>
            </w:r>
            <w:r>
              <w:rPr>
                <w:rFonts w:ascii="宋体" w:hAnsi="宋体" w:cs="宋体" w:eastAsia="宋体" w:hint="default"/>
                <w:spacing w:val="-21"/>
                <w:sz w:val="20"/>
                <w:szCs w:val="20"/>
              </w:rPr>
              <w:t>农业控股有</w:t>
            </w:r>
            <w:r>
              <w:rPr>
                <w:rFonts w:ascii="宋体" w:hAnsi="宋体" w:cs="宋体" w:eastAsia="宋体" w:hint="default"/>
                <w:spacing w:val="-20"/>
                <w:w w:val="99"/>
                <w:sz w:val="20"/>
                <w:szCs w:val="20"/>
              </w:rPr>
              <w:t> </w:t>
            </w:r>
            <w:r>
              <w:rPr>
                <w:rFonts w:ascii="宋体" w:hAnsi="宋体" w:cs="宋体" w:eastAsia="宋体" w:hint="default"/>
                <w:spacing w:val="-21"/>
                <w:sz w:val="20"/>
                <w:szCs w:val="20"/>
              </w:rPr>
              <w:t>限公司</w:t>
            </w:r>
            <w:r>
              <w:rPr>
                <w:rFonts w:ascii="宋体" w:hAnsi="宋体" w:cs="宋体" w:eastAsia="宋体" w:hint="default"/>
                <w:sz w:val="20"/>
                <w:szCs w:val="20"/>
              </w:rPr>
              <w:t> </w:t>
            </w:r>
          </w:p>
        </w:tc>
        <w:tc>
          <w:tcPr>
            <w:tcW w:w="994" w:type="dxa"/>
            <w:tcBorders>
              <w:top w:val="single" w:sz="4" w:space="0" w:color="41B7EE"/>
              <w:left w:val="single" w:sz="4" w:space="0" w:color="41B7EE"/>
              <w:bottom w:val="single" w:sz="4" w:space="0" w:color="41B7EE"/>
              <w:right w:val="nil" w:sz="6" w:space="0" w:color="auto"/>
            </w:tcBorders>
          </w:tcPr>
          <w:p>
            <w:pPr>
              <w:pStyle w:val="TableParagraph"/>
              <w:spacing w:line="237" w:lineRule="auto" w:before="100"/>
              <w:ind w:left="40" w:right="47"/>
              <w:jc w:val="both"/>
              <w:rPr>
                <w:rFonts w:ascii="宋体" w:hAnsi="宋体" w:cs="宋体" w:eastAsia="宋体" w:hint="default"/>
                <w:sz w:val="20"/>
                <w:szCs w:val="20"/>
              </w:rPr>
            </w:pPr>
            <w:r>
              <w:rPr>
                <w:rFonts w:ascii="宋体" w:hAnsi="宋体" w:cs="宋体" w:eastAsia="宋体" w:hint="default"/>
                <w:spacing w:val="-21"/>
                <w:sz w:val="20"/>
                <w:szCs w:val="20"/>
              </w:rPr>
              <w:t>黑龙江北大</w:t>
            </w:r>
            <w:r>
              <w:rPr>
                <w:rFonts w:ascii="宋体" w:hAnsi="宋体" w:cs="宋体" w:eastAsia="宋体" w:hint="default"/>
                <w:spacing w:val="-20"/>
                <w:w w:val="99"/>
                <w:sz w:val="20"/>
                <w:szCs w:val="20"/>
              </w:rPr>
              <w:t> </w:t>
            </w:r>
            <w:r>
              <w:rPr>
                <w:rFonts w:ascii="宋体" w:hAnsi="宋体" w:cs="宋体" w:eastAsia="宋体" w:hint="default"/>
                <w:spacing w:val="-21"/>
                <w:sz w:val="20"/>
                <w:szCs w:val="20"/>
              </w:rPr>
              <w:t>荒浩良河化</w:t>
            </w:r>
            <w:r>
              <w:rPr>
                <w:rFonts w:ascii="宋体" w:hAnsi="宋体" w:cs="宋体" w:eastAsia="宋体" w:hint="default"/>
                <w:spacing w:val="-20"/>
                <w:w w:val="99"/>
                <w:sz w:val="20"/>
                <w:szCs w:val="20"/>
              </w:rPr>
              <w:t> </w:t>
            </w:r>
            <w:r>
              <w:rPr>
                <w:rFonts w:ascii="宋体" w:hAnsi="宋体" w:cs="宋体" w:eastAsia="宋体" w:hint="default"/>
                <w:spacing w:val="-21"/>
                <w:sz w:val="20"/>
                <w:szCs w:val="20"/>
              </w:rPr>
              <w:t>肥有限公司</w:t>
            </w:r>
            <w:r>
              <w:rPr>
                <w:rFonts w:ascii="宋体" w:hAnsi="宋体" w:cs="宋体" w:eastAsia="宋体" w:hint="default"/>
                <w:sz w:val="20"/>
                <w:szCs w:val="20"/>
              </w:rPr>
            </w:r>
          </w:p>
        </w:tc>
      </w:tr>
      <w:tr>
        <w:trPr>
          <w:trHeight w:val="358" w:hRule="exact"/>
        </w:trPr>
        <w:tc>
          <w:tcPr>
            <w:tcW w:w="202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57"/>
              <w:ind w:left="28" w:right="0"/>
              <w:jc w:val="left"/>
              <w:rPr>
                <w:rFonts w:ascii="宋体" w:hAnsi="宋体" w:cs="宋体" w:eastAsia="宋体" w:hint="default"/>
                <w:sz w:val="20"/>
                <w:szCs w:val="20"/>
              </w:rPr>
            </w:pPr>
            <w:r>
              <w:rPr>
                <w:rFonts w:ascii="宋体" w:hAnsi="宋体" w:cs="宋体" w:eastAsia="宋体" w:hint="default"/>
                <w:sz w:val="20"/>
                <w:szCs w:val="20"/>
              </w:rPr>
              <w:t>流动资产</w:t>
            </w:r>
            <w:r>
              <w:rPr>
                <w:rFonts w:ascii="宋体" w:hAnsi="宋体" w:cs="宋体" w:eastAsia="宋体" w:hint="default"/>
                <w:sz w:val="20"/>
                <w:szCs w:val="20"/>
              </w:rPr>
              <w:t> </w:t>
            </w:r>
          </w:p>
        </w:tc>
        <w:tc>
          <w:tcPr>
            <w:tcW w:w="94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left="23" w:right="0"/>
              <w:jc w:val="left"/>
              <w:rPr>
                <w:rFonts w:ascii="Arial" w:hAnsi="Arial" w:cs="Arial" w:eastAsia="Arial" w:hint="default"/>
                <w:sz w:val="20"/>
                <w:szCs w:val="20"/>
              </w:rPr>
            </w:pPr>
            <w:r>
              <w:rPr>
                <w:rFonts w:ascii="Arial"/>
                <w:sz w:val="20"/>
              </w:rPr>
              <w:t>28,486.39</w:t>
            </w:r>
          </w:p>
        </w:tc>
        <w:tc>
          <w:tcPr>
            <w:tcW w:w="94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5"/>
              <w:jc w:val="right"/>
              <w:rPr>
                <w:rFonts w:ascii="Arial" w:hAnsi="Arial" w:cs="Arial" w:eastAsia="Arial" w:hint="default"/>
                <w:sz w:val="20"/>
                <w:szCs w:val="20"/>
              </w:rPr>
            </w:pPr>
            <w:r>
              <w:rPr>
                <w:rFonts w:ascii="Arial"/>
                <w:w w:val="95"/>
                <w:sz w:val="20"/>
              </w:rPr>
              <w:t>13,397.01</w:t>
            </w:r>
            <w:r>
              <w:rPr>
                <w:rFonts w:ascii="Arial"/>
                <w:sz w:val="20"/>
              </w:rPr>
            </w:r>
          </w:p>
        </w:tc>
        <w:tc>
          <w:tcPr>
            <w:tcW w:w="79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6"/>
              <w:jc w:val="right"/>
              <w:rPr>
                <w:rFonts w:ascii="Arial" w:hAnsi="Arial" w:cs="Arial" w:eastAsia="Arial" w:hint="default"/>
                <w:sz w:val="20"/>
                <w:szCs w:val="20"/>
              </w:rPr>
            </w:pPr>
            <w:r>
              <w:rPr>
                <w:rFonts w:ascii="Arial"/>
                <w:w w:val="95"/>
                <w:sz w:val="20"/>
              </w:rPr>
              <w:t>231.70</w:t>
            </w:r>
            <w:r>
              <w:rPr>
                <w:rFonts w:ascii="Arial"/>
                <w:sz w:val="20"/>
              </w:rPr>
            </w:r>
          </w:p>
        </w:tc>
        <w:tc>
          <w:tcPr>
            <w:tcW w:w="8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spacing w:val="-1"/>
                <w:sz w:val="20"/>
              </w:rPr>
              <w:t>1,048.41</w:t>
            </w:r>
          </w:p>
        </w:tc>
        <w:tc>
          <w:tcPr>
            <w:tcW w:w="9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18,845.32</w:t>
            </w:r>
            <w:r>
              <w:rPr>
                <w:rFonts w:ascii="Arial"/>
                <w:sz w:val="20"/>
              </w:rPr>
            </w:r>
          </w:p>
        </w:tc>
        <w:tc>
          <w:tcPr>
            <w:tcW w:w="9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spacing w:val="-1"/>
                <w:sz w:val="20"/>
              </w:rPr>
              <w:t>6,194.86</w:t>
            </w:r>
          </w:p>
        </w:tc>
        <w:tc>
          <w:tcPr>
            <w:tcW w:w="85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left="21" w:right="0"/>
              <w:jc w:val="center"/>
              <w:rPr>
                <w:rFonts w:ascii="Arial" w:hAnsi="Arial" w:cs="Arial" w:eastAsia="Arial" w:hint="default"/>
                <w:sz w:val="20"/>
                <w:szCs w:val="20"/>
              </w:rPr>
            </w:pPr>
            <w:r>
              <w:rPr>
                <w:rFonts w:ascii="Arial"/>
                <w:sz w:val="20"/>
              </w:rPr>
              <w:t>4,901.76</w:t>
            </w:r>
          </w:p>
        </w:tc>
        <w:tc>
          <w:tcPr>
            <w:tcW w:w="98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33,993.13</w:t>
            </w:r>
            <w:r>
              <w:rPr>
                <w:rFonts w:ascii="Arial"/>
                <w:sz w:val="20"/>
              </w:rPr>
            </w:r>
          </w:p>
        </w:tc>
        <w:tc>
          <w:tcPr>
            <w:tcW w:w="94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12,933.24</w:t>
            </w:r>
            <w:r>
              <w:rPr>
                <w:rFonts w:ascii="Arial"/>
                <w:sz w:val="20"/>
              </w:rPr>
            </w:r>
          </w:p>
        </w:tc>
        <w:tc>
          <w:tcPr>
            <w:tcW w:w="85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spacing w:val="-1"/>
                <w:sz w:val="20"/>
              </w:rPr>
              <w:t>3,343.18</w:t>
            </w:r>
          </w:p>
        </w:tc>
        <w:tc>
          <w:tcPr>
            <w:tcW w:w="85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6"/>
              <w:jc w:val="right"/>
              <w:rPr>
                <w:rFonts w:ascii="Arial" w:hAnsi="Arial" w:cs="Arial" w:eastAsia="Arial" w:hint="default"/>
                <w:sz w:val="20"/>
                <w:szCs w:val="20"/>
              </w:rPr>
            </w:pPr>
            <w:r>
              <w:rPr>
                <w:rFonts w:ascii="Arial"/>
                <w:spacing w:val="-1"/>
                <w:sz w:val="20"/>
              </w:rPr>
              <w:t>1,047.81</w:t>
            </w:r>
          </w:p>
        </w:tc>
        <w:tc>
          <w:tcPr>
            <w:tcW w:w="9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19,411.26</w:t>
            </w:r>
            <w:r>
              <w:rPr>
                <w:rFonts w:ascii="Arial"/>
                <w:sz w:val="20"/>
              </w:rPr>
            </w:r>
          </w:p>
        </w:tc>
        <w:tc>
          <w:tcPr>
            <w:tcW w:w="99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7"/>
              <w:ind w:right="28"/>
              <w:jc w:val="right"/>
              <w:rPr>
                <w:rFonts w:ascii="Arial" w:hAnsi="Arial" w:cs="Arial" w:eastAsia="Arial" w:hint="default"/>
                <w:sz w:val="20"/>
                <w:szCs w:val="20"/>
              </w:rPr>
            </w:pPr>
            <w:r>
              <w:rPr>
                <w:rFonts w:ascii="Arial"/>
                <w:spacing w:val="-1"/>
                <w:sz w:val="20"/>
              </w:rPr>
              <w:t>6,821.07</w:t>
            </w:r>
          </w:p>
        </w:tc>
      </w:tr>
      <w:tr>
        <w:trPr>
          <w:trHeight w:val="358" w:hRule="exact"/>
        </w:trPr>
        <w:tc>
          <w:tcPr>
            <w:tcW w:w="202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57"/>
              <w:ind w:left="28" w:right="0"/>
              <w:jc w:val="left"/>
              <w:rPr>
                <w:rFonts w:ascii="宋体" w:hAnsi="宋体" w:cs="宋体" w:eastAsia="宋体" w:hint="default"/>
                <w:sz w:val="20"/>
                <w:szCs w:val="20"/>
              </w:rPr>
            </w:pPr>
            <w:r>
              <w:rPr>
                <w:rFonts w:ascii="宋体" w:hAnsi="宋体" w:cs="宋体" w:eastAsia="宋体" w:hint="default"/>
                <w:sz w:val="20"/>
                <w:szCs w:val="20"/>
              </w:rPr>
              <w:t>非流动资产</w:t>
            </w:r>
            <w:r>
              <w:rPr>
                <w:rFonts w:ascii="宋体" w:hAnsi="宋体" w:cs="宋体" w:eastAsia="宋体" w:hint="default"/>
                <w:sz w:val="20"/>
                <w:szCs w:val="20"/>
              </w:rPr>
              <w:t> </w:t>
            </w:r>
          </w:p>
        </w:tc>
        <w:tc>
          <w:tcPr>
            <w:tcW w:w="94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left="23" w:right="0"/>
              <w:jc w:val="left"/>
              <w:rPr>
                <w:rFonts w:ascii="Arial" w:hAnsi="Arial" w:cs="Arial" w:eastAsia="Arial" w:hint="default"/>
                <w:sz w:val="20"/>
                <w:szCs w:val="20"/>
              </w:rPr>
            </w:pPr>
            <w:r>
              <w:rPr>
                <w:rFonts w:ascii="Arial"/>
                <w:sz w:val="20"/>
              </w:rPr>
              <w:t>16,215.89</w:t>
            </w:r>
          </w:p>
        </w:tc>
        <w:tc>
          <w:tcPr>
            <w:tcW w:w="94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spacing w:val="-1"/>
                <w:sz w:val="20"/>
              </w:rPr>
              <w:t>1,112.88</w:t>
            </w:r>
          </w:p>
        </w:tc>
        <w:tc>
          <w:tcPr>
            <w:tcW w:w="79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8"/>
              <w:jc w:val="right"/>
              <w:rPr>
                <w:rFonts w:ascii="Arial" w:hAnsi="Arial" w:cs="Arial" w:eastAsia="Arial" w:hint="default"/>
                <w:sz w:val="20"/>
                <w:szCs w:val="20"/>
              </w:rPr>
            </w:pPr>
            <w:r>
              <w:rPr>
                <w:rFonts w:ascii="Arial"/>
                <w:spacing w:val="-1"/>
                <w:w w:val="95"/>
                <w:sz w:val="20"/>
              </w:rPr>
              <w:t>3.53</w:t>
            </w:r>
            <w:r>
              <w:rPr>
                <w:rFonts w:ascii="Arial"/>
                <w:sz w:val="20"/>
              </w:rPr>
            </w:r>
          </w:p>
        </w:tc>
        <w:tc>
          <w:tcPr>
            <w:tcW w:w="8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228.12</w:t>
            </w:r>
            <w:r>
              <w:rPr>
                <w:rFonts w:ascii="Arial"/>
                <w:sz w:val="20"/>
              </w:rPr>
            </w:r>
          </w:p>
        </w:tc>
        <w:tc>
          <w:tcPr>
            <w:tcW w:w="9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spacing w:val="-1"/>
                <w:sz w:val="20"/>
              </w:rPr>
              <w:t>4,636.52</w:t>
            </w:r>
          </w:p>
        </w:tc>
        <w:tc>
          <w:tcPr>
            <w:tcW w:w="9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5"/>
              <w:jc w:val="right"/>
              <w:rPr>
                <w:rFonts w:ascii="Arial" w:hAnsi="Arial" w:cs="Arial" w:eastAsia="Arial" w:hint="default"/>
                <w:sz w:val="20"/>
                <w:szCs w:val="20"/>
              </w:rPr>
            </w:pPr>
            <w:r>
              <w:rPr>
                <w:rFonts w:ascii="Arial"/>
                <w:w w:val="95"/>
                <w:sz w:val="20"/>
              </w:rPr>
              <w:t>31,605.95</w:t>
            </w:r>
            <w:r>
              <w:rPr>
                <w:rFonts w:ascii="Arial"/>
                <w:sz w:val="20"/>
              </w:rPr>
            </w:r>
          </w:p>
        </w:tc>
        <w:tc>
          <w:tcPr>
            <w:tcW w:w="85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left="21" w:right="0"/>
              <w:jc w:val="center"/>
              <w:rPr>
                <w:rFonts w:ascii="Arial" w:hAnsi="Arial" w:cs="Arial" w:eastAsia="Arial" w:hint="default"/>
                <w:sz w:val="20"/>
                <w:szCs w:val="20"/>
              </w:rPr>
            </w:pPr>
            <w:r>
              <w:rPr>
                <w:rFonts w:ascii="Arial"/>
                <w:sz w:val="20"/>
              </w:rPr>
              <w:t>3,187.07</w:t>
            </w:r>
          </w:p>
        </w:tc>
        <w:tc>
          <w:tcPr>
            <w:tcW w:w="98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18,207.87</w:t>
            </w:r>
            <w:r>
              <w:rPr>
                <w:rFonts w:ascii="Arial"/>
                <w:sz w:val="20"/>
              </w:rPr>
            </w:r>
          </w:p>
        </w:tc>
        <w:tc>
          <w:tcPr>
            <w:tcW w:w="94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spacing w:val="-1"/>
                <w:sz w:val="20"/>
              </w:rPr>
              <w:t>1,147.41</w:t>
            </w:r>
          </w:p>
        </w:tc>
        <w:tc>
          <w:tcPr>
            <w:tcW w:w="85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188.54</w:t>
            </w:r>
            <w:r>
              <w:rPr>
                <w:rFonts w:ascii="Arial"/>
                <w:sz w:val="20"/>
              </w:rPr>
            </w:r>
          </w:p>
        </w:tc>
        <w:tc>
          <w:tcPr>
            <w:tcW w:w="85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6"/>
              <w:jc w:val="right"/>
              <w:rPr>
                <w:rFonts w:ascii="Arial" w:hAnsi="Arial" w:cs="Arial" w:eastAsia="Arial" w:hint="default"/>
                <w:sz w:val="20"/>
                <w:szCs w:val="20"/>
              </w:rPr>
            </w:pPr>
            <w:r>
              <w:rPr>
                <w:rFonts w:ascii="Arial"/>
                <w:w w:val="95"/>
                <w:sz w:val="20"/>
              </w:rPr>
              <w:t>245.95</w:t>
            </w:r>
            <w:r>
              <w:rPr>
                <w:rFonts w:ascii="Arial"/>
                <w:sz w:val="20"/>
              </w:rPr>
            </w:r>
          </w:p>
        </w:tc>
        <w:tc>
          <w:tcPr>
            <w:tcW w:w="9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158.19</w:t>
            </w:r>
            <w:r>
              <w:rPr>
                <w:rFonts w:ascii="Arial"/>
                <w:sz w:val="20"/>
              </w:rPr>
            </w:r>
          </w:p>
        </w:tc>
        <w:tc>
          <w:tcPr>
            <w:tcW w:w="99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7"/>
              <w:ind w:right="29"/>
              <w:jc w:val="right"/>
              <w:rPr>
                <w:rFonts w:ascii="Arial" w:hAnsi="Arial" w:cs="Arial" w:eastAsia="Arial" w:hint="default"/>
                <w:sz w:val="20"/>
                <w:szCs w:val="20"/>
              </w:rPr>
            </w:pPr>
            <w:r>
              <w:rPr>
                <w:rFonts w:ascii="Arial"/>
                <w:w w:val="95"/>
                <w:sz w:val="20"/>
              </w:rPr>
              <w:t>35,994.01</w:t>
            </w:r>
            <w:r>
              <w:rPr>
                <w:rFonts w:ascii="Arial"/>
                <w:sz w:val="20"/>
              </w:rPr>
            </w:r>
          </w:p>
        </w:tc>
      </w:tr>
      <w:tr>
        <w:trPr>
          <w:trHeight w:val="355" w:hRule="exact"/>
        </w:trPr>
        <w:tc>
          <w:tcPr>
            <w:tcW w:w="202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54"/>
              <w:ind w:left="28" w:right="0"/>
              <w:jc w:val="left"/>
              <w:rPr>
                <w:rFonts w:ascii="宋体" w:hAnsi="宋体" w:cs="宋体" w:eastAsia="宋体" w:hint="default"/>
                <w:sz w:val="20"/>
                <w:szCs w:val="20"/>
              </w:rPr>
            </w:pPr>
            <w:r>
              <w:rPr>
                <w:rFonts w:ascii="宋体" w:hAnsi="宋体" w:cs="宋体" w:eastAsia="宋体" w:hint="default"/>
                <w:sz w:val="20"/>
                <w:szCs w:val="20"/>
              </w:rPr>
              <w:t>资产合计</w:t>
            </w:r>
            <w:r>
              <w:rPr>
                <w:rFonts w:ascii="宋体" w:hAnsi="宋体" w:cs="宋体" w:eastAsia="宋体" w:hint="default"/>
                <w:sz w:val="20"/>
                <w:szCs w:val="20"/>
              </w:rPr>
              <w:t> </w:t>
            </w:r>
          </w:p>
        </w:tc>
        <w:tc>
          <w:tcPr>
            <w:tcW w:w="94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left="23" w:right="0"/>
              <w:jc w:val="left"/>
              <w:rPr>
                <w:rFonts w:ascii="Arial" w:hAnsi="Arial" w:cs="Arial" w:eastAsia="Arial" w:hint="default"/>
                <w:sz w:val="20"/>
                <w:szCs w:val="20"/>
              </w:rPr>
            </w:pPr>
            <w:r>
              <w:rPr>
                <w:rFonts w:ascii="Arial"/>
                <w:sz w:val="20"/>
              </w:rPr>
              <w:t>44,702.28</w:t>
            </w:r>
          </w:p>
        </w:tc>
        <w:tc>
          <w:tcPr>
            <w:tcW w:w="94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5"/>
              <w:jc w:val="right"/>
              <w:rPr>
                <w:rFonts w:ascii="Arial" w:hAnsi="Arial" w:cs="Arial" w:eastAsia="Arial" w:hint="default"/>
                <w:sz w:val="20"/>
                <w:szCs w:val="20"/>
              </w:rPr>
            </w:pPr>
            <w:r>
              <w:rPr>
                <w:rFonts w:ascii="Arial"/>
                <w:w w:val="95"/>
                <w:sz w:val="20"/>
              </w:rPr>
              <w:t>14,509.89</w:t>
            </w:r>
            <w:r>
              <w:rPr>
                <w:rFonts w:ascii="Arial"/>
                <w:sz w:val="20"/>
              </w:rPr>
            </w:r>
          </w:p>
        </w:tc>
        <w:tc>
          <w:tcPr>
            <w:tcW w:w="79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6"/>
              <w:jc w:val="right"/>
              <w:rPr>
                <w:rFonts w:ascii="Arial" w:hAnsi="Arial" w:cs="Arial" w:eastAsia="Arial" w:hint="default"/>
                <w:sz w:val="20"/>
                <w:szCs w:val="20"/>
              </w:rPr>
            </w:pPr>
            <w:r>
              <w:rPr>
                <w:rFonts w:ascii="Arial"/>
                <w:w w:val="95"/>
                <w:sz w:val="20"/>
              </w:rPr>
              <w:t>235.23</w:t>
            </w:r>
            <w:r>
              <w:rPr>
                <w:rFonts w:ascii="Arial"/>
                <w:sz w:val="20"/>
              </w:rPr>
            </w:r>
          </w:p>
        </w:tc>
        <w:tc>
          <w:tcPr>
            <w:tcW w:w="8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spacing w:val="-1"/>
                <w:sz w:val="20"/>
              </w:rPr>
              <w:t>1,276.53</w:t>
            </w:r>
          </w:p>
        </w:tc>
        <w:tc>
          <w:tcPr>
            <w:tcW w:w="9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23,481.84</w:t>
            </w:r>
            <w:r>
              <w:rPr>
                <w:rFonts w:ascii="Arial"/>
                <w:sz w:val="20"/>
              </w:rPr>
            </w:r>
          </w:p>
        </w:tc>
        <w:tc>
          <w:tcPr>
            <w:tcW w:w="9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5"/>
              <w:jc w:val="right"/>
              <w:rPr>
                <w:rFonts w:ascii="Arial" w:hAnsi="Arial" w:cs="Arial" w:eastAsia="Arial" w:hint="default"/>
                <w:sz w:val="20"/>
                <w:szCs w:val="20"/>
              </w:rPr>
            </w:pPr>
            <w:r>
              <w:rPr>
                <w:rFonts w:ascii="Arial"/>
                <w:w w:val="95"/>
                <w:sz w:val="20"/>
              </w:rPr>
              <w:t>37,800.81</w:t>
            </w:r>
            <w:r>
              <w:rPr>
                <w:rFonts w:ascii="Arial"/>
                <w:sz w:val="20"/>
              </w:rPr>
            </w:r>
          </w:p>
        </w:tc>
        <w:tc>
          <w:tcPr>
            <w:tcW w:w="85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left="21" w:right="0"/>
              <w:jc w:val="center"/>
              <w:rPr>
                <w:rFonts w:ascii="Arial" w:hAnsi="Arial" w:cs="Arial" w:eastAsia="Arial" w:hint="default"/>
                <w:sz w:val="20"/>
                <w:szCs w:val="20"/>
              </w:rPr>
            </w:pPr>
            <w:r>
              <w:rPr>
                <w:rFonts w:ascii="Arial"/>
                <w:sz w:val="20"/>
              </w:rPr>
              <w:t>8,088.83</w:t>
            </w:r>
          </w:p>
        </w:tc>
        <w:tc>
          <w:tcPr>
            <w:tcW w:w="98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52,201.00</w:t>
            </w:r>
            <w:r>
              <w:rPr>
                <w:rFonts w:ascii="Arial"/>
                <w:sz w:val="20"/>
              </w:rPr>
            </w:r>
          </w:p>
        </w:tc>
        <w:tc>
          <w:tcPr>
            <w:tcW w:w="94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14,080.65</w:t>
            </w:r>
            <w:r>
              <w:rPr>
                <w:rFonts w:ascii="Arial"/>
                <w:sz w:val="20"/>
              </w:rPr>
            </w:r>
          </w:p>
        </w:tc>
        <w:tc>
          <w:tcPr>
            <w:tcW w:w="85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spacing w:val="-1"/>
                <w:sz w:val="20"/>
              </w:rPr>
              <w:t>3,531.72</w:t>
            </w:r>
          </w:p>
        </w:tc>
        <w:tc>
          <w:tcPr>
            <w:tcW w:w="85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6"/>
              <w:jc w:val="right"/>
              <w:rPr>
                <w:rFonts w:ascii="Arial" w:hAnsi="Arial" w:cs="Arial" w:eastAsia="Arial" w:hint="default"/>
                <w:sz w:val="20"/>
                <w:szCs w:val="20"/>
              </w:rPr>
            </w:pPr>
            <w:r>
              <w:rPr>
                <w:rFonts w:ascii="Arial"/>
                <w:spacing w:val="-1"/>
                <w:sz w:val="20"/>
              </w:rPr>
              <w:t>1,293.76</w:t>
            </w:r>
          </w:p>
        </w:tc>
        <w:tc>
          <w:tcPr>
            <w:tcW w:w="9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19,569.45</w:t>
            </w:r>
            <w:r>
              <w:rPr>
                <w:rFonts w:ascii="Arial"/>
                <w:sz w:val="20"/>
              </w:rPr>
            </w:r>
          </w:p>
        </w:tc>
        <w:tc>
          <w:tcPr>
            <w:tcW w:w="99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5"/>
              <w:ind w:right="29"/>
              <w:jc w:val="right"/>
              <w:rPr>
                <w:rFonts w:ascii="Arial" w:hAnsi="Arial" w:cs="Arial" w:eastAsia="Arial" w:hint="default"/>
                <w:sz w:val="20"/>
                <w:szCs w:val="20"/>
              </w:rPr>
            </w:pPr>
            <w:r>
              <w:rPr>
                <w:rFonts w:ascii="Arial"/>
                <w:w w:val="95"/>
                <w:sz w:val="20"/>
              </w:rPr>
              <w:t>42,815.08</w:t>
            </w:r>
            <w:r>
              <w:rPr>
                <w:rFonts w:ascii="Arial"/>
                <w:sz w:val="20"/>
              </w:rPr>
            </w:r>
          </w:p>
        </w:tc>
      </w:tr>
      <w:tr>
        <w:trPr>
          <w:trHeight w:val="358" w:hRule="exact"/>
        </w:trPr>
        <w:tc>
          <w:tcPr>
            <w:tcW w:w="202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57"/>
              <w:ind w:left="28" w:right="0"/>
              <w:jc w:val="left"/>
              <w:rPr>
                <w:rFonts w:ascii="宋体" w:hAnsi="宋体" w:cs="宋体" w:eastAsia="宋体" w:hint="default"/>
                <w:sz w:val="20"/>
                <w:szCs w:val="20"/>
              </w:rPr>
            </w:pPr>
            <w:r>
              <w:rPr>
                <w:rFonts w:ascii="宋体" w:hAnsi="宋体" w:cs="宋体" w:eastAsia="宋体" w:hint="default"/>
                <w:sz w:val="20"/>
                <w:szCs w:val="20"/>
              </w:rPr>
              <w:t>流动负债</w:t>
            </w:r>
            <w:r>
              <w:rPr>
                <w:rFonts w:ascii="宋体" w:hAnsi="宋体" w:cs="宋体" w:eastAsia="宋体" w:hint="default"/>
                <w:sz w:val="20"/>
                <w:szCs w:val="20"/>
              </w:rPr>
              <w:t> </w:t>
            </w:r>
          </w:p>
        </w:tc>
        <w:tc>
          <w:tcPr>
            <w:tcW w:w="94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left="23" w:right="0"/>
              <w:jc w:val="left"/>
              <w:rPr>
                <w:rFonts w:ascii="Arial" w:hAnsi="Arial" w:cs="Arial" w:eastAsia="Arial" w:hint="default"/>
                <w:sz w:val="20"/>
                <w:szCs w:val="20"/>
              </w:rPr>
            </w:pPr>
            <w:r>
              <w:rPr>
                <w:rFonts w:ascii="Arial"/>
                <w:sz w:val="20"/>
              </w:rPr>
              <w:t>25,019.76</w:t>
            </w:r>
          </w:p>
        </w:tc>
        <w:tc>
          <w:tcPr>
            <w:tcW w:w="94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953.25</w:t>
            </w:r>
            <w:r>
              <w:rPr>
                <w:rFonts w:ascii="Arial"/>
                <w:sz w:val="20"/>
              </w:rPr>
            </w:r>
          </w:p>
        </w:tc>
        <w:tc>
          <w:tcPr>
            <w:tcW w:w="790" w:type="dxa"/>
            <w:tcBorders>
              <w:top w:val="single" w:sz="4" w:space="0" w:color="41B7EE"/>
              <w:left w:val="single" w:sz="4" w:space="0" w:color="41B7EE"/>
              <w:bottom w:val="single" w:sz="4" w:space="0" w:color="41B7EE"/>
              <w:right w:val="single" w:sz="4" w:space="0" w:color="41B7EE"/>
            </w:tcBorders>
          </w:tcPr>
          <w:p>
            <w:pPr>
              <w:pStyle w:val="TableParagraph"/>
              <w:spacing w:line="230" w:lineRule="exact"/>
              <w:ind w:right="26"/>
              <w:jc w:val="right"/>
              <w:rPr>
                <w:rFonts w:ascii="Arial" w:hAnsi="Arial" w:cs="Arial" w:eastAsia="Arial" w:hint="default"/>
                <w:sz w:val="20"/>
                <w:szCs w:val="20"/>
              </w:rPr>
            </w:pPr>
            <w:r>
              <w:rPr>
                <w:rFonts w:ascii="Arial"/>
                <w:w w:val="95"/>
                <w:sz w:val="20"/>
              </w:rPr>
              <w:t>379.07</w:t>
            </w:r>
            <w:r>
              <w:rPr>
                <w:rFonts w:ascii="Arial"/>
                <w:sz w:val="20"/>
              </w:rPr>
            </w:r>
          </w:p>
        </w:tc>
        <w:tc>
          <w:tcPr>
            <w:tcW w:w="8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68.26</w:t>
            </w:r>
            <w:r>
              <w:rPr>
                <w:rFonts w:ascii="Arial"/>
                <w:sz w:val="20"/>
              </w:rPr>
            </w:r>
          </w:p>
        </w:tc>
        <w:tc>
          <w:tcPr>
            <w:tcW w:w="9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spacing w:val="-1"/>
                <w:sz w:val="20"/>
              </w:rPr>
              <w:t>5,125.83</w:t>
            </w:r>
          </w:p>
        </w:tc>
        <w:tc>
          <w:tcPr>
            <w:tcW w:w="9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5"/>
              <w:jc w:val="right"/>
              <w:rPr>
                <w:rFonts w:ascii="Arial" w:hAnsi="Arial" w:cs="Arial" w:eastAsia="Arial" w:hint="default"/>
                <w:sz w:val="20"/>
                <w:szCs w:val="20"/>
              </w:rPr>
            </w:pPr>
            <w:r>
              <w:rPr>
                <w:rFonts w:ascii="Arial"/>
                <w:w w:val="95"/>
                <w:sz w:val="20"/>
              </w:rPr>
              <w:t>13,107.82</w:t>
            </w:r>
            <w:r>
              <w:rPr>
                <w:rFonts w:ascii="Arial"/>
                <w:sz w:val="20"/>
              </w:rPr>
            </w:r>
          </w:p>
        </w:tc>
        <w:tc>
          <w:tcPr>
            <w:tcW w:w="85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left="21" w:right="0"/>
              <w:jc w:val="center"/>
              <w:rPr>
                <w:rFonts w:ascii="Arial" w:hAnsi="Arial" w:cs="Arial" w:eastAsia="Arial" w:hint="default"/>
                <w:sz w:val="20"/>
                <w:szCs w:val="20"/>
              </w:rPr>
            </w:pPr>
            <w:r>
              <w:rPr>
                <w:rFonts w:ascii="Arial"/>
                <w:sz w:val="20"/>
              </w:rPr>
              <w:t>4,109.80</w:t>
            </w:r>
          </w:p>
        </w:tc>
        <w:tc>
          <w:tcPr>
            <w:tcW w:w="98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29,509.64</w:t>
            </w:r>
            <w:r>
              <w:rPr>
                <w:rFonts w:ascii="Arial"/>
                <w:sz w:val="20"/>
              </w:rPr>
            </w:r>
          </w:p>
        </w:tc>
        <w:tc>
          <w:tcPr>
            <w:tcW w:w="94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spacing w:val="-1"/>
                <w:sz w:val="20"/>
              </w:rPr>
              <w:t>1,069.91</w:t>
            </w:r>
          </w:p>
        </w:tc>
        <w:tc>
          <w:tcPr>
            <w:tcW w:w="85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spacing w:val="-1"/>
                <w:sz w:val="20"/>
              </w:rPr>
              <w:t>3,407.29</w:t>
            </w:r>
          </w:p>
        </w:tc>
        <w:tc>
          <w:tcPr>
            <w:tcW w:w="85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6"/>
              <w:jc w:val="right"/>
              <w:rPr>
                <w:rFonts w:ascii="Arial" w:hAnsi="Arial" w:cs="Arial" w:eastAsia="Arial" w:hint="default"/>
                <w:sz w:val="20"/>
                <w:szCs w:val="20"/>
              </w:rPr>
            </w:pPr>
            <w:r>
              <w:rPr>
                <w:rFonts w:ascii="Arial"/>
                <w:w w:val="95"/>
                <w:sz w:val="20"/>
              </w:rPr>
              <w:t>46.86</w:t>
            </w:r>
            <w:r>
              <w:rPr>
                <w:rFonts w:ascii="Arial"/>
                <w:sz w:val="20"/>
              </w:rPr>
            </w:r>
          </w:p>
        </w:tc>
        <w:tc>
          <w:tcPr>
            <w:tcW w:w="9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971.92</w:t>
            </w:r>
            <w:r>
              <w:rPr>
                <w:rFonts w:ascii="Arial"/>
                <w:sz w:val="20"/>
              </w:rPr>
            </w:r>
          </w:p>
        </w:tc>
        <w:tc>
          <w:tcPr>
            <w:tcW w:w="99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7"/>
              <w:ind w:right="29"/>
              <w:jc w:val="right"/>
              <w:rPr>
                <w:rFonts w:ascii="Arial" w:hAnsi="Arial" w:cs="Arial" w:eastAsia="Arial" w:hint="default"/>
                <w:sz w:val="20"/>
                <w:szCs w:val="20"/>
              </w:rPr>
            </w:pPr>
            <w:r>
              <w:rPr>
                <w:rFonts w:ascii="Arial"/>
                <w:w w:val="95"/>
                <w:sz w:val="20"/>
              </w:rPr>
              <w:t>12,772.55</w:t>
            </w:r>
            <w:r>
              <w:rPr>
                <w:rFonts w:ascii="Arial"/>
                <w:sz w:val="20"/>
              </w:rPr>
            </w:r>
          </w:p>
        </w:tc>
      </w:tr>
      <w:tr>
        <w:trPr>
          <w:trHeight w:val="358" w:hRule="exact"/>
        </w:trPr>
        <w:tc>
          <w:tcPr>
            <w:tcW w:w="202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57"/>
              <w:ind w:left="28" w:right="0"/>
              <w:jc w:val="left"/>
              <w:rPr>
                <w:rFonts w:ascii="宋体" w:hAnsi="宋体" w:cs="宋体" w:eastAsia="宋体" w:hint="default"/>
                <w:sz w:val="20"/>
                <w:szCs w:val="20"/>
              </w:rPr>
            </w:pPr>
            <w:r>
              <w:rPr>
                <w:rFonts w:ascii="宋体" w:hAnsi="宋体" w:cs="宋体" w:eastAsia="宋体" w:hint="default"/>
                <w:sz w:val="20"/>
                <w:szCs w:val="20"/>
              </w:rPr>
              <w:t>非流动负债</w:t>
            </w:r>
            <w:r>
              <w:rPr>
                <w:rFonts w:ascii="宋体" w:hAnsi="宋体" w:cs="宋体" w:eastAsia="宋体" w:hint="default"/>
                <w:sz w:val="20"/>
                <w:szCs w:val="20"/>
              </w:rPr>
              <w:t> </w:t>
            </w:r>
          </w:p>
        </w:tc>
        <w:tc>
          <w:tcPr>
            <w:tcW w:w="948" w:type="dxa"/>
            <w:tcBorders>
              <w:top w:val="single" w:sz="4" w:space="0" w:color="41B7EE"/>
              <w:left w:val="single" w:sz="4" w:space="0" w:color="41B7EE"/>
              <w:bottom w:val="single" w:sz="4" w:space="0" w:color="41B7EE"/>
              <w:right w:val="single" w:sz="4" w:space="0" w:color="41B7EE"/>
            </w:tcBorders>
          </w:tcPr>
          <w:p>
            <w:pPr/>
          </w:p>
        </w:tc>
        <w:tc>
          <w:tcPr>
            <w:tcW w:w="946" w:type="dxa"/>
            <w:tcBorders>
              <w:top w:val="single" w:sz="4" w:space="0" w:color="41B7EE"/>
              <w:left w:val="single" w:sz="4" w:space="0" w:color="41B7EE"/>
              <w:bottom w:val="single" w:sz="4" w:space="0" w:color="41B7EE"/>
              <w:right w:val="single" w:sz="4" w:space="0" w:color="41B7EE"/>
            </w:tcBorders>
          </w:tcPr>
          <w:p>
            <w:pPr/>
          </w:p>
        </w:tc>
        <w:tc>
          <w:tcPr>
            <w:tcW w:w="790" w:type="dxa"/>
            <w:tcBorders>
              <w:top w:val="single" w:sz="4" w:space="0" w:color="41B7EE"/>
              <w:left w:val="single" w:sz="4" w:space="0" w:color="41B7EE"/>
              <w:bottom w:val="single" w:sz="4" w:space="0" w:color="41B7EE"/>
              <w:right w:val="single" w:sz="4" w:space="0" w:color="41B7EE"/>
            </w:tcBorders>
          </w:tcPr>
          <w:p>
            <w:pPr/>
          </w:p>
        </w:tc>
        <w:tc>
          <w:tcPr>
            <w:tcW w:w="862" w:type="dxa"/>
            <w:tcBorders>
              <w:top w:val="single" w:sz="4" w:space="0" w:color="41B7EE"/>
              <w:left w:val="single" w:sz="4" w:space="0" w:color="41B7EE"/>
              <w:bottom w:val="single" w:sz="4" w:space="0" w:color="41B7EE"/>
              <w:right w:val="single" w:sz="4" w:space="0" w:color="41B7EE"/>
            </w:tcBorders>
          </w:tcPr>
          <w:p>
            <w:pPr/>
          </w:p>
        </w:tc>
        <w:tc>
          <w:tcPr>
            <w:tcW w:w="994" w:type="dxa"/>
            <w:tcBorders>
              <w:top w:val="single" w:sz="4" w:space="0" w:color="41B7EE"/>
              <w:left w:val="single" w:sz="4" w:space="0" w:color="41B7EE"/>
              <w:bottom w:val="single" w:sz="4" w:space="0" w:color="41B7EE"/>
              <w:right w:val="single" w:sz="4" w:space="0" w:color="41B7EE"/>
            </w:tcBorders>
          </w:tcPr>
          <w:p>
            <w:pPr/>
          </w:p>
        </w:tc>
        <w:tc>
          <w:tcPr>
            <w:tcW w:w="994" w:type="dxa"/>
            <w:tcBorders>
              <w:top w:val="single" w:sz="4" w:space="0" w:color="41B7EE"/>
              <w:left w:val="single" w:sz="4" w:space="0" w:color="41B7EE"/>
              <w:bottom w:val="single" w:sz="4" w:space="0" w:color="41B7EE"/>
              <w:right w:val="single" w:sz="4" w:space="0" w:color="41B7EE"/>
            </w:tcBorders>
          </w:tcPr>
          <w:p>
            <w:pPr/>
          </w:p>
        </w:tc>
        <w:tc>
          <w:tcPr>
            <w:tcW w:w="85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left="187" w:right="0"/>
              <w:jc w:val="center"/>
              <w:rPr>
                <w:rFonts w:ascii="Arial" w:hAnsi="Arial" w:cs="Arial" w:eastAsia="Arial" w:hint="default"/>
                <w:sz w:val="20"/>
                <w:szCs w:val="20"/>
              </w:rPr>
            </w:pPr>
            <w:r>
              <w:rPr>
                <w:rFonts w:ascii="Arial"/>
                <w:sz w:val="20"/>
              </w:rPr>
              <w:t>179.16</w:t>
            </w:r>
          </w:p>
        </w:tc>
        <w:tc>
          <w:tcPr>
            <w:tcW w:w="989" w:type="dxa"/>
            <w:tcBorders>
              <w:top w:val="single" w:sz="4" w:space="0" w:color="41B7EE"/>
              <w:left w:val="single" w:sz="4" w:space="0" w:color="41B7EE"/>
              <w:bottom w:val="single" w:sz="4" w:space="0" w:color="41B7EE"/>
              <w:right w:val="single" w:sz="4" w:space="0" w:color="41B7EE"/>
            </w:tcBorders>
          </w:tcPr>
          <w:p>
            <w:pPr/>
          </w:p>
        </w:tc>
        <w:tc>
          <w:tcPr>
            <w:tcW w:w="946" w:type="dxa"/>
            <w:tcBorders>
              <w:top w:val="single" w:sz="4" w:space="0" w:color="41B7EE"/>
              <w:left w:val="single" w:sz="4" w:space="0" w:color="41B7EE"/>
              <w:bottom w:val="single" w:sz="4" w:space="0" w:color="41B7EE"/>
              <w:right w:val="single" w:sz="4" w:space="0" w:color="41B7EE"/>
            </w:tcBorders>
          </w:tcPr>
          <w:p>
            <w:pPr/>
          </w:p>
        </w:tc>
        <w:tc>
          <w:tcPr>
            <w:tcW w:w="85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288.89</w:t>
            </w:r>
            <w:r>
              <w:rPr>
                <w:rFonts w:ascii="Arial"/>
                <w:sz w:val="20"/>
              </w:rPr>
            </w:r>
          </w:p>
        </w:tc>
        <w:tc>
          <w:tcPr>
            <w:tcW w:w="854" w:type="dxa"/>
            <w:tcBorders>
              <w:top w:val="single" w:sz="4" w:space="0" w:color="41B7EE"/>
              <w:left w:val="single" w:sz="4" w:space="0" w:color="41B7EE"/>
              <w:bottom w:val="single" w:sz="4" w:space="0" w:color="41B7EE"/>
              <w:right w:val="single" w:sz="4" w:space="0" w:color="41B7EE"/>
            </w:tcBorders>
          </w:tcPr>
          <w:p>
            <w:pPr/>
          </w:p>
        </w:tc>
        <w:tc>
          <w:tcPr>
            <w:tcW w:w="994" w:type="dxa"/>
            <w:tcBorders>
              <w:top w:val="single" w:sz="4" w:space="0" w:color="41B7EE"/>
              <w:left w:val="single" w:sz="4" w:space="0" w:color="41B7EE"/>
              <w:bottom w:val="single" w:sz="4" w:space="0" w:color="41B7EE"/>
              <w:right w:val="single" w:sz="4" w:space="0" w:color="41B7EE"/>
            </w:tcBorders>
          </w:tcPr>
          <w:p>
            <w:pPr/>
          </w:p>
        </w:tc>
        <w:tc>
          <w:tcPr>
            <w:tcW w:w="994"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202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57"/>
              <w:ind w:left="28" w:right="0"/>
              <w:jc w:val="left"/>
              <w:rPr>
                <w:rFonts w:ascii="宋体" w:hAnsi="宋体" w:cs="宋体" w:eastAsia="宋体" w:hint="default"/>
                <w:sz w:val="20"/>
                <w:szCs w:val="20"/>
              </w:rPr>
            </w:pPr>
            <w:r>
              <w:rPr>
                <w:rFonts w:ascii="宋体" w:hAnsi="宋体" w:cs="宋体" w:eastAsia="宋体" w:hint="default"/>
                <w:sz w:val="20"/>
                <w:szCs w:val="20"/>
              </w:rPr>
              <w:t>负债合计</w:t>
            </w:r>
            <w:r>
              <w:rPr>
                <w:rFonts w:ascii="宋体" w:hAnsi="宋体" w:cs="宋体" w:eastAsia="宋体" w:hint="default"/>
                <w:sz w:val="20"/>
                <w:szCs w:val="20"/>
              </w:rPr>
              <w:t> </w:t>
            </w:r>
          </w:p>
        </w:tc>
        <w:tc>
          <w:tcPr>
            <w:tcW w:w="94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left="23" w:right="0"/>
              <w:jc w:val="left"/>
              <w:rPr>
                <w:rFonts w:ascii="Arial" w:hAnsi="Arial" w:cs="Arial" w:eastAsia="Arial" w:hint="default"/>
                <w:sz w:val="20"/>
                <w:szCs w:val="20"/>
              </w:rPr>
            </w:pPr>
            <w:r>
              <w:rPr>
                <w:rFonts w:ascii="Arial"/>
                <w:sz w:val="20"/>
              </w:rPr>
              <w:t>25,019.76</w:t>
            </w:r>
          </w:p>
        </w:tc>
        <w:tc>
          <w:tcPr>
            <w:tcW w:w="94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953.25</w:t>
            </w:r>
            <w:r>
              <w:rPr>
                <w:rFonts w:ascii="Arial"/>
                <w:sz w:val="20"/>
              </w:rPr>
            </w:r>
          </w:p>
        </w:tc>
        <w:tc>
          <w:tcPr>
            <w:tcW w:w="790" w:type="dxa"/>
            <w:tcBorders>
              <w:top w:val="single" w:sz="4" w:space="0" w:color="41B7EE"/>
              <w:left w:val="single" w:sz="4" w:space="0" w:color="41B7EE"/>
              <w:bottom w:val="single" w:sz="4" w:space="0" w:color="41B7EE"/>
              <w:right w:val="single" w:sz="4" w:space="0" w:color="41B7EE"/>
            </w:tcBorders>
          </w:tcPr>
          <w:p>
            <w:pPr>
              <w:pStyle w:val="TableParagraph"/>
              <w:spacing w:line="227" w:lineRule="exact"/>
              <w:ind w:right="26"/>
              <w:jc w:val="right"/>
              <w:rPr>
                <w:rFonts w:ascii="Arial" w:hAnsi="Arial" w:cs="Arial" w:eastAsia="Arial" w:hint="default"/>
                <w:sz w:val="20"/>
                <w:szCs w:val="20"/>
              </w:rPr>
            </w:pPr>
            <w:r>
              <w:rPr>
                <w:rFonts w:ascii="Arial"/>
                <w:w w:val="95"/>
                <w:sz w:val="20"/>
              </w:rPr>
              <w:t>379.07</w:t>
            </w:r>
            <w:r>
              <w:rPr>
                <w:rFonts w:ascii="Arial"/>
                <w:sz w:val="20"/>
              </w:rPr>
            </w:r>
          </w:p>
        </w:tc>
        <w:tc>
          <w:tcPr>
            <w:tcW w:w="8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68.26</w:t>
            </w:r>
            <w:r>
              <w:rPr>
                <w:rFonts w:ascii="Arial"/>
                <w:sz w:val="20"/>
              </w:rPr>
            </w:r>
          </w:p>
        </w:tc>
        <w:tc>
          <w:tcPr>
            <w:tcW w:w="9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spacing w:val="-1"/>
                <w:sz w:val="20"/>
              </w:rPr>
              <w:t>5,125.83</w:t>
            </w:r>
          </w:p>
        </w:tc>
        <w:tc>
          <w:tcPr>
            <w:tcW w:w="9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5"/>
              <w:jc w:val="right"/>
              <w:rPr>
                <w:rFonts w:ascii="Arial" w:hAnsi="Arial" w:cs="Arial" w:eastAsia="Arial" w:hint="default"/>
                <w:sz w:val="20"/>
                <w:szCs w:val="20"/>
              </w:rPr>
            </w:pPr>
            <w:r>
              <w:rPr>
                <w:rFonts w:ascii="Arial"/>
                <w:w w:val="95"/>
                <w:sz w:val="20"/>
              </w:rPr>
              <w:t>13,107.82</w:t>
            </w:r>
            <w:r>
              <w:rPr>
                <w:rFonts w:ascii="Arial"/>
                <w:sz w:val="20"/>
              </w:rPr>
            </w:r>
          </w:p>
        </w:tc>
        <w:tc>
          <w:tcPr>
            <w:tcW w:w="85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left="21" w:right="0"/>
              <w:jc w:val="center"/>
              <w:rPr>
                <w:rFonts w:ascii="Arial" w:hAnsi="Arial" w:cs="Arial" w:eastAsia="Arial" w:hint="default"/>
                <w:sz w:val="20"/>
                <w:szCs w:val="20"/>
              </w:rPr>
            </w:pPr>
            <w:r>
              <w:rPr>
                <w:rFonts w:ascii="Arial"/>
                <w:sz w:val="20"/>
              </w:rPr>
              <w:t>4,288.96</w:t>
            </w:r>
          </w:p>
        </w:tc>
        <w:tc>
          <w:tcPr>
            <w:tcW w:w="98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29,509.64</w:t>
            </w:r>
            <w:r>
              <w:rPr>
                <w:rFonts w:ascii="Arial"/>
                <w:sz w:val="20"/>
              </w:rPr>
            </w:r>
          </w:p>
        </w:tc>
        <w:tc>
          <w:tcPr>
            <w:tcW w:w="94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spacing w:val="-1"/>
                <w:sz w:val="20"/>
              </w:rPr>
              <w:t>1,069.91</w:t>
            </w:r>
          </w:p>
        </w:tc>
        <w:tc>
          <w:tcPr>
            <w:tcW w:w="85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spacing w:val="-1"/>
                <w:sz w:val="20"/>
              </w:rPr>
              <w:t>3,696.18</w:t>
            </w:r>
          </w:p>
        </w:tc>
        <w:tc>
          <w:tcPr>
            <w:tcW w:w="85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6"/>
              <w:jc w:val="right"/>
              <w:rPr>
                <w:rFonts w:ascii="Arial" w:hAnsi="Arial" w:cs="Arial" w:eastAsia="Arial" w:hint="default"/>
                <w:sz w:val="20"/>
                <w:szCs w:val="20"/>
              </w:rPr>
            </w:pPr>
            <w:r>
              <w:rPr>
                <w:rFonts w:ascii="Arial"/>
                <w:w w:val="95"/>
                <w:sz w:val="20"/>
              </w:rPr>
              <w:t>46.86</w:t>
            </w:r>
            <w:r>
              <w:rPr>
                <w:rFonts w:ascii="Arial"/>
                <w:sz w:val="20"/>
              </w:rPr>
            </w:r>
          </w:p>
        </w:tc>
        <w:tc>
          <w:tcPr>
            <w:tcW w:w="9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971.92</w:t>
            </w:r>
            <w:r>
              <w:rPr>
                <w:rFonts w:ascii="Arial"/>
                <w:sz w:val="20"/>
              </w:rPr>
            </w:r>
          </w:p>
        </w:tc>
        <w:tc>
          <w:tcPr>
            <w:tcW w:w="99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7"/>
              <w:ind w:right="29"/>
              <w:jc w:val="right"/>
              <w:rPr>
                <w:rFonts w:ascii="Arial" w:hAnsi="Arial" w:cs="Arial" w:eastAsia="Arial" w:hint="default"/>
                <w:sz w:val="20"/>
                <w:szCs w:val="20"/>
              </w:rPr>
            </w:pPr>
            <w:r>
              <w:rPr>
                <w:rFonts w:ascii="Arial"/>
                <w:w w:val="95"/>
                <w:sz w:val="20"/>
              </w:rPr>
              <w:t>12,772.55</w:t>
            </w:r>
            <w:r>
              <w:rPr>
                <w:rFonts w:ascii="Arial"/>
                <w:sz w:val="20"/>
              </w:rPr>
            </w:r>
          </w:p>
        </w:tc>
      </w:tr>
      <w:tr>
        <w:trPr>
          <w:trHeight w:val="356" w:hRule="exact"/>
        </w:trPr>
        <w:tc>
          <w:tcPr>
            <w:tcW w:w="202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55"/>
              <w:ind w:left="28" w:right="0"/>
              <w:jc w:val="left"/>
              <w:rPr>
                <w:rFonts w:ascii="宋体" w:hAnsi="宋体" w:cs="宋体" w:eastAsia="宋体" w:hint="default"/>
                <w:sz w:val="20"/>
                <w:szCs w:val="20"/>
              </w:rPr>
            </w:pPr>
            <w:r>
              <w:rPr>
                <w:rFonts w:ascii="宋体" w:hAnsi="宋体" w:cs="宋体" w:eastAsia="宋体" w:hint="default"/>
                <w:sz w:val="20"/>
                <w:szCs w:val="20"/>
              </w:rPr>
              <w:t>少数股东权益</w:t>
            </w:r>
            <w:r>
              <w:rPr>
                <w:rFonts w:ascii="宋体" w:hAnsi="宋体" w:cs="宋体" w:eastAsia="宋体" w:hint="default"/>
                <w:sz w:val="20"/>
                <w:szCs w:val="20"/>
              </w:rPr>
              <w:t> </w:t>
            </w:r>
          </w:p>
        </w:tc>
        <w:tc>
          <w:tcPr>
            <w:tcW w:w="948" w:type="dxa"/>
            <w:tcBorders>
              <w:top w:val="single" w:sz="4" w:space="0" w:color="41B7EE"/>
              <w:left w:val="single" w:sz="4" w:space="0" w:color="41B7EE"/>
              <w:bottom w:val="single" w:sz="4" w:space="0" w:color="41B7EE"/>
              <w:right w:val="single" w:sz="4" w:space="0" w:color="41B7EE"/>
            </w:tcBorders>
          </w:tcPr>
          <w:p>
            <w:pPr/>
          </w:p>
        </w:tc>
        <w:tc>
          <w:tcPr>
            <w:tcW w:w="946" w:type="dxa"/>
            <w:tcBorders>
              <w:top w:val="single" w:sz="4" w:space="0" w:color="41B7EE"/>
              <w:left w:val="single" w:sz="4" w:space="0" w:color="41B7EE"/>
              <w:bottom w:val="single" w:sz="4" w:space="0" w:color="41B7EE"/>
              <w:right w:val="single" w:sz="4" w:space="0" w:color="41B7EE"/>
            </w:tcBorders>
          </w:tcPr>
          <w:p>
            <w:pPr/>
          </w:p>
        </w:tc>
        <w:tc>
          <w:tcPr>
            <w:tcW w:w="790" w:type="dxa"/>
            <w:tcBorders>
              <w:top w:val="single" w:sz="4" w:space="0" w:color="41B7EE"/>
              <w:left w:val="single" w:sz="4" w:space="0" w:color="41B7EE"/>
              <w:bottom w:val="single" w:sz="4" w:space="0" w:color="41B7EE"/>
              <w:right w:val="single" w:sz="4" w:space="0" w:color="41B7EE"/>
            </w:tcBorders>
          </w:tcPr>
          <w:p>
            <w:pPr/>
          </w:p>
        </w:tc>
        <w:tc>
          <w:tcPr>
            <w:tcW w:w="862" w:type="dxa"/>
            <w:tcBorders>
              <w:top w:val="single" w:sz="4" w:space="0" w:color="41B7EE"/>
              <w:left w:val="single" w:sz="4" w:space="0" w:color="41B7EE"/>
              <w:bottom w:val="single" w:sz="4" w:space="0" w:color="41B7EE"/>
              <w:right w:val="single" w:sz="4" w:space="0" w:color="41B7EE"/>
            </w:tcBorders>
          </w:tcPr>
          <w:p>
            <w:pPr/>
          </w:p>
        </w:tc>
        <w:tc>
          <w:tcPr>
            <w:tcW w:w="9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48.85</w:t>
            </w:r>
            <w:r>
              <w:rPr>
                <w:rFonts w:ascii="Arial"/>
                <w:sz w:val="20"/>
              </w:rPr>
            </w:r>
          </w:p>
        </w:tc>
        <w:tc>
          <w:tcPr>
            <w:tcW w:w="994" w:type="dxa"/>
            <w:tcBorders>
              <w:top w:val="single" w:sz="4" w:space="0" w:color="41B7EE"/>
              <w:left w:val="single" w:sz="4" w:space="0" w:color="41B7EE"/>
              <w:bottom w:val="single" w:sz="4" w:space="0" w:color="41B7EE"/>
              <w:right w:val="single" w:sz="4" w:space="0" w:color="41B7EE"/>
            </w:tcBorders>
          </w:tcPr>
          <w:p>
            <w:pPr/>
          </w:p>
        </w:tc>
        <w:tc>
          <w:tcPr>
            <w:tcW w:w="859" w:type="dxa"/>
            <w:tcBorders>
              <w:top w:val="single" w:sz="4" w:space="0" w:color="41B7EE"/>
              <w:left w:val="single" w:sz="4" w:space="0" w:color="41B7EE"/>
              <w:bottom w:val="single" w:sz="4" w:space="0" w:color="41B7EE"/>
              <w:right w:val="single" w:sz="4" w:space="0" w:color="41B7EE"/>
            </w:tcBorders>
          </w:tcPr>
          <w:p>
            <w:pPr/>
          </w:p>
        </w:tc>
        <w:tc>
          <w:tcPr>
            <w:tcW w:w="989" w:type="dxa"/>
            <w:tcBorders>
              <w:top w:val="single" w:sz="4" w:space="0" w:color="41B7EE"/>
              <w:left w:val="single" w:sz="4" w:space="0" w:color="41B7EE"/>
              <w:bottom w:val="single" w:sz="4" w:space="0" w:color="41B7EE"/>
              <w:right w:val="single" w:sz="4" w:space="0" w:color="41B7EE"/>
            </w:tcBorders>
          </w:tcPr>
          <w:p>
            <w:pPr/>
          </w:p>
        </w:tc>
        <w:tc>
          <w:tcPr>
            <w:tcW w:w="946" w:type="dxa"/>
            <w:tcBorders>
              <w:top w:val="single" w:sz="4" w:space="0" w:color="41B7EE"/>
              <w:left w:val="single" w:sz="4" w:space="0" w:color="41B7EE"/>
              <w:bottom w:val="single" w:sz="4" w:space="0" w:color="41B7EE"/>
              <w:right w:val="single" w:sz="4" w:space="0" w:color="41B7EE"/>
            </w:tcBorders>
          </w:tcPr>
          <w:p>
            <w:pPr/>
          </w:p>
        </w:tc>
        <w:tc>
          <w:tcPr>
            <w:tcW w:w="853" w:type="dxa"/>
            <w:tcBorders>
              <w:top w:val="single" w:sz="4" w:space="0" w:color="41B7EE"/>
              <w:left w:val="single" w:sz="4" w:space="0" w:color="41B7EE"/>
              <w:bottom w:val="single" w:sz="4" w:space="0" w:color="41B7EE"/>
              <w:right w:val="single" w:sz="4" w:space="0" w:color="41B7EE"/>
            </w:tcBorders>
          </w:tcPr>
          <w:p>
            <w:pPr/>
          </w:p>
        </w:tc>
        <w:tc>
          <w:tcPr>
            <w:tcW w:w="854" w:type="dxa"/>
            <w:tcBorders>
              <w:top w:val="single" w:sz="4" w:space="0" w:color="41B7EE"/>
              <w:left w:val="single" w:sz="4" w:space="0" w:color="41B7EE"/>
              <w:bottom w:val="single" w:sz="4" w:space="0" w:color="41B7EE"/>
              <w:right w:val="single" w:sz="4" w:space="0" w:color="41B7EE"/>
            </w:tcBorders>
          </w:tcPr>
          <w:p>
            <w:pPr/>
          </w:p>
        </w:tc>
        <w:tc>
          <w:tcPr>
            <w:tcW w:w="994" w:type="dxa"/>
            <w:tcBorders>
              <w:top w:val="single" w:sz="4" w:space="0" w:color="41B7EE"/>
              <w:left w:val="single" w:sz="4" w:space="0" w:color="41B7EE"/>
              <w:bottom w:val="single" w:sz="4" w:space="0" w:color="41B7EE"/>
              <w:right w:val="single" w:sz="4" w:space="0" w:color="41B7EE"/>
            </w:tcBorders>
          </w:tcPr>
          <w:p>
            <w:pPr/>
          </w:p>
        </w:tc>
        <w:tc>
          <w:tcPr>
            <w:tcW w:w="994"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202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57"/>
              <w:ind w:left="28" w:right="0"/>
              <w:jc w:val="left"/>
              <w:rPr>
                <w:rFonts w:ascii="宋体" w:hAnsi="宋体" w:cs="宋体" w:eastAsia="宋体" w:hint="default"/>
                <w:sz w:val="20"/>
                <w:szCs w:val="20"/>
              </w:rPr>
            </w:pPr>
            <w:r>
              <w:rPr>
                <w:rFonts w:ascii="宋体" w:hAnsi="宋体" w:cs="宋体" w:eastAsia="宋体" w:hint="default"/>
                <w:spacing w:val="-13"/>
                <w:sz w:val="20"/>
                <w:szCs w:val="20"/>
              </w:rPr>
              <w:t>归属于母公司股东权益</w:t>
            </w:r>
            <w:r>
              <w:rPr>
                <w:rFonts w:ascii="宋体" w:hAnsi="宋体" w:cs="宋体" w:eastAsia="宋体" w:hint="default"/>
                <w:sz w:val="20"/>
                <w:szCs w:val="20"/>
              </w:rPr>
              <w:t> </w:t>
            </w:r>
          </w:p>
        </w:tc>
        <w:tc>
          <w:tcPr>
            <w:tcW w:w="94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left="23" w:right="0"/>
              <w:jc w:val="left"/>
              <w:rPr>
                <w:rFonts w:ascii="Arial" w:hAnsi="Arial" w:cs="Arial" w:eastAsia="Arial" w:hint="default"/>
                <w:sz w:val="20"/>
                <w:szCs w:val="20"/>
              </w:rPr>
            </w:pPr>
            <w:r>
              <w:rPr>
                <w:rFonts w:ascii="Arial"/>
                <w:sz w:val="20"/>
              </w:rPr>
              <w:t>19,682.52</w:t>
            </w:r>
          </w:p>
        </w:tc>
        <w:tc>
          <w:tcPr>
            <w:tcW w:w="94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5"/>
              <w:jc w:val="right"/>
              <w:rPr>
                <w:rFonts w:ascii="Arial" w:hAnsi="Arial" w:cs="Arial" w:eastAsia="Arial" w:hint="default"/>
                <w:sz w:val="20"/>
                <w:szCs w:val="20"/>
              </w:rPr>
            </w:pPr>
            <w:r>
              <w:rPr>
                <w:rFonts w:ascii="Arial"/>
                <w:w w:val="95"/>
                <w:sz w:val="20"/>
              </w:rPr>
              <w:t>13,556.64</w:t>
            </w:r>
            <w:r>
              <w:rPr>
                <w:rFonts w:ascii="Arial"/>
                <w:sz w:val="20"/>
              </w:rPr>
            </w:r>
          </w:p>
        </w:tc>
        <w:tc>
          <w:tcPr>
            <w:tcW w:w="79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6"/>
              <w:jc w:val="right"/>
              <w:rPr>
                <w:rFonts w:ascii="Arial" w:hAnsi="Arial" w:cs="Arial" w:eastAsia="Arial" w:hint="default"/>
                <w:sz w:val="20"/>
                <w:szCs w:val="20"/>
              </w:rPr>
            </w:pPr>
            <w:r>
              <w:rPr>
                <w:rFonts w:ascii="Arial"/>
                <w:w w:val="95"/>
                <w:sz w:val="20"/>
              </w:rPr>
              <w:t>-143.83</w:t>
            </w:r>
            <w:r>
              <w:rPr>
                <w:rFonts w:ascii="Arial"/>
                <w:sz w:val="20"/>
              </w:rPr>
            </w:r>
          </w:p>
        </w:tc>
        <w:tc>
          <w:tcPr>
            <w:tcW w:w="8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spacing w:val="-1"/>
                <w:sz w:val="20"/>
              </w:rPr>
              <w:t>1,208.26</w:t>
            </w:r>
          </w:p>
        </w:tc>
        <w:tc>
          <w:tcPr>
            <w:tcW w:w="9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18,307.16</w:t>
            </w:r>
            <w:r>
              <w:rPr>
                <w:rFonts w:ascii="Arial"/>
                <w:sz w:val="20"/>
              </w:rPr>
            </w:r>
          </w:p>
        </w:tc>
        <w:tc>
          <w:tcPr>
            <w:tcW w:w="9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5"/>
              <w:jc w:val="right"/>
              <w:rPr>
                <w:rFonts w:ascii="Arial" w:hAnsi="Arial" w:cs="Arial" w:eastAsia="Arial" w:hint="default"/>
                <w:sz w:val="20"/>
                <w:szCs w:val="20"/>
              </w:rPr>
            </w:pPr>
            <w:r>
              <w:rPr>
                <w:rFonts w:ascii="Arial"/>
                <w:w w:val="95"/>
                <w:sz w:val="20"/>
              </w:rPr>
              <w:t>24,692.99</w:t>
            </w:r>
            <w:r>
              <w:rPr>
                <w:rFonts w:ascii="Arial"/>
                <w:sz w:val="20"/>
              </w:rPr>
            </w:r>
          </w:p>
        </w:tc>
        <w:tc>
          <w:tcPr>
            <w:tcW w:w="85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left="21" w:right="0"/>
              <w:jc w:val="center"/>
              <w:rPr>
                <w:rFonts w:ascii="Arial" w:hAnsi="Arial" w:cs="Arial" w:eastAsia="Arial" w:hint="default"/>
                <w:sz w:val="20"/>
                <w:szCs w:val="20"/>
              </w:rPr>
            </w:pPr>
            <w:r>
              <w:rPr>
                <w:rFonts w:ascii="Arial"/>
                <w:sz w:val="20"/>
              </w:rPr>
              <w:t>3,799.87</w:t>
            </w:r>
          </w:p>
        </w:tc>
        <w:tc>
          <w:tcPr>
            <w:tcW w:w="98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22,691.36</w:t>
            </w:r>
            <w:r>
              <w:rPr>
                <w:rFonts w:ascii="Arial"/>
                <w:sz w:val="20"/>
              </w:rPr>
            </w:r>
          </w:p>
        </w:tc>
        <w:tc>
          <w:tcPr>
            <w:tcW w:w="94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13,010.74</w:t>
            </w:r>
            <w:r>
              <w:rPr>
                <w:rFonts w:ascii="Arial"/>
                <w:sz w:val="20"/>
              </w:rPr>
            </w:r>
          </w:p>
        </w:tc>
        <w:tc>
          <w:tcPr>
            <w:tcW w:w="85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-164.46</w:t>
            </w:r>
            <w:r>
              <w:rPr>
                <w:rFonts w:ascii="Arial"/>
                <w:sz w:val="20"/>
              </w:rPr>
            </w:r>
          </w:p>
        </w:tc>
        <w:tc>
          <w:tcPr>
            <w:tcW w:w="85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6"/>
              <w:jc w:val="right"/>
              <w:rPr>
                <w:rFonts w:ascii="Arial" w:hAnsi="Arial" w:cs="Arial" w:eastAsia="Arial" w:hint="default"/>
                <w:sz w:val="20"/>
                <w:szCs w:val="20"/>
              </w:rPr>
            </w:pPr>
            <w:r>
              <w:rPr>
                <w:rFonts w:ascii="Arial"/>
                <w:spacing w:val="-1"/>
                <w:sz w:val="20"/>
              </w:rPr>
              <w:t>1,246.89</w:t>
            </w:r>
          </w:p>
        </w:tc>
        <w:tc>
          <w:tcPr>
            <w:tcW w:w="9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18,597.53</w:t>
            </w:r>
            <w:r>
              <w:rPr>
                <w:rFonts w:ascii="Arial"/>
                <w:sz w:val="20"/>
              </w:rPr>
            </w:r>
          </w:p>
        </w:tc>
        <w:tc>
          <w:tcPr>
            <w:tcW w:w="99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7"/>
              <w:ind w:right="29"/>
              <w:jc w:val="right"/>
              <w:rPr>
                <w:rFonts w:ascii="Arial" w:hAnsi="Arial" w:cs="Arial" w:eastAsia="Arial" w:hint="default"/>
                <w:sz w:val="20"/>
                <w:szCs w:val="20"/>
              </w:rPr>
            </w:pPr>
            <w:r>
              <w:rPr>
                <w:rFonts w:ascii="Arial"/>
                <w:w w:val="95"/>
                <w:sz w:val="20"/>
              </w:rPr>
              <w:t>30,042.53</w:t>
            </w:r>
            <w:r>
              <w:rPr>
                <w:rFonts w:ascii="Arial"/>
                <w:sz w:val="20"/>
              </w:rPr>
            </w:r>
          </w:p>
        </w:tc>
      </w:tr>
      <w:tr>
        <w:trPr>
          <w:trHeight w:val="530" w:hRule="exact"/>
        </w:trPr>
        <w:tc>
          <w:tcPr>
            <w:tcW w:w="2021" w:type="dxa"/>
            <w:tcBorders>
              <w:top w:val="single" w:sz="4" w:space="0" w:color="41B7EE"/>
              <w:left w:val="nil" w:sz="6" w:space="0" w:color="auto"/>
              <w:bottom w:val="single" w:sz="4" w:space="0" w:color="41B7EE"/>
              <w:right w:val="single" w:sz="4" w:space="0" w:color="41B7EE"/>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z w:val="20"/>
                <w:szCs w:val="20"/>
              </w:rPr>
              <w:t>按持股比例计算的净</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资产份额</w:t>
            </w:r>
            <w:r>
              <w:rPr>
                <w:rFonts w:ascii="宋体" w:hAnsi="宋体" w:cs="宋体" w:eastAsia="宋体" w:hint="default"/>
                <w:sz w:val="20"/>
                <w:szCs w:val="20"/>
              </w:rPr>
              <w:t> </w:t>
            </w:r>
          </w:p>
        </w:tc>
        <w:tc>
          <w:tcPr>
            <w:tcW w:w="94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3"/>
              <w:ind w:left="23" w:right="0"/>
              <w:jc w:val="left"/>
              <w:rPr>
                <w:rFonts w:ascii="Arial" w:hAnsi="Arial" w:cs="Arial" w:eastAsia="Arial" w:hint="default"/>
                <w:sz w:val="20"/>
                <w:szCs w:val="20"/>
              </w:rPr>
            </w:pPr>
            <w:r>
              <w:rPr>
                <w:rFonts w:ascii="Arial"/>
                <w:sz w:val="20"/>
              </w:rPr>
              <w:t>16,354.61</w:t>
            </w:r>
          </w:p>
        </w:tc>
        <w:tc>
          <w:tcPr>
            <w:tcW w:w="94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3"/>
              <w:ind w:right="24"/>
              <w:jc w:val="right"/>
              <w:rPr>
                <w:rFonts w:ascii="Arial" w:hAnsi="Arial" w:cs="Arial" w:eastAsia="Arial" w:hint="default"/>
                <w:sz w:val="20"/>
                <w:szCs w:val="20"/>
              </w:rPr>
            </w:pPr>
            <w:r>
              <w:rPr>
                <w:rFonts w:ascii="Arial"/>
                <w:spacing w:val="-1"/>
                <w:sz w:val="20"/>
              </w:rPr>
              <w:t>7,177.26</w:t>
            </w:r>
          </w:p>
        </w:tc>
        <w:tc>
          <w:tcPr>
            <w:tcW w:w="790" w:type="dxa"/>
            <w:tcBorders>
              <w:top w:val="single" w:sz="4" w:space="0" w:color="41B7EE"/>
              <w:left w:val="single" w:sz="4" w:space="0" w:color="41B7EE"/>
              <w:bottom w:val="single" w:sz="4" w:space="0" w:color="41B7EE"/>
              <w:right w:val="single" w:sz="4" w:space="0" w:color="41B7EE"/>
            </w:tcBorders>
          </w:tcPr>
          <w:p>
            <w:pPr/>
          </w:p>
        </w:tc>
        <w:tc>
          <w:tcPr>
            <w:tcW w:w="8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3"/>
              <w:ind w:right="24"/>
              <w:jc w:val="right"/>
              <w:rPr>
                <w:rFonts w:ascii="Arial" w:hAnsi="Arial" w:cs="Arial" w:eastAsia="Arial" w:hint="default"/>
                <w:sz w:val="20"/>
                <w:szCs w:val="20"/>
              </w:rPr>
            </w:pPr>
            <w:r>
              <w:rPr>
                <w:rFonts w:ascii="Arial"/>
                <w:w w:val="95"/>
                <w:sz w:val="20"/>
              </w:rPr>
              <w:t>483.30</w:t>
            </w:r>
            <w:r>
              <w:rPr>
                <w:rFonts w:ascii="Arial"/>
                <w:sz w:val="20"/>
              </w:rPr>
            </w:r>
          </w:p>
        </w:tc>
        <w:tc>
          <w:tcPr>
            <w:tcW w:w="9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3"/>
              <w:ind w:right="24"/>
              <w:jc w:val="right"/>
              <w:rPr>
                <w:rFonts w:ascii="Arial" w:hAnsi="Arial" w:cs="Arial" w:eastAsia="Arial" w:hint="default"/>
                <w:sz w:val="20"/>
                <w:szCs w:val="20"/>
              </w:rPr>
            </w:pPr>
            <w:r>
              <w:rPr>
                <w:rFonts w:ascii="Arial"/>
                <w:spacing w:val="-1"/>
                <w:sz w:val="20"/>
              </w:rPr>
              <w:t>5,492.15</w:t>
            </w:r>
          </w:p>
        </w:tc>
        <w:tc>
          <w:tcPr>
            <w:tcW w:w="9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3"/>
              <w:ind w:right="25"/>
              <w:jc w:val="right"/>
              <w:rPr>
                <w:rFonts w:ascii="Arial" w:hAnsi="Arial" w:cs="Arial" w:eastAsia="Arial" w:hint="default"/>
                <w:sz w:val="20"/>
                <w:szCs w:val="20"/>
              </w:rPr>
            </w:pPr>
            <w:r>
              <w:rPr>
                <w:rFonts w:ascii="Arial"/>
                <w:w w:val="95"/>
                <w:sz w:val="20"/>
              </w:rPr>
              <w:t>37,775.48</w:t>
            </w:r>
            <w:r>
              <w:rPr>
                <w:rFonts w:ascii="Arial"/>
                <w:sz w:val="20"/>
              </w:rPr>
            </w:r>
          </w:p>
        </w:tc>
        <w:tc>
          <w:tcPr>
            <w:tcW w:w="85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3"/>
              <w:ind w:left="187" w:right="0"/>
              <w:jc w:val="center"/>
              <w:rPr>
                <w:rFonts w:ascii="Arial" w:hAnsi="Arial" w:cs="Arial" w:eastAsia="Arial" w:hint="default"/>
                <w:sz w:val="20"/>
                <w:szCs w:val="20"/>
              </w:rPr>
            </w:pPr>
            <w:r>
              <w:rPr>
                <w:rFonts w:ascii="Arial"/>
                <w:sz w:val="20"/>
              </w:rPr>
              <w:t>849.65</w:t>
            </w:r>
          </w:p>
        </w:tc>
        <w:tc>
          <w:tcPr>
            <w:tcW w:w="98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3"/>
              <w:ind w:right="24"/>
              <w:jc w:val="right"/>
              <w:rPr>
                <w:rFonts w:ascii="Arial" w:hAnsi="Arial" w:cs="Arial" w:eastAsia="Arial" w:hint="default"/>
                <w:sz w:val="20"/>
                <w:szCs w:val="20"/>
              </w:rPr>
            </w:pPr>
            <w:r>
              <w:rPr>
                <w:rFonts w:ascii="Arial"/>
                <w:w w:val="95"/>
                <w:sz w:val="20"/>
              </w:rPr>
              <w:t>17,845.92</w:t>
            </w:r>
            <w:r>
              <w:rPr>
                <w:rFonts w:ascii="Arial"/>
                <w:sz w:val="20"/>
              </w:rPr>
            </w:r>
          </w:p>
        </w:tc>
        <w:tc>
          <w:tcPr>
            <w:tcW w:w="94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3"/>
              <w:ind w:right="24"/>
              <w:jc w:val="right"/>
              <w:rPr>
                <w:rFonts w:ascii="Arial" w:hAnsi="Arial" w:cs="Arial" w:eastAsia="Arial" w:hint="default"/>
                <w:sz w:val="20"/>
                <w:szCs w:val="20"/>
              </w:rPr>
            </w:pPr>
            <w:r>
              <w:rPr>
                <w:rFonts w:ascii="Arial"/>
                <w:spacing w:val="-1"/>
                <w:sz w:val="20"/>
              </w:rPr>
              <w:t>6,909.77</w:t>
            </w:r>
          </w:p>
        </w:tc>
        <w:tc>
          <w:tcPr>
            <w:tcW w:w="853" w:type="dxa"/>
            <w:tcBorders>
              <w:top w:val="single" w:sz="4" w:space="0" w:color="41B7EE"/>
              <w:left w:val="single" w:sz="4" w:space="0" w:color="41B7EE"/>
              <w:bottom w:val="single" w:sz="4" w:space="0" w:color="41B7EE"/>
              <w:right w:val="single" w:sz="4" w:space="0" w:color="41B7EE"/>
            </w:tcBorders>
          </w:tcPr>
          <w:p>
            <w:pPr/>
          </w:p>
        </w:tc>
        <w:tc>
          <w:tcPr>
            <w:tcW w:w="85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3"/>
              <w:ind w:right="26"/>
              <w:jc w:val="right"/>
              <w:rPr>
                <w:rFonts w:ascii="Arial" w:hAnsi="Arial" w:cs="Arial" w:eastAsia="Arial" w:hint="default"/>
                <w:sz w:val="20"/>
                <w:szCs w:val="20"/>
              </w:rPr>
            </w:pPr>
            <w:r>
              <w:rPr>
                <w:rFonts w:ascii="Arial"/>
                <w:w w:val="95"/>
                <w:sz w:val="20"/>
              </w:rPr>
              <w:t>498.76</w:t>
            </w:r>
            <w:r>
              <w:rPr>
                <w:rFonts w:ascii="Arial"/>
                <w:sz w:val="20"/>
              </w:rPr>
            </w:r>
          </w:p>
        </w:tc>
        <w:tc>
          <w:tcPr>
            <w:tcW w:w="9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3"/>
              <w:ind w:right="24"/>
              <w:jc w:val="right"/>
              <w:rPr>
                <w:rFonts w:ascii="Arial" w:hAnsi="Arial" w:cs="Arial" w:eastAsia="Arial" w:hint="default"/>
                <w:sz w:val="20"/>
                <w:szCs w:val="20"/>
              </w:rPr>
            </w:pPr>
            <w:r>
              <w:rPr>
                <w:rFonts w:ascii="Arial"/>
                <w:spacing w:val="-1"/>
                <w:sz w:val="20"/>
              </w:rPr>
              <w:t>5,579.26</w:t>
            </w:r>
          </w:p>
        </w:tc>
        <w:tc>
          <w:tcPr>
            <w:tcW w:w="99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3"/>
              <w:ind w:right="29"/>
              <w:jc w:val="right"/>
              <w:rPr>
                <w:rFonts w:ascii="Arial" w:hAnsi="Arial" w:cs="Arial" w:eastAsia="Arial" w:hint="default"/>
                <w:sz w:val="20"/>
                <w:szCs w:val="20"/>
              </w:rPr>
            </w:pPr>
            <w:r>
              <w:rPr>
                <w:rFonts w:ascii="Arial"/>
                <w:w w:val="95"/>
                <w:sz w:val="20"/>
              </w:rPr>
              <w:t>40,765.37</w:t>
            </w:r>
            <w:r>
              <w:rPr>
                <w:rFonts w:ascii="Arial"/>
                <w:sz w:val="20"/>
              </w:rPr>
            </w:r>
          </w:p>
        </w:tc>
      </w:tr>
      <w:tr>
        <w:trPr>
          <w:trHeight w:val="528" w:hRule="exact"/>
        </w:trPr>
        <w:tc>
          <w:tcPr>
            <w:tcW w:w="2021" w:type="dxa"/>
            <w:tcBorders>
              <w:top w:val="single" w:sz="4" w:space="0" w:color="41B7EE"/>
              <w:left w:val="nil" w:sz="6" w:space="0" w:color="auto"/>
              <w:bottom w:val="single" w:sz="4" w:space="0" w:color="41B7EE"/>
              <w:right w:val="single" w:sz="4" w:space="0" w:color="41B7EE"/>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z w:val="20"/>
                <w:szCs w:val="20"/>
              </w:rPr>
              <w:t>对联营企业权益投资</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的账面价值</w:t>
            </w:r>
            <w:r>
              <w:rPr>
                <w:rFonts w:ascii="宋体" w:hAnsi="宋体" w:cs="宋体" w:eastAsia="宋体" w:hint="default"/>
                <w:sz w:val="20"/>
                <w:szCs w:val="20"/>
              </w:rPr>
              <w:t> </w:t>
            </w:r>
          </w:p>
        </w:tc>
        <w:tc>
          <w:tcPr>
            <w:tcW w:w="94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1"/>
              <w:ind w:left="23" w:right="0"/>
              <w:jc w:val="left"/>
              <w:rPr>
                <w:rFonts w:ascii="Arial" w:hAnsi="Arial" w:cs="Arial" w:eastAsia="Arial" w:hint="default"/>
                <w:sz w:val="20"/>
                <w:szCs w:val="20"/>
              </w:rPr>
            </w:pPr>
            <w:r>
              <w:rPr>
                <w:rFonts w:ascii="Arial"/>
                <w:sz w:val="20"/>
              </w:rPr>
              <w:t>16,354.61</w:t>
            </w:r>
          </w:p>
        </w:tc>
        <w:tc>
          <w:tcPr>
            <w:tcW w:w="94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1"/>
              <w:ind w:right="24"/>
              <w:jc w:val="right"/>
              <w:rPr>
                <w:rFonts w:ascii="Arial" w:hAnsi="Arial" w:cs="Arial" w:eastAsia="Arial" w:hint="default"/>
                <w:sz w:val="20"/>
                <w:szCs w:val="20"/>
              </w:rPr>
            </w:pPr>
            <w:r>
              <w:rPr>
                <w:rFonts w:ascii="Arial"/>
                <w:spacing w:val="-1"/>
                <w:sz w:val="20"/>
              </w:rPr>
              <w:t>7,177.26</w:t>
            </w:r>
          </w:p>
        </w:tc>
        <w:tc>
          <w:tcPr>
            <w:tcW w:w="790" w:type="dxa"/>
            <w:tcBorders>
              <w:top w:val="single" w:sz="4" w:space="0" w:color="41B7EE"/>
              <w:left w:val="single" w:sz="4" w:space="0" w:color="41B7EE"/>
              <w:bottom w:val="single" w:sz="4" w:space="0" w:color="41B7EE"/>
              <w:right w:val="single" w:sz="4" w:space="0" w:color="41B7EE"/>
            </w:tcBorders>
          </w:tcPr>
          <w:p>
            <w:pPr/>
          </w:p>
        </w:tc>
        <w:tc>
          <w:tcPr>
            <w:tcW w:w="8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1"/>
              <w:ind w:right="24"/>
              <w:jc w:val="right"/>
              <w:rPr>
                <w:rFonts w:ascii="Arial" w:hAnsi="Arial" w:cs="Arial" w:eastAsia="Arial" w:hint="default"/>
                <w:sz w:val="20"/>
                <w:szCs w:val="20"/>
              </w:rPr>
            </w:pPr>
            <w:r>
              <w:rPr>
                <w:rFonts w:ascii="Arial"/>
                <w:w w:val="95"/>
                <w:sz w:val="20"/>
              </w:rPr>
              <w:t>483.30</w:t>
            </w:r>
            <w:r>
              <w:rPr>
                <w:rFonts w:ascii="Arial"/>
                <w:sz w:val="20"/>
              </w:rPr>
            </w:r>
          </w:p>
        </w:tc>
        <w:tc>
          <w:tcPr>
            <w:tcW w:w="9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1"/>
              <w:ind w:right="24"/>
              <w:jc w:val="right"/>
              <w:rPr>
                <w:rFonts w:ascii="Arial" w:hAnsi="Arial" w:cs="Arial" w:eastAsia="Arial" w:hint="default"/>
                <w:sz w:val="20"/>
                <w:szCs w:val="20"/>
              </w:rPr>
            </w:pPr>
            <w:r>
              <w:rPr>
                <w:rFonts w:ascii="Arial"/>
                <w:spacing w:val="-1"/>
                <w:sz w:val="20"/>
              </w:rPr>
              <w:t>5,492.15</w:t>
            </w:r>
          </w:p>
        </w:tc>
        <w:tc>
          <w:tcPr>
            <w:tcW w:w="9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1"/>
              <w:ind w:right="25"/>
              <w:jc w:val="right"/>
              <w:rPr>
                <w:rFonts w:ascii="Arial" w:hAnsi="Arial" w:cs="Arial" w:eastAsia="Arial" w:hint="default"/>
                <w:sz w:val="20"/>
                <w:szCs w:val="20"/>
              </w:rPr>
            </w:pPr>
            <w:r>
              <w:rPr>
                <w:rFonts w:ascii="Arial"/>
                <w:w w:val="95"/>
                <w:sz w:val="20"/>
              </w:rPr>
              <w:t>37,775.48</w:t>
            </w:r>
            <w:r>
              <w:rPr>
                <w:rFonts w:ascii="Arial"/>
                <w:sz w:val="20"/>
              </w:rPr>
            </w:r>
          </w:p>
        </w:tc>
        <w:tc>
          <w:tcPr>
            <w:tcW w:w="85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1"/>
              <w:ind w:left="187" w:right="0"/>
              <w:jc w:val="center"/>
              <w:rPr>
                <w:rFonts w:ascii="Arial" w:hAnsi="Arial" w:cs="Arial" w:eastAsia="Arial" w:hint="default"/>
                <w:sz w:val="20"/>
                <w:szCs w:val="20"/>
              </w:rPr>
            </w:pPr>
            <w:r>
              <w:rPr>
                <w:rFonts w:ascii="Arial"/>
                <w:sz w:val="20"/>
              </w:rPr>
              <w:t>849.65</w:t>
            </w:r>
          </w:p>
        </w:tc>
        <w:tc>
          <w:tcPr>
            <w:tcW w:w="98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1"/>
              <w:ind w:right="24"/>
              <w:jc w:val="right"/>
              <w:rPr>
                <w:rFonts w:ascii="Arial" w:hAnsi="Arial" w:cs="Arial" w:eastAsia="Arial" w:hint="default"/>
                <w:sz w:val="20"/>
                <w:szCs w:val="20"/>
              </w:rPr>
            </w:pPr>
            <w:r>
              <w:rPr>
                <w:rFonts w:ascii="Arial"/>
                <w:w w:val="95"/>
                <w:sz w:val="20"/>
              </w:rPr>
              <w:t>17,845.92</w:t>
            </w:r>
            <w:r>
              <w:rPr>
                <w:rFonts w:ascii="Arial"/>
                <w:sz w:val="20"/>
              </w:rPr>
            </w:r>
          </w:p>
        </w:tc>
        <w:tc>
          <w:tcPr>
            <w:tcW w:w="94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1"/>
              <w:ind w:right="24"/>
              <w:jc w:val="right"/>
              <w:rPr>
                <w:rFonts w:ascii="Arial" w:hAnsi="Arial" w:cs="Arial" w:eastAsia="Arial" w:hint="default"/>
                <w:sz w:val="20"/>
                <w:szCs w:val="20"/>
              </w:rPr>
            </w:pPr>
            <w:r>
              <w:rPr>
                <w:rFonts w:ascii="Arial"/>
                <w:spacing w:val="-1"/>
                <w:sz w:val="20"/>
              </w:rPr>
              <w:t>6,909.77</w:t>
            </w:r>
          </w:p>
        </w:tc>
        <w:tc>
          <w:tcPr>
            <w:tcW w:w="853" w:type="dxa"/>
            <w:tcBorders>
              <w:top w:val="single" w:sz="4" w:space="0" w:color="41B7EE"/>
              <w:left w:val="single" w:sz="4" w:space="0" w:color="41B7EE"/>
              <w:bottom w:val="single" w:sz="4" w:space="0" w:color="41B7EE"/>
              <w:right w:val="single" w:sz="4" w:space="0" w:color="41B7EE"/>
            </w:tcBorders>
          </w:tcPr>
          <w:p>
            <w:pPr/>
          </w:p>
        </w:tc>
        <w:tc>
          <w:tcPr>
            <w:tcW w:w="85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1"/>
              <w:ind w:right="26"/>
              <w:jc w:val="right"/>
              <w:rPr>
                <w:rFonts w:ascii="Arial" w:hAnsi="Arial" w:cs="Arial" w:eastAsia="Arial" w:hint="default"/>
                <w:sz w:val="20"/>
                <w:szCs w:val="20"/>
              </w:rPr>
            </w:pPr>
            <w:r>
              <w:rPr>
                <w:rFonts w:ascii="Arial"/>
                <w:w w:val="95"/>
                <w:sz w:val="20"/>
              </w:rPr>
              <w:t>498.76</w:t>
            </w:r>
            <w:r>
              <w:rPr>
                <w:rFonts w:ascii="Arial"/>
                <w:sz w:val="20"/>
              </w:rPr>
            </w:r>
          </w:p>
        </w:tc>
        <w:tc>
          <w:tcPr>
            <w:tcW w:w="9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1"/>
              <w:ind w:right="24"/>
              <w:jc w:val="right"/>
              <w:rPr>
                <w:rFonts w:ascii="Arial" w:hAnsi="Arial" w:cs="Arial" w:eastAsia="Arial" w:hint="default"/>
                <w:sz w:val="20"/>
                <w:szCs w:val="20"/>
              </w:rPr>
            </w:pPr>
            <w:r>
              <w:rPr>
                <w:rFonts w:ascii="Arial"/>
                <w:spacing w:val="-1"/>
                <w:sz w:val="20"/>
              </w:rPr>
              <w:t>5,579.26</w:t>
            </w:r>
          </w:p>
        </w:tc>
        <w:tc>
          <w:tcPr>
            <w:tcW w:w="99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1"/>
              <w:ind w:right="29"/>
              <w:jc w:val="right"/>
              <w:rPr>
                <w:rFonts w:ascii="Arial" w:hAnsi="Arial" w:cs="Arial" w:eastAsia="Arial" w:hint="default"/>
                <w:sz w:val="20"/>
                <w:szCs w:val="20"/>
              </w:rPr>
            </w:pPr>
            <w:r>
              <w:rPr>
                <w:rFonts w:ascii="Arial"/>
                <w:w w:val="95"/>
                <w:sz w:val="20"/>
              </w:rPr>
              <w:t>40,765.37</w:t>
            </w:r>
            <w:r>
              <w:rPr>
                <w:rFonts w:ascii="Arial"/>
                <w:sz w:val="20"/>
              </w:rPr>
            </w:r>
          </w:p>
        </w:tc>
      </w:tr>
      <w:tr>
        <w:trPr>
          <w:trHeight w:val="358" w:hRule="exact"/>
        </w:trPr>
        <w:tc>
          <w:tcPr>
            <w:tcW w:w="202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57"/>
              <w:ind w:left="28" w:right="0"/>
              <w:jc w:val="left"/>
              <w:rPr>
                <w:rFonts w:ascii="宋体" w:hAnsi="宋体" w:cs="宋体" w:eastAsia="宋体" w:hint="default"/>
                <w:sz w:val="20"/>
                <w:szCs w:val="20"/>
              </w:rPr>
            </w:pPr>
            <w:r>
              <w:rPr>
                <w:rFonts w:ascii="宋体" w:hAnsi="宋体" w:cs="宋体" w:eastAsia="宋体" w:hint="default"/>
                <w:sz w:val="20"/>
                <w:szCs w:val="20"/>
              </w:rPr>
              <w:t>营业收入</w:t>
            </w:r>
            <w:r>
              <w:rPr>
                <w:rFonts w:ascii="宋体" w:hAnsi="宋体" w:cs="宋体" w:eastAsia="宋体" w:hint="default"/>
                <w:sz w:val="20"/>
                <w:szCs w:val="20"/>
              </w:rPr>
              <w:t> </w:t>
            </w:r>
          </w:p>
        </w:tc>
        <w:tc>
          <w:tcPr>
            <w:tcW w:w="94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left="23" w:right="0"/>
              <w:jc w:val="left"/>
              <w:rPr>
                <w:rFonts w:ascii="Arial" w:hAnsi="Arial" w:cs="Arial" w:eastAsia="Arial" w:hint="default"/>
                <w:sz w:val="20"/>
                <w:szCs w:val="20"/>
              </w:rPr>
            </w:pPr>
            <w:r>
              <w:rPr>
                <w:rFonts w:ascii="Arial"/>
                <w:sz w:val="20"/>
              </w:rPr>
              <w:t>14,089.43</w:t>
            </w:r>
          </w:p>
        </w:tc>
        <w:tc>
          <w:tcPr>
            <w:tcW w:w="94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563.51</w:t>
            </w:r>
            <w:r>
              <w:rPr>
                <w:rFonts w:ascii="Arial"/>
                <w:sz w:val="20"/>
              </w:rPr>
            </w:r>
          </w:p>
        </w:tc>
        <w:tc>
          <w:tcPr>
            <w:tcW w:w="790" w:type="dxa"/>
            <w:tcBorders>
              <w:top w:val="single" w:sz="4" w:space="0" w:color="41B7EE"/>
              <w:left w:val="single" w:sz="4" w:space="0" w:color="41B7EE"/>
              <w:bottom w:val="single" w:sz="4" w:space="0" w:color="41B7EE"/>
              <w:right w:val="single" w:sz="4" w:space="0" w:color="41B7EE"/>
            </w:tcBorders>
          </w:tcPr>
          <w:p>
            <w:pPr/>
          </w:p>
        </w:tc>
        <w:tc>
          <w:tcPr>
            <w:tcW w:w="862" w:type="dxa"/>
            <w:tcBorders>
              <w:top w:val="single" w:sz="4" w:space="0" w:color="41B7EE"/>
              <w:left w:val="single" w:sz="4" w:space="0" w:color="41B7EE"/>
              <w:bottom w:val="single" w:sz="4" w:space="0" w:color="41B7EE"/>
              <w:right w:val="single" w:sz="4" w:space="0" w:color="41B7EE"/>
            </w:tcBorders>
          </w:tcPr>
          <w:p>
            <w:pPr/>
          </w:p>
        </w:tc>
        <w:tc>
          <w:tcPr>
            <w:tcW w:w="9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38,334.36</w:t>
            </w:r>
            <w:r>
              <w:rPr>
                <w:rFonts w:ascii="Arial"/>
                <w:sz w:val="20"/>
              </w:rPr>
            </w:r>
          </w:p>
        </w:tc>
        <w:tc>
          <w:tcPr>
            <w:tcW w:w="9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258.44</w:t>
            </w:r>
            <w:r>
              <w:rPr>
                <w:rFonts w:ascii="Arial"/>
                <w:sz w:val="20"/>
              </w:rPr>
            </w:r>
          </w:p>
        </w:tc>
        <w:tc>
          <w:tcPr>
            <w:tcW w:w="85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left="21" w:right="0"/>
              <w:jc w:val="center"/>
              <w:rPr>
                <w:rFonts w:ascii="Arial" w:hAnsi="Arial" w:cs="Arial" w:eastAsia="Arial" w:hint="default"/>
                <w:sz w:val="20"/>
                <w:szCs w:val="20"/>
              </w:rPr>
            </w:pPr>
            <w:r>
              <w:rPr>
                <w:rFonts w:ascii="Arial"/>
                <w:sz w:val="20"/>
              </w:rPr>
              <w:t>2,884.63</w:t>
            </w:r>
          </w:p>
        </w:tc>
        <w:tc>
          <w:tcPr>
            <w:tcW w:w="98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38,478.31</w:t>
            </w:r>
            <w:r>
              <w:rPr>
                <w:rFonts w:ascii="Arial"/>
                <w:sz w:val="20"/>
              </w:rPr>
            </w:r>
          </w:p>
        </w:tc>
        <w:tc>
          <w:tcPr>
            <w:tcW w:w="94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482.13</w:t>
            </w:r>
            <w:r>
              <w:rPr>
                <w:rFonts w:ascii="Arial"/>
                <w:sz w:val="20"/>
              </w:rPr>
            </w:r>
          </w:p>
        </w:tc>
        <w:tc>
          <w:tcPr>
            <w:tcW w:w="853" w:type="dxa"/>
            <w:tcBorders>
              <w:top w:val="single" w:sz="4" w:space="0" w:color="41B7EE"/>
              <w:left w:val="single" w:sz="4" w:space="0" w:color="41B7EE"/>
              <w:bottom w:val="single" w:sz="4" w:space="0" w:color="41B7EE"/>
              <w:right w:val="single" w:sz="4" w:space="0" w:color="41B7EE"/>
            </w:tcBorders>
          </w:tcPr>
          <w:p>
            <w:pPr/>
          </w:p>
        </w:tc>
        <w:tc>
          <w:tcPr>
            <w:tcW w:w="854" w:type="dxa"/>
            <w:tcBorders>
              <w:top w:val="single" w:sz="4" w:space="0" w:color="41B7EE"/>
              <w:left w:val="single" w:sz="4" w:space="0" w:color="41B7EE"/>
              <w:bottom w:val="single" w:sz="4" w:space="0" w:color="41B7EE"/>
              <w:right w:val="single" w:sz="4" w:space="0" w:color="41B7EE"/>
            </w:tcBorders>
          </w:tcPr>
          <w:p>
            <w:pPr/>
          </w:p>
        </w:tc>
        <w:tc>
          <w:tcPr>
            <w:tcW w:w="9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22,077.38</w:t>
            </w:r>
            <w:r>
              <w:rPr>
                <w:rFonts w:ascii="Arial"/>
                <w:sz w:val="20"/>
              </w:rPr>
            </w:r>
          </w:p>
        </w:tc>
        <w:tc>
          <w:tcPr>
            <w:tcW w:w="99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5"/>
              <w:ind w:right="28"/>
              <w:jc w:val="right"/>
              <w:rPr>
                <w:rFonts w:ascii="Arial" w:hAnsi="Arial" w:cs="Arial" w:eastAsia="Arial" w:hint="default"/>
                <w:sz w:val="20"/>
                <w:szCs w:val="20"/>
              </w:rPr>
            </w:pPr>
            <w:r>
              <w:rPr>
                <w:rFonts w:ascii="Arial"/>
                <w:spacing w:val="-1"/>
                <w:sz w:val="20"/>
              </w:rPr>
              <w:t>2,040.31</w:t>
            </w:r>
          </w:p>
        </w:tc>
      </w:tr>
      <w:tr>
        <w:trPr>
          <w:trHeight w:val="355" w:hRule="exact"/>
        </w:trPr>
        <w:tc>
          <w:tcPr>
            <w:tcW w:w="202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54"/>
              <w:ind w:left="28" w:right="0"/>
              <w:jc w:val="left"/>
              <w:rPr>
                <w:rFonts w:ascii="宋体" w:hAnsi="宋体" w:cs="宋体" w:eastAsia="宋体" w:hint="default"/>
                <w:sz w:val="20"/>
                <w:szCs w:val="20"/>
              </w:rPr>
            </w:pPr>
            <w:r>
              <w:rPr>
                <w:rFonts w:ascii="宋体" w:hAnsi="宋体" w:cs="宋体" w:eastAsia="宋体" w:hint="default"/>
                <w:sz w:val="20"/>
                <w:szCs w:val="20"/>
              </w:rPr>
              <w:t>净利润</w:t>
            </w:r>
            <w:r>
              <w:rPr>
                <w:rFonts w:ascii="宋体" w:hAnsi="宋体" w:cs="宋体" w:eastAsia="宋体" w:hint="default"/>
                <w:sz w:val="20"/>
                <w:szCs w:val="20"/>
              </w:rPr>
              <w:t> </w:t>
            </w:r>
          </w:p>
        </w:tc>
        <w:tc>
          <w:tcPr>
            <w:tcW w:w="94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left="69" w:right="0"/>
              <w:jc w:val="left"/>
              <w:rPr>
                <w:rFonts w:ascii="Arial" w:hAnsi="Arial" w:cs="Arial" w:eastAsia="Arial" w:hint="default"/>
                <w:sz w:val="20"/>
                <w:szCs w:val="20"/>
              </w:rPr>
            </w:pPr>
            <w:r>
              <w:rPr>
                <w:rFonts w:ascii="Arial"/>
                <w:sz w:val="20"/>
              </w:rPr>
              <w:t>-3,008.83</w:t>
            </w:r>
          </w:p>
        </w:tc>
        <w:tc>
          <w:tcPr>
            <w:tcW w:w="94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545.90</w:t>
            </w:r>
            <w:r>
              <w:rPr>
                <w:rFonts w:ascii="Arial"/>
                <w:sz w:val="20"/>
              </w:rPr>
            </w:r>
          </w:p>
        </w:tc>
        <w:tc>
          <w:tcPr>
            <w:tcW w:w="79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6"/>
              <w:jc w:val="right"/>
              <w:rPr>
                <w:rFonts w:ascii="Arial" w:hAnsi="Arial" w:cs="Arial" w:eastAsia="Arial" w:hint="default"/>
                <w:sz w:val="20"/>
                <w:szCs w:val="20"/>
              </w:rPr>
            </w:pPr>
            <w:r>
              <w:rPr>
                <w:rFonts w:ascii="Arial"/>
                <w:w w:val="95"/>
                <w:sz w:val="20"/>
              </w:rPr>
              <w:t>20.62</w:t>
            </w:r>
            <w:r>
              <w:rPr>
                <w:rFonts w:ascii="Arial"/>
                <w:sz w:val="20"/>
              </w:rPr>
            </w:r>
          </w:p>
        </w:tc>
        <w:tc>
          <w:tcPr>
            <w:tcW w:w="86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spacing w:val="-1"/>
                <w:w w:val="95"/>
                <w:sz w:val="20"/>
              </w:rPr>
              <w:t>-38.63</w:t>
            </w:r>
            <w:r>
              <w:rPr>
                <w:rFonts w:ascii="Arial"/>
                <w:sz w:val="20"/>
              </w:rPr>
            </w:r>
          </w:p>
        </w:tc>
        <w:tc>
          <w:tcPr>
            <w:tcW w:w="9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-341.63</w:t>
            </w:r>
            <w:r>
              <w:rPr>
                <w:rFonts w:ascii="Arial"/>
                <w:sz w:val="20"/>
              </w:rPr>
            </w:r>
          </w:p>
        </w:tc>
        <w:tc>
          <w:tcPr>
            <w:tcW w:w="9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-5,410.34</w:t>
            </w:r>
            <w:r>
              <w:rPr>
                <w:rFonts w:ascii="Arial"/>
                <w:sz w:val="20"/>
              </w:rPr>
            </w:r>
          </w:p>
        </w:tc>
        <w:tc>
          <w:tcPr>
            <w:tcW w:w="85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left="120" w:right="0"/>
              <w:jc w:val="center"/>
              <w:rPr>
                <w:rFonts w:ascii="Arial" w:hAnsi="Arial" w:cs="Arial" w:eastAsia="Arial" w:hint="default"/>
                <w:sz w:val="20"/>
                <w:szCs w:val="20"/>
              </w:rPr>
            </w:pPr>
            <w:r>
              <w:rPr>
                <w:rFonts w:ascii="Arial"/>
                <w:sz w:val="20"/>
              </w:rPr>
              <w:t>-340.78</w:t>
            </w:r>
          </w:p>
        </w:tc>
        <w:tc>
          <w:tcPr>
            <w:tcW w:w="98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3"/>
              <w:jc w:val="right"/>
              <w:rPr>
                <w:rFonts w:ascii="Arial" w:hAnsi="Arial" w:cs="Arial" w:eastAsia="Arial" w:hint="default"/>
                <w:sz w:val="20"/>
                <w:szCs w:val="20"/>
              </w:rPr>
            </w:pPr>
            <w:r>
              <w:rPr>
                <w:rFonts w:ascii="Arial"/>
                <w:w w:val="95"/>
                <w:sz w:val="20"/>
              </w:rPr>
              <w:t>-1,071.50</w:t>
            </w:r>
            <w:r>
              <w:rPr>
                <w:rFonts w:ascii="Arial"/>
                <w:sz w:val="20"/>
              </w:rPr>
            </w:r>
          </w:p>
        </w:tc>
        <w:tc>
          <w:tcPr>
            <w:tcW w:w="94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342.87</w:t>
            </w:r>
            <w:r>
              <w:rPr>
                <w:rFonts w:ascii="Arial"/>
                <w:sz w:val="20"/>
              </w:rPr>
            </w:r>
          </w:p>
        </w:tc>
        <w:tc>
          <w:tcPr>
            <w:tcW w:w="85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5"/>
              <w:jc w:val="right"/>
              <w:rPr>
                <w:rFonts w:ascii="Arial" w:hAnsi="Arial" w:cs="Arial" w:eastAsia="Arial" w:hint="default"/>
                <w:sz w:val="20"/>
                <w:szCs w:val="20"/>
              </w:rPr>
            </w:pPr>
            <w:r>
              <w:rPr>
                <w:rFonts w:ascii="Arial"/>
                <w:spacing w:val="-1"/>
                <w:w w:val="95"/>
                <w:sz w:val="20"/>
              </w:rPr>
              <w:t>-55.62</w:t>
            </w:r>
            <w:r>
              <w:rPr>
                <w:rFonts w:ascii="Arial"/>
                <w:sz w:val="20"/>
              </w:rPr>
            </w:r>
          </w:p>
        </w:tc>
        <w:tc>
          <w:tcPr>
            <w:tcW w:w="85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8"/>
              <w:jc w:val="right"/>
              <w:rPr>
                <w:rFonts w:ascii="Arial" w:hAnsi="Arial" w:cs="Arial" w:eastAsia="Arial" w:hint="default"/>
                <w:sz w:val="20"/>
                <w:szCs w:val="20"/>
              </w:rPr>
            </w:pPr>
            <w:r>
              <w:rPr>
                <w:rFonts w:ascii="Arial"/>
                <w:spacing w:val="-1"/>
                <w:w w:val="95"/>
                <w:sz w:val="20"/>
              </w:rPr>
              <w:t>-40.37</w:t>
            </w:r>
            <w:r>
              <w:rPr>
                <w:rFonts w:ascii="Arial"/>
                <w:sz w:val="20"/>
              </w:rPr>
            </w:r>
          </w:p>
        </w:tc>
        <w:tc>
          <w:tcPr>
            <w:tcW w:w="9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-678.61</w:t>
            </w:r>
            <w:r>
              <w:rPr>
                <w:rFonts w:ascii="Arial"/>
                <w:sz w:val="20"/>
              </w:rPr>
            </w:r>
          </w:p>
        </w:tc>
        <w:tc>
          <w:tcPr>
            <w:tcW w:w="99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5"/>
              <w:ind w:right="28"/>
              <w:jc w:val="right"/>
              <w:rPr>
                <w:rFonts w:ascii="Arial" w:hAnsi="Arial" w:cs="Arial" w:eastAsia="Arial" w:hint="default"/>
                <w:sz w:val="20"/>
                <w:szCs w:val="20"/>
              </w:rPr>
            </w:pPr>
            <w:r>
              <w:rPr>
                <w:rFonts w:ascii="Arial"/>
                <w:w w:val="95"/>
                <w:sz w:val="20"/>
              </w:rPr>
              <w:t>-7,943.10</w:t>
            </w:r>
            <w:r>
              <w:rPr>
                <w:rFonts w:ascii="Arial"/>
                <w:sz w:val="20"/>
              </w:rPr>
            </w:r>
          </w:p>
        </w:tc>
      </w:tr>
      <w:tr>
        <w:trPr>
          <w:trHeight w:val="358" w:hRule="exact"/>
        </w:trPr>
        <w:tc>
          <w:tcPr>
            <w:tcW w:w="202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57"/>
              <w:ind w:left="28" w:right="0"/>
              <w:jc w:val="left"/>
              <w:rPr>
                <w:rFonts w:ascii="宋体" w:hAnsi="宋体" w:cs="宋体" w:eastAsia="宋体" w:hint="default"/>
                <w:sz w:val="20"/>
                <w:szCs w:val="20"/>
              </w:rPr>
            </w:pPr>
            <w:r>
              <w:rPr>
                <w:rFonts w:ascii="宋体" w:hAnsi="宋体" w:cs="宋体" w:eastAsia="宋体" w:hint="default"/>
                <w:sz w:val="20"/>
                <w:szCs w:val="20"/>
              </w:rPr>
              <w:t>其他综合收益</w:t>
            </w:r>
            <w:r>
              <w:rPr>
                <w:rFonts w:ascii="宋体" w:hAnsi="宋体" w:cs="宋体" w:eastAsia="宋体" w:hint="default"/>
                <w:sz w:val="20"/>
                <w:szCs w:val="20"/>
              </w:rPr>
              <w:t> </w:t>
            </w:r>
          </w:p>
        </w:tc>
        <w:tc>
          <w:tcPr>
            <w:tcW w:w="948" w:type="dxa"/>
            <w:tcBorders>
              <w:top w:val="single" w:sz="4" w:space="0" w:color="41B7EE"/>
              <w:left w:val="single" w:sz="4" w:space="0" w:color="41B7EE"/>
              <w:bottom w:val="single" w:sz="4" w:space="0" w:color="41B7EE"/>
              <w:right w:val="single" w:sz="4" w:space="0" w:color="41B7EE"/>
            </w:tcBorders>
          </w:tcPr>
          <w:p>
            <w:pPr/>
          </w:p>
        </w:tc>
        <w:tc>
          <w:tcPr>
            <w:tcW w:w="946" w:type="dxa"/>
            <w:tcBorders>
              <w:top w:val="single" w:sz="4" w:space="0" w:color="41B7EE"/>
              <w:left w:val="single" w:sz="4" w:space="0" w:color="41B7EE"/>
              <w:bottom w:val="single" w:sz="4" w:space="0" w:color="41B7EE"/>
              <w:right w:val="single" w:sz="4" w:space="0" w:color="41B7EE"/>
            </w:tcBorders>
          </w:tcPr>
          <w:p>
            <w:pPr/>
          </w:p>
        </w:tc>
        <w:tc>
          <w:tcPr>
            <w:tcW w:w="790" w:type="dxa"/>
            <w:tcBorders>
              <w:top w:val="single" w:sz="4" w:space="0" w:color="41B7EE"/>
              <w:left w:val="single" w:sz="4" w:space="0" w:color="41B7EE"/>
              <w:bottom w:val="single" w:sz="4" w:space="0" w:color="41B7EE"/>
              <w:right w:val="single" w:sz="4" w:space="0" w:color="41B7EE"/>
            </w:tcBorders>
          </w:tcPr>
          <w:p>
            <w:pPr/>
          </w:p>
        </w:tc>
        <w:tc>
          <w:tcPr>
            <w:tcW w:w="862" w:type="dxa"/>
            <w:tcBorders>
              <w:top w:val="single" w:sz="4" w:space="0" w:color="41B7EE"/>
              <w:left w:val="single" w:sz="4" w:space="0" w:color="41B7EE"/>
              <w:bottom w:val="single" w:sz="4" w:space="0" w:color="41B7EE"/>
              <w:right w:val="single" w:sz="4" w:space="0" w:color="41B7EE"/>
            </w:tcBorders>
          </w:tcPr>
          <w:p>
            <w:pPr/>
          </w:p>
        </w:tc>
        <w:tc>
          <w:tcPr>
            <w:tcW w:w="99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8"/>
              <w:ind w:right="24"/>
              <w:jc w:val="right"/>
              <w:rPr>
                <w:rFonts w:ascii="Arial" w:hAnsi="Arial" w:cs="Arial" w:eastAsia="Arial" w:hint="default"/>
                <w:sz w:val="20"/>
                <w:szCs w:val="20"/>
              </w:rPr>
            </w:pPr>
            <w:r>
              <w:rPr>
                <w:rFonts w:ascii="Arial"/>
                <w:w w:val="95"/>
                <w:sz w:val="20"/>
              </w:rPr>
              <w:t>51.10</w:t>
            </w:r>
            <w:r>
              <w:rPr>
                <w:rFonts w:ascii="Arial"/>
                <w:sz w:val="20"/>
              </w:rPr>
            </w:r>
          </w:p>
        </w:tc>
        <w:tc>
          <w:tcPr>
            <w:tcW w:w="994" w:type="dxa"/>
            <w:tcBorders>
              <w:top w:val="single" w:sz="4" w:space="0" w:color="41B7EE"/>
              <w:left w:val="single" w:sz="4" w:space="0" w:color="41B7EE"/>
              <w:bottom w:val="single" w:sz="4" w:space="0" w:color="41B7EE"/>
              <w:right w:val="single" w:sz="4" w:space="0" w:color="41B7EE"/>
            </w:tcBorders>
          </w:tcPr>
          <w:p>
            <w:pPr/>
          </w:p>
        </w:tc>
        <w:tc>
          <w:tcPr>
            <w:tcW w:w="859" w:type="dxa"/>
            <w:tcBorders>
              <w:top w:val="single" w:sz="4" w:space="0" w:color="41B7EE"/>
              <w:left w:val="single" w:sz="4" w:space="0" w:color="41B7EE"/>
              <w:bottom w:val="single" w:sz="4" w:space="0" w:color="41B7EE"/>
              <w:right w:val="single" w:sz="4" w:space="0" w:color="41B7EE"/>
            </w:tcBorders>
          </w:tcPr>
          <w:p>
            <w:pPr/>
          </w:p>
        </w:tc>
        <w:tc>
          <w:tcPr>
            <w:tcW w:w="989" w:type="dxa"/>
            <w:tcBorders>
              <w:top w:val="single" w:sz="4" w:space="0" w:color="41B7EE"/>
              <w:left w:val="single" w:sz="4" w:space="0" w:color="41B7EE"/>
              <w:bottom w:val="single" w:sz="4" w:space="0" w:color="41B7EE"/>
              <w:right w:val="single" w:sz="4" w:space="0" w:color="41B7EE"/>
            </w:tcBorders>
          </w:tcPr>
          <w:p>
            <w:pPr/>
          </w:p>
        </w:tc>
        <w:tc>
          <w:tcPr>
            <w:tcW w:w="946" w:type="dxa"/>
            <w:tcBorders>
              <w:top w:val="single" w:sz="4" w:space="0" w:color="41B7EE"/>
              <w:left w:val="single" w:sz="4" w:space="0" w:color="41B7EE"/>
              <w:bottom w:val="single" w:sz="4" w:space="0" w:color="41B7EE"/>
              <w:right w:val="single" w:sz="4" w:space="0" w:color="41B7EE"/>
            </w:tcBorders>
          </w:tcPr>
          <w:p>
            <w:pPr/>
          </w:p>
        </w:tc>
        <w:tc>
          <w:tcPr>
            <w:tcW w:w="853" w:type="dxa"/>
            <w:tcBorders>
              <w:top w:val="single" w:sz="4" w:space="0" w:color="41B7EE"/>
              <w:left w:val="single" w:sz="4" w:space="0" w:color="41B7EE"/>
              <w:bottom w:val="single" w:sz="4" w:space="0" w:color="41B7EE"/>
              <w:right w:val="single" w:sz="4" w:space="0" w:color="41B7EE"/>
            </w:tcBorders>
          </w:tcPr>
          <w:p>
            <w:pPr/>
          </w:p>
        </w:tc>
        <w:tc>
          <w:tcPr>
            <w:tcW w:w="854" w:type="dxa"/>
            <w:tcBorders>
              <w:top w:val="single" w:sz="4" w:space="0" w:color="41B7EE"/>
              <w:left w:val="single" w:sz="4" w:space="0" w:color="41B7EE"/>
              <w:bottom w:val="single" w:sz="4" w:space="0" w:color="41B7EE"/>
              <w:right w:val="single" w:sz="4" w:space="0" w:color="41B7EE"/>
            </w:tcBorders>
          </w:tcPr>
          <w:p>
            <w:pPr/>
          </w:p>
        </w:tc>
        <w:tc>
          <w:tcPr>
            <w:tcW w:w="994" w:type="dxa"/>
            <w:tcBorders>
              <w:top w:val="single" w:sz="4" w:space="0" w:color="41B7EE"/>
              <w:left w:val="single" w:sz="4" w:space="0" w:color="41B7EE"/>
              <w:bottom w:val="single" w:sz="4" w:space="0" w:color="41B7EE"/>
              <w:right w:val="single" w:sz="4" w:space="0" w:color="41B7EE"/>
            </w:tcBorders>
          </w:tcPr>
          <w:p>
            <w:pPr/>
          </w:p>
        </w:tc>
        <w:tc>
          <w:tcPr>
            <w:tcW w:w="994" w:type="dxa"/>
            <w:tcBorders>
              <w:top w:val="single" w:sz="4" w:space="0" w:color="41B7EE"/>
              <w:left w:val="single" w:sz="4" w:space="0" w:color="41B7EE"/>
              <w:bottom w:val="single" w:sz="4" w:space="0" w:color="41B7EE"/>
              <w:right w:val="nil" w:sz="6" w:space="0" w:color="auto"/>
            </w:tcBorders>
          </w:tcPr>
          <w:p>
            <w:pPr/>
          </w:p>
        </w:tc>
      </w:tr>
      <w:tr>
        <w:trPr>
          <w:trHeight w:val="365" w:hRule="exact"/>
        </w:trPr>
        <w:tc>
          <w:tcPr>
            <w:tcW w:w="2021"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57"/>
              <w:ind w:left="28" w:right="0"/>
              <w:jc w:val="left"/>
              <w:rPr>
                <w:rFonts w:ascii="宋体" w:hAnsi="宋体" w:cs="宋体" w:eastAsia="宋体" w:hint="default"/>
                <w:sz w:val="20"/>
                <w:szCs w:val="20"/>
              </w:rPr>
            </w:pPr>
            <w:r>
              <w:rPr>
                <w:rFonts w:ascii="宋体" w:hAnsi="宋体" w:cs="宋体" w:eastAsia="宋体" w:hint="default"/>
                <w:sz w:val="20"/>
                <w:szCs w:val="20"/>
              </w:rPr>
              <w:t>综合收益总额</w:t>
            </w:r>
            <w:r>
              <w:rPr>
                <w:rFonts w:ascii="宋体" w:hAnsi="宋体" w:cs="宋体" w:eastAsia="宋体" w:hint="default"/>
                <w:sz w:val="20"/>
                <w:szCs w:val="20"/>
              </w:rPr>
              <w:t> </w:t>
            </w:r>
          </w:p>
        </w:tc>
        <w:tc>
          <w:tcPr>
            <w:tcW w:w="948"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7"/>
              <w:ind w:left="69" w:right="0"/>
              <w:jc w:val="left"/>
              <w:rPr>
                <w:rFonts w:ascii="Arial" w:hAnsi="Arial" w:cs="Arial" w:eastAsia="Arial" w:hint="default"/>
                <w:sz w:val="20"/>
                <w:szCs w:val="20"/>
              </w:rPr>
            </w:pPr>
            <w:r>
              <w:rPr>
                <w:rFonts w:ascii="Arial"/>
                <w:sz w:val="20"/>
              </w:rPr>
              <w:t>-3,008.83</w:t>
            </w:r>
          </w:p>
        </w:tc>
        <w:tc>
          <w:tcPr>
            <w:tcW w:w="946"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545.90</w:t>
            </w:r>
            <w:r>
              <w:rPr>
                <w:rFonts w:ascii="Arial"/>
                <w:sz w:val="20"/>
              </w:rPr>
            </w:r>
          </w:p>
        </w:tc>
        <w:tc>
          <w:tcPr>
            <w:tcW w:w="790"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7"/>
              <w:ind w:right="26"/>
              <w:jc w:val="right"/>
              <w:rPr>
                <w:rFonts w:ascii="Arial" w:hAnsi="Arial" w:cs="Arial" w:eastAsia="Arial" w:hint="default"/>
                <w:sz w:val="20"/>
                <w:szCs w:val="20"/>
              </w:rPr>
            </w:pPr>
            <w:r>
              <w:rPr>
                <w:rFonts w:ascii="Arial"/>
                <w:w w:val="95"/>
                <w:sz w:val="20"/>
              </w:rPr>
              <w:t>20.62</w:t>
            </w:r>
            <w:r>
              <w:rPr>
                <w:rFonts w:ascii="Arial"/>
                <w:sz w:val="20"/>
              </w:rPr>
            </w:r>
          </w:p>
        </w:tc>
        <w:tc>
          <w:tcPr>
            <w:tcW w:w="862"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spacing w:val="-1"/>
                <w:w w:val="95"/>
                <w:sz w:val="20"/>
              </w:rPr>
              <w:t>-38.63</w:t>
            </w:r>
            <w:r>
              <w:rPr>
                <w:rFonts w:ascii="Arial"/>
                <w:sz w:val="20"/>
              </w:rPr>
            </w:r>
          </w:p>
        </w:tc>
        <w:tc>
          <w:tcPr>
            <w:tcW w:w="994"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-290.53</w:t>
            </w:r>
            <w:r>
              <w:rPr>
                <w:rFonts w:ascii="Arial"/>
                <w:sz w:val="20"/>
              </w:rPr>
            </w:r>
          </w:p>
        </w:tc>
        <w:tc>
          <w:tcPr>
            <w:tcW w:w="994"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-5,410.34</w:t>
            </w:r>
            <w:r>
              <w:rPr>
                <w:rFonts w:ascii="Arial"/>
                <w:sz w:val="20"/>
              </w:rPr>
            </w:r>
          </w:p>
        </w:tc>
        <w:tc>
          <w:tcPr>
            <w:tcW w:w="859"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7"/>
              <w:ind w:left="120" w:right="0"/>
              <w:jc w:val="center"/>
              <w:rPr>
                <w:rFonts w:ascii="Arial" w:hAnsi="Arial" w:cs="Arial" w:eastAsia="Arial" w:hint="default"/>
                <w:sz w:val="20"/>
                <w:szCs w:val="20"/>
              </w:rPr>
            </w:pPr>
            <w:r>
              <w:rPr>
                <w:rFonts w:ascii="Arial"/>
                <w:sz w:val="20"/>
              </w:rPr>
              <w:t>-340.78</w:t>
            </w:r>
          </w:p>
        </w:tc>
        <w:tc>
          <w:tcPr>
            <w:tcW w:w="989"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7"/>
              <w:ind w:right="23"/>
              <w:jc w:val="right"/>
              <w:rPr>
                <w:rFonts w:ascii="Arial" w:hAnsi="Arial" w:cs="Arial" w:eastAsia="Arial" w:hint="default"/>
                <w:sz w:val="20"/>
                <w:szCs w:val="20"/>
              </w:rPr>
            </w:pPr>
            <w:r>
              <w:rPr>
                <w:rFonts w:ascii="Arial"/>
                <w:w w:val="95"/>
                <w:sz w:val="20"/>
              </w:rPr>
              <w:t>-1,071.50</w:t>
            </w:r>
            <w:r>
              <w:rPr>
                <w:rFonts w:ascii="Arial"/>
                <w:sz w:val="20"/>
              </w:rPr>
            </w:r>
          </w:p>
        </w:tc>
        <w:tc>
          <w:tcPr>
            <w:tcW w:w="946"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342.87</w:t>
            </w:r>
            <w:r>
              <w:rPr>
                <w:rFonts w:ascii="Arial"/>
                <w:sz w:val="20"/>
              </w:rPr>
            </w:r>
          </w:p>
        </w:tc>
        <w:tc>
          <w:tcPr>
            <w:tcW w:w="853"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7"/>
              <w:ind w:right="25"/>
              <w:jc w:val="right"/>
              <w:rPr>
                <w:rFonts w:ascii="Arial" w:hAnsi="Arial" w:cs="Arial" w:eastAsia="Arial" w:hint="default"/>
                <w:sz w:val="20"/>
                <w:szCs w:val="20"/>
              </w:rPr>
            </w:pPr>
            <w:r>
              <w:rPr>
                <w:rFonts w:ascii="Arial"/>
                <w:spacing w:val="-1"/>
                <w:w w:val="95"/>
                <w:sz w:val="20"/>
              </w:rPr>
              <w:t>-55.62</w:t>
            </w:r>
            <w:r>
              <w:rPr>
                <w:rFonts w:ascii="Arial"/>
                <w:sz w:val="20"/>
              </w:rPr>
            </w:r>
          </w:p>
        </w:tc>
        <w:tc>
          <w:tcPr>
            <w:tcW w:w="854"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7"/>
              <w:ind w:right="28"/>
              <w:jc w:val="right"/>
              <w:rPr>
                <w:rFonts w:ascii="Arial" w:hAnsi="Arial" w:cs="Arial" w:eastAsia="Arial" w:hint="default"/>
                <w:sz w:val="20"/>
                <w:szCs w:val="20"/>
              </w:rPr>
            </w:pPr>
            <w:r>
              <w:rPr>
                <w:rFonts w:ascii="Arial"/>
                <w:spacing w:val="-1"/>
                <w:w w:val="95"/>
                <w:sz w:val="20"/>
              </w:rPr>
              <w:t>-40.37</w:t>
            </w:r>
            <w:r>
              <w:rPr>
                <w:rFonts w:ascii="Arial"/>
                <w:sz w:val="20"/>
              </w:rPr>
            </w:r>
          </w:p>
        </w:tc>
        <w:tc>
          <w:tcPr>
            <w:tcW w:w="994"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-678.61</w:t>
            </w:r>
            <w:r>
              <w:rPr>
                <w:rFonts w:ascii="Arial"/>
                <w:sz w:val="20"/>
              </w:rPr>
            </w:r>
          </w:p>
        </w:tc>
        <w:tc>
          <w:tcPr>
            <w:tcW w:w="994"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57"/>
              <w:ind w:right="28"/>
              <w:jc w:val="right"/>
              <w:rPr>
                <w:rFonts w:ascii="Arial" w:hAnsi="Arial" w:cs="Arial" w:eastAsia="Arial" w:hint="default"/>
                <w:sz w:val="20"/>
                <w:szCs w:val="20"/>
              </w:rPr>
            </w:pPr>
            <w:r>
              <w:rPr>
                <w:rFonts w:ascii="Arial"/>
                <w:w w:val="95"/>
                <w:sz w:val="20"/>
              </w:rPr>
              <w:t>-7,943.10</w:t>
            </w:r>
            <w:r>
              <w:rPr>
                <w:rFonts w:ascii="Arial"/>
                <w:sz w:val="20"/>
              </w:rPr>
            </w:r>
          </w:p>
        </w:tc>
      </w:tr>
    </w:tbl>
    <w:p>
      <w:pPr>
        <w:spacing w:line="240" w:lineRule="auto" w:before="11"/>
        <w:rPr>
          <w:rFonts w:ascii="宋体" w:hAnsi="宋体" w:cs="宋体" w:eastAsia="宋体" w:hint="default"/>
          <w:sz w:val="2"/>
          <w:szCs w:val="2"/>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703.1pt;height:1pt;mso-position-horizontal-relative:char;mso-position-vertical-relative:line" coordorigin="0,0" coordsize="14062,20">
            <v:group style="position:absolute;left:10;top:10;width:2017;height:2" coordorigin="10,10" coordsize="2017,2">
              <v:shape style="position:absolute;left:10;top:10;width:2017;height:2" coordorigin="10,10" coordsize="2017,0" path="m10,10l2026,10e" filled="false" stroked="true" strokeweight=".95999pt" strokecolor="#41b7ee">
                <v:path arrowok="t"/>
              </v:shape>
            </v:group>
            <v:group style="position:absolute;left:2026;top:10;width:58;height:2" coordorigin="2026,10" coordsize="58,2">
              <v:shape style="position:absolute;left:2026;top:10;width:58;height:2" coordorigin="2026,10" coordsize="58,0" path="m2026,10l2084,10e" filled="false" stroked="true" strokeweight=".95999pt" strokecolor="#41b7ee">
                <v:path arrowok="t"/>
              </v:shape>
            </v:group>
            <v:group style="position:absolute;left:2084;top:10;width:891;height:2" coordorigin="2084,10" coordsize="891,2">
              <v:shape style="position:absolute;left:2084;top:10;width:891;height:2" coordorigin="2084,10" coordsize="891,0" path="m2084,10l2974,10e" filled="false" stroked="true" strokeweight=".95999pt" strokecolor="#41b7ee">
                <v:path arrowok="t"/>
              </v:shape>
            </v:group>
            <v:group style="position:absolute;left:2974;top:10;width:58;height:2" coordorigin="2974,10" coordsize="58,2">
              <v:shape style="position:absolute;left:2974;top:10;width:58;height:2" coordorigin="2974,10" coordsize="58,0" path="m2974,10l3032,10e" filled="false" stroked="true" strokeweight=".95999pt" strokecolor="#41b7ee">
                <v:path arrowok="t"/>
              </v:shape>
            </v:group>
            <v:group style="position:absolute;left:3032;top:10;width:889;height:2" coordorigin="3032,10" coordsize="889,2">
              <v:shape style="position:absolute;left:3032;top:10;width:889;height:2" coordorigin="3032,10" coordsize="889,0" path="m3032,10l3920,10e" filled="false" stroked="true" strokeweight=".95999pt" strokecolor="#41b7ee">
                <v:path arrowok="t"/>
              </v:shape>
            </v:group>
            <v:group style="position:absolute;left:3920;top:10;width:58;height:2" coordorigin="3920,10" coordsize="58,2">
              <v:shape style="position:absolute;left:3920;top:10;width:58;height:2" coordorigin="3920,10" coordsize="58,0" path="m3920,10l3978,10e" filled="false" stroked="true" strokeweight=".95999pt" strokecolor="#41b7ee">
                <v:path arrowok="t"/>
              </v:shape>
            </v:group>
            <v:group style="position:absolute;left:3978;top:10;width:732;height:2" coordorigin="3978,10" coordsize="732,2">
              <v:shape style="position:absolute;left:3978;top:10;width:732;height:2" coordorigin="3978,10" coordsize="732,0" path="m3978,10l4710,10e" filled="false" stroked="true" strokeweight=".95999pt" strokecolor="#41b7ee">
                <v:path arrowok="t"/>
              </v:shape>
            </v:group>
            <v:group style="position:absolute;left:4710;top:10;width:58;height:2" coordorigin="4710,10" coordsize="58,2">
              <v:shape style="position:absolute;left:4710;top:10;width:58;height:2" coordorigin="4710,10" coordsize="58,0" path="m4710,10l4767,10e" filled="false" stroked="true" strokeweight=".95999pt" strokecolor="#41b7ee">
                <v:path arrowok="t"/>
              </v:shape>
            </v:group>
            <v:group style="position:absolute;left:4767;top:10;width:804;height:2" coordorigin="4767,10" coordsize="804,2">
              <v:shape style="position:absolute;left:4767;top:10;width:804;height:2" coordorigin="4767,10" coordsize="804,0" path="m4767,10l5571,10e" filled="false" stroked="true" strokeweight=".95999pt" strokecolor="#41b7ee">
                <v:path arrowok="t"/>
              </v:shape>
            </v:group>
            <v:group style="position:absolute;left:5571;top:10;width:58;height:2" coordorigin="5571,10" coordsize="58,2">
              <v:shape style="position:absolute;left:5571;top:10;width:58;height:2" coordorigin="5571,10" coordsize="58,0" path="m5571,10l5629,10e" filled="false" stroked="true" strokeweight=".95999pt" strokecolor="#41b7ee">
                <v:path arrowok="t"/>
              </v:shape>
            </v:group>
            <v:group style="position:absolute;left:5629;top:10;width:936;height:2" coordorigin="5629,10" coordsize="936,2">
              <v:shape style="position:absolute;left:5629;top:10;width:936;height:2" coordorigin="5629,10" coordsize="936,0" path="m5629,10l6565,10e" filled="false" stroked="true" strokeweight=".95999pt" strokecolor="#41b7ee">
                <v:path arrowok="t"/>
              </v:shape>
            </v:group>
            <v:group style="position:absolute;left:6565;top:10;width:58;height:2" coordorigin="6565,10" coordsize="58,2">
              <v:shape style="position:absolute;left:6565;top:10;width:58;height:2" coordorigin="6565,10" coordsize="58,0" path="m6565,10l6623,10e" filled="false" stroked="true" strokeweight=".95999pt" strokecolor="#41b7ee">
                <v:path arrowok="t"/>
              </v:shape>
            </v:group>
            <v:group style="position:absolute;left:6623;top:10;width:937;height:2" coordorigin="6623,10" coordsize="937,2">
              <v:shape style="position:absolute;left:6623;top:10;width:937;height:2" coordorigin="6623,10" coordsize="937,0" path="m6623,10l7559,10e" filled="false" stroked="true" strokeweight=".95999pt" strokecolor="#41b7ee">
                <v:path arrowok="t"/>
              </v:shape>
            </v:group>
            <v:group style="position:absolute;left:7559;top:10;width:58;height:2" coordorigin="7559,10" coordsize="58,2">
              <v:shape style="position:absolute;left:7559;top:10;width:58;height:2" coordorigin="7559,10" coordsize="58,0" path="m7559,10l7617,10e" filled="false" stroked="true" strokeweight=".95999pt" strokecolor="#41b7ee">
                <v:path arrowok="t"/>
              </v:shape>
            </v:group>
            <v:group style="position:absolute;left:7617;top:10;width:802;height:2" coordorigin="7617,10" coordsize="802,2">
              <v:shape style="position:absolute;left:7617;top:10;width:802;height:2" coordorigin="7617,10" coordsize="802,0" path="m7617,10l8418,10e" filled="false" stroked="true" strokeweight=".95999pt" strokecolor="#41b7ee">
                <v:path arrowok="t"/>
              </v:shape>
            </v:group>
            <v:group style="position:absolute;left:8418;top:10;width:58;height:2" coordorigin="8418,10" coordsize="58,2">
              <v:shape style="position:absolute;left:8418;top:10;width:58;height:2" coordorigin="8418,10" coordsize="58,0" path="m8418,10l8476,10e" filled="false" stroked="true" strokeweight=".95999pt" strokecolor="#41b7ee">
                <v:path arrowok="t"/>
              </v:shape>
            </v:group>
            <v:group style="position:absolute;left:8476;top:10;width:932;height:2" coordorigin="8476,10" coordsize="932,2">
              <v:shape style="position:absolute;left:8476;top:10;width:932;height:2" coordorigin="8476,10" coordsize="932,0" path="m8476,10l9407,10e" filled="false" stroked="true" strokeweight=".95999pt" strokecolor="#41b7ee">
                <v:path arrowok="t"/>
              </v:shape>
            </v:group>
            <v:group style="position:absolute;left:9407;top:10;width:58;height:2" coordorigin="9407,10" coordsize="58,2">
              <v:shape style="position:absolute;left:9407;top:10;width:58;height:2" coordorigin="9407,10" coordsize="58,0" path="m9407,10l9465,10e" filled="false" stroked="true" strokeweight=".95999pt" strokecolor="#41b7ee">
                <v:path arrowok="t"/>
              </v:shape>
            </v:group>
            <v:group style="position:absolute;left:9465;top:10;width:888;height:2" coordorigin="9465,10" coordsize="888,2">
              <v:shape style="position:absolute;left:9465;top:10;width:888;height:2" coordorigin="9465,10" coordsize="888,0" path="m9465,10l10353,10e" filled="false" stroked="true" strokeweight=".95999pt" strokecolor="#41b7ee">
                <v:path arrowok="t"/>
              </v:shape>
            </v:group>
            <v:group style="position:absolute;left:10353;top:10;width:58;height:2" coordorigin="10353,10" coordsize="58,2">
              <v:shape style="position:absolute;left:10353;top:10;width:58;height:2" coordorigin="10353,10" coordsize="58,0" path="m10353,10l10410,10e" filled="false" stroked="true" strokeweight=".95999pt" strokecolor="#41b7ee">
                <v:path arrowok="t"/>
              </v:shape>
            </v:group>
            <v:group style="position:absolute;left:10410;top:10;width:795;height:2" coordorigin="10410,10" coordsize="795,2">
              <v:shape style="position:absolute;left:10410;top:10;width:795;height:2" coordorigin="10410,10" coordsize="795,0" path="m10410,10l11205,10e" filled="false" stroked="true" strokeweight=".95999pt" strokecolor="#41b7ee">
                <v:path arrowok="t"/>
              </v:shape>
            </v:group>
            <v:group style="position:absolute;left:11205;top:10;width:58;height:2" coordorigin="11205,10" coordsize="58,2">
              <v:shape style="position:absolute;left:11205;top:10;width:58;height:2" coordorigin="11205,10" coordsize="58,0" path="m11205,10l11263,10e" filled="false" stroked="true" strokeweight=".95999pt" strokecolor="#41b7ee">
                <v:path arrowok="t"/>
              </v:shape>
            </v:group>
            <v:group style="position:absolute;left:11263;top:10;width:797;height:2" coordorigin="11263,10" coordsize="797,2">
              <v:shape style="position:absolute;left:11263;top:10;width:797;height:2" coordorigin="11263,10" coordsize="797,0" path="m11263,10l12060,10e" filled="false" stroked="true" strokeweight=".95999pt" strokecolor="#41b7ee">
                <v:path arrowok="t"/>
              </v:shape>
            </v:group>
            <v:group style="position:absolute;left:12060;top:10;width:58;height:2" coordorigin="12060,10" coordsize="58,2">
              <v:shape style="position:absolute;left:12060;top:10;width:58;height:2" coordorigin="12060,10" coordsize="58,0" path="m12060,10l12117,10e" filled="false" stroked="true" strokeweight=".95999pt" strokecolor="#41b7ee">
                <v:path arrowok="t"/>
              </v:shape>
            </v:group>
            <v:group style="position:absolute;left:12117;top:10;width:936;height:2" coordorigin="12117,10" coordsize="936,2">
              <v:shape style="position:absolute;left:12117;top:10;width:936;height:2" coordorigin="12117,10" coordsize="936,0" path="m12117,10l13053,10e" filled="false" stroked="true" strokeweight=".95999pt" strokecolor="#41b7ee">
                <v:path arrowok="t"/>
              </v:shape>
            </v:group>
            <v:group style="position:absolute;left:13053;top:10;width:58;height:2" coordorigin="13053,10" coordsize="58,2">
              <v:shape style="position:absolute;left:13053;top:10;width:58;height:2" coordorigin="13053,10" coordsize="58,0" path="m13053,10l13111,10e" filled="false" stroked="true" strokeweight=".95999pt" strokecolor="#41b7ee">
                <v:path arrowok="t"/>
              </v:shape>
            </v:group>
            <v:group style="position:absolute;left:13111;top:10;width:941;height:2" coordorigin="13111,10" coordsize="941,2">
              <v:shape style="position:absolute;left:13111;top:10;width:941;height:2" coordorigin="13111,10" coordsize="941,0" path="m13111,10l14052,10e" filled="false" stroked="true" strokeweight=".95999pt" strokecolor="#41b7ee">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before="63"/>
        <w:ind w:left="6710" w:right="6834" w:firstLine="0"/>
        <w:jc w:val="center"/>
        <w:rPr>
          <w:rFonts w:ascii="Calibri" w:hAnsi="Calibri" w:cs="Calibri" w:eastAsia="Calibri" w:hint="default"/>
          <w:sz w:val="18"/>
          <w:szCs w:val="18"/>
        </w:rPr>
      </w:pPr>
      <w:r>
        <w:rPr>
          <w:rFonts w:ascii="Calibri"/>
          <w:b/>
          <w:sz w:val="18"/>
        </w:rPr>
        <w:t>153 </w:t>
      </w:r>
      <w:r>
        <w:rPr>
          <w:rFonts w:ascii="Calibri"/>
          <w:sz w:val="18"/>
        </w:rPr>
        <w:t>/</w:t>
      </w:r>
      <w:r>
        <w:rPr>
          <w:rFonts w:ascii="Calibri"/>
          <w:spacing w:val="-5"/>
          <w:sz w:val="18"/>
        </w:rPr>
        <w:t> </w:t>
      </w:r>
      <w:r>
        <w:rPr>
          <w:rFonts w:ascii="Calibri"/>
          <w:b/>
          <w:sz w:val="18"/>
        </w:rPr>
        <w:t>173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360" w:bottom="1380" w:left="1300" w:right="1260"/>
        </w:sectPr>
      </w:pPr>
    </w:p>
    <w:p>
      <w:pPr>
        <w:pStyle w:val="Heading2"/>
        <w:spacing w:line="240" w:lineRule="auto" w:before="119"/>
        <w:ind w:left="158" w:right="0"/>
        <w:jc w:val="left"/>
        <w:rPr>
          <w:rFonts w:ascii="宋体" w:hAnsi="宋体" w:cs="宋体" w:eastAsia="宋体" w:hint="default"/>
          <w:b w:val="0"/>
          <w:bCs w:val="0"/>
        </w:rPr>
      </w:pPr>
      <w:r>
        <w:rPr>
          <w:rFonts w:ascii="宋体" w:hAnsi="宋体" w:cs="宋体" w:eastAsia="宋体" w:hint="default"/>
        </w:rPr>
        <w:t>(4).</w:t>
      </w:r>
      <w:r>
        <w:rPr/>
        <w:t>不重要的合营企业和联营企业的汇总财务信息</w:t>
      </w:r>
      <w:r>
        <w:rPr>
          <w:rFonts w:ascii="宋体" w:hAnsi="宋体" w:cs="宋体" w:eastAsia="宋体" w:hint="default"/>
          <w:w w:val="99"/>
        </w:rPr>
        <w:t> </w:t>
      </w:r>
      <w:r>
        <w:rPr>
          <w:rFonts w:ascii="宋体" w:hAnsi="宋体" w:cs="宋体" w:eastAsia="宋体" w:hint="default"/>
          <w:b w:val="0"/>
          <w:bCs w:val="0"/>
        </w:rPr>
      </w:r>
    </w:p>
    <w:p>
      <w:pPr>
        <w:spacing w:line="290" w:lineRule="auto" w:before="59"/>
        <w:ind w:left="15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合营企业或联营企业向本公司转移资金的能力存在重大限制的说明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158" w:right="1292"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合营企业或联营企业发生的超额亏损</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1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ind w:left="4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87"/>
          <w:pgSz w:w="11910" w:h="16840"/>
          <w:pgMar w:footer="1195" w:header="0" w:top="1360" w:bottom="1380" w:left="1640" w:right="1060"/>
          <w:pgNumType w:start="154"/>
          <w:cols w:num="2" w:equalWidth="0">
            <w:col w:w="6803" w:space="40"/>
            <w:col w:w="2367"/>
          </w:cols>
        </w:sectPr>
      </w:pPr>
    </w:p>
    <w:p>
      <w:pPr>
        <w:spacing w:line="240" w:lineRule="auto" w:before="7"/>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3565;height:2" coordorigin="10,10" coordsize="3565,2">
              <v:shape style="position:absolute;left:10;top:10;width:3565;height:2" coordorigin="10,10" coordsize="3565,0" path="m10,10l3574,10e" filled="false" stroked="true" strokeweight=".95999pt" strokecolor="#41b7ee">
                <v:path arrowok="t"/>
              </v:shape>
            </v:group>
            <v:group style="position:absolute;left:3574;top:10;width:58;height:2" coordorigin="3574,10" coordsize="58,2">
              <v:shape style="position:absolute;left:3574;top:10;width:58;height:2" coordorigin="3574,10" coordsize="58,0" path="m3574,10l3632,10e" filled="false" stroked="true" strokeweight=".95999pt" strokecolor="#41b7ee">
                <v:path arrowok="t"/>
              </v:shape>
            </v:group>
            <v:group style="position:absolute;left:3632;top:10;width:1511;height:2" coordorigin="3632,10" coordsize="1511,2">
              <v:shape style="position:absolute;left:3632;top:10;width:1511;height:2" coordorigin="3632,10" coordsize="1511,0" path="m3632,10l5142,10e" filled="false" stroked="true" strokeweight=".95999pt" strokecolor="#41b7ee">
                <v:path arrowok="t"/>
              </v:shape>
            </v:group>
            <v:group style="position:absolute;left:5142;top:10;width:58;height:2" coordorigin="5142,10" coordsize="58,2">
              <v:shape style="position:absolute;left:5142;top:10;width:58;height:2" coordorigin="5142,10" coordsize="58,0" path="m5142,10l5199,10e" filled="false" stroked="true" strokeweight=".95999pt" strokecolor="#41b7ee">
                <v:path arrowok="t"/>
              </v:shape>
            </v:group>
            <v:group style="position:absolute;left:5199;top:10;width:2084;height:2" coordorigin="5199,10" coordsize="2084,2">
              <v:shape style="position:absolute;left:5199;top:10;width:2084;height:2" coordorigin="5199,10" coordsize="2084,0" path="m5199,10l7283,10e" filled="false" stroked="true" strokeweight=".95999pt" strokecolor="#41b7ee">
                <v:path arrowok="t"/>
              </v:shape>
            </v:group>
            <v:group style="position:absolute;left:7283;top:10;width:59;height:2" coordorigin="7283,10" coordsize="59,2">
              <v:shape style="position:absolute;left:7283;top:10;width:59;height:2" coordorigin="7283,10" coordsize="59,0" path="m7283,10l7341,10e" filled="false" stroked="true" strokeweight=".95999pt" strokecolor="#41b7ee">
                <v:path arrowok="t"/>
              </v:shape>
            </v:group>
            <v:group style="position:absolute;left:7341;top:10;width:1560;height:2" coordorigin="7341,10" coordsize="1560,2">
              <v:shape style="position:absolute;left:7341;top:10;width:1560;height:2" coordorigin="7341,10" coordsize="1560,0" path="m7341,10l8901,10e" filled="false" stroked="true" strokeweight=".95999pt" strokecolor="#41b7ee">
                <v:path arrowok="t"/>
              </v:shape>
            </v:group>
          </v:group>
        </w:pict>
      </w:r>
      <w:r>
        <w:rPr>
          <w:rFonts w:ascii="宋体" w:hAnsi="宋体" w:cs="宋体" w:eastAsia="宋体" w:hint="default"/>
          <w:sz w:val="2"/>
          <w:szCs w:val="2"/>
        </w:rPr>
      </w:r>
    </w:p>
    <w:tbl>
      <w:tblPr>
        <w:tblW w:w="0" w:type="auto"/>
        <w:jc w:val="left"/>
        <w:tblInd w:w="119" w:type="dxa"/>
        <w:tblLayout w:type="fixed"/>
        <w:tblCellMar>
          <w:top w:w="0" w:type="dxa"/>
          <w:left w:w="0" w:type="dxa"/>
          <w:bottom w:w="0" w:type="dxa"/>
          <w:right w:w="0" w:type="dxa"/>
        </w:tblCellMar>
        <w:tblLook w:val="01E0"/>
      </w:tblPr>
      <w:tblGrid>
        <w:gridCol w:w="3569"/>
        <w:gridCol w:w="1568"/>
        <w:gridCol w:w="2141"/>
        <w:gridCol w:w="1613"/>
      </w:tblGrid>
      <w:tr>
        <w:trPr>
          <w:trHeight w:val="562" w:hRule="exact"/>
        </w:trPr>
        <w:tc>
          <w:tcPr>
            <w:tcW w:w="3569"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102"/>
              <w:ind w:left="628" w:right="0"/>
              <w:jc w:val="left"/>
              <w:rPr>
                <w:rFonts w:ascii="宋体" w:hAnsi="宋体" w:cs="宋体" w:eastAsia="宋体" w:hint="default"/>
                <w:sz w:val="21"/>
                <w:szCs w:val="21"/>
              </w:rPr>
            </w:pPr>
            <w:r>
              <w:rPr>
                <w:rFonts w:ascii="宋体" w:hAnsi="宋体" w:cs="宋体" w:eastAsia="宋体" w:hint="default"/>
                <w:sz w:val="21"/>
                <w:szCs w:val="21"/>
              </w:rPr>
              <w:t>合营企业或联营企业名称</w:t>
            </w:r>
            <w:r>
              <w:rPr>
                <w:rFonts w:ascii="宋体" w:hAnsi="宋体" w:cs="宋体" w:eastAsia="宋体" w:hint="default"/>
                <w:sz w:val="21"/>
                <w:szCs w:val="21"/>
              </w:rPr>
              <w:t> </w:t>
            </w:r>
          </w:p>
        </w:tc>
        <w:tc>
          <w:tcPr>
            <w:tcW w:w="1568" w:type="dxa"/>
            <w:tcBorders>
              <w:top w:val="single" w:sz="8" w:space="0" w:color="41B7EE"/>
              <w:left w:val="single" w:sz="4" w:space="0" w:color="41B7EE"/>
              <w:bottom w:val="single" w:sz="4" w:space="0" w:color="41B7EE"/>
              <w:right w:val="single" w:sz="4" w:space="0" w:color="41B7EE"/>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累积未确认前期</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累计的损失</w:t>
            </w:r>
            <w:r>
              <w:rPr>
                <w:rFonts w:ascii="宋体" w:hAnsi="宋体" w:cs="宋体" w:eastAsia="宋体" w:hint="default"/>
                <w:sz w:val="21"/>
                <w:szCs w:val="21"/>
              </w:rPr>
              <w:t> </w:t>
            </w:r>
          </w:p>
        </w:tc>
        <w:tc>
          <w:tcPr>
            <w:tcW w:w="2141" w:type="dxa"/>
            <w:tcBorders>
              <w:top w:val="single" w:sz="8" w:space="0" w:color="41B7EE"/>
              <w:left w:val="single" w:sz="4" w:space="0" w:color="41B7EE"/>
              <w:bottom w:val="single" w:sz="4" w:space="0" w:color="41B7EE"/>
              <w:right w:val="single" w:sz="4" w:space="0" w:color="41B7EE"/>
            </w:tcBorders>
          </w:tcPr>
          <w:p>
            <w:pPr>
              <w:pStyle w:val="TableParagraph"/>
              <w:spacing w:line="243" w:lineRule="exact"/>
              <w:ind w:left="97" w:right="0"/>
              <w:jc w:val="center"/>
              <w:rPr>
                <w:rFonts w:ascii="宋体" w:hAnsi="宋体" w:cs="宋体" w:eastAsia="宋体" w:hint="default"/>
                <w:sz w:val="20"/>
                <w:szCs w:val="20"/>
              </w:rPr>
            </w:pPr>
            <w:r>
              <w:rPr>
                <w:rFonts w:ascii="宋体" w:hAnsi="宋体" w:cs="宋体" w:eastAsia="宋体" w:hint="default"/>
                <w:sz w:val="20"/>
                <w:szCs w:val="20"/>
              </w:rPr>
              <w:t>本期未确认的损失</w:t>
            </w:r>
            <w:r>
              <w:rPr>
                <w:rFonts w:ascii="宋体" w:hAnsi="宋体" w:cs="宋体" w:eastAsia="宋体" w:hint="default"/>
                <w:sz w:val="20"/>
                <w:szCs w:val="20"/>
              </w:rPr>
              <w:t> </w:t>
            </w:r>
          </w:p>
          <w:p>
            <w:pPr>
              <w:pStyle w:val="TableParagraph"/>
              <w:spacing w:line="260" w:lineRule="exact"/>
              <w:ind w:left="95" w:right="-2"/>
              <w:jc w:val="center"/>
              <w:rPr>
                <w:rFonts w:ascii="宋体" w:hAnsi="宋体" w:cs="宋体" w:eastAsia="宋体" w:hint="default"/>
                <w:sz w:val="20"/>
                <w:szCs w:val="20"/>
              </w:rPr>
            </w:pPr>
            <w:r>
              <w:rPr>
                <w:rFonts w:ascii="宋体" w:hAnsi="宋体" w:cs="宋体" w:eastAsia="宋体" w:hint="default"/>
                <w:spacing w:val="-25"/>
                <w:sz w:val="20"/>
                <w:szCs w:val="20"/>
              </w:rPr>
              <w:t>（或本期分享的净利润）</w:t>
            </w:r>
            <w:r>
              <w:rPr>
                <w:rFonts w:ascii="宋体" w:hAnsi="宋体" w:cs="宋体" w:eastAsia="宋体" w:hint="default"/>
                <w:sz w:val="20"/>
                <w:szCs w:val="20"/>
              </w:rPr>
              <w:t> </w:t>
            </w:r>
          </w:p>
        </w:tc>
        <w:tc>
          <w:tcPr>
            <w:tcW w:w="1613" w:type="dxa"/>
            <w:tcBorders>
              <w:top w:val="single" w:sz="8" w:space="0" w:color="41B7EE"/>
              <w:left w:val="single" w:sz="4" w:space="0" w:color="41B7EE"/>
              <w:bottom w:val="single" w:sz="4" w:space="0" w:color="41B7EE"/>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本期末累积未确</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认的损失</w:t>
            </w:r>
            <w:r>
              <w:rPr>
                <w:rFonts w:ascii="宋体" w:hAnsi="宋体" w:cs="宋体" w:eastAsia="宋体" w:hint="default"/>
                <w:sz w:val="21"/>
                <w:szCs w:val="21"/>
              </w:rPr>
              <w:t> </w:t>
            </w:r>
          </w:p>
        </w:tc>
      </w:tr>
      <w:tr>
        <w:trPr>
          <w:trHeight w:val="362" w:hRule="exact"/>
        </w:trPr>
        <w:tc>
          <w:tcPr>
            <w:tcW w:w="3569"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黑龙江北大荒汉枫农业发展有限公司</w:t>
            </w:r>
            <w:r>
              <w:rPr>
                <w:rFonts w:ascii="宋体" w:hAnsi="宋体" w:cs="宋体" w:eastAsia="宋体" w:hint="default"/>
                <w:sz w:val="21"/>
                <w:szCs w:val="21"/>
              </w:rPr>
              <w:t> </w:t>
            </w:r>
          </w:p>
        </w:tc>
        <w:tc>
          <w:tcPr>
            <w:tcW w:w="1568"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left="412" w:right="0"/>
              <w:jc w:val="left"/>
              <w:rPr>
                <w:rFonts w:ascii="Arial" w:hAnsi="Arial" w:cs="Arial" w:eastAsia="Arial" w:hint="default"/>
                <w:sz w:val="21"/>
                <w:szCs w:val="21"/>
              </w:rPr>
            </w:pPr>
            <w:r>
              <w:rPr>
                <w:rFonts w:ascii="Arial"/>
                <w:sz w:val="21"/>
              </w:rPr>
              <w:t>-657,821.00</w:t>
            </w:r>
          </w:p>
        </w:tc>
        <w:tc>
          <w:tcPr>
            <w:tcW w:w="2141"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left="1173" w:right="0"/>
              <w:jc w:val="left"/>
              <w:rPr>
                <w:rFonts w:ascii="Arial" w:hAnsi="Arial" w:cs="Arial" w:eastAsia="Arial" w:hint="default"/>
                <w:sz w:val="21"/>
                <w:szCs w:val="21"/>
              </w:rPr>
            </w:pPr>
            <w:r>
              <w:rPr>
                <w:rFonts w:ascii="Arial"/>
                <w:sz w:val="21"/>
              </w:rPr>
              <w:t>82,496.22</w:t>
            </w:r>
          </w:p>
        </w:tc>
        <w:tc>
          <w:tcPr>
            <w:tcW w:w="1613"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8"/>
              <w:ind w:left="458" w:right="0"/>
              <w:jc w:val="left"/>
              <w:rPr>
                <w:rFonts w:ascii="Arial" w:hAnsi="Arial" w:cs="Arial" w:eastAsia="Arial" w:hint="default"/>
                <w:sz w:val="21"/>
                <w:szCs w:val="21"/>
              </w:rPr>
            </w:pPr>
            <w:r>
              <w:rPr>
                <w:rFonts w:ascii="Arial"/>
                <w:sz w:val="21"/>
              </w:rPr>
              <w:t>-575,324.78</w:t>
            </w:r>
          </w:p>
        </w:tc>
      </w:tr>
    </w:tbl>
    <w:p>
      <w:pPr>
        <w:spacing w:line="240" w:lineRule="auto" w:before="11"/>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3565;height:2" coordorigin="10,10" coordsize="3565,2">
              <v:shape style="position:absolute;left:10;top:10;width:3565;height:2" coordorigin="10,10" coordsize="3565,0" path="m10,10l3574,10e" filled="false" stroked="true" strokeweight=".96001pt" strokecolor="#41b7ee">
                <v:path arrowok="t"/>
              </v:shape>
            </v:group>
            <v:group style="position:absolute;left:3574;top:10;width:58;height:2" coordorigin="3574,10" coordsize="58,2">
              <v:shape style="position:absolute;left:3574;top:10;width:58;height:2" coordorigin="3574,10" coordsize="58,0" path="m3574,10l3632,10e" filled="false" stroked="true" strokeweight=".96001pt" strokecolor="#41b7ee">
                <v:path arrowok="t"/>
              </v:shape>
            </v:group>
            <v:group style="position:absolute;left:3632;top:10;width:1511;height:2" coordorigin="3632,10" coordsize="1511,2">
              <v:shape style="position:absolute;left:3632;top:10;width:1511;height:2" coordorigin="3632,10" coordsize="1511,0" path="m3632,10l5142,10e" filled="false" stroked="true" strokeweight=".96001pt" strokecolor="#41b7ee">
                <v:path arrowok="t"/>
              </v:shape>
            </v:group>
            <v:group style="position:absolute;left:5142;top:10;width:58;height:2" coordorigin="5142,10" coordsize="58,2">
              <v:shape style="position:absolute;left:5142;top:10;width:58;height:2" coordorigin="5142,10" coordsize="58,0" path="m5142,10l5199,10e" filled="false" stroked="true" strokeweight=".96001pt" strokecolor="#41b7ee">
                <v:path arrowok="t"/>
              </v:shape>
            </v:group>
            <v:group style="position:absolute;left:5199;top:10;width:2084;height:2" coordorigin="5199,10" coordsize="2084,2">
              <v:shape style="position:absolute;left:5199;top:10;width:2084;height:2" coordorigin="5199,10" coordsize="2084,0" path="m5199,10l7283,10e" filled="false" stroked="true" strokeweight=".96001pt" strokecolor="#41b7ee">
                <v:path arrowok="t"/>
              </v:shape>
            </v:group>
            <v:group style="position:absolute;left:7283;top:10;width:59;height:2" coordorigin="7283,10" coordsize="59,2">
              <v:shape style="position:absolute;left:7283;top:10;width:59;height:2" coordorigin="7283,10" coordsize="59,0" path="m7283,10l7341,10e" filled="false" stroked="true" strokeweight=".96001pt" strokecolor="#41b7ee">
                <v:path arrowok="t"/>
              </v:shape>
            </v:group>
            <v:group style="position:absolute;left:7341;top:10;width:1560;height:2" coordorigin="7341,10" coordsize="1560,2">
              <v:shape style="position:absolute;left:7341;top:10;width:1560;height:2" coordorigin="7341,10" coordsize="1560,0" path="m7341,10l8901,10e" filled="false" stroked="true" strokeweight=".96001pt" strokecolor="#41b7ee">
                <v:path arrowok="t"/>
              </v:shape>
            </v:group>
          </v:group>
        </w:pict>
      </w:r>
      <w:r>
        <w:rPr>
          <w:rFonts w:ascii="宋体" w:hAnsi="宋体" w:cs="宋体" w:eastAsia="宋体" w:hint="default"/>
          <w:sz w:val="2"/>
          <w:szCs w:val="2"/>
        </w:rPr>
      </w:r>
    </w:p>
    <w:p>
      <w:pPr>
        <w:pStyle w:val="Heading2"/>
        <w:spacing w:line="240" w:lineRule="auto" w:before="25"/>
        <w:ind w:left="158" w:right="0"/>
        <w:jc w:val="both"/>
        <w:rPr>
          <w:rFonts w:ascii="宋体" w:hAnsi="宋体" w:cs="宋体" w:eastAsia="宋体" w:hint="default"/>
          <w:b w:val="0"/>
          <w:bCs w:val="0"/>
        </w:rPr>
      </w:pPr>
      <w:r>
        <w:rPr>
          <w:rFonts w:ascii="宋体" w:hAnsi="宋体" w:cs="宋体" w:eastAsia="宋体" w:hint="default"/>
        </w:rPr>
        <w:t>(7).</w:t>
      </w:r>
      <w:r>
        <w:rPr/>
        <w:t>与合营企业投资相关的未确认承诺</w:t>
      </w:r>
      <w:r>
        <w:rPr>
          <w:rFonts w:ascii="宋体" w:hAnsi="宋体" w:cs="宋体" w:eastAsia="宋体" w:hint="default"/>
          <w:w w:val="99"/>
        </w:rPr>
        <w:t> </w:t>
      </w:r>
      <w:r>
        <w:rPr>
          <w:rFonts w:ascii="宋体" w:hAnsi="宋体" w:cs="宋体" w:eastAsia="宋体" w:hint="default"/>
          <w:b w:val="0"/>
          <w:bCs w:val="0"/>
        </w:rPr>
      </w:r>
    </w:p>
    <w:p>
      <w:pPr>
        <w:spacing w:line="290" w:lineRule="auto" w:before="59"/>
        <w:ind w:left="158" w:right="312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(8).</w:t>
      </w:r>
      <w:r>
        <w:rPr>
          <w:rFonts w:ascii="宋体" w:hAnsi="宋体" w:cs="宋体" w:eastAsia="宋体" w:hint="default"/>
          <w:b/>
          <w:bCs/>
          <w:sz w:val="21"/>
          <w:szCs w:val="21"/>
        </w:rPr>
        <w:t>与合营企业或联营企业投资相关的或有负债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158" w:right="7044"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重要的共同经营</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15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56"/>
        <w:ind w:left="15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21"/>
          <w:szCs w:val="21"/>
        </w:rPr>
        <w:t>未纳入合并财务报表范围的结构化主体的相关说明：</w:t>
      </w:r>
      <w:r>
        <w:rPr>
          <w:rFonts w:ascii="宋体" w:hAnsi="宋体" w:cs="宋体" w:eastAsia="宋体" w:hint="default"/>
          <w:sz w:val="21"/>
          <w:szCs w:val="21"/>
        </w:rPr>
        <w:t> </w:t>
      </w:r>
    </w:p>
    <w:p>
      <w:pPr>
        <w:pStyle w:val="BodyText"/>
        <w:spacing w:line="227" w:lineRule="exact"/>
        <w:ind w:left="15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left="158" w:right="0"/>
        <w:jc w:val="both"/>
        <w:rPr>
          <w:rFonts w:ascii="宋体" w:hAnsi="宋体" w:cs="宋体" w:eastAsia="宋体" w:hint="default"/>
          <w:b w:val="0"/>
          <w:bCs w:val="0"/>
        </w:rPr>
      </w:pPr>
      <w:r>
        <w:rPr>
          <w:rFonts w:ascii="宋体" w:hAnsi="宋体" w:cs="宋体" w:eastAsia="宋体" w:hint="default"/>
        </w:rPr>
        <w:t>6</w:t>
      </w:r>
      <w:r>
        <w:rPr/>
        <w:t>、</w:t>
      </w:r>
      <w:r>
        <w:rPr>
          <w:spacing w:val="-3"/>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5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left="158" w:right="0"/>
        <w:jc w:val="both"/>
        <w:rPr>
          <w:rFonts w:ascii="宋体" w:hAnsi="宋体" w:cs="宋体" w:eastAsia="宋体" w:hint="default"/>
          <w:b w:val="0"/>
          <w:bCs w:val="0"/>
        </w:rPr>
      </w:pPr>
      <w:r>
        <w:rPr>
          <w:spacing w:val="-1"/>
        </w:rPr>
        <w:t>十、</w:t>
      </w:r>
      <w:r>
        <w:rPr>
          <w:spacing w:val="-94"/>
        </w:rPr>
        <w:t> </w:t>
      </w:r>
      <w:r>
        <w:rPr>
          <w:rFonts w:ascii="宋体" w:hAnsi="宋体" w:cs="宋体" w:eastAsia="宋体" w:hint="default"/>
          <w:spacing w:val="-94"/>
        </w:rPr>
      </w:r>
      <w:r>
        <w:rPr>
          <w:spacing w:val="-1"/>
        </w:rPr>
        <w:t>与金融工具相关的风险</w:t>
      </w:r>
      <w:r>
        <w:rPr>
          <w:rFonts w:ascii="宋体" w:hAnsi="宋体" w:cs="宋体" w:eastAsia="宋体" w:hint="default"/>
          <w:w w:val="99"/>
        </w:rPr>
        <w:t> </w:t>
      </w:r>
      <w:r>
        <w:rPr>
          <w:rFonts w:ascii="宋体" w:hAnsi="宋体" w:cs="宋体" w:eastAsia="宋体" w:hint="default"/>
          <w:b w:val="0"/>
          <w:bCs w:val="0"/>
        </w:rPr>
      </w:r>
    </w:p>
    <w:p>
      <w:pPr>
        <w:pStyle w:val="BodyText"/>
        <w:spacing w:line="278" w:lineRule="auto" w:before="56"/>
        <w:ind w:left="57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本集团从事风险管理的目标是在风险和收益之间取得适当的平衡，将风险对本集团经营业绩</w:t>
      </w:r>
    </w:p>
    <w:p>
      <w:pPr>
        <w:pStyle w:val="BodyText"/>
        <w:spacing w:line="280" w:lineRule="auto" w:before="10"/>
        <w:ind w:left="158" w:right="217"/>
        <w:jc w:val="both"/>
        <w:rPr>
          <w:rFonts w:ascii="宋体" w:hAnsi="宋体" w:cs="宋体" w:eastAsia="宋体" w:hint="default"/>
        </w:rPr>
      </w:pPr>
      <w:r>
        <w:rPr>
          <w:spacing w:val="-2"/>
        </w:rPr>
        <w:t>的负面影响降低到最低水平，使股东及其其他权益投资者的利益最大化。基于该风险管理目标，</w:t>
      </w:r>
      <w:r>
        <w:rPr>
          <w:spacing w:val="-25"/>
        </w:rPr>
        <w:t> </w:t>
      </w:r>
      <w:r>
        <w:rPr>
          <w:spacing w:val="-25"/>
        </w:rPr>
      </w:r>
      <w:r>
        <w:rPr>
          <w:spacing w:val="-2"/>
        </w:rPr>
        <w:t>本集团风险管理的基本策略是确定和分析本集团所面临的各种风险，建立适当的风险承受底线和</w:t>
      </w:r>
      <w:r>
        <w:rPr>
          <w:spacing w:val="-25"/>
        </w:rPr>
        <w:t> </w:t>
      </w:r>
      <w:r>
        <w:rPr>
          <w:spacing w:val="-25"/>
        </w:rPr>
      </w:r>
      <w:r>
        <w:rPr/>
        <w:t>进行风险管理，并及时可靠地对各种风险进行监督，将风险控制在限定的范围之内。</w:t>
      </w:r>
      <w:r>
        <w:rPr>
          <w:rFonts w:ascii="宋体" w:hAnsi="宋体" w:cs="宋体" w:eastAsia="宋体" w:hint="default"/>
        </w:rPr>
        <w:t> </w:t>
      </w:r>
    </w:p>
    <w:p>
      <w:pPr>
        <w:pStyle w:val="BodyText"/>
        <w:spacing w:line="278" w:lineRule="auto" w:before="8"/>
        <w:ind w:left="578" w:right="0" w:firstLine="2"/>
        <w:jc w:val="left"/>
      </w:pPr>
      <w:r>
        <w:rPr>
          <w:rFonts w:ascii="宋体" w:hAnsi="宋体" w:cs="宋体" w:eastAsia="宋体" w:hint="default"/>
          <w:b/>
          <w:bCs/>
        </w:rPr>
        <w:t>1.</w:t>
      </w:r>
      <w:r>
        <w:rPr>
          <w:rFonts w:ascii="宋体" w:hAnsi="宋体" w:cs="宋体" w:eastAsia="宋体" w:hint="default"/>
          <w:b/>
          <w:bCs/>
        </w:rPr>
        <w:t>市场风险</w:t>
      </w:r>
      <w:r>
        <w:rPr>
          <w:rFonts w:ascii="宋体" w:hAnsi="宋体" w:cs="宋体" w:eastAsia="宋体" w:hint="default"/>
          <w:b/>
          <w:bCs/>
          <w:w w:val="99"/>
        </w:rPr>
        <w:t> </w:t>
      </w:r>
      <w:r>
        <w:rPr>
          <w:spacing w:val="-2"/>
        </w:rPr>
        <w:t>市场风险，是指金融工具的公允价值或未来现金流量因市场价格变动而发生波动的风险。市</w:t>
      </w:r>
    </w:p>
    <w:p>
      <w:pPr>
        <w:pStyle w:val="BodyText"/>
        <w:spacing w:line="240" w:lineRule="auto" w:before="13"/>
        <w:ind w:left="158" w:right="0"/>
        <w:jc w:val="both"/>
        <w:rPr>
          <w:rFonts w:ascii="宋体" w:hAnsi="宋体" w:cs="宋体" w:eastAsia="宋体" w:hint="default"/>
        </w:rPr>
      </w:pPr>
      <w:r>
        <w:rPr/>
        <w:t>场风险主要包括利率风险、汇率风险和其他价格风险。</w:t>
      </w:r>
      <w:r>
        <w:rPr>
          <w:rFonts w:ascii="宋体" w:hAnsi="宋体" w:cs="宋体" w:eastAsia="宋体" w:hint="default"/>
        </w:rPr>
        <w:t> </w:t>
      </w:r>
    </w:p>
    <w:p>
      <w:pPr>
        <w:pStyle w:val="BodyText"/>
        <w:spacing w:line="264" w:lineRule="auto" w:before="44"/>
        <w:ind w:left="578" w:right="0"/>
        <w:jc w:val="left"/>
      </w:pPr>
      <w:r>
        <w:rPr/>
        <w:t>（</w:t>
      </w:r>
      <w:r>
        <w:rPr>
          <w:rFonts w:ascii="Arial" w:hAnsi="Arial" w:cs="Arial" w:eastAsia="Arial" w:hint="default"/>
        </w:rPr>
        <w:t>1</w:t>
      </w:r>
      <w:r>
        <w:rPr/>
        <w:t>）利率风险</w:t>
      </w:r>
      <w:r>
        <w:rPr>
          <w:w w:val="100"/>
        </w:rPr>
        <w:t> </w:t>
      </w:r>
      <w:r>
        <w:rPr>
          <w:spacing w:val="-2"/>
        </w:rPr>
        <w:t>利率风险，是指金融工具的公允价值或未来现金流量因市场利率变动而发生波动的风险。固</w:t>
      </w:r>
    </w:p>
    <w:p>
      <w:pPr>
        <w:pStyle w:val="BodyText"/>
        <w:spacing w:line="280" w:lineRule="auto" w:before="25"/>
        <w:ind w:left="158" w:right="217"/>
        <w:jc w:val="both"/>
        <w:rPr>
          <w:rFonts w:ascii="宋体" w:hAnsi="宋体" w:cs="宋体" w:eastAsia="宋体" w:hint="default"/>
        </w:rPr>
      </w:pPr>
      <w:r>
        <w:rPr>
          <w:spacing w:val="-2"/>
        </w:rPr>
        <w:t>定利率的带息金融工具使本公司面临公允价值利率风险，浮动利率的带息金融工具使本公司面临</w:t>
      </w:r>
      <w:r>
        <w:rPr>
          <w:spacing w:val="-25"/>
        </w:rPr>
        <w:t> </w:t>
      </w:r>
      <w:r>
        <w:rPr>
          <w:spacing w:val="-25"/>
        </w:rPr>
      </w:r>
      <w:r>
        <w:rPr>
          <w:spacing w:val="-2"/>
        </w:rPr>
        <w:t>现金流量利率风险。本集团根据市场环境来决定固定利率与浮动利率金融工具的比例，并通过定</w:t>
      </w:r>
      <w:r>
        <w:rPr>
          <w:spacing w:val="-25"/>
        </w:rPr>
        <w:t> </w:t>
      </w:r>
      <w:r>
        <w:rPr>
          <w:spacing w:val="-25"/>
        </w:rPr>
      </w:r>
      <w:r>
        <w:rPr>
          <w:spacing w:val="-2"/>
        </w:rPr>
        <w:t>期审阅与监控维持适当的金融工具组合。本集团面临的现金流量利率风险主要与本集团以浮动利</w:t>
      </w:r>
      <w:r>
        <w:rPr>
          <w:spacing w:val="-25"/>
        </w:rPr>
        <w:t> </w:t>
      </w:r>
      <w:r>
        <w:rPr>
          <w:spacing w:val="-25"/>
        </w:rPr>
      </w:r>
      <w:r>
        <w:rPr/>
        <w:t>率计息的短期理财产品（详见本附注七、</w:t>
      </w:r>
      <w:r>
        <w:rPr>
          <w:rFonts w:ascii="Arial" w:hAnsi="Arial" w:cs="Arial" w:eastAsia="Arial" w:hint="default"/>
        </w:rPr>
        <w:t>2</w:t>
      </w:r>
      <w:r>
        <w:rPr/>
        <w:t>）有关。</w:t>
      </w:r>
      <w:r>
        <w:rPr>
          <w:rFonts w:ascii="宋体" w:hAnsi="宋体" w:cs="宋体" w:eastAsia="宋体" w:hint="default"/>
        </w:rPr>
        <w:t> </w:t>
      </w:r>
    </w:p>
    <w:p>
      <w:pPr>
        <w:pStyle w:val="BodyText"/>
        <w:spacing w:line="278" w:lineRule="auto"/>
        <w:ind w:left="578" w:right="3921"/>
        <w:jc w:val="left"/>
        <w:rPr>
          <w:rFonts w:ascii="宋体" w:hAnsi="宋体" w:cs="宋体" w:eastAsia="宋体" w:hint="default"/>
        </w:rPr>
      </w:pPr>
      <w:r>
        <w:rPr/>
        <w:t>利率风险敏感性分析：</w:t>
      </w:r>
      <w:r>
        <w:rPr>
          <w:rFonts w:ascii="宋体" w:hAnsi="宋体" w:cs="宋体" w:eastAsia="宋体" w:hint="default"/>
          <w:w w:val="100"/>
        </w:rPr>
        <w:t> </w:t>
      </w:r>
      <w:r>
        <w:rPr/>
        <w:t>利率风险敏感性分析基于下述假设：</w:t>
      </w:r>
      <w:r>
        <w:rPr>
          <w:rFonts w:ascii="宋体" w:hAnsi="宋体" w:cs="宋体" w:eastAsia="宋体" w:hint="default"/>
        </w:rPr>
        <w:t> </w:t>
      </w:r>
    </w:p>
    <w:p>
      <w:pPr>
        <w:pStyle w:val="BodyText"/>
        <w:spacing w:line="240" w:lineRule="auto" w:before="13"/>
        <w:ind w:left="578" w:right="0"/>
        <w:jc w:val="left"/>
        <w:rPr>
          <w:rFonts w:ascii="宋体" w:hAnsi="宋体" w:cs="宋体" w:eastAsia="宋体" w:hint="default"/>
        </w:rPr>
      </w:pPr>
      <w:r>
        <w:rPr/>
        <w:t>①市场利率变化影响可变利率金融工具的利息收入或费用；</w:t>
      </w:r>
      <w:r>
        <w:rPr>
          <w:rFonts w:ascii="宋体" w:hAnsi="宋体" w:cs="宋体" w:eastAsia="宋体" w:hint="default"/>
        </w:rPr>
        <w:t> </w:t>
      </w:r>
    </w:p>
    <w:p>
      <w:pPr>
        <w:pStyle w:val="BodyText"/>
        <w:spacing w:line="240" w:lineRule="auto" w:before="44"/>
        <w:ind w:left="578" w:right="0"/>
        <w:jc w:val="left"/>
        <w:rPr>
          <w:rFonts w:ascii="宋体" w:hAnsi="宋体" w:cs="宋体" w:eastAsia="宋体" w:hint="default"/>
        </w:rPr>
      </w:pPr>
      <w:r>
        <w:rPr/>
        <w:t>②对于以公允价值计量的固定利率金融工具，市场利率变化仅仅影响其利息收入或费用；</w:t>
      </w:r>
      <w:r>
        <w:rPr>
          <w:rFonts w:ascii="宋体" w:hAnsi="宋体" w:cs="宋体" w:eastAsia="宋体" w:hint="default"/>
        </w:rPr>
        <w:t> </w:t>
      </w:r>
    </w:p>
    <w:p>
      <w:pPr>
        <w:pStyle w:val="BodyText"/>
        <w:spacing w:line="280" w:lineRule="auto" w:before="44"/>
        <w:ind w:left="158" w:right="0" w:firstLine="419"/>
        <w:jc w:val="left"/>
        <w:rPr>
          <w:rFonts w:ascii="宋体" w:hAnsi="宋体" w:cs="宋体" w:eastAsia="宋体" w:hint="default"/>
        </w:rPr>
      </w:pPr>
      <w:r>
        <w:rPr>
          <w:spacing w:val="-2"/>
        </w:rPr>
        <w:t>③对于指定为套期工具的衍生金融工具，市场利率变化影响其公允价值，并且所有利率套期</w:t>
      </w:r>
      <w:r>
        <w:rPr>
          <w:w w:val="100"/>
        </w:rPr>
        <w:t> </w:t>
      </w:r>
      <w:r>
        <w:rPr/>
        <w:t>预计都是高度有效的；</w:t>
      </w:r>
      <w:r>
        <w:rPr>
          <w:rFonts w:ascii="宋体" w:hAnsi="宋体" w:cs="宋体" w:eastAsia="宋体" w:hint="default"/>
        </w:rPr>
        <w:t> </w:t>
      </w:r>
    </w:p>
    <w:p>
      <w:pPr>
        <w:spacing w:after="0" w:line="280" w:lineRule="auto"/>
        <w:jc w:val="left"/>
        <w:rPr>
          <w:rFonts w:ascii="宋体" w:hAnsi="宋体" w:cs="宋体" w:eastAsia="宋体" w:hint="default"/>
        </w:rPr>
        <w:sectPr>
          <w:type w:val="continuous"/>
          <w:pgSz w:w="11910" w:h="16840"/>
          <w:pgMar w:top="1360" w:bottom="1380" w:left="1640" w:right="1060"/>
        </w:sectPr>
      </w:pPr>
    </w:p>
    <w:p>
      <w:pPr>
        <w:spacing w:line="240" w:lineRule="auto" w:before="12"/>
        <w:rPr>
          <w:rFonts w:ascii="宋体" w:hAnsi="宋体" w:cs="宋体" w:eastAsia="宋体" w:hint="default"/>
          <w:sz w:val="9"/>
          <w:szCs w:val="9"/>
        </w:rPr>
      </w:pPr>
    </w:p>
    <w:p>
      <w:pPr>
        <w:pStyle w:val="BodyText"/>
        <w:spacing w:line="280" w:lineRule="auto" w:before="36"/>
        <w:ind w:left="158" w:right="217" w:firstLine="419"/>
        <w:jc w:val="both"/>
        <w:rPr>
          <w:rFonts w:ascii="宋体" w:hAnsi="宋体" w:cs="宋体" w:eastAsia="宋体" w:hint="default"/>
        </w:rPr>
      </w:pPr>
      <w:r>
        <w:rPr>
          <w:spacing w:val="-2"/>
        </w:rPr>
        <w:t>④以资产负债表日市场利率采用现金流量折现法计算衍生金融工具及其他金融资产和负债的</w:t>
      </w:r>
      <w:r>
        <w:rPr>
          <w:w w:val="100"/>
        </w:rPr>
        <w:t> </w:t>
      </w:r>
      <w:r>
        <w:rPr/>
        <w:t>公允价值变化。</w:t>
      </w:r>
      <w:r>
        <w:rPr>
          <w:rFonts w:ascii="宋体" w:hAnsi="宋体" w:cs="宋体" w:eastAsia="宋体" w:hint="default"/>
        </w:rPr>
        <w:t> </w:t>
      </w:r>
    </w:p>
    <w:p>
      <w:pPr>
        <w:pStyle w:val="BodyText"/>
        <w:spacing w:line="273" w:lineRule="auto" w:before="8"/>
        <w:ind w:left="578" w:right="0"/>
        <w:jc w:val="left"/>
      </w:pPr>
      <w:r>
        <w:rPr/>
        <w:t>（</w:t>
      </w:r>
      <w:r>
        <w:rPr>
          <w:rFonts w:ascii="Arial" w:hAnsi="Arial" w:cs="Arial" w:eastAsia="Arial" w:hint="default"/>
        </w:rPr>
        <w:t>2</w:t>
      </w:r>
      <w:r>
        <w:rPr/>
        <w:t>）汇率风险</w:t>
      </w:r>
      <w:r>
        <w:rPr>
          <w:w w:val="100"/>
        </w:rPr>
        <w:t> </w:t>
      </w:r>
      <w:r>
        <w:rPr>
          <w:spacing w:val="-2"/>
        </w:rPr>
        <w:t>汇率风险，是指金融工具的公允价值或未来现金流量因外汇汇率变动而发生波动的风险。</w:t>
      </w:r>
      <w:r>
        <w:rPr>
          <w:spacing w:val="-31"/>
        </w:rPr>
        <w:t> </w:t>
      </w:r>
      <w:r>
        <w:rPr>
          <w:spacing w:val="-31"/>
        </w:rPr>
      </w:r>
      <w:r>
        <w:rPr/>
        <w:t>根据公司的实际经营业务，无需要披露的汇率风险。</w:t>
      </w:r>
    </w:p>
    <w:p>
      <w:pPr>
        <w:pStyle w:val="BodyText"/>
        <w:spacing w:line="273" w:lineRule="auto" w:before="15"/>
        <w:ind w:left="578" w:right="3128"/>
        <w:jc w:val="left"/>
        <w:rPr>
          <w:rFonts w:ascii="宋体" w:hAnsi="宋体" w:cs="宋体" w:eastAsia="宋体" w:hint="default"/>
        </w:rPr>
      </w:pPr>
      <w:r>
        <w:rPr/>
        <w:t>（</w:t>
      </w:r>
      <w:r>
        <w:rPr>
          <w:rFonts w:ascii="Arial" w:hAnsi="Arial" w:cs="Arial" w:eastAsia="Arial" w:hint="default"/>
        </w:rPr>
        <w:t>3</w:t>
      </w:r>
      <w:r>
        <w:rPr/>
        <w:t>）其他价格风险</w:t>
      </w:r>
      <w:r>
        <w:rPr>
          <w:w w:val="100"/>
        </w:rPr>
        <w:t> </w:t>
      </w:r>
      <w:r>
        <w:rPr>
          <w:spacing w:val="-2"/>
        </w:rPr>
        <w:t>根据公司的实际经营业务，无其他需要披露的价格风险。</w:t>
      </w:r>
      <w:r>
        <w:rPr>
          <w:spacing w:val="-55"/>
        </w:rPr>
        <w:t> </w:t>
      </w:r>
      <w:r>
        <w:rPr>
          <w:spacing w:val="-55"/>
        </w:rPr>
      </w:r>
      <w:r>
        <w:rPr>
          <w:rFonts w:ascii="宋体" w:hAnsi="宋体" w:cs="宋体" w:eastAsia="宋体" w:hint="default"/>
          <w:b/>
          <w:bCs/>
        </w:rPr>
        <w:t>2.</w:t>
      </w:r>
      <w:r>
        <w:rPr>
          <w:rFonts w:ascii="宋体" w:hAnsi="宋体" w:cs="宋体" w:eastAsia="宋体" w:hint="default"/>
          <w:b/>
          <w:bCs/>
        </w:rPr>
        <w:t>信用风险</w:t>
      </w:r>
      <w:r>
        <w:rPr>
          <w:rFonts w:ascii="宋体" w:hAnsi="宋体" w:cs="宋体" w:eastAsia="宋体" w:hint="default"/>
          <w:b/>
          <w:bCs/>
          <w:w w:val="99"/>
        </w:rPr>
        <w:t> </w:t>
      </w:r>
      <w:r>
        <w:rPr>
          <w:rFonts w:ascii="宋体" w:hAnsi="宋体" w:cs="宋体" w:eastAsia="宋体" w:hint="default"/>
        </w:rPr>
      </w:r>
    </w:p>
    <w:p>
      <w:pPr>
        <w:pStyle w:val="BodyText"/>
        <w:spacing w:line="240" w:lineRule="auto" w:before="15"/>
        <w:ind w:left="578" w:right="0"/>
        <w:jc w:val="left"/>
      </w:pPr>
      <w:r>
        <w:rPr/>
        <w:t>信用风险，是指金融工具的一方不能履行义务，造成另一方发生财务损失的风险。</w:t>
      </w:r>
    </w:p>
    <w:p>
      <w:pPr>
        <w:pStyle w:val="BodyText"/>
        <w:spacing w:line="266" w:lineRule="auto" w:before="44"/>
        <w:ind w:left="158" w:right="282" w:firstLine="419"/>
        <w:jc w:val="both"/>
      </w:pPr>
      <w:r>
        <w:rPr>
          <w:rFonts w:ascii="Arial" w:hAnsi="Arial" w:cs="Arial" w:eastAsia="Arial" w:hint="default"/>
        </w:rPr>
        <w:t>2019</w:t>
      </w:r>
      <w:r>
        <w:rPr>
          <w:rFonts w:ascii="Arial" w:hAnsi="Arial" w:cs="Arial" w:eastAsia="Arial" w:hint="default"/>
          <w:spacing w:val="-8"/>
        </w:rPr>
        <w:t> </w:t>
      </w:r>
      <w:r>
        <w:rPr/>
        <w:t>年</w:t>
      </w:r>
      <w:r>
        <w:rPr>
          <w:spacing w:val="-53"/>
        </w:rPr>
        <w:t> </w:t>
      </w:r>
      <w:r>
        <w:rPr>
          <w:rFonts w:ascii="Arial" w:hAnsi="Arial" w:cs="Arial" w:eastAsia="Arial" w:hint="default"/>
        </w:rPr>
        <w:t>12</w:t>
      </w:r>
      <w:r>
        <w:rPr>
          <w:rFonts w:ascii="Arial" w:hAnsi="Arial" w:cs="Arial" w:eastAsia="Arial" w:hint="default"/>
          <w:spacing w:val="-6"/>
        </w:rPr>
        <w:t> </w:t>
      </w:r>
      <w:r>
        <w:rPr/>
        <w:t>月</w:t>
      </w:r>
      <w:r>
        <w:rPr>
          <w:spacing w:val="-55"/>
        </w:rPr>
        <w:t> </w:t>
      </w:r>
      <w:r>
        <w:rPr>
          <w:rFonts w:ascii="Arial" w:hAnsi="Arial" w:cs="Arial" w:eastAsia="Arial" w:hint="default"/>
        </w:rPr>
        <w:t>31</w:t>
      </w:r>
      <w:r>
        <w:rPr>
          <w:rFonts w:ascii="Arial" w:hAnsi="Arial" w:cs="Arial" w:eastAsia="Arial" w:hint="default"/>
          <w:spacing w:val="-8"/>
        </w:rPr>
        <w:t> </w:t>
      </w:r>
      <w:r>
        <w:rPr/>
        <w:t>日，可能引起本集团财务损失的最大信用风险敞口主要来自于合同另一方</w:t>
      </w:r>
      <w:r>
        <w:rPr>
          <w:w w:val="100"/>
        </w:rPr>
        <w:t> </w:t>
      </w:r>
      <w:r>
        <w:rPr/>
        <w:t>未能履行义务而导致本集团金融资产产生的损失，具体包括：</w:t>
      </w:r>
    </w:p>
    <w:p>
      <w:pPr>
        <w:pStyle w:val="BodyText"/>
        <w:spacing w:line="278" w:lineRule="auto" w:before="22"/>
        <w:ind w:left="158" w:right="217" w:firstLine="419"/>
        <w:jc w:val="both"/>
      </w:pPr>
      <w:r>
        <w:rPr>
          <w:spacing w:val="-2"/>
        </w:rPr>
        <w:t>为降低信用风险，本集团成立了一个小组负责确定信用额度、进行信用审批，并执行其他监</w:t>
      </w:r>
      <w:r>
        <w:rPr>
          <w:w w:val="100"/>
        </w:rPr>
        <w:t> </w:t>
      </w:r>
      <w:r>
        <w:rPr>
          <w:spacing w:val="-2"/>
        </w:rPr>
        <w:t>控程序以确保采取必要的措施回收过期债权。此外，本集团于每个资产负债表日审核每一单项应</w:t>
      </w:r>
      <w:r>
        <w:rPr>
          <w:spacing w:val="-25"/>
        </w:rPr>
        <w:t> </w:t>
      </w:r>
      <w:r>
        <w:rPr>
          <w:spacing w:val="-25"/>
        </w:rPr>
      </w:r>
      <w:r>
        <w:rPr>
          <w:spacing w:val="-2"/>
        </w:rPr>
        <w:t>收款的回收情况，以确保就无法回收的款项计提充分的坏账准备。因此，本集团管理层认为本公</w:t>
      </w:r>
      <w:r>
        <w:rPr>
          <w:spacing w:val="-25"/>
        </w:rPr>
        <w:t> </w:t>
      </w:r>
      <w:r>
        <w:rPr>
          <w:spacing w:val="-25"/>
        </w:rPr>
      </w:r>
      <w:r>
        <w:rPr/>
        <w:t>司所承担的信用风险已经大为降低。</w:t>
      </w:r>
    </w:p>
    <w:p>
      <w:pPr>
        <w:pStyle w:val="BodyText"/>
        <w:spacing w:line="280" w:lineRule="auto" w:before="10"/>
        <w:ind w:left="578" w:right="217"/>
        <w:jc w:val="left"/>
      </w:pPr>
      <w:r>
        <w:rPr/>
        <w:t>本集团的流动资金存放在信用评级较高的银行，故流动资金的信用风险较低。</w:t>
      </w:r>
      <w:r>
        <w:rPr>
          <w:rFonts w:ascii="宋体" w:hAnsi="宋体" w:cs="宋体" w:eastAsia="宋体" w:hint="default"/>
          <w:w w:val="100"/>
        </w:rPr>
        <w:t> </w:t>
      </w:r>
      <w:r>
        <w:rPr>
          <w:rFonts w:ascii="宋体" w:hAnsi="宋体" w:cs="宋体" w:eastAsia="宋体" w:hint="default"/>
          <w:w w:val="100"/>
        </w:rPr>
        <w:t>  </w:t>
      </w:r>
      <w:r>
        <w:rPr>
          <w:rFonts w:ascii="宋体" w:hAnsi="宋体" w:cs="宋体" w:eastAsia="宋体" w:hint="default"/>
          <w:b/>
          <w:bCs/>
        </w:rPr>
        <w:t>3.</w:t>
      </w:r>
      <w:r>
        <w:rPr>
          <w:rFonts w:ascii="宋体" w:hAnsi="宋体" w:cs="宋体" w:eastAsia="宋体" w:hint="default"/>
          <w:b/>
          <w:bCs/>
        </w:rPr>
        <w:t>流动风险</w:t>
      </w:r>
      <w:r>
        <w:rPr>
          <w:rFonts w:ascii="宋体" w:hAnsi="宋体" w:cs="宋体" w:eastAsia="宋体" w:hint="default"/>
          <w:b/>
          <w:bCs/>
          <w:w w:val="99"/>
        </w:rPr>
        <w:t> </w:t>
      </w:r>
      <w:r>
        <w:rPr>
          <w:spacing w:val="-2"/>
        </w:rPr>
        <w:t>管理流动风险时，本集团保持管理层认为充分的现金及现金等价物并对其进行监控，以满足</w:t>
      </w:r>
    </w:p>
    <w:p>
      <w:pPr>
        <w:pStyle w:val="BodyText"/>
        <w:spacing w:line="273" w:lineRule="auto" w:before="8"/>
        <w:ind w:left="158" w:right="0"/>
        <w:jc w:val="left"/>
      </w:pPr>
      <w:r>
        <w:rPr>
          <w:spacing w:val="-2"/>
        </w:rPr>
        <w:t>本集团经营需要，并降低现金流量波动的影响。流动性风险由本公司的财务部门集中控制。财务</w:t>
      </w:r>
      <w:r>
        <w:rPr>
          <w:spacing w:val="-26"/>
        </w:rPr>
        <w:t> </w:t>
      </w:r>
      <w:r>
        <w:rPr>
          <w:spacing w:val="-26"/>
        </w:rPr>
      </w:r>
      <w:r>
        <w:rPr/>
        <w:t>部门通过监控现金余额、可随时变现的有价证券以及对未来</w:t>
      </w:r>
      <w:r>
        <w:rPr>
          <w:spacing w:val="-55"/>
        </w:rPr>
        <w:t> </w:t>
      </w:r>
      <w:r>
        <w:rPr>
          <w:rFonts w:ascii="Arial" w:hAnsi="Arial" w:cs="Arial" w:eastAsia="Arial" w:hint="default"/>
        </w:rPr>
        <w:t>12</w:t>
      </w:r>
      <w:r>
        <w:rPr>
          <w:rFonts w:ascii="Arial" w:hAnsi="Arial" w:cs="Arial" w:eastAsia="Arial" w:hint="default"/>
          <w:spacing w:val="-8"/>
        </w:rPr>
        <w:t> </w:t>
      </w:r>
      <w:r>
        <w:rPr/>
        <w:t>个月现金流量的滚动预测，确保</w:t>
      </w:r>
      <w:r>
        <w:rPr>
          <w:w w:val="100"/>
        </w:rPr>
        <w:t> </w:t>
      </w:r>
      <w:r>
        <w:rPr/>
        <w:t>公司在所有合理预测的情况下拥有充足的资金偿还债务。</w:t>
      </w:r>
    </w:p>
    <w:p>
      <w:pPr>
        <w:pStyle w:val="Heading2"/>
        <w:spacing w:line="240" w:lineRule="auto" w:before="29"/>
        <w:ind w:left="158" w:right="0"/>
        <w:jc w:val="left"/>
        <w:rPr>
          <w:rFonts w:ascii="宋体" w:hAnsi="宋体" w:cs="宋体" w:eastAsia="宋体" w:hint="default"/>
          <w:b w:val="0"/>
          <w:bCs w:val="0"/>
        </w:rPr>
      </w:pPr>
      <w:r>
        <w:rPr/>
        <w:t>十一、</w:t>
      </w:r>
      <w:r>
        <w:rPr>
          <w:spacing w:val="100"/>
        </w:rPr>
        <w:t> </w:t>
      </w:r>
      <w:r>
        <w:rPr>
          <w:rFonts w:ascii="宋体" w:hAnsi="宋体" w:cs="宋体" w:eastAsia="宋体" w:hint="default"/>
          <w:spacing w:val="100"/>
        </w:rPr>
      </w:r>
      <w:r>
        <w:rPr/>
        <w:t>公允价值的披露</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9"/>
        <w:ind w:left="158" w:right="0"/>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spacing w:line="240" w:lineRule="auto" w:before="56"/>
        <w:ind w:left="1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0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3279;height:2" coordorigin="10,10" coordsize="3279,2">
              <v:shape style="position:absolute;left:10;top:10;width:3279;height:2" coordorigin="10,10" coordsize="3279,0" path="m10,10l3288,10e" filled="false" stroked="true" strokeweight=".95999pt" strokecolor="#41b7ee">
                <v:path arrowok="t"/>
              </v:shape>
            </v:group>
            <v:group style="position:absolute;left:3289;top:10;width:58;height:2" coordorigin="3289,10" coordsize="58,2">
              <v:shape style="position:absolute;left:3289;top:10;width:58;height:2" coordorigin="3289,10" coordsize="58,0" path="m3289,10l3346,10e" filled="false" stroked="true" strokeweight=".95999pt" strokecolor="#41b7ee">
                <v:path arrowok="t"/>
              </v:shape>
            </v:group>
            <v:group style="position:absolute;left:3346;top:10;width:5555;height:2" coordorigin="3346,10" coordsize="5555,2">
              <v:shape style="position:absolute;left:3346;top:10;width:5555;height:2" coordorigin="3346,10" coordsize="5555,0" path="m3346,10l8901,10e" filled="false" stroked="true" strokeweight=".95999pt" strokecolor="#41b7ee">
                <v:path arrowok="t"/>
              </v:shape>
            </v:group>
          </v:group>
        </w:pict>
      </w:r>
      <w:r>
        <w:rPr>
          <w:rFonts w:ascii="宋体" w:hAnsi="宋体" w:cs="宋体" w:eastAsia="宋体" w:hint="default"/>
          <w:sz w:val="2"/>
          <w:szCs w:val="2"/>
        </w:rPr>
      </w:r>
    </w:p>
    <w:tbl>
      <w:tblPr>
        <w:tblW w:w="0" w:type="auto"/>
        <w:jc w:val="left"/>
        <w:tblInd w:w="119" w:type="dxa"/>
        <w:tblLayout w:type="fixed"/>
        <w:tblCellMar>
          <w:top w:w="0" w:type="dxa"/>
          <w:left w:w="0" w:type="dxa"/>
          <w:bottom w:w="0" w:type="dxa"/>
          <w:right w:w="0" w:type="dxa"/>
        </w:tblCellMar>
        <w:tblLook w:val="01E0"/>
      </w:tblPr>
      <w:tblGrid>
        <w:gridCol w:w="3284"/>
        <w:gridCol w:w="1426"/>
        <w:gridCol w:w="1368"/>
        <w:gridCol w:w="1405"/>
        <w:gridCol w:w="1409"/>
      </w:tblGrid>
      <w:tr>
        <w:trPr>
          <w:trHeight w:val="365" w:hRule="exact"/>
        </w:trPr>
        <w:tc>
          <w:tcPr>
            <w:tcW w:w="3284" w:type="dxa"/>
            <w:vMerge w:val="restart"/>
            <w:tcBorders>
              <w:top w:val="single" w:sz="8" w:space="0" w:color="41B7EE"/>
              <w:left w:val="nil" w:sz="6" w:space="0" w:color="auto"/>
              <w:right w:val="single" w:sz="4" w:space="0" w:color="41B7EE"/>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5607" w:type="dxa"/>
            <w:gridSpan w:val="4"/>
            <w:tcBorders>
              <w:top w:val="single" w:sz="8" w:space="0" w:color="41B7EE"/>
              <w:left w:val="single" w:sz="4" w:space="0" w:color="41B7EE"/>
              <w:bottom w:val="single" w:sz="4" w:space="0" w:color="41B7EE"/>
              <w:right w:val="nil" w:sz="6" w:space="0" w:color="auto"/>
            </w:tcBorders>
          </w:tcPr>
          <w:p>
            <w:pPr>
              <w:pStyle w:val="TableParagraph"/>
              <w:spacing w:line="240" w:lineRule="auto" w:before="6"/>
              <w:ind w:left="98" w:right="0"/>
              <w:jc w:val="center"/>
              <w:rPr>
                <w:rFonts w:ascii="宋体" w:hAnsi="宋体" w:cs="宋体" w:eastAsia="宋体" w:hint="default"/>
                <w:sz w:val="21"/>
                <w:szCs w:val="21"/>
              </w:rPr>
            </w:pPr>
            <w:r>
              <w:rPr>
                <w:rFonts w:ascii="宋体" w:hAnsi="宋体" w:cs="宋体" w:eastAsia="宋体" w:hint="default"/>
                <w:sz w:val="21"/>
                <w:szCs w:val="21"/>
              </w:rPr>
              <w:t>期末公允价值</w:t>
            </w:r>
            <w:r>
              <w:rPr>
                <w:rFonts w:ascii="宋体" w:hAnsi="宋体" w:cs="宋体" w:eastAsia="宋体" w:hint="default"/>
                <w:sz w:val="21"/>
                <w:szCs w:val="21"/>
              </w:rPr>
              <w:t> </w:t>
            </w:r>
          </w:p>
        </w:tc>
      </w:tr>
      <w:tr>
        <w:trPr>
          <w:trHeight w:val="554" w:hRule="exact"/>
        </w:trPr>
        <w:tc>
          <w:tcPr>
            <w:tcW w:w="3284" w:type="dxa"/>
            <w:vMerge/>
            <w:tcBorders>
              <w:left w:val="nil" w:sz="6" w:space="0" w:color="auto"/>
              <w:bottom w:val="single" w:sz="4" w:space="0" w:color="41B7EE"/>
              <w:right w:val="single" w:sz="4" w:space="0" w:color="41B7EE"/>
            </w:tcBorders>
          </w:tcPr>
          <w:p>
            <w:pPr/>
          </w:p>
        </w:tc>
        <w:tc>
          <w:tcPr>
            <w:tcW w:w="1426" w:type="dxa"/>
            <w:tcBorders>
              <w:top w:val="single" w:sz="4" w:space="0" w:color="41B7EE"/>
              <w:left w:val="single" w:sz="4" w:space="0" w:color="41B7EE"/>
              <w:bottom w:val="single" w:sz="4" w:space="0" w:color="41B7EE"/>
              <w:right w:val="single" w:sz="4" w:space="0" w:color="41B7EE"/>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价值计量</w:t>
            </w:r>
            <w:r>
              <w:rPr>
                <w:rFonts w:ascii="宋体" w:hAnsi="宋体" w:cs="宋体" w:eastAsia="宋体" w:hint="default"/>
                <w:sz w:val="21"/>
                <w:szCs w:val="21"/>
              </w:rPr>
              <w:t> </w:t>
            </w:r>
          </w:p>
        </w:tc>
        <w:tc>
          <w:tcPr>
            <w:tcW w:w="1368" w:type="dxa"/>
            <w:tcBorders>
              <w:top w:val="single" w:sz="4" w:space="0" w:color="41B7EE"/>
              <w:left w:val="single" w:sz="4" w:space="0" w:color="41B7EE"/>
              <w:bottom w:val="single" w:sz="4" w:space="0" w:color="41B7EE"/>
              <w:right w:val="single" w:sz="4" w:space="0" w:color="41B7EE"/>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第二层次公允</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价值计量</w:t>
            </w:r>
            <w:r>
              <w:rPr>
                <w:rFonts w:ascii="宋体" w:hAnsi="宋体" w:cs="宋体" w:eastAsia="宋体" w:hint="default"/>
                <w:sz w:val="21"/>
                <w:szCs w:val="21"/>
              </w:rPr>
              <w:t> </w:t>
            </w:r>
          </w:p>
        </w:tc>
        <w:tc>
          <w:tcPr>
            <w:tcW w:w="1405" w:type="dxa"/>
            <w:tcBorders>
              <w:top w:val="single" w:sz="4" w:space="0" w:color="41B7EE"/>
              <w:left w:val="single" w:sz="4" w:space="0" w:color="41B7EE"/>
              <w:bottom w:val="single" w:sz="4" w:space="0" w:color="41B7EE"/>
              <w:right w:val="single" w:sz="4" w:space="0" w:color="41B7EE"/>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第三层次公允</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价值计量</w:t>
            </w:r>
            <w:r>
              <w:rPr>
                <w:rFonts w:ascii="宋体" w:hAnsi="宋体" w:cs="宋体" w:eastAsia="宋体" w:hint="default"/>
                <w:sz w:val="21"/>
                <w:szCs w:val="21"/>
              </w:rPr>
              <w:t> </w:t>
            </w:r>
          </w:p>
        </w:tc>
        <w:tc>
          <w:tcPr>
            <w:tcW w:w="140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02"/>
              <w:ind w:left="48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358" w:hRule="exact"/>
        </w:trPr>
        <w:tc>
          <w:tcPr>
            <w:tcW w:w="328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一、持续的公允价值计量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26" w:type="dxa"/>
            <w:tcBorders>
              <w:top w:val="single" w:sz="4" w:space="0" w:color="41B7EE"/>
              <w:left w:val="single" w:sz="4" w:space="0" w:color="41B7EE"/>
              <w:bottom w:val="single" w:sz="4" w:space="0" w:color="41B7EE"/>
              <w:right w:val="single" w:sz="4" w:space="0" w:color="41B7EE"/>
            </w:tcBorders>
          </w:tcPr>
          <w:p>
            <w:pPr/>
          </w:p>
        </w:tc>
        <w:tc>
          <w:tcPr>
            <w:tcW w:w="1368" w:type="dxa"/>
            <w:tcBorders>
              <w:top w:val="single" w:sz="4" w:space="0" w:color="41B7EE"/>
              <w:left w:val="single" w:sz="4" w:space="0" w:color="41B7EE"/>
              <w:bottom w:val="single" w:sz="4" w:space="0" w:color="41B7EE"/>
              <w:right w:val="single" w:sz="4" w:space="0" w:color="41B7EE"/>
            </w:tcBorders>
          </w:tcPr>
          <w:p>
            <w:pPr/>
          </w:p>
        </w:tc>
        <w:tc>
          <w:tcPr>
            <w:tcW w:w="140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left="31" w:right="0"/>
              <w:jc w:val="left"/>
              <w:rPr>
                <w:rFonts w:ascii="Arial" w:hAnsi="Arial" w:cs="Arial" w:eastAsia="Arial" w:hint="default"/>
                <w:sz w:val="21"/>
                <w:szCs w:val="21"/>
              </w:rPr>
            </w:pPr>
            <w:r>
              <w:rPr>
                <w:rFonts w:ascii="Arial"/>
                <w:w w:val="80"/>
                <w:sz w:val="21"/>
              </w:rPr>
              <w:t>1,414,767,142.47</w:t>
            </w:r>
            <w:r>
              <w:rPr>
                <w:rFonts w:ascii="Arial"/>
                <w:sz w:val="21"/>
              </w:rPr>
            </w:r>
          </w:p>
        </w:tc>
        <w:tc>
          <w:tcPr>
            <w:tcW w:w="140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5"/>
              <w:jc w:val="right"/>
              <w:rPr>
                <w:rFonts w:ascii="Arial" w:hAnsi="Arial" w:cs="Arial" w:eastAsia="Arial" w:hint="default"/>
                <w:sz w:val="21"/>
                <w:szCs w:val="21"/>
              </w:rPr>
            </w:pPr>
            <w:r>
              <w:rPr>
                <w:rFonts w:ascii="Arial"/>
                <w:spacing w:val="-2"/>
                <w:w w:val="80"/>
                <w:sz w:val="21"/>
              </w:rPr>
              <w:t>1,414,767,142.47</w:t>
            </w:r>
            <w:r>
              <w:rPr>
                <w:rFonts w:ascii="Arial"/>
                <w:sz w:val="21"/>
              </w:rPr>
            </w:r>
          </w:p>
        </w:tc>
      </w:tr>
      <w:tr>
        <w:trPr>
          <w:trHeight w:val="358" w:hRule="exact"/>
        </w:trPr>
        <w:tc>
          <w:tcPr>
            <w:tcW w:w="328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（一）交易性金融资产</w:t>
            </w:r>
            <w:r>
              <w:rPr>
                <w:rFonts w:ascii="宋体" w:hAnsi="宋体" w:cs="宋体" w:eastAsia="宋体" w:hint="default"/>
                <w:sz w:val="21"/>
                <w:szCs w:val="21"/>
              </w:rPr>
              <w:t> </w:t>
            </w:r>
          </w:p>
        </w:tc>
        <w:tc>
          <w:tcPr>
            <w:tcW w:w="1426" w:type="dxa"/>
            <w:tcBorders>
              <w:top w:val="single" w:sz="4" w:space="0" w:color="41B7EE"/>
              <w:left w:val="single" w:sz="4" w:space="0" w:color="41B7EE"/>
              <w:bottom w:val="single" w:sz="4" w:space="0" w:color="41B7EE"/>
              <w:right w:val="single" w:sz="4" w:space="0" w:color="41B7EE"/>
            </w:tcBorders>
          </w:tcPr>
          <w:p>
            <w:pPr/>
          </w:p>
        </w:tc>
        <w:tc>
          <w:tcPr>
            <w:tcW w:w="1368" w:type="dxa"/>
            <w:tcBorders>
              <w:top w:val="single" w:sz="4" w:space="0" w:color="41B7EE"/>
              <w:left w:val="single" w:sz="4" w:space="0" w:color="41B7EE"/>
              <w:bottom w:val="single" w:sz="4" w:space="0" w:color="41B7EE"/>
              <w:right w:val="single" w:sz="4" w:space="0" w:color="41B7EE"/>
            </w:tcBorders>
          </w:tcPr>
          <w:p>
            <w:pPr/>
          </w:p>
        </w:tc>
        <w:tc>
          <w:tcPr>
            <w:tcW w:w="140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left="31" w:right="0"/>
              <w:jc w:val="left"/>
              <w:rPr>
                <w:rFonts w:ascii="Arial" w:hAnsi="Arial" w:cs="Arial" w:eastAsia="Arial" w:hint="default"/>
                <w:sz w:val="21"/>
                <w:szCs w:val="21"/>
              </w:rPr>
            </w:pPr>
            <w:r>
              <w:rPr>
                <w:rFonts w:ascii="Arial"/>
                <w:w w:val="80"/>
                <w:sz w:val="21"/>
              </w:rPr>
              <w:t>1,403,767,138.47</w:t>
            </w:r>
            <w:r>
              <w:rPr>
                <w:rFonts w:ascii="Arial"/>
                <w:sz w:val="21"/>
              </w:rPr>
            </w:r>
          </w:p>
        </w:tc>
        <w:tc>
          <w:tcPr>
            <w:tcW w:w="140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5"/>
              <w:jc w:val="right"/>
              <w:rPr>
                <w:rFonts w:ascii="Arial" w:hAnsi="Arial" w:cs="Arial" w:eastAsia="Arial" w:hint="default"/>
                <w:sz w:val="21"/>
                <w:szCs w:val="21"/>
              </w:rPr>
            </w:pPr>
            <w:r>
              <w:rPr>
                <w:rFonts w:ascii="Arial"/>
                <w:spacing w:val="-2"/>
                <w:w w:val="80"/>
                <w:sz w:val="21"/>
              </w:rPr>
              <w:t>1,403,767,138.47</w:t>
            </w:r>
            <w:r>
              <w:rPr>
                <w:rFonts w:ascii="Arial"/>
                <w:sz w:val="21"/>
              </w:rPr>
            </w:r>
          </w:p>
        </w:tc>
      </w:tr>
      <w:tr>
        <w:trPr>
          <w:trHeight w:val="554" w:hRule="exact"/>
        </w:trPr>
        <w:tc>
          <w:tcPr>
            <w:tcW w:w="3284" w:type="dxa"/>
            <w:tcBorders>
              <w:top w:val="single" w:sz="4" w:space="0" w:color="41B7EE"/>
              <w:left w:val="nil" w:sz="6" w:space="0" w:color="auto"/>
              <w:bottom w:val="single" w:sz="4" w:space="0" w:color="41B7EE"/>
              <w:right w:val="single" w:sz="4" w:space="0" w:color="41B7EE"/>
            </w:tcBorders>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以公允价值计量且变动计入当期</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损益的金融资产</w:t>
            </w:r>
            <w:r>
              <w:rPr>
                <w:rFonts w:ascii="宋体" w:hAnsi="宋体" w:cs="宋体" w:eastAsia="宋体" w:hint="default"/>
                <w:sz w:val="21"/>
                <w:szCs w:val="21"/>
              </w:rPr>
              <w:t> </w:t>
            </w:r>
          </w:p>
        </w:tc>
        <w:tc>
          <w:tcPr>
            <w:tcW w:w="1426" w:type="dxa"/>
            <w:tcBorders>
              <w:top w:val="single" w:sz="4" w:space="0" w:color="41B7EE"/>
              <w:left w:val="single" w:sz="4" w:space="0" w:color="41B7EE"/>
              <w:bottom w:val="single" w:sz="4" w:space="0" w:color="41B7EE"/>
              <w:right w:val="single" w:sz="4" w:space="0" w:color="41B7EE"/>
            </w:tcBorders>
          </w:tcPr>
          <w:p>
            <w:pPr/>
          </w:p>
        </w:tc>
        <w:tc>
          <w:tcPr>
            <w:tcW w:w="1368" w:type="dxa"/>
            <w:tcBorders>
              <w:top w:val="single" w:sz="4" w:space="0" w:color="41B7EE"/>
              <w:left w:val="single" w:sz="4" w:space="0" w:color="41B7EE"/>
              <w:bottom w:val="single" w:sz="4" w:space="0" w:color="41B7EE"/>
              <w:right w:val="single" w:sz="4" w:space="0" w:color="41B7EE"/>
            </w:tcBorders>
          </w:tcPr>
          <w:p>
            <w:pPr/>
          </w:p>
        </w:tc>
        <w:tc>
          <w:tcPr>
            <w:tcW w:w="140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left="31" w:right="0"/>
              <w:jc w:val="left"/>
              <w:rPr>
                <w:rFonts w:ascii="Arial" w:hAnsi="Arial" w:cs="Arial" w:eastAsia="Arial" w:hint="default"/>
                <w:sz w:val="21"/>
                <w:szCs w:val="21"/>
              </w:rPr>
            </w:pPr>
            <w:r>
              <w:rPr>
                <w:rFonts w:ascii="Arial"/>
                <w:w w:val="80"/>
                <w:sz w:val="21"/>
              </w:rPr>
              <w:t>1,403,767,138.47</w:t>
            </w:r>
            <w:r>
              <w:rPr>
                <w:rFonts w:ascii="Arial"/>
                <w:sz w:val="21"/>
              </w:rPr>
            </w:r>
          </w:p>
        </w:tc>
        <w:tc>
          <w:tcPr>
            <w:tcW w:w="140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6"/>
              <w:ind w:right="25"/>
              <w:jc w:val="right"/>
              <w:rPr>
                <w:rFonts w:ascii="Arial" w:hAnsi="Arial" w:cs="Arial" w:eastAsia="Arial" w:hint="default"/>
                <w:sz w:val="21"/>
                <w:szCs w:val="21"/>
              </w:rPr>
            </w:pPr>
            <w:r>
              <w:rPr>
                <w:rFonts w:ascii="Arial"/>
                <w:spacing w:val="-2"/>
                <w:w w:val="80"/>
                <w:sz w:val="21"/>
              </w:rPr>
              <w:t>1,403,767,138.47</w:t>
            </w:r>
            <w:r>
              <w:rPr>
                <w:rFonts w:ascii="Arial"/>
                <w:sz w:val="21"/>
              </w:rPr>
            </w:r>
          </w:p>
        </w:tc>
      </w:tr>
      <w:tr>
        <w:trPr>
          <w:trHeight w:val="555" w:hRule="exact"/>
        </w:trPr>
        <w:tc>
          <w:tcPr>
            <w:tcW w:w="3284" w:type="dxa"/>
            <w:tcBorders>
              <w:top w:val="single" w:sz="4" w:space="0" w:color="41B7EE"/>
              <w:left w:val="nil" w:sz="6" w:space="0" w:color="auto"/>
              <w:bottom w:val="single" w:sz="4" w:space="0" w:color="41B7EE"/>
              <w:right w:val="single" w:sz="4" w:space="0" w:color="41B7EE"/>
            </w:tcBorders>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指定以公允价值计量且其变动</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426" w:type="dxa"/>
            <w:tcBorders>
              <w:top w:val="single" w:sz="4" w:space="0" w:color="41B7EE"/>
              <w:left w:val="single" w:sz="4" w:space="0" w:color="41B7EE"/>
              <w:bottom w:val="single" w:sz="4" w:space="0" w:color="41B7EE"/>
              <w:right w:val="single" w:sz="4" w:space="0" w:color="41B7EE"/>
            </w:tcBorders>
          </w:tcPr>
          <w:p>
            <w:pPr/>
          </w:p>
        </w:tc>
        <w:tc>
          <w:tcPr>
            <w:tcW w:w="1368" w:type="dxa"/>
            <w:tcBorders>
              <w:top w:val="single" w:sz="4" w:space="0" w:color="41B7EE"/>
              <w:left w:val="single" w:sz="4" w:space="0" w:color="41B7EE"/>
              <w:bottom w:val="single" w:sz="4" w:space="0" w:color="41B7EE"/>
              <w:right w:val="single" w:sz="4" w:space="0" w:color="41B7EE"/>
            </w:tcBorders>
          </w:tcPr>
          <w:p>
            <w:pPr/>
          </w:p>
        </w:tc>
        <w:tc>
          <w:tcPr>
            <w:tcW w:w="1405" w:type="dxa"/>
            <w:tcBorders>
              <w:top w:val="single" w:sz="4" w:space="0" w:color="41B7EE"/>
              <w:left w:val="single" w:sz="4" w:space="0" w:color="41B7EE"/>
              <w:bottom w:val="single" w:sz="4" w:space="0" w:color="41B7EE"/>
              <w:right w:val="single" w:sz="4" w:space="0" w:color="41B7EE"/>
            </w:tcBorders>
          </w:tcPr>
          <w:p>
            <w:pPr/>
          </w:p>
        </w:tc>
        <w:tc>
          <w:tcPr>
            <w:tcW w:w="1409"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28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（二）其他债权投资</w:t>
            </w:r>
            <w:r>
              <w:rPr>
                <w:rFonts w:ascii="宋体" w:hAnsi="宋体" w:cs="宋体" w:eastAsia="宋体" w:hint="default"/>
                <w:sz w:val="21"/>
                <w:szCs w:val="21"/>
              </w:rPr>
              <w:t> </w:t>
            </w:r>
          </w:p>
        </w:tc>
        <w:tc>
          <w:tcPr>
            <w:tcW w:w="1426" w:type="dxa"/>
            <w:tcBorders>
              <w:top w:val="single" w:sz="4" w:space="0" w:color="41B7EE"/>
              <w:left w:val="single" w:sz="4" w:space="0" w:color="41B7EE"/>
              <w:bottom w:val="single" w:sz="4" w:space="0" w:color="41B7EE"/>
              <w:right w:val="single" w:sz="4" w:space="0" w:color="41B7EE"/>
            </w:tcBorders>
          </w:tcPr>
          <w:p>
            <w:pPr/>
          </w:p>
        </w:tc>
        <w:tc>
          <w:tcPr>
            <w:tcW w:w="1368" w:type="dxa"/>
            <w:tcBorders>
              <w:top w:val="single" w:sz="4" w:space="0" w:color="41B7EE"/>
              <w:left w:val="single" w:sz="4" w:space="0" w:color="41B7EE"/>
              <w:bottom w:val="single" w:sz="4" w:space="0" w:color="41B7EE"/>
              <w:right w:val="single" w:sz="4" w:space="0" w:color="41B7EE"/>
            </w:tcBorders>
          </w:tcPr>
          <w:p>
            <w:pPr/>
          </w:p>
        </w:tc>
        <w:tc>
          <w:tcPr>
            <w:tcW w:w="1405" w:type="dxa"/>
            <w:tcBorders>
              <w:top w:val="single" w:sz="4" w:space="0" w:color="41B7EE"/>
              <w:left w:val="single" w:sz="4" w:space="0" w:color="41B7EE"/>
              <w:bottom w:val="single" w:sz="4" w:space="0" w:color="41B7EE"/>
              <w:right w:val="single" w:sz="4" w:space="0" w:color="41B7EE"/>
            </w:tcBorders>
          </w:tcPr>
          <w:p>
            <w:pPr/>
          </w:p>
        </w:tc>
        <w:tc>
          <w:tcPr>
            <w:tcW w:w="1409" w:type="dxa"/>
            <w:tcBorders>
              <w:top w:val="single" w:sz="4" w:space="0" w:color="41B7EE"/>
              <w:left w:val="single" w:sz="4" w:space="0" w:color="41B7EE"/>
              <w:bottom w:val="single" w:sz="4" w:space="0" w:color="41B7EE"/>
              <w:right w:val="nil" w:sz="6" w:space="0" w:color="auto"/>
            </w:tcBorders>
          </w:tcPr>
          <w:p>
            <w:pPr/>
          </w:p>
        </w:tc>
      </w:tr>
      <w:tr>
        <w:trPr>
          <w:trHeight w:val="355" w:hRule="exact"/>
        </w:trPr>
        <w:tc>
          <w:tcPr>
            <w:tcW w:w="328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（三）其他权益工具投资</w:t>
            </w:r>
            <w:r>
              <w:rPr>
                <w:rFonts w:ascii="宋体" w:hAnsi="宋体" w:cs="宋体" w:eastAsia="宋体" w:hint="default"/>
                <w:sz w:val="21"/>
                <w:szCs w:val="21"/>
              </w:rPr>
              <w:t> </w:t>
            </w:r>
          </w:p>
        </w:tc>
        <w:tc>
          <w:tcPr>
            <w:tcW w:w="1426" w:type="dxa"/>
            <w:tcBorders>
              <w:top w:val="single" w:sz="4" w:space="0" w:color="41B7EE"/>
              <w:left w:val="single" w:sz="4" w:space="0" w:color="41B7EE"/>
              <w:bottom w:val="single" w:sz="4" w:space="0" w:color="41B7EE"/>
              <w:right w:val="single" w:sz="4" w:space="0" w:color="41B7EE"/>
            </w:tcBorders>
          </w:tcPr>
          <w:p>
            <w:pPr/>
          </w:p>
        </w:tc>
        <w:tc>
          <w:tcPr>
            <w:tcW w:w="1368" w:type="dxa"/>
            <w:tcBorders>
              <w:top w:val="single" w:sz="4" w:space="0" w:color="41B7EE"/>
              <w:left w:val="single" w:sz="4" w:space="0" w:color="41B7EE"/>
              <w:bottom w:val="single" w:sz="4" w:space="0" w:color="41B7EE"/>
              <w:right w:val="single" w:sz="4" w:space="0" w:color="41B7EE"/>
            </w:tcBorders>
          </w:tcPr>
          <w:p>
            <w:pPr/>
          </w:p>
        </w:tc>
        <w:tc>
          <w:tcPr>
            <w:tcW w:w="140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left="271" w:right="0"/>
              <w:jc w:val="left"/>
              <w:rPr>
                <w:rFonts w:ascii="Arial" w:hAnsi="Arial" w:cs="Arial" w:eastAsia="Arial" w:hint="default"/>
                <w:sz w:val="21"/>
                <w:szCs w:val="21"/>
              </w:rPr>
            </w:pPr>
            <w:r>
              <w:rPr>
                <w:rFonts w:ascii="Arial"/>
                <w:w w:val="80"/>
                <w:sz w:val="21"/>
              </w:rPr>
              <w:t>11,000,004.00</w:t>
            </w:r>
            <w:r>
              <w:rPr>
                <w:rFonts w:ascii="Arial"/>
                <w:sz w:val="21"/>
              </w:rPr>
            </w:r>
          </w:p>
        </w:tc>
        <w:tc>
          <w:tcPr>
            <w:tcW w:w="140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2"/>
                <w:w w:val="80"/>
                <w:sz w:val="21"/>
              </w:rPr>
              <w:t>11,000,004.00</w:t>
            </w:r>
            <w:r>
              <w:rPr>
                <w:rFonts w:ascii="Arial"/>
                <w:sz w:val="21"/>
              </w:rPr>
            </w:r>
          </w:p>
        </w:tc>
      </w:tr>
      <w:tr>
        <w:trPr>
          <w:trHeight w:val="358" w:hRule="exact"/>
        </w:trPr>
        <w:tc>
          <w:tcPr>
            <w:tcW w:w="328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持续以公允价值计量的资产总额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26" w:type="dxa"/>
            <w:tcBorders>
              <w:top w:val="single" w:sz="4" w:space="0" w:color="41B7EE"/>
              <w:left w:val="single" w:sz="4" w:space="0" w:color="41B7EE"/>
              <w:bottom w:val="single" w:sz="4" w:space="0" w:color="41B7EE"/>
              <w:right w:val="single" w:sz="4" w:space="0" w:color="41B7EE"/>
            </w:tcBorders>
          </w:tcPr>
          <w:p>
            <w:pPr/>
          </w:p>
        </w:tc>
        <w:tc>
          <w:tcPr>
            <w:tcW w:w="1368" w:type="dxa"/>
            <w:tcBorders>
              <w:top w:val="single" w:sz="4" w:space="0" w:color="41B7EE"/>
              <w:left w:val="single" w:sz="4" w:space="0" w:color="41B7EE"/>
              <w:bottom w:val="single" w:sz="4" w:space="0" w:color="41B7EE"/>
              <w:right w:val="single" w:sz="4" w:space="0" w:color="41B7EE"/>
            </w:tcBorders>
          </w:tcPr>
          <w:p>
            <w:pPr/>
          </w:p>
        </w:tc>
        <w:tc>
          <w:tcPr>
            <w:tcW w:w="140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left="31" w:right="0"/>
              <w:jc w:val="left"/>
              <w:rPr>
                <w:rFonts w:ascii="Arial" w:hAnsi="Arial" w:cs="Arial" w:eastAsia="Arial" w:hint="default"/>
                <w:sz w:val="21"/>
                <w:szCs w:val="21"/>
              </w:rPr>
            </w:pPr>
            <w:r>
              <w:rPr>
                <w:rFonts w:ascii="Arial"/>
                <w:w w:val="80"/>
                <w:sz w:val="21"/>
              </w:rPr>
              <w:t>1,414,767,142.47</w:t>
            </w:r>
            <w:r>
              <w:rPr>
                <w:rFonts w:ascii="Arial"/>
                <w:sz w:val="21"/>
              </w:rPr>
            </w:r>
          </w:p>
        </w:tc>
        <w:tc>
          <w:tcPr>
            <w:tcW w:w="140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right="25"/>
              <w:jc w:val="right"/>
              <w:rPr>
                <w:rFonts w:ascii="Arial" w:hAnsi="Arial" w:cs="Arial" w:eastAsia="Arial" w:hint="default"/>
                <w:sz w:val="21"/>
                <w:szCs w:val="21"/>
              </w:rPr>
            </w:pPr>
            <w:r>
              <w:rPr>
                <w:rFonts w:ascii="Arial"/>
                <w:spacing w:val="-2"/>
                <w:w w:val="80"/>
                <w:sz w:val="21"/>
              </w:rPr>
              <w:t>1,414,767,142.47</w:t>
            </w:r>
            <w:r>
              <w:rPr>
                <w:rFonts w:ascii="Arial"/>
                <w:sz w:val="21"/>
              </w:rPr>
            </w:r>
          </w:p>
        </w:tc>
      </w:tr>
      <w:tr>
        <w:trPr>
          <w:trHeight w:val="358" w:hRule="exact"/>
        </w:trPr>
        <w:tc>
          <w:tcPr>
            <w:tcW w:w="328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持续以公允价值计量的负债总额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26" w:type="dxa"/>
            <w:tcBorders>
              <w:top w:val="single" w:sz="4" w:space="0" w:color="41B7EE"/>
              <w:left w:val="single" w:sz="4" w:space="0" w:color="41B7EE"/>
              <w:bottom w:val="single" w:sz="4" w:space="0" w:color="41B7EE"/>
              <w:right w:val="single" w:sz="4" w:space="0" w:color="41B7EE"/>
            </w:tcBorders>
          </w:tcPr>
          <w:p>
            <w:pPr/>
          </w:p>
        </w:tc>
        <w:tc>
          <w:tcPr>
            <w:tcW w:w="1368" w:type="dxa"/>
            <w:tcBorders>
              <w:top w:val="single" w:sz="4" w:space="0" w:color="41B7EE"/>
              <w:left w:val="single" w:sz="4" w:space="0" w:color="41B7EE"/>
              <w:bottom w:val="single" w:sz="4" w:space="0" w:color="41B7EE"/>
              <w:right w:val="single" w:sz="4" w:space="0" w:color="41B7EE"/>
            </w:tcBorders>
          </w:tcPr>
          <w:p>
            <w:pPr/>
          </w:p>
        </w:tc>
        <w:tc>
          <w:tcPr>
            <w:tcW w:w="1405" w:type="dxa"/>
            <w:tcBorders>
              <w:top w:val="single" w:sz="4" w:space="0" w:color="41B7EE"/>
              <w:left w:val="single" w:sz="4" w:space="0" w:color="41B7EE"/>
              <w:bottom w:val="single" w:sz="4" w:space="0" w:color="41B7EE"/>
              <w:right w:val="single" w:sz="4" w:space="0" w:color="41B7EE"/>
            </w:tcBorders>
          </w:tcPr>
          <w:p>
            <w:pPr/>
          </w:p>
        </w:tc>
        <w:tc>
          <w:tcPr>
            <w:tcW w:w="1409"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28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二、非持续的公允价值计量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26" w:type="dxa"/>
            <w:tcBorders>
              <w:top w:val="single" w:sz="4" w:space="0" w:color="41B7EE"/>
              <w:left w:val="single" w:sz="4" w:space="0" w:color="41B7EE"/>
              <w:bottom w:val="single" w:sz="4" w:space="0" w:color="41B7EE"/>
              <w:right w:val="single" w:sz="4" w:space="0" w:color="41B7EE"/>
            </w:tcBorders>
          </w:tcPr>
          <w:p>
            <w:pPr/>
          </w:p>
        </w:tc>
        <w:tc>
          <w:tcPr>
            <w:tcW w:w="1368" w:type="dxa"/>
            <w:tcBorders>
              <w:top w:val="single" w:sz="4" w:space="0" w:color="41B7EE"/>
              <w:left w:val="single" w:sz="4" w:space="0" w:color="41B7EE"/>
              <w:bottom w:val="single" w:sz="4" w:space="0" w:color="41B7EE"/>
              <w:right w:val="single" w:sz="4" w:space="0" w:color="41B7EE"/>
            </w:tcBorders>
          </w:tcPr>
          <w:p>
            <w:pPr/>
          </w:p>
        </w:tc>
        <w:tc>
          <w:tcPr>
            <w:tcW w:w="1405" w:type="dxa"/>
            <w:tcBorders>
              <w:top w:val="single" w:sz="4" w:space="0" w:color="41B7EE"/>
              <w:left w:val="single" w:sz="4" w:space="0" w:color="41B7EE"/>
              <w:bottom w:val="single" w:sz="4" w:space="0" w:color="41B7EE"/>
              <w:right w:val="single" w:sz="4" w:space="0" w:color="41B7EE"/>
            </w:tcBorders>
          </w:tcPr>
          <w:p>
            <w:pPr/>
          </w:p>
        </w:tc>
        <w:tc>
          <w:tcPr>
            <w:tcW w:w="1409" w:type="dxa"/>
            <w:tcBorders>
              <w:top w:val="single" w:sz="4" w:space="0" w:color="41B7EE"/>
              <w:left w:val="single" w:sz="4" w:space="0" w:color="41B7EE"/>
              <w:bottom w:val="single" w:sz="4" w:space="0" w:color="41B7EE"/>
              <w:right w:val="nil" w:sz="6" w:space="0" w:color="auto"/>
            </w:tcBorders>
          </w:tcPr>
          <w:p>
            <w:pPr/>
          </w:p>
        </w:tc>
      </w:tr>
      <w:tr>
        <w:trPr>
          <w:trHeight w:val="355" w:hRule="exact"/>
        </w:trPr>
        <w:tc>
          <w:tcPr>
            <w:tcW w:w="328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8" w:right="-8"/>
              <w:jc w:val="left"/>
              <w:rPr>
                <w:rFonts w:ascii="宋体" w:hAnsi="宋体" w:cs="宋体" w:eastAsia="宋体" w:hint="default"/>
                <w:sz w:val="21"/>
                <w:szCs w:val="21"/>
              </w:rPr>
            </w:pPr>
            <w:r>
              <w:rPr>
                <w:rFonts w:ascii="宋体" w:hAnsi="宋体" w:cs="宋体" w:eastAsia="宋体" w:hint="default"/>
                <w:sz w:val="21"/>
                <w:szCs w:val="21"/>
              </w:rPr>
              <w:t>非持续以公允价值计量的资产总额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26" w:type="dxa"/>
            <w:tcBorders>
              <w:top w:val="single" w:sz="4" w:space="0" w:color="41B7EE"/>
              <w:left w:val="single" w:sz="4" w:space="0" w:color="41B7EE"/>
              <w:bottom w:val="single" w:sz="4" w:space="0" w:color="41B7EE"/>
              <w:right w:val="single" w:sz="4" w:space="0" w:color="41B7EE"/>
            </w:tcBorders>
          </w:tcPr>
          <w:p>
            <w:pPr/>
          </w:p>
        </w:tc>
        <w:tc>
          <w:tcPr>
            <w:tcW w:w="1368" w:type="dxa"/>
            <w:tcBorders>
              <w:top w:val="single" w:sz="4" w:space="0" w:color="41B7EE"/>
              <w:left w:val="single" w:sz="4" w:space="0" w:color="41B7EE"/>
              <w:bottom w:val="single" w:sz="4" w:space="0" w:color="41B7EE"/>
              <w:right w:val="single" w:sz="4" w:space="0" w:color="41B7EE"/>
            </w:tcBorders>
          </w:tcPr>
          <w:p>
            <w:pPr/>
          </w:p>
        </w:tc>
        <w:tc>
          <w:tcPr>
            <w:tcW w:w="140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21" w:right="0"/>
              <w:jc w:val="left"/>
              <w:rPr>
                <w:rFonts w:ascii="宋体" w:hAnsi="宋体" w:cs="宋体" w:eastAsia="宋体" w:hint="default"/>
                <w:sz w:val="21"/>
                <w:szCs w:val="21"/>
              </w:rPr>
            </w:pPr>
            <w:r>
              <w:rPr>
                <w:rFonts w:ascii="宋体"/>
                <w:w w:val="100"/>
                <w:sz w:val="21"/>
              </w:rPr>
              <w:t> </w:t>
            </w:r>
          </w:p>
        </w:tc>
        <w:tc>
          <w:tcPr>
            <w:tcW w:w="1409" w:type="dxa"/>
            <w:tcBorders>
              <w:top w:val="single" w:sz="4" w:space="0" w:color="41B7EE"/>
              <w:left w:val="single" w:sz="4" w:space="0" w:color="41B7EE"/>
              <w:bottom w:val="single" w:sz="4" w:space="0" w:color="41B7EE"/>
              <w:right w:val="nil" w:sz="6" w:space="0" w:color="auto"/>
            </w:tcBorders>
          </w:tcPr>
          <w:p>
            <w:pPr/>
          </w:p>
        </w:tc>
      </w:tr>
      <w:tr>
        <w:trPr>
          <w:trHeight w:val="365" w:hRule="exact"/>
        </w:trPr>
        <w:tc>
          <w:tcPr>
            <w:tcW w:w="3284"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4"/>
              <w:ind w:left="28" w:right="-8"/>
              <w:jc w:val="left"/>
              <w:rPr>
                <w:rFonts w:ascii="宋体" w:hAnsi="宋体" w:cs="宋体" w:eastAsia="宋体" w:hint="default"/>
                <w:sz w:val="21"/>
                <w:szCs w:val="21"/>
              </w:rPr>
            </w:pPr>
            <w:r>
              <w:rPr>
                <w:rFonts w:ascii="宋体" w:hAnsi="宋体" w:cs="宋体" w:eastAsia="宋体" w:hint="default"/>
                <w:sz w:val="21"/>
                <w:szCs w:val="21"/>
              </w:rPr>
              <w:t>非持续以公允价值计量的负债总额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26" w:type="dxa"/>
            <w:tcBorders>
              <w:top w:val="single" w:sz="4" w:space="0" w:color="41B7EE"/>
              <w:left w:val="single" w:sz="4" w:space="0" w:color="41B7EE"/>
              <w:bottom w:val="single" w:sz="8" w:space="0" w:color="41B7EE"/>
              <w:right w:val="single" w:sz="4" w:space="0" w:color="41B7EE"/>
            </w:tcBorders>
          </w:tcPr>
          <w:p>
            <w:pPr/>
          </w:p>
        </w:tc>
        <w:tc>
          <w:tcPr>
            <w:tcW w:w="1368" w:type="dxa"/>
            <w:tcBorders>
              <w:top w:val="single" w:sz="4" w:space="0" w:color="41B7EE"/>
              <w:left w:val="single" w:sz="4" w:space="0" w:color="41B7EE"/>
              <w:bottom w:val="single" w:sz="8" w:space="0" w:color="41B7EE"/>
              <w:right w:val="single" w:sz="4" w:space="0" w:color="41B7EE"/>
            </w:tcBorders>
          </w:tcPr>
          <w:p>
            <w:pPr/>
          </w:p>
        </w:tc>
        <w:tc>
          <w:tcPr>
            <w:tcW w:w="1405" w:type="dxa"/>
            <w:tcBorders>
              <w:top w:val="single" w:sz="4" w:space="0" w:color="41B7EE"/>
              <w:left w:val="single" w:sz="4" w:space="0" w:color="41B7EE"/>
              <w:bottom w:val="single" w:sz="8" w:space="0" w:color="41B7EE"/>
              <w:right w:val="single" w:sz="4" w:space="0" w:color="41B7EE"/>
            </w:tcBorders>
          </w:tcPr>
          <w:p>
            <w:pPr/>
          </w:p>
        </w:tc>
        <w:tc>
          <w:tcPr>
            <w:tcW w:w="1409" w:type="dxa"/>
            <w:tcBorders>
              <w:top w:val="single" w:sz="4" w:space="0" w:color="41B7EE"/>
              <w:left w:val="single" w:sz="4" w:space="0" w:color="41B7EE"/>
              <w:bottom w:val="single" w:sz="8" w:space="0" w:color="41B7EE"/>
              <w:right w:val="nil" w:sz="6" w:space="0" w:color="auto"/>
            </w:tcBorders>
          </w:tcPr>
          <w:p>
            <w:pPr/>
          </w:p>
        </w:tc>
      </w:tr>
    </w:tbl>
    <w:p>
      <w:pPr>
        <w:spacing w:line="240" w:lineRule="auto" w:before="11"/>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3279;height:2" coordorigin="10,10" coordsize="3279,2">
              <v:shape style="position:absolute;left:10;top:10;width:3279;height:2" coordorigin="10,10" coordsize="3279,0" path="m10,10l3288,10e" filled="false" stroked="true" strokeweight=".95996pt" strokecolor="#41b7ee">
                <v:path arrowok="t"/>
              </v:shape>
            </v:group>
            <v:group style="position:absolute;left:3289;top:10;width:58;height:2" coordorigin="3289,10" coordsize="58,2">
              <v:shape style="position:absolute;left:3289;top:10;width:58;height:2" coordorigin="3289,10" coordsize="58,0" path="m3289,10l3346,10e" filled="false" stroked="true" strokeweight=".95996pt" strokecolor="#41b7ee">
                <v:path arrowok="t"/>
              </v:shape>
            </v:group>
            <v:group style="position:absolute;left:3346;top:10;width:1369;height:2" coordorigin="3346,10" coordsize="1369,2">
              <v:shape style="position:absolute;left:3346;top:10;width:1369;height:2" coordorigin="3346,10" coordsize="1369,0" path="m3346,10l4715,10e" filled="false" stroked="true" strokeweight=".95996pt" strokecolor="#41b7ee">
                <v:path arrowok="t"/>
              </v:shape>
            </v:group>
            <v:group style="position:absolute;left:4715;top:10;width:58;height:2" coordorigin="4715,10" coordsize="58,2">
              <v:shape style="position:absolute;left:4715;top:10;width:58;height:2" coordorigin="4715,10" coordsize="58,0" path="m4715,10l4772,10e" filled="false" stroked="true" strokeweight=".95996pt" strokecolor="#41b7ee">
                <v:path arrowok="t"/>
              </v:shape>
            </v:group>
            <v:group style="position:absolute;left:4772;top:10;width:1311;height:2" coordorigin="4772,10" coordsize="1311,2">
              <v:shape style="position:absolute;left:4772;top:10;width:1311;height:2" coordorigin="4772,10" coordsize="1311,0" path="m4772,10l6083,10e" filled="false" stroked="true" strokeweight=".95996pt" strokecolor="#41b7ee">
                <v:path arrowok="t"/>
              </v:shape>
            </v:group>
            <v:group style="position:absolute;left:6083;top:10;width:58;height:2" coordorigin="6083,10" coordsize="58,2">
              <v:shape style="position:absolute;left:6083;top:10;width:58;height:2" coordorigin="6083,10" coordsize="58,0" path="m6083,10l6140,10e" filled="false" stroked="true" strokeweight=".95996pt" strokecolor="#41b7ee">
                <v:path arrowok="t"/>
              </v:shape>
            </v:group>
            <v:group style="position:absolute;left:6140;top:10;width:1347;height:2" coordorigin="6140,10" coordsize="1347,2">
              <v:shape style="position:absolute;left:6140;top:10;width:1347;height:2" coordorigin="6140,10" coordsize="1347,0" path="m6140,10l7487,10e" filled="false" stroked="true" strokeweight=".95996pt" strokecolor="#41b7ee">
                <v:path arrowok="t"/>
              </v:shape>
            </v:group>
            <v:group style="position:absolute;left:7487;top:10;width:58;height:2" coordorigin="7487,10" coordsize="58,2">
              <v:shape style="position:absolute;left:7487;top:10;width:58;height:2" coordorigin="7487,10" coordsize="58,0" path="m7487,10l7545,10e" filled="false" stroked="true" strokeweight=".95996pt" strokecolor="#41b7ee">
                <v:path arrowok="t"/>
              </v:shape>
            </v:group>
            <v:group style="position:absolute;left:7545;top:10;width:1356;height:2" coordorigin="7545,10" coordsize="1356,2">
              <v:shape style="position:absolute;left:7545;top:10;width:1356;height:2" coordorigin="7545,10" coordsize="1356,0" path="m7545,10l8901,10e" filled="false" stroked="true" strokeweight=".95996pt" strokecolor="#41b7ee">
                <v:path arrowok="t"/>
              </v:shape>
            </v:group>
          </v:group>
        </w:pict>
      </w:r>
      <w:r>
        <w:rPr>
          <w:rFonts w:ascii="宋体" w:hAnsi="宋体" w:cs="宋体" w:eastAsia="宋体" w:hint="default"/>
          <w:sz w:val="2"/>
          <w:szCs w:val="2"/>
        </w:rPr>
      </w:r>
    </w:p>
    <w:p>
      <w:pPr>
        <w:pStyle w:val="BodyText"/>
        <w:spacing w:line="240" w:lineRule="exact"/>
        <w:ind w:left="158" w:right="0"/>
        <w:jc w:val="left"/>
        <w:rPr>
          <w:rFonts w:ascii="宋体" w:hAnsi="宋体" w:cs="宋体" w:eastAsia="宋体" w:hint="default"/>
        </w:rPr>
      </w:pPr>
      <w:r>
        <w:rPr>
          <w:rFonts w:ascii="宋体"/>
          <w:w w:val="100"/>
        </w:rPr>
        <w:t> </w:t>
      </w:r>
    </w:p>
    <w:p>
      <w:pPr>
        <w:spacing w:after="0" w:line="240" w:lineRule="exact"/>
        <w:jc w:val="left"/>
        <w:rPr>
          <w:rFonts w:ascii="宋体" w:hAnsi="宋体" w:cs="宋体" w:eastAsia="宋体" w:hint="default"/>
        </w:rPr>
        <w:sectPr>
          <w:footerReference w:type="default" r:id="rId88"/>
          <w:pgSz w:w="11910" w:h="16840"/>
          <w:pgMar w:footer="1195" w:header="0" w:top="1360" w:bottom="1380" w:left="1640" w:right="1060"/>
          <w:pgNumType w:start="155"/>
        </w:sectPr>
      </w:pPr>
    </w:p>
    <w:p>
      <w:pPr>
        <w:pStyle w:val="Heading2"/>
        <w:spacing w:line="240" w:lineRule="auto" w:before="119"/>
        <w:ind w:left="158"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持续和非持续第一层次公允价值计量项目市价的确定依据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1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left="158"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spacing w:line="240" w:lineRule="auto" w:before="58"/>
        <w:ind w:left="1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left="158" w:right="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spacing w:line="240" w:lineRule="auto" w:before="58"/>
        <w:ind w:left="1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97" w:lineRule="auto" w:before="73"/>
        <w:ind w:left="158" w:right="0" w:firstLine="419"/>
        <w:jc w:val="left"/>
      </w:pPr>
      <w:r>
        <w:rPr>
          <w:spacing w:val="-4"/>
        </w:rPr>
        <w:t>（</w:t>
      </w:r>
      <w:r>
        <w:rPr>
          <w:rFonts w:ascii="Arial" w:hAnsi="Arial" w:cs="Arial" w:eastAsia="Arial" w:hint="default"/>
          <w:spacing w:val="-4"/>
        </w:rPr>
        <w:t>1</w:t>
      </w:r>
      <w:r>
        <w:rPr>
          <w:spacing w:val="-4"/>
        </w:rPr>
        <w:t>）对于购买的保本浮动收益型银行短期理财产品，公允价值的输入值主要是基于历史利率</w:t>
      </w:r>
      <w:r>
        <w:rPr>
          <w:w w:val="100"/>
        </w:rPr>
        <w:t> </w:t>
      </w:r>
      <w:r>
        <w:rPr/>
        <w:t>的变动情况；</w:t>
      </w:r>
    </w:p>
    <w:p>
      <w:pPr>
        <w:pStyle w:val="BodyText"/>
        <w:spacing w:line="297" w:lineRule="auto" w:before="34"/>
        <w:ind w:left="158" w:right="0" w:firstLine="419"/>
        <w:jc w:val="left"/>
      </w:pPr>
      <w:r>
        <w:rPr>
          <w:spacing w:val="-4"/>
        </w:rPr>
        <w:t>（</w:t>
      </w:r>
      <w:r>
        <w:rPr>
          <w:rFonts w:ascii="Arial" w:hAnsi="Arial" w:cs="Arial" w:eastAsia="Arial" w:hint="default"/>
          <w:spacing w:val="-4"/>
        </w:rPr>
        <w:t>2</w:t>
      </w:r>
      <w:r>
        <w:rPr>
          <w:spacing w:val="-4"/>
        </w:rPr>
        <w:t>）因被投资企业大兴安岭农村商业银行股份有限公司的经营环境和经营情况、财务状况未</w:t>
      </w:r>
      <w:r>
        <w:rPr>
          <w:w w:val="100"/>
        </w:rPr>
        <w:t> </w:t>
      </w:r>
      <w:r>
        <w:rPr/>
        <w:t>发生重大变化，所以公司按投资成本作为公允价值的合理估计进行计量。</w:t>
      </w:r>
    </w:p>
    <w:p>
      <w:pPr>
        <w:pStyle w:val="Heading2"/>
        <w:spacing w:line="240" w:lineRule="auto" w:before="18"/>
        <w:ind w:left="582" w:right="19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spacing w:line="240" w:lineRule="auto" w:before="56"/>
        <w:ind w:left="1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left="158" w:right="0"/>
        <w:jc w:val="left"/>
        <w:rPr>
          <w:b w:val="0"/>
          <w:bCs w:val="0"/>
        </w:rPr>
      </w:pPr>
      <w:r>
        <w:rPr>
          <w:rFonts w:ascii="宋体" w:hAnsi="宋体" w:cs="宋体" w:eastAsia="宋体" w:hint="default"/>
          <w:spacing w:val="-3"/>
        </w:rPr>
        <w:t>6</w:t>
      </w:r>
      <w:r>
        <w:rPr>
          <w:spacing w:val="-3"/>
        </w:rPr>
        <w:t>、</w:t>
      </w:r>
      <w:r>
        <w:rPr>
          <w:spacing w:val="45"/>
        </w:rPr>
        <w:t> </w:t>
      </w:r>
      <w:r>
        <w:rPr>
          <w:spacing w:val="-13"/>
        </w:rPr>
        <w:t>持续的公允价值计量项目，本期内发生各层级之间转换的，转换的原因及确定转换时点的政策</w:t>
      </w:r>
      <w:r>
        <w:rPr>
          <w:b w:val="0"/>
          <w:bCs w:val="0"/>
        </w:rPr>
      </w:r>
    </w:p>
    <w:p>
      <w:pPr>
        <w:pStyle w:val="BodyText"/>
        <w:spacing w:line="240" w:lineRule="auto" w:before="56"/>
        <w:ind w:left="1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left="158" w:right="0"/>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spacing w:line="240" w:lineRule="auto" w:before="56"/>
        <w:ind w:left="1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left="158" w:right="0"/>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spacing w:line="278" w:lineRule="auto" w:before="56"/>
        <w:ind w:left="369" w:right="0" w:hanging="212"/>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本公司以摊余成本计量的金融资产和金融负债主要包括：货币资金、应收票据、应收账款、其</w:t>
      </w:r>
    </w:p>
    <w:p>
      <w:pPr>
        <w:pStyle w:val="BodyText"/>
        <w:spacing w:line="290" w:lineRule="auto" w:before="10"/>
        <w:ind w:left="158" w:right="3921"/>
        <w:jc w:val="left"/>
        <w:rPr>
          <w:rFonts w:ascii="宋体" w:hAnsi="宋体" w:cs="宋体" w:eastAsia="宋体" w:hint="default"/>
        </w:rPr>
      </w:pPr>
      <w:r>
        <w:rPr/>
        <w:t>他应收款、应付账款、其他应付款、长期应付款等。</w:t>
      </w:r>
      <w:r>
        <w:rPr>
          <w:rFonts w:ascii="宋体" w:hAnsi="宋体" w:cs="宋体" w:eastAsia="宋体" w:hint="default"/>
          <w:w w:val="100"/>
        </w:rPr>
        <w:t> </w:t>
      </w:r>
      <w:r>
        <w:rPr>
          <w:rFonts w:ascii="宋体" w:hAnsi="宋体" w:cs="宋体" w:eastAsia="宋体" w:hint="default"/>
          <w:b/>
          <w:bCs/>
        </w:rPr>
        <w:t>9</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其他</w:t>
      </w:r>
      <w:r>
        <w:rPr>
          <w:rFonts w:ascii="宋体" w:hAnsi="宋体" w:cs="宋体" w:eastAsia="宋体" w:hint="default"/>
        </w:rPr>
      </w:r>
    </w:p>
    <w:p>
      <w:pPr>
        <w:pStyle w:val="BodyText"/>
        <w:spacing w:line="240" w:lineRule="auto" w:before="15"/>
        <w:ind w:left="1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ind w:left="158" w:right="6431"/>
        <w:jc w:val="left"/>
        <w:rPr>
          <w:b w:val="0"/>
          <w:bCs w:val="0"/>
        </w:rPr>
      </w:pPr>
      <w:r>
        <w:rPr/>
        <w:t>十二、</w:t>
      </w:r>
      <w:r>
        <w:rPr>
          <w:spacing w:val="100"/>
        </w:rPr>
        <w:t> </w:t>
      </w:r>
      <w:r>
        <w:rPr>
          <w:rFonts w:ascii="宋体" w:hAnsi="宋体" w:cs="宋体" w:eastAsia="宋体" w:hint="default"/>
          <w:spacing w:val="100"/>
        </w:rPr>
      </w:r>
      <w:r>
        <w:rPr/>
        <w:t>关联方及关联交易</w:t>
      </w:r>
      <w:r>
        <w:rPr>
          <w:rFonts w:ascii="宋体" w:hAnsi="宋体" w:cs="宋体" w:eastAsia="宋体" w:hint="default"/>
          <w:w w:val="99"/>
        </w:rPr>
        <w:t> </w:t>
      </w:r>
      <w:r>
        <w:rPr>
          <w:rFonts w:ascii="宋体" w:hAnsi="宋体" w:cs="宋体" w:eastAsia="宋体" w:hint="default"/>
        </w:rPr>
        <w:t>1</w:t>
      </w:r>
      <w:r>
        <w:rPr/>
        <w:t>、</w:t>
      </w:r>
      <w:r>
        <w:rPr>
          <w:spacing w:val="5"/>
        </w:rPr>
        <w:t> </w:t>
      </w:r>
      <w:r>
        <w:rPr/>
        <w:t>本企业的母公司情况</w:t>
      </w:r>
      <w:r>
        <w:rPr>
          <w:b w:val="0"/>
          <w:bCs w:val="0"/>
        </w:rPr>
      </w:r>
    </w:p>
    <w:p>
      <w:pPr>
        <w:pStyle w:val="BodyText"/>
        <w:spacing w:line="240" w:lineRule="auto" w:before="12"/>
        <w:ind w:left="1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07"/>
        <w:jc w:val="righ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2281;height:2" coordorigin="10,10" coordsize="2281,2">
              <v:shape style="position:absolute;left:10;top:10;width:2281;height:2" coordorigin="10,10" coordsize="2281,0" path="m10,10l2290,10e" filled="false" stroked="true" strokeweight=".95996pt" strokecolor="#41b7ee">
                <v:path arrowok="t"/>
              </v:shape>
            </v:group>
            <v:group style="position:absolute;left:2290;top:10;width:58;height:2" coordorigin="2290,10" coordsize="58,2">
              <v:shape style="position:absolute;left:2290;top:10;width:58;height:2" coordorigin="2290,10" coordsize="58,0" path="m2290,10l2348,10e" filled="false" stroked="true" strokeweight=".95996pt" strokecolor="#41b7ee">
                <v:path arrowok="t"/>
              </v:shape>
            </v:group>
            <v:group style="position:absolute;left:2348;top:10;width:941;height:2" coordorigin="2348,10" coordsize="941,2">
              <v:shape style="position:absolute;left:2348;top:10;width:941;height:2" coordorigin="2348,10" coordsize="941,0" path="m2348,10l3289,10e" filled="false" stroked="true" strokeweight=".95996pt" strokecolor="#41b7ee">
                <v:path arrowok="t"/>
              </v:shape>
            </v:group>
            <v:group style="position:absolute;left:3289;top:10;width:58;height:2" coordorigin="3289,10" coordsize="58,2">
              <v:shape style="position:absolute;left:3289;top:10;width:58;height:2" coordorigin="3289,10" coordsize="58,0" path="m3289,10l3346,10e" filled="false" stroked="true" strokeweight=".95996pt" strokecolor="#41b7ee">
                <v:path arrowok="t"/>
              </v:shape>
            </v:group>
            <v:group style="position:absolute;left:3346;top:10;width:2223;height:2" coordorigin="3346,10" coordsize="2223,2">
              <v:shape style="position:absolute;left:3346;top:10;width:2223;height:2" coordorigin="3346,10" coordsize="2223,0" path="m3346,10l5569,10e" filled="false" stroked="true" strokeweight=".95996pt" strokecolor="#41b7ee">
                <v:path arrowok="t"/>
              </v:shape>
            </v:group>
            <v:group style="position:absolute;left:5569;top:10;width:58;height:2" coordorigin="5569,10" coordsize="58,2">
              <v:shape style="position:absolute;left:5569;top:10;width:58;height:2" coordorigin="5569,10" coordsize="58,0" path="m5569,10l5627,10e" filled="false" stroked="true" strokeweight=".95996pt" strokecolor="#41b7ee">
                <v:path arrowok="t"/>
              </v:shape>
            </v:group>
            <v:group style="position:absolute;left:5627;top:10;width:944;height:2" coordorigin="5627,10" coordsize="944,2">
              <v:shape style="position:absolute;left:5627;top:10;width:944;height:2" coordorigin="5627,10" coordsize="944,0" path="m5627,10l6570,10e" filled="false" stroked="true" strokeweight=".95996pt" strokecolor="#41b7ee">
                <v:path arrowok="t"/>
              </v:shape>
            </v:group>
            <v:group style="position:absolute;left:6570;top:10;width:58;height:2" coordorigin="6570,10" coordsize="58,2">
              <v:shape style="position:absolute;left:6570;top:10;width:58;height:2" coordorigin="6570,10" coordsize="58,0" path="m6570,10l6627,10e" filled="false" stroked="true" strokeweight=".95996pt" strokecolor="#41b7ee">
                <v:path arrowok="t"/>
              </v:shape>
            </v:group>
            <v:group style="position:absolute;left:6627;top:10;width:1083;height:2" coordorigin="6627,10" coordsize="1083,2">
              <v:shape style="position:absolute;left:6627;top:10;width:1083;height:2" coordorigin="6627,10" coordsize="1083,0" path="m6627,10l7710,10e" filled="false" stroked="true" strokeweight=".95996pt" strokecolor="#41b7ee">
                <v:path arrowok="t"/>
              </v:shape>
            </v:group>
            <v:group style="position:absolute;left:7710;top:10;width:58;height:2" coordorigin="7710,10" coordsize="58,2">
              <v:shape style="position:absolute;left:7710;top:10;width:58;height:2" coordorigin="7710,10" coordsize="58,0" path="m7710,10l7768,10e" filled="false" stroked="true" strokeweight=".95996pt" strokecolor="#41b7ee">
                <v:path arrowok="t"/>
              </v:shape>
            </v:group>
            <v:group style="position:absolute;left:7768;top:10;width:1133;height:2" coordorigin="7768,10" coordsize="1133,2">
              <v:shape style="position:absolute;left:7768;top:10;width:1133;height:2" coordorigin="7768,10" coordsize="1133,0" path="m7768,10l8901,10e" filled="false" stroked="true" strokeweight=".95996pt" strokecolor="#41b7ee">
                <v:path arrowok="t"/>
              </v:shape>
            </v:group>
          </v:group>
        </w:pict>
      </w:r>
      <w:r>
        <w:rPr>
          <w:rFonts w:ascii="宋体" w:hAnsi="宋体" w:cs="宋体" w:eastAsia="宋体" w:hint="default"/>
          <w:sz w:val="2"/>
          <w:szCs w:val="2"/>
        </w:rPr>
      </w:r>
    </w:p>
    <w:tbl>
      <w:tblPr>
        <w:tblW w:w="0" w:type="auto"/>
        <w:jc w:val="left"/>
        <w:tblInd w:w="119" w:type="dxa"/>
        <w:tblLayout w:type="fixed"/>
        <w:tblCellMar>
          <w:top w:w="0" w:type="dxa"/>
          <w:left w:w="0" w:type="dxa"/>
          <w:bottom w:w="0" w:type="dxa"/>
          <w:right w:w="0" w:type="dxa"/>
        </w:tblCellMar>
        <w:tblLook w:val="01E0"/>
      </w:tblPr>
      <w:tblGrid>
        <w:gridCol w:w="2285"/>
        <w:gridCol w:w="998"/>
        <w:gridCol w:w="2280"/>
        <w:gridCol w:w="1001"/>
        <w:gridCol w:w="1141"/>
        <w:gridCol w:w="1186"/>
      </w:tblGrid>
      <w:tr>
        <w:trPr>
          <w:trHeight w:val="794" w:hRule="exact"/>
        </w:trPr>
        <w:tc>
          <w:tcPr>
            <w:tcW w:w="2285"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616" w:right="0"/>
              <w:jc w:val="left"/>
              <w:rPr>
                <w:rFonts w:ascii="宋体" w:hAnsi="宋体" w:cs="宋体" w:eastAsia="宋体" w:hint="default"/>
                <w:sz w:val="21"/>
                <w:szCs w:val="21"/>
              </w:rPr>
            </w:pPr>
            <w:r>
              <w:rPr>
                <w:rFonts w:ascii="宋体" w:hAnsi="宋体" w:cs="宋体" w:eastAsia="宋体" w:hint="default"/>
                <w:sz w:val="21"/>
                <w:szCs w:val="21"/>
              </w:rPr>
              <w:t>母公司名称</w:t>
            </w:r>
            <w:r>
              <w:rPr>
                <w:rFonts w:ascii="宋体" w:hAnsi="宋体" w:cs="宋体" w:eastAsia="宋体" w:hint="default"/>
                <w:sz w:val="21"/>
                <w:szCs w:val="21"/>
              </w:rPr>
              <w:t> </w:t>
            </w:r>
          </w:p>
        </w:tc>
        <w:tc>
          <w:tcPr>
            <w:tcW w:w="998"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72"/>
              <w:jc w:val="right"/>
              <w:rPr>
                <w:rFonts w:ascii="宋体" w:hAnsi="宋体" w:cs="宋体" w:eastAsia="宋体" w:hint="default"/>
                <w:sz w:val="21"/>
                <w:szCs w:val="21"/>
              </w:rPr>
            </w:pPr>
            <w:r>
              <w:rPr>
                <w:rFonts w:ascii="宋体" w:hAnsi="宋体" w:cs="宋体" w:eastAsia="宋体" w:hint="default"/>
                <w:spacing w:val="-1"/>
                <w:sz w:val="21"/>
                <w:szCs w:val="21"/>
              </w:rPr>
              <w:t>注册地</w:t>
            </w:r>
            <w:r>
              <w:rPr>
                <w:rFonts w:ascii="宋体" w:hAnsi="宋体" w:cs="宋体" w:eastAsia="宋体" w:hint="default"/>
                <w:sz w:val="21"/>
                <w:szCs w:val="21"/>
              </w:rPr>
              <w:t> </w:t>
            </w:r>
          </w:p>
        </w:tc>
        <w:tc>
          <w:tcPr>
            <w:tcW w:w="2280"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712"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1001" w:type="dxa"/>
            <w:tcBorders>
              <w:top w:val="single" w:sz="8" w:space="0" w:color="41B7EE"/>
              <w:left w:val="single" w:sz="4" w:space="0" w:color="41B7EE"/>
              <w:bottom w:val="single" w:sz="4" w:space="0" w:color="41B7EE"/>
              <w:right w:val="single" w:sz="10" w:space="0" w:color="FFFFFF"/>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74" w:right="-37"/>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1141" w:type="dxa"/>
            <w:tcBorders>
              <w:top w:val="single" w:sz="8" w:space="0" w:color="41B7EE"/>
              <w:left w:val="single" w:sz="10" w:space="0" w:color="FFFFFF"/>
              <w:bottom w:val="single" w:sz="4" w:space="0" w:color="41B7EE"/>
              <w:right w:val="single" w:sz="4" w:space="0" w:color="41B7EE"/>
            </w:tcBorders>
          </w:tcPr>
          <w:p>
            <w:pPr>
              <w:pStyle w:val="TableParagraph"/>
              <w:spacing w:line="231" w:lineRule="exact"/>
              <w:ind w:left="55" w:right="0"/>
              <w:jc w:val="left"/>
              <w:rPr>
                <w:rFonts w:ascii="宋体" w:hAnsi="宋体" w:cs="宋体" w:eastAsia="宋体" w:hint="default"/>
                <w:sz w:val="20"/>
                <w:szCs w:val="20"/>
              </w:rPr>
            </w:pPr>
            <w:r>
              <w:rPr>
                <w:rFonts w:ascii="宋体" w:hAnsi="宋体" w:cs="宋体" w:eastAsia="宋体" w:hint="default"/>
                <w:sz w:val="20"/>
                <w:szCs w:val="20"/>
              </w:rPr>
              <w:t>母公司对本</w:t>
            </w:r>
          </w:p>
          <w:p>
            <w:pPr>
              <w:pStyle w:val="TableParagraph"/>
              <w:spacing w:line="260" w:lineRule="exact" w:before="24"/>
              <w:ind w:left="156" w:right="66" w:hanging="101"/>
              <w:jc w:val="left"/>
              <w:rPr>
                <w:rFonts w:ascii="宋体" w:hAnsi="宋体" w:cs="宋体" w:eastAsia="宋体" w:hint="default"/>
                <w:sz w:val="20"/>
                <w:szCs w:val="20"/>
              </w:rPr>
            </w:pPr>
            <w:r>
              <w:rPr>
                <w:rFonts w:ascii="宋体" w:hAnsi="宋体" w:cs="宋体" w:eastAsia="宋体" w:hint="default"/>
                <w:sz w:val="20"/>
                <w:szCs w:val="20"/>
              </w:rPr>
              <w:t>企业的持股</w:t>
            </w:r>
            <w:r>
              <w:rPr>
                <w:rFonts w:ascii="宋体" w:hAnsi="宋体" w:cs="宋体" w:eastAsia="宋体" w:hint="default"/>
                <w:w w:val="99"/>
                <w:sz w:val="20"/>
                <w:szCs w:val="20"/>
              </w:rPr>
              <w:t> </w:t>
            </w:r>
            <w:r>
              <w:rPr>
                <w:rFonts w:ascii="宋体" w:hAnsi="宋体" w:cs="宋体" w:eastAsia="宋体" w:hint="default"/>
                <w:sz w:val="20"/>
                <w:szCs w:val="20"/>
              </w:rPr>
              <w:t>比例（</w:t>
            </w:r>
            <w:r>
              <w:rPr>
                <w:rFonts w:ascii="宋体" w:hAnsi="宋体" w:cs="宋体" w:eastAsia="宋体" w:hint="default"/>
                <w:sz w:val="20"/>
                <w:szCs w:val="20"/>
              </w:rPr>
              <w:t>%) </w:t>
            </w:r>
          </w:p>
        </w:tc>
        <w:tc>
          <w:tcPr>
            <w:tcW w:w="1186" w:type="dxa"/>
            <w:tcBorders>
              <w:top w:val="single" w:sz="8" w:space="0" w:color="41B7EE"/>
              <w:left w:val="single" w:sz="4" w:space="0" w:color="41B7EE"/>
              <w:bottom w:val="single" w:sz="4" w:space="0" w:color="41B7EE"/>
              <w:right w:val="nil" w:sz="6" w:space="0" w:color="auto"/>
            </w:tcBorders>
          </w:tcPr>
          <w:p>
            <w:pPr>
              <w:pStyle w:val="TableParagraph"/>
              <w:spacing w:line="231" w:lineRule="exact"/>
              <w:ind w:left="86" w:right="0"/>
              <w:jc w:val="left"/>
              <w:rPr>
                <w:rFonts w:ascii="宋体" w:hAnsi="宋体" w:cs="宋体" w:eastAsia="宋体" w:hint="default"/>
                <w:sz w:val="20"/>
                <w:szCs w:val="20"/>
              </w:rPr>
            </w:pPr>
            <w:r>
              <w:rPr>
                <w:rFonts w:ascii="宋体" w:hAnsi="宋体" w:cs="宋体" w:eastAsia="宋体" w:hint="default"/>
                <w:sz w:val="20"/>
                <w:szCs w:val="20"/>
              </w:rPr>
              <w:t>母公司对本</w:t>
            </w:r>
          </w:p>
          <w:p>
            <w:pPr>
              <w:pStyle w:val="TableParagraph"/>
              <w:spacing w:line="260" w:lineRule="exact" w:before="24"/>
              <w:ind w:left="86" w:right="-7"/>
              <w:jc w:val="left"/>
              <w:rPr>
                <w:rFonts w:ascii="宋体" w:hAnsi="宋体" w:cs="宋体" w:eastAsia="宋体" w:hint="default"/>
                <w:sz w:val="20"/>
                <w:szCs w:val="20"/>
              </w:rPr>
            </w:pPr>
            <w:r>
              <w:rPr>
                <w:rFonts w:ascii="宋体" w:hAnsi="宋体" w:cs="宋体" w:eastAsia="宋体" w:hint="default"/>
                <w:sz w:val="20"/>
                <w:szCs w:val="20"/>
              </w:rPr>
              <w:t>企业的表决</w:t>
            </w:r>
            <w:r>
              <w:rPr>
                <w:rFonts w:ascii="宋体" w:hAnsi="宋体" w:cs="宋体" w:eastAsia="宋体" w:hint="default"/>
                <w:w w:val="99"/>
                <w:sz w:val="20"/>
                <w:szCs w:val="20"/>
              </w:rPr>
              <w:t> </w:t>
            </w:r>
            <w:r>
              <w:rPr>
                <w:rFonts w:ascii="宋体" w:hAnsi="宋体" w:cs="宋体" w:eastAsia="宋体" w:hint="default"/>
                <w:sz w:val="20"/>
                <w:szCs w:val="20"/>
              </w:rPr>
              <w:t>权比例（</w:t>
            </w:r>
            <w:r>
              <w:rPr>
                <w:rFonts w:ascii="宋体" w:hAnsi="宋体" w:cs="宋体" w:eastAsia="宋体" w:hint="default"/>
                <w:sz w:val="20"/>
                <w:szCs w:val="20"/>
              </w:rPr>
              <w:t>%) </w:t>
            </w:r>
          </w:p>
        </w:tc>
      </w:tr>
      <w:tr>
        <w:trPr>
          <w:trHeight w:val="835" w:hRule="exact"/>
        </w:trPr>
        <w:tc>
          <w:tcPr>
            <w:tcW w:w="2285"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102"/>
              <w:ind w:left="28" w:right="147"/>
              <w:jc w:val="left"/>
              <w:rPr>
                <w:rFonts w:ascii="宋体" w:hAnsi="宋体" w:cs="宋体" w:eastAsia="宋体" w:hint="default"/>
                <w:sz w:val="21"/>
                <w:szCs w:val="21"/>
              </w:rPr>
            </w:pPr>
            <w:r>
              <w:rPr>
                <w:rFonts w:ascii="宋体" w:hAnsi="宋体" w:cs="宋体" w:eastAsia="宋体" w:hint="default"/>
                <w:spacing w:val="-2"/>
                <w:sz w:val="21"/>
                <w:szCs w:val="21"/>
              </w:rPr>
              <w:t>黑龙江北大荒农垦集团</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总公司</w:t>
            </w:r>
            <w:r>
              <w:rPr>
                <w:rFonts w:ascii="宋体" w:hAnsi="宋体" w:cs="宋体" w:eastAsia="宋体" w:hint="default"/>
                <w:sz w:val="21"/>
                <w:szCs w:val="21"/>
              </w:rPr>
              <w:t> </w:t>
            </w:r>
          </w:p>
        </w:tc>
        <w:tc>
          <w:tcPr>
            <w:tcW w:w="998"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hAnsi="宋体" w:cs="宋体" w:eastAsia="宋体" w:hint="default"/>
                <w:spacing w:val="-2"/>
                <w:sz w:val="21"/>
                <w:szCs w:val="21"/>
              </w:rPr>
              <w:t>哈尔滨市</w:t>
            </w:r>
            <w:r>
              <w:rPr>
                <w:rFonts w:ascii="宋体" w:hAnsi="宋体" w:cs="宋体" w:eastAsia="宋体" w:hint="default"/>
                <w:sz w:val="21"/>
                <w:szCs w:val="21"/>
              </w:rPr>
              <w:t> </w:t>
            </w:r>
          </w:p>
        </w:tc>
        <w:tc>
          <w:tcPr>
            <w:tcW w:w="2280" w:type="dxa"/>
            <w:tcBorders>
              <w:top w:val="single" w:sz="4" w:space="0" w:color="41B7EE"/>
              <w:left w:val="single" w:sz="4" w:space="0" w:color="41B7EE"/>
              <w:bottom w:val="single" w:sz="8" w:space="0" w:color="41B7EE"/>
              <w:right w:val="single" w:sz="10" w:space="0" w:color="FFFFFF"/>
            </w:tcBorders>
          </w:tcPr>
          <w:p>
            <w:pPr>
              <w:pStyle w:val="TableParagraph"/>
              <w:spacing w:line="240" w:lineRule="exact"/>
              <w:ind w:left="21" w:right="-51"/>
              <w:jc w:val="left"/>
              <w:rPr>
                <w:rFonts w:ascii="宋体" w:hAnsi="宋体" w:cs="宋体" w:eastAsia="宋体" w:hint="default"/>
                <w:sz w:val="21"/>
                <w:szCs w:val="21"/>
              </w:rPr>
            </w:pPr>
            <w:r>
              <w:rPr>
                <w:rFonts w:ascii="宋体" w:hAnsi="宋体" w:cs="宋体" w:eastAsia="宋体" w:hint="default"/>
                <w:spacing w:val="-10"/>
                <w:sz w:val="21"/>
                <w:szCs w:val="21"/>
              </w:rPr>
              <w:t>农业牧渔业、采掘、生产</w:t>
            </w:r>
          </w:p>
          <w:p>
            <w:pPr>
              <w:pStyle w:val="TableParagraph"/>
              <w:spacing w:line="272" w:lineRule="exact" w:before="27"/>
              <w:ind w:left="21" w:right="-51"/>
              <w:jc w:val="left"/>
              <w:rPr>
                <w:rFonts w:ascii="宋体" w:hAnsi="宋体" w:cs="宋体" w:eastAsia="宋体" w:hint="default"/>
                <w:sz w:val="21"/>
                <w:szCs w:val="21"/>
              </w:rPr>
            </w:pPr>
            <w:r>
              <w:rPr>
                <w:rFonts w:ascii="宋体" w:hAnsi="宋体" w:cs="宋体" w:eastAsia="宋体" w:hint="default"/>
                <w:spacing w:val="-21"/>
                <w:w w:val="100"/>
                <w:sz w:val="21"/>
                <w:szCs w:val="21"/>
              </w:rPr>
              <w:t>加工业、交通运输、建筑、</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房地产开发等</w:t>
            </w:r>
            <w:r>
              <w:rPr>
                <w:rFonts w:ascii="宋体" w:hAnsi="宋体" w:cs="宋体" w:eastAsia="宋体" w:hint="default"/>
                <w:sz w:val="21"/>
                <w:szCs w:val="21"/>
              </w:rPr>
              <w:t> </w:t>
            </w:r>
          </w:p>
        </w:tc>
        <w:tc>
          <w:tcPr>
            <w:tcW w:w="1001" w:type="dxa"/>
            <w:tcBorders>
              <w:top w:val="single" w:sz="4" w:space="0" w:color="41B7EE"/>
              <w:left w:val="single" w:sz="10" w:space="0" w:color="FFFFFF"/>
              <w:bottom w:val="single" w:sz="8" w:space="0" w:color="41B7EE"/>
              <w:right w:val="single" w:sz="4" w:space="0" w:color="41B7EE"/>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6" w:right="0"/>
              <w:jc w:val="left"/>
              <w:rPr>
                <w:rFonts w:ascii="Arial" w:hAnsi="Arial" w:cs="Arial" w:eastAsia="Arial" w:hint="default"/>
                <w:sz w:val="21"/>
                <w:szCs w:val="21"/>
              </w:rPr>
            </w:pPr>
            <w:r>
              <w:rPr>
                <w:rFonts w:ascii="Arial"/>
                <w:sz w:val="21"/>
              </w:rPr>
              <w:t>1,021,491</w:t>
            </w:r>
          </w:p>
        </w:tc>
        <w:tc>
          <w:tcPr>
            <w:tcW w:w="1141"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80" w:right="0"/>
              <w:jc w:val="left"/>
              <w:rPr>
                <w:rFonts w:ascii="Arial" w:hAnsi="Arial" w:cs="Arial" w:eastAsia="Arial" w:hint="default"/>
                <w:sz w:val="21"/>
                <w:szCs w:val="21"/>
              </w:rPr>
            </w:pPr>
            <w:r>
              <w:rPr>
                <w:rFonts w:ascii="Arial"/>
                <w:sz w:val="21"/>
              </w:rPr>
              <w:t>64.14</w:t>
            </w:r>
          </w:p>
        </w:tc>
        <w:tc>
          <w:tcPr>
            <w:tcW w:w="1186"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26" w:right="0"/>
              <w:jc w:val="left"/>
              <w:rPr>
                <w:rFonts w:ascii="Arial" w:hAnsi="Arial" w:cs="Arial" w:eastAsia="Arial" w:hint="default"/>
                <w:sz w:val="21"/>
                <w:szCs w:val="21"/>
              </w:rPr>
            </w:pPr>
            <w:r>
              <w:rPr>
                <w:rFonts w:ascii="Arial"/>
                <w:sz w:val="21"/>
              </w:rPr>
              <w:t>64.14</w:t>
            </w:r>
          </w:p>
        </w:tc>
      </w:tr>
    </w:tbl>
    <w:p>
      <w:pPr>
        <w:spacing w:line="240" w:lineRule="auto" w:before="11"/>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2281;height:2" coordorigin="10,10" coordsize="2281,2">
              <v:shape style="position:absolute;left:10;top:10;width:2281;height:2" coordorigin="10,10" coordsize="2281,0" path="m10,10l2290,10e" filled="false" stroked="true" strokeweight=".96002pt" strokecolor="#41b7ee">
                <v:path arrowok="t"/>
              </v:shape>
            </v:group>
            <v:group style="position:absolute;left:2290;top:10;width:58;height:2" coordorigin="2290,10" coordsize="58,2">
              <v:shape style="position:absolute;left:2290;top:10;width:58;height:2" coordorigin="2290,10" coordsize="58,0" path="m2290,10l2348,10e" filled="false" stroked="true" strokeweight=".96002pt" strokecolor="#41b7ee">
                <v:path arrowok="t"/>
              </v:shape>
            </v:group>
            <v:group style="position:absolute;left:2348;top:10;width:941;height:2" coordorigin="2348,10" coordsize="941,2">
              <v:shape style="position:absolute;left:2348;top:10;width:941;height:2" coordorigin="2348,10" coordsize="941,0" path="m2348,10l3289,10e" filled="false" stroked="true" strokeweight=".96002pt" strokecolor="#41b7ee">
                <v:path arrowok="t"/>
              </v:shape>
            </v:group>
            <v:group style="position:absolute;left:3289;top:10;width:58;height:2" coordorigin="3289,10" coordsize="58,2">
              <v:shape style="position:absolute;left:3289;top:10;width:58;height:2" coordorigin="3289,10" coordsize="58,0" path="m3289,10l3346,10e" filled="false" stroked="true" strokeweight=".96002pt" strokecolor="#41b7ee">
                <v:path arrowok="t"/>
              </v:shape>
            </v:group>
            <v:group style="position:absolute;left:3346;top:10;width:2223;height:2" coordorigin="3346,10" coordsize="2223,2">
              <v:shape style="position:absolute;left:3346;top:10;width:2223;height:2" coordorigin="3346,10" coordsize="2223,0" path="m3346,10l5569,10e" filled="false" stroked="true" strokeweight=".96002pt" strokecolor="#41b7ee">
                <v:path arrowok="t"/>
              </v:shape>
            </v:group>
            <v:group style="position:absolute;left:5569;top:10;width:58;height:2" coordorigin="5569,10" coordsize="58,2">
              <v:shape style="position:absolute;left:5569;top:10;width:58;height:2" coordorigin="5569,10" coordsize="58,0" path="m5569,10l5627,10e" filled="false" stroked="true" strokeweight=".96002pt" strokecolor="#41b7ee">
                <v:path arrowok="t"/>
              </v:shape>
            </v:group>
            <v:group style="position:absolute;left:5627;top:10;width:944;height:2" coordorigin="5627,10" coordsize="944,2">
              <v:shape style="position:absolute;left:5627;top:10;width:944;height:2" coordorigin="5627,10" coordsize="944,0" path="m5627,10l6570,10e" filled="false" stroked="true" strokeweight=".96002pt" strokecolor="#41b7ee">
                <v:path arrowok="t"/>
              </v:shape>
            </v:group>
            <v:group style="position:absolute;left:6570;top:10;width:58;height:2" coordorigin="6570,10" coordsize="58,2">
              <v:shape style="position:absolute;left:6570;top:10;width:58;height:2" coordorigin="6570,10" coordsize="58,0" path="m6570,10l6627,10e" filled="false" stroked="true" strokeweight=".96002pt" strokecolor="#41b7ee">
                <v:path arrowok="t"/>
              </v:shape>
            </v:group>
            <v:group style="position:absolute;left:6627;top:10;width:1083;height:2" coordorigin="6627,10" coordsize="1083,2">
              <v:shape style="position:absolute;left:6627;top:10;width:1083;height:2" coordorigin="6627,10" coordsize="1083,0" path="m6627,10l7710,10e" filled="false" stroked="true" strokeweight=".96002pt" strokecolor="#41b7ee">
                <v:path arrowok="t"/>
              </v:shape>
            </v:group>
            <v:group style="position:absolute;left:7710;top:10;width:58;height:2" coordorigin="7710,10" coordsize="58,2">
              <v:shape style="position:absolute;left:7710;top:10;width:58;height:2" coordorigin="7710,10" coordsize="58,0" path="m7710,10l7768,10e" filled="false" stroked="true" strokeweight=".96002pt" strokecolor="#41b7ee">
                <v:path arrowok="t"/>
              </v:shape>
            </v:group>
            <v:group style="position:absolute;left:7768;top:10;width:1133;height:2" coordorigin="7768,10" coordsize="1133,2">
              <v:shape style="position:absolute;left:7768;top:10;width:1133;height:2" coordorigin="7768,10" coordsize="1133,0" path="m7768,10l8901,10e" filled="false" stroked="true" strokeweight=".96002pt" strokecolor="#41b7ee">
                <v:path arrowok="t"/>
              </v:shape>
            </v:group>
          </v:group>
        </w:pict>
      </w:r>
      <w:r>
        <w:rPr>
          <w:rFonts w:ascii="宋体" w:hAnsi="宋体" w:cs="宋体" w:eastAsia="宋体" w:hint="default"/>
          <w:sz w:val="2"/>
          <w:szCs w:val="2"/>
        </w:rPr>
      </w:r>
    </w:p>
    <w:p>
      <w:pPr>
        <w:pStyle w:val="BodyText"/>
        <w:spacing w:line="239" w:lineRule="exact"/>
        <w:ind w:left="158" w:right="0"/>
        <w:jc w:val="left"/>
        <w:rPr>
          <w:rFonts w:ascii="宋体" w:hAnsi="宋体" w:cs="宋体" w:eastAsia="宋体" w:hint="default"/>
        </w:rPr>
      </w:pPr>
      <w:r>
        <w:rPr/>
        <w:pict>
          <v:group style="position:absolute;margin-left:368.109985pt;margin-top:-29.55998pt;width:47.2pt;height:12.15pt;mso-position-horizontal-relative:page;mso-position-vertical-relative:paragraph;z-index:-938632" coordorigin="7362,-591" coordsize="944,243">
            <v:shape style="position:absolute;left:7362;top:-591;width:944;height:243" coordorigin="7362,-591" coordsize="944,243" path="m7362,-349l8305,-349,8305,-591,7362,-591,7362,-349xe" filled="true" fillcolor="#ffffff" stroked="false">
              <v:path arrowok="t"/>
              <v:fill type="solid"/>
            </v:shape>
            <w10:wrap type="none"/>
          </v:group>
        </w:pict>
      </w:r>
      <w:r>
        <w:rPr/>
        <w:t>本企业的母公司情况的说明：</w:t>
      </w:r>
      <w:r>
        <w:rPr>
          <w:rFonts w:ascii="宋体" w:hAnsi="宋体" w:cs="宋体" w:eastAsia="宋体" w:hint="default"/>
        </w:rPr>
        <w:t> </w:t>
      </w:r>
    </w:p>
    <w:p>
      <w:pPr>
        <w:pStyle w:val="BodyText"/>
        <w:spacing w:line="230" w:lineRule="auto" w:before="8"/>
        <w:ind w:left="158" w:right="208" w:firstLine="419"/>
        <w:jc w:val="both"/>
      </w:pPr>
      <w:r>
        <w:rPr>
          <w:spacing w:val="-2"/>
        </w:rPr>
        <w:t>黑龙江北大荒农垦集团总公司为本公司的控股股东，系经原黑龙江省经济体制改革委员会批</w:t>
      </w:r>
      <w:r>
        <w:rPr>
          <w:w w:val="100"/>
        </w:rPr>
        <w:t> </w:t>
      </w:r>
      <w:r>
        <w:rPr/>
        <w:t>准于</w:t>
      </w:r>
      <w:r>
        <w:rPr>
          <w:spacing w:val="-54"/>
        </w:rPr>
        <w:t> </w:t>
      </w:r>
      <w:r>
        <w:rPr>
          <w:rFonts w:ascii="Arial" w:hAnsi="Arial" w:cs="Arial" w:eastAsia="Arial" w:hint="default"/>
        </w:rPr>
        <w:t>1994</w:t>
      </w:r>
      <w:r>
        <w:rPr>
          <w:rFonts w:ascii="Arial" w:hAnsi="Arial" w:cs="Arial" w:eastAsia="Arial" w:hint="default"/>
          <w:spacing w:val="-7"/>
        </w:rPr>
        <w:t> </w:t>
      </w:r>
      <w:r>
        <w:rPr/>
        <w:t>年</w:t>
      </w:r>
      <w:r>
        <w:rPr>
          <w:spacing w:val="-56"/>
        </w:rPr>
        <w:t> </w:t>
      </w:r>
      <w:r>
        <w:rPr>
          <w:rFonts w:ascii="Arial" w:hAnsi="Arial" w:cs="Arial" w:eastAsia="Arial" w:hint="default"/>
        </w:rPr>
        <w:t>4</w:t>
      </w:r>
      <w:r>
        <w:rPr>
          <w:rFonts w:ascii="Arial" w:hAnsi="Arial" w:cs="Arial" w:eastAsia="Arial" w:hint="default"/>
          <w:spacing w:val="-7"/>
        </w:rPr>
        <w:t> </w:t>
      </w:r>
      <w:r>
        <w:rPr/>
        <w:t>月成立的大型国有资产运营公司，是原国家计委、原国家经贸委、原国家体改委</w:t>
      </w:r>
      <w:r>
        <w:rPr>
          <w:w w:val="100"/>
        </w:rPr>
        <w:t> </w:t>
      </w:r>
      <w:r>
        <w:rPr>
          <w:spacing w:val="-4"/>
        </w:rPr>
        <w:t>以计规划</w:t>
      </w:r>
      <w:r>
        <w:rPr>
          <w:color w:val="333333"/>
          <w:spacing w:val="-4"/>
          <w:sz w:val="20"/>
          <w:szCs w:val="20"/>
        </w:rPr>
        <w:t>〔</w:t>
      </w:r>
      <w:r>
        <w:rPr>
          <w:rFonts w:ascii="Arial" w:hAnsi="Arial" w:cs="Arial" w:eastAsia="Arial" w:hint="default"/>
          <w:spacing w:val="-4"/>
        </w:rPr>
        <w:t>1998</w:t>
      </w:r>
      <w:r>
        <w:rPr>
          <w:color w:val="333333"/>
          <w:spacing w:val="-4"/>
          <w:sz w:val="20"/>
          <w:szCs w:val="20"/>
        </w:rPr>
        <w:t>〕</w:t>
      </w:r>
      <w:r>
        <w:rPr>
          <w:rFonts w:ascii="Arial" w:hAnsi="Arial" w:cs="Arial" w:eastAsia="Arial" w:hint="default"/>
          <w:spacing w:val="-4"/>
        </w:rPr>
        <w:t>322 </w:t>
      </w:r>
      <w:r>
        <w:rPr/>
        <w:t>号文批准的国家</w:t>
      </w:r>
      <w:r>
        <w:rPr>
          <w:spacing w:val="-47"/>
        </w:rPr>
        <w:t> </w:t>
      </w:r>
      <w:r>
        <w:rPr>
          <w:rFonts w:ascii="Arial" w:hAnsi="Arial" w:cs="Arial" w:eastAsia="Arial" w:hint="default"/>
        </w:rPr>
        <w:t>120</w:t>
      </w:r>
      <w:r>
        <w:rPr>
          <w:rFonts w:ascii="Arial" w:hAnsi="Arial" w:cs="Arial" w:eastAsia="Arial" w:hint="default"/>
          <w:spacing w:val="-4"/>
        </w:rPr>
        <w:t> </w:t>
      </w:r>
      <w:r>
        <w:rPr/>
        <w:t>家大型企业试点集团</w:t>
      </w:r>
      <w:r>
        <w:rPr>
          <w:rFonts w:ascii="Arial" w:hAnsi="Arial" w:cs="Arial" w:eastAsia="Arial" w:hint="default"/>
        </w:rPr>
        <w:t>——</w:t>
      </w:r>
      <w:r>
        <w:rPr/>
        <w:t>黑龙江北大荒农垦集团的核</w:t>
      </w:r>
      <w:r>
        <w:rPr>
          <w:w w:val="100"/>
        </w:rPr>
        <w:t> </w:t>
      </w:r>
      <w:r>
        <w:rPr/>
        <w:t>心企业。</w:t>
      </w:r>
    </w:p>
    <w:p>
      <w:pPr>
        <w:spacing w:line="290" w:lineRule="auto" w:before="0"/>
        <w:ind w:left="158" w:right="3921" w:firstLine="419"/>
        <w:jc w:val="left"/>
        <w:rPr>
          <w:rFonts w:ascii="宋体" w:hAnsi="宋体" w:cs="宋体" w:eastAsia="宋体" w:hint="default"/>
          <w:sz w:val="21"/>
          <w:szCs w:val="21"/>
        </w:rPr>
      </w:pPr>
      <w:r>
        <w:rPr>
          <w:rFonts w:ascii="宋体" w:hAnsi="宋体" w:cs="宋体" w:eastAsia="宋体" w:hint="default"/>
          <w:sz w:val="21"/>
          <w:szCs w:val="21"/>
        </w:rPr>
        <w:t>本企业最终控制方是中华人民共和国农业农村部。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05"/>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w:t>
      </w:r>
      <w:r>
        <w:rPr>
          <w:rFonts w:ascii="宋体" w:hAnsi="宋体" w:cs="宋体" w:eastAsia="宋体" w:hint="default"/>
          <w:sz w:val="21"/>
          <w:szCs w:val="21"/>
        </w:rPr>
        <w:t> </w:t>
      </w:r>
    </w:p>
    <w:p>
      <w:pPr>
        <w:pStyle w:val="BodyText"/>
        <w:spacing w:line="228" w:lineRule="exact"/>
        <w:ind w:left="1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88" w:lineRule="exact"/>
        <w:ind w:left="158" w:right="0"/>
        <w:jc w:val="left"/>
      </w:pPr>
      <w:r>
        <w:rPr/>
        <w:t>详见附注九、</w:t>
      </w:r>
      <w:r>
        <w:rPr>
          <w:rFonts w:ascii="Arial" w:hAnsi="Arial" w:cs="Arial" w:eastAsia="Arial" w:hint="default"/>
        </w:rPr>
        <w:t>1</w:t>
      </w:r>
      <w:r>
        <w:rPr/>
        <w:t>、在子公司中的权益。</w:t>
      </w:r>
    </w:p>
    <w:p>
      <w:pPr>
        <w:spacing w:after="0" w:line="288" w:lineRule="exact"/>
        <w:jc w:val="left"/>
        <w:sectPr>
          <w:pgSz w:w="11910" w:h="16840"/>
          <w:pgMar w:header="0" w:footer="1195" w:top="1360" w:bottom="1380" w:left="1640" w:right="1060"/>
        </w:sectPr>
      </w:pPr>
    </w:p>
    <w:p>
      <w:pPr>
        <w:spacing w:line="292" w:lineRule="auto" w:before="119"/>
        <w:ind w:left="23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z w:val="21"/>
          <w:szCs w:val="21"/>
        </w:rPr>
        <w:t>本企业重要的合营或联营企业详见附注九、</w:t>
      </w:r>
      <w:r>
        <w:rPr>
          <w:rFonts w:ascii="Arial" w:hAnsi="Arial" w:cs="Arial" w:eastAsia="Arial" w:hint="default"/>
          <w:sz w:val="21"/>
          <w:szCs w:val="21"/>
        </w:rPr>
        <w:t>3</w:t>
      </w:r>
      <w:r>
        <w:rPr>
          <w:rFonts w:ascii="宋体" w:hAnsi="宋体" w:cs="宋体" w:eastAsia="宋体" w:hint="default"/>
          <w:sz w:val="21"/>
          <w:szCs w:val="21"/>
        </w:rPr>
        <w:t>、在合营企业或联营企业中的权益。</w:t>
      </w:r>
      <w:r>
        <w:rPr>
          <w:rFonts w:ascii="宋体" w:hAnsi="宋体" w:cs="宋体" w:eastAsia="宋体" w:hint="default"/>
          <w:sz w:val="21"/>
          <w:szCs w:val="21"/>
        </w:rPr>
        <w:t> </w:t>
      </w:r>
    </w:p>
    <w:p>
      <w:pPr>
        <w:pStyle w:val="BodyText"/>
        <w:spacing w:line="204"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38" w:right="0"/>
        <w:jc w:val="left"/>
        <w:rPr>
          <w:rFonts w:ascii="宋体" w:hAnsi="宋体" w:cs="宋体" w:eastAsia="宋体" w:hint="default"/>
        </w:rPr>
      </w:pPr>
      <w:r>
        <w:rPr>
          <w:spacing w:val="-2"/>
        </w:rPr>
        <w:t>本期与本公司发生关联方交易，或前期与本公司发生关联方交易形成余额的其他合营或联营企业</w:t>
      </w:r>
      <w:r>
        <w:rPr>
          <w:spacing w:val="-25"/>
        </w:rPr>
        <w:t> </w:t>
      </w:r>
      <w:r>
        <w:rPr>
          <w:spacing w:val="-25"/>
        </w:rPr>
      </w:r>
      <w:r>
        <w:rPr/>
        <w:t>情况如下</w:t>
      </w:r>
      <w:r>
        <w:rPr>
          <w:rFonts w:ascii="宋体" w:hAnsi="宋体" w:cs="宋体" w:eastAsia="宋体" w:hint="default"/>
        </w:rPr>
        <w:t> </w:t>
      </w:r>
    </w:p>
    <w:p>
      <w:pPr>
        <w:pStyle w:val="BodyText"/>
        <w:spacing w:line="249"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645;height:2" coordorigin="10,10" coordsize="4645,2">
              <v:shape style="position:absolute;left:10;top:10;width:4645;height:2" coordorigin="10,10" coordsize="4645,0" path="m10,10l4654,10e" filled="false" stroked="true" strokeweight=".96001pt" strokecolor="#41b7ee">
                <v:path arrowok="t"/>
              </v:shape>
            </v:group>
            <v:group style="position:absolute;left:4654;top:10;width:58;height:2" coordorigin="4654,10" coordsize="58,2">
              <v:shape style="position:absolute;left:4654;top:10;width:58;height:2" coordorigin="4654,10" coordsize="58,0" path="m4654,10l4712,10e" filled="false" stroked="true" strokeweight=".96001pt" strokecolor="#41b7ee">
                <v:path arrowok="t"/>
              </v:shape>
            </v:group>
            <v:group style="position:absolute;left:4712;top:10;width:4348;height:2" coordorigin="4712,10" coordsize="4348,2">
              <v:shape style="position:absolute;left:4712;top:10;width:4348;height:2" coordorigin="4712,10" coordsize="4348,0" path="m4712,10l9059,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4649"/>
        <w:gridCol w:w="4400"/>
      </w:tblGrid>
      <w:tr>
        <w:trPr>
          <w:trHeight w:val="365" w:hRule="exact"/>
        </w:trPr>
        <w:tc>
          <w:tcPr>
            <w:tcW w:w="4649"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6"/>
              <w:ind w:left="1377"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r>
              <w:rPr>
                <w:rFonts w:ascii="宋体" w:hAnsi="宋体" w:cs="宋体" w:eastAsia="宋体" w:hint="default"/>
                <w:sz w:val="21"/>
                <w:szCs w:val="21"/>
              </w:rPr>
              <w:t> </w:t>
            </w:r>
          </w:p>
        </w:tc>
        <w:tc>
          <w:tcPr>
            <w:tcW w:w="4400"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6"/>
              <w:ind w:left="96" w:right="0"/>
              <w:jc w:val="center"/>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r>
      <w:tr>
        <w:trPr>
          <w:trHeight w:val="358" w:hRule="exact"/>
        </w:trPr>
        <w:tc>
          <w:tcPr>
            <w:tcW w:w="464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哈尔滨乔仕房地产开发有限公司</w:t>
            </w:r>
            <w:r>
              <w:rPr>
                <w:rFonts w:ascii="宋体" w:hAnsi="宋体" w:cs="宋体" w:eastAsia="宋体" w:hint="default"/>
                <w:sz w:val="21"/>
                <w:szCs w:val="21"/>
              </w:rPr>
              <w:t> </w:t>
            </w:r>
          </w:p>
        </w:tc>
        <w:tc>
          <w:tcPr>
            <w:tcW w:w="440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355" w:hRule="exact"/>
        </w:trPr>
        <w:tc>
          <w:tcPr>
            <w:tcW w:w="464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黑龙江北大荒浩良河化肥有限公司</w:t>
            </w:r>
            <w:r>
              <w:rPr>
                <w:rFonts w:ascii="宋体" w:hAnsi="宋体" w:cs="宋体" w:eastAsia="宋体" w:hint="default"/>
                <w:sz w:val="21"/>
                <w:szCs w:val="21"/>
              </w:rPr>
              <w:t> </w:t>
            </w:r>
          </w:p>
        </w:tc>
        <w:tc>
          <w:tcPr>
            <w:tcW w:w="440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384" w:hRule="exact"/>
        </w:trPr>
        <w:tc>
          <w:tcPr>
            <w:tcW w:w="4649"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北大荒龙麦农业股份有限公司</w:t>
            </w:r>
            <w:r>
              <w:rPr>
                <w:rFonts w:ascii="宋体" w:hAnsi="宋体" w:cs="宋体" w:eastAsia="宋体" w:hint="default"/>
                <w:sz w:val="21"/>
                <w:szCs w:val="21"/>
              </w:rPr>
              <w:t> </w:t>
            </w:r>
          </w:p>
        </w:tc>
        <w:tc>
          <w:tcPr>
            <w:tcW w:w="4400"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bl>
    <w:p>
      <w:pPr>
        <w:pStyle w:val="Heading2"/>
        <w:spacing w:line="240" w:lineRule="auto" w:before="44"/>
        <w:ind w:left="238" w:right="0"/>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9"/>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5809"/>
        <w:gridCol w:w="3240"/>
      </w:tblGrid>
      <w:tr>
        <w:trPr>
          <w:trHeight w:val="384" w:hRule="exact"/>
        </w:trPr>
        <w:tc>
          <w:tcPr>
            <w:tcW w:w="5809"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left="107" w:right="0"/>
              <w:jc w:val="center"/>
              <w:rPr>
                <w:rFonts w:ascii="宋体" w:hAnsi="宋体" w:cs="宋体" w:eastAsia="宋体" w:hint="default"/>
                <w:sz w:val="21"/>
                <w:szCs w:val="21"/>
              </w:rPr>
            </w:pPr>
            <w:r>
              <w:rPr>
                <w:rFonts w:ascii="宋体" w:hAnsi="宋体" w:cs="宋体" w:eastAsia="宋体" w:hint="default"/>
                <w:sz w:val="21"/>
                <w:szCs w:val="21"/>
              </w:rPr>
              <w:t>其他关联方名称</w:t>
            </w:r>
            <w:r>
              <w:rPr>
                <w:rFonts w:ascii="宋体" w:hAnsi="宋体" w:cs="宋体" w:eastAsia="宋体" w:hint="default"/>
                <w:sz w:val="21"/>
                <w:szCs w:val="21"/>
              </w:rPr>
              <w:t> </w:t>
            </w:r>
          </w:p>
        </w:tc>
        <w:tc>
          <w:tcPr>
            <w:tcW w:w="3240"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458"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r>
              <w:rPr>
                <w:rFonts w:ascii="宋体" w:hAnsi="宋体" w:cs="宋体" w:eastAsia="宋体" w:hint="default"/>
                <w:sz w:val="21"/>
                <w:szCs w:val="21"/>
              </w:rPr>
              <w:t> </w:t>
            </w:r>
          </w:p>
        </w:tc>
      </w:tr>
      <w:tr>
        <w:trPr>
          <w:trHeight w:val="355"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黑龙江省友谊农场</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58"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黑龙江省八五二农场</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58"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黑龙江省八五三农场</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58"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黑龙江省八五九农场</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55"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黑龙江省七星农场</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58"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黑龙江省青龙山农场</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58"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黑龙江省勤得利农场</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58"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黑龙江省八五四农场</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56"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黑龙江省八五六农场</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58"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黑龙江省庆丰农场</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58"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黑龙江省新华农场</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58"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黑龙江省江滨农场</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55"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黑龙江省二九〇农场</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58"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黑龙江省牡丹江农垦山城供热有限公司</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58"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黑龙江省龙谊麦业有限公司</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58"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黑龙江省建三江农垦三江热电有限责任公司</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55"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黑龙江北大荒农垦集团农业生产资料有限公司</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58"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阳光农业相互保险公司</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58"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北大荒通用航空有限公司</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58"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黑龙江农垦通信有限公司</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55"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北大荒垦丰种业股份有限公司</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58"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黑龙江省北大荒米业集团有限公司</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58"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黑龙江省北大荒米业集团有限公司二九一制米厂</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58"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黑龙江北大荒麦芽有限公司</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55"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北大荒绿源食品加工有限公司</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65" w:hRule="exact"/>
        </w:trPr>
        <w:tc>
          <w:tcPr>
            <w:tcW w:w="5809"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黑龙江北大荒粮油经销总公司</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bl>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5805;height:2" coordorigin="10,10" coordsize="5805,2">
              <v:shape style="position:absolute;left:10;top:10;width:5805;height:2" coordorigin="10,10" coordsize="5805,0" path="m10,10l5814,10e" filled="false" stroked="true" strokeweight=".96002pt" strokecolor="#41b7ee">
                <v:path arrowok="t"/>
              </v:shape>
            </v:group>
            <v:group style="position:absolute;left:5814;top:10;width:58;height:2" coordorigin="5814,10" coordsize="58,2">
              <v:shape style="position:absolute;left:5814;top:10;width:58;height:2" coordorigin="5814,10" coordsize="58,0" path="m5814,10l5871,10e" filled="false" stroked="true" strokeweight=".96002pt" strokecolor="#41b7ee">
                <v:path arrowok="t"/>
              </v:shape>
            </v:group>
            <v:group style="position:absolute;left:5871;top:10;width:3188;height:2" coordorigin="5871,10" coordsize="3188,2">
              <v:shape style="position:absolute;left:5871;top:10;width:3188;height:2" coordorigin="5871,10" coordsize="3188,0" path="m5871,10l9059,10e" filled="false" stroked="true" strokeweight=".96002pt" strokecolor="#41b7ee">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5" w:top="1360" w:bottom="1380" w:left="1560" w:right="1000"/>
        </w:sectPr>
      </w:pPr>
    </w:p>
    <w:p>
      <w:pPr>
        <w:spacing w:line="240" w:lineRule="auto" w:before="10"/>
        <w:rPr>
          <w:rFonts w:ascii="宋体" w:hAnsi="宋体" w:cs="宋体" w:eastAsia="宋体" w:hint="default"/>
          <w:sz w:val="11"/>
          <w:szCs w:val="11"/>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5805;height:2" coordorigin="10,10" coordsize="5805,2">
              <v:shape style="position:absolute;left:10;top:10;width:5805;height:2" coordorigin="10,10" coordsize="5805,0" path="m10,10l5814,10e" filled="false" stroked="true" strokeweight=".96001pt" strokecolor="#41b7ee">
                <v:path arrowok="t"/>
              </v:shape>
            </v:group>
            <v:group style="position:absolute;left:5814;top:10;width:58;height:2" coordorigin="5814,10" coordsize="58,2">
              <v:shape style="position:absolute;left:5814;top:10;width:58;height:2" coordorigin="5814,10" coordsize="58,0" path="m5814,10l5871,10e" filled="false" stroked="true" strokeweight=".96001pt" strokecolor="#41b7ee">
                <v:path arrowok="t"/>
              </v:shape>
            </v:group>
            <v:group style="position:absolute;left:5871;top:10;width:3188;height:2" coordorigin="5871,10" coordsize="3188,2">
              <v:shape style="position:absolute;left:5871;top:10;width:3188;height:2" coordorigin="5871,10" coordsize="3188,0" path="m5871,10l9059,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5809"/>
        <w:gridCol w:w="3240"/>
      </w:tblGrid>
      <w:tr>
        <w:trPr>
          <w:trHeight w:val="365" w:hRule="exact"/>
        </w:trPr>
        <w:tc>
          <w:tcPr>
            <w:tcW w:w="5809"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7"/>
              <w:ind w:left="107" w:right="0"/>
              <w:jc w:val="left"/>
              <w:rPr>
                <w:rFonts w:ascii="宋体" w:hAnsi="宋体" w:cs="宋体" w:eastAsia="宋体" w:hint="default"/>
                <w:sz w:val="21"/>
                <w:szCs w:val="21"/>
              </w:rPr>
            </w:pPr>
            <w:r>
              <w:rPr>
                <w:rFonts w:ascii="宋体" w:hAnsi="宋体" w:cs="宋体" w:eastAsia="宋体" w:hint="default"/>
                <w:sz w:val="21"/>
                <w:szCs w:val="21"/>
              </w:rPr>
              <w:t>北大荒建设集团有限公司</w:t>
            </w:r>
            <w:r>
              <w:rPr>
                <w:rFonts w:ascii="宋体" w:hAnsi="宋体" w:cs="宋体" w:eastAsia="宋体" w:hint="default"/>
                <w:sz w:val="21"/>
                <w:szCs w:val="21"/>
              </w:rPr>
              <w:t> </w:t>
            </w:r>
          </w:p>
        </w:tc>
        <w:tc>
          <w:tcPr>
            <w:tcW w:w="3240"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58"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黑龙江鑫都房地产开发有限公司</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58"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黑龙江省建三江农垦海纳粮食贸易有限责任公司</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55"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黑龙江北大荒集团红兴隆农研有限公司</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58"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黑龙江金香源农资有限公司</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58"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黑龙江北大荒种业集团农业生产资料有限公司</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58"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黑龙江省农垦建筑设计院</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55"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北大荒粮食物流有限公司牡丹江分公司</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58"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黑龙江农垦北大荒数据通信有限公司</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58"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黑龙江省建三江农垦通信有限责任公司</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58"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九三粮油工业集团有限公司</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55"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黑龙江省浩良河化肥厂</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58"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中化北大荒农资有限公司</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58"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黑龙江北大荒农化科技有限公司</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58"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黑龙江省牡丹江农垦建筑工程有限公司</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r>
        <w:trPr>
          <w:trHeight w:val="382" w:hRule="exact"/>
        </w:trPr>
        <w:tc>
          <w:tcPr>
            <w:tcW w:w="5809"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黑龙江农垦泰盛建筑工程有限公司</w:t>
            </w:r>
            <w:r>
              <w:rPr>
                <w:rFonts w:ascii="宋体" w:hAnsi="宋体" w:cs="宋体" w:eastAsia="宋体" w:hint="default"/>
                <w:sz w:val="21"/>
                <w:szCs w:val="21"/>
              </w:rPr>
              <w:t> </w:t>
            </w:r>
          </w:p>
        </w:tc>
        <w:tc>
          <w:tcPr>
            <w:tcW w:w="3240"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r>
              <w:rPr>
                <w:rFonts w:ascii="宋体" w:hAnsi="宋体" w:cs="宋体" w:eastAsia="宋体" w:hint="default"/>
                <w:sz w:val="21"/>
                <w:szCs w:val="21"/>
              </w:rPr>
              <w:t> </w:t>
            </w:r>
          </w:p>
        </w:tc>
      </w:tr>
    </w:tbl>
    <w:p>
      <w:pPr>
        <w:pStyle w:val="BodyText"/>
        <w:spacing w:line="259" w:lineRule="exact"/>
        <w:ind w:left="23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before="27"/>
        <w:ind w:left="238" w:right="0" w:firstLine="419"/>
        <w:jc w:val="left"/>
        <w:rPr>
          <w:rFonts w:ascii="宋体" w:hAnsi="宋体" w:cs="宋体" w:eastAsia="宋体" w:hint="default"/>
        </w:rPr>
      </w:pPr>
      <w:r>
        <w:rPr>
          <w:spacing w:val="-5"/>
          <w:w w:val="100"/>
        </w:rPr>
        <w:t>黑龙江北大荒种业集团金香源农资有限公司原为受同一母公司控制，</w:t>
      </w:r>
      <w:r>
        <w:rPr>
          <w:rFonts w:ascii="Arial" w:hAnsi="Arial" w:cs="Arial" w:eastAsia="Arial" w:hint="default"/>
          <w:spacing w:val="-5"/>
          <w:w w:val="100"/>
        </w:rPr>
        <w:t>2019</w:t>
      </w:r>
      <w:r>
        <w:rPr>
          <w:rFonts w:ascii="Arial" w:hAnsi="Arial" w:cs="Arial" w:eastAsia="Arial" w:hint="default"/>
          <w:w w:val="100"/>
        </w:rPr>
        <w:t> </w:t>
      </w:r>
      <w:r>
        <w:rPr>
          <w:w w:val="100"/>
        </w:rPr>
        <w:t>年 </w:t>
      </w:r>
      <w:r>
        <w:rPr>
          <w:rFonts w:ascii="Arial" w:hAnsi="Arial" w:cs="Arial" w:eastAsia="Arial" w:hint="default"/>
          <w:w w:val="100"/>
        </w:rPr>
        <w:t>8</w:t>
      </w:r>
      <w:r>
        <w:rPr>
          <w:rFonts w:ascii="Arial" w:hAnsi="Arial" w:cs="Arial" w:eastAsia="Arial" w:hint="default"/>
          <w:spacing w:val="-41"/>
          <w:w w:val="100"/>
        </w:rPr>
        <w:t> </w:t>
      </w:r>
      <w:r>
        <w:rPr>
          <w:spacing w:val="-2"/>
          <w:w w:val="100"/>
        </w:rPr>
        <w:t>月股权变更，</w:t>
      </w:r>
      <w:r>
        <w:rPr>
          <w:w w:val="100"/>
        </w:rPr>
        <w:t> </w:t>
      </w:r>
      <w:r>
        <w:rPr/>
        <w:t>不再属于受同一母公司控制，且更名为黑龙江金香源农资有限公司。</w:t>
      </w:r>
      <w:r>
        <w:rPr>
          <w:rFonts w:ascii="宋体" w:hAnsi="宋体" w:cs="宋体" w:eastAsia="宋体" w:hint="default"/>
        </w:rPr>
        <w:t> </w:t>
      </w:r>
    </w:p>
    <w:p>
      <w:pPr>
        <w:spacing w:line="290" w:lineRule="auto" w:before="34"/>
        <w:ind w:left="238" w:right="3433"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r>
        <w:rPr>
          <w:rFonts w:ascii="宋体" w:hAnsi="宋体" w:cs="宋体" w:eastAsia="宋体" w:hint="default"/>
          <w:sz w:val="21"/>
          <w:szCs w:val="21"/>
        </w:rPr>
        <w:t> </w:t>
      </w:r>
    </w:p>
    <w:p>
      <w:pPr>
        <w:pStyle w:val="BodyText"/>
        <w:spacing w:line="227"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6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line="240" w:lineRule="auto" w:before="4"/>
        <w:rPr>
          <w:rFonts w:ascii="宋体" w:hAnsi="宋体" w:cs="宋体" w:eastAsia="宋体" w:hint="default"/>
          <w:b/>
          <w:bCs/>
          <w:sz w:val="2"/>
          <w:szCs w:val="2"/>
        </w:rPr>
      </w:pPr>
    </w:p>
    <w:tbl>
      <w:tblPr>
        <w:tblW w:w="0" w:type="auto"/>
        <w:jc w:val="left"/>
        <w:tblInd w:w="178" w:type="dxa"/>
        <w:tblLayout w:type="fixed"/>
        <w:tblCellMar>
          <w:top w:w="0" w:type="dxa"/>
          <w:left w:w="0" w:type="dxa"/>
          <w:bottom w:w="0" w:type="dxa"/>
          <w:right w:w="0" w:type="dxa"/>
        </w:tblCellMar>
        <w:tblLook w:val="01E0"/>
      </w:tblPr>
      <w:tblGrid>
        <w:gridCol w:w="3999"/>
        <w:gridCol w:w="1572"/>
        <w:gridCol w:w="1714"/>
        <w:gridCol w:w="1610"/>
      </w:tblGrid>
      <w:tr>
        <w:trPr>
          <w:trHeight w:val="384" w:hRule="exact"/>
        </w:trPr>
        <w:tc>
          <w:tcPr>
            <w:tcW w:w="3999"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left="107"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572"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left="148"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1714"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left="32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610"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27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55" w:hRule="exact"/>
        </w:trPr>
        <w:tc>
          <w:tcPr>
            <w:tcW w:w="399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北大荒垦丰种业股份有限公司</w:t>
            </w:r>
            <w:r>
              <w:rPr>
                <w:rFonts w:ascii="宋体" w:hAnsi="宋体" w:cs="宋体" w:eastAsia="宋体" w:hint="default"/>
                <w:sz w:val="21"/>
                <w:szCs w:val="21"/>
              </w:rPr>
              <w:t> </w:t>
            </w:r>
          </w:p>
        </w:tc>
        <w:tc>
          <w:tcPr>
            <w:tcW w:w="157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采购农用物资</w:t>
            </w:r>
            <w:r>
              <w:rPr>
                <w:rFonts w:ascii="宋体" w:hAnsi="宋体" w:cs="宋体" w:eastAsia="宋体" w:hint="default"/>
                <w:sz w:val="21"/>
                <w:szCs w:val="21"/>
              </w:rPr>
              <w:t> </w:t>
            </w:r>
          </w:p>
        </w:tc>
        <w:tc>
          <w:tcPr>
            <w:tcW w:w="171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39,552.50</w:t>
            </w:r>
          </w:p>
        </w:tc>
        <w:tc>
          <w:tcPr>
            <w:tcW w:w="16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49,125.50</w:t>
            </w:r>
          </w:p>
        </w:tc>
      </w:tr>
      <w:tr>
        <w:trPr>
          <w:trHeight w:val="358" w:hRule="exact"/>
        </w:trPr>
        <w:tc>
          <w:tcPr>
            <w:tcW w:w="3999" w:type="dxa"/>
            <w:tcBorders>
              <w:top w:val="single" w:sz="4" w:space="0" w:color="41B7EE"/>
              <w:left w:val="nil" w:sz="6" w:space="0" w:color="auto"/>
              <w:bottom w:val="single" w:sz="4" w:space="0" w:color="41B7EE"/>
              <w:right w:val="single" w:sz="10" w:space="0" w:color="FFFFFF"/>
            </w:tcBorders>
          </w:tcPr>
          <w:p>
            <w:pPr>
              <w:pStyle w:val="TableParagraph"/>
              <w:spacing w:line="240" w:lineRule="auto" w:before="4"/>
              <w:ind w:left="31" w:right="-32"/>
              <w:jc w:val="left"/>
              <w:rPr>
                <w:rFonts w:ascii="宋体" w:hAnsi="宋体" w:cs="宋体" w:eastAsia="宋体" w:hint="default"/>
                <w:sz w:val="21"/>
                <w:szCs w:val="21"/>
              </w:rPr>
            </w:pPr>
            <w:r>
              <w:rPr>
                <w:rFonts w:ascii="宋体" w:hAnsi="宋体" w:cs="宋体" w:eastAsia="宋体" w:hint="default"/>
                <w:spacing w:val="-18"/>
                <w:sz w:val="21"/>
                <w:szCs w:val="21"/>
              </w:rPr>
              <w:t>黑龙江北大荒农垦集团农业生产资料有限公司</w:t>
            </w:r>
            <w:r>
              <w:rPr>
                <w:rFonts w:ascii="宋体" w:hAnsi="宋体" w:cs="宋体" w:eastAsia="宋体" w:hint="default"/>
                <w:sz w:val="21"/>
                <w:szCs w:val="21"/>
              </w:rPr>
              <w:t> </w:t>
            </w:r>
          </w:p>
        </w:tc>
        <w:tc>
          <w:tcPr>
            <w:tcW w:w="1572" w:type="dxa"/>
            <w:tcBorders>
              <w:top w:val="single" w:sz="4" w:space="0" w:color="41B7EE"/>
              <w:left w:val="single" w:sz="10" w:space="0" w:color="FFFFFF"/>
              <w:bottom w:val="single" w:sz="4" w:space="0" w:color="41B7EE"/>
              <w:right w:val="single" w:sz="4" w:space="0" w:color="41B7EE"/>
            </w:tcBorders>
          </w:tcPr>
          <w:p>
            <w:pPr>
              <w:pStyle w:val="TableParagraph"/>
              <w:spacing w:line="240" w:lineRule="auto" w:before="4"/>
              <w:ind w:left="16" w:right="0"/>
              <w:jc w:val="left"/>
              <w:rPr>
                <w:rFonts w:ascii="宋体" w:hAnsi="宋体" w:cs="宋体" w:eastAsia="宋体" w:hint="default"/>
                <w:sz w:val="21"/>
                <w:szCs w:val="21"/>
              </w:rPr>
            </w:pPr>
            <w:r>
              <w:rPr>
                <w:rFonts w:ascii="宋体" w:hAnsi="宋体" w:cs="宋体" w:eastAsia="宋体" w:hint="default"/>
                <w:sz w:val="21"/>
                <w:szCs w:val="21"/>
              </w:rPr>
              <w:t>采购农用物资</w:t>
            </w:r>
            <w:r>
              <w:rPr>
                <w:rFonts w:ascii="宋体" w:hAnsi="宋体" w:cs="宋体" w:eastAsia="宋体" w:hint="default"/>
                <w:sz w:val="21"/>
                <w:szCs w:val="21"/>
              </w:rPr>
              <w:t> </w:t>
            </w:r>
          </w:p>
        </w:tc>
        <w:tc>
          <w:tcPr>
            <w:tcW w:w="171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22"/>
              <w:jc w:val="right"/>
              <w:rPr>
                <w:rFonts w:ascii="Arial" w:hAnsi="Arial" w:cs="Arial" w:eastAsia="Arial" w:hint="default"/>
                <w:sz w:val="21"/>
                <w:szCs w:val="21"/>
              </w:rPr>
            </w:pPr>
            <w:r>
              <w:rPr>
                <w:rFonts w:ascii="Arial"/>
                <w:spacing w:val="-1"/>
                <w:sz w:val="21"/>
              </w:rPr>
              <w:t>296,587,411.01</w:t>
            </w:r>
          </w:p>
        </w:tc>
        <w:tc>
          <w:tcPr>
            <w:tcW w:w="16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right="26"/>
              <w:jc w:val="right"/>
              <w:rPr>
                <w:rFonts w:ascii="Arial" w:hAnsi="Arial" w:cs="Arial" w:eastAsia="Arial" w:hint="default"/>
                <w:sz w:val="21"/>
                <w:szCs w:val="21"/>
              </w:rPr>
            </w:pPr>
            <w:r>
              <w:rPr>
                <w:rFonts w:ascii="Arial"/>
                <w:spacing w:val="-1"/>
                <w:sz w:val="21"/>
              </w:rPr>
              <w:t>239,997,819.49</w:t>
            </w:r>
          </w:p>
        </w:tc>
      </w:tr>
      <w:tr>
        <w:trPr>
          <w:trHeight w:val="358" w:hRule="exact"/>
        </w:trPr>
        <w:tc>
          <w:tcPr>
            <w:tcW w:w="399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黑龙江北大荒农化科技有限公司</w:t>
            </w:r>
            <w:r>
              <w:rPr>
                <w:rFonts w:ascii="宋体" w:hAnsi="宋体" w:cs="宋体" w:eastAsia="宋体" w:hint="default"/>
                <w:sz w:val="21"/>
                <w:szCs w:val="21"/>
              </w:rPr>
              <w:t> </w:t>
            </w:r>
          </w:p>
        </w:tc>
        <w:tc>
          <w:tcPr>
            <w:tcW w:w="157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采购农用物资</w:t>
            </w:r>
            <w:r>
              <w:rPr>
                <w:rFonts w:ascii="宋体" w:hAnsi="宋体" w:cs="宋体" w:eastAsia="宋体" w:hint="default"/>
                <w:sz w:val="21"/>
                <w:szCs w:val="21"/>
              </w:rPr>
              <w:t> </w:t>
            </w:r>
          </w:p>
        </w:tc>
        <w:tc>
          <w:tcPr>
            <w:tcW w:w="171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3,390,000.00</w:t>
            </w:r>
          </w:p>
        </w:tc>
        <w:tc>
          <w:tcPr>
            <w:tcW w:w="1610"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99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黑龙江金香源农资有限公司</w:t>
            </w:r>
            <w:r>
              <w:rPr>
                <w:rFonts w:ascii="宋体" w:hAnsi="宋体" w:cs="宋体" w:eastAsia="宋体" w:hint="default"/>
                <w:sz w:val="21"/>
                <w:szCs w:val="21"/>
              </w:rPr>
              <w:t> </w:t>
            </w:r>
          </w:p>
        </w:tc>
        <w:tc>
          <w:tcPr>
            <w:tcW w:w="157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采购农用物资</w:t>
            </w:r>
            <w:r>
              <w:rPr>
                <w:rFonts w:ascii="宋体" w:hAnsi="宋体" w:cs="宋体" w:eastAsia="宋体" w:hint="default"/>
                <w:sz w:val="21"/>
                <w:szCs w:val="21"/>
              </w:rPr>
              <w:t> </w:t>
            </w:r>
          </w:p>
        </w:tc>
        <w:tc>
          <w:tcPr>
            <w:tcW w:w="171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2,117,776.00</w:t>
            </w:r>
          </w:p>
        </w:tc>
        <w:tc>
          <w:tcPr>
            <w:tcW w:w="16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2,086,545.00</w:t>
            </w:r>
          </w:p>
        </w:tc>
      </w:tr>
      <w:tr>
        <w:trPr>
          <w:trHeight w:val="355" w:hRule="exact"/>
        </w:trPr>
        <w:tc>
          <w:tcPr>
            <w:tcW w:w="399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黑龙江农垦通信有限公司</w:t>
            </w:r>
            <w:r>
              <w:rPr>
                <w:rFonts w:ascii="宋体" w:hAnsi="宋体" w:cs="宋体" w:eastAsia="宋体" w:hint="default"/>
                <w:sz w:val="21"/>
                <w:szCs w:val="21"/>
              </w:rPr>
              <w:t> </w:t>
            </w:r>
          </w:p>
        </w:tc>
        <w:tc>
          <w:tcPr>
            <w:tcW w:w="157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通信服务</w:t>
            </w:r>
            <w:r>
              <w:rPr>
                <w:rFonts w:ascii="宋体" w:hAnsi="宋体" w:cs="宋体" w:eastAsia="宋体" w:hint="default"/>
                <w:sz w:val="21"/>
                <w:szCs w:val="21"/>
              </w:rPr>
              <w:t> </w:t>
            </w:r>
          </w:p>
        </w:tc>
        <w:tc>
          <w:tcPr>
            <w:tcW w:w="171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2,140,645.75</w:t>
            </w:r>
          </w:p>
        </w:tc>
        <w:tc>
          <w:tcPr>
            <w:tcW w:w="16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1,931,616.48</w:t>
            </w:r>
          </w:p>
        </w:tc>
      </w:tr>
      <w:tr>
        <w:trPr>
          <w:trHeight w:val="358" w:hRule="exact"/>
        </w:trPr>
        <w:tc>
          <w:tcPr>
            <w:tcW w:w="399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黑龙江省建三江农垦通信有限责任公司</w:t>
            </w:r>
            <w:r>
              <w:rPr>
                <w:rFonts w:ascii="宋体" w:hAnsi="宋体" w:cs="宋体" w:eastAsia="宋体" w:hint="default"/>
                <w:sz w:val="21"/>
                <w:szCs w:val="21"/>
              </w:rPr>
              <w:t> </w:t>
            </w:r>
          </w:p>
        </w:tc>
        <w:tc>
          <w:tcPr>
            <w:tcW w:w="157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通信服务</w:t>
            </w:r>
            <w:r>
              <w:rPr>
                <w:rFonts w:ascii="宋体" w:hAnsi="宋体" w:cs="宋体" w:eastAsia="宋体" w:hint="default"/>
                <w:sz w:val="21"/>
                <w:szCs w:val="21"/>
              </w:rPr>
              <w:t> </w:t>
            </w:r>
          </w:p>
        </w:tc>
        <w:tc>
          <w:tcPr>
            <w:tcW w:w="171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22"/>
              <w:jc w:val="right"/>
              <w:rPr>
                <w:rFonts w:ascii="Arial" w:hAnsi="Arial" w:cs="Arial" w:eastAsia="Arial" w:hint="default"/>
                <w:sz w:val="21"/>
                <w:szCs w:val="21"/>
              </w:rPr>
            </w:pPr>
            <w:r>
              <w:rPr>
                <w:rFonts w:ascii="Arial"/>
                <w:spacing w:val="-1"/>
                <w:sz w:val="21"/>
              </w:rPr>
              <w:t>141,108.00</w:t>
            </w:r>
          </w:p>
        </w:tc>
        <w:tc>
          <w:tcPr>
            <w:tcW w:w="16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right="27"/>
              <w:jc w:val="right"/>
              <w:rPr>
                <w:rFonts w:ascii="Arial" w:hAnsi="Arial" w:cs="Arial" w:eastAsia="Arial" w:hint="default"/>
                <w:sz w:val="21"/>
                <w:szCs w:val="21"/>
              </w:rPr>
            </w:pPr>
            <w:r>
              <w:rPr>
                <w:rFonts w:ascii="Arial"/>
                <w:spacing w:val="-1"/>
                <w:sz w:val="21"/>
              </w:rPr>
              <w:t>370,868.50</w:t>
            </w:r>
          </w:p>
        </w:tc>
      </w:tr>
      <w:tr>
        <w:trPr>
          <w:trHeight w:val="358" w:hRule="exact"/>
        </w:trPr>
        <w:tc>
          <w:tcPr>
            <w:tcW w:w="399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黑龙江农垦北大荒数据通信有限公司</w:t>
            </w:r>
            <w:r>
              <w:rPr>
                <w:rFonts w:ascii="宋体" w:hAnsi="宋体" w:cs="宋体" w:eastAsia="宋体" w:hint="default"/>
                <w:sz w:val="21"/>
                <w:szCs w:val="21"/>
              </w:rPr>
              <w:t> </w:t>
            </w:r>
          </w:p>
        </w:tc>
        <w:tc>
          <w:tcPr>
            <w:tcW w:w="157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通信服务</w:t>
            </w:r>
            <w:r>
              <w:rPr>
                <w:rFonts w:ascii="宋体" w:hAnsi="宋体" w:cs="宋体" w:eastAsia="宋体" w:hint="default"/>
                <w:sz w:val="21"/>
                <w:szCs w:val="21"/>
              </w:rPr>
              <w:t> </w:t>
            </w:r>
          </w:p>
        </w:tc>
        <w:tc>
          <w:tcPr>
            <w:tcW w:w="171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432,389.94</w:t>
            </w:r>
          </w:p>
        </w:tc>
        <w:tc>
          <w:tcPr>
            <w:tcW w:w="16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393,081.75</w:t>
            </w:r>
          </w:p>
        </w:tc>
      </w:tr>
      <w:tr>
        <w:trPr>
          <w:trHeight w:val="358" w:hRule="exact"/>
        </w:trPr>
        <w:tc>
          <w:tcPr>
            <w:tcW w:w="399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阳光农业相互保险公司</w:t>
            </w:r>
            <w:r>
              <w:rPr>
                <w:rFonts w:ascii="宋体" w:hAnsi="宋体" w:cs="宋体" w:eastAsia="宋体" w:hint="default"/>
                <w:sz w:val="21"/>
                <w:szCs w:val="21"/>
              </w:rPr>
              <w:t> </w:t>
            </w:r>
          </w:p>
        </w:tc>
        <w:tc>
          <w:tcPr>
            <w:tcW w:w="157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保险服务</w:t>
            </w:r>
            <w:r>
              <w:rPr>
                <w:rFonts w:ascii="宋体" w:hAnsi="宋体" w:cs="宋体" w:eastAsia="宋体" w:hint="default"/>
                <w:sz w:val="21"/>
                <w:szCs w:val="21"/>
              </w:rPr>
              <w:t> </w:t>
            </w:r>
          </w:p>
        </w:tc>
        <w:tc>
          <w:tcPr>
            <w:tcW w:w="171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3"/>
              <w:jc w:val="right"/>
              <w:rPr>
                <w:rFonts w:ascii="Arial" w:hAnsi="Arial" w:cs="Arial" w:eastAsia="Arial" w:hint="default"/>
                <w:sz w:val="21"/>
                <w:szCs w:val="21"/>
              </w:rPr>
            </w:pPr>
            <w:r>
              <w:rPr>
                <w:rFonts w:ascii="Arial"/>
                <w:spacing w:val="-1"/>
                <w:sz w:val="21"/>
              </w:rPr>
              <w:t>48,249,336.64</w:t>
            </w:r>
          </w:p>
        </w:tc>
        <w:tc>
          <w:tcPr>
            <w:tcW w:w="16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47,925,388.13</w:t>
            </w:r>
          </w:p>
        </w:tc>
      </w:tr>
      <w:tr>
        <w:trPr>
          <w:trHeight w:val="355" w:hRule="exact"/>
        </w:trPr>
        <w:tc>
          <w:tcPr>
            <w:tcW w:w="399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北大荒通用航空有限公司</w:t>
            </w:r>
            <w:r>
              <w:rPr>
                <w:rFonts w:ascii="宋体" w:hAnsi="宋体" w:cs="宋体" w:eastAsia="宋体" w:hint="default"/>
                <w:sz w:val="21"/>
                <w:szCs w:val="21"/>
              </w:rPr>
              <w:t> </w:t>
            </w:r>
          </w:p>
        </w:tc>
        <w:tc>
          <w:tcPr>
            <w:tcW w:w="157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航化服务</w:t>
            </w:r>
            <w:r>
              <w:rPr>
                <w:rFonts w:ascii="宋体" w:hAnsi="宋体" w:cs="宋体" w:eastAsia="宋体" w:hint="default"/>
                <w:sz w:val="21"/>
                <w:szCs w:val="21"/>
              </w:rPr>
              <w:t> </w:t>
            </w:r>
          </w:p>
        </w:tc>
        <w:tc>
          <w:tcPr>
            <w:tcW w:w="171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6,515,095.00</w:t>
            </w:r>
          </w:p>
        </w:tc>
        <w:tc>
          <w:tcPr>
            <w:tcW w:w="16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5,921,065.74</w:t>
            </w:r>
          </w:p>
        </w:tc>
      </w:tr>
      <w:tr>
        <w:trPr>
          <w:trHeight w:val="358" w:hRule="exact"/>
        </w:trPr>
        <w:tc>
          <w:tcPr>
            <w:tcW w:w="399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黑龙江农垦泰盛建筑工程有限公司</w:t>
            </w:r>
            <w:r>
              <w:rPr>
                <w:rFonts w:ascii="宋体" w:hAnsi="宋体" w:cs="宋体" w:eastAsia="宋体" w:hint="default"/>
                <w:sz w:val="21"/>
                <w:szCs w:val="21"/>
              </w:rPr>
              <w:t> </w:t>
            </w:r>
          </w:p>
        </w:tc>
        <w:tc>
          <w:tcPr>
            <w:tcW w:w="157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工程施工服务</w:t>
            </w:r>
            <w:r>
              <w:rPr>
                <w:rFonts w:ascii="宋体" w:hAnsi="宋体" w:cs="宋体" w:eastAsia="宋体" w:hint="default"/>
                <w:sz w:val="21"/>
                <w:szCs w:val="21"/>
              </w:rPr>
              <w:t> </w:t>
            </w:r>
          </w:p>
        </w:tc>
        <w:tc>
          <w:tcPr>
            <w:tcW w:w="1714" w:type="dxa"/>
            <w:tcBorders>
              <w:top w:val="single" w:sz="4" w:space="0" w:color="41B7EE"/>
              <w:left w:val="single" w:sz="4" w:space="0" w:color="41B7EE"/>
              <w:bottom w:val="single" w:sz="4" w:space="0" w:color="41B7EE"/>
              <w:right w:val="single" w:sz="4" w:space="0" w:color="41B7EE"/>
            </w:tcBorders>
          </w:tcPr>
          <w:p>
            <w:pPr/>
          </w:p>
        </w:tc>
        <w:tc>
          <w:tcPr>
            <w:tcW w:w="16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right="27"/>
              <w:jc w:val="right"/>
              <w:rPr>
                <w:rFonts w:ascii="Arial" w:hAnsi="Arial" w:cs="Arial" w:eastAsia="Arial" w:hint="default"/>
                <w:sz w:val="21"/>
                <w:szCs w:val="21"/>
              </w:rPr>
            </w:pPr>
            <w:r>
              <w:rPr>
                <w:rFonts w:ascii="Arial"/>
                <w:spacing w:val="-1"/>
                <w:sz w:val="21"/>
              </w:rPr>
              <w:t>1,272,147.59</w:t>
            </w:r>
          </w:p>
        </w:tc>
      </w:tr>
      <w:tr>
        <w:trPr>
          <w:trHeight w:val="358" w:hRule="exact"/>
        </w:trPr>
        <w:tc>
          <w:tcPr>
            <w:tcW w:w="399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黑龙江省农垦建筑设计院</w:t>
            </w:r>
            <w:r>
              <w:rPr>
                <w:rFonts w:ascii="宋体" w:hAnsi="宋体" w:cs="宋体" w:eastAsia="宋体" w:hint="default"/>
                <w:sz w:val="21"/>
                <w:szCs w:val="21"/>
              </w:rPr>
              <w:t> </w:t>
            </w:r>
          </w:p>
        </w:tc>
        <w:tc>
          <w:tcPr>
            <w:tcW w:w="157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工程施工服务</w:t>
            </w:r>
            <w:r>
              <w:rPr>
                <w:rFonts w:ascii="宋体" w:hAnsi="宋体" w:cs="宋体" w:eastAsia="宋体" w:hint="default"/>
                <w:sz w:val="21"/>
                <w:szCs w:val="21"/>
              </w:rPr>
              <w:t> </w:t>
            </w:r>
          </w:p>
        </w:tc>
        <w:tc>
          <w:tcPr>
            <w:tcW w:w="171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201,056.00</w:t>
            </w:r>
          </w:p>
        </w:tc>
        <w:tc>
          <w:tcPr>
            <w:tcW w:w="16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228,302.05</w:t>
            </w:r>
          </w:p>
        </w:tc>
      </w:tr>
      <w:tr>
        <w:trPr>
          <w:trHeight w:val="358" w:hRule="exact"/>
        </w:trPr>
        <w:tc>
          <w:tcPr>
            <w:tcW w:w="399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北大荒建设集团有限公司</w:t>
            </w:r>
            <w:r>
              <w:rPr>
                <w:rFonts w:ascii="宋体" w:hAnsi="宋体" w:cs="宋体" w:eastAsia="宋体" w:hint="default"/>
                <w:sz w:val="21"/>
                <w:szCs w:val="21"/>
              </w:rPr>
              <w:t> </w:t>
            </w:r>
          </w:p>
        </w:tc>
        <w:tc>
          <w:tcPr>
            <w:tcW w:w="157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工程施工服务</w:t>
            </w:r>
            <w:r>
              <w:rPr>
                <w:rFonts w:ascii="宋体" w:hAnsi="宋体" w:cs="宋体" w:eastAsia="宋体" w:hint="default"/>
                <w:sz w:val="21"/>
                <w:szCs w:val="21"/>
              </w:rPr>
              <w:t> </w:t>
            </w:r>
          </w:p>
        </w:tc>
        <w:tc>
          <w:tcPr>
            <w:tcW w:w="1714" w:type="dxa"/>
            <w:tcBorders>
              <w:top w:val="single" w:sz="4" w:space="0" w:color="41B7EE"/>
              <w:left w:val="single" w:sz="4" w:space="0" w:color="41B7EE"/>
              <w:bottom w:val="single" w:sz="4" w:space="0" w:color="41B7EE"/>
              <w:right w:val="single" w:sz="4" w:space="0" w:color="41B7EE"/>
            </w:tcBorders>
          </w:tcPr>
          <w:p>
            <w:pPr/>
          </w:p>
        </w:tc>
        <w:tc>
          <w:tcPr>
            <w:tcW w:w="16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1,566,316.39</w:t>
            </w:r>
          </w:p>
        </w:tc>
      </w:tr>
      <w:tr>
        <w:trPr>
          <w:trHeight w:val="355" w:hRule="exact"/>
        </w:trPr>
        <w:tc>
          <w:tcPr>
            <w:tcW w:w="399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pacing w:val="-18"/>
                <w:sz w:val="21"/>
                <w:szCs w:val="21"/>
              </w:rPr>
              <w:t>黑龙江省建三江农垦三江热电有限责任公司</w:t>
            </w:r>
            <w:r>
              <w:rPr>
                <w:rFonts w:ascii="宋体" w:hAnsi="宋体" w:cs="宋体" w:eastAsia="宋体" w:hint="default"/>
                <w:sz w:val="21"/>
                <w:szCs w:val="21"/>
              </w:rPr>
              <w:t> </w:t>
            </w:r>
          </w:p>
        </w:tc>
        <w:tc>
          <w:tcPr>
            <w:tcW w:w="157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pacing w:val="-14"/>
                <w:sz w:val="21"/>
                <w:szCs w:val="21"/>
              </w:rPr>
              <w:t>供水供暖等劳务</w:t>
            </w:r>
            <w:r>
              <w:rPr>
                <w:rFonts w:ascii="宋体" w:hAnsi="宋体" w:cs="宋体" w:eastAsia="宋体" w:hint="default"/>
                <w:sz w:val="21"/>
                <w:szCs w:val="21"/>
              </w:rPr>
              <w:t> </w:t>
            </w:r>
          </w:p>
        </w:tc>
        <w:tc>
          <w:tcPr>
            <w:tcW w:w="171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408,154.71</w:t>
            </w:r>
          </w:p>
        </w:tc>
        <w:tc>
          <w:tcPr>
            <w:tcW w:w="16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390,421.29</w:t>
            </w:r>
          </w:p>
        </w:tc>
      </w:tr>
      <w:tr>
        <w:trPr>
          <w:trHeight w:val="365" w:hRule="exact"/>
        </w:trPr>
        <w:tc>
          <w:tcPr>
            <w:tcW w:w="3999"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黑龙江省牡丹江农垦山城供热有限公司</w:t>
            </w:r>
            <w:r>
              <w:rPr>
                <w:rFonts w:ascii="宋体" w:hAnsi="宋体" w:cs="宋体" w:eastAsia="宋体" w:hint="default"/>
                <w:sz w:val="21"/>
                <w:szCs w:val="21"/>
              </w:rPr>
              <w:t> </w:t>
            </w:r>
          </w:p>
        </w:tc>
        <w:tc>
          <w:tcPr>
            <w:tcW w:w="1572"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pacing w:val="-14"/>
                <w:sz w:val="21"/>
                <w:szCs w:val="21"/>
              </w:rPr>
              <w:t>供水供暖等劳务</w:t>
            </w:r>
            <w:r>
              <w:rPr>
                <w:rFonts w:ascii="宋体" w:hAnsi="宋体" w:cs="宋体" w:eastAsia="宋体" w:hint="default"/>
                <w:sz w:val="21"/>
                <w:szCs w:val="21"/>
              </w:rPr>
              <w:t> </w:t>
            </w:r>
          </w:p>
        </w:tc>
        <w:tc>
          <w:tcPr>
            <w:tcW w:w="1714"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0"/>
              <w:ind w:right="22"/>
              <w:jc w:val="right"/>
              <w:rPr>
                <w:rFonts w:ascii="Arial" w:hAnsi="Arial" w:cs="Arial" w:eastAsia="Arial" w:hint="default"/>
                <w:sz w:val="21"/>
                <w:szCs w:val="21"/>
              </w:rPr>
            </w:pPr>
            <w:r>
              <w:rPr>
                <w:rFonts w:ascii="Arial"/>
                <w:spacing w:val="-1"/>
                <w:sz w:val="21"/>
              </w:rPr>
              <w:t>457,329.07</w:t>
            </w:r>
          </w:p>
        </w:tc>
        <w:tc>
          <w:tcPr>
            <w:tcW w:w="1610"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50"/>
              <w:ind w:right="27"/>
              <w:jc w:val="right"/>
              <w:rPr>
                <w:rFonts w:ascii="Arial" w:hAnsi="Arial" w:cs="Arial" w:eastAsia="Arial" w:hint="default"/>
                <w:sz w:val="21"/>
                <w:szCs w:val="21"/>
              </w:rPr>
            </w:pPr>
            <w:r>
              <w:rPr>
                <w:rFonts w:ascii="Arial"/>
                <w:spacing w:val="-1"/>
                <w:sz w:val="21"/>
              </w:rPr>
              <w:t>472,784.53</w:t>
            </w:r>
          </w:p>
        </w:tc>
      </w:tr>
    </w:tbl>
    <w:p>
      <w:pPr>
        <w:spacing w:after="0" w:line="240" w:lineRule="auto"/>
        <w:jc w:val="right"/>
        <w:rPr>
          <w:rFonts w:ascii="Arial" w:hAnsi="Arial" w:cs="Arial" w:eastAsia="Arial" w:hint="default"/>
          <w:sz w:val="21"/>
          <w:szCs w:val="21"/>
        </w:rPr>
        <w:sectPr>
          <w:footerReference w:type="default" r:id="rId89"/>
          <w:pgSz w:w="11910" w:h="16840"/>
          <w:pgMar w:footer="1465" w:header="0" w:top="1360" w:bottom="1660" w:left="1560" w:right="1000"/>
        </w:sectPr>
      </w:pPr>
    </w:p>
    <w:p>
      <w:pPr>
        <w:spacing w:line="240" w:lineRule="auto" w:before="10"/>
        <w:rPr>
          <w:rFonts w:ascii="宋体" w:hAnsi="宋体" w:cs="宋体" w:eastAsia="宋体" w:hint="default"/>
          <w:b/>
          <w:bCs/>
          <w:sz w:val="11"/>
          <w:szCs w:val="11"/>
        </w:rPr>
      </w:pPr>
    </w:p>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3994;height:2" coordorigin="10,10" coordsize="3994,2">
              <v:shape style="position:absolute;left:10;top:10;width:3994;height:2" coordorigin="10,10" coordsize="3994,0" path="m10,10l4004,10e" filled="false" stroked="true" strokeweight=".96001pt" strokecolor="#41b7ee">
                <v:path arrowok="t"/>
              </v:shape>
            </v:group>
            <v:group style="position:absolute;left:4004;top:10;width:58;height:2" coordorigin="4004,10" coordsize="58,2">
              <v:shape style="position:absolute;left:4004;top:10;width:58;height:2" coordorigin="4004,10" coordsize="58,0" path="m4004,10l4061,10e" filled="false" stroked="true" strokeweight=".96001pt" strokecolor="#41b7ee">
                <v:path arrowok="t"/>
              </v:shape>
            </v:group>
            <v:group style="position:absolute;left:4061;top:10;width:1515;height:2" coordorigin="4061,10" coordsize="1515,2">
              <v:shape style="position:absolute;left:4061;top:10;width:1515;height:2" coordorigin="4061,10" coordsize="1515,0" path="m4061,10l5576,10e" filled="false" stroked="true" strokeweight=".96001pt" strokecolor="#41b7ee">
                <v:path arrowok="t"/>
              </v:shape>
            </v:group>
            <v:group style="position:absolute;left:5576;top:10;width:58;height:2" coordorigin="5576,10" coordsize="58,2">
              <v:shape style="position:absolute;left:5576;top:10;width:58;height:2" coordorigin="5576,10" coordsize="58,0" path="m5576,10l5634,10e" filled="false" stroked="true" strokeweight=".96001pt" strokecolor="#41b7ee">
                <v:path arrowok="t"/>
              </v:shape>
            </v:group>
            <v:group style="position:absolute;left:5634;top:10;width:1657;height:2" coordorigin="5634,10" coordsize="1657,2">
              <v:shape style="position:absolute;left:5634;top:10;width:1657;height:2" coordorigin="5634,10" coordsize="1657,0" path="m5634,10l7290,10e" filled="false" stroked="true" strokeweight=".96001pt" strokecolor="#41b7ee">
                <v:path arrowok="t"/>
              </v:shape>
            </v:group>
            <v:group style="position:absolute;left:7290;top:10;width:58;height:2" coordorigin="7290,10" coordsize="58,2">
              <v:shape style="position:absolute;left:7290;top:10;width:58;height:2" coordorigin="7290,10" coordsize="58,0" path="m7290,10l7348,10e" filled="false" stroked="true" strokeweight=".96001pt" strokecolor="#41b7ee">
                <v:path arrowok="t"/>
              </v:shape>
            </v:group>
            <v:group style="position:absolute;left:7348;top:10;width:1558;height:2" coordorigin="7348,10" coordsize="1558,2">
              <v:shape style="position:absolute;left:7348;top:10;width:1558;height:2" coordorigin="7348,10" coordsize="1558,0" path="m7348,10l8906,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18" w:type="dxa"/>
        <w:tblLayout w:type="fixed"/>
        <w:tblCellMar>
          <w:top w:w="0" w:type="dxa"/>
          <w:left w:w="0" w:type="dxa"/>
          <w:bottom w:w="0" w:type="dxa"/>
          <w:right w:w="0" w:type="dxa"/>
        </w:tblCellMar>
        <w:tblLook w:val="01E0"/>
      </w:tblPr>
      <w:tblGrid>
        <w:gridCol w:w="3999"/>
        <w:gridCol w:w="1572"/>
        <w:gridCol w:w="1714"/>
        <w:gridCol w:w="1610"/>
      </w:tblGrid>
      <w:tr>
        <w:trPr>
          <w:trHeight w:val="365" w:hRule="exact"/>
        </w:trPr>
        <w:tc>
          <w:tcPr>
            <w:tcW w:w="3999"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7"/>
              <w:ind w:left="31" w:right="0"/>
              <w:jc w:val="left"/>
              <w:rPr>
                <w:rFonts w:ascii="宋体" w:hAnsi="宋体" w:cs="宋体" w:eastAsia="宋体" w:hint="default"/>
                <w:sz w:val="21"/>
                <w:szCs w:val="21"/>
              </w:rPr>
            </w:pPr>
            <w:r>
              <w:rPr>
                <w:rFonts w:ascii="宋体" w:hAnsi="宋体" w:cs="宋体" w:eastAsia="宋体" w:hint="default"/>
                <w:sz w:val="21"/>
                <w:szCs w:val="21"/>
              </w:rPr>
              <w:t>黑龙江省八五四农场</w:t>
            </w:r>
            <w:r>
              <w:rPr>
                <w:rFonts w:ascii="宋体" w:hAnsi="宋体" w:cs="宋体" w:eastAsia="宋体" w:hint="default"/>
                <w:sz w:val="21"/>
                <w:szCs w:val="21"/>
              </w:rPr>
              <w:t> </w:t>
            </w:r>
          </w:p>
        </w:tc>
        <w:tc>
          <w:tcPr>
            <w:tcW w:w="1572"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pacing w:val="-14"/>
                <w:sz w:val="21"/>
                <w:szCs w:val="21"/>
              </w:rPr>
              <w:t>供水供暖等劳务</w:t>
            </w:r>
            <w:r>
              <w:rPr>
                <w:rFonts w:ascii="宋体" w:hAnsi="宋体" w:cs="宋体" w:eastAsia="宋体" w:hint="default"/>
                <w:sz w:val="21"/>
                <w:szCs w:val="21"/>
              </w:rPr>
              <w:t> </w:t>
            </w:r>
          </w:p>
        </w:tc>
        <w:tc>
          <w:tcPr>
            <w:tcW w:w="1714"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50"/>
              <w:ind w:right="22"/>
              <w:jc w:val="right"/>
              <w:rPr>
                <w:rFonts w:ascii="Arial" w:hAnsi="Arial" w:cs="Arial" w:eastAsia="Arial" w:hint="default"/>
                <w:sz w:val="21"/>
                <w:szCs w:val="21"/>
              </w:rPr>
            </w:pPr>
            <w:r>
              <w:rPr>
                <w:rFonts w:ascii="Arial"/>
                <w:spacing w:val="-1"/>
                <w:sz w:val="21"/>
              </w:rPr>
              <w:t>1,398,944.00</w:t>
            </w:r>
          </w:p>
        </w:tc>
        <w:tc>
          <w:tcPr>
            <w:tcW w:w="1610"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50"/>
              <w:ind w:right="27"/>
              <w:jc w:val="right"/>
              <w:rPr>
                <w:rFonts w:ascii="Arial" w:hAnsi="Arial" w:cs="Arial" w:eastAsia="Arial" w:hint="default"/>
                <w:sz w:val="21"/>
                <w:szCs w:val="21"/>
              </w:rPr>
            </w:pPr>
            <w:r>
              <w:rPr>
                <w:rFonts w:ascii="Arial"/>
                <w:spacing w:val="-1"/>
                <w:sz w:val="21"/>
              </w:rPr>
              <w:t>1,143,150.50</w:t>
            </w:r>
          </w:p>
        </w:tc>
      </w:tr>
      <w:tr>
        <w:trPr>
          <w:trHeight w:val="358" w:hRule="exact"/>
        </w:trPr>
        <w:tc>
          <w:tcPr>
            <w:tcW w:w="399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黑龙江省新华农场</w:t>
            </w:r>
            <w:r>
              <w:rPr>
                <w:rFonts w:ascii="宋体" w:hAnsi="宋体" w:cs="宋体" w:eastAsia="宋体" w:hint="default"/>
                <w:sz w:val="21"/>
                <w:szCs w:val="21"/>
              </w:rPr>
              <w:t> </w:t>
            </w:r>
          </w:p>
        </w:tc>
        <w:tc>
          <w:tcPr>
            <w:tcW w:w="157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pacing w:val="-14"/>
                <w:sz w:val="21"/>
                <w:szCs w:val="21"/>
              </w:rPr>
              <w:t>供水供暖等劳务</w:t>
            </w:r>
            <w:r>
              <w:rPr>
                <w:rFonts w:ascii="宋体" w:hAnsi="宋体" w:cs="宋体" w:eastAsia="宋体" w:hint="default"/>
                <w:sz w:val="21"/>
                <w:szCs w:val="21"/>
              </w:rPr>
              <w:t> </w:t>
            </w:r>
          </w:p>
        </w:tc>
        <w:tc>
          <w:tcPr>
            <w:tcW w:w="171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1,497,407.81</w:t>
            </w:r>
          </w:p>
        </w:tc>
        <w:tc>
          <w:tcPr>
            <w:tcW w:w="16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2,598,206.28</w:t>
            </w:r>
          </w:p>
        </w:tc>
      </w:tr>
      <w:tr>
        <w:trPr>
          <w:trHeight w:val="358" w:hRule="exact"/>
        </w:trPr>
        <w:tc>
          <w:tcPr>
            <w:tcW w:w="399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黑龙江省二九〇农场</w:t>
            </w:r>
            <w:r>
              <w:rPr>
                <w:rFonts w:ascii="宋体" w:hAnsi="宋体" w:cs="宋体" w:eastAsia="宋体" w:hint="default"/>
                <w:sz w:val="21"/>
                <w:szCs w:val="21"/>
              </w:rPr>
              <w:t> </w:t>
            </w:r>
          </w:p>
        </w:tc>
        <w:tc>
          <w:tcPr>
            <w:tcW w:w="157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pacing w:val="-14"/>
                <w:sz w:val="21"/>
                <w:szCs w:val="21"/>
              </w:rPr>
              <w:t>供水供暖等劳务</w:t>
            </w:r>
            <w:r>
              <w:rPr>
                <w:rFonts w:ascii="宋体" w:hAnsi="宋体" w:cs="宋体" w:eastAsia="宋体" w:hint="default"/>
                <w:sz w:val="21"/>
                <w:szCs w:val="21"/>
              </w:rPr>
              <w:t> </w:t>
            </w:r>
          </w:p>
        </w:tc>
        <w:tc>
          <w:tcPr>
            <w:tcW w:w="171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946,350.19</w:t>
            </w:r>
          </w:p>
        </w:tc>
        <w:tc>
          <w:tcPr>
            <w:tcW w:w="1610" w:type="dxa"/>
            <w:tcBorders>
              <w:top w:val="single" w:sz="4" w:space="0" w:color="41B7EE"/>
              <w:left w:val="single" w:sz="4" w:space="0" w:color="41B7EE"/>
              <w:bottom w:val="single" w:sz="4" w:space="0" w:color="41B7EE"/>
              <w:right w:val="nil" w:sz="6" w:space="0" w:color="auto"/>
            </w:tcBorders>
          </w:tcPr>
          <w:p>
            <w:pPr/>
          </w:p>
        </w:tc>
      </w:tr>
      <w:tr>
        <w:trPr>
          <w:trHeight w:val="355" w:hRule="exact"/>
        </w:trPr>
        <w:tc>
          <w:tcPr>
            <w:tcW w:w="399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黑龙江省八五九农场</w:t>
            </w:r>
            <w:r>
              <w:rPr>
                <w:rFonts w:ascii="宋体" w:hAnsi="宋体" w:cs="宋体" w:eastAsia="宋体" w:hint="default"/>
                <w:sz w:val="21"/>
                <w:szCs w:val="21"/>
              </w:rPr>
              <w:t> </w:t>
            </w:r>
          </w:p>
        </w:tc>
        <w:tc>
          <w:tcPr>
            <w:tcW w:w="157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pacing w:val="-14"/>
                <w:sz w:val="21"/>
                <w:szCs w:val="21"/>
              </w:rPr>
              <w:t>供水供暖等劳务</w:t>
            </w:r>
            <w:r>
              <w:rPr>
                <w:rFonts w:ascii="宋体" w:hAnsi="宋体" w:cs="宋体" w:eastAsia="宋体" w:hint="default"/>
                <w:sz w:val="21"/>
                <w:szCs w:val="21"/>
              </w:rPr>
              <w:t> </w:t>
            </w:r>
          </w:p>
        </w:tc>
        <w:tc>
          <w:tcPr>
            <w:tcW w:w="171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1,526,800.00</w:t>
            </w:r>
          </w:p>
        </w:tc>
        <w:tc>
          <w:tcPr>
            <w:tcW w:w="16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250,800.00</w:t>
            </w:r>
          </w:p>
        </w:tc>
      </w:tr>
      <w:tr>
        <w:trPr>
          <w:trHeight w:val="358" w:hRule="exact"/>
        </w:trPr>
        <w:tc>
          <w:tcPr>
            <w:tcW w:w="399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黑龙江省青龙山农场</w:t>
            </w:r>
            <w:r>
              <w:rPr>
                <w:rFonts w:ascii="宋体" w:hAnsi="宋体" w:cs="宋体" w:eastAsia="宋体" w:hint="default"/>
                <w:sz w:val="21"/>
                <w:szCs w:val="21"/>
              </w:rPr>
              <w:t> </w:t>
            </w:r>
          </w:p>
        </w:tc>
        <w:tc>
          <w:tcPr>
            <w:tcW w:w="157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pacing w:val="-14"/>
                <w:sz w:val="21"/>
                <w:szCs w:val="21"/>
              </w:rPr>
              <w:t>供水供暖等劳务</w:t>
            </w:r>
            <w:r>
              <w:rPr>
                <w:rFonts w:ascii="宋体" w:hAnsi="宋体" w:cs="宋体" w:eastAsia="宋体" w:hint="default"/>
                <w:sz w:val="21"/>
                <w:szCs w:val="21"/>
              </w:rPr>
              <w:t> </w:t>
            </w:r>
          </w:p>
        </w:tc>
        <w:tc>
          <w:tcPr>
            <w:tcW w:w="171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957,865.37</w:t>
            </w:r>
          </w:p>
        </w:tc>
        <w:tc>
          <w:tcPr>
            <w:tcW w:w="16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764,764.08</w:t>
            </w:r>
          </w:p>
        </w:tc>
      </w:tr>
      <w:tr>
        <w:trPr>
          <w:trHeight w:val="358" w:hRule="exact"/>
        </w:trPr>
        <w:tc>
          <w:tcPr>
            <w:tcW w:w="399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黑龙江省友谊农场</w:t>
            </w:r>
            <w:r>
              <w:rPr>
                <w:rFonts w:ascii="宋体" w:hAnsi="宋体" w:cs="宋体" w:eastAsia="宋体" w:hint="default"/>
                <w:sz w:val="21"/>
                <w:szCs w:val="21"/>
              </w:rPr>
              <w:t> </w:t>
            </w:r>
          </w:p>
        </w:tc>
        <w:tc>
          <w:tcPr>
            <w:tcW w:w="157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pacing w:val="-14"/>
                <w:sz w:val="21"/>
                <w:szCs w:val="21"/>
              </w:rPr>
              <w:t>供水供暖等劳务</w:t>
            </w:r>
            <w:r>
              <w:rPr>
                <w:rFonts w:ascii="宋体" w:hAnsi="宋体" w:cs="宋体" w:eastAsia="宋体" w:hint="default"/>
                <w:sz w:val="21"/>
                <w:szCs w:val="21"/>
              </w:rPr>
              <w:t> </w:t>
            </w:r>
          </w:p>
        </w:tc>
        <w:tc>
          <w:tcPr>
            <w:tcW w:w="171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2,596,710.93</w:t>
            </w:r>
          </w:p>
        </w:tc>
        <w:tc>
          <w:tcPr>
            <w:tcW w:w="16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2,045,157.69</w:t>
            </w:r>
          </w:p>
        </w:tc>
      </w:tr>
      <w:tr>
        <w:trPr>
          <w:trHeight w:val="358" w:hRule="exact"/>
        </w:trPr>
        <w:tc>
          <w:tcPr>
            <w:tcW w:w="399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黑龙江省七星农场</w:t>
            </w:r>
            <w:r>
              <w:rPr>
                <w:rFonts w:ascii="宋体" w:hAnsi="宋体" w:cs="宋体" w:eastAsia="宋体" w:hint="default"/>
                <w:sz w:val="21"/>
                <w:szCs w:val="21"/>
              </w:rPr>
              <w:t> </w:t>
            </w:r>
          </w:p>
        </w:tc>
        <w:tc>
          <w:tcPr>
            <w:tcW w:w="157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pacing w:val="-14"/>
                <w:sz w:val="21"/>
                <w:szCs w:val="21"/>
              </w:rPr>
              <w:t>供水供暖等劳务</w:t>
            </w:r>
            <w:r>
              <w:rPr>
                <w:rFonts w:ascii="宋体" w:hAnsi="宋体" w:cs="宋体" w:eastAsia="宋体" w:hint="default"/>
                <w:sz w:val="21"/>
                <w:szCs w:val="21"/>
              </w:rPr>
              <w:t> </w:t>
            </w:r>
          </w:p>
        </w:tc>
        <w:tc>
          <w:tcPr>
            <w:tcW w:w="171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2,700,000.00</w:t>
            </w:r>
          </w:p>
        </w:tc>
        <w:tc>
          <w:tcPr>
            <w:tcW w:w="16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2,700,000.00</w:t>
            </w:r>
          </w:p>
        </w:tc>
      </w:tr>
      <w:tr>
        <w:trPr>
          <w:trHeight w:val="355" w:hRule="exact"/>
        </w:trPr>
        <w:tc>
          <w:tcPr>
            <w:tcW w:w="399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黑龙江省江滨农场</w:t>
            </w:r>
            <w:r>
              <w:rPr>
                <w:rFonts w:ascii="宋体" w:hAnsi="宋体" w:cs="宋体" w:eastAsia="宋体" w:hint="default"/>
                <w:sz w:val="21"/>
                <w:szCs w:val="21"/>
              </w:rPr>
              <w:t> </w:t>
            </w:r>
          </w:p>
        </w:tc>
        <w:tc>
          <w:tcPr>
            <w:tcW w:w="157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pacing w:val="-14"/>
                <w:sz w:val="21"/>
                <w:szCs w:val="21"/>
              </w:rPr>
              <w:t>供水供暖等劳务</w:t>
            </w:r>
            <w:r>
              <w:rPr>
                <w:rFonts w:ascii="宋体" w:hAnsi="宋体" w:cs="宋体" w:eastAsia="宋体" w:hint="default"/>
                <w:sz w:val="21"/>
                <w:szCs w:val="21"/>
              </w:rPr>
              <w:t> </w:t>
            </w:r>
          </w:p>
        </w:tc>
        <w:tc>
          <w:tcPr>
            <w:tcW w:w="171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2,867,074.00</w:t>
            </w:r>
          </w:p>
        </w:tc>
        <w:tc>
          <w:tcPr>
            <w:tcW w:w="16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613,200.00</w:t>
            </w:r>
          </w:p>
        </w:tc>
      </w:tr>
      <w:tr>
        <w:trPr>
          <w:trHeight w:val="358" w:hRule="exact"/>
        </w:trPr>
        <w:tc>
          <w:tcPr>
            <w:tcW w:w="399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黑龙江农垦通信有限公司</w:t>
            </w:r>
            <w:r>
              <w:rPr>
                <w:rFonts w:ascii="宋体" w:hAnsi="宋体" w:cs="宋体" w:eastAsia="宋体" w:hint="default"/>
                <w:sz w:val="21"/>
                <w:szCs w:val="21"/>
              </w:rPr>
              <w:t> </w:t>
            </w:r>
          </w:p>
        </w:tc>
        <w:tc>
          <w:tcPr>
            <w:tcW w:w="157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中介服务费等</w:t>
            </w:r>
            <w:r>
              <w:rPr>
                <w:rFonts w:ascii="宋体" w:hAnsi="宋体" w:cs="宋体" w:eastAsia="宋体" w:hint="default"/>
                <w:sz w:val="21"/>
                <w:szCs w:val="21"/>
              </w:rPr>
              <w:t> </w:t>
            </w:r>
          </w:p>
        </w:tc>
        <w:tc>
          <w:tcPr>
            <w:tcW w:w="171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3,085,012.84</w:t>
            </w:r>
          </w:p>
        </w:tc>
        <w:tc>
          <w:tcPr>
            <w:tcW w:w="16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3,435,849.05</w:t>
            </w:r>
          </w:p>
        </w:tc>
      </w:tr>
      <w:tr>
        <w:trPr>
          <w:trHeight w:val="358" w:hRule="exact"/>
        </w:trPr>
        <w:tc>
          <w:tcPr>
            <w:tcW w:w="399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北大荒粮食物流有限公司牡丹江分公司</w:t>
            </w:r>
            <w:r>
              <w:rPr>
                <w:rFonts w:ascii="宋体" w:hAnsi="宋体" w:cs="宋体" w:eastAsia="宋体" w:hint="default"/>
                <w:sz w:val="21"/>
                <w:szCs w:val="21"/>
              </w:rPr>
              <w:t> </w:t>
            </w:r>
          </w:p>
        </w:tc>
        <w:tc>
          <w:tcPr>
            <w:tcW w:w="157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其他服务</w:t>
            </w:r>
            <w:r>
              <w:rPr>
                <w:rFonts w:ascii="宋体" w:hAnsi="宋体" w:cs="宋体" w:eastAsia="宋体" w:hint="default"/>
                <w:sz w:val="21"/>
                <w:szCs w:val="21"/>
              </w:rPr>
              <w:t> </w:t>
            </w:r>
          </w:p>
        </w:tc>
        <w:tc>
          <w:tcPr>
            <w:tcW w:w="171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438,726.41</w:t>
            </w:r>
          </w:p>
        </w:tc>
        <w:tc>
          <w:tcPr>
            <w:tcW w:w="161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485,419.80</w:t>
            </w:r>
          </w:p>
        </w:tc>
      </w:tr>
      <w:tr>
        <w:trPr>
          <w:trHeight w:val="385" w:hRule="exact"/>
        </w:trPr>
        <w:tc>
          <w:tcPr>
            <w:tcW w:w="3999"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黑龙江北大荒浩良河化肥有限公司</w:t>
            </w:r>
            <w:r>
              <w:rPr>
                <w:rFonts w:ascii="宋体" w:hAnsi="宋体" w:cs="宋体" w:eastAsia="宋体" w:hint="default"/>
                <w:sz w:val="21"/>
                <w:szCs w:val="21"/>
              </w:rPr>
              <w:t> </w:t>
            </w:r>
          </w:p>
        </w:tc>
        <w:tc>
          <w:tcPr>
            <w:tcW w:w="1572"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水电服务</w:t>
            </w:r>
            <w:r>
              <w:rPr>
                <w:rFonts w:ascii="宋体" w:hAnsi="宋体" w:cs="宋体" w:eastAsia="宋体" w:hint="default"/>
                <w:sz w:val="21"/>
                <w:szCs w:val="21"/>
              </w:rPr>
              <w:t> </w:t>
            </w:r>
          </w:p>
        </w:tc>
        <w:tc>
          <w:tcPr>
            <w:tcW w:w="1714" w:type="dxa"/>
            <w:tcBorders>
              <w:top w:val="single" w:sz="4" w:space="0" w:color="41B7EE"/>
              <w:left w:val="single" w:sz="4" w:space="0" w:color="41B7EE"/>
              <w:bottom w:val="single" w:sz="23" w:space="0" w:color="41B7EE"/>
              <w:right w:val="single" w:sz="4" w:space="0" w:color="41B7EE"/>
            </w:tcBorders>
          </w:tcPr>
          <w:p>
            <w:pPr/>
          </w:p>
        </w:tc>
        <w:tc>
          <w:tcPr>
            <w:tcW w:w="1610"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300,000.00</w:t>
            </w:r>
          </w:p>
        </w:tc>
      </w:tr>
    </w:tbl>
    <w:p>
      <w:pPr>
        <w:spacing w:after="0" w:line="240" w:lineRule="auto"/>
        <w:jc w:val="right"/>
        <w:rPr>
          <w:rFonts w:ascii="Arial" w:hAnsi="Arial" w:cs="Arial" w:eastAsia="Arial" w:hint="default"/>
          <w:sz w:val="21"/>
          <w:szCs w:val="21"/>
        </w:rPr>
        <w:sectPr>
          <w:footerReference w:type="default" r:id="rId90"/>
          <w:pgSz w:w="11910" w:h="16840"/>
          <w:pgMar w:footer="1195" w:header="0" w:top="1360" w:bottom="1380" w:left="1620" w:right="1060"/>
        </w:sectPr>
      </w:pPr>
    </w:p>
    <w:p>
      <w:pPr>
        <w:pStyle w:val="BodyText"/>
        <w:spacing w:line="257" w:lineRule="exact"/>
        <w:ind w:left="178" w:right="0"/>
        <w:jc w:val="left"/>
        <w:rPr>
          <w:rFonts w:ascii="宋体" w:hAnsi="宋体" w:cs="宋体" w:eastAsia="宋体" w:hint="default"/>
        </w:rPr>
      </w:pPr>
      <w:r>
        <w:rPr/>
        <w:t>出售商品</w:t>
      </w:r>
      <w:r>
        <w:rPr>
          <w:rFonts w:ascii="宋体" w:hAnsi="宋体" w:cs="宋体" w:eastAsia="宋体" w:hint="default"/>
        </w:rPr>
        <w:t>/</w:t>
      </w:r>
      <w:r>
        <w:rPr/>
        <w:t>提供劳务情况表</w:t>
      </w:r>
      <w:r>
        <w:rPr>
          <w:rFonts w:ascii="宋体" w:hAnsi="宋体" w:cs="宋体" w:eastAsia="宋体" w:hint="default"/>
        </w:rPr>
        <w:t> </w:t>
      </w:r>
    </w:p>
    <w:p>
      <w:pPr>
        <w:pStyle w:val="BodyText"/>
        <w:spacing w:line="273" w:lineRule="exact"/>
        <w:ind w:left="1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0"/>
          <w:szCs w:val="20"/>
        </w:rPr>
      </w:pPr>
    </w:p>
    <w:p>
      <w:pPr>
        <w:pStyle w:val="BodyText"/>
        <w:spacing w:line="240" w:lineRule="auto"/>
        <w:ind w:left="17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620" w:right="1060"/>
          <w:cols w:num="2" w:equalWidth="0">
            <w:col w:w="2699" w:space="3823"/>
            <w:col w:w="2708"/>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417"/>
        <w:gridCol w:w="2122"/>
        <w:gridCol w:w="2177"/>
        <w:gridCol w:w="2180"/>
      </w:tblGrid>
      <w:tr>
        <w:trPr>
          <w:trHeight w:val="384" w:hRule="exact"/>
        </w:trPr>
        <w:tc>
          <w:tcPr>
            <w:tcW w:w="2417"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4"/>
              <w:ind w:left="892"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122"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4"/>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2177"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4"/>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80"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4"/>
              <w:ind w:left="55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55" w:hRule="exact"/>
        </w:trPr>
        <w:tc>
          <w:tcPr>
            <w:tcW w:w="241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黑龙江省二九〇农场</w:t>
            </w:r>
            <w:r>
              <w:rPr>
                <w:rFonts w:ascii="宋体" w:hAnsi="宋体" w:cs="宋体" w:eastAsia="宋体" w:hint="default"/>
                <w:sz w:val="21"/>
                <w:szCs w:val="21"/>
              </w:rPr>
              <w:t> </w:t>
            </w:r>
          </w:p>
        </w:tc>
        <w:tc>
          <w:tcPr>
            <w:tcW w:w="212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销售农用物资</w:t>
            </w:r>
            <w:r>
              <w:rPr>
                <w:rFonts w:ascii="宋体" w:hAnsi="宋体" w:cs="宋体" w:eastAsia="宋体" w:hint="default"/>
                <w:sz w:val="21"/>
                <w:szCs w:val="21"/>
              </w:rPr>
              <w:t> </w:t>
            </w:r>
          </w:p>
        </w:tc>
        <w:tc>
          <w:tcPr>
            <w:tcW w:w="217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117,271.48</w:t>
            </w:r>
          </w:p>
        </w:tc>
        <w:tc>
          <w:tcPr>
            <w:tcW w:w="2180"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241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阳光农业相互保险公司</w:t>
            </w:r>
            <w:r>
              <w:rPr>
                <w:rFonts w:ascii="宋体" w:hAnsi="宋体" w:cs="宋体" w:eastAsia="宋体" w:hint="default"/>
                <w:sz w:val="21"/>
                <w:szCs w:val="21"/>
              </w:rPr>
              <w:t> </w:t>
            </w:r>
          </w:p>
        </w:tc>
        <w:tc>
          <w:tcPr>
            <w:tcW w:w="212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劳务服务</w:t>
            </w:r>
            <w:r>
              <w:rPr>
                <w:rFonts w:ascii="宋体" w:hAnsi="宋体" w:cs="宋体" w:eastAsia="宋体" w:hint="default"/>
                <w:sz w:val="21"/>
                <w:szCs w:val="21"/>
              </w:rPr>
              <w:t> </w:t>
            </w:r>
          </w:p>
        </w:tc>
        <w:tc>
          <w:tcPr>
            <w:tcW w:w="217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2,925,802.42</w:t>
            </w:r>
          </w:p>
        </w:tc>
        <w:tc>
          <w:tcPr>
            <w:tcW w:w="218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9,946,565.17</w:t>
            </w:r>
          </w:p>
        </w:tc>
      </w:tr>
      <w:tr>
        <w:trPr>
          <w:trHeight w:val="384" w:hRule="exact"/>
        </w:trPr>
        <w:tc>
          <w:tcPr>
            <w:tcW w:w="2417"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阳光农业相互保险公司</w:t>
            </w:r>
            <w:r>
              <w:rPr>
                <w:rFonts w:ascii="宋体" w:hAnsi="宋体" w:cs="宋体" w:eastAsia="宋体" w:hint="default"/>
                <w:sz w:val="21"/>
                <w:szCs w:val="21"/>
              </w:rPr>
              <w:t> </w:t>
            </w:r>
          </w:p>
        </w:tc>
        <w:tc>
          <w:tcPr>
            <w:tcW w:w="2122"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保险理赔等</w:t>
            </w:r>
            <w:r>
              <w:rPr>
                <w:rFonts w:ascii="宋体" w:hAnsi="宋体" w:cs="宋体" w:eastAsia="宋体" w:hint="default"/>
                <w:sz w:val="21"/>
                <w:szCs w:val="21"/>
              </w:rPr>
              <w:t> </w:t>
            </w:r>
          </w:p>
        </w:tc>
        <w:tc>
          <w:tcPr>
            <w:tcW w:w="2177" w:type="dxa"/>
            <w:tcBorders>
              <w:top w:val="single" w:sz="4" w:space="0" w:color="41B7EE"/>
              <w:left w:val="single" w:sz="4" w:space="0" w:color="41B7EE"/>
              <w:bottom w:val="single" w:sz="23" w:space="0" w:color="41B7EE"/>
              <w:right w:val="single" w:sz="4" w:space="0" w:color="41B7EE"/>
            </w:tcBorders>
          </w:tcPr>
          <w:p>
            <w:pPr/>
          </w:p>
        </w:tc>
        <w:tc>
          <w:tcPr>
            <w:tcW w:w="2180"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899,960.00</w:t>
            </w:r>
          </w:p>
        </w:tc>
      </w:tr>
    </w:tbl>
    <w:p>
      <w:pPr>
        <w:spacing w:after="0" w:line="240" w:lineRule="auto"/>
        <w:jc w:val="right"/>
        <w:rPr>
          <w:rFonts w:ascii="Arial" w:hAnsi="Arial" w:cs="Arial" w:eastAsia="Arial" w:hint="default"/>
          <w:sz w:val="21"/>
          <w:szCs w:val="21"/>
        </w:rPr>
        <w:sectPr>
          <w:type w:val="continuous"/>
          <w:pgSz w:w="11910" w:h="16840"/>
          <w:pgMar w:top="1360" w:bottom="1380" w:left="1620" w:right="1060"/>
        </w:sectPr>
      </w:pPr>
    </w:p>
    <w:p>
      <w:pPr>
        <w:pStyle w:val="BodyText"/>
        <w:spacing w:line="239" w:lineRule="exact"/>
        <w:ind w:left="178" w:right="0"/>
        <w:jc w:val="left"/>
        <w:rPr>
          <w:rFonts w:ascii="宋体" w:hAnsi="宋体" w:cs="宋体" w:eastAsia="宋体" w:hint="default"/>
        </w:rPr>
      </w:pPr>
      <w:r>
        <w:rPr/>
        <w:t>购销商品、提供和接受劳务的关联交易说明</w:t>
      </w:r>
      <w:r>
        <w:rPr>
          <w:rFonts w:ascii="宋体" w:hAnsi="宋体" w:cs="宋体" w:eastAsia="宋体" w:hint="default"/>
        </w:rPr>
        <w:t> </w:t>
      </w:r>
    </w:p>
    <w:p>
      <w:pPr>
        <w:spacing w:line="290" w:lineRule="auto" w:before="0"/>
        <w:ind w:left="17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99"/>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r>
        <w:rPr>
          <w:rFonts w:ascii="宋体" w:hAnsi="宋体" w:cs="宋体" w:eastAsia="宋体" w:hint="default"/>
          <w:sz w:val="21"/>
          <w:szCs w:val="21"/>
        </w:rPr>
        <w:t> </w:t>
      </w:r>
    </w:p>
    <w:p>
      <w:pPr>
        <w:pStyle w:val="BodyText"/>
        <w:spacing w:line="228" w:lineRule="exact"/>
        <w:ind w:left="1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78" w:right="0"/>
        <w:jc w:val="left"/>
        <w:rPr>
          <w:rFonts w:ascii="宋体" w:hAnsi="宋体" w:cs="宋体" w:eastAsia="宋体" w:hint="default"/>
        </w:rPr>
      </w:pPr>
      <w:r>
        <w:rPr/>
        <w:t>关联托管</w:t>
      </w:r>
      <w:r>
        <w:rPr>
          <w:rFonts w:ascii="宋体" w:hAnsi="宋体" w:cs="宋体" w:eastAsia="宋体" w:hint="default"/>
        </w:rPr>
        <w:t>/</w:t>
      </w:r>
      <w:r>
        <w:rPr/>
        <w:t>承包情况说明</w:t>
      </w:r>
      <w:r>
        <w:rPr>
          <w:rFonts w:ascii="宋体" w:hAnsi="宋体" w:cs="宋体" w:eastAsia="宋体" w:hint="default"/>
        </w:rPr>
        <w:t> </w:t>
      </w:r>
    </w:p>
    <w:p>
      <w:pPr>
        <w:pStyle w:val="BodyText"/>
        <w:spacing w:line="272" w:lineRule="exact" w:before="27"/>
        <w:ind w:left="178" w:right="767"/>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本公司委托管理</w:t>
      </w:r>
      <w:r>
        <w:rPr>
          <w:rFonts w:ascii="宋体" w:hAnsi="宋体" w:cs="宋体" w:eastAsia="宋体" w:hint="default"/>
        </w:rPr>
        <w:t>/</w:t>
      </w:r>
      <w:r>
        <w:rPr/>
        <w:t>出包情况表</w:t>
      </w:r>
      <w:r>
        <w:rPr>
          <w:rFonts w:ascii="宋体" w:hAnsi="宋体" w:cs="宋体" w:eastAsia="宋体" w:hint="default"/>
        </w:rPr>
        <w:t> </w:t>
      </w:r>
    </w:p>
    <w:p>
      <w:pPr>
        <w:pStyle w:val="BodyText"/>
        <w:spacing w:line="272" w:lineRule="exact" w:before="1"/>
        <w:ind w:left="178" w:right="767"/>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关联管理</w:t>
      </w:r>
      <w:r>
        <w:rPr>
          <w:rFonts w:ascii="宋体" w:hAnsi="宋体" w:cs="宋体" w:eastAsia="宋体" w:hint="default"/>
        </w:rPr>
        <w:t>/</w:t>
      </w:r>
      <w:r>
        <w:rPr/>
        <w:t>出包情况说明</w:t>
      </w:r>
      <w:r>
        <w:rPr>
          <w:rFonts w:ascii="宋体" w:hAnsi="宋体" w:cs="宋体" w:eastAsia="宋体" w:hint="default"/>
        </w:rPr>
        <w:t> </w:t>
      </w:r>
    </w:p>
    <w:p>
      <w:pPr>
        <w:pStyle w:val="BodyText"/>
        <w:spacing w:line="249" w:lineRule="exact"/>
        <w:ind w:left="1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56"/>
        <w:ind w:left="178" w:right="767"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z w:val="21"/>
          <w:szCs w:val="21"/>
        </w:rPr>
        <w:t>本公司作为出租方：</w:t>
      </w:r>
      <w:r>
        <w:rPr>
          <w:rFonts w:ascii="宋体" w:hAnsi="宋体" w:cs="宋体" w:eastAsia="宋体" w:hint="default"/>
          <w:sz w:val="21"/>
          <w:szCs w:val="21"/>
        </w:rPr>
        <w:t> </w:t>
      </w:r>
    </w:p>
    <w:p>
      <w:pPr>
        <w:pStyle w:val="BodyText"/>
        <w:spacing w:line="229" w:lineRule="exact"/>
        <w:ind w:left="1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BodyText"/>
        <w:spacing w:line="240" w:lineRule="auto"/>
        <w:ind w:left="17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620" w:right="1060"/>
          <w:cols w:num="2" w:equalWidth="0">
            <w:col w:w="4504" w:space="2018"/>
            <w:col w:w="2708"/>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4568"/>
        <w:gridCol w:w="1143"/>
        <w:gridCol w:w="1712"/>
        <w:gridCol w:w="1474"/>
      </w:tblGrid>
      <w:tr>
        <w:trPr>
          <w:trHeight w:val="581" w:hRule="exact"/>
        </w:trPr>
        <w:tc>
          <w:tcPr>
            <w:tcW w:w="4568"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105"/>
              <w:ind w:left="112" w:right="0"/>
              <w:jc w:val="center"/>
              <w:rPr>
                <w:rFonts w:ascii="宋体" w:hAnsi="宋体" w:cs="宋体" w:eastAsia="宋体" w:hint="default"/>
                <w:sz w:val="21"/>
                <w:szCs w:val="21"/>
              </w:rPr>
            </w:pPr>
            <w:r>
              <w:rPr>
                <w:rFonts w:ascii="宋体" w:hAnsi="宋体" w:cs="宋体" w:eastAsia="宋体" w:hint="default"/>
                <w:sz w:val="21"/>
                <w:szCs w:val="21"/>
              </w:rPr>
              <w:t>承租方名称</w:t>
            </w:r>
            <w:r>
              <w:rPr>
                <w:rFonts w:ascii="宋体" w:hAnsi="宋体" w:cs="宋体" w:eastAsia="宋体" w:hint="default"/>
                <w:sz w:val="21"/>
                <w:szCs w:val="21"/>
              </w:rPr>
              <w:t> </w:t>
            </w:r>
          </w:p>
        </w:tc>
        <w:tc>
          <w:tcPr>
            <w:tcW w:w="1143" w:type="dxa"/>
            <w:tcBorders>
              <w:top w:val="single" w:sz="23" w:space="0" w:color="41B7EE"/>
              <w:left w:val="single" w:sz="4" w:space="0" w:color="41B7EE"/>
              <w:bottom w:val="single" w:sz="4" w:space="0" w:color="41B7EE"/>
              <w:right w:val="single" w:sz="4" w:space="0" w:color="41B7EE"/>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租赁资产</w:t>
            </w:r>
            <w:r>
              <w:rPr>
                <w:rFonts w:ascii="宋体" w:hAnsi="宋体" w:cs="宋体" w:eastAsia="宋体" w:hint="default"/>
                <w:sz w:val="21"/>
                <w:szCs w:val="21"/>
              </w:rPr>
              <w:t> </w:t>
            </w:r>
          </w:p>
          <w:p>
            <w:pPr>
              <w:pStyle w:val="TableParagraph"/>
              <w:spacing w:line="273" w:lineRule="exact"/>
              <w:ind w:left="108" w:right="0"/>
              <w:jc w:val="center"/>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1712" w:type="dxa"/>
            <w:tcBorders>
              <w:top w:val="single" w:sz="23" w:space="0" w:color="41B7EE"/>
              <w:left w:val="single" w:sz="4" w:space="0" w:color="41B7EE"/>
              <w:bottom w:val="single" w:sz="4" w:space="0" w:color="41B7EE"/>
              <w:right w:val="single" w:sz="4" w:space="0" w:color="41B7EE"/>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本期确认的租赁</w:t>
            </w:r>
          </w:p>
          <w:p>
            <w:pPr>
              <w:pStyle w:val="TableParagraph"/>
              <w:spacing w:line="273" w:lineRule="exact"/>
              <w:ind w:left="104"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474" w:type="dxa"/>
            <w:tcBorders>
              <w:top w:val="single" w:sz="23" w:space="0" w:color="41B7EE"/>
              <w:left w:val="single" w:sz="4" w:space="0" w:color="41B7EE"/>
              <w:bottom w:val="single" w:sz="4" w:space="0" w:color="41B7EE"/>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上期确认的租</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赁收入</w:t>
            </w:r>
            <w:r>
              <w:rPr>
                <w:rFonts w:ascii="宋体" w:hAnsi="宋体" w:cs="宋体" w:eastAsia="宋体" w:hint="default"/>
                <w:sz w:val="21"/>
                <w:szCs w:val="21"/>
              </w:rPr>
              <w:t> </w:t>
            </w:r>
          </w:p>
        </w:tc>
      </w:tr>
      <w:tr>
        <w:trPr>
          <w:trHeight w:val="358" w:hRule="exact"/>
        </w:trPr>
        <w:tc>
          <w:tcPr>
            <w:tcW w:w="456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北大荒垦丰种业股份有限公司</w:t>
            </w:r>
            <w:r>
              <w:rPr>
                <w:rFonts w:ascii="宋体" w:hAnsi="宋体" w:cs="宋体" w:eastAsia="宋体" w:hint="default"/>
                <w:sz w:val="21"/>
                <w:szCs w:val="21"/>
              </w:rPr>
              <w:t> </w:t>
            </w:r>
          </w:p>
        </w:tc>
        <w:tc>
          <w:tcPr>
            <w:tcW w:w="1143" w:type="dxa"/>
            <w:tcBorders>
              <w:top w:val="single" w:sz="4" w:space="0" w:color="41B7EE"/>
              <w:left w:val="single" w:sz="4" w:space="0" w:color="41B7EE"/>
              <w:bottom w:val="single" w:sz="4" w:space="0" w:color="41B7EE"/>
              <w:right w:val="single" w:sz="11" w:space="0" w:color="FFFFFF"/>
            </w:tcBorders>
          </w:tcPr>
          <w:p>
            <w:pPr>
              <w:pStyle w:val="TableParagraph"/>
              <w:spacing w:line="240" w:lineRule="auto" w:before="4"/>
              <w:ind w:left="26" w:right="-59"/>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12" w:type="dxa"/>
            <w:tcBorders>
              <w:top w:val="single" w:sz="4" w:space="0" w:color="41B7EE"/>
              <w:left w:val="single" w:sz="11" w:space="0" w:color="FFFFFF"/>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3,205,217.35</w:t>
            </w:r>
          </w:p>
        </w:tc>
        <w:tc>
          <w:tcPr>
            <w:tcW w:w="147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3,214,420.69</w:t>
            </w:r>
          </w:p>
        </w:tc>
      </w:tr>
      <w:tr>
        <w:trPr>
          <w:trHeight w:val="355" w:hRule="exact"/>
        </w:trPr>
        <w:tc>
          <w:tcPr>
            <w:tcW w:w="456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黑龙江省建三江农垦海纳粮食贸易有限责任公司</w:t>
            </w:r>
            <w:r>
              <w:rPr>
                <w:rFonts w:ascii="宋体" w:hAnsi="宋体" w:cs="宋体" w:eastAsia="宋体" w:hint="default"/>
                <w:sz w:val="21"/>
                <w:szCs w:val="21"/>
              </w:rPr>
              <w:t> </w:t>
            </w:r>
          </w:p>
        </w:tc>
        <w:tc>
          <w:tcPr>
            <w:tcW w:w="1143" w:type="dxa"/>
            <w:tcBorders>
              <w:top w:val="single" w:sz="4" w:space="0" w:color="41B7EE"/>
              <w:left w:val="single" w:sz="4" w:space="0" w:color="41B7EE"/>
              <w:bottom w:val="single" w:sz="4" w:space="0" w:color="41B7EE"/>
              <w:right w:val="single" w:sz="11" w:space="0" w:color="FFFFFF"/>
            </w:tcBorders>
          </w:tcPr>
          <w:p>
            <w:pPr>
              <w:pStyle w:val="TableParagraph"/>
              <w:spacing w:line="240" w:lineRule="auto" w:before="2"/>
              <w:ind w:left="26" w:right="-59"/>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12" w:type="dxa"/>
            <w:tcBorders>
              <w:top w:val="single" w:sz="4" w:space="0" w:color="41B7EE"/>
              <w:left w:val="single" w:sz="11" w:space="0" w:color="FFFFFF"/>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282,569.29</w:t>
            </w:r>
          </w:p>
        </w:tc>
        <w:tc>
          <w:tcPr>
            <w:tcW w:w="147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484,404.59</w:t>
            </w:r>
          </w:p>
        </w:tc>
      </w:tr>
      <w:tr>
        <w:trPr>
          <w:trHeight w:val="358" w:hRule="exact"/>
        </w:trPr>
        <w:tc>
          <w:tcPr>
            <w:tcW w:w="456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北大荒龙麦农业股份有限公司</w:t>
            </w:r>
            <w:r>
              <w:rPr>
                <w:rFonts w:ascii="宋体" w:hAnsi="宋体" w:cs="宋体" w:eastAsia="宋体" w:hint="default"/>
                <w:sz w:val="21"/>
                <w:szCs w:val="21"/>
              </w:rPr>
              <w:t> </w:t>
            </w:r>
          </w:p>
        </w:tc>
        <w:tc>
          <w:tcPr>
            <w:tcW w:w="1143" w:type="dxa"/>
            <w:tcBorders>
              <w:top w:val="single" w:sz="4" w:space="0" w:color="41B7EE"/>
              <w:left w:val="single" w:sz="4" w:space="0" w:color="41B7EE"/>
              <w:bottom w:val="single" w:sz="4" w:space="0" w:color="41B7EE"/>
              <w:right w:val="single" w:sz="11" w:space="0" w:color="FFFFFF"/>
            </w:tcBorders>
          </w:tcPr>
          <w:p>
            <w:pPr>
              <w:pStyle w:val="TableParagraph"/>
              <w:spacing w:line="240" w:lineRule="auto" w:before="4"/>
              <w:ind w:left="26" w:right="-59"/>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12" w:type="dxa"/>
            <w:tcBorders>
              <w:top w:val="single" w:sz="4" w:space="0" w:color="41B7EE"/>
              <w:left w:val="single" w:sz="11" w:space="0" w:color="FFFFFF"/>
              <w:bottom w:val="single" w:sz="4" w:space="0" w:color="41B7EE"/>
              <w:right w:val="single" w:sz="4" w:space="0" w:color="41B7EE"/>
            </w:tcBorders>
          </w:tcPr>
          <w:p>
            <w:pPr>
              <w:pStyle w:val="TableParagraph"/>
              <w:spacing w:line="240" w:lineRule="auto" w:before="50"/>
              <w:ind w:right="20"/>
              <w:jc w:val="right"/>
              <w:rPr>
                <w:rFonts w:ascii="Arial" w:hAnsi="Arial" w:cs="Arial" w:eastAsia="Arial" w:hint="default"/>
                <w:sz w:val="21"/>
                <w:szCs w:val="21"/>
              </w:rPr>
            </w:pPr>
            <w:r>
              <w:rPr>
                <w:rFonts w:ascii="Arial"/>
                <w:spacing w:val="-1"/>
                <w:sz w:val="21"/>
              </w:rPr>
              <w:t>2,765,548.89</w:t>
            </w:r>
          </w:p>
        </w:tc>
        <w:tc>
          <w:tcPr>
            <w:tcW w:w="147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right="27"/>
              <w:jc w:val="right"/>
              <w:rPr>
                <w:rFonts w:ascii="Arial" w:hAnsi="Arial" w:cs="Arial" w:eastAsia="Arial" w:hint="default"/>
                <w:sz w:val="21"/>
                <w:szCs w:val="21"/>
              </w:rPr>
            </w:pPr>
            <w:r>
              <w:rPr>
                <w:rFonts w:ascii="Arial"/>
                <w:spacing w:val="-1"/>
                <w:sz w:val="21"/>
              </w:rPr>
              <w:t>2,765,714.30</w:t>
            </w:r>
          </w:p>
        </w:tc>
      </w:tr>
      <w:tr>
        <w:trPr>
          <w:trHeight w:val="358" w:hRule="exact"/>
        </w:trPr>
        <w:tc>
          <w:tcPr>
            <w:tcW w:w="456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黑龙江省北大荒米业集团有限公司二九一制米厂</w:t>
            </w:r>
            <w:r>
              <w:rPr>
                <w:rFonts w:ascii="宋体" w:hAnsi="宋体" w:cs="宋体" w:eastAsia="宋体" w:hint="default"/>
                <w:sz w:val="21"/>
                <w:szCs w:val="21"/>
              </w:rPr>
              <w:t> </w:t>
            </w:r>
          </w:p>
        </w:tc>
        <w:tc>
          <w:tcPr>
            <w:tcW w:w="1143" w:type="dxa"/>
            <w:tcBorders>
              <w:top w:val="single" w:sz="4" w:space="0" w:color="41B7EE"/>
              <w:left w:val="single" w:sz="4" w:space="0" w:color="41B7EE"/>
              <w:bottom w:val="single" w:sz="4" w:space="0" w:color="41B7EE"/>
              <w:right w:val="single" w:sz="11" w:space="0" w:color="FFFFFF"/>
            </w:tcBorders>
          </w:tcPr>
          <w:p>
            <w:pPr>
              <w:pStyle w:val="TableParagraph"/>
              <w:spacing w:line="240" w:lineRule="auto" w:before="4"/>
              <w:ind w:left="26" w:right="-59"/>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12" w:type="dxa"/>
            <w:tcBorders>
              <w:top w:val="single" w:sz="4" w:space="0" w:color="41B7EE"/>
              <w:left w:val="single" w:sz="11" w:space="0" w:color="FFFFFF"/>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18,348.62</w:t>
            </w:r>
          </w:p>
        </w:tc>
        <w:tc>
          <w:tcPr>
            <w:tcW w:w="1474"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456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北大荒垦丰种业股份有限公司</w:t>
            </w:r>
            <w:r>
              <w:rPr>
                <w:rFonts w:ascii="宋体" w:hAnsi="宋体" w:cs="宋体" w:eastAsia="宋体" w:hint="default"/>
                <w:sz w:val="21"/>
                <w:szCs w:val="21"/>
              </w:rPr>
              <w:t> </w:t>
            </w:r>
          </w:p>
        </w:tc>
        <w:tc>
          <w:tcPr>
            <w:tcW w:w="114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171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1,285,294.51</w:t>
            </w:r>
          </w:p>
        </w:tc>
        <w:tc>
          <w:tcPr>
            <w:tcW w:w="147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1,277,608.65</w:t>
            </w:r>
          </w:p>
        </w:tc>
      </w:tr>
      <w:tr>
        <w:trPr>
          <w:trHeight w:val="362" w:hRule="exact"/>
        </w:trPr>
        <w:tc>
          <w:tcPr>
            <w:tcW w:w="4568"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黑龙江省建三江农垦海纳粮食贸易有限责任公司</w:t>
            </w:r>
            <w:r>
              <w:rPr>
                <w:rFonts w:ascii="宋体" w:hAnsi="宋体" w:cs="宋体" w:eastAsia="宋体" w:hint="default"/>
                <w:sz w:val="21"/>
                <w:szCs w:val="21"/>
              </w:rPr>
              <w:t> </w:t>
            </w:r>
          </w:p>
        </w:tc>
        <w:tc>
          <w:tcPr>
            <w:tcW w:w="1143"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1712"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7"/>
              <w:ind w:right="20"/>
              <w:jc w:val="right"/>
              <w:rPr>
                <w:rFonts w:ascii="Arial" w:hAnsi="Arial" w:cs="Arial" w:eastAsia="Arial" w:hint="default"/>
                <w:sz w:val="21"/>
                <w:szCs w:val="21"/>
              </w:rPr>
            </w:pPr>
            <w:r>
              <w:rPr>
                <w:rFonts w:ascii="Arial"/>
                <w:spacing w:val="-1"/>
                <w:sz w:val="21"/>
              </w:rPr>
              <w:t>358,734.41</w:t>
            </w:r>
          </w:p>
        </w:tc>
        <w:tc>
          <w:tcPr>
            <w:tcW w:w="1474"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7"/>
              <w:ind w:right="27"/>
              <w:jc w:val="right"/>
              <w:rPr>
                <w:rFonts w:ascii="Arial" w:hAnsi="Arial" w:cs="Arial" w:eastAsia="Arial" w:hint="default"/>
                <w:sz w:val="21"/>
                <w:szCs w:val="21"/>
              </w:rPr>
            </w:pPr>
            <w:r>
              <w:rPr>
                <w:rFonts w:ascii="Arial"/>
                <w:spacing w:val="-1"/>
                <w:sz w:val="21"/>
              </w:rPr>
              <w:t>614,973.36</w:t>
            </w:r>
          </w:p>
        </w:tc>
      </w:tr>
    </w:tbl>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4563;height:2" coordorigin="10,10" coordsize="4563,2">
              <v:shape style="position:absolute;left:10;top:10;width:4563;height:2" coordorigin="10,10" coordsize="4563,0" path="m10,10l4572,10e" filled="false" stroked="true" strokeweight=".96002pt" strokecolor="#41b7ee">
                <v:path arrowok="t"/>
              </v:shape>
            </v:group>
            <v:group style="position:absolute;left:4573;top:10;width:58;height:2" coordorigin="4573,10" coordsize="58,2">
              <v:shape style="position:absolute;left:4573;top:10;width:58;height:2" coordorigin="4573,10" coordsize="58,0" path="m4573,10l4630,10e" filled="false" stroked="true" strokeweight=".96002pt" strokecolor="#41b7ee">
                <v:path arrowok="t"/>
              </v:shape>
            </v:group>
            <v:group style="position:absolute;left:4630;top:10;width:1086;height:2" coordorigin="4630,10" coordsize="1086,2">
              <v:shape style="position:absolute;left:4630;top:10;width:1086;height:2" coordorigin="4630,10" coordsize="1086,0" path="m4630,10l5715,10e" filled="false" stroked="true" strokeweight=".96002pt" strokecolor="#41b7ee">
                <v:path arrowok="t"/>
              </v:shape>
            </v:group>
            <v:group style="position:absolute;left:5715;top:10;width:58;height:2" coordorigin="5715,10" coordsize="58,2">
              <v:shape style="position:absolute;left:5715;top:10;width:58;height:2" coordorigin="5715,10" coordsize="58,0" path="m5715,10l5773,10e" filled="false" stroked="true" strokeweight=".96002pt" strokecolor="#41b7ee">
                <v:path arrowok="t"/>
              </v:shape>
            </v:group>
            <v:group style="position:absolute;left:5773;top:10;width:1655;height:2" coordorigin="5773,10" coordsize="1655,2">
              <v:shape style="position:absolute;left:5773;top:10;width:1655;height:2" coordorigin="5773,10" coordsize="1655,0" path="m5773,10l7427,10e" filled="false" stroked="true" strokeweight=".96002pt" strokecolor="#41b7ee">
                <v:path arrowok="t"/>
              </v:shape>
            </v:group>
            <v:group style="position:absolute;left:7427;top:10;width:58;height:2" coordorigin="7427,10" coordsize="58,2">
              <v:shape style="position:absolute;left:7427;top:10;width:58;height:2" coordorigin="7427,10" coordsize="58,0" path="m7427,10l7485,10e" filled="false" stroked="true" strokeweight=".96002pt" strokecolor="#41b7ee">
                <v:path arrowok="t"/>
              </v:shape>
            </v:group>
            <v:group style="position:absolute;left:7485;top:10;width:1421;height:2" coordorigin="7485,10" coordsize="1421,2">
              <v:shape style="position:absolute;left:7485;top:10;width:1421;height:2" coordorigin="7485,10" coordsize="1421,0" path="m7485,10l8906,10e" filled="false" stroked="true" strokeweight=".96002pt" strokecolor="#41b7ee">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360" w:bottom="1380" w:left="1620" w:right="1060"/>
        </w:sectPr>
      </w:pPr>
    </w:p>
    <w:p>
      <w:pPr>
        <w:spacing w:line="240" w:lineRule="auto" w:before="10"/>
        <w:rPr>
          <w:rFonts w:ascii="宋体" w:hAnsi="宋体" w:cs="宋体" w:eastAsia="宋体" w:hint="default"/>
          <w:sz w:val="11"/>
          <w:szCs w:val="11"/>
        </w:rPr>
      </w:pPr>
    </w:p>
    <w:p>
      <w:pPr>
        <w:spacing w:line="20" w:lineRule="exact"/>
        <w:ind w:left="197"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4563;height:2" coordorigin="10,10" coordsize="4563,2">
              <v:shape style="position:absolute;left:10;top:10;width:4563;height:2" coordorigin="10,10" coordsize="4563,0" path="m10,10l4572,10e" filled="false" stroked="true" strokeweight=".96001pt" strokecolor="#41b7ee">
                <v:path arrowok="t"/>
              </v:shape>
            </v:group>
            <v:group style="position:absolute;left:4573;top:10;width:58;height:2" coordorigin="4573,10" coordsize="58,2">
              <v:shape style="position:absolute;left:4573;top:10;width:58;height:2" coordorigin="4573,10" coordsize="58,0" path="m4573,10l4630,10e" filled="false" stroked="true" strokeweight=".96001pt" strokecolor="#41b7ee">
                <v:path arrowok="t"/>
              </v:shape>
            </v:group>
            <v:group style="position:absolute;left:4630;top:10;width:1086;height:2" coordorigin="4630,10" coordsize="1086,2">
              <v:shape style="position:absolute;left:4630;top:10;width:1086;height:2" coordorigin="4630,10" coordsize="1086,0" path="m4630,10l5715,10e" filled="false" stroked="true" strokeweight=".96001pt" strokecolor="#41b7ee">
                <v:path arrowok="t"/>
              </v:shape>
            </v:group>
            <v:group style="position:absolute;left:5715;top:10;width:58;height:2" coordorigin="5715,10" coordsize="58,2">
              <v:shape style="position:absolute;left:5715;top:10;width:58;height:2" coordorigin="5715,10" coordsize="58,0" path="m5715,10l5773,10e" filled="false" stroked="true" strokeweight=".96001pt" strokecolor="#41b7ee">
                <v:path arrowok="t"/>
              </v:shape>
            </v:group>
            <v:group style="position:absolute;left:5773;top:10;width:1655;height:2" coordorigin="5773,10" coordsize="1655,2">
              <v:shape style="position:absolute;left:5773;top:10;width:1655;height:2" coordorigin="5773,10" coordsize="1655,0" path="m5773,10l7427,10e" filled="false" stroked="true" strokeweight=".96001pt" strokecolor="#41b7ee">
                <v:path arrowok="t"/>
              </v:shape>
            </v:group>
            <v:group style="position:absolute;left:7427;top:10;width:58;height:2" coordorigin="7427,10" coordsize="58,2">
              <v:shape style="position:absolute;left:7427;top:10;width:58;height:2" coordorigin="7427,10" coordsize="58,0" path="m7427,10l7485,10e" filled="false" stroked="true" strokeweight=".96001pt" strokecolor="#41b7ee">
                <v:path arrowok="t"/>
              </v:shape>
            </v:group>
            <v:group style="position:absolute;left:7485;top:10;width:1421;height:2" coordorigin="7485,10" coordsize="1421,2">
              <v:shape style="position:absolute;left:7485;top:10;width:1421;height:2" coordorigin="7485,10" coordsize="1421,0" path="m7485,10l8906,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78" w:type="dxa"/>
        <w:tblLayout w:type="fixed"/>
        <w:tblCellMar>
          <w:top w:w="0" w:type="dxa"/>
          <w:left w:w="0" w:type="dxa"/>
          <w:bottom w:w="0" w:type="dxa"/>
          <w:right w:w="0" w:type="dxa"/>
        </w:tblCellMar>
        <w:tblLook w:val="01E0"/>
      </w:tblPr>
      <w:tblGrid>
        <w:gridCol w:w="4568"/>
        <w:gridCol w:w="1143"/>
        <w:gridCol w:w="1712"/>
        <w:gridCol w:w="1474"/>
      </w:tblGrid>
      <w:tr>
        <w:trPr>
          <w:trHeight w:val="365" w:hRule="exact"/>
        </w:trPr>
        <w:tc>
          <w:tcPr>
            <w:tcW w:w="4568"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7"/>
              <w:ind w:left="31" w:right="0"/>
              <w:jc w:val="left"/>
              <w:rPr>
                <w:rFonts w:ascii="宋体" w:hAnsi="宋体" w:cs="宋体" w:eastAsia="宋体" w:hint="default"/>
                <w:sz w:val="21"/>
                <w:szCs w:val="21"/>
              </w:rPr>
            </w:pPr>
            <w:r>
              <w:rPr>
                <w:rFonts w:ascii="宋体" w:hAnsi="宋体" w:cs="宋体" w:eastAsia="宋体" w:hint="default"/>
                <w:sz w:val="21"/>
                <w:szCs w:val="21"/>
              </w:rPr>
              <w:t>北大荒龙麦农业股份有限公司</w:t>
            </w:r>
            <w:r>
              <w:rPr>
                <w:rFonts w:ascii="宋体" w:hAnsi="宋体" w:cs="宋体" w:eastAsia="宋体" w:hint="default"/>
                <w:sz w:val="21"/>
                <w:szCs w:val="21"/>
              </w:rPr>
              <w:t> </w:t>
            </w:r>
          </w:p>
        </w:tc>
        <w:tc>
          <w:tcPr>
            <w:tcW w:w="1143"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7"/>
              <w:ind w:left="26"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1712"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50"/>
              <w:ind w:right="20"/>
              <w:jc w:val="right"/>
              <w:rPr>
                <w:rFonts w:ascii="Arial" w:hAnsi="Arial" w:cs="Arial" w:eastAsia="Arial" w:hint="default"/>
                <w:sz w:val="21"/>
                <w:szCs w:val="21"/>
              </w:rPr>
            </w:pPr>
            <w:r>
              <w:rPr>
                <w:rFonts w:ascii="Arial"/>
                <w:spacing w:val="-1"/>
                <w:sz w:val="21"/>
              </w:rPr>
              <w:t>1,861,371.16</w:t>
            </w:r>
          </w:p>
        </w:tc>
        <w:tc>
          <w:tcPr>
            <w:tcW w:w="1474"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50"/>
              <w:ind w:right="27"/>
              <w:jc w:val="right"/>
              <w:rPr>
                <w:rFonts w:ascii="Arial" w:hAnsi="Arial" w:cs="Arial" w:eastAsia="Arial" w:hint="default"/>
                <w:sz w:val="21"/>
                <w:szCs w:val="21"/>
              </w:rPr>
            </w:pPr>
            <w:r>
              <w:rPr>
                <w:rFonts w:ascii="Arial"/>
                <w:spacing w:val="-1"/>
                <w:sz w:val="21"/>
              </w:rPr>
              <w:t>1,287,314.45</w:t>
            </w:r>
          </w:p>
        </w:tc>
      </w:tr>
      <w:tr>
        <w:trPr>
          <w:trHeight w:val="358" w:hRule="exact"/>
        </w:trPr>
        <w:tc>
          <w:tcPr>
            <w:tcW w:w="456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北大荒通用航空公司</w:t>
            </w:r>
            <w:r>
              <w:rPr>
                <w:rFonts w:ascii="宋体" w:hAnsi="宋体" w:cs="宋体" w:eastAsia="宋体" w:hint="default"/>
                <w:sz w:val="21"/>
                <w:szCs w:val="21"/>
              </w:rPr>
              <w:t> </w:t>
            </w:r>
          </w:p>
        </w:tc>
        <w:tc>
          <w:tcPr>
            <w:tcW w:w="114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171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283,185.84</w:t>
            </w:r>
          </w:p>
        </w:tc>
        <w:tc>
          <w:tcPr>
            <w:tcW w:w="147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275,862.07</w:t>
            </w:r>
          </w:p>
        </w:tc>
      </w:tr>
      <w:tr>
        <w:trPr>
          <w:trHeight w:val="358" w:hRule="exact"/>
        </w:trPr>
        <w:tc>
          <w:tcPr>
            <w:tcW w:w="456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北大荒龙麦农业股份有限公司</w:t>
            </w:r>
            <w:r>
              <w:rPr>
                <w:rFonts w:ascii="宋体" w:hAnsi="宋体" w:cs="宋体" w:eastAsia="宋体" w:hint="default"/>
                <w:sz w:val="21"/>
                <w:szCs w:val="21"/>
              </w:rPr>
              <w:t> </w:t>
            </w:r>
          </w:p>
        </w:tc>
        <w:tc>
          <w:tcPr>
            <w:tcW w:w="114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运输工具</w:t>
            </w:r>
            <w:r>
              <w:rPr>
                <w:rFonts w:ascii="宋体" w:hAnsi="宋体" w:cs="宋体" w:eastAsia="宋体" w:hint="default"/>
                <w:sz w:val="21"/>
                <w:szCs w:val="21"/>
              </w:rPr>
              <w:t> </w:t>
            </w:r>
          </w:p>
        </w:tc>
        <w:tc>
          <w:tcPr>
            <w:tcW w:w="171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2,954.75</w:t>
            </w:r>
          </w:p>
        </w:tc>
        <w:tc>
          <w:tcPr>
            <w:tcW w:w="147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4,302.70</w:t>
            </w:r>
          </w:p>
        </w:tc>
      </w:tr>
      <w:tr>
        <w:trPr>
          <w:trHeight w:val="554" w:hRule="exact"/>
        </w:trPr>
        <w:tc>
          <w:tcPr>
            <w:tcW w:w="456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00"/>
              <w:ind w:left="31" w:right="0"/>
              <w:jc w:val="left"/>
              <w:rPr>
                <w:rFonts w:ascii="宋体" w:hAnsi="宋体" w:cs="宋体" w:eastAsia="宋体" w:hint="default"/>
                <w:sz w:val="21"/>
                <w:szCs w:val="21"/>
              </w:rPr>
            </w:pPr>
            <w:r>
              <w:rPr>
                <w:rFonts w:ascii="宋体" w:hAnsi="宋体" w:cs="宋体" w:eastAsia="宋体" w:hint="default"/>
                <w:sz w:val="21"/>
                <w:szCs w:val="21"/>
              </w:rPr>
              <w:t>北大荒龙麦农业股份有限公司</w:t>
            </w:r>
            <w:r>
              <w:rPr>
                <w:rFonts w:ascii="宋体" w:hAnsi="宋体" w:cs="宋体" w:eastAsia="宋体" w:hint="default"/>
                <w:sz w:val="21"/>
                <w:szCs w:val="21"/>
              </w:rPr>
              <w:t> </w:t>
            </w:r>
          </w:p>
        </w:tc>
        <w:tc>
          <w:tcPr>
            <w:tcW w:w="1143" w:type="dxa"/>
            <w:tcBorders>
              <w:top w:val="single" w:sz="4" w:space="0" w:color="41B7EE"/>
              <w:left w:val="single" w:sz="4" w:space="0" w:color="41B7EE"/>
              <w:bottom w:val="single" w:sz="4" w:space="0" w:color="41B7EE"/>
              <w:right w:val="single" w:sz="4" w:space="0" w:color="41B7EE"/>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办公设备及</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1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20"/>
              <w:jc w:val="right"/>
              <w:rPr>
                <w:rFonts w:ascii="Arial" w:hAnsi="Arial" w:cs="Arial" w:eastAsia="Arial" w:hint="default"/>
                <w:sz w:val="21"/>
                <w:szCs w:val="21"/>
              </w:rPr>
            </w:pPr>
            <w:r>
              <w:rPr>
                <w:rFonts w:ascii="Arial"/>
                <w:spacing w:val="-1"/>
                <w:sz w:val="21"/>
              </w:rPr>
              <w:t>43,817.99</w:t>
            </w:r>
          </w:p>
        </w:tc>
        <w:tc>
          <w:tcPr>
            <w:tcW w:w="147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6"/>
              <w:ind w:right="26"/>
              <w:jc w:val="right"/>
              <w:rPr>
                <w:rFonts w:ascii="Arial" w:hAnsi="Arial" w:cs="Arial" w:eastAsia="Arial" w:hint="default"/>
                <w:sz w:val="21"/>
                <w:szCs w:val="21"/>
              </w:rPr>
            </w:pPr>
            <w:r>
              <w:rPr>
                <w:rFonts w:ascii="Arial"/>
                <w:spacing w:val="-1"/>
                <w:sz w:val="21"/>
              </w:rPr>
              <w:t>63,807.52</w:t>
            </w:r>
          </w:p>
        </w:tc>
      </w:tr>
      <w:tr>
        <w:trPr>
          <w:trHeight w:val="554" w:hRule="exact"/>
        </w:trPr>
        <w:tc>
          <w:tcPr>
            <w:tcW w:w="456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02"/>
              <w:ind w:left="31" w:right="0"/>
              <w:jc w:val="left"/>
              <w:rPr>
                <w:rFonts w:ascii="宋体" w:hAnsi="宋体" w:cs="宋体" w:eastAsia="宋体" w:hint="default"/>
                <w:sz w:val="21"/>
                <w:szCs w:val="21"/>
              </w:rPr>
            </w:pPr>
            <w:r>
              <w:rPr>
                <w:rFonts w:ascii="宋体" w:hAnsi="宋体" w:cs="宋体" w:eastAsia="宋体" w:hint="default"/>
                <w:sz w:val="21"/>
                <w:szCs w:val="21"/>
              </w:rPr>
              <w:t>北大荒垦丰种业股份有限公司</w:t>
            </w:r>
            <w:r>
              <w:rPr>
                <w:rFonts w:ascii="宋体" w:hAnsi="宋体" w:cs="宋体" w:eastAsia="宋体" w:hint="default"/>
                <w:sz w:val="21"/>
                <w:szCs w:val="21"/>
              </w:rPr>
              <w:t> </w:t>
            </w:r>
          </w:p>
        </w:tc>
        <w:tc>
          <w:tcPr>
            <w:tcW w:w="1143" w:type="dxa"/>
            <w:tcBorders>
              <w:top w:val="single" w:sz="4" w:space="0" w:color="41B7EE"/>
              <w:left w:val="single" w:sz="4" w:space="0" w:color="41B7EE"/>
              <w:bottom w:val="single" w:sz="4" w:space="0" w:color="41B7EE"/>
              <w:right w:val="single" w:sz="4" w:space="0" w:color="41B7EE"/>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办公设备及</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1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20"/>
              <w:jc w:val="right"/>
              <w:rPr>
                <w:rFonts w:ascii="Arial" w:hAnsi="Arial" w:cs="Arial" w:eastAsia="Arial" w:hint="default"/>
                <w:sz w:val="21"/>
                <w:szCs w:val="21"/>
              </w:rPr>
            </w:pPr>
            <w:r>
              <w:rPr>
                <w:rFonts w:ascii="Arial"/>
                <w:spacing w:val="-1"/>
                <w:sz w:val="21"/>
              </w:rPr>
              <w:t>17,638.56</w:t>
            </w:r>
          </w:p>
        </w:tc>
        <w:tc>
          <w:tcPr>
            <w:tcW w:w="147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6"/>
              <w:ind w:right="26"/>
              <w:jc w:val="right"/>
              <w:rPr>
                <w:rFonts w:ascii="Arial" w:hAnsi="Arial" w:cs="Arial" w:eastAsia="Arial" w:hint="default"/>
                <w:sz w:val="21"/>
                <w:szCs w:val="21"/>
              </w:rPr>
            </w:pPr>
            <w:r>
              <w:rPr>
                <w:rFonts w:ascii="Arial"/>
                <w:spacing w:val="-1"/>
                <w:sz w:val="21"/>
              </w:rPr>
              <w:t>17,375.36</w:t>
            </w:r>
          </w:p>
        </w:tc>
      </w:tr>
      <w:tr>
        <w:trPr>
          <w:trHeight w:val="581" w:hRule="exact"/>
        </w:trPr>
        <w:tc>
          <w:tcPr>
            <w:tcW w:w="4568"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102"/>
              <w:ind w:left="31" w:right="0"/>
              <w:jc w:val="left"/>
              <w:rPr>
                <w:rFonts w:ascii="宋体" w:hAnsi="宋体" w:cs="宋体" w:eastAsia="宋体" w:hint="default"/>
                <w:sz w:val="21"/>
                <w:szCs w:val="21"/>
              </w:rPr>
            </w:pPr>
            <w:r>
              <w:rPr>
                <w:rFonts w:ascii="宋体" w:hAnsi="宋体" w:cs="宋体" w:eastAsia="宋体" w:hint="default"/>
                <w:sz w:val="21"/>
                <w:szCs w:val="21"/>
              </w:rPr>
              <w:t>黑龙江省建三江农垦海纳粮食贸易有限责任公司</w:t>
            </w:r>
            <w:r>
              <w:rPr>
                <w:rFonts w:ascii="宋体" w:hAnsi="宋体" w:cs="宋体" w:eastAsia="宋体" w:hint="default"/>
                <w:sz w:val="21"/>
                <w:szCs w:val="21"/>
              </w:rPr>
              <w:t> </w:t>
            </w:r>
          </w:p>
        </w:tc>
        <w:tc>
          <w:tcPr>
            <w:tcW w:w="1143" w:type="dxa"/>
            <w:tcBorders>
              <w:top w:val="single" w:sz="4" w:space="0" w:color="41B7EE"/>
              <w:left w:val="single" w:sz="4" w:space="0" w:color="41B7EE"/>
              <w:bottom w:val="single" w:sz="23" w:space="0" w:color="41B7EE"/>
              <w:right w:val="single" w:sz="4" w:space="0" w:color="41B7EE"/>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办公设备及</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12"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146"/>
              <w:ind w:right="20"/>
              <w:jc w:val="right"/>
              <w:rPr>
                <w:rFonts w:ascii="Arial" w:hAnsi="Arial" w:cs="Arial" w:eastAsia="Arial" w:hint="default"/>
                <w:sz w:val="21"/>
                <w:szCs w:val="21"/>
              </w:rPr>
            </w:pPr>
            <w:r>
              <w:rPr>
                <w:rFonts w:ascii="Arial"/>
                <w:spacing w:val="-1"/>
                <w:sz w:val="21"/>
              </w:rPr>
              <w:t>44,147.85</w:t>
            </w:r>
          </w:p>
        </w:tc>
        <w:tc>
          <w:tcPr>
            <w:tcW w:w="1474"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146"/>
              <w:ind w:right="26"/>
              <w:jc w:val="right"/>
              <w:rPr>
                <w:rFonts w:ascii="Arial" w:hAnsi="Arial" w:cs="Arial" w:eastAsia="Arial" w:hint="default"/>
                <w:sz w:val="21"/>
                <w:szCs w:val="21"/>
              </w:rPr>
            </w:pPr>
            <w:r>
              <w:rPr>
                <w:rFonts w:ascii="Arial"/>
                <w:spacing w:val="-1"/>
                <w:sz w:val="21"/>
              </w:rPr>
              <w:t>75,682.10</w:t>
            </w:r>
          </w:p>
        </w:tc>
      </w:tr>
    </w:tbl>
    <w:p>
      <w:pPr>
        <w:spacing w:after="0" w:line="240" w:lineRule="auto"/>
        <w:jc w:val="right"/>
        <w:rPr>
          <w:rFonts w:ascii="Arial" w:hAnsi="Arial" w:cs="Arial" w:eastAsia="Arial" w:hint="default"/>
          <w:sz w:val="21"/>
          <w:szCs w:val="21"/>
        </w:rPr>
        <w:sectPr>
          <w:footerReference w:type="default" r:id="rId91"/>
          <w:pgSz w:w="11910" w:h="16840"/>
          <w:pgMar w:footer="1195" w:header="0" w:top="1360" w:bottom="1380" w:left="1560" w:right="1000"/>
        </w:sectPr>
      </w:pPr>
    </w:p>
    <w:p>
      <w:pPr>
        <w:pStyle w:val="BodyText"/>
        <w:spacing w:line="257" w:lineRule="exact"/>
        <w:ind w:left="238" w:right="0"/>
        <w:jc w:val="left"/>
        <w:rPr>
          <w:rFonts w:ascii="宋体" w:hAnsi="宋体" w:cs="宋体" w:eastAsia="宋体" w:hint="default"/>
        </w:rPr>
      </w:pPr>
      <w:r>
        <w:rPr/>
        <w:t>本公司作为承租方：</w:t>
      </w:r>
      <w:r>
        <w:rPr>
          <w:rFonts w:ascii="宋体" w:hAnsi="宋体" w:cs="宋体" w:eastAsia="宋体" w:hint="default"/>
        </w:rPr>
        <w:t> </w:t>
      </w:r>
    </w:p>
    <w:p>
      <w:pPr>
        <w:pStyle w:val="BodyText"/>
        <w:spacing w:line="273"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0"/>
          <w:szCs w:val="20"/>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560" w:right="1000"/>
          <w:cols w:num="2" w:equalWidth="0">
            <w:col w:w="2235" w:space="4286"/>
            <w:col w:w="2829"/>
          </w:cols>
        </w:sectPr>
      </w:pPr>
    </w:p>
    <w:p>
      <w:pPr>
        <w:spacing w:line="240" w:lineRule="auto" w:before="4"/>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2571"/>
        <w:gridCol w:w="1855"/>
        <w:gridCol w:w="2285"/>
        <w:gridCol w:w="2184"/>
      </w:tblGrid>
      <w:tr>
        <w:trPr>
          <w:trHeight w:val="385" w:hRule="exact"/>
        </w:trPr>
        <w:tc>
          <w:tcPr>
            <w:tcW w:w="2571"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7"/>
              <w:ind w:left="760" w:right="0"/>
              <w:jc w:val="left"/>
              <w:rPr>
                <w:rFonts w:ascii="宋体" w:hAnsi="宋体" w:cs="宋体" w:eastAsia="宋体" w:hint="default"/>
                <w:sz w:val="21"/>
                <w:szCs w:val="21"/>
              </w:rPr>
            </w:pPr>
            <w:r>
              <w:rPr>
                <w:rFonts w:ascii="宋体" w:hAnsi="宋体" w:cs="宋体" w:eastAsia="宋体" w:hint="default"/>
                <w:sz w:val="21"/>
                <w:szCs w:val="21"/>
              </w:rPr>
              <w:t>出租方名称</w:t>
            </w:r>
            <w:r>
              <w:rPr>
                <w:rFonts w:ascii="宋体" w:hAnsi="宋体" w:cs="宋体" w:eastAsia="宋体" w:hint="default"/>
                <w:sz w:val="21"/>
                <w:szCs w:val="21"/>
              </w:rPr>
              <w:t> </w:t>
            </w:r>
          </w:p>
        </w:tc>
        <w:tc>
          <w:tcPr>
            <w:tcW w:w="1855"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7"/>
              <w:ind w:left="292" w:right="0"/>
              <w:jc w:val="left"/>
              <w:rPr>
                <w:rFonts w:ascii="宋体" w:hAnsi="宋体" w:cs="宋体" w:eastAsia="宋体" w:hint="default"/>
                <w:sz w:val="21"/>
                <w:szCs w:val="21"/>
              </w:rPr>
            </w:pPr>
            <w:r>
              <w:rPr>
                <w:rFonts w:ascii="宋体" w:hAnsi="宋体" w:cs="宋体" w:eastAsia="宋体" w:hint="default"/>
                <w:sz w:val="21"/>
                <w:szCs w:val="21"/>
              </w:rPr>
              <w:t>租赁资产种类</w:t>
            </w:r>
            <w:r>
              <w:rPr>
                <w:rFonts w:ascii="宋体" w:hAnsi="宋体" w:cs="宋体" w:eastAsia="宋体" w:hint="default"/>
                <w:sz w:val="21"/>
                <w:szCs w:val="21"/>
              </w:rPr>
              <w:t> </w:t>
            </w:r>
          </w:p>
        </w:tc>
        <w:tc>
          <w:tcPr>
            <w:tcW w:w="2285"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7"/>
              <w:ind w:left="297" w:right="0"/>
              <w:jc w:val="left"/>
              <w:rPr>
                <w:rFonts w:ascii="宋体" w:hAnsi="宋体" w:cs="宋体" w:eastAsia="宋体" w:hint="default"/>
                <w:sz w:val="21"/>
                <w:szCs w:val="21"/>
              </w:rPr>
            </w:pPr>
            <w:r>
              <w:rPr>
                <w:rFonts w:ascii="宋体" w:hAnsi="宋体" w:cs="宋体" w:eastAsia="宋体" w:hint="default"/>
                <w:sz w:val="21"/>
                <w:szCs w:val="21"/>
              </w:rPr>
              <w:t>本期确认的租赁费</w:t>
            </w:r>
            <w:r>
              <w:rPr>
                <w:rFonts w:ascii="宋体" w:hAnsi="宋体" w:cs="宋体" w:eastAsia="宋体" w:hint="default"/>
                <w:sz w:val="21"/>
                <w:szCs w:val="21"/>
              </w:rPr>
              <w:t> </w:t>
            </w:r>
          </w:p>
        </w:tc>
        <w:tc>
          <w:tcPr>
            <w:tcW w:w="2184"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7"/>
              <w:ind w:left="244" w:right="0"/>
              <w:jc w:val="left"/>
              <w:rPr>
                <w:rFonts w:ascii="宋体" w:hAnsi="宋体" w:cs="宋体" w:eastAsia="宋体" w:hint="default"/>
                <w:sz w:val="21"/>
                <w:szCs w:val="21"/>
              </w:rPr>
            </w:pPr>
            <w:r>
              <w:rPr>
                <w:rFonts w:ascii="宋体" w:hAnsi="宋体" w:cs="宋体" w:eastAsia="宋体" w:hint="default"/>
                <w:sz w:val="21"/>
                <w:szCs w:val="21"/>
              </w:rPr>
              <w:t>上期确认的租赁费</w:t>
            </w:r>
            <w:r>
              <w:rPr>
                <w:rFonts w:ascii="宋体" w:hAnsi="宋体" w:cs="宋体" w:eastAsia="宋体" w:hint="default"/>
                <w:sz w:val="21"/>
                <w:szCs w:val="21"/>
              </w:rPr>
              <w:t> </w:t>
            </w:r>
          </w:p>
        </w:tc>
      </w:tr>
      <w:tr>
        <w:trPr>
          <w:trHeight w:val="358" w:hRule="exact"/>
        </w:trPr>
        <w:tc>
          <w:tcPr>
            <w:tcW w:w="257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黑龙江省青龙山农场</w:t>
            </w:r>
            <w:r>
              <w:rPr>
                <w:rFonts w:ascii="宋体" w:hAnsi="宋体" w:cs="宋体" w:eastAsia="宋体" w:hint="default"/>
                <w:sz w:val="21"/>
                <w:szCs w:val="21"/>
              </w:rPr>
              <w:t> </w:t>
            </w:r>
          </w:p>
        </w:tc>
        <w:tc>
          <w:tcPr>
            <w:tcW w:w="18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228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116,700.00</w:t>
            </w:r>
          </w:p>
        </w:tc>
        <w:tc>
          <w:tcPr>
            <w:tcW w:w="218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116,700.00</w:t>
            </w:r>
          </w:p>
        </w:tc>
      </w:tr>
      <w:tr>
        <w:trPr>
          <w:trHeight w:val="355" w:hRule="exact"/>
        </w:trPr>
        <w:tc>
          <w:tcPr>
            <w:tcW w:w="257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黑龙江省七星农场</w:t>
            </w:r>
            <w:r>
              <w:rPr>
                <w:rFonts w:ascii="宋体" w:hAnsi="宋体" w:cs="宋体" w:eastAsia="宋体" w:hint="default"/>
                <w:sz w:val="21"/>
                <w:szCs w:val="21"/>
              </w:rPr>
              <w:t> </w:t>
            </w:r>
          </w:p>
        </w:tc>
        <w:tc>
          <w:tcPr>
            <w:tcW w:w="18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2285" w:type="dxa"/>
            <w:tcBorders>
              <w:top w:val="single" w:sz="4" w:space="0" w:color="41B7EE"/>
              <w:left w:val="single" w:sz="4" w:space="0" w:color="41B7EE"/>
              <w:bottom w:val="single" w:sz="4" w:space="0" w:color="41B7EE"/>
              <w:right w:val="single" w:sz="4" w:space="0" w:color="41B7EE"/>
            </w:tcBorders>
          </w:tcPr>
          <w:p>
            <w:pPr/>
          </w:p>
        </w:tc>
        <w:tc>
          <w:tcPr>
            <w:tcW w:w="218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5,207,400.00</w:t>
            </w:r>
          </w:p>
        </w:tc>
      </w:tr>
      <w:tr>
        <w:trPr>
          <w:trHeight w:val="358" w:hRule="exact"/>
        </w:trPr>
        <w:tc>
          <w:tcPr>
            <w:tcW w:w="257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黑龙江省八五三农场</w:t>
            </w:r>
            <w:r>
              <w:rPr>
                <w:rFonts w:ascii="宋体" w:hAnsi="宋体" w:cs="宋体" w:eastAsia="宋体" w:hint="default"/>
                <w:sz w:val="21"/>
                <w:szCs w:val="21"/>
              </w:rPr>
              <w:t> </w:t>
            </w:r>
          </w:p>
        </w:tc>
        <w:tc>
          <w:tcPr>
            <w:tcW w:w="18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228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19"/>
              <w:jc w:val="right"/>
              <w:rPr>
                <w:rFonts w:ascii="Arial" w:hAnsi="Arial" w:cs="Arial" w:eastAsia="Arial" w:hint="default"/>
                <w:sz w:val="21"/>
                <w:szCs w:val="21"/>
              </w:rPr>
            </w:pPr>
            <w:r>
              <w:rPr>
                <w:rFonts w:ascii="Arial"/>
                <w:spacing w:val="-1"/>
                <w:sz w:val="21"/>
              </w:rPr>
              <w:t>200,000.00</w:t>
            </w:r>
          </w:p>
        </w:tc>
        <w:tc>
          <w:tcPr>
            <w:tcW w:w="218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right="26"/>
              <w:jc w:val="right"/>
              <w:rPr>
                <w:rFonts w:ascii="Arial" w:hAnsi="Arial" w:cs="Arial" w:eastAsia="Arial" w:hint="default"/>
                <w:sz w:val="21"/>
                <w:szCs w:val="21"/>
              </w:rPr>
            </w:pPr>
            <w:r>
              <w:rPr>
                <w:rFonts w:ascii="Arial"/>
                <w:spacing w:val="-1"/>
                <w:sz w:val="21"/>
              </w:rPr>
              <w:t>199,999.96</w:t>
            </w:r>
          </w:p>
        </w:tc>
      </w:tr>
      <w:tr>
        <w:trPr>
          <w:trHeight w:val="358" w:hRule="exact"/>
        </w:trPr>
        <w:tc>
          <w:tcPr>
            <w:tcW w:w="257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黑龙江省勤得利农场</w:t>
            </w:r>
            <w:r>
              <w:rPr>
                <w:rFonts w:ascii="宋体" w:hAnsi="宋体" w:cs="宋体" w:eastAsia="宋体" w:hint="default"/>
                <w:sz w:val="21"/>
                <w:szCs w:val="21"/>
              </w:rPr>
              <w:t> </w:t>
            </w:r>
          </w:p>
        </w:tc>
        <w:tc>
          <w:tcPr>
            <w:tcW w:w="18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228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401,954.09</w:t>
            </w:r>
          </w:p>
        </w:tc>
        <w:tc>
          <w:tcPr>
            <w:tcW w:w="218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401,954.09</w:t>
            </w:r>
          </w:p>
        </w:tc>
      </w:tr>
      <w:tr>
        <w:trPr>
          <w:trHeight w:val="358" w:hRule="exact"/>
        </w:trPr>
        <w:tc>
          <w:tcPr>
            <w:tcW w:w="257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黑龙江省八五四农场</w:t>
            </w:r>
            <w:r>
              <w:rPr>
                <w:rFonts w:ascii="宋体" w:hAnsi="宋体" w:cs="宋体" w:eastAsia="宋体" w:hint="default"/>
                <w:sz w:val="21"/>
                <w:szCs w:val="21"/>
              </w:rPr>
              <w:t> </w:t>
            </w:r>
          </w:p>
        </w:tc>
        <w:tc>
          <w:tcPr>
            <w:tcW w:w="18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228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550,000.00</w:t>
            </w:r>
          </w:p>
        </w:tc>
        <w:tc>
          <w:tcPr>
            <w:tcW w:w="218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550,000.00</w:t>
            </w:r>
          </w:p>
        </w:tc>
      </w:tr>
      <w:tr>
        <w:trPr>
          <w:trHeight w:val="355" w:hRule="exact"/>
        </w:trPr>
        <w:tc>
          <w:tcPr>
            <w:tcW w:w="257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黑龙江省庆丰农场</w:t>
            </w:r>
            <w:r>
              <w:rPr>
                <w:rFonts w:ascii="宋体" w:hAnsi="宋体" w:cs="宋体" w:eastAsia="宋体" w:hint="default"/>
                <w:sz w:val="21"/>
                <w:szCs w:val="21"/>
              </w:rPr>
              <w:t> </w:t>
            </w:r>
          </w:p>
        </w:tc>
        <w:tc>
          <w:tcPr>
            <w:tcW w:w="18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2285" w:type="dxa"/>
            <w:tcBorders>
              <w:top w:val="single" w:sz="4" w:space="0" w:color="41B7EE"/>
              <w:left w:val="single" w:sz="4" w:space="0" w:color="41B7EE"/>
              <w:bottom w:val="single" w:sz="4" w:space="0" w:color="41B7EE"/>
              <w:right w:val="single" w:sz="4" w:space="0" w:color="41B7EE"/>
            </w:tcBorders>
          </w:tcPr>
          <w:p>
            <w:pPr/>
          </w:p>
        </w:tc>
        <w:tc>
          <w:tcPr>
            <w:tcW w:w="218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1,329,500.00</w:t>
            </w:r>
          </w:p>
        </w:tc>
      </w:tr>
      <w:tr>
        <w:trPr>
          <w:trHeight w:val="358" w:hRule="exact"/>
        </w:trPr>
        <w:tc>
          <w:tcPr>
            <w:tcW w:w="257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黑龙江省七星农场</w:t>
            </w:r>
            <w:r>
              <w:rPr>
                <w:rFonts w:ascii="宋体" w:hAnsi="宋体" w:cs="宋体" w:eastAsia="宋体" w:hint="default"/>
                <w:sz w:val="21"/>
                <w:szCs w:val="21"/>
              </w:rPr>
              <w:t> </w:t>
            </w:r>
          </w:p>
        </w:tc>
        <w:tc>
          <w:tcPr>
            <w:tcW w:w="18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2285" w:type="dxa"/>
            <w:tcBorders>
              <w:top w:val="single" w:sz="4" w:space="0" w:color="41B7EE"/>
              <w:left w:val="single" w:sz="4" w:space="0" w:color="41B7EE"/>
              <w:bottom w:val="single" w:sz="4" w:space="0" w:color="41B7EE"/>
              <w:right w:val="single" w:sz="4" w:space="0" w:color="41B7EE"/>
            </w:tcBorders>
          </w:tcPr>
          <w:p>
            <w:pPr/>
          </w:p>
        </w:tc>
        <w:tc>
          <w:tcPr>
            <w:tcW w:w="218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right="26"/>
              <w:jc w:val="right"/>
              <w:rPr>
                <w:rFonts w:ascii="Arial" w:hAnsi="Arial" w:cs="Arial" w:eastAsia="Arial" w:hint="default"/>
                <w:sz w:val="21"/>
                <w:szCs w:val="21"/>
              </w:rPr>
            </w:pPr>
            <w:r>
              <w:rPr>
                <w:rFonts w:ascii="Arial"/>
                <w:spacing w:val="-1"/>
                <w:sz w:val="21"/>
              </w:rPr>
              <w:t>572,600.00</w:t>
            </w:r>
          </w:p>
        </w:tc>
      </w:tr>
      <w:tr>
        <w:trPr>
          <w:trHeight w:val="358" w:hRule="exact"/>
        </w:trPr>
        <w:tc>
          <w:tcPr>
            <w:tcW w:w="257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黑龙江省江滨农场</w:t>
            </w:r>
            <w:r>
              <w:rPr>
                <w:rFonts w:ascii="宋体" w:hAnsi="宋体" w:cs="宋体" w:eastAsia="宋体" w:hint="default"/>
                <w:sz w:val="21"/>
                <w:szCs w:val="21"/>
              </w:rPr>
              <w:t> </w:t>
            </w:r>
          </w:p>
        </w:tc>
        <w:tc>
          <w:tcPr>
            <w:tcW w:w="18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228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200,000.00</w:t>
            </w:r>
          </w:p>
        </w:tc>
        <w:tc>
          <w:tcPr>
            <w:tcW w:w="2184"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257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黑龙江省勤得利农场</w:t>
            </w:r>
            <w:r>
              <w:rPr>
                <w:rFonts w:ascii="宋体" w:hAnsi="宋体" w:cs="宋体" w:eastAsia="宋体" w:hint="default"/>
                <w:sz w:val="21"/>
                <w:szCs w:val="21"/>
              </w:rPr>
              <w:t> </w:t>
            </w:r>
          </w:p>
        </w:tc>
        <w:tc>
          <w:tcPr>
            <w:tcW w:w="18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228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540,981.37</w:t>
            </w:r>
          </w:p>
        </w:tc>
        <w:tc>
          <w:tcPr>
            <w:tcW w:w="218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540,981.37</w:t>
            </w:r>
          </w:p>
        </w:tc>
      </w:tr>
      <w:tr>
        <w:trPr>
          <w:trHeight w:val="382" w:hRule="exact"/>
        </w:trPr>
        <w:tc>
          <w:tcPr>
            <w:tcW w:w="2571"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黑龙江省庆丰农场</w:t>
            </w:r>
            <w:r>
              <w:rPr>
                <w:rFonts w:ascii="宋体" w:hAnsi="宋体" w:cs="宋体" w:eastAsia="宋体" w:hint="default"/>
                <w:sz w:val="21"/>
                <w:szCs w:val="21"/>
              </w:rPr>
              <w:t> </w:t>
            </w:r>
          </w:p>
        </w:tc>
        <w:tc>
          <w:tcPr>
            <w:tcW w:w="1855"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2285" w:type="dxa"/>
            <w:tcBorders>
              <w:top w:val="single" w:sz="4" w:space="0" w:color="41B7EE"/>
              <w:left w:val="single" w:sz="4" w:space="0" w:color="41B7EE"/>
              <w:bottom w:val="single" w:sz="23" w:space="0" w:color="41B7EE"/>
              <w:right w:val="single" w:sz="4" w:space="0" w:color="41B7EE"/>
            </w:tcBorders>
          </w:tcPr>
          <w:p>
            <w:pPr/>
          </w:p>
        </w:tc>
        <w:tc>
          <w:tcPr>
            <w:tcW w:w="2184"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460,500.00</w:t>
            </w:r>
          </w:p>
        </w:tc>
      </w:tr>
    </w:tbl>
    <w:p>
      <w:pPr>
        <w:spacing w:after="0" w:line="240" w:lineRule="auto"/>
        <w:jc w:val="right"/>
        <w:rPr>
          <w:rFonts w:ascii="Arial" w:hAnsi="Arial" w:cs="Arial" w:eastAsia="Arial" w:hint="default"/>
          <w:sz w:val="21"/>
          <w:szCs w:val="21"/>
        </w:rPr>
        <w:sectPr>
          <w:type w:val="continuous"/>
          <w:pgSz w:w="11910" w:h="16840"/>
          <w:pgMar w:top="1360" w:bottom="1380" w:left="1560" w:right="1000"/>
        </w:sectPr>
      </w:pPr>
    </w:p>
    <w:p>
      <w:pPr>
        <w:pStyle w:val="BodyText"/>
        <w:spacing w:line="240" w:lineRule="exact"/>
        <w:ind w:left="238" w:right="0"/>
        <w:jc w:val="both"/>
        <w:rPr>
          <w:rFonts w:ascii="宋体" w:hAnsi="宋体" w:cs="宋体" w:eastAsia="宋体" w:hint="default"/>
        </w:rPr>
      </w:pPr>
      <w:r>
        <w:rPr/>
        <w:t>关联租赁情况说明</w:t>
      </w:r>
      <w:r>
        <w:rPr>
          <w:rFonts w:ascii="宋体" w:hAnsi="宋体" w:cs="宋体" w:eastAsia="宋体" w:hint="default"/>
        </w:rPr>
        <w:t> </w:t>
      </w:r>
    </w:p>
    <w:p>
      <w:pPr>
        <w:spacing w:line="290" w:lineRule="auto" w:before="0"/>
        <w:ind w:left="238" w:right="1685"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w w:val="99"/>
          <w:sz w:val="21"/>
          <w:szCs w:val="21"/>
        </w:rPr>
        <w:t> </w:t>
      </w:r>
      <w:r>
        <w:rPr>
          <w:rFonts w:ascii="宋体" w:hAnsi="宋体" w:cs="宋体" w:eastAsia="宋体" w:hint="default"/>
          <w:sz w:val="21"/>
          <w:szCs w:val="21"/>
        </w:rPr>
        <w:t>本公司作为担保方</w:t>
      </w:r>
      <w:r>
        <w:rPr>
          <w:rFonts w:ascii="宋体" w:hAnsi="宋体" w:cs="宋体" w:eastAsia="宋体" w:hint="default"/>
          <w:sz w:val="21"/>
          <w:szCs w:val="21"/>
        </w:rPr>
        <w:t> </w:t>
      </w:r>
    </w:p>
    <w:p>
      <w:pPr>
        <w:pStyle w:val="BodyText"/>
        <w:spacing w:line="226" w:lineRule="exact"/>
        <w:ind w:left="2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8" w:right="0"/>
        <w:jc w:val="both"/>
      </w:pPr>
      <w:r>
        <w:rPr/>
        <w:t>本公司作为被担保方</w:t>
      </w:r>
    </w:p>
    <w:p>
      <w:pPr>
        <w:pStyle w:val="BodyText"/>
        <w:spacing w:line="240" w:lineRule="auto"/>
        <w:ind w:left="238" w:right="249"/>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关联担保情况说明</w:t>
      </w:r>
    </w:p>
    <w:p>
      <w:pPr>
        <w:spacing w:line="290" w:lineRule="auto" w:before="0"/>
        <w:ind w:left="238" w:right="249"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关联方资金拆借</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3"/>
        <w:ind w:left="23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关联方资产转让、债务重组情况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560" w:right="1000"/>
          <w:cols w:num="2" w:equalWidth="0">
            <w:col w:w="3722" w:space="2800"/>
            <w:col w:w="2828"/>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200"/>
        <w:gridCol w:w="2031"/>
        <w:gridCol w:w="2033"/>
        <w:gridCol w:w="1786"/>
      </w:tblGrid>
      <w:tr>
        <w:trPr>
          <w:trHeight w:val="384" w:hRule="exact"/>
        </w:trPr>
        <w:tc>
          <w:tcPr>
            <w:tcW w:w="3200"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left="109"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031"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left="376"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2033"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left="48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786"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362"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55" w:hRule="exact"/>
        </w:trPr>
        <w:tc>
          <w:tcPr>
            <w:tcW w:w="320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黑龙江省勤得利农场</w:t>
            </w:r>
            <w:r>
              <w:rPr>
                <w:rFonts w:ascii="宋体" w:hAnsi="宋体" w:cs="宋体" w:eastAsia="宋体" w:hint="default"/>
                <w:sz w:val="21"/>
                <w:szCs w:val="21"/>
              </w:rPr>
              <w:t> </w:t>
            </w:r>
          </w:p>
        </w:tc>
        <w:tc>
          <w:tcPr>
            <w:tcW w:w="203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购买资产</w:t>
            </w:r>
            <w:r>
              <w:rPr>
                <w:rFonts w:ascii="宋体" w:hAnsi="宋体" w:cs="宋体" w:eastAsia="宋体" w:hint="default"/>
                <w:sz w:val="21"/>
                <w:szCs w:val="21"/>
              </w:rPr>
              <w:t> </w:t>
            </w:r>
          </w:p>
        </w:tc>
        <w:tc>
          <w:tcPr>
            <w:tcW w:w="20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2,693,600.00</w:t>
            </w:r>
          </w:p>
        </w:tc>
        <w:tc>
          <w:tcPr>
            <w:tcW w:w="1786"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20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黑龙江省友谊农场</w:t>
            </w:r>
            <w:r>
              <w:rPr>
                <w:rFonts w:ascii="宋体" w:hAnsi="宋体" w:cs="宋体" w:eastAsia="宋体" w:hint="default"/>
                <w:sz w:val="21"/>
                <w:szCs w:val="21"/>
              </w:rPr>
              <w:t> </w:t>
            </w:r>
          </w:p>
        </w:tc>
        <w:tc>
          <w:tcPr>
            <w:tcW w:w="203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购买资产</w:t>
            </w:r>
            <w:r>
              <w:rPr>
                <w:rFonts w:ascii="宋体" w:hAnsi="宋体" w:cs="宋体" w:eastAsia="宋体" w:hint="default"/>
                <w:sz w:val="21"/>
                <w:szCs w:val="21"/>
              </w:rPr>
              <w:t> </w:t>
            </w:r>
          </w:p>
        </w:tc>
        <w:tc>
          <w:tcPr>
            <w:tcW w:w="20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4,682,900.00</w:t>
            </w:r>
          </w:p>
        </w:tc>
        <w:tc>
          <w:tcPr>
            <w:tcW w:w="1786"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20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黑龙江省八五六农场</w:t>
            </w:r>
            <w:r>
              <w:rPr>
                <w:rFonts w:ascii="宋体" w:hAnsi="宋体" w:cs="宋体" w:eastAsia="宋体" w:hint="default"/>
                <w:sz w:val="21"/>
                <w:szCs w:val="21"/>
              </w:rPr>
              <w:t> </w:t>
            </w:r>
          </w:p>
        </w:tc>
        <w:tc>
          <w:tcPr>
            <w:tcW w:w="203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购买资产</w:t>
            </w:r>
            <w:r>
              <w:rPr>
                <w:rFonts w:ascii="宋体" w:hAnsi="宋体" w:cs="宋体" w:eastAsia="宋体" w:hint="default"/>
                <w:sz w:val="21"/>
                <w:szCs w:val="21"/>
              </w:rPr>
              <w:t> </w:t>
            </w:r>
          </w:p>
        </w:tc>
        <w:tc>
          <w:tcPr>
            <w:tcW w:w="203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9,604,700.00</w:t>
            </w:r>
          </w:p>
        </w:tc>
        <w:tc>
          <w:tcPr>
            <w:tcW w:w="1786" w:type="dxa"/>
            <w:tcBorders>
              <w:top w:val="single" w:sz="4" w:space="0" w:color="41B7EE"/>
              <w:left w:val="single" w:sz="4" w:space="0" w:color="41B7EE"/>
              <w:bottom w:val="single" w:sz="4" w:space="0" w:color="41B7EE"/>
              <w:right w:val="nil" w:sz="6" w:space="0" w:color="auto"/>
            </w:tcBorders>
          </w:tcPr>
          <w:p>
            <w:pPr/>
          </w:p>
        </w:tc>
      </w:tr>
      <w:tr>
        <w:trPr>
          <w:trHeight w:val="365" w:hRule="exact"/>
        </w:trPr>
        <w:tc>
          <w:tcPr>
            <w:tcW w:w="3200"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北大荒龙麦农业股份有限公司</w:t>
            </w:r>
            <w:r>
              <w:rPr>
                <w:rFonts w:ascii="宋体" w:hAnsi="宋体" w:cs="宋体" w:eastAsia="宋体" w:hint="default"/>
                <w:sz w:val="21"/>
                <w:szCs w:val="21"/>
              </w:rPr>
              <w:t> </w:t>
            </w:r>
          </w:p>
        </w:tc>
        <w:tc>
          <w:tcPr>
            <w:tcW w:w="2031"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以物偿还应收款</w:t>
            </w:r>
            <w:r>
              <w:rPr>
                <w:rFonts w:ascii="宋体" w:hAnsi="宋体" w:cs="宋体" w:eastAsia="宋体" w:hint="default"/>
                <w:sz w:val="21"/>
                <w:szCs w:val="21"/>
              </w:rPr>
              <w:t> </w:t>
            </w:r>
          </w:p>
        </w:tc>
        <w:tc>
          <w:tcPr>
            <w:tcW w:w="2033"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15,000,000.00</w:t>
            </w:r>
          </w:p>
        </w:tc>
        <w:tc>
          <w:tcPr>
            <w:tcW w:w="1786" w:type="dxa"/>
            <w:tcBorders>
              <w:top w:val="single" w:sz="4" w:space="0" w:color="41B7EE"/>
              <w:left w:val="single" w:sz="4" w:space="0" w:color="41B7EE"/>
              <w:bottom w:val="single" w:sz="8" w:space="0" w:color="41B7EE"/>
              <w:right w:val="nil" w:sz="6" w:space="0" w:color="auto"/>
            </w:tcBorders>
          </w:tcPr>
          <w:p>
            <w:pPr/>
          </w:p>
        </w:tc>
      </w:tr>
    </w:tbl>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195;height:2" coordorigin="10,10" coordsize="3195,2">
              <v:shape style="position:absolute;left:10;top:10;width:3195;height:2" coordorigin="10,10" coordsize="3195,0" path="m10,10l3204,10e" filled="false" stroked="true" strokeweight=".96002pt" strokecolor="#41b7ee">
                <v:path arrowok="t"/>
              </v:shape>
            </v:group>
            <v:group style="position:absolute;left:3205;top:10;width:58;height:2" coordorigin="3205,10" coordsize="58,2">
              <v:shape style="position:absolute;left:3205;top:10;width:58;height:2" coordorigin="3205,10" coordsize="58,0" path="m3205,10l3262,10e" filled="false" stroked="true" strokeweight=".96002pt" strokecolor="#41b7ee">
                <v:path arrowok="t"/>
              </v:shape>
            </v:group>
            <v:group style="position:absolute;left:3262;top:10;width:1974;height:2" coordorigin="3262,10" coordsize="1974,2">
              <v:shape style="position:absolute;left:3262;top:10;width:1974;height:2" coordorigin="3262,10" coordsize="1974,0" path="m3262,10l5235,10e" filled="false" stroked="true" strokeweight=".96002pt" strokecolor="#41b7ee">
                <v:path arrowok="t"/>
              </v:shape>
            </v:group>
            <v:group style="position:absolute;left:5235;top:10;width:58;height:2" coordorigin="5235,10" coordsize="58,2">
              <v:shape style="position:absolute;left:5235;top:10;width:58;height:2" coordorigin="5235,10" coordsize="58,0" path="m5235,10l5293,10e" filled="false" stroked="true" strokeweight=".96002pt" strokecolor="#41b7ee">
                <v:path arrowok="t"/>
              </v:shape>
            </v:group>
            <v:group style="position:absolute;left:5293;top:10;width:1976;height:2" coordorigin="5293,10" coordsize="1976,2">
              <v:shape style="position:absolute;left:5293;top:10;width:1976;height:2" coordorigin="5293,10" coordsize="1976,0" path="m5293,10l7268,10e" filled="false" stroked="true" strokeweight=".96002pt" strokecolor="#41b7ee">
                <v:path arrowok="t"/>
              </v:shape>
            </v:group>
            <v:group style="position:absolute;left:7268;top:10;width:58;height:2" coordorigin="7268,10" coordsize="58,2">
              <v:shape style="position:absolute;left:7268;top:10;width:58;height:2" coordorigin="7268,10" coordsize="58,0" path="m7268,10l7326,10e" filled="false" stroked="true" strokeweight=".96002pt" strokecolor="#41b7ee">
                <v:path arrowok="t"/>
              </v:shape>
            </v:group>
            <v:group style="position:absolute;left:7326;top:10;width:1734;height:2" coordorigin="7326,10" coordsize="1734,2">
              <v:shape style="position:absolute;left:7326;top:10;width:1734;height:2" coordorigin="7326,10" coordsize="1734,0" path="m7326,10l9059,10e" filled="false" stroked="true" strokeweight=".96002pt" strokecolor="#41b7ee">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360" w:bottom="1380" w:left="1560" w:right="1000"/>
        </w:sectPr>
      </w:pPr>
    </w:p>
    <w:p>
      <w:pPr>
        <w:spacing w:line="240" w:lineRule="auto" w:before="10"/>
        <w:rPr>
          <w:rFonts w:ascii="宋体" w:hAnsi="宋体" w:cs="宋体" w:eastAsia="宋体" w:hint="default"/>
          <w:sz w:val="11"/>
          <w:szCs w:val="11"/>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195;height:2" coordorigin="10,10" coordsize="3195,2">
              <v:shape style="position:absolute;left:10;top:10;width:3195;height:2" coordorigin="10,10" coordsize="3195,0" path="m10,10l3204,10e" filled="false" stroked="true" strokeweight=".96001pt" strokecolor="#41b7ee">
                <v:path arrowok="t"/>
              </v:shape>
            </v:group>
            <v:group style="position:absolute;left:3205;top:10;width:58;height:2" coordorigin="3205,10" coordsize="58,2">
              <v:shape style="position:absolute;left:3205;top:10;width:58;height:2" coordorigin="3205,10" coordsize="58,0" path="m3205,10l3262,10e" filled="false" stroked="true" strokeweight=".96001pt" strokecolor="#41b7ee">
                <v:path arrowok="t"/>
              </v:shape>
            </v:group>
            <v:group style="position:absolute;left:3262;top:10;width:1974;height:2" coordorigin="3262,10" coordsize="1974,2">
              <v:shape style="position:absolute;left:3262;top:10;width:1974;height:2" coordorigin="3262,10" coordsize="1974,0" path="m3262,10l5235,10e" filled="false" stroked="true" strokeweight=".96001pt" strokecolor="#41b7ee">
                <v:path arrowok="t"/>
              </v:shape>
            </v:group>
            <v:group style="position:absolute;left:5235;top:10;width:58;height:2" coordorigin="5235,10" coordsize="58,2">
              <v:shape style="position:absolute;left:5235;top:10;width:58;height:2" coordorigin="5235,10" coordsize="58,0" path="m5235,10l5293,10e" filled="false" stroked="true" strokeweight=".96001pt" strokecolor="#41b7ee">
                <v:path arrowok="t"/>
              </v:shape>
            </v:group>
            <v:group style="position:absolute;left:5293;top:10;width:1976;height:2" coordorigin="5293,10" coordsize="1976,2">
              <v:shape style="position:absolute;left:5293;top:10;width:1976;height:2" coordorigin="5293,10" coordsize="1976,0" path="m5293,10l7268,10e" filled="false" stroked="true" strokeweight=".96001pt" strokecolor="#41b7ee">
                <v:path arrowok="t"/>
              </v:shape>
            </v:group>
            <v:group style="position:absolute;left:7268;top:10;width:58;height:2" coordorigin="7268,10" coordsize="58,2">
              <v:shape style="position:absolute;left:7268;top:10;width:58;height:2" coordorigin="7268,10" coordsize="58,0" path="m7268,10l7326,10e" filled="false" stroked="true" strokeweight=".96001pt" strokecolor="#41b7ee">
                <v:path arrowok="t"/>
              </v:shape>
            </v:group>
            <v:group style="position:absolute;left:7326;top:10;width:1734;height:2" coordorigin="7326,10" coordsize="1734,2">
              <v:shape style="position:absolute;left:7326;top:10;width:1734;height:2" coordorigin="7326,10" coordsize="1734,0" path="m7326,10l9059,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3200"/>
        <w:gridCol w:w="2031"/>
        <w:gridCol w:w="2033"/>
        <w:gridCol w:w="1786"/>
      </w:tblGrid>
      <w:tr>
        <w:trPr>
          <w:trHeight w:val="365" w:hRule="exact"/>
        </w:trPr>
        <w:tc>
          <w:tcPr>
            <w:tcW w:w="3200"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7"/>
              <w:ind w:left="107" w:right="0"/>
              <w:jc w:val="left"/>
              <w:rPr>
                <w:rFonts w:ascii="宋体" w:hAnsi="宋体" w:cs="宋体" w:eastAsia="宋体" w:hint="default"/>
                <w:sz w:val="21"/>
                <w:szCs w:val="21"/>
              </w:rPr>
            </w:pPr>
            <w:r>
              <w:rPr>
                <w:rFonts w:ascii="宋体" w:hAnsi="宋体" w:cs="宋体" w:eastAsia="宋体" w:hint="default"/>
                <w:sz w:val="21"/>
                <w:szCs w:val="21"/>
              </w:rPr>
              <w:t>黑龙江省江滨农场</w:t>
            </w:r>
            <w:r>
              <w:rPr>
                <w:rFonts w:ascii="宋体" w:hAnsi="宋体" w:cs="宋体" w:eastAsia="宋体" w:hint="default"/>
                <w:sz w:val="21"/>
                <w:szCs w:val="21"/>
              </w:rPr>
              <w:t> </w:t>
            </w:r>
          </w:p>
        </w:tc>
        <w:tc>
          <w:tcPr>
            <w:tcW w:w="2031"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7"/>
              <w:ind w:left="100" w:right="0"/>
              <w:jc w:val="left"/>
              <w:rPr>
                <w:rFonts w:ascii="宋体" w:hAnsi="宋体" w:cs="宋体" w:eastAsia="宋体" w:hint="default"/>
                <w:sz w:val="21"/>
                <w:szCs w:val="21"/>
              </w:rPr>
            </w:pPr>
            <w:r>
              <w:rPr>
                <w:rFonts w:ascii="宋体" w:hAnsi="宋体" w:cs="宋体" w:eastAsia="宋体" w:hint="default"/>
                <w:sz w:val="21"/>
                <w:szCs w:val="21"/>
              </w:rPr>
              <w:t>购买资产</w:t>
            </w:r>
            <w:r>
              <w:rPr>
                <w:rFonts w:ascii="宋体" w:hAnsi="宋体" w:cs="宋体" w:eastAsia="宋体" w:hint="default"/>
                <w:sz w:val="21"/>
                <w:szCs w:val="21"/>
              </w:rPr>
              <w:t> </w:t>
            </w:r>
          </w:p>
        </w:tc>
        <w:tc>
          <w:tcPr>
            <w:tcW w:w="2033" w:type="dxa"/>
            <w:tcBorders>
              <w:top w:val="single" w:sz="8" w:space="0" w:color="41B7EE"/>
              <w:left w:val="single" w:sz="4" w:space="0" w:color="41B7EE"/>
              <w:bottom w:val="single" w:sz="4" w:space="0" w:color="41B7EE"/>
              <w:right w:val="single" w:sz="4" w:space="0" w:color="41B7EE"/>
            </w:tcBorders>
          </w:tcPr>
          <w:p>
            <w:pPr/>
          </w:p>
        </w:tc>
        <w:tc>
          <w:tcPr>
            <w:tcW w:w="1786"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50"/>
              <w:ind w:right="103"/>
              <w:jc w:val="right"/>
              <w:rPr>
                <w:rFonts w:ascii="Arial" w:hAnsi="Arial" w:cs="Arial" w:eastAsia="Arial" w:hint="default"/>
                <w:sz w:val="21"/>
                <w:szCs w:val="21"/>
              </w:rPr>
            </w:pPr>
            <w:r>
              <w:rPr>
                <w:rFonts w:ascii="Arial"/>
                <w:spacing w:val="-1"/>
                <w:sz w:val="21"/>
              </w:rPr>
              <w:t>28,372,600.00</w:t>
            </w:r>
          </w:p>
        </w:tc>
      </w:tr>
      <w:tr>
        <w:trPr>
          <w:trHeight w:val="384" w:hRule="exact"/>
        </w:trPr>
        <w:tc>
          <w:tcPr>
            <w:tcW w:w="3200"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黑龙江省浩良河化肥厂</w:t>
            </w:r>
            <w:r>
              <w:rPr>
                <w:rFonts w:ascii="宋体" w:hAnsi="宋体" w:cs="宋体" w:eastAsia="宋体" w:hint="default"/>
                <w:sz w:val="21"/>
                <w:szCs w:val="21"/>
              </w:rPr>
              <w:t> </w:t>
            </w:r>
          </w:p>
        </w:tc>
        <w:tc>
          <w:tcPr>
            <w:tcW w:w="2031"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以物偿还应收款</w:t>
            </w:r>
            <w:r>
              <w:rPr>
                <w:rFonts w:ascii="宋体" w:hAnsi="宋体" w:cs="宋体" w:eastAsia="宋体" w:hint="default"/>
                <w:sz w:val="21"/>
                <w:szCs w:val="21"/>
              </w:rPr>
              <w:t> </w:t>
            </w:r>
          </w:p>
        </w:tc>
        <w:tc>
          <w:tcPr>
            <w:tcW w:w="2033" w:type="dxa"/>
            <w:tcBorders>
              <w:top w:val="single" w:sz="4" w:space="0" w:color="41B7EE"/>
              <w:left w:val="single" w:sz="4" w:space="0" w:color="41B7EE"/>
              <w:bottom w:val="single" w:sz="23" w:space="0" w:color="41B7EE"/>
              <w:right w:val="single" w:sz="4" w:space="0" w:color="41B7EE"/>
            </w:tcBorders>
          </w:tcPr>
          <w:p>
            <w:pPr/>
          </w:p>
        </w:tc>
        <w:tc>
          <w:tcPr>
            <w:tcW w:w="1786"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7,187,463.03</w:t>
            </w:r>
          </w:p>
        </w:tc>
      </w:tr>
    </w:tbl>
    <w:p>
      <w:pPr>
        <w:spacing w:after="0" w:line="240" w:lineRule="auto"/>
        <w:jc w:val="right"/>
        <w:rPr>
          <w:rFonts w:ascii="Arial" w:hAnsi="Arial" w:cs="Arial" w:eastAsia="Arial" w:hint="default"/>
          <w:sz w:val="21"/>
          <w:szCs w:val="21"/>
        </w:rPr>
        <w:sectPr>
          <w:footerReference w:type="default" r:id="rId92"/>
          <w:pgSz w:w="11910" w:h="16840"/>
          <w:pgMar w:footer="1343" w:header="0" w:top="1360" w:bottom="1540" w:left="1560" w:right="1000"/>
        </w:sectPr>
      </w:pPr>
    </w:p>
    <w:p>
      <w:pPr>
        <w:pStyle w:val="Heading2"/>
        <w:spacing w:line="240" w:lineRule="auto" w:before="44"/>
        <w:ind w:left="238" w:right="0"/>
        <w:jc w:val="left"/>
        <w:rPr>
          <w:rFonts w:ascii="宋体" w:hAnsi="宋体" w:cs="宋体" w:eastAsia="宋体" w:hint="default"/>
          <w:b w:val="0"/>
          <w:bCs w:val="0"/>
        </w:rPr>
      </w:pPr>
      <w:r>
        <w:rPr>
          <w:rFonts w:ascii="宋体" w:hAnsi="宋体" w:cs="宋体" w:eastAsia="宋体" w:hint="default"/>
        </w:rPr>
        <w:t>(7).</w:t>
      </w:r>
      <w:r>
        <w:rPr/>
        <w:t>关键管理人员报酬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8"/>
        <w:rPr>
          <w:rFonts w:ascii="宋体" w:hAnsi="宋体" w:cs="宋体" w:eastAsia="宋体" w:hint="default"/>
          <w:sz w:val="29"/>
          <w:szCs w:val="29"/>
        </w:rPr>
      </w:pPr>
    </w:p>
    <w:p>
      <w:pPr>
        <w:pStyle w:val="BodyText"/>
        <w:tabs>
          <w:tab w:pos="1498" w:val="left" w:leader="none"/>
        </w:tabs>
        <w:spacing w:line="240" w:lineRule="auto"/>
        <w:ind w:left="238" w:right="0"/>
        <w:jc w:val="left"/>
      </w:pPr>
      <w:r>
        <w:rPr>
          <w:spacing w:val="-1"/>
        </w:rPr>
        <w:t>单位：万元</w:t>
        <w:tab/>
        <w:t>币种：人民币</w:t>
      </w:r>
    </w:p>
    <w:p>
      <w:pPr>
        <w:spacing w:after="0" w:line="240" w:lineRule="auto"/>
        <w:jc w:val="left"/>
        <w:sectPr>
          <w:type w:val="continuous"/>
          <w:pgSz w:w="11910" w:h="16840"/>
          <w:pgMar w:top="1360" w:bottom="1380" w:left="1560" w:right="1000"/>
          <w:cols w:num="2" w:equalWidth="0">
            <w:col w:w="2457" w:space="3854"/>
            <w:col w:w="3039"/>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274"/>
        <w:gridCol w:w="3274"/>
        <w:gridCol w:w="2501"/>
      </w:tblGrid>
      <w:tr>
        <w:trPr>
          <w:trHeight w:val="384" w:hRule="exact"/>
        </w:trPr>
        <w:tc>
          <w:tcPr>
            <w:tcW w:w="3274"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274"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left="110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01"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7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84" w:hRule="exact"/>
        </w:trPr>
        <w:tc>
          <w:tcPr>
            <w:tcW w:w="3274"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关键管理人员报酬</w:t>
            </w:r>
            <w:r>
              <w:rPr>
                <w:rFonts w:ascii="宋体" w:hAnsi="宋体" w:cs="宋体" w:eastAsia="宋体" w:hint="default"/>
                <w:sz w:val="21"/>
                <w:szCs w:val="21"/>
              </w:rPr>
              <w:t> </w:t>
            </w:r>
          </w:p>
        </w:tc>
        <w:tc>
          <w:tcPr>
            <w:tcW w:w="3274"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467.43</w:t>
            </w:r>
          </w:p>
        </w:tc>
        <w:tc>
          <w:tcPr>
            <w:tcW w:w="2501"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0"/>
              <w:jc w:val="right"/>
              <w:rPr>
                <w:rFonts w:ascii="宋体" w:hAnsi="宋体" w:cs="宋体" w:eastAsia="宋体" w:hint="default"/>
                <w:sz w:val="21"/>
                <w:szCs w:val="21"/>
              </w:rPr>
            </w:pPr>
            <w:r>
              <w:rPr>
                <w:rFonts w:ascii="Arial"/>
                <w:spacing w:val="-1"/>
                <w:sz w:val="21"/>
              </w:rPr>
              <w:t>498.98</w:t>
            </w:r>
            <w:r>
              <w:rPr>
                <w:rFonts w:ascii="宋体"/>
                <w:w w:val="100"/>
                <w:sz w:val="21"/>
              </w:rPr>
              <w:t> </w:t>
            </w:r>
          </w:p>
        </w:tc>
      </w:tr>
    </w:tbl>
    <w:p>
      <w:pPr>
        <w:spacing w:after="0" w:line="240" w:lineRule="auto"/>
        <w:jc w:val="right"/>
        <w:rPr>
          <w:rFonts w:ascii="宋体" w:hAnsi="宋体" w:cs="宋体" w:eastAsia="宋体" w:hint="default"/>
          <w:sz w:val="21"/>
          <w:szCs w:val="21"/>
        </w:rPr>
        <w:sectPr>
          <w:type w:val="continuous"/>
          <w:pgSz w:w="11910" w:h="16840"/>
          <w:pgMar w:top="1360" w:bottom="1380" w:left="1560" w:right="1000"/>
        </w:sectPr>
      </w:pPr>
    </w:p>
    <w:p>
      <w:pPr>
        <w:pStyle w:val="Heading2"/>
        <w:spacing w:line="240" w:lineRule="auto" w:before="26"/>
        <w:ind w:left="238" w:right="0"/>
        <w:jc w:val="left"/>
        <w:rPr>
          <w:rFonts w:ascii="宋体" w:hAnsi="宋体" w:cs="宋体" w:eastAsia="宋体" w:hint="default"/>
          <w:b w:val="0"/>
          <w:bCs w:val="0"/>
        </w:rPr>
      </w:pPr>
      <w:r>
        <w:rPr>
          <w:rFonts w:ascii="宋体" w:hAnsi="宋体" w:cs="宋体" w:eastAsia="宋体" w:hint="default"/>
        </w:rPr>
        <w:t>(8).</w:t>
      </w:r>
      <w:r>
        <w:rPr/>
        <w:t>其他关联交易</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2" w:lineRule="auto"/>
        <w:ind w:left="238" w:right="0"/>
        <w:jc w:val="left"/>
        <w:rPr>
          <w:rFonts w:ascii="宋体" w:hAnsi="宋体" w:cs="宋体" w:eastAsia="宋体" w:hint="default"/>
          <w:b w:val="0"/>
          <w:bCs w:val="0"/>
        </w:rPr>
      </w:pPr>
      <w:r>
        <w:rPr>
          <w:rFonts w:ascii="宋体" w:hAnsi="宋体" w:cs="宋体" w:eastAsia="宋体" w:hint="default"/>
        </w:rPr>
        <w:t>6</w:t>
      </w:r>
      <w:r>
        <w:rPr/>
        <w:t>、</w:t>
      </w:r>
      <w:r>
        <w:rPr>
          <w:spacing w:val="2"/>
        </w:rPr>
        <w:t> </w:t>
      </w:r>
      <w:r>
        <w:rPr/>
        <w:t>关联方应收应付款项</w:t>
      </w:r>
      <w:r>
        <w:rPr>
          <w:rFonts w:ascii="宋体" w:hAnsi="宋体" w:cs="宋体" w:eastAsia="宋体" w:hint="default"/>
          <w:w w:val="99"/>
        </w:rPr>
        <w:t> </w:t>
      </w:r>
      <w:r>
        <w:rPr>
          <w:rFonts w:ascii="宋体" w:hAnsi="宋体" w:cs="宋体" w:eastAsia="宋体" w:hint="default"/>
        </w:rPr>
        <w:t>(1).</w:t>
      </w:r>
      <w:r>
        <w:rPr/>
        <w:t>应收项目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left="23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560" w:right="1000"/>
          <w:cols w:num="2" w:equalWidth="0">
            <w:col w:w="2668" w:space="4065"/>
            <w:col w:w="2617"/>
          </w:cols>
        </w:sectPr>
      </w:pPr>
    </w:p>
    <w:p>
      <w:pPr>
        <w:spacing w:line="240" w:lineRule="auto" w:before="4"/>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1109"/>
        <w:gridCol w:w="2602"/>
        <w:gridCol w:w="1347"/>
        <w:gridCol w:w="1267"/>
        <w:gridCol w:w="1268"/>
        <w:gridCol w:w="1267"/>
      </w:tblGrid>
      <w:tr>
        <w:trPr>
          <w:trHeight w:val="384" w:hRule="exact"/>
        </w:trPr>
        <w:tc>
          <w:tcPr>
            <w:tcW w:w="1109" w:type="dxa"/>
            <w:vMerge w:val="restart"/>
            <w:tcBorders>
              <w:top w:val="single" w:sz="23" w:space="0" w:color="41B7EE"/>
              <w:left w:val="nil" w:sz="6" w:space="0" w:color="auto"/>
              <w:right w:val="single" w:sz="4" w:space="0" w:color="41B7EE"/>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2602" w:type="dxa"/>
            <w:vMerge w:val="restart"/>
            <w:tcBorders>
              <w:top w:val="single" w:sz="23" w:space="0" w:color="41B7EE"/>
              <w:left w:val="single" w:sz="4" w:space="0" w:color="41B7EE"/>
              <w:right w:val="single" w:sz="4" w:space="0" w:color="41B7EE"/>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614" w:type="dxa"/>
            <w:gridSpan w:val="2"/>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left="88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535" w:type="dxa"/>
            <w:gridSpan w:val="2"/>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83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58" w:hRule="exact"/>
        </w:trPr>
        <w:tc>
          <w:tcPr>
            <w:tcW w:w="1109" w:type="dxa"/>
            <w:vMerge/>
            <w:tcBorders>
              <w:left w:val="nil" w:sz="6" w:space="0" w:color="auto"/>
              <w:bottom w:val="single" w:sz="4" w:space="0" w:color="41B7EE"/>
              <w:right w:val="single" w:sz="4" w:space="0" w:color="41B7EE"/>
            </w:tcBorders>
          </w:tcPr>
          <w:p>
            <w:pPr/>
          </w:p>
        </w:tc>
        <w:tc>
          <w:tcPr>
            <w:tcW w:w="2602" w:type="dxa"/>
            <w:vMerge/>
            <w:tcBorders>
              <w:left w:val="single" w:sz="4" w:space="0" w:color="41B7EE"/>
              <w:bottom w:val="single" w:sz="4" w:space="0" w:color="41B7EE"/>
              <w:right w:val="single" w:sz="4" w:space="0" w:color="41B7EE"/>
            </w:tcBorders>
          </w:tcPr>
          <w:p>
            <w:pPr/>
          </w:p>
        </w:tc>
        <w:tc>
          <w:tcPr>
            <w:tcW w:w="134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49"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2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06"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26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06"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26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206"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554" w:hRule="exact"/>
        </w:trPr>
        <w:tc>
          <w:tcPr>
            <w:tcW w:w="11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02"/>
              <w:ind w:left="3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602" w:type="dxa"/>
            <w:tcBorders>
              <w:top w:val="single" w:sz="4" w:space="0" w:color="41B7EE"/>
              <w:left w:val="single" w:sz="4" w:space="0" w:color="41B7EE"/>
              <w:bottom w:val="single" w:sz="4" w:space="0" w:color="41B7EE"/>
              <w:right w:val="single" w:sz="4" w:space="0" w:color="41B7EE"/>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黑龙江北大荒农垦集团农业</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生产资料有限公司</w:t>
            </w:r>
            <w:r>
              <w:rPr>
                <w:rFonts w:ascii="宋体" w:hAnsi="宋体" w:cs="宋体" w:eastAsia="宋体" w:hint="default"/>
                <w:sz w:val="21"/>
                <w:szCs w:val="21"/>
              </w:rPr>
              <w:t> </w:t>
            </w:r>
          </w:p>
        </w:tc>
        <w:tc>
          <w:tcPr>
            <w:tcW w:w="134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20"/>
              <w:jc w:val="right"/>
              <w:rPr>
                <w:rFonts w:ascii="Arial" w:hAnsi="Arial" w:cs="Arial" w:eastAsia="Arial" w:hint="default"/>
                <w:sz w:val="21"/>
                <w:szCs w:val="21"/>
              </w:rPr>
            </w:pPr>
            <w:r>
              <w:rPr>
                <w:rFonts w:ascii="Arial"/>
                <w:spacing w:val="-2"/>
                <w:w w:val="80"/>
                <w:sz w:val="21"/>
              </w:rPr>
              <w:t>7,722,748.00</w:t>
            </w:r>
            <w:r>
              <w:rPr>
                <w:rFonts w:ascii="Arial"/>
                <w:sz w:val="21"/>
              </w:rPr>
            </w:r>
          </w:p>
        </w:tc>
        <w:tc>
          <w:tcPr>
            <w:tcW w:w="12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22"/>
              <w:jc w:val="right"/>
              <w:rPr>
                <w:rFonts w:ascii="Arial" w:hAnsi="Arial" w:cs="Arial" w:eastAsia="Arial" w:hint="default"/>
                <w:sz w:val="21"/>
                <w:szCs w:val="21"/>
              </w:rPr>
            </w:pPr>
            <w:r>
              <w:rPr>
                <w:rFonts w:ascii="Arial"/>
                <w:spacing w:val="-2"/>
                <w:w w:val="80"/>
                <w:sz w:val="21"/>
              </w:rPr>
              <w:t>7,722,748.00</w:t>
            </w:r>
            <w:r>
              <w:rPr>
                <w:rFonts w:ascii="Arial"/>
                <w:sz w:val="21"/>
              </w:rPr>
            </w:r>
          </w:p>
        </w:tc>
        <w:tc>
          <w:tcPr>
            <w:tcW w:w="126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23"/>
              <w:jc w:val="right"/>
              <w:rPr>
                <w:rFonts w:ascii="Arial" w:hAnsi="Arial" w:cs="Arial" w:eastAsia="Arial" w:hint="default"/>
                <w:sz w:val="21"/>
                <w:szCs w:val="21"/>
              </w:rPr>
            </w:pPr>
            <w:r>
              <w:rPr>
                <w:rFonts w:ascii="Arial"/>
                <w:spacing w:val="-2"/>
                <w:w w:val="80"/>
                <w:sz w:val="21"/>
              </w:rPr>
              <w:t>7,722,748.00</w:t>
            </w:r>
            <w:r>
              <w:rPr>
                <w:rFonts w:ascii="Arial"/>
                <w:sz w:val="21"/>
              </w:rPr>
            </w:r>
          </w:p>
        </w:tc>
        <w:tc>
          <w:tcPr>
            <w:tcW w:w="126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6"/>
              <w:ind w:right="27"/>
              <w:jc w:val="right"/>
              <w:rPr>
                <w:rFonts w:ascii="Arial" w:hAnsi="Arial" w:cs="Arial" w:eastAsia="Arial" w:hint="default"/>
                <w:sz w:val="21"/>
                <w:szCs w:val="21"/>
              </w:rPr>
            </w:pPr>
            <w:r>
              <w:rPr>
                <w:rFonts w:ascii="Arial"/>
                <w:spacing w:val="-2"/>
                <w:w w:val="80"/>
                <w:sz w:val="21"/>
              </w:rPr>
              <w:t>7,722,748.00</w:t>
            </w:r>
            <w:r>
              <w:rPr>
                <w:rFonts w:ascii="Arial"/>
                <w:sz w:val="21"/>
              </w:rPr>
            </w:r>
          </w:p>
        </w:tc>
      </w:tr>
      <w:tr>
        <w:trPr>
          <w:trHeight w:val="358" w:hRule="exact"/>
        </w:trPr>
        <w:tc>
          <w:tcPr>
            <w:tcW w:w="11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60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黑龙江省龙谊麦业有限公司</w:t>
            </w:r>
          </w:p>
        </w:tc>
        <w:tc>
          <w:tcPr>
            <w:tcW w:w="134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2"/>
                <w:w w:val="80"/>
                <w:sz w:val="21"/>
              </w:rPr>
              <w:t>11,980,177.90</w:t>
            </w:r>
            <w:r>
              <w:rPr>
                <w:rFonts w:ascii="Arial"/>
                <w:sz w:val="21"/>
              </w:rPr>
            </w:r>
          </w:p>
        </w:tc>
        <w:tc>
          <w:tcPr>
            <w:tcW w:w="12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2"/>
                <w:w w:val="80"/>
                <w:sz w:val="21"/>
              </w:rPr>
              <w:t>11,980,177.90</w:t>
            </w:r>
            <w:r>
              <w:rPr>
                <w:rFonts w:ascii="Arial"/>
                <w:sz w:val="21"/>
              </w:rPr>
            </w:r>
          </w:p>
        </w:tc>
        <w:tc>
          <w:tcPr>
            <w:tcW w:w="126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3"/>
              <w:jc w:val="right"/>
              <w:rPr>
                <w:rFonts w:ascii="Arial" w:hAnsi="Arial" w:cs="Arial" w:eastAsia="Arial" w:hint="default"/>
                <w:sz w:val="21"/>
                <w:szCs w:val="21"/>
              </w:rPr>
            </w:pPr>
            <w:r>
              <w:rPr>
                <w:rFonts w:ascii="Arial"/>
                <w:spacing w:val="-2"/>
                <w:w w:val="80"/>
                <w:sz w:val="21"/>
              </w:rPr>
              <w:t>11,980,177.90</w:t>
            </w:r>
            <w:r>
              <w:rPr>
                <w:rFonts w:ascii="Arial"/>
                <w:sz w:val="21"/>
              </w:rPr>
            </w:r>
          </w:p>
        </w:tc>
        <w:tc>
          <w:tcPr>
            <w:tcW w:w="126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2"/>
                <w:w w:val="80"/>
                <w:sz w:val="21"/>
              </w:rPr>
              <w:t>11,980,177.90</w:t>
            </w:r>
            <w:r>
              <w:rPr>
                <w:rFonts w:ascii="Arial"/>
                <w:sz w:val="21"/>
              </w:rPr>
            </w:r>
          </w:p>
        </w:tc>
      </w:tr>
      <w:tr>
        <w:trPr>
          <w:trHeight w:val="355" w:hRule="exact"/>
        </w:trPr>
        <w:tc>
          <w:tcPr>
            <w:tcW w:w="11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60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92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134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2"/>
                <w:w w:val="80"/>
                <w:sz w:val="21"/>
              </w:rPr>
              <w:t>19,702,925.90</w:t>
            </w:r>
            <w:r>
              <w:rPr>
                <w:rFonts w:ascii="Arial"/>
                <w:sz w:val="21"/>
              </w:rPr>
            </w:r>
          </w:p>
        </w:tc>
        <w:tc>
          <w:tcPr>
            <w:tcW w:w="12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2"/>
                <w:w w:val="80"/>
                <w:sz w:val="21"/>
              </w:rPr>
              <w:t>19,702,925.90</w:t>
            </w:r>
            <w:r>
              <w:rPr>
                <w:rFonts w:ascii="Arial"/>
                <w:sz w:val="21"/>
              </w:rPr>
            </w:r>
          </w:p>
        </w:tc>
        <w:tc>
          <w:tcPr>
            <w:tcW w:w="126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3"/>
              <w:jc w:val="right"/>
              <w:rPr>
                <w:rFonts w:ascii="Arial" w:hAnsi="Arial" w:cs="Arial" w:eastAsia="Arial" w:hint="default"/>
                <w:sz w:val="21"/>
                <w:szCs w:val="21"/>
              </w:rPr>
            </w:pPr>
            <w:r>
              <w:rPr>
                <w:rFonts w:ascii="Arial"/>
                <w:spacing w:val="-2"/>
                <w:w w:val="80"/>
                <w:sz w:val="21"/>
              </w:rPr>
              <w:t>19,702,925.90</w:t>
            </w:r>
            <w:r>
              <w:rPr>
                <w:rFonts w:ascii="Arial"/>
                <w:sz w:val="21"/>
              </w:rPr>
            </w:r>
          </w:p>
        </w:tc>
        <w:tc>
          <w:tcPr>
            <w:tcW w:w="126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2"/>
                <w:w w:val="80"/>
                <w:sz w:val="21"/>
              </w:rPr>
              <w:t>19,702,925.90</w:t>
            </w:r>
            <w:r>
              <w:rPr>
                <w:rFonts w:ascii="Arial"/>
                <w:sz w:val="21"/>
              </w:rPr>
            </w:r>
          </w:p>
        </w:tc>
      </w:tr>
      <w:tr>
        <w:trPr>
          <w:trHeight w:val="554" w:hRule="exact"/>
        </w:trPr>
        <w:tc>
          <w:tcPr>
            <w:tcW w:w="11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02"/>
              <w:ind w:left="31" w:right="0"/>
              <w:jc w:val="left"/>
              <w:rPr>
                <w:rFonts w:ascii="宋体" w:hAnsi="宋体" w:cs="宋体" w:eastAsia="宋体" w:hint="default"/>
                <w:sz w:val="21"/>
                <w:szCs w:val="21"/>
              </w:rPr>
            </w:pPr>
            <w:r>
              <w:rPr>
                <w:rFonts w:ascii="宋体" w:hAnsi="宋体" w:cs="宋体" w:eastAsia="宋体" w:hint="default"/>
                <w:sz w:val="21"/>
                <w:szCs w:val="21"/>
              </w:rPr>
              <w:t>预付账款</w:t>
            </w:r>
            <w:r>
              <w:rPr>
                <w:rFonts w:ascii="宋体" w:hAnsi="宋体" w:cs="宋体" w:eastAsia="宋体" w:hint="default"/>
                <w:sz w:val="21"/>
                <w:szCs w:val="21"/>
              </w:rPr>
              <w:t> </w:t>
            </w:r>
          </w:p>
        </w:tc>
        <w:tc>
          <w:tcPr>
            <w:tcW w:w="2602" w:type="dxa"/>
            <w:tcBorders>
              <w:top w:val="single" w:sz="4" w:space="0" w:color="41B7EE"/>
              <w:left w:val="single" w:sz="4" w:space="0" w:color="41B7EE"/>
              <w:bottom w:val="single" w:sz="4" w:space="0" w:color="41B7EE"/>
              <w:right w:val="single" w:sz="4" w:space="0" w:color="41B7EE"/>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黑龙江北大荒农垦集团农业</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生产资料有限公司</w:t>
            </w:r>
            <w:r>
              <w:rPr>
                <w:rFonts w:ascii="宋体" w:hAnsi="宋体" w:cs="宋体" w:eastAsia="宋体" w:hint="default"/>
                <w:sz w:val="21"/>
                <w:szCs w:val="21"/>
              </w:rPr>
              <w:t> </w:t>
            </w:r>
          </w:p>
        </w:tc>
        <w:tc>
          <w:tcPr>
            <w:tcW w:w="134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20"/>
              <w:jc w:val="right"/>
              <w:rPr>
                <w:rFonts w:ascii="Arial" w:hAnsi="Arial" w:cs="Arial" w:eastAsia="Arial" w:hint="default"/>
                <w:sz w:val="21"/>
                <w:szCs w:val="21"/>
              </w:rPr>
            </w:pPr>
            <w:r>
              <w:rPr>
                <w:rFonts w:ascii="Arial"/>
                <w:spacing w:val="-2"/>
                <w:w w:val="80"/>
                <w:sz w:val="21"/>
              </w:rPr>
              <w:t>39,688,825.50</w:t>
            </w:r>
            <w:r>
              <w:rPr>
                <w:rFonts w:ascii="Arial"/>
                <w:sz w:val="21"/>
              </w:rPr>
            </w:r>
          </w:p>
        </w:tc>
        <w:tc>
          <w:tcPr>
            <w:tcW w:w="1267" w:type="dxa"/>
            <w:tcBorders>
              <w:top w:val="single" w:sz="4" w:space="0" w:color="41B7EE"/>
              <w:left w:val="single" w:sz="4" w:space="0" w:color="41B7EE"/>
              <w:bottom w:val="single" w:sz="4" w:space="0" w:color="41B7EE"/>
              <w:right w:val="single" w:sz="4" w:space="0" w:color="41B7EE"/>
            </w:tcBorders>
          </w:tcPr>
          <w:p>
            <w:pPr/>
          </w:p>
        </w:tc>
        <w:tc>
          <w:tcPr>
            <w:tcW w:w="126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23"/>
              <w:jc w:val="right"/>
              <w:rPr>
                <w:rFonts w:ascii="Arial" w:hAnsi="Arial" w:cs="Arial" w:eastAsia="Arial" w:hint="default"/>
                <w:sz w:val="21"/>
                <w:szCs w:val="21"/>
              </w:rPr>
            </w:pPr>
            <w:r>
              <w:rPr>
                <w:rFonts w:ascii="Arial"/>
                <w:spacing w:val="-2"/>
                <w:w w:val="80"/>
                <w:sz w:val="21"/>
              </w:rPr>
              <w:t>45,278,803.15</w:t>
            </w:r>
            <w:r>
              <w:rPr>
                <w:rFonts w:ascii="Arial"/>
                <w:sz w:val="21"/>
              </w:rPr>
            </w:r>
          </w:p>
        </w:tc>
        <w:tc>
          <w:tcPr>
            <w:tcW w:w="126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11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预付账款</w:t>
            </w:r>
            <w:r>
              <w:rPr>
                <w:rFonts w:ascii="宋体" w:hAnsi="宋体" w:cs="宋体" w:eastAsia="宋体" w:hint="default"/>
                <w:sz w:val="21"/>
                <w:szCs w:val="21"/>
              </w:rPr>
              <w:t> </w:t>
            </w:r>
          </w:p>
        </w:tc>
        <w:tc>
          <w:tcPr>
            <w:tcW w:w="260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92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134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20"/>
              <w:jc w:val="right"/>
              <w:rPr>
                <w:rFonts w:ascii="Arial" w:hAnsi="Arial" w:cs="Arial" w:eastAsia="Arial" w:hint="default"/>
                <w:sz w:val="21"/>
                <w:szCs w:val="21"/>
              </w:rPr>
            </w:pPr>
            <w:r>
              <w:rPr>
                <w:rFonts w:ascii="Arial"/>
                <w:spacing w:val="-2"/>
                <w:w w:val="80"/>
                <w:sz w:val="21"/>
              </w:rPr>
              <w:t>39,688,825.50</w:t>
            </w:r>
            <w:r>
              <w:rPr>
                <w:rFonts w:ascii="Arial"/>
                <w:sz w:val="21"/>
              </w:rPr>
            </w:r>
          </w:p>
        </w:tc>
        <w:tc>
          <w:tcPr>
            <w:tcW w:w="1267" w:type="dxa"/>
            <w:tcBorders>
              <w:top w:val="single" w:sz="4" w:space="0" w:color="41B7EE"/>
              <w:left w:val="single" w:sz="4" w:space="0" w:color="41B7EE"/>
              <w:bottom w:val="single" w:sz="4" w:space="0" w:color="41B7EE"/>
              <w:right w:val="single" w:sz="4" w:space="0" w:color="41B7EE"/>
            </w:tcBorders>
          </w:tcPr>
          <w:p>
            <w:pPr/>
          </w:p>
        </w:tc>
        <w:tc>
          <w:tcPr>
            <w:tcW w:w="126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23"/>
              <w:jc w:val="right"/>
              <w:rPr>
                <w:rFonts w:ascii="Arial" w:hAnsi="Arial" w:cs="Arial" w:eastAsia="Arial" w:hint="default"/>
                <w:sz w:val="21"/>
                <w:szCs w:val="21"/>
              </w:rPr>
            </w:pPr>
            <w:r>
              <w:rPr>
                <w:rFonts w:ascii="Arial"/>
                <w:spacing w:val="-2"/>
                <w:w w:val="80"/>
                <w:sz w:val="21"/>
              </w:rPr>
              <w:t>45,278,803.15</w:t>
            </w:r>
            <w:r>
              <w:rPr>
                <w:rFonts w:ascii="Arial"/>
                <w:sz w:val="21"/>
              </w:rPr>
            </w:r>
          </w:p>
        </w:tc>
        <w:tc>
          <w:tcPr>
            <w:tcW w:w="126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11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pacing w:val="-22"/>
                <w:sz w:val="21"/>
                <w:szCs w:val="21"/>
              </w:rPr>
              <w:t>其他应收款</w:t>
            </w:r>
            <w:r>
              <w:rPr>
                <w:rFonts w:ascii="宋体" w:hAnsi="宋体" w:cs="宋体" w:eastAsia="宋体" w:hint="default"/>
                <w:sz w:val="21"/>
                <w:szCs w:val="21"/>
              </w:rPr>
              <w:t> </w:t>
            </w:r>
          </w:p>
        </w:tc>
        <w:tc>
          <w:tcPr>
            <w:tcW w:w="260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黑龙江北大荒麦芽有限公司</w:t>
            </w:r>
          </w:p>
        </w:tc>
        <w:tc>
          <w:tcPr>
            <w:tcW w:w="134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2"/>
                <w:w w:val="80"/>
                <w:sz w:val="21"/>
              </w:rPr>
              <w:t>1,636,450.27</w:t>
            </w:r>
            <w:r>
              <w:rPr>
                <w:rFonts w:ascii="Arial"/>
                <w:sz w:val="21"/>
              </w:rPr>
            </w:r>
          </w:p>
        </w:tc>
        <w:tc>
          <w:tcPr>
            <w:tcW w:w="12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2"/>
                <w:w w:val="80"/>
                <w:sz w:val="21"/>
              </w:rPr>
              <w:t>1,636,450.27</w:t>
            </w:r>
            <w:r>
              <w:rPr>
                <w:rFonts w:ascii="Arial"/>
                <w:sz w:val="21"/>
              </w:rPr>
            </w:r>
          </w:p>
        </w:tc>
        <w:tc>
          <w:tcPr>
            <w:tcW w:w="126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3"/>
              <w:jc w:val="right"/>
              <w:rPr>
                <w:rFonts w:ascii="Arial" w:hAnsi="Arial" w:cs="Arial" w:eastAsia="Arial" w:hint="default"/>
                <w:sz w:val="21"/>
                <w:szCs w:val="21"/>
              </w:rPr>
            </w:pPr>
            <w:r>
              <w:rPr>
                <w:rFonts w:ascii="Arial"/>
                <w:spacing w:val="-2"/>
                <w:w w:val="80"/>
                <w:sz w:val="21"/>
              </w:rPr>
              <w:t>1,636,450.27</w:t>
            </w:r>
            <w:r>
              <w:rPr>
                <w:rFonts w:ascii="Arial"/>
                <w:sz w:val="21"/>
              </w:rPr>
            </w:r>
          </w:p>
        </w:tc>
        <w:tc>
          <w:tcPr>
            <w:tcW w:w="126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2"/>
                <w:w w:val="80"/>
                <w:sz w:val="21"/>
              </w:rPr>
              <w:t>1,636,450.27</w:t>
            </w:r>
            <w:r>
              <w:rPr>
                <w:rFonts w:ascii="Arial"/>
                <w:sz w:val="21"/>
              </w:rPr>
            </w:r>
          </w:p>
        </w:tc>
      </w:tr>
      <w:tr>
        <w:trPr>
          <w:trHeight w:val="554" w:hRule="exact"/>
        </w:trPr>
        <w:tc>
          <w:tcPr>
            <w:tcW w:w="11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02"/>
              <w:ind w:left="31" w:right="0"/>
              <w:jc w:val="left"/>
              <w:rPr>
                <w:rFonts w:ascii="宋体" w:hAnsi="宋体" w:cs="宋体" w:eastAsia="宋体" w:hint="default"/>
                <w:sz w:val="21"/>
                <w:szCs w:val="21"/>
              </w:rPr>
            </w:pPr>
            <w:r>
              <w:rPr>
                <w:rFonts w:ascii="宋体" w:hAnsi="宋体" w:cs="宋体" w:eastAsia="宋体" w:hint="default"/>
                <w:spacing w:val="-22"/>
                <w:sz w:val="21"/>
                <w:szCs w:val="21"/>
              </w:rPr>
              <w:t>其他应收款</w:t>
            </w:r>
            <w:r>
              <w:rPr>
                <w:rFonts w:ascii="宋体" w:hAnsi="宋体" w:cs="宋体" w:eastAsia="宋体" w:hint="default"/>
                <w:sz w:val="21"/>
                <w:szCs w:val="21"/>
              </w:rPr>
              <w:t> </w:t>
            </w:r>
          </w:p>
        </w:tc>
        <w:tc>
          <w:tcPr>
            <w:tcW w:w="2602" w:type="dxa"/>
            <w:tcBorders>
              <w:top w:val="single" w:sz="4" w:space="0" w:color="41B7EE"/>
              <w:left w:val="single" w:sz="4" w:space="0" w:color="41B7EE"/>
              <w:bottom w:val="single" w:sz="4" w:space="0" w:color="41B7EE"/>
              <w:right w:val="single" w:sz="4" w:space="0" w:color="41B7EE"/>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黑龙江省北大荒米业集团有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34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20"/>
              <w:jc w:val="right"/>
              <w:rPr>
                <w:rFonts w:ascii="Arial" w:hAnsi="Arial" w:cs="Arial" w:eastAsia="Arial" w:hint="default"/>
                <w:sz w:val="21"/>
                <w:szCs w:val="21"/>
              </w:rPr>
            </w:pPr>
            <w:r>
              <w:rPr>
                <w:rFonts w:ascii="Arial"/>
                <w:spacing w:val="-2"/>
                <w:w w:val="80"/>
                <w:sz w:val="21"/>
              </w:rPr>
              <w:t>241,433.00</w:t>
            </w:r>
            <w:r>
              <w:rPr>
                <w:rFonts w:ascii="Arial"/>
                <w:sz w:val="21"/>
              </w:rPr>
            </w:r>
          </w:p>
        </w:tc>
        <w:tc>
          <w:tcPr>
            <w:tcW w:w="1267" w:type="dxa"/>
            <w:tcBorders>
              <w:top w:val="single" w:sz="4" w:space="0" w:color="41B7EE"/>
              <w:left w:val="single" w:sz="4" w:space="0" w:color="41B7EE"/>
              <w:bottom w:val="single" w:sz="4" w:space="0" w:color="41B7EE"/>
              <w:right w:val="single" w:sz="4" w:space="0" w:color="41B7EE"/>
            </w:tcBorders>
          </w:tcPr>
          <w:p>
            <w:pPr/>
          </w:p>
        </w:tc>
        <w:tc>
          <w:tcPr>
            <w:tcW w:w="126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22"/>
              <w:jc w:val="right"/>
              <w:rPr>
                <w:rFonts w:ascii="Arial" w:hAnsi="Arial" w:cs="Arial" w:eastAsia="Arial" w:hint="default"/>
                <w:sz w:val="21"/>
                <w:szCs w:val="21"/>
              </w:rPr>
            </w:pPr>
            <w:r>
              <w:rPr>
                <w:rFonts w:ascii="Arial"/>
                <w:spacing w:val="-2"/>
                <w:w w:val="80"/>
                <w:sz w:val="21"/>
              </w:rPr>
              <w:t>241,433.00</w:t>
            </w:r>
            <w:r>
              <w:rPr>
                <w:rFonts w:ascii="Arial"/>
                <w:sz w:val="21"/>
              </w:rPr>
            </w:r>
          </w:p>
        </w:tc>
        <w:tc>
          <w:tcPr>
            <w:tcW w:w="1267" w:type="dxa"/>
            <w:tcBorders>
              <w:top w:val="single" w:sz="4" w:space="0" w:color="41B7EE"/>
              <w:left w:val="single" w:sz="4" w:space="0" w:color="41B7EE"/>
              <w:bottom w:val="single" w:sz="4" w:space="0" w:color="41B7EE"/>
              <w:right w:val="nil" w:sz="6" w:space="0" w:color="auto"/>
            </w:tcBorders>
          </w:tcPr>
          <w:p>
            <w:pPr/>
          </w:p>
        </w:tc>
      </w:tr>
      <w:tr>
        <w:trPr>
          <w:trHeight w:val="554" w:hRule="exact"/>
        </w:trPr>
        <w:tc>
          <w:tcPr>
            <w:tcW w:w="11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02"/>
              <w:ind w:left="31" w:right="0"/>
              <w:jc w:val="left"/>
              <w:rPr>
                <w:rFonts w:ascii="宋体" w:hAnsi="宋体" w:cs="宋体" w:eastAsia="宋体" w:hint="default"/>
                <w:sz w:val="21"/>
                <w:szCs w:val="21"/>
              </w:rPr>
            </w:pPr>
            <w:r>
              <w:rPr>
                <w:rFonts w:ascii="宋体" w:hAnsi="宋体" w:cs="宋体" w:eastAsia="宋体" w:hint="default"/>
                <w:spacing w:val="-22"/>
                <w:sz w:val="21"/>
                <w:szCs w:val="21"/>
              </w:rPr>
              <w:t>其他应收款</w:t>
            </w:r>
            <w:r>
              <w:rPr>
                <w:rFonts w:ascii="宋体" w:hAnsi="宋体" w:cs="宋体" w:eastAsia="宋体" w:hint="default"/>
                <w:sz w:val="21"/>
                <w:szCs w:val="21"/>
              </w:rPr>
              <w:t> </w:t>
            </w:r>
          </w:p>
        </w:tc>
        <w:tc>
          <w:tcPr>
            <w:tcW w:w="2602" w:type="dxa"/>
            <w:tcBorders>
              <w:top w:val="single" w:sz="4" w:space="0" w:color="41B7EE"/>
              <w:left w:val="single" w:sz="4" w:space="0" w:color="41B7EE"/>
              <w:bottom w:val="single" w:sz="4" w:space="0" w:color="41B7EE"/>
              <w:right w:val="single" w:sz="4" w:space="0" w:color="41B7EE"/>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黑龙江北大荒浩良河化肥有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34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20"/>
              <w:jc w:val="right"/>
              <w:rPr>
                <w:rFonts w:ascii="Arial" w:hAnsi="Arial" w:cs="Arial" w:eastAsia="Arial" w:hint="default"/>
                <w:sz w:val="21"/>
                <w:szCs w:val="21"/>
              </w:rPr>
            </w:pPr>
            <w:r>
              <w:rPr>
                <w:rFonts w:ascii="Arial"/>
                <w:spacing w:val="-2"/>
                <w:w w:val="80"/>
                <w:sz w:val="21"/>
              </w:rPr>
              <w:t>500,000.00</w:t>
            </w:r>
            <w:r>
              <w:rPr>
                <w:rFonts w:ascii="Arial"/>
                <w:sz w:val="21"/>
              </w:rPr>
            </w:r>
          </w:p>
        </w:tc>
        <w:tc>
          <w:tcPr>
            <w:tcW w:w="1267" w:type="dxa"/>
            <w:tcBorders>
              <w:top w:val="single" w:sz="4" w:space="0" w:color="41B7EE"/>
              <w:left w:val="single" w:sz="4" w:space="0" w:color="41B7EE"/>
              <w:bottom w:val="single" w:sz="4" w:space="0" w:color="41B7EE"/>
              <w:right w:val="single" w:sz="4" w:space="0" w:color="41B7EE"/>
            </w:tcBorders>
          </w:tcPr>
          <w:p>
            <w:pPr/>
          </w:p>
        </w:tc>
        <w:tc>
          <w:tcPr>
            <w:tcW w:w="1268" w:type="dxa"/>
            <w:tcBorders>
              <w:top w:val="single" w:sz="4" w:space="0" w:color="41B7EE"/>
              <w:left w:val="single" w:sz="4" w:space="0" w:color="41B7EE"/>
              <w:bottom w:val="single" w:sz="4" w:space="0" w:color="41B7EE"/>
              <w:right w:val="single" w:sz="4" w:space="0" w:color="41B7EE"/>
            </w:tcBorders>
          </w:tcPr>
          <w:p>
            <w:pPr/>
          </w:p>
        </w:tc>
        <w:tc>
          <w:tcPr>
            <w:tcW w:w="126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11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pacing w:val="-22"/>
                <w:sz w:val="21"/>
                <w:szCs w:val="21"/>
              </w:rPr>
              <w:t>其他应收款</w:t>
            </w:r>
            <w:r>
              <w:rPr>
                <w:rFonts w:ascii="宋体" w:hAnsi="宋体" w:cs="宋体" w:eastAsia="宋体" w:hint="default"/>
                <w:sz w:val="21"/>
                <w:szCs w:val="21"/>
              </w:rPr>
              <w:t> </w:t>
            </w:r>
          </w:p>
        </w:tc>
        <w:tc>
          <w:tcPr>
            <w:tcW w:w="260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阳光农业相互保险公司</w:t>
            </w:r>
            <w:r>
              <w:rPr>
                <w:rFonts w:ascii="宋体" w:hAnsi="宋体" w:cs="宋体" w:eastAsia="宋体" w:hint="default"/>
                <w:sz w:val="21"/>
                <w:szCs w:val="21"/>
              </w:rPr>
              <w:t> </w:t>
            </w:r>
          </w:p>
        </w:tc>
        <w:tc>
          <w:tcPr>
            <w:tcW w:w="134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2"/>
                <w:w w:val="80"/>
                <w:sz w:val="21"/>
              </w:rPr>
              <w:t>3,101,350.59</w:t>
            </w:r>
            <w:r>
              <w:rPr>
                <w:rFonts w:ascii="Arial"/>
                <w:sz w:val="21"/>
              </w:rPr>
            </w:r>
          </w:p>
        </w:tc>
        <w:tc>
          <w:tcPr>
            <w:tcW w:w="1267" w:type="dxa"/>
            <w:tcBorders>
              <w:top w:val="single" w:sz="4" w:space="0" w:color="41B7EE"/>
              <w:left w:val="single" w:sz="4" w:space="0" w:color="41B7EE"/>
              <w:bottom w:val="single" w:sz="4" w:space="0" w:color="41B7EE"/>
              <w:right w:val="single" w:sz="4" w:space="0" w:color="41B7EE"/>
            </w:tcBorders>
          </w:tcPr>
          <w:p>
            <w:pPr/>
          </w:p>
        </w:tc>
        <w:tc>
          <w:tcPr>
            <w:tcW w:w="1268" w:type="dxa"/>
            <w:tcBorders>
              <w:top w:val="single" w:sz="4" w:space="0" w:color="41B7EE"/>
              <w:left w:val="single" w:sz="4" w:space="0" w:color="41B7EE"/>
              <w:bottom w:val="single" w:sz="4" w:space="0" w:color="41B7EE"/>
              <w:right w:val="single" w:sz="4" w:space="0" w:color="41B7EE"/>
            </w:tcBorders>
          </w:tcPr>
          <w:p>
            <w:pPr/>
          </w:p>
        </w:tc>
        <w:tc>
          <w:tcPr>
            <w:tcW w:w="126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11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pacing w:val="-22"/>
                <w:sz w:val="21"/>
                <w:szCs w:val="21"/>
              </w:rPr>
              <w:t>其他应收款</w:t>
            </w:r>
            <w:r>
              <w:rPr>
                <w:rFonts w:ascii="宋体" w:hAnsi="宋体" w:cs="宋体" w:eastAsia="宋体" w:hint="default"/>
                <w:sz w:val="21"/>
                <w:szCs w:val="21"/>
              </w:rPr>
              <w:t> </w:t>
            </w:r>
          </w:p>
        </w:tc>
        <w:tc>
          <w:tcPr>
            <w:tcW w:w="260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pacing w:val="-17"/>
                <w:sz w:val="21"/>
                <w:szCs w:val="21"/>
              </w:rPr>
              <w:t>黑龙江北大荒农垦集团总公司</w:t>
            </w:r>
          </w:p>
        </w:tc>
        <w:tc>
          <w:tcPr>
            <w:tcW w:w="134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2"/>
                <w:w w:val="80"/>
                <w:sz w:val="21"/>
              </w:rPr>
              <w:t>153,074.00</w:t>
            </w:r>
            <w:r>
              <w:rPr>
                <w:rFonts w:ascii="Arial"/>
                <w:sz w:val="21"/>
              </w:rPr>
            </w:r>
          </w:p>
        </w:tc>
        <w:tc>
          <w:tcPr>
            <w:tcW w:w="1267" w:type="dxa"/>
            <w:tcBorders>
              <w:top w:val="single" w:sz="4" w:space="0" w:color="41B7EE"/>
              <w:left w:val="single" w:sz="4" w:space="0" w:color="41B7EE"/>
              <w:bottom w:val="single" w:sz="4" w:space="0" w:color="41B7EE"/>
              <w:right w:val="single" w:sz="4" w:space="0" w:color="41B7EE"/>
            </w:tcBorders>
          </w:tcPr>
          <w:p>
            <w:pPr/>
          </w:p>
        </w:tc>
        <w:tc>
          <w:tcPr>
            <w:tcW w:w="126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2"/>
                <w:w w:val="80"/>
                <w:sz w:val="21"/>
              </w:rPr>
              <w:t>153,074.00</w:t>
            </w:r>
            <w:r>
              <w:rPr>
                <w:rFonts w:ascii="Arial"/>
                <w:sz w:val="21"/>
              </w:rPr>
            </w:r>
          </w:p>
        </w:tc>
        <w:tc>
          <w:tcPr>
            <w:tcW w:w="1267" w:type="dxa"/>
            <w:tcBorders>
              <w:top w:val="single" w:sz="4" w:space="0" w:color="41B7EE"/>
              <w:left w:val="single" w:sz="4" w:space="0" w:color="41B7EE"/>
              <w:bottom w:val="single" w:sz="4" w:space="0" w:color="41B7EE"/>
              <w:right w:val="nil" w:sz="6" w:space="0" w:color="auto"/>
            </w:tcBorders>
          </w:tcPr>
          <w:p>
            <w:pPr/>
          </w:p>
        </w:tc>
      </w:tr>
      <w:tr>
        <w:trPr>
          <w:trHeight w:val="355" w:hRule="exact"/>
        </w:trPr>
        <w:tc>
          <w:tcPr>
            <w:tcW w:w="11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pacing w:val="-22"/>
                <w:sz w:val="21"/>
                <w:szCs w:val="21"/>
              </w:rPr>
              <w:t>其他应收款</w:t>
            </w:r>
            <w:r>
              <w:rPr>
                <w:rFonts w:ascii="宋体" w:hAnsi="宋体" w:cs="宋体" w:eastAsia="宋体" w:hint="default"/>
                <w:sz w:val="21"/>
                <w:szCs w:val="21"/>
              </w:rPr>
              <w:t> </w:t>
            </w:r>
          </w:p>
        </w:tc>
        <w:tc>
          <w:tcPr>
            <w:tcW w:w="260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pacing w:val="-17"/>
                <w:sz w:val="21"/>
                <w:szCs w:val="21"/>
              </w:rPr>
              <w:t>北大荒绿源食品加工有限公司</w:t>
            </w:r>
          </w:p>
        </w:tc>
        <w:tc>
          <w:tcPr>
            <w:tcW w:w="134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2"/>
                <w:w w:val="80"/>
                <w:sz w:val="21"/>
              </w:rPr>
              <w:t>130,863.90</w:t>
            </w:r>
            <w:r>
              <w:rPr>
                <w:rFonts w:ascii="Arial"/>
                <w:sz w:val="21"/>
              </w:rPr>
            </w:r>
          </w:p>
        </w:tc>
        <w:tc>
          <w:tcPr>
            <w:tcW w:w="1267" w:type="dxa"/>
            <w:tcBorders>
              <w:top w:val="single" w:sz="4" w:space="0" w:color="41B7EE"/>
              <w:left w:val="single" w:sz="4" w:space="0" w:color="41B7EE"/>
              <w:bottom w:val="single" w:sz="4" w:space="0" w:color="41B7EE"/>
              <w:right w:val="single" w:sz="4" w:space="0" w:color="41B7EE"/>
            </w:tcBorders>
          </w:tcPr>
          <w:p>
            <w:pPr/>
          </w:p>
        </w:tc>
        <w:tc>
          <w:tcPr>
            <w:tcW w:w="126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2"/>
                <w:w w:val="80"/>
                <w:sz w:val="21"/>
              </w:rPr>
              <w:t>130,863.90</w:t>
            </w:r>
            <w:r>
              <w:rPr>
                <w:rFonts w:ascii="Arial"/>
                <w:sz w:val="21"/>
              </w:rPr>
            </w:r>
          </w:p>
        </w:tc>
        <w:tc>
          <w:tcPr>
            <w:tcW w:w="1267" w:type="dxa"/>
            <w:tcBorders>
              <w:top w:val="single" w:sz="4" w:space="0" w:color="41B7EE"/>
              <w:left w:val="single" w:sz="4" w:space="0" w:color="41B7EE"/>
              <w:bottom w:val="single" w:sz="4" w:space="0" w:color="41B7EE"/>
              <w:right w:val="nil" w:sz="6" w:space="0" w:color="auto"/>
            </w:tcBorders>
          </w:tcPr>
          <w:p>
            <w:pPr/>
          </w:p>
        </w:tc>
      </w:tr>
      <w:tr>
        <w:trPr>
          <w:trHeight w:val="557" w:hRule="exact"/>
        </w:trPr>
        <w:tc>
          <w:tcPr>
            <w:tcW w:w="11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02"/>
              <w:ind w:left="31" w:right="0"/>
              <w:jc w:val="left"/>
              <w:rPr>
                <w:rFonts w:ascii="宋体" w:hAnsi="宋体" w:cs="宋体" w:eastAsia="宋体" w:hint="default"/>
                <w:sz w:val="21"/>
                <w:szCs w:val="21"/>
              </w:rPr>
            </w:pPr>
            <w:r>
              <w:rPr>
                <w:rFonts w:ascii="宋体" w:hAnsi="宋体" w:cs="宋体" w:eastAsia="宋体" w:hint="default"/>
                <w:spacing w:val="-22"/>
                <w:sz w:val="21"/>
                <w:szCs w:val="21"/>
              </w:rPr>
              <w:t>其他应收款</w:t>
            </w:r>
            <w:r>
              <w:rPr>
                <w:rFonts w:ascii="宋体" w:hAnsi="宋体" w:cs="宋体" w:eastAsia="宋体" w:hint="default"/>
                <w:sz w:val="21"/>
                <w:szCs w:val="21"/>
              </w:rPr>
              <w:t> </w:t>
            </w:r>
          </w:p>
        </w:tc>
        <w:tc>
          <w:tcPr>
            <w:tcW w:w="2602" w:type="dxa"/>
            <w:tcBorders>
              <w:top w:val="single" w:sz="4" w:space="0" w:color="41B7EE"/>
              <w:left w:val="single" w:sz="4" w:space="0" w:color="41B7EE"/>
              <w:bottom w:val="single" w:sz="4" w:space="0" w:color="41B7EE"/>
              <w:right w:val="single" w:sz="4" w:space="0" w:color="41B7EE"/>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哈尔滨乔仕房地产开发有限</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34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20"/>
              <w:jc w:val="right"/>
              <w:rPr>
                <w:rFonts w:ascii="Arial" w:hAnsi="Arial" w:cs="Arial" w:eastAsia="Arial" w:hint="default"/>
                <w:sz w:val="21"/>
                <w:szCs w:val="21"/>
              </w:rPr>
            </w:pPr>
            <w:r>
              <w:rPr>
                <w:rFonts w:ascii="Arial"/>
                <w:spacing w:val="-2"/>
                <w:w w:val="80"/>
                <w:sz w:val="21"/>
              </w:rPr>
              <w:t>323,380,021.84</w:t>
            </w:r>
            <w:r>
              <w:rPr>
                <w:rFonts w:ascii="Arial"/>
                <w:sz w:val="21"/>
              </w:rPr>
            </w:r>
          </w:p>
        </w:tc>
        <w:tc>
          <w:tcPr>
            <w:tcW w:w="126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22"/>
              <w:jc w:val="right"/>
              <w:rPr>
                <w:rFonts w:ascii="Arial" w:hAnsi="Arial" w:cs="Arial" w:eastAsia="Arial" w:hint="default"/>
                <w:sz w:val="21"/>
                <w:szCs w:val="21"/>
              </w:rPr>
            </w:pPr>
            <w:r>
              <w:rPr>
                <w:rFonts w:ascii="Arial"/>
                <w:spacing w:val="-2"/>
                <w:w w:val="80"/>
                <w:sz w:val="21"/>
              </w:rPr>
              <w:t>160,911,072.49</w:t>
            </w:r>
            <w:r>
              <w:rPr>
                <w:rFonts w:ascii="Arial"/>
                <w:sz w:val="21"/>
              </w:rPr>
            </w:r>
          </w:p>
        </w:tc>
        <w:tc>
          <w:tcPr>
            <w:tcW w:w="126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23"/>
              <w:jc w:val="right"/>
              <w:rPr>
                <w:rFonts w:ascii="Arial" w:hAnsi="Arial" w:cs="Arial" w:eastAsia="Arial" w:hint="default"/>
                <w:sz w:val="21"/>
                <w:szCs w:val="21"/>
              </w:rPr>
            </w:pPr>
            <w:r>
              <w:rPr>
                <w:rFonts w:ascii="Arial"/>
                <w:spacing w:val="-2"/>
                <w:w w:val="80"/>
                <w:sz w:val="21"/>
              </w:rPr>
              <w:t>335,211,521.84</w:t>
            </w:r>
            <w:r>
              <w:rPr>
                <w:rFonts w:ascii="Arial"/>
                <w:sz w:val="21"/>
              </w:rPr>
            </w:r>
          </w:p>
        </w:tc>
        <w:tc>
          <w:tcPr>
            <w:tcW w:w="126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8"/>
              <w:ind w:right="27"/>
              <w:jc w:val="right"/>
              <w:rPr>
                <w:rFonts w:ascii="Arial" w:hAnsi="Arial" w:cs="Arial" w:eastAsia="Arial" w:hint="default"/>
                <w:sz w:val="21"/>
                <w:szCs w:val="21"/>
              </w:rPr>
            </w:pPr>
            <w:r>
              <w:rPr>
                <w:rFonts w:ascii="Arial"/>
                <w:spacing w:val="-2"/>
                <w:w w:val="80"/>
                <w:sz w:val="21"/>
              </w:rPr>
              <w:t>160,927,081.48</w:t>
            </w:r>
            <w:r>
              <w:rPr>
                <w:rFonts w:ascii="Arial"/>
                <w:sz w:val="21"/>
              </w:rPr>
            </w:r>
          </w:p>
        </w:tc>
      </w:tr>
      <w:tr>
        <w:trPr>
          <w:trHeight w:val="356" w:hRule="exact"/>
        </w:trPr>
        <w:tc>
          <w:tcPr>
            <w:tcW w:w="11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pacing w:val="-22"/>
                <w:sz w:val="21"/>
                <w:szCs w:val="21"/>
              </w:rPr>
              <w:t>其他应收款</w:t>
            </w:r>
            <w:r>
              <w:rPr>
                <w:rFonts w:ascii="宋体" w:hAnsi="宋体" w:cs="宋体" w:eastAsia="宋体" w:hint="default"/>
                <w:sz w:val="21"/>
                <w:szCs w:val="21"/>
              </w:rPr>
              <w:t> </w:t>
            </w:r>
          </w:p>
        </w:tc>
        <w:tc>
          <w:tcPr>
            <w:tcW w:w="260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pacing w:val="-17"/>
                <w:sz w:val="21"/>
                <w:szCs w:val="21"/>
              </w:rPr>
              <w:t>北大荒龙麦农业股份有限公司</w:t>
            </w:r>
          </w:p>
        </w:tc>
        <w:tc>
          <w:tcPr>
            <w:tcW w:w="1347" w:type="dxa"/>
            <w:tcBorders>
              <w:top w:val="single" w:sz="4" w:space="0" w:color="41B7EE"/>
              <w:left w:val="single" w:sz="4" w:space="0" w:color="41B7EE"/>
              <w:bottom w:val="single" w:sz="4" w:space="0" w:color="41B7EE"/>
              <w:right w:val="single" w:sz="4" w:space="0" w:color="41B7EE"/>
            </w:tcBorders>
          </w:tcPr>
          <w:p>
            <w:pPr/>
          </w:p>
        </w:tc>
        <w:tc>
          <w:tcPr>
            <w:tcW w:w="1267" w:type="dxa"/>
            <w:tcBorders>
              <w:top w:val="single" w:sz="4" w:space="0" w:color="41B7EE"/>
              <w:left w:val="single" w:sz="4" w:space="0" w:color="41B7EE"/>
              <w:bottom w:val="single" w:sz="4" w:space="0" w:color="41B7EE"/>
              <w:right w:val="single" w:sz="4" w:space="0" w:color="41B7EE"/>
            </w:tcBorders>
          </w:tcPr>
          <w:p>
            <w:pPr/>
          </w:p>
        </w:tc>
        <w:tc>
          <w:tcPr>
            <w:tcW w:w="126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3"/>
              <w:jc w:val="right"/>
              <w:rPr>
                <w:rFonts w:ascii="Arial" w:hAnsi="Arial" w:cs="Arial" w:eastAsia="Arial" w:hint="default"/>
                <w:sz w:val="21"/>
                <w:szCs w:val="21"/>
              </w:rPr>
            </w:pPr>
            <w:r>
              <w:rPr>
                <w:rFonts w:ascii="Arial"/>
                <w:spacing w:val="-2"/>
                <w:w w:val="80"/>
                <w:sz w:val="21"/>
              </w:rPr>
              <w:t>5,000,000.00</w:t>
            </w:r>
            <w:r>
              <w:rPr>
                <w:rFonts w:ascii="Arial"/>
                <w:sz w:val="21"/>
              </w:rPr>
            </w:r>
          </w:p>
        </w:tc>
        <w:tc>
          <w:tcPr>
            <w:tcW w:w="1267" w:type="dxa"/>
            <w:tcBorders>
              <w:top w:val="single" w:sz="4" w:space="0" w:color="41B7EE"/>
              <w:left w:val="single" w:sz="4" w:space="0" w:color="41B7EE"/>
              <w:bottom w:val="single" w:sz="4" w:space="0" w:color="41B7EE"/>
              <w:right w:val="nil" w:sz="6" w:space="0" w:color="auto"/>
            </w:tcBorders>
          </w:tcPr>
          <w:p>
            <w:pPr/>
          </w:p>
        </w:tc>
      </w:tr>
      <w:tr>
        <w:trPr>
          <w:trHeight w:val="384" w:hRule="exact"/>
        </w:trPr>
        <w:tc>
          <w:tcPr>
            <w:tcW w:w="1109"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pacing w:val="-22"/>
                <w:sz w:val="21"/>
                <w:szCs w:val="21"/>
              </w:rPr>
              <w:t>其他应收款</w:t>
            </w:r>
            <w:r>
              <w:rPr>
                <w:rFonts w:ascii="宋体" w:hAnsi="宋体" w:cs="宋体" w:eastAsia="宋体" w:hint="default"/>
                <w:sz w:val="21"/>
                <w:szCs w:val="21"/>
              </w:rPr>
              <w:t> </w:t>
            </w:r>
          </w:p>
        </w:tc>
        <w:tc>
          <w:tcPr>
            <w:tcW w:w="2602"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
              <w:ind w:left="926"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1347"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50"/>
              <w:ind w:right="20"/>
              <w:jc w:val="right"/>
              <w:rPr>
                <w:rFonts w:ascii="Arial" w:hAnsi="Arial" w:cs="Arial" w:eastAsia="Arial" w:hint="default"/>
                <w:sz w:val="21"/>
                <w:szCs w:val="21"/>
              </w:rPr>
            </w:pPr>
            <w:r>
              <w:rPr>
                <w:rFonts w:ascii="Arial"/>
                <w:spacing w:val="-2"/>
                <w:w w:val="80"/>
                <w:sz w:val="21"/>
              </w:rPr>
              <w:t>329,143,193.60</w:t>
            </w:r>
            <w:r>
              <w:rPr>
                <w:rFonts w:ascii="Arial"/>
                <w:sz w:val="21"/>
              </w:rPr>
            </w:r>
          </w:p>
        </w:tc>
        <w:tc>
          <w:tcPr>
            <w:tcW w:w="1267"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50"/>
              <w:ind w:right="22"/>
              <w:jc w:val="right"/>
              <w:rPr>
                <w:rFonts w:ascii="Arial" w:hAnsi="Arial" w:cs="Arial" w:eastAsia="Arial" w:hint="default"/>
                <w:sz w:val="21"/>
                <w:szCs w:val="21"/>
              </w:rPr>
            </w:pPr>
            <w:r>
              <w:rPr>
                <w:rFonts w:ascii="Arial"/>
                <w:spacing w:val="-2"/>
                <w:w w:val="80"/>
                <w:sz w:val="21"/>
              </w:rPr>
              <w:t>162,547,522.76</w:t>
            </w:r>
            <w:r>
              <w:rPr>
                <w:rFonts w:ascii="Arial"/>
                <w:sz w:val="21"/>
              </w:rPr>
            </w:r>
          </w:p>
        </w:tc>
        <w:tc>
          <w:tcPr>
            <w:tcW w:w="1268"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50"/>
              <w:ind w:right="23"/>
              <w:jc w:val="right"/>
              <w:rPr>
                <w:rFonts w:ascii="Arial" w:hAnsi="Arial" w:cs="Arial" w:eastAsia="Arial" w:hint="default"/>
                <w:sz w:val="21"/>
                <w:szCs w:val="21"/>
              </w:rPr>
            </w:pPr>
            <w:r>
              <w:rPr>
                <w:rFonts w:ascii="Arial"/>
                <w:spacing w:val="-2"/>
                <w:w w:val="80"/>
                <w:sz w:val="21"/>
              </w:rPr>
              <w:t>342,373,343.01</w:t>
            </w:r>
            <w:r>
              <w:rPr>
                <w:rFonts w:ascii="Arial"/>
                <w:sz w:val="21"/>
              </w:rPr>
            </w:r>
          </w:p>
        </w:tc>
        <w:tc>
          <w:tcPr>
            <w:tcW w:w="1267"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50"/>
              <w:ind w:right="27"/>
              <w:jc w:val="right"/>
              <w:rPr>
                <w:rFonts w:ascii="Arial" w:hAnsi="Arial" w:cs="Arial" w:eastAsia="Arial" w:hint="default"/>
                <w:sz w:val="21"/>
                <w:szCs w:val="21"/>
              </w:rPr>
            </w:pPr>
            <w:r>
              <w:rPr>
                <w:rFonts w:ascii="Arial"/>
                <w:spacing w:val="-2"/>
                <w:w w:val="80"/>
                <w:sz w:val="21"/>
              </w:rPr>
              <w:t>162,563,531.75</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360" w:bottom="1380" w:left="1560" w:right="1000"/>
        </w:sectPr>
      </w:pPr>
    </w:p>
    <w:p>
      <w:pPr>
        <w:pStyle w:val="Heading2"/>
        <w:spacing w:line="240" w:lineRule="auto" w:before="26"/>
        <w:ind w:left="238" w:right="0"/>
        <w:jc w:val="left"/>
        <w:rPr>
          <w:rFonts w:ascii="宋体" w:hAnsi="宋体" w:cs="宋体" w:eastAsia="宋体" w:hint="default"/>
          <w:b w:val="0"/>
          <w:bCs w:val="0"/>
        </w:rPr>
      </w:pPr>
      <w:r>
        <w:rPr>
          <w:rFonts w:ascii="宋体" w:hAnsi="宋体" w:cs="宋体" w:eastAsia="宋体" w:hint="default"/>
        </w:rPr>
        <w:t>(2).</w:t>
      </w:r>
      <w:r>
        <w:rPr/>
        <w:t>应付项目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spacing w:line="240" w:lineRule="auto"/>
        <w:ind w:left="23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560" w:right="1000"/>
          <w:cols w:num="2" w:equalWidth="0">
            <w:col w:w="2130" w:space="4603"/>
            <w:col w:w="2617"/>
          </w:cols>
        </w:sectPr>
      </w:pPr>
    </w:p>
    <w:p>
      <w:pPr>
        <w:spacing w:line="240" w:lineRule="auto" w:before="4"/>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1142"/>
        <w:gridCol w:w="4141"/>
        <w:gridCol w:w="1855"/>
        <w:gridCol w:w="1757"/>
      </w:tblGrid>
      <w:tr>
        <w:trPr>
          <w:trHeight w:val="384" w:hRule="exact"/>
        </w:trPr>
        <w:tc>
          <w:tcPr>
            <w:tcW w:w="1142"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left="151"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4141"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left="105"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855"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left="290"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1757"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243"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358" w:hRule="exact"/>
        </w:trPr>
        <w:tc>
          <w:tcPr>
            <w:tcW w:w="114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414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黑龙江省北大荒米业集团有限公司</w:t>
            </w:r>
            <w:r>
              <w:rPr>
                <w:rFonts w:ascii="宋体" w:hAnsi="宋体" w:cs="宋体" w:eastAsia="宋体" w:hint="default"/>
                <w:sz w:val="21"/>
                <w:szCs w:val="21"/>
              </w:rPr>
              <w:t> </w:t>
            </w:r>
          </w:p>
        </w:tc>
        <w:tc>
          <w:tcPr>
            <w:tcW w:w="18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2,758,562.54</w:t>
            </w:r>
          </w:p>
        </w:tc>
        <w:tc>
          <w:tcPr>
            <w:tcW w:w="17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2,758,562.54</w:t>
            </w:r>
          </w:p>
        </w:tc>
      </w:tr>
      <w:tr>
        <w:trPr>
          <w:trHeight w:val="358" w:hRule="exact"/>
        </w:trPr>
        <w:tc>
          <w:tcPr>
            <w:tcW w:w="114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414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中化北大荒农资有限公司</w:t>
            </w:r>
            <w:r>
              <w:rPr>
                <w:rFonts w:ascii="宋体" w:hAnsi="宋体" w:cs="宋体" w:eastAsia="宋体" w:hint="default"/>
                <w:sz w:val="21"/>
                <w:szCs w:val="21"/>
              </w:rPr>
              <w:t> </w:t>
            </w:r>
          </w:p>
        </w:tc>
        <w:tc>
          <w:tcPr>
            <w:tcW w:w="1855" w:type="dxa"/>
            <w:tcBorders>
              <w:top w:val="single" w:sz="4" w:space="0" w:color="41B7EE"/>
              <w:left w:val="single" w:sz="4" w:space="0" w:color="41B7EE"/>
              <w:bottom w:val="single" w:sz="4" w:space="0" w:color="41B7EE"/>
              <w:right w:val="single" w:sz="4" w:space="0" w:color="41B7EE"/>
            </w:tcBorders>
          </w:tcPr>
          <w:p>
            <w:pPr/>
          </w:p>
        </w:tc>
        <w:tc>
          <w:tcPr>
            <w:tcW w:w="17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199,160.00</w:t>
            </w:r>
          </w:p>
        </w:tc>
      </w:tr>
      <w:tr>
        <w:trPr>
          <w:trHeight w:val="362" w:hRule="exact"/>
        </w:trPr>
        <w:tc>
          <w:tcPr>
            <w:tcW w:w="1142"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4141"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pacing w:val="-18"/>
                <w:sz w:val="21"/>
                <w:szCs w:val="21"/>
              </w:rPr>
              <w:t>黑龙江北大荒种业集团农业生产资料有限公司</w:t>
            </w:r>
            <w:r>
              <w:rPr>
                <w:rFonts w:ascii="宋体" w:hAnsi="宋体" w:cs="宋体" w:eastAsia="宋体" w:hint="default"/>
                <w:sz w:val="21"/>
                <w:szCs w:val="21"/>
              </w:rPr>
              <w:t> </w:t>
            </w:r>
          </w:p>
        </w:tc>
        <w:tc>
          <w:tcPr>
            <w:tcW w:w="1855"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34,997.50</w:t>
            </w:r>
          </w:p>
        </w:tc>
        <w:tc>
          <w:tcPr>
            <w:tcW w:w="1757"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34,997.50</w:t>
            </w:r>
          </w:p>
        </w:tc>
      </w:tr>
    </w:tbl>
    <w:p>
      <w:pPr>
        <w:spacing w:after="0" w:line="240" w:lineRule="auto"/>
        <w:jc w:val="right"/>
        <w:rPr>
          <w:rFonts w:ascii="Arial" w:hAnsi="Arial" w:cs="Arial" w:eastAsia="Arial" w:hint="default"/>
          <w:sz w:val="21"/>
          <w:szCs w:val="21"/>
        </w:rPr>
        <w:sectPr>
          <w:type w:val="continuous"/>
          <w:pgSz w:w="11910" w:h="16840"/>
          <w:pgMar w:top="1360" w:bottom="1380" w:left="1560" w:right="1000"/>
        </w:sectPr>
      </w:pPr>
    </w:p>
    <w:p>
      <w:pPr>
        <w:spacing w:line="240" w:lineRule="auto" w:before="10"/>
        <w:rPr>
          <w:rFonts w:ascii="宋体" w:hAnsi="宋体" w:cs="宋体" w:eastAsia="宋体" w:hint="default"/>
          <w:sz w:val="11"/>
          <w:szCs w:val="11"/>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45.75pt;height:1pt;mso-position-horizontal-relative:char;mso-position-vertical-relative:line" coordorigin="0,0" coordsize="8915,20">
            <v:group style="position:absolute;left:10;top:10;width:1138;height:2" coordorigin="10,10" coordsize="1138,2">
              <v:shape style="position:absolute;left:10;top:10;width:1138;height:2" coordorigin="10,10" coordsize="1138,0" path="m10,10l1147,10e" filled="false" stroked="true" strokeweight=".96001pt" strokecolor="#41b7ee">
                <v:path arrowok="t"/>
              </v:shape>
            </v:group>
            <v:group style="position:absolute;left:1147;top:10;width:58;height:2" coordorigin="1147,10" coordsize="58,2">
              <v:shape style="position:absolute;left:1147;top:10;width:58;height:2" coordorigin="1147,10" coordsize="58,0" path="m1147,10l1205,10e" filled="false" stroked="true" strokeweight=".96001pt" strokecolor="#41b7ee">
                <v:path arrowok="t"/>
              </v:shape>
            </v:group>
            <v:group style="position:absolute;left:1205;top:10;width:4084;height:2" coordorigin="1205,10" coordsize="4084,2">
              <v:shape style="position:absolute;left:1205;top:10;width:4084;height:2" coordorigin="1205,10" coordsize="4084,0" path="m1205,10l5288,10e" filled="false" stroked="true" strokeweight=".96001pt" strokecolor="#41b7ee">
                <v:path arrowok="t"/>
              </v:shape>
            </v:group>
            <v:group style="position:absolute;left:5288;top:10;width:58;height:2" coordorigin="5288,10" coordsize="58,2">
              <v:shape style="position:absolute;left:5288;top:10;width:58;height:2" coordorigin="5288,10" coordsize="58,0" path="m5288,10l5346,10e" filled="false" stroked="true" strokeweight=".96001pt" strokecolor="#41b7ee">
                <v:path arrowok="t"/>
              </v:shape>
            </v:group>
            <v:group style="position:absolute;left:5346;top:10;width:1798;height:2" coordorigin="5346,10" coordsize="1798,2">
              <v:shape style="position:absolute;left:5346;top:10;width:1798;height:2" coordorigin="5346,10" coordsize="1798,0" path="m5346,10l7143,10e" filled="false" stroked="true" strokeweight=".96001pt" strokecolor="#41b7ee">
                <v:path arrowok="t"/>
              </v:shape>
            </v:group>
            <v:group style="position:absolute;left:7143;top:10;width:58;height:2" coordorigin="7143,10" coordsize="58,2">
              <v:shape style="position:absolute;left:7143;top:10;width:58;height:2" coordorigin="7143,10" coordsize="58,0" path="m7143,10l7201,10e" filled="false" stroked="true" strokeweight=".96001pt" strokecolor="#41b7ee">
                <v:path arrowok="t"/>
              </v:shape>
            </v:group>
            <v:group style="position:absolute;left:7201;top:10;width:1705;height:2" coordorigin="7201,10" coordsize="1705,2">
              <v:shape style="position:absolute;left:7201;top:10;width:1705;height:2" coordorigin="7201,10" coordsize="1705,0" path="m7201,10l8905,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17" w:type="dxa"/>
        <w:tblLayout w:type="fixed"/>
        <w:tblCellMar>
          <w:top w:w="0" w:type="dxa"/>
          <w:left w:w="0" w:type="dxa"/>
          <w:bottom w:w="0" w:type="dxa"/>
          <w:right w:w="0" w:type="dxa"/>
        </w:tblCellMar>
        <w:tblLook w:val="01E0"/>
      </w:tblPr>
      <w:tblGrid>
        <w:gridCol w:w="1142"/>
        <w:gridCol w:w="4141"/>
        <w:gridCol w:w="1855"/>
        <w:gridCol w:w="1757"/>
      </w:tblGrid>
      <w:tr>
        <w:trPr>
          <w:trHeight w:val="365" w:hRule="exact"/>
        </w:trPr>
        <w:tc>
          <w:tcPr>
            <w:tcW w:w="1142"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7"/>
              <w:ind w:left="3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4141"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7"/>
              <w:ind w:left="26" w:right="0"/>
              <w:jc w:val="left"/>
              <w:rPr>
                <w:rFonts w:ascii="宋体" w:hAnsi="宋体" w:cs="宋体" w:eastAsia="宋体" w:hint="default"/>
                <w:sz w:val="21"/>
                <w:szCs w:val="21"/>
              </w:rPr>
            </w:pPr>
            <w:r>
              <w:rPr>
                <w:rFonts w:ascii="宋体" w:hAnsi="宋体" w:cs="宋体" w:eastAsia="宋体" w:hint="default"/>
                <w:sz w:val="21"/>
                <w:szCs w:val="21"/>
              </w:rPr>
              <w:t>黑龙江北大荒集团红兴隆农研有限公司</w:t>
            </w:r>
            <w:r>
              <w:rPr>
                <w:rFonts w:ascii="宋体" w:hAnsi="宋体" w:cs="宋体" w:eastAsia="宋体" w:hint="default"/>
                <w:sz w:val="21"/>
                <w:szCs w:val="21"/>
              </w:rPr>
              <w:t> </w:t>
            </w:r>
          </w:p>
        </w:tc>
        <w:tc>
          <w:tcPr>
            <w:tcW w:w="1855"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50"/>
              <w:ind w:right="22"/>
              <w:jc w:val="right"/>
              <w:rPr>
                <w:rFonts w:ascii="Arial" w:hAnsi="Arial" w:cs="Arial" w:eastAsia="Arial" w:hint="default"/>
                <w:sz w:val="21"/>
                <w:szCs w:val="21"/>
              </w:rPr>
            </w:pPr>
            <w:r>
              <w:rPr>
                <w:rFonts w:ascii="Arial"/>
                <w:spacing w:val="-1"/>
                <w:sz w:val="21"/>
              </w:rPr>
              <w:t>869,751.60</w:t>
            </w:r>
          </w:p>
        </w:tc>
        <w:tc>
          <w:tcPr>
            <w:tcW w:w="1757"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50"/>
              <w:ind w:right="27"/>
              <w:jc w:val="right"/>
              <w:rPr>
                <w:rFonts w:ascii="Arial" w:hAnsi="Arial" w:cs="Arial" w:eastAsia="Arial" w:hint="default"/>
                <w:sz w:val="21"/>
                <w:szCs w:val="21"/>
              </w:rPr>
            </w:pPr>
            <w:r>
              <w:rPr>
                <w:rFonts w:ascii="Arial"/>
                <w:spacing w:val="-1"/>
                <w:sz w:val="21"/>
              </w:rPr>
              <w:t>869,751.60</w:t>
            </w:r>
          </w:p>
        </w:tc>
      </w:tr>
      <w:tr>
        <w:trPr>
          <w:trHeight w:val="358" w:hRule="exact"/>
        </w:trPr>
        <w:tc>
          <w:tcPr>
            <w:tcW w:w="114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414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pacing w:val="-14"/>
                <w:sz w:val="21"/>
                <w:szCs w:val="21"/>
              </w:rPr>
              <w:t>黑龙江北大荒农垦集团农业生产资料有限公司</w:t>
            </w:r>
            <w:r>
              <w:rPr>
                <w:rFonts w:ascii="宋体" w:hAnsi="宋体" w:cs="宋体" w:eastAsia="宋体" w:hint="default"/>
                <w:sz w:val="21"/>
                <w:szCs w:val="21"/>
              </w:rPr>
              <w:t> </w:t>
            </w:r>
          </w:p>
        </w:tc>
        <w:tc>
          <w:tcPr>
            <w:tcW w:w="18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19,762,931.73</w:t>
            </w:r>
          </w:p>
        </w:tc>
        <w:tc>
          <w:tcPr>
            <w:tcW w:w="17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31,596,546.90</w:t>
            </w:r>
          </w:p>
        </w:tc>
      </w:tr>
      <w:tr>
        <w:trPr>
          <w:trHeight w:val="358" w:hRule="exact"/>
        </w:trPr>
        <w:tc>
          <w:tcPr>
            <w:tcW w:w="114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414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黑龙江金香源农资有限公司</w:t>
            </w:r>
            <w:r>
              <w:rPr>
                <w:rFonts w:ascii="宋体" w:hAnsi="宋体" w:cs="宋体" w:eastAsia="宋体" w:hint="default"/>
                <w:sz w:val="21"/>
                <w:szCs w:val="21"/>
              </w:rPr>
              <w:t> </w:t>
            </w:r>
          </w:p>
        </w:tc>
        <w:tc>
          <w:tcPr>
            <w:tcW w:w="1855" w:type="dxa"/>
            <w:tcBorders>
              <w:top w:val="single" w:sz="4" w:space="0" w:color="41B7EE"/>
              <w:left w:val="single" w:sz="4" w:space="0" w:color="41B7EE"/>
              <w:bottom w:val="single" w:sz="4" w:space="0" w:color="41B7EE"/>
              <w:right w:val="single" w:sz="4" w:space="0" w:color="41B7EE"/>
            </w:tcBorders>
          </w:tcPr>
          <w:p>
            <w:pPr/>
          </w:p>
        </w:tc>
        <w:tc>
          <w:tcPr>
            <w:tcW w:w="17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272,040.00</w:t>
            </w:r>
          </w:p>
        </w:tc>
      </w:tr>
      <w:tr>
        <w:trPr>
          <w:trHeight w:val="355" w:hRule="exact"/>
        </w:trPr>
        <w:tc>
          <w:tcPr>
            <w:tcW w:w="114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414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黑龙江农垦通信有限公司</w:t>
            </w:r>
            <w:r>
              <w:rPr>
                <w:rFonts w:ascii="宋体" w:hAnsi="宋体" w:cs="宋体" w:eastAsia="宋体" w:hint="default"/>
                <w:sz w:val="21"/>
                <w:szCs w:val="21"/>
              </w:rPr>
              <w:t> </w:t>
            </w:r>
          </w:p>
        </w:tc>
        <w:tc>
          <w:tcPr>
            <w:tcW w:w="1855" w:type="dxa"/>
            <w:tcBorders>
              <w:top w:val="single" w:sz="4" w:space="0" w:color="41B7EE"/>
              <w:left w:val="single" w:sz="4" w:space="0" w:color="41B7EE"/>
              <w:bottom w:val="single" w:sz="4" w:space="0" w:color="41B7EE"/>
              <w:right w:val="single" w:sz="4" w:space="0" w:color="41B7EE"/>
            </w:tcBorders>
          </w:tcPr>
          <w:p>
            <w:pPr/>
          </w:p>
        </w:tc>
        <w:tc>
          <w:tcPr>
            <w:tcW w:w="17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2,730,080.00</w:t>
            </w:r>
          </w:p>
        </w:tc>
      </w:tr>
      <w:tr>
        <w:trPr>
          <w:trHeight w:val="358" w:hRule="exact"/>
        </w:trPr>
        <w:tc>
          <w:tcPr>
            <w:tcW w:w="114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414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108"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18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23,426,243.37</w:t>
            </w:r>
          </w:p>
        </w:tc>
        <w:tc>
          <w:tcPr>
            <w:tcW w:w="17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38,461,138.54</w:t>
            </w:r>
          </w:p>
        </w:tc>
      </w:tr>
      <w:tr>
        <w:trPr>
          <w:trHeight w:val="358" w:hRule="exact"/>
        </w:trPr>
        <w:tc>
          <w:tcPr>
            <w:tcW w:w="114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414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九三粮油工业集团有限公司</w:t>
            </w:r>
            <w:r>
              <w:rPr>
                <w:rFonts w:ascii="宋体" w:hAnsi="宋体" w:cs="宋体" w:eastAsia="宋体" w:hint="default"/>
                <w:sz w:val="21"/>
                <w:szCs w:val="21"/>
              </w:rPr>
              <w:t> </w:t>
            </w:r>
          </w:p>
        </w:tc>
        <w:tc>
          <w:tcPr>
            <w:tcW w:w="1855" w:type="dxa"/>
            <w:tcBorders>
              <w:top w:val="single" w:sz="4" w:space="0" w:color="41B7EE"/>
              <w:left w:val="single" w:sz="4" w:space="0" w:color="41B7EE"/>
              <w:bottom w:val="single" w:sz="4" w:space="0" w:color="41B7EE"/>
              <w:right w:val="single" w:sz="4" w:space="0" w:color="41B7EE"/>
            </w:tcBorders>
          </w:tcPr>
          <w:p>
            <w:pPr/>
          </w:p>
        </w:tc>
        <w:tc>
          <w:tcPr>
            <w:tcW w:w="17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179,892.17</w:t>
            </w:r>
          </w:p>
        </w:tc>
      </w:tr>
      <w:tr>
        <w:trPr>
          <w:trHeight w:val="358" w:hRule="exact"/>
        </w:trPr>
        <w:tc>
          <w:tcPr>
            <w:tcW w:w="114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414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黑龙江北大荒粮油经销总公司</w:t>
            </w:r>
            <w:r>
              <w:rPr>
                <w:rFonts w:ascii="宋体" w:hAnsi="宋体" w:cs="宋体" w:eastAsia="宋体" w:hint="default"/>
                <w:sz w:val="21"/>
                <w:szCs w:val="21"/>
              </w:rPr>
              <w:t> </w:t>
            </w:r>
          </w:p>
        </w:tc>
        <w:tc>
          <w:tcPr>
            <w:tcW w:w="1855" w:type="dxa"/>
            <w:tcBorders>
              <w:top w:val="single" w:sz="4" w:space="0" w:color="41B7EE"/>
              <w:left w:val="single" w:sz="4" w:space="0" w:color="41B7EE"/>
              <w:bottom w:val="single" w:sz="4" w:space="0" w:color="41B7EE"/>
              <w:right w:val="single" w:sz="4" w:space="0" w:color="41B7EE"/>
            </w:tcBorders>
          </w:tcPr>
          <w:p>
            <w:pPr/>
          </w:p>
        </w:tc>
        <w:tc>
          <w:tcPr>
            <w:tcW w:w="17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112,496.05</w:t>
            </w:r>
          </w:p>
        </w:tc>
      </w:tr>
      <w:tr>
        <w:trPr>
          <w:trHeight w:val="355" w:hRule="exact"/>
        </w:trPr>
        <w:tc>
          <w:tcPr>
            <w:tcW w:w="114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414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pacing w:val="-22"/>
                <w:sz w:val="21"/>
                <w:szCs w:val="21"/>
              </w:rPr>
              <w:t>黑龙江省建三江农垦海纳粮食贸易有限责任公司</w:t>
            </w:r>
            <w:r>
              <w:rPr>
                <w:rFonts w:ascii="宋体" w:hAnsi="宋体" w:cs="宋体" w:eastAsia="宋体" w:hint="default"/>
                <w:sz w:val="21"/>
                <w:szCs w:val="21"/>
              </w:rPr>
              <w:t> </w:t>
            </w:r>
          </w:p>
        </w:tc>
        <w:tc>
          <w:tcPr>
            <w:tcW w:w="1855" w:type="dxa"/>
            <w:tcBorders>
              <w:top w:val="single" w:sz="4" w:space="0" w:color="41B7EE"/>
              <w:left w:val="single" w:sz="4" w:space="0" w:color="41B7EE"/>
              <w:bottom w:val="single" w:sz="4" w:space="0" w:color="41B7EE"/>
              <w:right w:val="single" w:sz="4" w:space="0" w:color="41B7EE"/>
            </w:tcBorders>
          </w:tcPr>
          <w:p>
            <w:pPr/>
          </w:p>
        </w:tc>
        <w:tc>
          <w:tcPr>
            <w:tcW w:w="17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685,451.55</w:t>
            </w:r>
          </w:p>
        </w:tc>
      </w:tr>
      <w:tr>
        <w:trPr>
          <w:trHeight w:val="358" w:hRule="exact"/>
        </w:trPr>
        <w:tc>
          <w:tcPr>
            <w:tcW w:w="114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414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pacing w:val="-22"/>
                <w:sz w:val="21"/>
                <w:szCs w:val="21"/>
              </w:rPr>
              <w:t>黑龙江省北大荒米业集团有限公司二九一制米厂</w:t>
            </w:r>
            <w:r>
              <w:rPr>
                <w:rFonts w:ascii="宋体" w:hAnsi="宋体" w:cs="宋体" w:eastAsia="宋体" w:hint="default"/>
                <w:sz w:val="21"/>
                <w:szCs w:val="21"/>
              </w:rPr>
              <w:t> </w:t>
            </w:r>
          </w:p>
        </w:tc>
        <w:tc>
          <w:tcPr>
            <w:tcW w:w="18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73,394.50</w:t>
            </w:r>
          </w:p>
        </w:tc>
        <w:tc>
          <w:tcPr>
            <w:tcW w:w="175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114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414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北大荒龙麦农业股份有限公司</w:t>
            </w:r>
            <w:r>
              <w:rPr>
                <w:rFonts w:ascii="宋体" w:hAnsi="宋体" w:cs="宋体" w:eastAsia="宋体" w:hint="default"/>
                <w:sz w:val="21"/>
                <w:szCs w:val="21"/>
              </w:rPr>
              <w:t> </w:t>
            </w:r>
          </w:p>
        </w:tc>
        <w:tc>
          <w:tcPr>
            <w:tcW w:w="18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4,620,569.84</w:t>
            </w:r>
          </w:p>
        </w:tc>
        <w:tc>
          <w:tcPr>
            <w:tcW w:w="1757"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114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414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108"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18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4,693,964.34</w:t>
            </w:r>
          </w:p>
        </w:tc>
        <w:tc>
          <w:tcPr>
            <w:tcW w:w="17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977,839.77</w:t>
            </w:r>
          </w:p>
        </w:tc>
      </w:tr>
      <w:tr>
        <w:trPr>
          <w:trHeight w:val="355" w:hRule="exact"/>
        </w:trPr>
        <w:tc>
          <w:tcPr>
            <w:tcW w:w="1142" w:type="dxa"/>
            <w:tcBorders>
              <w:top w:val="single" w:sz="4" w:space="0" w:color="41B7EE"/>
              <w:left w:val="nil" w:sz="6" w:space="0" w:color="auto"/>
              <w:bottom w:val="single" w:sz="4" w:space="0" w:color="41B7EE"/>
              <w:right w:val="single" w:sz="14" w:space="0" w:color="FFFFFF"/>
            </w:tcBorders>
          </w:tcPr>
          <w:p>
            <w:pPr>
              <w:pStyle w:val="TableParagraph"/>
              <w:spacing w:line="240" w:lineRule="auto" w:before="2"/>
              <w:ind w:left="31" w:right="-64"/>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4141" w:type="dxa"/>
            <w:tcBorders>
              <w:top w:val="single" w:sz="4" w:space="0" w:color="41B7EE"/>
              <w:left w:val="single" w:sz="14" w:space="0" w:color="FFFFFF"/>
              <w:bottom w:val="single" w:sz="4" w:space="0" w:color="41B7EE"/>
              <w:right w:val="single" w:sz="4" w:space="0" w:color="41B7EE"/>
            </w:tcBorders>
          </w:tcPr>
          <w:p>
            <w:pPr>
              <w:pStyle w:val="TableParagraph"/>
              <w:spacing w:line="240" w:lineRule="auto" w:before="2"/>
              <w:ind w:left="13" w:right="0"/>
              <w:jc w:val="left"/>
              <w:rPr>
                <w:rFonts w:ascii="宋体" w:hAnsi="宋体" w:cs="宋体" w:eastAsia="宋体" w:hint="default"/>
                <w:sz w:val="21"/>
                <w:szCs w:val="21"/>
              </w:rPr>
            </w:pPr>
            <w:r>
              <w:rPr>
                <w:rFonts w:ascii="宋体" w:hAnsi="宋体" w:cs="宋体" w:eastAsia="宋体" w:hint="default"/>
                <w:sz w:val="21"/>
                <w:szCs w:val="21"/>
              </w:rPr>
              <w:t>黑龙江省北大荒米业集团有限公司</w:t>
            </w:r>
            <w:r>
              <w:rPr>
                <w:rFonts w:ascii="宋体" w:hAnsi="宋体" w:cs="宋体" w:eastAsia="宋体" w:hint="default"/>
                <w:sz w:val="21"/>
                <w:szCs w:val="21"/>
              </w:rPr>
              <w:t> </w:t>
            </w:r>
          </w:p>
        </w:tc>
        <w:tc>
          <w:tcPr>
            <w:tcW w:w="18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500,000.00</w:t>
            </w:r>
          </w:p>
        </w:tc>
        <w:tc>
          <w:tcPr>
            <w:tcW w:w="17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500,000.00</w:t>
            </w:r>
          </w:p>
        </w:tc>
      </w:tr>
      <w:tr>
        <w:trPr>
          <w:trHeight w:val="358" w:hRule="exact"/>
        </w:trPr>
        <w:tc>
          <w:tcPr>
            <w:tcW w:w="1142" w:type="dxa"/>
            <w:tcBorders>
              <w:top w:val="single" w:sz="4" w:space="0" w:color="41B7EE"/>
              <w:left w:val="nil" w:sz="6" w:space="0" w:color="auto"/>
              <w:bottom w:val="single" w:sz="4" w:space="0" w:color="41B7EE"/>
              <w:right w:val="single" w:sz="14" w:space="0" w:color="FFFFFF"/>
            </w:tcBorders>
          </w:tcPr>
          <w:p>
            <w:pPr>
              <w:pStyle w:val="TableParagraph"/>
              <w:spacing w:line="240" w:lineRule="auto" w:before="4"/>
              <w:ind w:left="31" w:right="-64"/>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4141" w:type="dxa"/>
            <w:tcBorders>
              <w:top w:val="single" w:sz="4" w:space="0" w:color="41B7EE"/>
              <w:left w:val="single" w:sz="14" w:space="0" w:color="FFFFFF"/>
              <w:bottom w:val="single" w:sz="4" w:space="0" w:color="41B7EE"/>
              <w:right w:val="single" w:sz="4" w:space="0" w:color="41B7EE"/>
            </w:tcBorders>
          </w:tcPr>
          <w:p>
            <w:pPr>
              <w:pStyle w:val="TableParagraph"/>
              <w:spacing w:line="240" w:lineRule="auto" w:before="4"/>
              <w:ind w:left="13" w:right="0"/>
              <w:jc w:val="left"/>
              <w:rPr>
                <w:rFonts w:ascii="宋体" w:hAnsi="宋体" w:cs="宋体" w:eastAsia="宋体" w:hint="default"/>
                <w:sz w:val="21"/>
                <w:szCs w:val="21"/>
              </w:rPr>
            </w:pPr>
            <w:r>
              <w:rPr>
                <w:rFonts w:ascii="宋体" w:hAnsi="宋体" w:cs="宋体" w:eastAsia="宋体" w:hint="default"/>
                <w:sz w:val="21"/>
                <w:szCs w:val="21"/>
              </w:rPr>
              <w:t>北大荒建设集团有限公司</w:t>
            </w:r>
            <w:r>
              <w:rPr>
                <w:rFonts w:ascii="宋体" w:hAnsi="宋体" w:cs="宋体" w:eastAsia="宋体" w:hint="default"/>
                <w:sz w:val="21"/>
                <w:szCs w:val="21"/>
              </w:rPr>
              <w:t> </w:t>
            </w:r>
          </w:p>
        </w:tc>
        <w:tc>
          <w:tcPr>
            <w:tcW w:w="18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313,525.08</w:t>
            </w:r>
          </w:p>
        </w:tc>
        <w:tc>
          <w:tcPr>
            <w:tcW w:w="17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297,188.99</w:t>
            </w:r>
          </w:p>
        </w:tc>
      </w:tr>
      <w:tr>
        <w:trPr>
          <w:trHeight w:val="358" w:hRule="exact"/>
        </w:trPr>
        <w:tc>
          <w:tcPr>
            <w:tcW w:w="1142" w:type="dxa"/>
            <w:tcBorders>
              <w:top w:val="single" w:sz="4" w:space="0" w:color="41B7EE"/>
              <w:left w:val="nil" w:sz="6" w:space="0" w:color="auto"/>
              <w:bottom w:val="single" w:sz="4" w:space="0" w:color="41B7EE"/>
              <w:right w:val="single" w:sz="14" w:space="0" w:color="FFFFFF"/>
            </w:tcBorders>
          </w:tcPr>
          <w:p>
            <w:pPr>
              <w:pStyle w:val="TableParagraph"/>
              <w:spacing w:line="240" w:lineRule="auto" w:before="4"/>
              <w:ind w:left="31" w:right="-64"/>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4141" w:type="dxa"/>
            <w:tcBorders>
              <w:top w:val="single" w:sz="4" w:space="0" w:color="41B7EE"/>
              <w:left w:val="single" w:sz="14" w:space="0" w:color="FFFFFF"/>
              <w:bottom w:val="single" w:sz="4" w:space="0" w:color="41B7EE"/>
              <w:right w:val="single" w:sz="4" w:space="0" w:color="41B7EE"/>
            </w:tcBorders>
          </w:tcPr>
          <w:p>
            <w:pPr>
              <w:pStyle w:val="TableParagraph"/>
              <w:spacing w:line="240" w:lineRule="auto" w:before="4"/>
              <w:ind w:left="13" w:right="0"/>
              <w:jc w:val="left"/>
              <w:rPr>
                <w:rFonts w:ascii="宋体" w:hAnsi="宋体" w:cs="宋体" w:eastAsia="宋体" w:hint="default"/>
                <w:sz w:val="21"/>
                <w:szCs w:val="21"/>
              </w:rPr>
            </w:pPr>
            <w:r>
              <w:rPr>
                <w:rFonts w:ascii="宋体" w:hAnsi="宋体" w:cs="宋体" w:eastAsia="宋体" w:hint="default"/>
                <w:sz w:val="21"/>
                <w:szCs w:val="21"/>
              </w:rPr>
              <w:t>黑龙江省江滨农场</w:t>
            </w:r>
            <w:r>
              <w:rPr>
                <w:rFonts w:ascii="宋体" w:hAnsi="宋体" w:cs="宋体" w:eastAsia="宋体" w:hint="default"/>
                <w:sz w:val="21"/>
                <w:szCs w:val="21"/>
              </w:rPr>
              <w:t> </w:t>
            </w:r>
          </w:p>
        </w:tc>
        <w:tc>
          <w:tcPr>
            <w:tcW w:w="1855" w:type="dxa"/>
            <w:tcBorders>
              <w:top w:val="single" w:sz="4" w:space="0" w:color="41B7EE"/>
              <w:left w:val="single" w:sz="4" w:space="0" w:color="41B7EE"/>
              <w:bottom w:val="single" w:sz="4" w:space="0" w:color="41B7EE"/>
              <w:right w:val="single" w:sz="4" w:space="0" w:color="41B7EE"/>
            </w:tcBorders>
          </w:tcPr>
          <w:p>
            <w:pPr/>
          </w:p>
        </w:tc>
        <w:tc>
          <w:tcPr>
            <w:tcW w:w="17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5,762,000.00</w:t>
            </w:r>
          </w:p>
        </w:tc>
      </w:tr>
      <w:tr>
        <w:trPr>
          <w:trHeight w:val="358" w:hRule="exact"/>
        </w:trPr>
        <w:tc>
          <w:tcPr>
            <w:tcW w:w="1142" w:type="dxa"/>
            <w:tcBorders>
              <w:top w:val="single" w:sz="4" w:space="0" w:color="41B7EE"/>
              <w:left w:val="nil" w:sz="6" w:space="0" w:color="auto"/>
              <w:bottom w:val="single" w:sz="4" w:space="0" w:color="41B7EE"/>
              <w:right w:val="single" w:sz="14" w:space="0" w:color="FFFFFF"/>
            </w:tcBorders>
          </w:tcPr>
          <w:p>
            <w:pPr>
              <w:pStyle w:val="TableParagraph"/>
              <w:spacing w:line="240" w:lineRule="auto" w:before="2"/>
              <w:ind w:left="31" w:right="-64"/>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4141" w:type="dxa"/>
            <w:tcBorders>
              <w:top w:val="single" w:sz="4" w:space="0" w:color="41B7EE"/>
              <w:left w:val="single" w:sz="14" w:space="0" w:color="FFFFFF"/>
              <w:bottom w:val="single" w:sz="4" w:space="0" w:color="41B7EE"/>
              <w:right w:val="single" w:sz="4" w:space="0" w:color="41B7EE"/>
            </w:tcBorders>
          </w:tcPr>
          <w:p>
            <w:pPr>
              <w:pStyle w:val="TableParagraph"/>
              <w:spacing w:line="240" w:lineRule="auto" w:before="2"/>
              <w:ind w:left="13" w:right="0"/>
              <w:jc w:val="left"/>
              <w:rPr>
                <w:rFonts w:ascii="宋体" w:hAnsi="宋体" w:cs="宋体" w:eastAsia="宋体" w:hint="default"/>
                <w:sz w:val="21"/>
                <w:szCs w:val="21"/>
              </w:rPr>
            </w:pPr>
            <w:r>
              <w:rPr>
                <w:rFonts w:ascii="宋体" w:hAnsi="宋体" w:cs="宋体" w:eastAsia="宋体" w:hint="default"/>
                <w:sz w:val="21"/>
                <w:szCs w:val="21"/>
              </w:rPr>
              <w:t>北大荒垦丰种业股份有限公司</w:t>
            </w:r>
            <w:r>
              <w:rPr>
                <w:rFonts w:ascii="宋体" w:hAnsi="宋体" w:cs="宋体" w:eastAsia="宋体" w:hint="default"/>
                <w:sz w:val="21"/>
                <w:szCs w:val="21"/>
              </w:rPr>
              <w:t> </w:t>
            </w:r>
          </w:p>
        </w:tc>
        <w:tc>
          <w:tcPr>
            <w:tcW w:w="18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4,123,861.75</w:t>
            </w:r>
          </w:p>
        </w:tc>
        <w:tc>
          <w:tcPr>
            <w:tcW w:w="17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8,283,001.75</w:t>
            </w:r>
          </w:p>
        </w:tc>
      </w:tr>
      <w:tr>
        <w:trPr>
          <w:trHeight w:val="355" w:hRule="exact"/>
        </w:trPr>
        <w:tc>
          <w:tcPr>
            <w:tcW w:w="1142" w:type="dxa"/>
            <w:tcBorders>
              <w:top w:val="single" w:sz="4" w:space="0" w:color="41B7EE"/>
              <w:left w:val="nil" w:sz="6" w:space="0" w:color="auto"/>
              <w:bottom w:val="single" w:sz="4" w:space="0" w:color="41B7EE"/>
              <w:right w:val="single" w:sz="14" w:space="0" w:color="FFFFFF"/>
            </w:tcBorders>
          </w:tcPr>
          <w:p>
            <w:pPr>
              <w:pStyle w:val="TableParagraph"/>
              <w:spacing w:line="240" w:lineRule="auto" w:before="2"/>
              <w:ind w:left="31" w:right="-64"/>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4141" w:type="dxa"/>
            <w:tcBorders>
              <w:top w:val="single" w:sz="4" w:space="0" w:color="41B7EE"/>
              <w:left w:val="single" w:sz="14" w:space="0" w:color="FFFFFF"/>
              <w:bottom w:val="single" w:sz="4" w:space="0" w:color="41B7EE"/>
              <w:right w:val="single" w:sz="4" w:space="0" w:color="41B7EE"/>
            </w:tcBorders>
          </w:tcPr>
          <w:p>
            <w:pPr>
              <w:pStyle w:val="TableParagraph"/>
              <w:spacing w:line="240" w:lineRule="auto" w:before="2"/>
              <w:ind w:left="13" w:right="0"/>
              <w:jc w:val="left"/>
              <w:rPr>
                <w:rFonts w:ascii="宋体" w:hAnsi="宋体" w:cs="宋体" w:eastAsia="宋体" w:hint="default"/>
                <w:sz w:val="21"/>
                <w:szCs w:val="21"/>
              </w:rPr>
            </w:pPr>
            <w:r>
              <w:rPr>
                <w:rFonts w:ascii="宋体" w:hAnsi="宋体" w:cs="宋体" w:eastAsia="宋体" w:hint="default"/>
                <w:sz w:val="21"/>
                <w:szCs w:val="21"/>
              </w:rPr>
              <w:t>黑龙江农垦泰盛建筑工程有限公司</w:t>
            </w:r>
            <w:r>
              <w:rPr>
                <w:rFonts w:ascii="宋体" w:hAnsi="宋体" w:cs="宋体" w:eastAsia="宋体" w:hint="default"/>
                <w:sz w:val="21"/>
                <w:szCs w:val="21"/>
              </w:rPr>
              <w:t> </w:t>
            </w:r>
          </w:p>
        </w:tc>
        <w:tc>
          <w:tcPr>
            <w:tcW w:w="1855" w:type="dxa"/>
            <w:tcBorders>
              <w:top w:val="single" w:sz="4" w:space="0" w:color="41B7EE"/>
              <w:left w:val="single" w:sz="4" w:space="0" w:color="41B7EE"/>
              <w:bottom w:val="single" w:sz="4" w:space="0" w:color="41B7EE"/>
              <w:right w:val="single" w:sz="4" w:space="0" w:color="41B7EE"/>
            </w:tcBorders>
          </w:tcPr>
          <w:p>
            <w:pPr/>
          </w:p>
        </w:tc>
        <w:tc>
          <w:tcPr>
            <w:tcW w:w="17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38,164.43</w:t>
            </w:r>
          </w:p>
        </w:tc>
      </w:tr>
      <w:tr>
        <w:trPr>
          <w:trHeight w:val="358" w:hRule="exact"/>
        </w:trPr>
        <w:tc>
          <w:tcPr>
            <w:tcW w:w="1142" w:type="dxa"/>
            <w:tcBorders>
              <w:top w:val="single" w:sz="4" w:space="0" w:color="41B7EE"/>
              <w:left w:val="nil" w:sz="6" w:space="0" w:color="auto"/>
              <w:bottom w:val="single" w:sz="4" w:space="0" w:color="41B7EE"/>
              <w:right w:val="single" w:sz="14" w:space="0" w:color="FFFFFF"/>
            </w:tcBorders>
          </w:tcPr>
          <w:p>
            <w:pPr>
              <w:pStyle w:val="TableParagraph"/>
              <w:spacing w:line="240" w:lineRule="auto" w:before="4"/>
              <w:ind w:left="31" w:right="-64"/>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4141" w:type="dxa"/>
            <w:tcBorders>
              <w:top w:val="single" w:sz="4" w:space="0" w:color="41B7EE"/>
              <w:left w:val="single" w:sz="14" w:space="0" w:color="FFFFFF"/>
              <w:bottom w:val="single" w:sz="4" w:space="0" w:color="41B7EE"/>
              <w:right w:val="single" w:sz="4" w:space="0" w:color="41B7EE"/>
            </w:tcBorders>
          </w:tcPr>
          <w:p>
            <w:pPr>
              <w:pStyle w:val="TableParagraph"/>
              <w:spacing w:line="240" w:lineRule="auto" w:before="4"/>
              <w:ind w:left="13" w:right="0"/>
              <w:jc w:val="left"/>
              <w:rPr>
                <w:rFonts w:ascii="宋体" w:hAnsi="宋体" w:cs="宋体" w:eastAsia="宋体" w:hint="default"/>
                <w:sz w:val="21"/>
                <w:szCs w:val="21"/>
              </w:rPr>
            </w:pPr>
            <w:r>
              <w:rPr>
                <w:rFonts w:ascii="宋体" w:hAnsi="宋体" w:cs="宋体" w:eastAsia="宋体" w:hint="default"/>
                <w:sz w:val="21"/>
                <w:szCs w:val="21"/>
              </w:rPr>
              <w:t>黑龙江省八五二农场</w:t>
            </w:r>
            <w:r>
              <w:rPr>
                <w:rFonts w:ascii="宋体" w:hAnsi="宋体" w:cs="宋体" w:eastAsia="宋体" w:hint="default"/>
                <w:sz w:val="21"/>
                <w:szCs w:val="21"/>
              </w:rPr>
              <w:t> </w:t>
            </w:r>
          </w:p>
        </w:tc>
        <w:tc>
          <w:tcPr>
            <w:tcW w:w="18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340,000.83</w:t>
            </w:r>
          </w:p>
        </w:tc>
        <w:tc>
          <w:tcPr>
            <w:tcW w:w="17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340,000.83</w:t>
            </w:r>
          </w:p>
        </w:tc>
      </w:tr>
      <w:tr>
        <w:trPr>
          <w:trHeight w:val="358" w:hRule="exact"/>
        </w:trPr>
        <w:tc>
          <w:tcPr>
            <w:tcW w:w="1142" w:type="dxa"/>
            <w:tcBorders>
              <w:top w:val="single" w:sz="4" w:space="0" w:color="41B7EE"/>
              <w:left w:val="nil" w:sz="6" w:space="0" w:color="auto"/>
              <w:bottom w:val="single" w:sz="4" w:space="0" w:color="41B7EE"/>
              <w:right w:val="single" w:sz="14" w:space="0" w:color="FFFFFF"/>
            </w:tcBorders>
          </w:tcPr>
          <w:p>
            <w:pPr>
              <w:pStyle w:val="TableParagraph"/>
              <w:spacing w:line="240" w:lineRule="auto" w:before="4"/>
              <w:ind w:left="31" w:right="-64"/>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4141" w:type="dxa"/>
            <w:tcBorders>
              <w:top w:val="single" w:sz="4" w:space="0" w:color="41B7EE"/>
              <w:left w:val="single" w:sz="14" w:space="0" w:color="FFFFFF"/>
              <w:bottom w:val="single" w:sz="4" w:space="0" w:color="41B7EE"/>
              <w:right w:val="single" w:sz="4" w:space="0" w:color="41B7EE"/>
            </w:tcBorders>
          </w:tcPr>
          <w:p>
            <w:pPr>
              <w:pStyle w:val="TableParagraph"/>
              <w:spacing w:line="240" w:lineRule="auto" w:before="4"/>
              <w:ind w:left="13" w:right="0"/>
              <w:jc w:val="left"/>
              <w:rPr>
                <w:rFonts w:ascii="宋体" w:hAnsi="宋体" w:cs="宋体" w:eastAsia="宋体" w:hint="default"/>
                <w:sz w:val="21"/>
                <w:szCs w:val="21"/>
              </w:rPr>
            </w:pPr>
            <w:r>
              <w:rPr>
                <w:rFonts w:ascii="宋体" w:hAnsi="宋体" w:cs="宋体" w:eastAsia="宋体" w:hint="default"/>
                <w:spacing w:val="-22"/>
                <w:sz w:val="21"/>
                <w:szCs w:val="21"/>
              </w:rPr>
              <w:t>黑龙江省建三江农垦海纳粮食贸易有限责任公司</w:t>
            </w:r>
            <w:r>
              <w:rPr>
                <w:rFonts w:ascii="宋体" w:hAnsi="宋体" w:cs="宋体" w:eastAsia="宋体" w:hint="default"/>
                <w:sz w:val="21"/>
                <w:szCs w:val="21"/>
              </w:rPr>
              <w:t> </w:t>
            </w:r>
          </w:p>
        </w:tc>
        <w:tc>
          <w:tcPr>
            <w:tcW w:w="18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300,000.00</w:t>
            </w:r>
          </w:p>
        </w:tc>
        <w:tc>
          <w:tcPr>
            <w:tcW w:w="17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300,000.00</w:t>
            </w:r>
          </w:p>
        </w:tc>
      </w:tr>
      <w:tr>
        <w:trPr>
          <w:trHeight w:val="358" w:hRule="exact"/>
        </w:trPr>
        <w:tc>
          <w:tcPr>
            <w:tcW w:w="1142" w:type="dxa"/>
            <w:tcBorders>
              <w:top w:val="single" w:sz="4" w:space="0" w:color="41B7EE"/>
              <w:left w:val="nil" w:sz="6" w:space="0" w:color="auto"/>
              <w:bottom w:val="single" w:sz="4" w:space="0" w:color="41B7EE"/>
              <w:right w:val="single" w:sz="14" w:space="0" w:color="FFFFFF"/>
            </w:tcBorders>
          </w:tcPr>
          <w:p>
            <w:pPr>
              <w:pStyle w:val="TableParagraph"/>
              <w:spacing w:line="240" w:lineRule="auto" w:before="2"/>
              <w:ind w:left="31" w:right="-64"/>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4141" w:type="dxa"/>
            <w:tcBorders>
              <w:top w:val="single" w:sz="4" w:space="0" w:color="41B7EE"/>
              <w:left w:val="single" w:sz="14" w:space="0" w:color="FFFFFF"/>
              <w:bottom w:val="single" w:sz="4" w:space="0" w:color="41B7EE"/>
              <w:right w:val="single" w:sz="4" w:space="0" w:color="41B7EE"/>
            </w:tcBorders>
          </w:tcPr>
          <w:p>
            <w:pPr>
              <w:pStyle w:val="TableParagraph"/>
              <w:spacing w:line="240" w:lineRule="auto" w:before="2"/>
              <w:ind w:left="13" w:right="0"/>
              <w:jc w:val="left"/>
              <w:rPr>
                <w:rFonts w:ascii="宋体" w:hAnsi="宋体" w:cs="宋体" w:eastAsia="宋体" w:hint="default"/>
                <w:sz w:val="21"/>
                <w:szCs w:val="21"/>
              </w:rPr>
            </w:pPr>
            <w:r>
              <w:rPr>
                <w:rFonts w:ascii="宋体" w:hAnsi="宋体" w:cs="宋体" w:eastAsia="宋体" w:hint="default"/>
                <w:sz w:val="21"/>
                <w:szCs w:val="21"/>
              </w:rPr>
              <w:t>黑龙江省牡丹江农垦建筑工程公司</w:t>
            </w:r>
            <w:r>
              <w:rPr>
                <w:rFonts w:ascii="宋体" w:hAnsi="宋体" w:cs="宋体" w:eastAsia="宋体" w:hint="default"/>
                <w:sz w:val="21"/>
                <w:szCs w:val="21"/>
              </w:rPr>
              <w:t> </w:t>
            </w:r>
          </w:p>
        </w:tc>
        <w:tc>
          <w:tcPr>
            <w:tcW w:w="18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1"/>
              <w:jc w:val="right"/>
              <w:rPr>
                <w:rFonts w:ascii="Arial" w:hAnsi="Arial" w:cs="Arial" w:eastAsia="Arial" w:hint="default"/>
                <w:sz w:val="21"/>
                <w:szCs w:val="21"/>
              </w:rPr>
            </w:pPr>
            <w:r>
              <w:rPr>
                <w:rFonts w:ascii="Arial"/>
                <w:spacing w:val="-1"/>
                <w:sz w:val="21"/>
              </w:rPr>
              <w:t>1,330.00</w:t>
            </w:r>
          </w:p>
        </w:tc>
        <w:tc>
          <w:tcPr>
            <w:tcW w:w="17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1,330.00</w:t>
            </w:r>
          </w:p>
        </w:tc>
      </w:tr>
      <w:tr>
        <w:trPr>
          <w:trHeight w:val="355" w:hRule="exact"/>
        </w:trPr>
        <w:tc>
          <w:tcPr>
            <w:tcW w:w="1142" w:type="dxa"/>
            <w:tcBorders>
              <w:top w:val="single" w:sz="4" w:space="0" w:color="41B7EE"/>
              <w:left w:val="nil" w:sz="6" w:space="0" w:color="auto"/>
              <w:bottom w:val="single" w:sz="4" w:space="0" w:color="41B7EE"/>
              <w:right w:val="single" w:sz="14" w:space="0" w:color="FFFFFF"/>
            </w:tcBorders>
          </w:tcPr>
          <w:p>
            <w:pPr>
              <w:pStyle w:val="TableParagraph"/>
              <w:spacing w:line="240" w:lineRule="auto" w:before="2"/>
              <w:ind w:left="31" w:right="-64"/>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4141" w:type="dxa"/>
            <w:tcBorders>
              <w:top w:val="single" w:sz="4" w:space="0" w:color="41B7EE"/>
              <w:left w:val="single" w:sz="14" w:space="0" w:color="FFFFFF"/>
              <w:bottom w:val="single" w:sz="4" w:space="0" w:color="41B7EE"/>
              <w:right w:val="single" w:sz="4" w:space="0" w:color="41B7EE"/>
            </w:tcBorders>
          </w:tcPr>
          <w:p>
            <w:pPr>
              <w:pStyle w:val="TableParagraph"/>
              <w:spacing w:line="240" w:lineRule="auto" w:before="2"/>
              <w:ind w:left="13" w:right="0"/>
              <w:jc w:val="left"/>
              <w:rPr>
                <w:rFonts w:ascii="宋体" w:hAnsi="宋体" w:cs="宋体" w:eastAsia="宋体" w:hint="default"/>
                <w:sz w:val="21"/>
                <w:szCs w:val="21"/>
              </w:rPr>
            </w:pPr>
            <w:r>
              <w:rPr>
                <w:rFonts w:ascii="宋体" w:hAnsi="宋体" w:cs="宋体" w:eastAsia="宋体" w:hint="default"/>
                <w:sz w:val="21"/>
                <w:szCs w:val="21"/>
              </w:rPr>
              <w:t>黑龙江鑫都房地产开发有限公司</w:t>
            </w:r>
            <w:r>
              <w:rPr>
                <w:rFonts w:ascii="宋体" w:hAnsi="宋体" w:cs="宋体" w:eastAsia="宋体" w:hint="default"/>
                <w:sz w:val="21"/>
                <w:szCs w:val="21"/>
              </w:rPr>
              <w:t> </w:t>
            </w:r>
          </w:p>
        </w:tc>
        <w:tc>
          <w:tcPr>
            <w:tcW w:w="18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2,385,463.57</w:t>
            </w:r>
          </w:p>
        </w:tc>
        <w:tc>
          <w:tcPr>
            <w:tcW w:w="17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2,385,463.57</w:t>
            </w:r>
          </w:p>
        </w:tc>
      </w:tr>
      <w:tr>
        <w:trPr>
          <w:trHeight w:val="358" w:hRule="exact"/>
        </w:trPr>
        <w:tc>
          <w:tcPr>
            <w:tcW w:w="1142" w:type="dxa"/>
            <w:tcBorders>
              <w:top w:val="single" w:sz="4" w:space="0" w:color="41B7EE"/>
              <w:left w:val="nil" w:sz="6" w:space="0" w:color="auto"/>
              <w:bottom w:val="single" w:sz="4" w:space="0" w:color="41B7EE"/>
              <w:right w:val="single" w:sz="14" w:space="0" w:color="FFFFFF"/>
            </w:tcBorders>
          </w:tcPr>
          <w:p>
            <w:pPr>
              <w:pStyle w:val="TableParagraph"/>
              <w:spacing w:line="240" w:lineRule="auto" w:before="4"/>
              <w:ind w:left="31" w:right="-64"/>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4141" w:type="dxa"/>
            <w:tcBorders>
              <w:top w:val="single" w:sz="4" w:space="0" w:color="41B7EE"/>
              <w:left w:val="single" w:sz="14" w:space="0" w:color="FFFFFF"/>
              <w:bottom w:val="single" w:sz="4" w:space="0" w:color="41B7EE"/>
              <w:right w:val="single" w:sz="4" w:space="0" w:color="41B7EE"/>
            </w:tcBorders>
          </w:tcPr>
          <w:p>
            <w:pPr>
              <w:pStyle w:val="TableParagraph"/>
              <w:spacing w:line="240" w:lineRule="auto" w:before="4"/>
              <w:ind w:left="13" w:right="0"/>
              <w:jc w:val="left"/>
              <w:rPr>
                <w:rFonts w:ascii="宋体" w:hAnsi="宋体" w:cs="宋体" w:eastAsia="宋体" w:hint="default"/>
                <w:sz w:val="21"/>
                <w:szCs w:val="21"/>
              </w:rPr>
            </w:pPr>
            <w:r>
              <w:rPr>
                <w:rFonts w:ascii="宋体" w:hAnsi="宋体" w:cs="宋体" w:eastAsia="宋体" w:hint="default"/>
                <w:sz w:val="21"/>
                <w:szCs w:val="21"/>
              </w:rPr>
              <w:t>黑龙江农垦通信有限公司</w:t>
            </w:r>
            <w:r>
              <w:rPr>
                <w:rFonts w:ascii="宋体" w:hAnsi="宋体" w:cs="宋体" w:eastAsia="宋体" w:hint="default"/>
                <w:sz w:val="21"/>
                <w:szCs w:val="21"/>
              </w:rPr>
              <w:t> </w:t>
            </w:r>
          </w:p>
        </w:tc>
        <w:tc>
          <w:tcPr>
            <w:tcW w:w="18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1,600,000.00</w:t>
            </w:r>
          </w:p>
        </w:tc>
        <w:tc>
          <w:tcPr>
            <w:tcW w:w="17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1,600,000.00</w:t>
            </w:r>
          </w:p>
        </w:tc>
      </w:tr>
      <w:tr>
        <w:trPr>
          <w:trHeight w:val="358" w:hRule="exact"/>
        </w:trPr>
        <w:tc>
          <w:tcPr>
            <w:tcW w:w="1142" w:type="dxa"/>
            <w:tcBorders>
              <w:top w:val="single" w:sz="4" w:space="0" w:color="41B7EE"/>
              <w:left w:val="nil" w:sz="6" w:space="0" w:color="auto"/>
              <w:bottom w:val="single" w:sz="4" w:space="0" w:color="41B7EE"/>
              <w:right w:val="single" w:sz="14" w:space="0" w:color="FFFFFF"/>
            </w:tcBorders>
          </w:tcPr>
          <w:p>
            <w:pPr>
              <w:pStyle w:val="TableParagraph"/>
              <w:spacing w:line="240" w:lineRule="auto" w:before="4"/>
              <w:ind w:left="31" w:right="-64"/>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4141" w:type="dxa"/>
            <w:tcBorders>
              <w:top w:val="single" w:sz="4" w:space="0" w:color="41B7EE"/>
              <w:left w:val="single" w:sz="14" w:space="0" w:color="FFFFFF"/>
              <w:bottom w:val="single" w:sz="4" w:space="0" w:color="41B7EE"/>
              <w:right w:val="single" w:sz="4" w:space="0" w:color="41B7EE"/>
            </w:tcBorders>
          </w:tcPr>
          <w:p>
            <w:pPr>
              <w:pStyle w:val="TableParagraph"/>
              <w:spacing w:line="240" w:lineRule="auto" w:before="4"/>
              <w:ind w:left="13" w:right="0"/>
              <w:jc w:val="left"/>
              <w:rPr>
                <w:rFonts w:ascii="宋体" w:hAnsi="宋体" w:cs="宋体" w:eastAsia="宋体" w:hint="default"/>
                <w:sz w:val="21"/>
                <w:szCs w:val="21"/>
              </w:rPr>
            </w:pPr>
            <w:r>
              <w:rPr>
                <w:rFonts w:ascii="宋体" w:hAnsi="宋体" w:cs="宋体" w:eastAsia="宋体" w:hint="default"/>
                <w:sz w:val="21"/>
                <w:szCs w:val="21"/>
              </w:rPr>
              <w:t>黑龙江农垦北大荒数据通信有限公司</w:t>
            </w:r>
            <w:r>
              <w:rPr>
                <w:rFonts w:ascii="宋体" w:hAnsi="宋体" w:cs="宋体" w:eastAsia="宋体" w:hint="default"/>
                <w:sz w:val="21"/>
                <w:szCs w:val="21"/>
              </w:rPr>
              <w:t> </w:t>
            </w:r>
          </w:p>
        </w:tc>
        <w:tc>
          <w:tcPr>
            <w:tcW w:w="1855" w:type="dxa"/>
            <w:tcBorders>
              <w:top w:val="single" w:sz="4" w:space="0" w:color="41B7EE"/>
              <w:left w:val="single" w:sz="4" w:space="0" w:color="41B7EE"/>
              <w:bottom w:val="single" w:sz="4" w:space="0" w:color="41B7EE"/>
              <w:right w:val="single" w:sz="4" w:space="0" w:color="41B7EE"/>
            </w:tcBorders>
          </w:tcPr>
          <w:p>
            <w:pPr/>
          </w:p>
        </w:tc>
        <w:tc>
          <w:tcPr>
            <w:tcW w:w="17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145,300.00</w:t>
            </w:r>
          </w:p>
        </w:tc>
      </w:tr>
      <w:tr>
        <w:trPr>
          <w:trHeight w:val="358" w:hRule="exact"/>
        </w:trPr>
        <w:tc>
          <w:tcPr>
            <w:tcW w:w="1142" w:type="dxa"/>
            <w:tcBorders>
              <w:top w:val="single" w:sz="4" w:space="0" w:color="41B7EE"/>
              <w:left w:val="nil" w:sz="6" w:space="0" w:color="auto"/>
              <w:bottom w:val="single" w:sz="4" w:space="0" w:color="41B7EE"/>
              <w:right w:val="single" w:sz="14" w:space="0" w:color="FFFFFF"/>
            </w:tcBorders>
          </w:tcPr>
          <w:p>
            <w:pPr>
              <w:pStyle w:val="TableParagraph"/>
              <w:spacing w:line="240" w:lineRule="auto" w:before="2"/>
              <w:ind w:left="31" w:right="-64"/>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4141" w:type="dxa"/>
            <w:tcBorders>
              <w:top w:val="single" w:sz="4" w:space="0" w:color="41B7EE"/>
              <w:left w:val="single" w:sz="14" w:space="0" w:color="FFFFFF"/>
              <w:bottom w:val="single" w:sz="4" w:space="0" w:color="41B7EE"/>
              <w:right w:val="single" w:sz="4" w:space="0" w:color="41B7EE"/>
            </w:tcBorders>
          </w:tcPr>
          <w:p>
            <w:pPr>
              <w:pStyle w:val="TableParagraph"/>
              <w:spacing w:line="240" w:lineRule="auto" w:before="2"/>
              <w:ind w:left="13" w:right="0"/>
              <w:jc w:val="left"/>
              <w:rPr>
                <w:rFonts w:ascii="宋体" w:hAnsi="宋体" w:cs="宋体" w:eastAsia="宋体" w:hint="default"/>
                <w:sz w:val="21"/>
                <w:szCs w:val="21"/>
              </w:rPr>
            </w:pPr>
            <w:r>
              <w:rPr>
                <w:rFonts w:ascii="宋体" w:hAnsi="宋体" w:cs="宋体" w:eastAsia="宋体" w:hint="default"/>
                <w:sz w:val="21"/>
                <w:szCs w:val="21"/>
              </w:rPr>
              <w:t>北大荒通用航空有限公司</w:t>
            </w:r>
            <w:r>
              <w:rPr>
                <w:rFonts w:ascii="宋体" w:hAnsi="宋体" w:cs="宋体" w:eastAsia="宋体" w:hint="default"/>
                <w:sz w:val="21"/>
                <w:szCs w:val="21"/>
              </w:rPr>
              <w:t> </w:t>
            </w:r>
          </w:p>
        </w:tc>
        <w:tc>
          <w:tcPr>
            <w:tcW w:w="18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13,686.86</w:t>
            </w:r>
          </w:p>
        </w:tc>
        <w:tc>
          <w:tcPr>
            <w:tcW w:w="175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13,686.86</w:t>
            </w:r>
          </w:p>
        </w:tc>
      </w:tr>
      <w:tr>
        <w:trPr>
          <w:trHeight w:val="355" w:hRule="exact"/>
        </w:trPr>
        <w:tc>
          <w:tcPr>
            <w:tcW w:w="1142" w:type="dxa"/>
            <w:tcBorders>
              <w:top w:val="single" w:sz="4" w:space="0" w:color="41B7EE"/>
              <w:left w:val="nil" w:sz="6" w:space="0" w:color="auto"/>
              <w:bottom w:val="single" w:sz="4" w:space="0" w:color="41B7EE"/>
              <w:right w:val="single" w:sz="14" w:space="0" w:color="FFFFFF"/>
            </w:tcBorders>
          </w:tcPr>
          <w:p>
            <w:pPr>
              <w:pStyle w:val="TableParagraph"/>
              <w:spacing w:line="240" w:lineRule="auto" w:before="2"/>
              <w:ind w:left="31" w:right="-64"/>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4141" w:type="dxa"/>
            <w:tcBorders>
              <w:top w:val="single" w:sz="4" w:space="0" w:color="41B7EE"/>
              <w:left w:val="single" w:sz="14" w:space="0" w:color="FFFFFF"/>
              <w:bottom w:val="single" w:sz="4" w:space="0" w:color="41B7EE"/>
              <w:right w:val="single" w:sz="4" w:space="0" w:color="41B7EE"/>
            </w:tcBorders>
          </w:tcPr>
          <w:p>
            <w:pPr>
              <w:pStyle w:val="TableParagraph"/>
              <w:spacing w:line="240" w:lineRule="auto" w:before="2"/>
              <w:ind w:left="13" w:right="0"/>
              <w:jc w:val="left"/>
              <w:rPr>
                <w:rFonts w:ascii="宋体" w:hAnsi="宋体" w:cs="宋体" w:eastAsia="宋体" w:hint="default"/>
                <w:sz w:val="21"/>
                <w:szCs w:val="21"/>
              </w:rPr>
            </w:pPr>
            <w:r>
              <w:rPr>
                <w:rFonts w:ascii="宋体" w:hAnsi="宋体" w:cs="宋体" w:eastAsia="宋体" w:hint="default"/>
                <w:sz w:val="21"/>
                <w:szCs w:val="21"/>
              </w:rPr>
              <w:t>黑龙江省农垦建筑设计院</w:t>
            </w:r>
            <w:r>
              <w:rPr>
                <w:rFonts w:ascii="宋体" w:hAnsi="宋体" w:cs="宋体" w:eastAsia="宋体" w:hint="default"/>
                <w:sz w:val="21"/>
                <w:szCs w:val="21"/>
              </w:rPr>
              <w:t> </w:t>
            </w:r>
          </w:p>
        </w:tc>
        <w:tc>
          <w:tcPr>
            <w:tcW w:w="18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157,133.00</w:t>
            </w:r>
          </w:p>
        </w:tc>
        <w:tc>
          <w:tcPr>
            <w:tcW w:w="1757" w:type="dxa"/>
            <w:tcBorders>
              <w:top w:val="single" w:sz="4" w:space="0" w:color="41B7EE"/>
              <w:left w:val="single" w:sz="4" w:space="0" w:color="41B7EE"/>
              <w:bottom w:val="single" w:sz="4" w:space="0" w:color="41B7EE"/>
              <w:right w:val="nil" w:sz="6" w:space="0" w:color="auto"/>
            </w:tcBorders>
          </w:tcPr>
          <w:p>
            <w:pPr/>
          </w:p>
        </w:tc>
      </w:tr>
      <w:tr>
        <w:trPr>
          <w:trHeight w:val="365" w:hRule="exact"/>
        </w:trPr>
        <w:tc>
          <w:tcPr>
            <w:tcW w:w="1142" w:type="dxa"/>
            <w:tcBorders>
              <w:top w:val="single" w:sz="4" w:space="0" w:color="41B7EE"/>
              <w:left w:val="nil" w:sz="6" w:space="0" w:color="auto"/>
              <w:bottom w:val="single" w:sz="8" w:space="0" w:color="41B7EE"/>
              <w:right w:val="single" w:sz="14" w:space="0" w:color="FFFFFF"/>
            </w:tcBorders>
          </w:tcPr>
          <w:p>
            <w:pPr>
              <w:pStyle w:val="TableParagraph"/>
              <w:spacing w:line="240" w:lineRule="auto" w:before="4"/>
              <w:ind w:left="31" w:right="-64"/>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4141" w:type="dxa"/>
            <w:tcBorders>
              <w:top w:val="single" w:sz="4" w:space="0" w:color="41B7EE"/>
              <w:left w:val="single" w:sz="14" w:space="0" w:color="FFFFFF"/>
              <w:bottom w:val="single" w:sz="8" w:space="0" w:color="41B7EE"/>
              <w:right w:val="single" w:sz="4" w:space="0" w:color="41B7EE"/>
            </w:tcBorders>
          </w:tcPr>
          <w:p>
            <w:pPr>
              <w:pStyle w:val="TableParagraph"/>
              <w:spacing w:line="240" w:lineRule="auto" w:before="4"/>
              <w:ind w:left="95"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1855"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9,735,001.09</w:t>
            </w:r>
          </w:p>
        </w:tc>
        <w:tc>
          <w:tcPr>
            <w:tcW w:w="1757"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19,666,136.43</w:t>
            </w:r>
          </w:p>
        </w:tc>
      </w:tr>
    </w:tbl>
    <w:p>
      <w:pPr>
        <w:spacing w:line="240" w:lineRule="auto" w:before="11"/>
        <w:rPr>
          <w:rFonts w:ascii="宋体" w:hAnsi="宋体" w:cs="宋体" w:eastAsia="宋体" w:hint="default"/>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45.75pt;height:1pt;mso-position-horizontal-relative:char;mso-position-vertical-relative:line" coordorigin="0,0" coordsize="8915,20">
            <v:group style="position:absolute;left:10;top:10;width:1138;height:2" coordorigin="10,10" coordsize="1138,2">
              <v:shape style="position:absolute;left:10;top:10;width:1138;height:2" coordorigin="10,10" coordsize="1138,0" path="m10,10l1147,10e" filled="false" stroked="true" strokeweight=".96002pt" strokecolor="#41b7ee">
                <v:path arrowok="t"/>
              </v:shape>
            </v:group>
            <v:group style="position:absolute;left:1147;top:10;width:58;height:2" coordorigin="1147,10" coordsize="58,2">
              <v:shape style="position:absolute;left:1147;top:10;width:58;height:2" coordorigin="1147,10" coordsize="58,0" path="m1147,10l1205,10e" filled="false" stroked="true" strokeweight=".96002pt" strokecolor="#41b7ee">
                <v:path arrowok="t"/>
              </v:shape>
            </v:group>
            <v:group style="position:absolute;left:1205;top:10;width:4084;height:2" coordorigin="1205,10" coordsize="4084,2">
              <v:shape style="position:absolute;left:1205;top:10;width:4084;height:2" coordorigin="1205,10" coordsize="4084,0" path="m1205,10l5288,10e" filled="false" stroked="true" strokeweight=".96002pt" strokecolor="#41b7ee">
                <v:path arrowok="t"/>
              </v:shape>
            </v:group>
            <v:group style="position:absolute;left:5288;top:10;width:58;height:2" coordorigin="5288,10" coordsize="58,2">
              <v:shape style="position:absolute;left:5288;top:10;width:58;height:2" coordorigin="5288,10" coordsize="58,0" path="m5288,10l5346,10e" filled="false" stroked="true" strokeweight=".96002pt" strokecolor="#41b7ee">
                <v:path arrowok="t"/>
              </v:shape>
            </v:group>
            <v:group style="position:absolute;left:5346;top:10;width:1798;height:2" coordorigin="5346,10" coordsize="1798,2">
              <v:shape style="position:absolute;left:5346;top:10;width:1798;height:2" coordorigin="5346,10" coordsize="1798,0" path="m5346,10l7143,10e" filled="false" stroked="true" strokeweight=".96002pt" strokecolor="#41b7ee">
                <v:path arrowok="t"/>
              </v:shape>
            </v:group>
            <v:group style="position:absolute;left:7143;top:10;width:58;height:2" coordorigin="7143,10" coordsize="58,2">
              <v:shape style="position:absolute;left:7143;top:10;width:58;height:2" coordorigin="7143,10" coordsize="58,0" path="m7143,10l7201,10e" filled="false" stroked="true" strokeweight=".96002pt" strokecolor="#41b7ee">
                <v:path arrowok="t"/>
              </v:shape>
            </v:group>
            <v:group style="position:absolute;left:7201;top:10;width:1705;height:2" coordorigin="7201,10" coordsize="1705,2">
              <v:shape style="position:absolute;left:7201;top:10;width:1705;height:2" coordorigin="7201,10" coordsize="1705,0" path="m7201,10l8905,10e" filled="false" stroked="true" strokeweight=".96002pt" strokecolor="#41b7ee">
                <v:path arrowok="t"/>
              </v:shape>
            </v:group>
          </v:group>
        </w:pict>
      </w:r>
      <w:r>
        <w:rPr>
          <w:rFonts w:ascii="宋体" w:hAnsi="宋体" w:cs="宋体" w:eastAsia="宋体" w:hint="default"/>
          <w:sz w:val="2"/>
          <w:szCs w:val="2"/>
        </w:rPr>
      </w:r>
    </w:p>
    <w:p>
      <w:pPr>
        <w:pStyle w:val="Heading2"/>
        <w:spacing w:line="240" w:lineRule="auto" w:before="25"/>
        <w:ind w:left="158" w:right="3551"/>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spacing w:line="240" w:lineRule="auto" w:before="56"/>
        <w:ind w:left="158" w:right="3551"/>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before="58"/>
        <w:ind w:left="158" w:right="3551"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spacing w:line="290" w:lineRule="auto" w:before="56"/>
        <w:ind w:left="158" w:right="669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十三、</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b/>
          <w:bCs/>
          <w:sz w:val="21"/>
          <w:szCs w:val="21"/>
        </w:rPr>
        <w:t>股份支付</w:t>
      </w:r>
      <w:r>
        <w:rPr>
          <w:rFonts w:ascii="宋体" w:hAnsi="宋体" w:cs="宋体" w:eastAsia="宋体" w:hint="default"/>
          <w:sz w:val="21"/>
          <w:szCs w:val="21"/>
        </w:rPr>
      </w:r>
    </w:p>
    <w:p>
      <w:pPr>
        <w:pStyle w:val="Heading2"/>
        <w:spacing w:line="240" w:lineRule="auto" w:before="13"/>
        <w:ind w:left="158" w:right="3551"/>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8"/>
        <w:ind w:left="158" w:right="355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left="158" w:right="3551"/>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8"/>
        <w:ind w:left="158" w:right="355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left="158" w:right="3551"/>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8"/>
        <w:ind w:left="158" w:right="355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left="158" w:right="3551"/>
        <w:jc w:val="left"/>
        <w:rPr>
          <w:b w:val="0"/>
          <w:bCs w:val="0"/>
        </w:rPr>
      </w:pPr>
      <w:r>
        <w:rPr>
          <w:rFonts w:ascii="宋体" w:hAnsi="宋体" w:cs="宋体" w:eastAsia="宋体" w:hint="default"/>
        </w:rPr>
        <w:t>4</w:t>
      </w:r>
      <w:r>
        <w:rPr/>
        <w:t>、 股份支付的修改、终止情况</w:t>
      </w:r>
      <w:r>
        <w:rPr>
          <w:b w:val="0"/>
          <w:bCs w:val="0"/>
        </w:rPr>
      </w:r>
    </w:p>
    <w:p>
      <w:pPr>
        <w:pStyle w:val="BodyText"/>
        <w:spacing w:line="240" w:lineRule="auto" w:before="58"/>
        <w:ind w:left="158" w:right="3551"/>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93"/>
          <w:pgSz w:w="11910" w:h="16840"/>
          <w:pgMar w:footer="1195" w:header="0" w:top="1360" w:bottom="1380" w:left="1640" w:right="1120"/>
          <w:pgNumType w:start="162"/>
        </w:sectPr>
      </w:pPr>
    </w:p>
    <w:p>
      <w:pPr>
        <w:pStyle w:val="Heading2"/>
        <w:spacing w:line="240" w:lineRule="auto" w:before="119"/>
        <w:ind w:right="3059"/>
        <w:jc w:val="left"/>
        <w:rPr>
          <w:b w:val="0"/>
          <w:bCs w:val="0"/>
        </w:rPr>
      </w:pPr>
      <w:r>
        <w:rPr>
          <w:rFonts w:ascii="宋体" w:hAnsi="宋体" w:cs="宋体" w:eastAsia="宋体" w:hint="default"/>
        </w:rPr>
        <w:t>5</w:t>
      </w:r>
      <w:r>
        <w:rPr/>
        <w:t>、</w:t>
      </w:r>
      <w:r>
        <w:rPr>
          <w:spacing w:val="2"/>
        </w:rPr>
        <w:t> </w:t>
      </w:r>
      <w:r>
        <w:rPr/>
        <w:t>其他</w:t>
      </w:r>
      <w:r>
        <w:rPr>
          <w:b w:val="0"/>
          <w:bCs w:val="0"/>
        </w:rPr>
      </w:r>
    </w:p>
    <w:p>
      <w:pPr>
        <w:spacing w:line="290" w:lineRule="auto" w:before="59"/>
        <w:ind w:left="218" w:right="3059"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十四、</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承诺及或有事项</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18" w:right="350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或有事项</w:t>
      </w:r>
      <w:r>
        <w:rPr>
          <w:rFonts w:ascii="宋体" w:hAnsi="宋体" w:cs="宋体" w:eastAsia="宋体" w:hint="default"/>
          <w:sz w:val="21"/>
          <w:szCs w:val="21"/>
        </w:rPr>
      </w:r>
    </w:p>
    <w:p>
      <w:pPr>
        <w:pStyle w:val="Heading2"/>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t>资产负债表日存在的重要或有事项</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8" w:right="350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15"/>
        <w:ind w:left="218" w:right="3059"/>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right="0"/>
        <w:jc w:val="left"/>
        <w:rPr>
          <w:b w:val="0"/>
          <w:bCs w:val="0"/>
        </w:rPr>
      </w:pPr>
      <w:r>
        <w:rPr/>
        <w:t>十五、</w:t>
      </w:r>
      <w:r>
        <w:rPr>
          <w:spacing w:val="103"/>
        </w:rPr>
        <w:t> </w:t>
      </w:r>
      <w:r>
        <w:rPr>
          <w:rFonts w:ascii="宋体" w:hAnsi="宋体" w:cs="宋体" w:eastAsia="宋体" w:hint="default"/>
          <w:spacing w:val="103"/>
        </w:rPr>
      </w:r>
      <w:r>
        <w:rPr/>
        <w:t>资产负债表日后事项</w:t>
      </w:r>
      <w:r>
        <w:rPr>
          <w:b w:val="0"/>
          <w:bCs w:val="0"/>
        </w:rPr>
      </w:r>
    </w:p>
    <w:p>
      <w:pPr>
        <w:pStyle w:val="Heading2"/>
        <w:spacing w:line="240" w:lineRule="auto" w:before="58"/>
        <w:ind w:right="3059"/>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29"/>
        <w:ind w:left="218" w:right="305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right="3059"/>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29"/>
        <w:ind w:left="218" w:right="305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195" w:top="1360" w:bottom="1380" w:left="1580" w:right="1040"/>
          <w:cols w:num="2" w:equalWidth="0">
            <w:col w:w="5598" w:space="924"/>
            <w:col w:w="2768"/>
          </w:cols>
        </w:sectPr>
      </w:pPr>
    </w:p>
    <w:p>
      <w:pPr>
        <w:spacing w:line="240" w:lineRule="auto" w:before="4"/>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718;height:2" coordorigin="10,10" coordsize="3718,2">
              <v:shape style="position:absolute;left:10;top:10;width:3718;height:2" coordorigin="10,10" coordsize="3718,0" path="m10,10l3728,10e" filled="false" stroked="true" strokeweight=".96002pt" strokecolor="#41b7ee">
                <v:path arrowok="t"/>
              </v:shape>
            </v:group>
            <v:group style="position:absolute;left:3728;top:10;width:58;height:2" coordorigin="3728,10" coordsize="58,2">
              <v:shape style="position:absolute;left:3728;top:10;width:58;height:2" coordorigin="3728,10" coordsize="58,0" path="m3728,10l3785,10e" filled="false" stroked="true" strokeweight=".96002pt" strokecolor="#41b7ee">
                <v:path arrowok="t"/>
              </v:shape>
            </v:group>
            <v:group style="position:absolute;left:3785;top:10;width:5274;height:2" coordorigin="3785,10" coordsize="5274,2">
              <v:shape style="position:absolute;left:3785;top:10;width:5274;height:2" coordorigin="3785,10" coordsize="5274,0" path="m3785,10l9059,10e" filled="false" stroked="true" strokeweight=".96002pt" strokecolor="#41b7ee">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3723"/>
        <w:gridCol w:w="5327"/>
      </w:tblGrid>
      <w:tr>
        <w:trPr>
          <w:trHeight w:val="365" w:hRule="exact"/>
        </w:trPr>
        <w:tc>
          <w:tcPr>
            <w:tcW w:w="3723"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6"/>
              <w:ind w:left="107"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r>
              <w:rPr>
                <w:rFonts w:ascii="宋体" w:hAnsi="宋体" w:cs="宋体" w:eastAsia="宋体" w:hint="default"/>
                <w:sz w:val="21"/>
                <w:szCs w:val="21"/>
              </w:rPr>
              <w:t> </w:t>
            </w:r>
          </w:p>
        </w:tc>
        <w:tc>
          <w:tcPr>
            <w:tcW w:w="5327"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50"/>
              <w:ind w:right="0"/>
              <w:jc w:val="right"/>
              <w:rPr>
                <w:rFonts w:ascii="宋体" w:hAnsi="宋体" w:cs="宋体" w:eastAsia="宋体" w:hint="default"/>
                <w:sz w:val="21"/>
                <w:szCs w:val="21"/>
              </w:rPr>
            </w:pPr>
            <w:r>
              <w:rPr>
                <w:rFonts w:ascii="Arial"/>
                <w:spacing w:val="-1"/>
                <w:sz w:val="21"/>
              </w:rPr>
              <w:t>675,518,365.42</w:t>
            </w:r>
            <w:r>
              <w:rPr>
                <w:rFonts w:ascii="宋体"/>
                <w:w w:val="100"/>
                <w:sz w:val="21"/>
              </w:rPr>
              <w:t> </w:t>
            </w:r>
          </w:p>
        </w:tc>
      </w:tr>
      <w:tr>
        <w:trPr>
          <w:trHeight w:val="362" w:hRule="exact"/>
        </w:trPr>
        <w:tc>
          <w:tcPr>
            <w:tcW w:w="3723"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r>
              <w:rPr>
                <w:rFonts w:ascii="宋体" w:hAnsi="宋体" w:cs="宋体" w:eastAsia="宋体" w:hint="default"/>
                <w:sz w:val="21"/>
                <w:szCs w:val="21"/>
              </w:rPr>
              <w:t> </w:t>
            </w:r>
          </w:p>
        </w:tc>
        <w:tc>
          <w:tcPr>
            <w:tcW w:w="5327"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8"/>
              <w:ind w:right="0"/>
              <w:jc w:val="right"/>
              <w:rPr>
                <w:rFonts w:ascii="宋体" w:hAnsi="宋体" w:cs="宋体" w:eastAsia="宋体" w:hint="default"/>
                <w:sz w:val="21"/>
                <w:szCs w:val="21"/>
              </w:rPr>
            </w:pPr>
            <w:r>
              <w:rPr>
                <w:rFonts w:ascii="Arial"/>
                <w:spacing w:val="-1"/>
                <w:sz w:val="21"/>
              </w:rPr>
              <w:t>675,518,365.42</w:t>
            </w:r>
            <w:r>
              <w:rPr>
                <w:rFonts w:ascii="宋体"/>
                <w:w w:val="100"/>
                <w:sz w:val="21"/>
              </w:rPr>
              <w:t> </w:t>
            </w:r>
          </w:p>
        </w:tc>
      </w:tr>
    </w:tbl>
    <w:p>
      <w:pPr>
        <w:spacing w:line="240" w:lineRule="auto" w:before="11"/>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718;height:2" coordorigin="10,10" coordsize="3718,2">
              <v:shape style="position:absolute;left:10;top:10;width:3718;height:2" coordorigin="10,10" coordsize="3718,0" path="m10,10l3728,10e" filled="false" stroked="true" strokeweight=".95999pt" strokecolor="#41b7ee">
                <v:path arrowok="t"/>
              </v:shape>
            </v:group>
            <v:group style="position:absolute;left:3728;top:10;width:58;height:2" coordorigin="3728,10" coordsize="58,2">
              <v:shape style="position:absolute;left:3728;top:10;width:58;height:2" coordorigin="3728,10" coordsize="58,0" path="m3728,10l3785,10e" filled="false" stroked="true" strokeweight=".95999pt" strokecolor="#41b7ee">
                <v:path arrowok="t"/>
              </v:shape>
            </v:group>
            <v:group style="position:absolute;left:3785;top:10;width:5274;height:2" coordorigin="3785,10" coordsize="5274,2">
              <v:shape style="position:absolute;left:3785;top:10;width:5274;height:2" coordorigin="3785,10" coordsize="5274,0" path="m3785,10l9059,10e" filled="false" stroked="true" strokeweight=".95999pt" strokecolor="#41b7ee">
                <v:path arrowok="t"/>
              </v:shape>
            </v:group>
          </v:group>
        </w:pict>
      </w:r>
      <w:r>
        <w:rPr>
          <w:rFonts w:ascii="宋体" w:hAnsi="宋体" w:cs="宋体" w:eastAsia="宋体" w:hint="default"/>
          <w:sz w:val="2"/>
          <w:szCs w:val="2"/>
        </w:rPr>
      </w:r>
    </w:p>
    <w:p>
      <w:pPr>
        <w:pStyle w:val="Heading2"/>
        <w:spacing w:line="240" w:lineRule="auto" w:before="25"/>
        <w:ind w:right="2410"/>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32"/>
        <w:ind w:left="218" w:right="241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right="2410"/>
        <w:jc w:val="left"/>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spacing w:line="290" w:lineRule="auto" w:before="32"/>
        <w:ind w:left="218" w:right="6934"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十六、</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b/>
          <w:bCs/>
          <w:sz w:val="21"/>
          <w:szCs w:val="21"/>
        </w:rPr>
        <w:t>其他重要事项</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前期会计差错更正</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8" w:right="650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8" w:right="719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90" w:lineRule="auto" w:before="14"/>
        <w:ind w:left="218" w:right="719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资产置换</w:t>
      </w:r>
      <w:r>
        <w:rPr>
          <w:rFonts w:ascii="宋体" w:hAnsi="宋体" w:cs="宋体" w:eastAsia="宋体" w:hint="default"/>
          <w:sz w:val="21"/>
          <w:szCs w:val="21"/>
        </w:rPr>
      </w:r>
    </w:p>
    <w:p>
      <w:pPr>
        <w:pStyle w:val="Heading2"/>
        <w:spacing w:line="240" w:lineRule="auto" w:before="14"/>
        <w:ind w:right="2410"/>
        <w:jc w:val="left"/>
        <w:rPr>
          <w:rFonts w:ascii="宋体" w:hAnsi="宋体" w:cs="宋体" w:eastAsia="宋体" w:hint="default"/>
          <w:b w:val="0"/>
          <w:bCs w:val="0"/>
        </w:rPr>
      </w:pPr>
      <w:r>
        <w:rPr>
          <w:rFonts w:ascii="宋体" w:hAnsi="宋体" w:cs="宋体" w:eastAsia="宋体" w:hint="default"/>
        </w:rPr>
        <w:t>(1).</w:t>
      </w:r>
      <w:r>
        <w:rPr/>
        <w:t>非货币性资产交换</w:t>
      </w:r>
      <w:r>
        <w:rPr>
          <w:rFonts w:ascii="宋体" w:hAnsi="宋体" w:cs="宋体" w:eastAsia="宋体" w:hint="default"/>
          <w:w w:val="99"/>
        </w:rPr>
        <w:t> </w:t>
      </w:r>
      <w:r>
        <w:rPr>
          <w:rFonts w:ascii="宋体" w:hAnsi="宋体" w:cs="宋体" w:eastAsia="宋体" w:hint="default"/>
          <w:b w:val="0"/>
          <w:bCs w:val="0"/>
        </w:rPr>
      </w:r>
    </w:p>
    <w:p>
      <w:pPr>
        <w:spacing w:line="300" w:lineRule="auto" w:before="133"/>
        <w:ind w:left="218" w:right="650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4"/>
        <w:ind w:left="218" w:right="719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90" w:lineRule="auto" w:before="12"/>
        <w:ind w:left="218" w:right="719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 终止经营</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18" w:right="241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580" w:right="1040"/>
        </w:sectPr>
      </w:pPr>
    </w:p>
    <w:p>
      <w:pPr>
        <w:pStyle w:val="Heading2"/>
        <w:spacing w:line="292" w:lineRule="auto" w:before="119"/>
        <w:ind w:left="258" w:right="5233"/>
        <w:jc w:val="left"/>
        <w:rPr>
          <w:rFonts w:ascii="宋体" w:hAnsi="宋体" w:cs="宋体" w:eastAsia="宋体" w:hint="default"/>
          <w:b w:val="0"/>
          <w:bCs w:val="0"/>
        </w:rPr>
      </w:pPr>
      <w:r>
        <w:rPr>
          <w:rFonts w:ascii="宋体" w:hAnsi="宋体" w:cs="宋体" w:eastAsia="宋体" w:hint="default"/>
        </w:rPr>
        <w:t>6</w:t>
      </w:r>
      <w:r>
        <w:rPr/>
        <w:t>、</w:t>
      </w:r>
      <w:r>
        <w:rPr>
          <w:spacing w:val="1"/>
        </w:rPr>
        <w:t> </w:t>
      </w:r>
      <w:r>
        <w:rPr/>
        <w:t>分部信息</w:t>
      </w:r>
      <w:r>
        <w:rPr>
          <w:rFonts w:ascii="宋体" w:hAnsi="宋体" w:cs="宋体" w:eastAsia="宋体" w:hint="default"/>
          <w:w w:val="99"/>
        </w:rPr>
        <w:t> </w:t>
      </w:r>
      <w:r>
        <w:rPr>
          <w:rFonts w:ascii="宋体" w:hAnsi="宋体" w:cs="宋体" w:eastAsia="宋体" w:hint="default"/>
        </w:rPr>
        <w:t>(1).</w:t>
      </w:r>
      <w:r>
        <w:rPr/>
        <w:t>报告分部的确定依据与会计政策</w:t>
      </w:r>
      <w:r>
        <w:rPr>
          <w:rFonts w:ascii="宋体" w:hAnsi="宋体" w:cs="宋体" w:eastAsia="宋体" w:hint="default"/>
          <w:w w:val="99"/>
        </w:rPr>
        <w:t> </w:t>
      </w:r>
      <w:r>
        <w:rPr>
          <w:rFonts w:ascii="宋体" w:hAnsi="宋体" w:cs="宋体" w:eastAsia="宋体" w:hint="default"/>
          <w:b w:val="0"/>
          <w:bCs w:val="0"/>
        </w:rPr>
      </w:r>
    </w:p>
    <w:p>
      <w:pPr>
        <w:pStyle w:val="BodyText"/>
        <w:spacing w:line="278" w:lineRule="auto" w:before="10"/>
        <w:ind w:left="678" w:right="262"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根据本公司的内部组织结构、管理要求及内部报告制度，本公司的经营业务划分为</w:t>
      </w:r>
      <w:r>
        <w:rPr>
          <w:spacing w:val="-54"/>
        </w:rPr>
        <w:t> </w:t>
      </w:r>
      <w:r>
        <w:rPr>
          <w:rFonts w:ascii="Arial" w:hAnsi="Arial" w:cs="Arial" w:eastAsia="Arial" w:hint="default"/>
        </w:rPr>
        <w:t>7</w:t>
      </w:r>
      <w:r>
        <w:rPr>
          <w:rFonts w:ascii="Arial" w:hAnsi="Arial" w:cs="Arial" w:eastAsia="Arial" w:hint="default"/>
          <w:spacing w:val="-10"/>
        </w:rPr>
        <w:t> </w:t>
      </w:r>
      <w:r>
        <w:rPr/>
        <w:t>个经营</w:t>
      </w:r>
    </w:p>
    <w:p>
      <w:pPr>
        <w:pStyle w:val="BodyText"/>
        <w:spacing w:line="273" w:lineRule="auto"/>
        <w:ind w:left="258" w:right="268"/>
        <w:jc w:val="both"/>
      </w:pPr>
      <w:r>
        <w:rPr>
          <w:spacing w:val="-2"/>
        </w:rPr>
        <w:t>分部，本公司的管理层定期评价这些分部的经营成果，以决定向其分配资源及评价其业绩。在经</w:t>
      </w:r>
      <w:r>
        <w:rPr>
          <w:spacing w:val="-25"/>
        </w:rPr>
        <w:t> </w:t>
      </w:r>
      <w:r>
        <w:rPr>
          <w:spacing w:val="-25"/>
        </w:rPr>
      </w:r>
      <w:r>
        <w:rPr/>
        <w:t>营分部的基础上本公司确定了</w:t>
      </w:r>
      <w:r>
        <w:rPr>
          <w:spacing w:val="-37"/>
        </w:rPr>
        <w:t> </w:t>
      </w:r>
      <w:r>
        <w:rPr>
          <w:rFonts w:ascii="Arial" w:hAnsi="Arial" w:cs="Arial" w:eastAsia="Arial" w:hint="default"/>
        </w:rPr>
        <w:t>7</w:t>
      </w:r>
      <w:r>
        <w:rPr>
          <w:rFonts w:ascii="Arial" w:hAnsi="Arial" w:cs="Arial" w:eastAsia="Arial" w:hint="default"/>
          <w:spacing w:val="13"/>
        </w:rPr>
        <w:t> </w:t>
      </w:r>
      <w:r>
        <w:rPr>
          <w:spacing w:val="-9"/>
        </w:rPr>
        <w:t>个报告分部，分别为农业分部、尿素分部、纸张分部、麦芽分部、</w:t>
      </w:r>
      <w:r>
        <w:rPr>
          <w:spacing w:val="-98"/>
        </w:rPr>
        <w:t> </w:t>
      </w:r>
      <w:r>
        <w:rPr>
          <w:spacing w:val="-98"/>
        </w:rPr>
      </w:r>
      <w:r>
        <w:rPr>
          <w:spacing w:val="-2"/>
        </w:rPr>
        <w:t>经贸分部、房地产分部、投资管理分部，这些报告分部是以公司主要产品为基础确定的。本公司</w:t>
      </w:r>
      <w:r>
        <w:rPr>
          <w:spacing w:val="-25"/>
        </w:rPr>
        <w:t> </w:t>
      </w:r>
      <w:r>
        <w:rPr>
          <w:spacing w:val="-25"/>
        </w:rPr>
      </w:r>
      <w:r>
        <w:rPr/>
        <w:t>各个报告分部提供的主要产品及劳务分别为公司的主营业务。</w:t>
      </w:r>
    </w:p>
    <w:p>
      <w:pPr>
        <w:pStyle w:val="Heading2"/>
        <w:spacing w:line="240" w:lineRule="auto" w:before="31"/>
        <w:ind w:left="258" w:right="0"/>
        <w:jc w:val="both"/>
        <w:rPr>
          <w:rFonts w:ascii="宋体" w:hAnsi="宋体" w:cs="宋体" w:eastAsia="宋体" w:hint="default"/>
          <w:b w:val="0"/>
          <w:bCs w:val="0"/>
        </w:rPr>
      </w:pPr>
      <w:r>
        <w:rPr>
          <w:rFonts w:ascii="宋体" w:hAnsi="宋体" w:cs="宋体" w:eastAsia="宋体" w:hint="default"/>
        </w:rPr>
        <w:t>(2).</w:t>
      </w:r>
      <w:r>
        <w:rPr/>
        <w:t>报告分部的财务信息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5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67"/>
        <w:jc w:val="righ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219" w:right="0" w:firstLine="0"/>
        <w:rPr>
          <w:rFonts w:ascii="宋体" w:hAnsi="宋体" w:cs="宋体" w:eastAsia="宋体" w:hint="default"/>
          <w:sz w:val="2"/>
          <w:szCs w:val="2"/>
        </w:rPr>
      </w:pPr>
      <w:r>
        <w:rPr>
          <w:rFonts w:ascii="宋体" w:hAnsi="宋体" w:cs="宋体" w:eastAsia="宋体" w:hint="default"/>
          <w:sz w:val="2"/>
          <w:szCs w:val="2"/>
        </w:rPr>
        <w:pict>
          <v:group style="width:443.4pt;height:1pt;mso-position-horizontal-relative:char;mso-position-vertical-relative:line" coordorigin="0,0" coordsize="8868,20">
            <v:group style="position:absolute;left:10;top:10;width:1109;height:2" coordorigin="10,10" coordsize="1109,2">
              <v:shape style="position:absolute;left:10;top:10;width:1109;height:2" coordorigin="10,10" coordsize="1109,0" path="m10,10l1118,10e" filled="false" stroked="true" strokeweight=".95999pt" strokecolor="#41b7ee">
                <v:path arrowok="t"/>
              </v:shape>
            </v:group>
            <v:group style="position:absolute;left:1118;top:10;width:58;height:2" coordorigin="1118,10" coordsize="58,2">
              <v:shape style="position:absolute;left:1118;top:10;width:58;height:2" coordorigin="1118,10" coordsize="58,0" path="m1118,10l1176,10e" filled="false" stroked="true" strokeweight=".95999pt" strokecolor="#41b7ee">
                <v:path arrowok="t"/>
              </v:shape>
            </v:group>
            <v:group style="position:absolute;left:1176;top:10;width:898;height:2" coordorigin="1176,10" coordsize="898,2">
              <v:shape style="position:absolute;left:1176;top:10;width:898;height:2" coordorigin="1176,10" coordsize="898,0" path="m1176,10l2074,10e" filled="false" stroked="true" strokeweight=".95999pt" strokecolor="#41b7ee">
                <v:path arrowok="t"/>
              </v:shape>
            </v:group>
            <v:group style="position:absolute;left:2074;top:10;width:59;height:2" coordorigin="2074,10" coordsize="59,2">
              <v:shape style="position:absolute;left:2074;top:10;width:59;height:2" coordorigin="2074,10" coordsize="59,0" path="m2074,10l2132,10e" filled="false" stroked="true" strokeweight=".95999pt" strokecolor="#41b7ee">
                <v:path arrowok="t"/>
              </v:shape>
            </v:group>
            <v:group style="position:absolute;left:2132;top:10;width:792;height:2" coordorigin="2132,10" coordsize="792,2">
              <v:shape style="position:absolute;left:2132;top:10;width:792;height:2" coordorigin="2132,10" coordsize="792,0" path="m2132,10l2924,10e" filled="false" stroked="true" strokeweight=".95999pt" strokecolor="#41b7ee">
                <v:path arrowok="t"/>
              </v:shape>
            </v:group>
            <v:group style="position:absolute;left:2924;top:10;width:58;height:2" coordorigin="2924,10" coordsize="58,2">
              <v:shape style="position:absolute;left:2924;top:10;width:58;height:2" coordorigin="2924,10" coordsize="58,0" path="m2924,10l2981,10e" filled="false" stroked="true" strokeweight=".95999pt" strokecolor="#41b7ee">
                <v:path arrowok="t"/>
              </v:shape>
            </v:group>
            <v:group style="position:absolute;left:2981;top:10;width:800;height:2" coordorigin="2981,10" coordsize="800,2">
              <v:shape style="position:absolute;left:2981;top:10;width:800;height:2" coordorigin="2981,10" coordsize="800,0" path="m2981,10l3781,10e" filled="false" stroked="true" strokeweight=".95999pt" strokecolor="#41b7ee">
                <v:path arrowok="t"/>
              </v:shape>
            </v:group>
            <v:group style="position:absolute;left:3781;top:10;width:58;height:2" coordorigin="3781,10" coordsize="58,2">
              <v:shape style="position:absolute;left:3781;top:10;width:58;height:2" coordorigin="3781,10" coordsize="58,0" path="m3781,10l3838,10e" filled="false" stroked="true" strokeweight=".95999pt" strokecolor="#41b7ee">
                <v:path arrowok="t"/>
              </v:shape>
            </v:group>
            <v:group style="position:absolute;left:3838;top:10;width:800;height:2" coordorigin="3838,10" coordsize="800,2">
              <v:shape style="position:absolute;left:3838;top:10;width:800;height:2" coordorigin="3838,10" coordsize="800,0" path="m3838,10l4637,10e" filled="false" stroked="true" strokeweight=".95999pt" strokecolor="#41b7ee">
                <v:path arrowok="t"/>
              </v:shape>
            </v:group>
            <v:group style="position:absolute;left:4637;top:10;width:58;height:2" coordorigin="4637,10" coordsize="58,2">
              <v:shape style="position:absolute;left:4637;top:10;width:58;height:2" coordorigin="4637,10" coordsize="58,0" path="m4637,10l4695,10e" filled="false" stroked="true" strokeweight=".95999pt" strokecolor="#41b7ee">
                <v:path arrowok="t"/>
              </v:shape>
            </v:group>
            <v:group style="position:absolute;left:4695;top:10;width:903;height:2" coordorigin="4695,10" coordsize="903,2">
              <v:shape style="position:absolute;left:4695;top:10;width:903;height:2" coordorigin="4695,10" coordsize="903,0" path="m4695,10l5598,10e" filled="false" stroked="true" strokeweight=".95999pt" strokecolor="#41b7ee">
                <v:path arrowok="t"/>
              </v:shape>
            </v:group>
            <v:group style="position:absolute;left:5598;top:10;width:58;height:2" coordorigin="5598,10" coordsize="58,2">
              <v:shape style="position:absolute;left:5598;top:10;width:58;height:2" coordorigin="5598,10" coordsize="58,0" path="m5598,10l5655,10e" filled="false" stroked="true" strokeweight=".95999pt" strokecolor="#41b7ee">
                <v:path arrowok="t"/>
              </v:shape>
            </v:group>
            <v:group style="position:absolute;left:5655;top:10;width:800;height:2" coordorigin="5655,10" coordsize="800,2">
              <v:shape style="position:absolute;left:5655;top:10;width:800;height:2" coordorigin="5655,10" coordsize="800,0" path="m5655,10l6455,10e" filled="false" stroked="true" strokeweight=".95999pt" strokecolor="#41b7ee">
                <v:path arrowok="t"/>
              </v:shape>
            </v:group>
            <v:group style="position:absolute;left:6455;top:10;width:58;height:2" coordorigin="6455,10" coordsize="58,2">
              <v:shape style="position:absolute;left:6455;top:10;width:58;height:2" coordorigin="6455,10" coordsize="58,0" path="m6455,10l6512,10e" filled="false" stroked="true" strokeweight=".95999pt" strokecolor="#41b7ee">
                <v:path arrowok="t"/>
              </v:shape>
            </v:group>
            <v:group style="position:absolute;left:6512;top:10;width:699;height:2" coordorigin="6512,10" coordsize="699,2">
              <v:shape style="position:absolute;left:6512;top:10;width:699;height:2" coordorigin="6512,10" coordsize="699,0" path="m6512,10l7211,10e" filled="false" stroked="true" strokeweight=".95999pt" strokecolor="#41b7ee">
                <v:path arrowok="t"/>
              </v:shape>
            </v:group>
            <v:group style="position:absolute;left:7211;top:10;width:58;height:2" coordorigin="7211,10" coordsize="58,2">
              <v:shape style="position:absolute;left:7211;top:10;width:58;height:2" coordorigin="7211,10" coordsize="58,0" path="m7211,10l7268,10e" filled="false" stroked="true" strokeweight=".95999pt" strokecolor="#41b7ee">
                <v:path arrowok="t"/>
              </v:shape>
            </v:group>
            <v:group style="position:absolute;left:7268;top:10;width:627;height:2" coordorigin="7268,10" coordsize="627,2">
              <v:shape style="position:absolute;left:7268;top:10;width:627;height:2" coordorigin="7268,10" coordsize="627,0" path="m7268,10l7895,10e" filled="false" stroked="true" strokeweight=".95999pt" strokecolor="#41b7ee">
                <v:path arrowok="t"/>
              </v:shape>
            </v:group>
            <v:group style="position:absolute;left:7895;top:10;width:58;height:2" coordorigin="7895,10" coordsize="58,2">
              <v:shape style="position:absolute;left:7895;top:10;width:58;height:2" coordorigin="7895,10" coordsize="58,0" path="m7895,10l7953,10e" filled="false" stroked="true" strokeweight=".95999pt" strokecolor="#41b7ee">
                <v:path arrowok="t"/>
              </v:shape>
            </v:group>
            <v:group style="position:absolute;left:7953;top:10;width:905;height:2" coordorigin="7953,10" coordsize="905,2">
              <v:shape style="position:absolute;left:7953;top:10;width:905;height:2" coordorigin="7953,10" coordsize="905,0" path="m7953,10l8858,10e" filled="false" stroked="true" strokeweight=".95999pt" strokecolor="#41b7ee">
                <v:path arrowok="t"/>
              </v:shape>
            </v:group>
          </v:group>
        </w:pict>
      </w:r>
      <w:r>
        <w:rPr>
          <w:rFonts w:ascii="宋体" w:hAnsi="宋体" w:cs="宋体" w:eastAsia="宋体" w:hint="default"/>
          <w:sz w:val="2"/>
          <w:szCs w:val="2"/>
        </w:rPr>
      </w:r>
    </w:p>
    <w:tbl>
      <w:tblPr>
        <w:tblW w:w="0" w:type="auto"/>
        <w:jc w:val="left"/>
        <w:tblInd w:w="200" w:type="dxa"/>
        <w:tblLayout w:type="fixed"/>
        <w:tblCellMar>
          <w:top w:w="0" w:type="dxa"/>
          <w:left w:w="0" w:type="dxa"/>
          <w:bottom w:w="0" w:type="dxa"/>
          <w:right w:w="0" w:type="dxa"/>
        </w:tblCellMar>
        <w:tblLook w:val="01E0"/>
      </w:tblPr>
      <w:tblGrid>
        <w:gridCol w:w="1114"/>
        <w:gridCol w:w="955"/>
        <w:gridCol w:w="850"/>
        <w:gridCol w:w="857"/>
        <w:gridCol w:w="857"/>
        <w:gridCol w:w="960"/>
        <w:gridCol w:w="857"/>
        <w:gridCol w:w="756"/>
        <w:gridCol w:w="685"/>
        <w:gridCol w:w="958"/>
      </w:tblGrid>
      <w:tr>
        <w:trPr>
          <w:trHeight w:val="536" w:hRule="exact"/>
        </w:trPr>
        <w:tc>
          <w:tcPr>
            <w:tcW w:w="1114"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100"/>
              <w:ind w:left="355"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955"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100"/>
              <w:ind w:left="271" w:right="0"/>
              <w:jc w:val="left"/>
              <w:rPr>
                <w:rFonts w:ascii="宋体" w:hAnsi="宋体" w:cs="宋体" w:eastAsia="宋体" w:hint="default"/>
                <w:sz w:val="20"/>
                <w:szCs w:val="20"/>
              </w:rPr>
            </w:pPr>
            <w:r>
              <w:rPr>
                <w:rFonts w:ascii="宋体" w:hAnsi="宋体" w:cs="宋体" w:eastAsia="宋体" w:hint="default"/>
                <w:sz w:val="20"/>
                <w:szCs w:val="20"/>
              </w:rPr>
              <w:t>农业</w:t>
            </w:r>
          </w:p>
        </w:tc>
        <w:tc>
          <w:tcPr>
            <w:tcW w:w="850"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100"/>
              <w:ind w:left="219" w:right="0"/>
              <w:jc w:val="left"/>
              <w:rPr>
                <w:rFonts w:ascii="宋体" w:hAnsi="宋体" w:cs="宋体" w:eastAsia="宋体" w:hint="default"/>
                <w:sz w:val="20"/>
                <w:szCs w:val="20"/>
              </w:rPr>
            </w:pPr>
            <w:r>
              <w:rPr>
                <w:rFonts w:ascii="宋体" w:hAnsi="宋体" w:cs="宋体" w:eastAsia="宋体" w:hint="default"/>
                <w:sz w:val="20"/>
                <w:szCs w:val="20"/>
              </w:rPr>
              <w:t>尿素</w:t>
            </w:r>
          </w:p>
        </w:tc>
        <w:tc>
          <w:tcPr>
            <w:tcW w:w="857"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100"/>
              <w:ind w:left="220" w:right="0"/>
              <w:jc w:val="left"/>
              <w:rPr>
                <w:rFonts w:ascii="宋体" w:hAnsi="宋体" w:cs="宋体" w:eastAsia="宋体" w:hint="default"/>
                <w:sz w:val="20"/>
                <w:szCs w:val="20"/>
              </w:rPr>
            </w:pPr>
            <w:r>
              <w:rPr>
                <w:rFonts w:ascii="宋体" w:hAnsi="宋体" w:cs="宋体" w:eastAsia="宋体" w:hint="default"/>
                <w:sz w:val="20"/>
                <w:szCs w:val="20"/>
              </w:rPr>
              <w:t>纸张</w:t>
            </w:r>
          </w:p>
        </w:tc>
        <w:tc>
          <w:tcPr>
            <w:tcW w:w="857"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100"/>
              <w:ind w:left="220" w:right="0"/>
              <w:jc w:val="left"/>
              <w:rPr>
                <w:rFonts w:ascii="宋体" w:hAnsi="宋体" w:cs="宋体" w:eastAsia="宋体" w:hint="default"/>
                <w:sz w:val="20"/>
                <w:szCs w:val="20"/>
              </w:rPr>
            </w:pPr>
            <w:r>
              <w:rPr>
                <w:rFonts w:ascii="宋体" w:hAnsi="宋体" w:cs="宋体" w:eastAsia="宋体" w:hint="default"/>
                <w:sz w:val="20"/>
                <w:szCs w:val="20"/>
              </w:rPr>
              <w:t>麦芽</w:t>
            </w:r>
          </w:p>
        </w:tc>
        <w:tc>
          <w:tcPr>
            <w:tcW w:w="960"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100"/>
              <w:ind w:left="273" w:right="0"/>
              <w:jc w:val="left"/>
              <w:rPr>
                <w:rFonts w:ascii="宋体" w:hAnsi="宋体" w:cs="宋体" w:eastAsia="宋体" w:hint="default"/>
                <w:sz w:val="20"/>
                <w:szCs w:val="20"/>
              </w:rPr>
            </w:pPr>
            <w:r>
              <w:rPr>
                <w:rFonts w:ascii="宋体" w:hAnsi="宋体" w:cs="宋体" w:eastAsia="宋体" w:hint="default"/>
                <w:sz w:val="20"/>
                <w:szCs w:val="20"/>
              </w:rPr>
              <w:t>经贸</w:t>
            </w:r>
          </w:p>
        </w:tc>
        <w:tc>
          <w:tcPr>
            <w:tcW w:w="857"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100"/>
              <w:ind w:left="122" w:right="0"/>
              <w:jc w:val="left"/>
              <w:rPr>
                <w:rFonts w:ascii="宋体" w:hAnsi="宋体" w:cs="宋体" w:eastAsia="宋体" w:hint="default"/>
                <w:sz w:val="20"/>
                <w:szCs w:val="20"/>
              </w:rPr>
            </w:pPr>
            <w:r>
              <w:rPr>
                <w:rFonts w:ascii="宋体" w:hAnsi="宋体" w:cs="宋体" w:eastAsia="宋体" w:hint="default"/>
                <w:sz w:val="20"/>
                <w:szCs w:val="20"/>
              </w:rPr>
              <w:t>房地产</w:t>
            </w:r>
          </w:p>
        </w:tc>
        <w:tc>
          <w:tcPr>
            <w:tcW w:w="756" w:type="dxa"/>
            <w:tcBorders>
              <w:top w:val="single" w:sz="8" w:space="0" w:color="41B7EE"/>
              <w:left w:val="single" w:sz="4" w:space="0" w:color="41B7EE"/>
              <w:bottom w:val="single" w:sz="4" w:space="0" w:color="41B7EE"/>
              <w:right w:val="single" w:sz="4" w:space="0" w:color="41B7EE"/>
            </w:tcBorders>
          </w:tcPr>
          <w:p>
            <w:pPr>
              <w:pStyle w:val="TableParagraph"/>
              <w:spacing w:line="231" w:lineRule="exact"/>
              <w:ind w:left="170" w:right="0"/>
              <w:jc w:val="left"/>
              <w:rPr>
                <w:rFonts w:ascii="宋体" w:hAnsi="宋体" w:cs="宋体" w:eastAsia="宋体" w:hint="default"/>
                <w:sz w:val="20"/>
                <w:szCs w:val="20"/>
              </w:rPr>
            </w:pPr>
            <w:r>
              <w:rPr>
                <w:rFonts w:ascii="宋体" w:hAnsi="宋体" w:cs="宋体" w:eastAsia="宋体" w:hint="default"/>
                <w:sz w:val="20"/>
                <w:szCs w:val="20"/>
              </w:rPr>
              <w:t>投资</w:t>
            </w:r>
          </w:p>
          <w:p>
            <w:pPr>
              <w:pStyle w:val="TableParagraph"/>
              <w:spacing w:line="260" w:lineRule="exact"/>
              <w:ind w:left="170" w:right="0"/>
              <w:jc w:val="left"/>
              <w:rPr>
                <w:rFonts w:ascii="宋体" w:hAnsi="宋体" w:cs="宋体" w:eastAsia="宋体" w:hint="default"/>
                <w:sz w:val="20"/>
                <w:szCs w:val="20"/>
              </w:rPr>
            </w:pPr>
            <w:r>
              <w:rPr>
                <w:rFonts w:ascii="宋体" w:hAnsi="宋体" w:cs="宋体" w:eastAsia="宋体" w:hint="default"/>
                <w:sz w:val="20"/>
                <w:szCs w:val="20"/>
              </w:rPr>
              <w:t>管理</w:t>
            </w:r>
          </w:p>
        </w:tc>
        <w:tc>
          <w:tcPr>
            <w:tcW w:w="685" w:type="dxa"/>
            <w:tcBorders>
              <w:top w:val="single" w:sz="8" w:space="0" w:color="41B7EE"/>
              <w:left w:val="single" w:sz="4" w:space="0" w:color="41B7EE"/>
              <w:bottom w:val="single" w:sz="4" w:space="0" w:color="41B7EE"/>
              <w:right w:val="single" w:sz="4" w:space="0" w:color="41B7EE"/>
            </w:tcBorders>
          </w:tcPr>
          <w:p>
            <w:pPr>
              <w:pStyle w:val="TableParagraph"/>
              <w:spacing w:line="231" w:lineRule="exact"/>
              <w:ind w:left="154" w:right="0" w:hanging="95"/>
              <w:jc w:val="left"/>
              <w:rPr>
                <w:rFonts w:ascii="宋体" w:hAnsi="宋体" w:cs="宋体" w:eastAsia="宋体" w:hint="default"/>
                <w:sz w:val="20"/>
                <w:szCs w:val="20"/>
              </w:rPr>
            </w:pPr>
            <w:r>
              <w:rPr>
                <w:rFonts w:ascii="宋体" w:hAnsi="宋体" w:cs="宋体" w:eastAsia="宋体" w:hint="default"/>
                <w:spacing w:val="-16"/>
                <w:sz w:val="20"/>
                <w:szCs w:val="20"/>
              </w:rPr>
              <w:t>分部间</w:t>
            </w:r>
            <w:r>
              <w:rPr>
                <w:rFonts w:ascii="宋体" w:hAnsi="宋体" w:cs="宋体" w:eastAsia="宋体" w:hint="default"/>
                <w:sz w:val="20"/>
                <w:szCs w:val="20"/>
              </w:rPr>
            </w:r>
          </w:p>
          <w:p>
            <w:pPr>
              <w:pStyle w:val="TableParagraph"/>
              <w:spacing w:line="260" w:lineRule="exact"/>
              <w:ind w:left="154" w:right="0"/>
              <w:jc w:val="left"/>
              <w:rPr>
                <w:rFonts w:ascii="宋体" w:hAnsi="宋体" w:cs="宋体" w:eastAsia="宋体" w:hint="default"/>
                <w:sz w:val="20"/>
                <w:szCs w:val="20"/>
              </w:rPr>
            </w:pPr>
            <w:r>
              <w:rPr>
                <w:rFonts w:ascii="宋体" w:hAnsi="宋体" w:cs="宋体" w:eastAsia="宋体" w:hint="default"/>
                <w:spacing w:val="-16"/>
                <w:sz w:val="20"/>
                <w:szCs w:val="20"/>
              </w:rPr>
              <w:t>抵销</w:t>
            </w:r>
            <w:r>
              <w:rPr>
                <w:rFonts w:ascii="宋体" w:hAnsi="宋体" w:cs="宋体" w:eastAsia="宋体" w:hint="default"/>
                <w:sz w:val="20"/>
                <w:szCs w:val="20"/>
              </w:rPr>
            </w:r>
          </w:p>
        </w:tc>
        <w:tc>
          <w:tcPr>
            <w:tcW w:w="958"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100"/>
              <w:ind w:left="271" w:right="0"/>
              <w:jc w:val="left"/>
              <w:rPr>
                <w:rFonts w:ascii="宋体" w:hAnsi="宋体" w:cs="宋体" w:eastAsia="宋体" w:hint="default"/>
                <w:sz w:val="20"/>
                <w:szCs w:val="20"/>
              </w:rPr>
            </w:pPr>
            <w:r>
              <w:rPr>
                <w:rFonts w:ascii="宋体" w:hAnsi="宋体" w:cs="宋体" w:eastAsia="宋体" w:hint="default"/>
                <w:sz w:val="20"/>
                <w:szCs w:val="20"/>
              </w:rPr>
              <w:t>合计</w:t>
            </w:r>
          </w:p>
        </w:tc>
      </w:tr>
      <w:tr>
        <w:trPr>
          <w:trHeight w:val="358" w:hRule="exact"/>
        </w:trPr>
        <w:tc>
          <w:tcPr>
            <w:tcW w:w="111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9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308,826.67</w:t>
            </w:r>
          </w:p>
        </w:tc>
        <w:tc>
          <w:tcPr>
            <w:tcW w:w="85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0"/>
              <w:jc w:val="right"/>
              <w:rPr>
                <w:rFonts w:ascii="Arial" w:hAnsi="Arial" w:cs="Arial" w:eastAsia="Arial" w:hint="default"/>
                <w:sz w:val="18"/>
                <w:szCs w:val="18"/>
              </w:rPr>
            </w:pPr>
            <w:r>
              <w:rPr>
                <w:rFonts w:ascii="Arial"/>
                <w:spacing w:val="-1"/>
                <w:sz w:val="18"/>
              </w:rPr>
              <w:t>178.04</w:t>
            </w:r>
          </w:p>
        </w:tc>
        <w:tc>
          <w:tcPr>
            <w:tcW w:w="85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0"/>
              <w:jc w:val="right"/>
              <w:rPr>
                <w:rFonts w:ascii="Arial" w:hAnsi="Arial" w:cs="Arial" w:eastAsia="Arial" w:hint="default"/>
                <w:sz w:val="18"/>
                <w:szCs w:val="18"/>
              </w:rPr>
            </w:pPr>
            <w:r>
              <w:rPr>
                <w:rFonts w:ascii="Arial"/>
                <w:w w:val="95"/>
                <w:sz w:val="18"/>
              </w:rPr>
              <w:t>5.71</w:t>
            </w:r>
            <w:r>
              <w:rPr>
                <w:rFonts w:ascii="Arial"/>
                <w:sz w:val="18"/>
              </w:rPr>
            </w:r>
          </w:p>
        </w:tc>
        <w:tc>
          <w:tcPr>
            <w:tcW w:w="85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0"/>
              <w:jc w:val="right"/>
              <w:rPr>
                <w:rFonts w:ascii="Arial" w:hAnsi="Arial" w:cs="Arial" w:eastAsia="Arial" w:hint="default"/>
                <w:sz w:val="18"/>
                <w:szCs w:val="18"/>
              </w:rPr>
            </w:pPr>
            <w:r>
              <w:rPr>
                <w:rFonts w:ascii="Arial"/>
                <w:spacing w:val="-1"/>
                <w:sz w:val="18"/>
              </w:rPr>
              <w:t>943.94</w:t>
            </w:r>
          </w:p>
        </w:tc>
        <w:tc>
          <w:tcPr>
            <w:tcW w:w="96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0"/>
              <w:jc w:val="right"/>
              <w:rPr>
                <w:rFonts w:ascii="Arial" w:hAnsi="Arial" w:cs="Arial" w:eastAsia="Arial" w:hint="default"/>
                <w:sz w:val="18"/>
                <w:szCs w:val="18"/>
              </w:rPr>
            </w:pPr>
            <w:r>
              <w:rPr>
                <w:rFonts w:ascii="Arial"/>
                <w:w w:val="95"/>
                <w:sz w:val="18"/>
              </w:rPr>
              <w:t>53.64</w:t>
            </w:r>
            <w:r>
              <w:rPr>
                <w:rFonts w:ascii="Arial"/>
                <w:sz w:val="18"/>
              </w:rPr>
            </w:r>
          </w:p>
        </w:tc>
        <w:tc>
          <w:tcPr>
            <w:tcW w:w="85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1,094.28</w:t>
            </w:r>
          </w:p>
        </w:tc>
        <w:tc>
          <w:tcPr>
            <w:tcW w:w="756" w:type="dxa"/>
            <w:tcBorders>
              <w:top w:val="single" w:sz="4" w:space="0" w:color="41B7EE"/>
              <w:left w:val="single" w:sz="4" w:space="0" w:color="41B7EE"/>
              <w:bottom w:val="single" w:sz="4" w:space="0" w:color="41B7EE"/>
              <w:right w:val="single" w:sz="4" w:space="0" w:color="41B7EE"/>
            </w:tcBorders>
          </w:tcPr>
          <w:p>
            <w:pPr/>
          </w:p>
        </w:tc>
        <w:tc>
          <w:tcPr>
            <w:tcW w:w="685" w:type="dxa"/>
            <w:tcBorders>
              <w:top w:val="single" w:sz="4" w:space="0" w:color="41B7EE"/>
              <w:left w:val="single" w:sz="4" w:space="0" w:color="41B7EE"/>
              <w:bottom w:val="single" w:sz="4" w:space="0" w:color="41B7EE"/>
              <w:right w:val="single" w:sz="4" w:space="0" w:color="41B7EE"/>
            </w:tcBorders>
          </w:tcPr>
          <w:p>
            <w:pPr/>
          </w:p>
        </w:tc>
        <w:tc>
          <w:tcPr>
            <w:tcW w:w="95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68"/>
              <w:ind w:right="28"/>
              <w:jc w:val="right"/>
              <w:rPr>
                <w:rFonts w:ascii="Arial" w:hAnsi="Arial" w:cs="Arial" w:eastAsia="Arial" w:hint="default"/>
                <w:sz w:val="18"/>
                <w:szCs w:val="18"/>
              </w:rPr>
            </w:pPr>
            <w:r>
              <w:rPr>
                <w:rFonts w:ascii="Arial"/>
                <w:spacing w:val="-1"/>
                <w:sz w:val="18"/>
              </w:rPr>
              <w:t>311,102.28</w:t>
            </w:r>
          </w:p>
        </w:tc>
      </w:tr>
      <w:tr>
        <w:trPr>
          <w:trHeight w:val="358" w:hRule="exact"/>
        </w:trPr>
        <w:tc>
          <w:tcPr>
            <w:tcW w:w="111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9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41,300.38</w:t>
            </w:r>
          </w:p>
        </w:tc>
        <w:tc>
          <w:tcPr>
            <w:tcW w:w="85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0"/>
              <w:jc w:val="right"/>
              <w:rPr>
                <w:rFonts w:ascii="Arial" w:hAnsi="Arial" w:cs="Arial" w:eastAsia="Arial" w:hint="default"/>
                <w:sz w:val="18"/>
                <w:szCs w:val="18"/>
              </w:rPr>
            </w:pPr>
            <w:r>
              <w:rPr>
                <w:rFonts w:ascii="Arial"/>
                <w:spacing w:val="-1"/>
                <w:sz w:val="18"/>
              </w:rPr>
              <w:t>180.40</w:t>
            </w:r>
          </w:p>
        </w:tc>
        <w:tc>
          <w:tcPr>
            <w:tcW w:w="85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0"/>
              <w:jc w:val="right"/>
              <w:rPr>
                <w:rFonts w:ascii="Arial" w:hAnsi="Arial" w:cs="Arial" w:eastAsia="Arial" w:hint="default"/>
                <w:sz w:val="18"/>
                <w:szCs w:val="18"/>
              </w:rPr>
            </w:pPr>
            <w:r>
              <w:rPr>
                <w:rFonts w:ascii="Arial"/>
                <w:w w:val="95"/>
                <w:sz w:val="18"/>
              </w:rPr>
              <w:t>0.06</w:t>
            </w:r>
            <w:r>
              <w:rPr>
                <w:rFonts w:ascii="Arial"/>
                <w:sz w:val="18"/>
              </w:rPr>
            </w:r>
          </w:p>
        </w:tc>
        <w:tc>
          <w:tcPr>
            <w:tcW w:w="85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1,823.38</w:t>
            </w:r>
          </w:p>
        </w:tc>
        <w:tc>
          <w:tcPr>
            <w:tcW w:w="96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0"/>
              <w:jc w:val="right"/>
              <w:rPr>
                <w:rFonts w:ascii="Arial" w:hAnsi="Arial" w:cs="Arial" w:eastAsia="Arial" w:hint="default"/>
                <w:sz w:val="18"/>
                <w:szCs w:val="18"/>
              </w:rPr>
            </w:pPr>
            <w:r>
              <w:rPr>
                <w:rFonts w:ascii="Arial"/>
                <w:w w:val="95"/>
                <w:sz w:val="18"/>
              </w:rPr>
              <w:t>46.91</w:t>
            </w:r>
            <w:r>
              <w:rPr>
                <w:rFonts w:ascii="Arial"/>
                <w:sz w:val="18"/>
              </w:rPr>
            </w:r>
          </w:p>
        </w:tc>
        <w:tc>
          <w:tcPr>
            <w:tcW w:w="85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0"/>
              <w:jc w:val="right"/>
              <w:rPr>
                <w:rFonts w:ascii="Arial" w:hAnsi="Arial" w:cs="Arial" w:eastAsia="Arial" w:hint="default"/>
                <w:sz w:val="18"/>
                <w:szCs w:val="18"/>
              </w:rPr>
            </w:pPr>
            <w:r>
              <w:rPr>
                <w:rFonts w:ascii="Arial"/>
                <w:spacing w:val="-1"/>
                <w:sz w:val="18"/>
              </w:rPr>
              <w:t>757.70</w:t>
            </w:r>
          </w:p>
        </w:tc>
        <w:tc>
          <w:tcPr>
            <w:tcW w:w="756" w:type="dxa"/>
            <w:tcBorders>
              <w:top w:val="single" w:sz="4" w:space="0" w:color="41B7EE"/>
              <w:left w:val="single" w:sz="4" w:space="0" w:color="41B7EE"/>
              <w:bottom w:val="single" w:sz="4" w:space="0" w:color="41B7EE"/>
              <w:right w:val="single" w:sz="4" w:space="0" w:color="41B7EE"/>
            </w:tcBorders>
          </w:tcPr>
          <w:p>
            <w:pPr/>
          </w:p>
        </w:tc>
        <w:tc>
          <w:tcPr>
            <w:tcW w:w="685" w:type="dxa"/>
            <w:tcBorders>
              <w:top w:val="single" w:sz="4" w:space="0" w:color="41B7EE"/>
              <w:left w:val="single" w:sz="4" w:space="0" w:color="41B7EE"/>
              <w:bottom w:val="single" w:sz="4" w:space="0" w:color="41B7EE"/>
              <w:right w:val="single" w:sz="4" w:space="0" w:color="41B7EE"/>
            </w:tcBorders>
          </w:tcPr>
          <w:p>
            <w:pPr/>
          </w:p>
        </w:tc>
        <w:tc>
          <w:tcPr>
            <w:tcW w:w="95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68"/>
              <w:ind w:right="28"/>
              <w:jc w:val="right"/>
              <w:rPr>
                <w:rFonts w:ascii="Arial" w:hAnsi="Arial" w:cs="Arial" w:eastAsia="Arial" w:hint="default"/>
                <w:sz w:val="18"/>
                <w:szCs w:val="18"/>
              </w:rPr>
            </w:pPr>
            <w:r>
              <w:rPr>
                <w:rFonts w:ascii="Arial"/>
                <w:spacing w:val="-1"/>
                <w:sz w:val="18"/>
              </w:rPr>
              <w:t>44,108.83</w:t>
            </w:r>
          </w:p>
        </w:tc>
      </w:tr>
      <w:tr>
        <w:trPr>
          <w:trHeight w:val="355" w:hRule="exact"/>
        </w:trPr>
        <w:tc>
          <w:tcPr>
            <w:tcW w:w="111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利润总额</w:t>
            </w:r>
          </w:p>
        </w:tc>
        <w:tc>
          <w:tcPr>
            <w:tcW w:w="9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86,476.52</w:t>
            </w:r>
          </w:p>
        </w:tc>
        <w:tc>
          <w:tcPr>
            <w:tcW w:w="85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-1,866.70</w:t>
            </w:r>
          </w:p>
        </w:tc>
        <w:tc>
          <w:tcPr>
            <w:tcW w:w="85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0"/>
              <w:jc w:val="right"/>
              <w:rPr>
                <w:rFonts w:ascii="Arial" w:hAnsi="Arial" w:cs="Arial" w:eastAsia="Arial" w:hint="default"/>
                <w:sz w:val="18"/>
                <w:szCs w:val="18"/>
              </w:rPr>
            </w:pPr>
            <w:r>
              <w:rPr>
                <w:rFonts w:ascii="Arial"/>
                <w:w w:val="95"/>
                <w:sz w:val="18"/>
              </w:rPr>
              <w:t>-8.31</w:t>
            </w:r>
            <w:r>
              <w:rPr>
                <w:rFonts w:ascii="Arial"/>
                <w:sz w:val="18"/>
              </w:rPr>
            </w:r>
          </w:p>
        </w:tc>
        <w:tc>
          <w:tcPr>
            <w:tcW w:w="85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-3,547.47</w:t>
            </w:r>
          </w:p>
        </w:tc>
        <w:tc>
          <w:tcPr>
            <w:tcW w:w="96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0"/>
              <w:jc w:val="right"/>
              <w:rPr>
                <w:rFonts w:ascii="Arial" w:hAnsi="Arial" w:cs="Arial" w:eastAsia="Arial" w:hint="default"/>
                <w:sz w:val="18"/>
                <w:szCs w:val="18"/>
              </w:rPr>
            </w:pPr>
            <w:r>
              <w:rPr>
                <w:rFonts w:ascii="Arial"/>
                <w:spacing w:val="-1"/>
                <w:sz w:val="18"/>
              </w:rPr>
              <w:t>-454.04</w:t>
            </w:r>
          </w:p>
        </w:tc>
        <w:tc>
          <w:tcPr>
            <w:tcW w:w="85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0"/>
              <w:jc w:val="right"/>
              <w:rPr>
                <w:rFonts w:ascii="Arial" w:hAnsi="Arial" w:cs="Arial" w:eastAsia="Arial" w:hint="default"/>
                <w:sz w:val="18"/>
                <w:szCs w:val="18"/>
              </w:rPr>
            </w:pPr>
            <w:r>
              <w:rPr>
                <w:rFonts w:ascii="Arial"/>
                <w:spacing w:val="-1"/>
                <w:sz w:val="18"/>
              </w:rPr>
              <w:t>-184.85</w:t>
            </w:r>
          </w:p>
        </w:tc>
        <w:tc>
          <w:tcPr>
            <w:tcW w:w="75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0"/>
              <w:jc w:val="right"/>
              <w:rPr>
                <w:rFonts w:ascii="Arial" w:hAnsi="Arial" w:cs="Arial" w:eastAsia="Arial" w:hint="default"/>
                <w:sz w:val="18"/>
                <w:szCs w:val="18"/>
              </w:rPr>
            </w:pPr>
            <w:r>
              <w:rPr>
                <w:rFonts w:ascii="Arial"/>
                <w:spacing w:val="-1"/>
                <w:sz w:val="18"/>
              </w:rPr>
              <w:t>-103.06</w:t>
            </w:r>
          </w:p>
        </w:tc>
        <w:tc>
          <w:tcPr>
            <w:tcW w:w="685" w:type="dxa"/>
            <w:tcBorders>
              <w:top w:val="single" w:sz="4" w:space="0" w:color="41B7EE"/>
              <w:left w:val="single" w:sz="4" w:space="0" w:color="41B7EE"/>
              <w:bottom w:val="single" w:sz="4" w:space="0" w:color="41B7EE"/>
              <w:right w:val="single" w:sz="4" w:space="0" w:color="41B7EE"/>
            </w:tcBorders>
          </w:tcPr>
          <w:p>
            <w:pPr/>
          </w:p>
        </w:tc>
        <w:tc>
          <w:tcPr>
            <w:tcW w:w="95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68"/>
              <w:ind w:right="28"/>
              <w:jc w:val="right"/>
              <w:rPr>
                <w:rFonts w:ascii="Arial" w:hAnsi="Arial" w:cs="Arial" w:eastAsia="Arial" w:hint="default"/>
                <w:sz w:val="18"/>
                <w:szCs w:val="18"/>
              </w:rPr>
            </w:pPr>
            <w:r>
              <w:rPr>
                <w:rFonts w:ascii="Arial"/>
                <w:spacing w:val="-1"/>
                <w:sz w:val="18"/>
              </w:rPr>
              <w:t>80,312.09</w:t>
            </w:r>
          </w:p>
        </w:tc>
      </w:tr>
      <w:tr>
        <w:trPr>
          <w:trHeight w:val="358" w:hRule="exact"/>
        </w:trPr>
        <w:tc>
          <w:tcPr>
            <w:tcW w:w="111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所得税费用</w:t>
            </w:r>
          </w:p>
        </w:tc>
        <w:tc>
          <w:tcPr>
            <w:tcW w:w="955" w:type="dxa"/>
            <w:tcBorders>
              <w:top w:val="single" w:sz="4" w:space="0" w:color="41B7EE"/>
              <w:left w:val="single" w:sz="4" w:space="0" w:color="41B7EE"/>
              <w:bottom w:val="single" w:sz="4" w:space="0" w:color="41B7EE"/>
              <w:right w:val="single" w:sz="4" w:space="0" w:color="41B7EE"/>
            </w:tcBorders>
          </w:tcPr>
          <w:p>
            <w:pPr/>
          </w:p>
        </w:tc>
        <w:tc>
          <w:tcPr>
            <w:tcW w:w="850" w:type="dxa"/>
            <w:tcBorders>
              <w:top w:val="single" w:sz="4" w:space="0" w:color="41B7EE"/>
              <w:left w:val="single" w:sz="4" w:space="0" w:color="41B7EE"/>
              <w:bottom w:val="single" w:sz="4" w:space="0" w:color="41B7EE"/>
              <w:right w:val="single" w:sz="4" w:space="0" w:color="41B7EE"/>
            </w:tcBorders>
          </w:tcPr>
          <w:p>
            <w:pPr/>
          </w:p>
        </w:tc>
        <w:tc>
          <w:tcPr>
            <w:tcW w:w="857" w:type="dxa"/>
            <w:tcBorders>
              <w:top w:val="single" w:sz="4" w:space="0" w:color="41B7EE"/>
              <w:left w:val="single" w:sz="4" w:space="0" w:color="41B7EE"/>
              <w:bottom w:val="single" w:sz="4" w:space="0" w:color="41B7EE"/>
              <w:right w:val="single" w:sz="4" w:space="0" w:color="41B7EE"/>
            </w:tcBorders>
          </w:tcPr>
          <w:p>
            <w:pPr/>
          </w:p>
        </w:tc>
        <w:tc>
          <w:tcPr>
            <w:tcW w:w="857" w:type="dxa"/>
            <w:tcBorders>
              <w:top w:val="single" w:sz="4" w:space="0" w:color="41B7EE"/>
              <w:left w:val="single" w:sz="4" w:space="0" w:color="41B7EE"/>
              <w:bottom w:val="single" w:sz="4" w:space="0" w:color="41B7EE"/>
              <w:right w:val="single" w:sz="4" w:space="0" w:color="41B7EE"/>
            </w:tcBorders>
          </w:tcPr>
          <w:p>
            <w:pPr/>
          </w:p>
        </w:tc>
        <w:tc>
          <w:tcPr>
            <w:tcW w:w="960" w:type="dxa"/>
            <w:tcBorders>
              <w:top w:val="single" w:sz="4" w:space="0" w:color="41B7EE"/>
              <w:left w:val="single" w:sz="4" w:space="0" w:color="41B7EE"/>
              <w:bottom w:val="single" w:sz="4" w:space="0" w:color="41B7EE"/>
              <w:right w:val="single" w:sz="4" w:space="0" w:color="41B7EE"/>
            </w:tcBorders>
          </w:tcPr>
          <w:p>
            <w:pPr/>
          </w:p>
        </w:tc>
        <w:tc>
          <w:tcPr>
            <w:tcW w:w="85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71"/>
              <w:ind w:right="20"/>
              <w:jc w:val="right"/>
              <w:rPr>
                <w:rFonts w:ascii="Arial" w:hAnsi="Arial" w:cs="Arial" w:eastAsia="Arial" w:hint="default"/>
                <w:sz w:val="18"/>
                <w:szCs w:val="18"/>
              </w:rPr>
            </w:pPr>
            <w:r>
              <w:rPr>
                <w:rFonts w:ascii="Arial"/>
                <w:spacing w:val="-1"/>
                <w:sz w:val="18"/>
              </w:rPr>
              <w:t>-544.17</w:t>
            </w:r>
          </w:p>
        </w:tc>
        <w:tc>
          <w:tcPr>
            <w:tcW w:w="756" w:type="dxa"/>
            <w:tcBorders>
              <w:top w:val="single" w:sz="4" w:space="0" w:color="41B7EE"/>
              <w:left w:val="single" w:sz="4" w:space="0" w:color="41B7EE"/>
              <w:bottom w:val="single" w:sz="4" w:space="0" w:color="41B7EE"/>
              <w:right w:val="single" w:sz="4" w:space="0" w:color="41B7EE"/>
            </w:tcBorders>
          </w:tcPr>
          <w:p>
            <w:pPr/>
          </w:p>
        </w:tc>
        <w:tc>
          <w:tcPr>
            <w:tcW w:w="685" w:type="dxa"/>
            <w:tcBorders>
              <w:top w:val="single" w:sz="4" w:space="0" w:color="41B7EE"/>
              <w:left w:val="single" w:sz="4" w:space="0" w:color="41B7EE"/>
              <w:bottom w:val="single" w:sz="4" w:space="0" w:color="41B7EE"/>
              <w:right w:val="single" w:sz="4" w:space="0" w:color="41B7EE"/>
            </w:tcBorders>
          </w:tcPr>
          <w:p>
            <w:pPr/>
          </w:p>
        </w:tc>
        <w:tc>
          <w:tcPr>
            <w:tcW w:w="95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71"/>
              <w:ind w:right="29"/>
              <w:jc w:val="right"/>
              <w:rPr>
                <w:rFonts w:ascii="Arial" w:hAnsi="Arial" w:cs="Arial" w:eastAsia="Arial" w:hint="default"/>
                <w:sz w:val="18"/>
                <w:szCs w:val="18"/>
              </w:rPr>
            </w:pPr>
            <w:r>
              <w:rPr>
                <w:rFonts w:ascii="Arial"/>
                <w:spacing w:val="-1"/>
                <w:sz w:val="18"/>
              </w:rPr>
              <w:t>-544.17</w:t>
            </w:r>
          </w:p>
        </w:tc>
      </w:tr>
      <w:tr>
        <w:trPr>
          <w:trHeight w:val="358" w:hRule="exact"/>
        </w:trPr>
        <w:tc>
          <w:tcPr>
            <w:tcW w:w="111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9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86,476.52</w:t>
            </w:r>
          </w:p>
        </w:tc>
        <w:tc>
          <w:tcPr>
            <w:tcW w:w="85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-1,866.70</w:t>
            </w:r>
          </w:p>
        </w:tc>
        <w:tc>
          <w:tcPr>
            <w:tcW w:w="85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0"/>
              <w:jc w:val="right"/>
              <w:rPr>
                <w:rFonts w:ascii="Arial" w:hAnsi="Arial" w:cs="Arial" w:eastAsia="Arial" w:hint="default"/>
                <w:sz w:val="18"/>
                <w:szCs w:val="18"/>
              </w:rPr>
            </w:pPr>
            <w:r>
              <w:rPr>
                <w:rFonts w:ascii="Arial"/>
                <w:w w:val="95"/>
                <w:sz w:val="18"/>
              </w:rPr>
              <w:t>-8.31</w:t>
            </w:r>
            <w:r>
              <w:rPr>
                <w:rFonts w:ascii="Arial"/>
                <w:sz w:val="18"/>
              </w:rPr>
            </w:r>
          </w:p>
        </w:tc>
        <w:tc>
          <w:tcPr>
            <w:tcW w:w="85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-3,547.47</w:t>
            </w:r>
          </w:p>
        </w:tc>
        <w:tc>
          <w:tcPr>
            <w:tcW w:w="96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0"/>
              <w:jc w:val="right"/>
              <w:rPr>
                <w:rFonts w:ascii="Arial" w:hAnsi="Arial" w:cs="Arial" w:eastAsia="Arial" w:hint="default"/>
                <w:sz w:val="18"/>
                <w:szCs w:val="18"/>
              </w:rPr>
            </w:pPr>
            <w:r>
              <w:rPr>
                <w:rFonts w:ascii="Arial"/>
                <w:spacing w:val="-1"/>
                <w:sz w:val="18"/>
              </w:rPr>
              <w:t>-454.04</w:t>
            </w:r>
          </w:p>
        </w:tc>
        <w:tc>
          <w:tcPr>
            <w:tcW w:w="85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0"/>
              <w:jc w:val="right"/>
              <w:rPr>
                <w:rFonts w:ascii="Arial" w:hAnsi="Arial" w:cs="Arial" w:eastAsia="Arial" w:hint="default"/>
                <w:sz w:val="18"/>
                <w:szCs w:val="18"/>
              </w:rPr>
            </w:pPr>
            <w:r>
              <w:rPr>
                <w:rFonts w:ascii="Arial"/>
                <w:spacing w:val="-1"/>
                <w:sz w:val="18"/>
              </w:rPr>
              <w:t>359.32</w:t>
            </w:r>
          </w:p>
        </w:tc>
        <w:tc>
          <w:tcPr>
            <w:tcW w:w="75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0"/>
              <w:jc w:val="right"/>
              <w:rPr>
                <w:rFonts w:ascii="Arial" w:hAnsi="Arial" w:cs="Arial" w:eastAsia="Arial" w:hint="default"/>
                <w:sz w:val="18"/>
                <w:szCs w:val="18"/>
              </w:rPr>
            </w:pPr>
            <w:r>
              <w:rPr>
                <w:rFonts w:ascii="Arial"/>
                <w:spacing w:val="-1"/>
                <w:sz w:val="18"/>
              </w:rPr>
              <w:t>-103.06</w:t>
            </w:r>
          </w:p>
        </w:tc>
        <w:tc>
          <w:tcPr>
            <w:tcW w:w="685" w:type="dxa"/>
            <w:tcBorders>
              <w:top w:val="single" w:sz="4" w:space="0" w:color="41B7EE"/>
              <w:left w:val="single" w:sz="4" w:space="0" w:color="41B7EE"/>
              <w:bottom w:val="single" w:sz="4" w:space="0" w:color="41B7EE"/>
              <w:right w:val="single" w:sz="4" w:space="0" w:color="41B7EE"/>
            </w:tcBorders>
          </w:tcPr>
          <w:p>
            <w:pPr/>
          </w:p>
        </w:tc>
        <w:tc>
          <w:tcPr>
            <w:tcW w:w="95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68"/>
              <w:ind w:right="28"/>
              <w:jc w:val="right"/>
              <w:rPr>
                <w:rFonts w:ascii="Arial" w:hAnsi="Arial" w:cs="Arial" w:eastAsia="Arial" w:hint="default"/>
                <w:sz w:val="18"/>
                <w:szCs w:val="18"/>
              </w:rPr>
            </w:pPr>
            <w:r>
              <w:rPr>
                <w:rFonts w:ascii="Arial"/>
                <w:spacing w:val="-1"/>
                <w:sz w:val="18"/>
              </w:rPr>
              <w:t>80,856.26</w:t>
            </w:r>
          </w:p>
        </w:tc>
      </w:tr>
      <w:tr>
        <w:trPr>
          <w:trHeight w:val="358" w:hRule="exact"/>
        </w:trPr>
        <w:tc>
          <w:tcPr>
            <w:tcW w:w="111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资产总额</w:t>
            </w:r>
          </w:p>
        </w:tc>
        <w:tc>
          <w:tcPr>
            <w:tcW w:w="9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438,742.03</w:t>
            </w:r>
          </w:p>
        </w:tc>
        <w:tc>
          <w:tcPr>
            <w:tcW w:w="85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6,413.80</w:t>
            </w:r>
          </w:p>
        </w:tc>
        <w:tc>
          <w:tcPr>
            <w:tcW w:w="85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1,054.06</w:t>
            </w:r>
          </w:p>
        </w:tc>
        <w:tc>
          <w:tcPr>
            <w:tcW w:w="85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62,968.28</w:t>
            </w:r>
          </w:p>
        </w:tc>
        <w:tc>
          <w:tcPr>
            <w:tcW w:w="96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37,010.79</w:t>
            </w:r>
          </w:p>
        </w:tc>
        <w:tc>
          <w:tcPr>
            <w:tcW w:w="85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17,611.28</w:t>
            </w:r>
          </w:p>
        </w:tc>
        <w:tc>
          <w:tcPr>
            <w:tcW w:w="75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5,581.39</w:t>
            </w:r>
          </w:p>
        </w:tc>
        <w:tc>
          <w:tcPr>
            <w:tcW w:w="685" w:type="dxa"/>
            <w:tcBorders>
              <w:top w:val="single" w:sz="4" w:space="0" w:color="41B7EE"/>
              <w:left w:val="single" w:sz="4" w:space="0" w:color="41B7EE"/>
              <w:bottom w:val="single" w:sz="4" w:space="0" w:color="41B7EE"/>
              <w:right w:val="single" w:sz="4" w:space="0" w:color="41B7EE"/>
            </w:tcBorders>
          </w:tcPr>
          <w:p>
            <w:pPr/>
          </w:p>
        </w:tc>
        <w:tc>
          <w:tcPr>
            <w:tcW w:w="958"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68"/>
              <w:ind w:right="28"/>
              <w:jc w:val="right"/>
              <w:rPr>
                <w:rFonts w:ascii="Arial" w:hAnsi="Arial" w:cs="Arial" w:eastAsia="Arial" w:hint="default"/>
                <w:sz w:val="18"/>
                <w:szCs w:val="18"/>
              </w:rPr>
            </w:pPr>
            <w:r>
              <w:rPr>
                <w:rFonts w:ascii="Arial"/>
                <w:spacing w:val="-1"/>
                <w:sz w:val="18"/>
              </w:rPr>
              <w:t>569,381.63</w:t>
            </w:r>
          </w:p>
        </w:tc>
      </w:tr>
      <w:tr>
        <w:trPr>
          <w:trHeight w:val="382" w:hRule="exact"/>
        </w:trPr>
        <w:tc>
          <w:tcPr>
            <w:tcW w:w="1114"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负债总额</w:t>
            </w:r>
          </w:p>
        </w:tc>
        <w:tc>
          <w:tcPr>
            <w:tcW w:w="955"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438,742.03</w:t>
            </w:r>
          </w:p>
        </w:tc>
        <w:tc>
          <w:tcPr>
            <w:tcW w:w="850"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6,413.80</w:t>
            </w:r>
          </w:p>
        </w:tc>
        <w:tc>
          <w:tcPr>
            <w:tcW w:w="857"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14,800.21</w:t>
            </w:r>
          </w:p>
        </w:tc>
        <w:tc>
          <w:tcPr>
            <w:tcW w:w="857"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90,948.47</w:t>
            </w:r>
          </w:p>
        </w:tc>
        <w:tc>
          <w:tcPr>
            <w:tcW w:w="960"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118,347.67</w:t>
            </w:r>
          </w:p>
        </w:tc>
        <w:tc>
          <w:tcPr>
            <w:tcW w:w="857"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68"/>
              <w:ind w:right="21"/>
              <w:jc w:val="right"/>
              <w:rPr>
                <w:rFonts w:ascii="Arial" w:hAnsi="Arial" w:cs="Arial" w:eastAsia="Arial" w:hint="default"/>
                <w:sz w:val="18"/>
                <w:szCs w:val="18"/>
              </w:rPr>
            </w:pPr>
            <w:r>
              <w:rPr>
                <w:rFonts w:ascii="Arial"/>
                <w:spacing w:val="-1"/>
                <w:sz w:val="18"/>
              </w:rPr>
              <w:t>24,211.64</w:t>
            </w:r>
          </w:p>
        </w:tc>
        <w:tc>
          <w:tcPr>
            <w:tcW w:w="756" w:type="dxa"/>
            <w:tcBorders>
              <w:top w:val="single" w:sz="4" w:space="0" w:color="41B7EE"/>
              <w:left w:val="single" w:sz="4" w:space="0" w:color="41B7EE"/>
              <w:bottom w:val="single" w:sz="23" w:space="0" w:color="41B7EE"/>
              <w:right w:val="single" w:sz="4" w:space="0" w:color="41B7EE"/>
            </w:tcBorders>
          </w:tcPr>
          <w:p>
            <w:pPr/>
          </w:p>
        </w:tc>
        <w:tc>
          <w:tcPr>
            <w:tcW w:w="685" w:type="dxa"/>
            <w:tcBorders>
              <w:top w:val="single" w:sz="4" w:space="0" w:color="41B7EE"/>
              <w:left w:val="single" w:sz="4" w:space="0" w:color="41B7EE"/>
              <w:bottom w:val="single" w:sz="23" w:space="0" w:color="41B7EE"/>
              <w:right w:val="single" w:sz="4" w:space="0" w:color="41B7EE"/>
            </w:tcBorders>
          </w:tcPr>
          <w:p>
            <w:pPr/>
          </w:p>
        </w:tc>
        <w:tc>
          <w:tcPr>
            <w:tcW w:w="958"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68"/>
              <w:ind w:right="28"/>
              <w:jc w:val="right"/>
              <w:rPr>
                <w:rFonts w:ascii="Arial" w:hAnsi="Arial" w:cs="Arial" w:eastAsia="Arial" w:hint="default"/>
                <w:sz w:val="18"/>
                <w:szCs w:val="18"/>
              </w:rPr>
            </w:pPr>
            <w:r>
              <w:rPr>
                <w:rFonts w:ascii="Arial"/>
                <w:spacing w:val="-1"/>
                <w:sz w:val="18"/>
              </w:rPr>
              <w:t>693,463.82</w:t>
            </w:r>
          </w:p>
        </w:tc>
      </w:tr>
    </w:tbl>
    <w:p>
      <w:pPr>
        <w:pStyle w:val="Heading2"/>
        <w:spacing w:line="240" w:lineRule="auto" w:before="44"/>
        <w:ind w:left="258" w:right="0"/>
        <w:jc w:val="left"/>
        <w:rPr>
          <w:rFonts w:ascii="宋体" w:hAnsi="宋体" w:cs="宋体" w:eastAsia="宋体" w:hint="default"/>
          <w:b w:val="0"/>
          <w:bCs w:val="0"/>
        </w:rPr>
      </w:pPr>
      <w:r>
        <w:rPr>
          <w:rFonts w:ascii="宋体" w:hAnsi="宋体" w:cs="宋体" w:eastAsia="宋体" w:hint="default"/>
        </w:rPr>
        <w:t>(3).</w:t>
      </w:r>
      <w:r>
        <w:rPr/>
        <w:t>公司无报告分部的，或者不能披露各报告分部的资产总额和负债总额的，应说明原因</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58" w:right="713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258" w:right="5964"/>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left="258" w:right="0"/>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spacing w:line="300" w:lineRule="auto" w:before="135"/>
        <w:ind w:left="258" w:right="713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8</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4"/>
        <w:ind w:left="258" w:right="5964"/>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58"/>
        <w:ind w:left="258" w:right="5233"/>
        <w:jc w:val="left"/>
        <w:rPr>
          <w:b w:val="0"/>
          <w:bCs w:val="0"/>
        </w:rPr>
      </w:pPr>
      <w:r>
        <w:rPr/>
        <w:t>十七、</w:t>
      </w:r>
      <w:r>
        <w:rPr>
          <w:spacing w:val="99"/>
        </w:rPr>
        <w:t> </w:t>
      </w:r>
      <w:r>
        <w:rPr>
          <w:rFonts w:ascii="宋体" w:hAnsi="宋体" w:cs="宋体" w:eastAsia="宋体" w:hint="default"/>
          <w:spacing w:val="99"/>
        </w:rPr>
      </w:r>
      <w:r>
        <w:rPr/>
        <w:t>母公司财务报表主要项目注释</w:t>
      </w:r>
      <w:r>
        <w:rPr>
          <w:rFonts w:ascii="宋体" w:hAnsi="宋体" w:cs="宋体" w:eastAsia="宋体" w:hint="default"/>
          <w:w w:val="99"/>
        </w:rPr>
        <w:t> </w:t>
      </w:r>
      <w:r>
        <w:rPr>
          <w:rFonts w:ascii="宋体" w:hAnsi="宋体" w:cs="宋体" w:eastAsia="宋体" w:hint="default"/>
        </w:rPr>
        <w:t>1</w:t>
      </w:r>
      <w:r>
        <w:rPr/>
        <w:t>、</w:t>
      </w:r>
      <w:r>
        <w:rPr>
          <w:spacing w:val="3"/>
        </w:rPr>
        <w:t> </w:t>
      </w:r>
      <w:r>
        <w:rPr/>
        <w:t>应收账款</w:t>
      </w:r>
      <w:r>
        <w:rPr>
          <w:b w:val="0"/>
          <w:bCs w:val="0"/>
        </w:rPr>
      </w:r>
    </w:p>
    <w:p>
      <w:pPr>
        <w:pStyle w:val="Heading2"/>
        <w:spacing w:line="240" w:lineRule="auto" w:before="14"/>
        <w:ind w:left="258" w:right="5964"/>
        <w:jc w:val="left"/>
        <w:rPr>
          <w:rFonts w:ascii="宋体" w:hAnsi="宋体" w:cs="宋体" w:eastAsia="宋体" w:hint="default"/>
          <w:b w:val="0"/>
          <w:bCs w:val="0"/>
        </w:rPr>
      </w:pP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58" w:right="59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6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450"/>
        <w:gridCol w:w="4611"/>
      </w:tblGrid>
      <w:tr>
        <w:trPr>
          <w:trHeight w:val="348" w:hRule="exact"/>
        </w:trPr>
        <w:tc>
          <w:tcPr>
            <w:tcW w:w="4450" w:type="dxa"/>
            <w:tcBorders>
              <w:top w:val="single" w:sz="23" w:space="0" w:color="009EEA"/>
              <w:left w:val="nil" w:sz="6" w:space="0" w:color="auto"/>
              <w:bottom w:val="single" w:sz="4" w:space="0" w:color="009EEA"/>
              <w:right w:val="single" w:sz="4" w:space="0" w:color="009EEA"/>
            </w:tcBorders>
          </w:tcPr>
          <w:p>
            <w:pPr>
              <w:pStyle w:val="TableParagraph"/>
              <w:spacing w:line="262" w:lineRule="exact"/>
              <w:ind w:left="107"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4611" w:type="dxa"/>
            <w:tcBorders>
              <w:top w:val="single" w:sz="23" w:space="0" w:color="009EEA"/>
              <w:left w:val="single" w:sz="4" w:space="0" w:color="009EEA"/>
              <w:bottom w:val="single" w:sz="4" w:space="0" w:color="009EEA"/>
              <w:right w:val="nil" w:sz="6" w:space="0" w:color="auto"/>
            </w:tcBorders>
          </w:tcPr>
          <w:p>
            <w:pPr>
              <w:pStyle w:val="TableParagraph"/>
              <w:spacing w:line="262" w:lineRule="exact"/>
              <w:ind w:left="96"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322" w:hRule="exact"/>
        </w:trPr>
        <w:tc>
          <w:tcPr>
            <w:tcW w:w="4450" w:type="dxa"/>
            <w:tcBorders>
              <w:top w:val="single" w:sz="4" w:space="0" w:color="009EEA"/>
              <w:left w:val="nil" w:sz="6" w:space="0" w:color="auto"/>
              <w:bottom w:val="single" w:sz="4" w:space="0" w:color="009EEA"/>
              <w:right w:val="single" w:sz="4" w:space="0" w:color="009EEA"/>
            </w:tcBorders>
          </w:tcPr>
          <w:p>
            <w:pPr>
              <w:pStyle w:val="TableParagraph"/>
              <w:spacing w:line="275" w:lineRule="exact"/>
              <w:ind w:left="112"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年以内小计</w:t>
            </w:r>
          </w:p>
        </w:tc>
        <w:tc>
          <w:tcPr>
            <w:tcW w:w="4611" w:type="dxa"/>
            <w:tcBorders>
              <w:top w:val="single" w:sz="4" w:space="0" w:color="009EEA"/>
              <w:left w:val="single" w:sz="4" w:space="0" w:color="009EEA"/>
              <w:bottom w:val="single" w:sz="4" w:space="0" w:color="009EEA"/>
              <w:right w:val="nil" w:sz="6" w:space="0" w:color="auto"/>
            </w:tcBorders>
          </w:tcPr>
          <w:p>
            <w:pPr/>
          </w:p>
        </w:tc>
      </w:tr>
      <w:tr>
        <w:trPr>
          <w:trHeight w:val="322" w:hRule="exact"/>
        </w:trPr>
        <w:tc>
          <w:tcPr>
            <w:tcW w:w="4450" w:type="dxa"/>
            <w:tcBorders>
              <w:top w:val="single" w:sz="4" w:space="0" w:color="009EEA"/>
              <w:left w:val="nil" w:sz="6" w:space="0" w:color="auto"/>
              <w:bottom w:val="single" w:sz="4" w:space="0" w:color="009EEA"/>
              <w:right w:val="single" w:sz="4" w:space="0" w:color="009EEA"/>
            </w:tcBorders>
          </w:tcPr>
          <w:p>
            <w:pPr>
              <w:pStyle w:val="TableParagraph"/>
              <w:spacing w:line="277" w:lineRule="exact"/>
              <w:ind w:left="112"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4611" w:type="dxa"/>
            <w:tcBorders>
              <w:top w:val="single" w:sz="4" w:space="0" w:color="009EEA"/>
              <w:left w:val="single" w:sz="4" w:space="0" w:color="009EEA"/>
              <w:bottom w:val="single" w:sz="4" w:space="0" w:color="009EEA"/>
              <w:right w:val="nil" w:sz="6" w:space="0" w:color="auto"/>
            </w:tcBorders>
          </w:tcPr>
          <w:p>
            <w:pPr/>
          </w:p>
        </w:tc>
      </w:tr>
      <w:tr>
        <w:trPr>
          <w:trHeight w:val="324" w:hRule="exact"/>
        </w:trPr>
        <w:tc>
          <w:tcPr>
            <w:tcW w:w="4450" w:type="dxa"/>
            <w:tcBorders>
              <w:top w:val="single" w:sz="4" w:space="0" w:color="009EEA"/>
              <w:left w:val="nil" w:sz="6" w:space="0" w:color="auto"/>
              <w:bottom w:val="single" w:sz="4" w:space="0" w:color="009EEA"/>
              <w:right w:val="single" w:sz="4" w:space="0" w:color="009EEA"/>
            </w:tcBorders>
          </w:tcPr>
          <w:p>
            <w:pPr>
              <w:pStyle w:val="TableParagraph"/>
              <w:spacing w:line="277" w:lineRule="exact"/>
              <w:ind w:left="112"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4611" w:type="dxa"/>
            <w:tcBorders>
              <w:top w:val="single" w:sz="4" w:space="0" w:color="009EEA"/>
              <w:left w:val="single" w:sz="4" w:space="0" w:color="009EEA"/>
              <w:bottom w:val="single" w:sz="4" w:space="0" w:color="009EEA"/>
              <w:right w:val="nil" w:sz="6" w:space="0" w:color="auto"/>
            </w:tcBorders>
          </w:tcPr>
          <w:p>
            <w:pPr/>
          </w:p>
        </w:tc>
      </w:tr>
      <w:tr>
        <w:trPr>
          <w:trHeight w:val="322" w:hRule="exact"/>
        </w:trPr>
        <w:tc>
          <w:tcPr>
            <w:tcW w:w="4450" w:type="dxa"/>
            <w:tcBorders>
              <w:top w:val="single" w:sz="4" w:space="0" w:color="009EEA"/>
              <w:left w:val="nil" w:sz="6" w:space="0" w:color="auto"/>
              <w:bottom w:val="single" w:sz="4" w:space="0" w:color="009EEA"/>
              <w:right w:val="single" w:sz="4" w:space="0" w:color="009EEA"/>
            </w:tcBorders>
          </w:tcPr>
          <w:p>
            <w:pPr>
              <w:pStyle w:val="TableParagraph"/>
              <w:spacing w:line="275" w:lineRule="exact"/>
              <w:ind w:left="112"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4611"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8"/>
              <w:ind w:right="111"/>
              <w:jc w:val="right"/>
              <w:rPr>
                <w:rFonts w:ascii="Arial" w:hAnsi="Arial" w:cs="Arial" w:eastAsia="Arial" w:hint="default"/>
                <w:sz w:val="21"/>
                <w:szCs w:val="21"/>
              </w:rPr>
            </w:pPr>
            <w:r>
              <w:rPr>
                <w:rFonts w:ascii="Arial"/>
                <w:spacing w:val="-1"/>
                <w:sz w:val="21"/>
              </w:rPr>
              <w:t>4,533,116.57</w:t>
            </w:r>
          </w:p>
        </w:tc>
      </w:tr>
      <w:tr>
        <w:trPr>
          <w:trHeight w:val="322" w:hRule="exact"/>
        </w:trPr>
        <w:tc>
          <w:tcPr>
            <w:tcW w:w="4450" w:type="dxa"/>
            <w:tcBorders>
              <w:top w:val="single" w:sz="4" w:space="0" w:color="009EEA"/>
              <w:left w:val="nil" w:sz="6" w:space="0" w:color="auto"/>
              <w:bottom w:val="single" w:sz="4" w:space="0" w:color="009EEA"/>
              <w:right w:val="single" w:sz="4" w:space="0" w:color="009EEA"/>
            </w:tcBorders>
          </w:tcPr>
          <w:p>
            <w:pPr>
              <w:pStyle w:val="TableParagraph"/>
              <w:spacing w:line="275" w:lineRule="exact"/>
              <w:ind w:left="112" w:right="0"/>
              <w:jc w:val="left"/>
              <w:rPr>
                <w:rFonts w:ascii="宋体" w:hAnsi="宋体" w:cs="宋体" w:eastAsia="宋体" w:hint="default"/>
                <w:sz w:val="21"/>
                <w:szCs w:val="21"/>
              </w:rPr>
            </w:pP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4611" w:type="dxa"/>
            <w:tcBorders>
              <w:top w:val="single" w:sz="4" w:space="0" w:color="009EEA"/>
              <w:left w:val="single" w:sz="4" w:space="0" w:color="009EEA"/>
              <w:bottom w:val="single" w:sz="4" w:space="0" w:color="009EEA"/>
              <w:right w:val="nil" w:sz="6" w:space="0" w:color="auto"/>
            </w:tcBorders>
          </w:tcPr>
          <w:p>
            <w:pPr/>
          </w:p>
        </w:tc>
      </w:tr>
      <w:tr>
        <w:trPr>
          <w:trHeight w:val="322" w:hRule="exact"/>
        </w:trPr>
        <w:tc>
          <w:tcPr>
            <w:tcW w:w="4450" w:type="dxa"/>
            <w:tcBorders>
              <w:top w:val="single" w:sz="4" w:space="0" w:color="009EEA"/>
              <w:left w:val="nil" w:sz="6" w:space="0" w:color="auto"/>
              <w:bottom w:val="single" w:sz="4" w:space="0" w:color="009EEA"/>
              <w:right w:val="single" w:sz="4" w:space="0" w:color="009EEA"/>
            </w:tcBorders>
          </w:tcPr>
          <w:p>
            <w:pPr>
              <w:pStyle w:val="TableParagraph"/>
              <w:spacing w:line="275" w:lineRule="exact"/>
              <w:ind w:left="112" w:right="0"/>
              <w:jc w:val="left"/>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4611"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31"/>
              <w:ind w:right="110"/>
              <w:jc w:val="right"/>
              <w:rPr>
                <w:rFonts w:ascii="Arial" w:hAnsi="Arial" w:cs="Arial" w:eastAsia="Arial" w:hint="default"/>
                <w:sz w:val="21"/>
                <w:szCs w:val="21"/>
              </w:rPr>
            </w:pPr>
            <w:r>
              <w:rPr>
                <w:rFonts w:ascii="Arial"/>
                <w:spacing w:val="-1"/>
                <w:sz w:val="21"/>
              </w:rPr>
              <w:t>113,520,925.66</w:t>
            </w:r>
          </w:p>
        </w:tc>
      </w:tr>
      <w:tr>
        <w:trPr>
          <w:trHeight w:val="329" w:hRule="exact"/>
        </w:trPr>
        <w:tc>
          <w:tcPr>
            <w:tcW w:w="4450" w:type="dxa"/>
            <w:tcBorders>
              <w:top w:val="single" w:sz="4" w:space="0" w:color="009EEA"/>
              <w:left w:val="nil" w:sz="6" w:space="0" w:color="auto"/>
              <w:bottom w:val="single" w:sz="8" w:space="0" w:color="009EEA"/>
              <w:right w:val="single" w:sz="4" w:space="0" w:color="009EEA"/>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611"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31"/>
              <w:ind w:right="110"/>
              <w:jc w:val="right"/>
              <w:rPr>
                <w:rFonts w:ascii="Arial" w:hAnsi="Arial" w:cs="Arial" w:eastAsia="Arial" w:hint="default"/>
                <w:sz w:val="21"/>
                <w:szCs w:val="21"/>
              </w:rPr>
            </w:pPr>
            <w:r>
              <w:rPr>
                <w:rFonts w:ascii="Arial"/>
                <w:spacing w:val="-1"/>
                <w:sz w:val="21"/>
              </w:rPr>
              <w:t>118,054,042.23</w:t>
            </w:r>
          </w:p>
        </w:tc>
      </w:tr>
    </w:tbl>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454.05pt;height:1pt;mso-position-horizontal-relative:char;mso-position-vertical-relative:line" coordorigin="0,0" coordsize="9081,20">
            <v:group style="position:absolute;left:10;top:10;width:4446;height:2" coordorigin="10,10" coordsize="4446,2">
              <v:shape style="position:absolute;left:10;top:10;width:4446;height:2" coordorigin="10,10" coordsize="4446,0" path="m10,10l4455,10e" filled="false" stroked="true" strokeweight=".96002pt" strokecolor="#009eea">
                <v:path arrowok="t"/>
              </v:shape>
            </v:group>
            <v:group style="position:absolute;left:4455;top:10;width:58;height:2" coordorigin="4455,10" coordsize="58,2">
              <v:shape style="position:absolute;left:4455;top:10;width:58;height:2" coordorigin="4455,10" coordsize="58,0" path="m4455,10l4513,10e" filled="false" stroked="true" strokeweight=".96002pt" strokecolor="#009eea">
                <v:path arrowok="t"/>
              </v:shape>
            </v:group>
            <v:group style="position:absolute;left:4513;top:10;width:4559;height:2" coordorigin="4513,10" coordsize="4559,2">
              <v:shape style="position:absolute;left:4513;top:10;width:4559;height:2" coordorigin="4513,10" coordsize="4559,0" path="m4513,10l9071,10e" filled="false" stroked="true" strokeweight=".96002pt" strokecolor="#009ee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5" w:top="1360" w:bottom="1380" w:left="1540" w:right="1000"/>
        </w:sectPr>
      </w:pPr>
    </w:p>
    <w:p>
      <w:pPr>
        <w:spacing w:line="240" w:lineRule="auto" w:before="1"/>
        <w:rPr>
          <w:rFonts w:ascii="宋体" w:hAnsi="宋体" w:cs="宋体" w:eastAsia="宋体" w:hint="default"/>
          <w:sz w:val="6"/>
          <w:szCs w:val="6"/>
        </w:rPr>
      </w:pPr>
    </w:p>
    <w:p>
      <w:pPr>
        <w:spacing w:line="544" w:lineRule="exact"/>
        <w:ind w:left="124"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696.35pt;height:27.25pt;mso-position-horizontal-relative:char;mso-position-vertical-relative:line" coordorigin="0,0" coordsize="13927,545">
            <v:group style="position:absolute;left:7;top:538;width:13913;height:2" coordorigin="7,538" coordsize="13913,2">
              <v:shape style="position:absolute;left:7;top:538;width:13913;height:2" coordorigin="7,538" coordsize="13913,0" path="m7,538l13920,538e" filled="false" stroked="true" strokeweight=".72pt" strokecolor="#000000">
                <v:path arrowok="t"/>
              </v:shape>
              <v:shape style="position:absolute;left:98;top:0;width:4665;height:480" type="#_x0000_t75" stroked="false">
                <v:imagedata r:id="rId16" o:title=""/>
              </v:shape>
              <v:shape style="position:absolute;left:0;top:0;width:13927;height:545" type="#_x0000_t202" filled="false" stroked="false">
                <v:textbox inset="0,0,0,0">
                  <w:txbxContent>
                    <w:p>
                      <w:pPr>
                        <w:spacing w:line="454" w:lineRule="exact" w:before="0"/>
                        <w:ind w:left="0" w:right="31" w:firstLine="0"/>
                        <w:jc w:val="right"/>
                        <w:rPr>
                          <w:rFonts w:ascii="微软雅黑" w:hAnsi="微软雅黑" w:cs="微软雅黑" w:eastAsia="微软雅黑" w:hint="default"/>
                          <w:sz w:val="28"/>
                          <w:szCs w:val="28"/>
                        </w:rPr>
                      </w:pPr>
                      <w:r>
                        <w:rPr>
                          <w:rFonts w:ascii="微软雅黑" w:hAnsi="微软雅黑" w:cs="微软雅黑" w:eastAsia="微软雅黑" w:hint="default"/>
                          <w:b/>
                          <w:bCs/>
                          <w:sz w:val="28"/>
                          <w:szCs w:val="28"/>
                        </w:rPr>
                        <w:t>2019</w:t>
                      </w:r>
                      <w:r>
                        <w:rPr>
                          <w:rFonts w:ascii="微软雅黑" w:hAnsi="微软雅黑" w:cs="微软雅黑" w:eastAsia="微软雅黑" w:hint="default"/>
                          <w:b/>
                          <w:bCs/>
                          <w:spacing w:val="-17"/>
                          <w:sz w:val="28"/>
                          <w:szCs w:val="28"/>
                        </w:rPr>
                        <w:t> </w:t>
                      </w:r>
                      <w:r>
                        <w:rPr>
                          <w:rFonts w:ascii="微软雅黑" w:hAnsi="微软雅黑" w:cs="微软雅黑" w:eastAsia="微软雅黑" w:hint="default"/>
                          <w:b/>
                          <w:bCs/>
                          <w:sz w:val="28"/>
                          <w:szCs w:val="28"/>
                        </w:rPr>
                        <w:t>年年度报告</w:t>
                      </w:r>
                      <w:r>
                        <w:rPr>
                          <w:rFonts w:ascii="微软雅黑" w:hAnsi="微软雅黑" w:cs="微软雅黑" w:eastAsia="微软雅黑" w:hint="default"/>
                          <w:sz w:val="28"/>
                          <w:szCs w:val="28"/>
                        </w:rPr>
                      </w:r>
                    </w:p>
                  </w:txbxContent>
                </v:textbox>
                <w10:wrap type="none"/>
              </v:shape>
            </v:group>
          </v:group>
        </w:pict>
      </w:r>
      <w:r>
        <w:rPr>
          <w:rFonts w:ascii="宋体" w:hAnsi="宋体" w:cs="宋体" w:eastAsia="宋体" w:hint="default"/>
          <w:position w:val="-10"/>
          <w:sz w:val="20"/>
          <w:szCs w:val="20"/>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94"/>
          <w:footerReference w:type="default" r:id="rId95"/>
          <w:pgSz w:w="16840" w:h="11910" w:orient="landscape"/>
          <w:pgMar w:header="0" w:footer="0" w:top="740" w:bottom="280" w:left="1280" w:right="1380"/>
        </w:sectPr>
      </w:pPr>
    </w:p>
    <w:p>
      <w:pPr>
        <w:spacing w:line="240" w:lineRule="auto" w:before="9"/>
        <w:rPr>
          <w:rFonts w:ascii="宋体" w:hAnsi="宋体" w:cs="宋体" w:eastAsia="宋体" w:hint="default"/>
          <w:sz w:val="14"/>
          <w:szCs w:val="14"/>
        </w:rPr>
      </w:pPr>
    </w:p>
    <w:p>
      <w:pPr>
        <w:pStyle w:val="Heading2"/>
        <w:spacing w:line="240" w:lineRule="auto" w:before="0"/>
        <w:ind w:left="160" w:right="0"/>
        <w:jc w:val="left"/>
        <w:rPr>
          <w:rFonts w:ascii="宋体" w:hAnsi="宋体" w:cs="宋体" w:eastAsia="宋体" w:hint="default"/>
          <w:b w:val="0"/>
          <w:bCs w:val="0"/>
        </w:rPr>
      </w:pPr>
      <w:r>
        <w:rPr>
          <w:rFonts w:ascii="宋体" w:hAnsi="宋体" w:cs="宋体" w:eastAsia="宋体" w:hint="default"/>
        </w:rPr>
        <w:t>(2).</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6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tabs>
          <w:tab w:pos="1211" w:val="left" w:leader="none"/>
        </w:tabs>
        <w:spacing w:line="240" w:lineRule="auto"/>
        <w:ind w:left="160" w:right="0"/>
        <w:jc w:val="left"/>
      </w:pPr>
      <w:r>
        <w:rPr>
          <w:spacing w:val="-1"/>
        </w:rPr>
        <w:t>单位：元</w:t>
        <w:tab/>
      </w:r>
      <w:r>
        <w:rPr>
          <w:spacing w:val="-2"/>
        </w:rPr>
        <w:t>币种：人民币</w:t>
      </w:r>
    </w:p>
    <w:p>
      <w:pPr>
        <w:spacing w:after="0" w:line="240" w:lineRule="auto"/>
        <w:jc w:val="left"/>
        <w:sectPr>
          <w:type w:val="continuous"/>
          <w:pgSz w:w="16840" w:h="11910" w:orient="landscape"/>
          <w:pgMar w:top="1360" w:bottom="1380" w:left="1280" w:right="1380"/>
          <w:cols w:num="2" w:equalWidth="0">
            <w:col w:w="3010" w:space="8450"/>
            <w:col w:w="2720"/>
          </w:cols>
        </w:sectPr>
      </w:pPr>
    </w:p>
    <w:p>
      <w:pPr>
        <w:spacing w:line="240" w:lineRule="auto" w:before="4"/>
        <w:rPr>
          <w:rFonts w:ascii="宋体" w:hAnsi="宋体" w:cs="宋体" w:eastAsia="宋体" w:hint="default"/>
          <w:sz w:val="2"/>
          <w:szCs w:val="2"/>
        </w:rPr>
      </w:pPr>
      <w:r>
        <w:rPr/>
        <w:pict>
          <v:group style="position:absolute;margin-left:69.960007pt;margin-top:369.910004pt;width:697.8pt;height:1pt;mso-position-horizontal-relative:page;mso-position-vertical-relative:page;z-index:-938200" coordorigin="1399,7398" coordsize="13956,20">
            <v:group style="position:absolute;left:1409;top:7408;width:3130;height:2" coordorigin="1409,7408" coordsize="3130,2">
              <v:shape style="position:absolute;left:1409;top:7408;width:3130;height:2" coordorigin="1409,7408" coordsize="3130,0" path="m1409,7408l4539,7408e" filled="false" stroked="true" strokeweight=".95999pt" strokecolor="#41b7ee">
                <v:path arrowok="t"/>
              </v:shape>
            </v:group>
            <v:group style="position:absolute;left:4539;top:7408;width:58;height:2" coordorigin="4539,7408" coordsize="58,2">
              <v:shape style="position:absolute;left:4539;top:7408;width:58;height:2" coordorigin="4539,7408" coordsize="58,0" path="m4539,7408l4596,7408e" filled="false" stroked="true" strokeweight=".95999pt" strokecolor="#41b7ee">
                <v:path arrowok="t"/>
              </v:shape>
            </v:group>
            <v:group style="position:absolute;left:4596;top:7408;width:1508;height:2" coordorigin="4596,7408" coordsize="1508,2">
              <v:shape style="position:absolute;left:4596;top:7408;width:1508;height:2" coordorigin="4596,7408" coordsize="1508,0" path="m4596,7408l6104,7408e" filled="false" stroked="true" strokeweight=".95999pt" strokecolor="#41b7ee">
                <v:path arrowok="t"/>
              </v:shape>
            </v:group>
            <v:group style="position:absolute;left:6104;top:7408;width:58;height:2" coordorigin="6104,7408" coordsize="58,2">
              <v:shape style="position:absolute;left:6104;top:7408;width:58;height:2" coordorigin="6104,7408" coordsize="58,0" path="m6104,7408l6162,7408e" filled="false" stroked="true" strokeweight=".95999pt" strokecolor="#41b7ee">
                <v:path arrowok="t"/>
              </v:shape>
            </v:group>
            <v:group style="position:absolute;left:6162;top:7408;width:658;height:2" coordorigin="6162,7408" coordsize="658,2">
              <v:shape style="position:absolute;left:6162;top:7408;width:658;height:2" coordorigin="6162,7408" coordsize="658,0" path="m6162,7408l6819,7408e" filled="false" stroked="true" strokeweight=".95999pt" strokecolor="#41b7ee">
                <v:path arrowok="t"/>
              </v:shape>
            </v:group>
            <v:group style="position:absolute;left:6819;top:7408;width:58;height:2" coordorigin="6819,7408" coordsize="58,2">
              <v:shape style="position:absolute;left:6819;top:7408;width:58;height:2" coordorigin="6819,7408" coordsize="58,0" path="m6819,7408l6877,7408e" filled="false" stroked="true" strokeweight=".95999pt" strokecolor="#41b7ee">
                <v:path arrowok="t"/>
              </v:shape>
            </v:group>
            <v:group style="position:absolute;left:6877;top:7408;width:1508;height:2" coordorigin="6877,7408" coordsize="1508,2">
              <v:shape style="position:absolute;left:6877;top:7408;width:1508;height:2" coordorigin="6877,7408" coordsize="1508,0" path="m6877,7408l8384,7408e" filled="false" stroked="true" strokeweight=".95999pt" strokecolor="#41b7ee">
                <v:path arrowok="t"/>
              </v:shape>
            </v:group>
            <v:group style="position:absolute;left:8384;top:7408;width:58;height:2" coordorigin="8384,7408" coordsize="58,2">
              <v:shape style="position:absolute;left:8384;top:7408;width:58;height:2" coordorigin="8384,7408" coordsize="58,0" path="m8384,7408l8442,7408e" filled="false" stroked="true" strokeweight=".95999pt" strokecolor="#41b7ee">
                <v:path arrowok="t"/>
              </v:shape>
            </v:group>
            <v:group style="position:absolute;left:8442;top:7408;width:656;height:2" coordorigin="8442,7408" coordsize="656,2">
              <v:shape style="position:absolute;left:8442;top:7408;width:656;height:2" coordorigin="8442,7408" coordsize="656,0" path="m8442,7408l9097,7408e" filled="false" stroked="true" strokeweight=".95999pt" strokecolor="#41b7ee">
                <v:path arrowok="t"/>
              </v:shape>
            </v:group>
            <v:group style="position:absolute;left:9097;top:7408;width:58;height:2" coordorigin="9097,7408" coordsize="58,2">
              <v:shape style="position:absolute;left:9097;top:7408;width:58;height:2" coordorigin="9097,7408" coordsize="58,0" path="m9097,7408l9155,7408e" filled="false" stroked="true" strokeweight=".95999pt" strokecolor="#41b7ee">
                <v:path arrowok="t"/>
              </v:shape>
            </v:group>
            <v:group style="position:absolute;left:9155;top:7408;width:521;height:2" coordorigin="9155,7408" coordsize="521,2">
              <v:shape style="position:absolute;left:9155;top:7408;width:521;height:2" coordorigin="9155,7408" coordsize="521,0" path="m9155,7408l9676,7408e" filled="false" stroked="true" strokeweight=".95999pt" strokecolor="#41b7ee">
                <v:path arrowok="t"/>
              </v:shape>
            </v:group>
            <v:group style="position:absolute;left:9676;top:7408;width:58;height:2" coordorigin="9676,7408" coordsize="58,2">
              <v:shape style="position:absolute;left:9676;top:7408;width:58;height:2" coordorigin="9676,7408" coordsize="58,0" path="m9676,7408l9733,7408e" filled="false" stroked="true" strokeweight=".95999pt" strokecolor="#41b7ee">
                <v:path arrowok="t"/>
              </v:shape>
            </v:group>
            <v:group style="position:absolute;left:9733;top:7408;width:1479;height:2" coordorigin="9733,7408" coordsize="1479,2">
              <v:shape style="position:absolute;left:9733;top:7408;width:1479;height:2" coordorigin="9733,7408" coordsize="1479,0" path="m9733,7408l11212,7408e" filled="false" stroked="true" strokeweight=".95999pt" strokecolor="#41b7ee">
                <v:path arrowok="t"/>
              </v:shape>
            </v:group>
            <v:group style="position:absolute;left:11212;top:7408;width:58;height:2" coordorigin="11212,7408" coordsize="58,2">
              <v:shape style="position:absolute;left:11212;top:7408;width:58;height:2" coordorigin="11212,7408" coordsize="58,0" path="m11212,7408l11269,7408e" filled="false" stroked="true" strokeweight=".95999pt" strokecolor="#41b7ee">
                <v:path arrowok="t"/>
              </v:shape>
            </v:group>
            <v:group style="position:absolute;left:11269;top:7408;width:668;height:2" coordorigin="11269,7408" coordsize="668,2">
              <v:shape style="position:absolute;left:11269;top:7408;width:668;height:2" coordorigin="11269,7408" coordsize="668,0" path="m11269,7408l11937,7408e" filled="false" stroked="true" strokeweight=".95999pt" strokecolor="#41b7ee">
                <v:path arrowok="t"/>
              </v:shape>
            </v:group>
            <v:group style="position:absolute;left:11937;top:7408;width:58;height:2" coordorigin="11937,7408" coordsize="58,2">
              <v:shape style="position:absolute;left:11937;top:7408;width:58;height:2" coordorigin="11937,7408" coordsize="58,0" path="m11937,7408l11994,7408e" filled="false" stroked="true" strokeweight=".95999pt" strokecolor="#41b7ee">
                <v:path arrowok="t"/>
              </v:shape>
            </v:group>
            <v:group style="position:absolute;left:11994;top:7408;width:1482;height:2" coordorigin="11994,7408" coordsize="1482,2">
              <v:shape style="position:absolute;left:11994;top:7408;width:1482;height:2" coordorigin="11994,7408" coordsize="1482,0" path="m11994,7408l13475,7408e" filled="false" stroked="true" strokeweight=".95999pt" strokecolor="#41b7ee">
                <v:path arrowok="t"/>
              </v:shape>
            </v:group>
            <v:group style="position:absolute;left:13476;top:7408;width:58;height:2" coordorigin="13476,7408" coordsize="58,2">
              <v:shape style="position:absolute;left:13476;top:7408;width:58;height:2" coordorigin="13476,7408" coordsize="58,0" path="m13476,7408l13533,7408e" filled="false" stroked="true" strokeweight=".95999pt" strokecolor="#41b7ee">
                <v:path arrowok="t"/>
              </v:shape>
            </v:group>
            <v:group style="position:absolute;left:13533;top:7408;width:692;height:2" coordorigin="13533,7408" coordsize="692,2">
              <v:shape style="position:absolute;left:13533;top:7408;width:692;height:2" coordorigin="13533,7408" coordsize="692,0" path="m13533,7408l14224,7408e" filled="false" stroked="true" strokeweight=".95999pt" strokecolor="#41b7ee">
                <v:path arrowok="t"/>
              </v:shape>
            </v:group>
            <v:group style="position:absolute;left:14224;top:7408;width:58;height:2" coordorigin="14224,7408" coordsize="58,2">
              <v:shape style="position:absolute;left:14224;top:7408;width:58;height:2" coordorigin="14224,7408" coordsize="58,0" path="m14224,7408l14282,7408e" filled="false" stroked="true" strokeweight=".95999pt" strokecolor="#41b7ee">
                <v:path arrowok="t"/>
              </v:shape>
            </v:group>
            <v:group style="position:absolute;left:14282;top:7408;width:1064;height:2" coordorigin="14282,7408" coordsize="1064,2">
              <v:shape style="position:absolute;left:14282;top:7408;width:1064;height:2" coordorigin="14282,7408" coordsize="1064,0" path="m14282,7408l15345,7408e" filled="false" stroked="true" strokeweight=".95999pt" strokecolor="#41b7ee">
                <v:path arrowok="t"/>
              </v:shape>
            </v:group>
            <w10:wrap type="none"/>
          </v:group>
        </w:pict>
      </w: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697.8pt;height:1pt;mso-position-horizontal-relative:char;mso-position-vertical-relative:line" coordorigin="0,0" coordsize="13956,20">
            <v:group style="position:absolute;left:10;top:10;width:3130;height:2" coordorigin="10,10" coordsize="3130,2">
              <v:shape style="position:absolute;left:10;top:10;width:3130;height:2" coordorigin="10,10" coordsize="3130,0" path="m10,10l3140,10e" filled="false" stroked="true" strokeweight=".96001pt" strokecolor="#41b7ee">
                <v:path arrowok="t"/>
              </v:shape>
            </v:group>
            <v:group style="position:absolute;left:3140;top:10;width:58;height:2" coordorigin="3140,10" coordsize="58,2">
              <v:shape style="position:absolute;left:3140;top:10;width:58;height:2" coordorigin="3140,10" coordsize="58,0" path="m3140,10l3197,10e" filled="false" stroked="true" strokeweight=".96001pt" strokecolor="#41b7ee">
                <v:path arrowok="t"/>
              </v:shape>
            </v:group>
            <v:group style="position:absolute;left:3197;top:10;width:5080;height:2" coordorigin="3197,10" coordsize="5080,2">
              <v:shape style="position:absolute;left:3197;top:10;width:5080;height:2" coordorigin="3197,10" coordsize="5080,0" path="m3197,10l8277,10e" filled="false" stroked="true" strokeweight=".96001pt" strokecolor="#41b7ee">
                <v:path arrowok="t"/>
              </v:shape>
            </v:group>
            <v:group style="position:absolute;left:8277;top:10;width:58;height:2" coordorigin="8277,10" coordsize="58,2">
              <v:shape style="position:absolute;left:8277;top:10;width:58;height:2" coordorigin="8277,10" coordsize="58,0" path="m8277,10l8334,10e" filled="false" stroked="true" strokeweight=".96001pt" strokecolor="#41b7ee">
                <v:path arrowok="t"/>
              </v:shape>
            </v:group>
            <v:group style="position:absolute;left:8334;top:10;width:5612;height:2" coordorigin="8334,10" coordsize="5612,2">
              <v:shape style="position:absolute;left:8334;top:10;width:5612;height:2" coordorigin="8334,10" coordsize="5612,0" path="m8334,10l13946,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28" w:type="dxa"/>
        <w:tblLayout w:type="fixed"/>
        <w:tblCellMar>
          <w:top w:w="0" w:type="dxa"/>
          <w:left w:w="0" w:type="dxa"/>
          <w:bottom w:w="0" w:type="dxa"/>
          <w:right w:w="0" w:type="dxa"/>
        </w:tblCellMar>
        <w:tblLook w:val="01E0"/>
      </w:tblPr>
      <w:tblGrid>
        <w:gridCol w:w="3135"/>
        <w:gridCol w:w="1565"/>
        <w:gridCol w:w="715"/>
        <w:gridCol w:w="1565"/>
        <w:gridCol w:w="713"/>
        <w:gridCol w:w="578"/>
        <w:gridCol w:w="1536"/>
        <w:gridCol w:w="725"/>
        <w:gridCol w:w="1539"/>
        <w:gridCol w:w="749"/>
        <w:gridCol w:w="1116"/>
      </w:tblGrid>
      <w:tr>
        <w:trPr>
          <w:trHeight w:val="370" w:hRule="exact"/>
        </w:trPr>
        <w:tc>
          <w:tcPr>
            <w:tcW w:w="3135" w:type="dxa"/>
            <w:vMerge w:val="restart"/>
            <w:tcBorders>
              <w:top w:val="single" w:sz="8" w:space="0" w:color="41B7EE"/>
              <w:left w:val="nil" w:sz="6" w:space="0" w:color="auto"/>
              <w:right w:val="single" w:sz="4" w:space="0" w:color="41B7EE"/>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8"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5137" w:type="dxa"/>
            <w:gridSpan w:val="5"/>
            <w:tcBorders>
              <w:top w:val="single" w:sz="8" w:space="0" w:color="41B7EE"/>
              <w:left w:val="single" w:sz="4" w:space="0" w:color="41B7EE"/>
              <w:bottom w:val="single" w:sz="4" w:space="0" w:color="41B7EE"/>
              <w:right w:val="single" w:sz="4" w:space="0" w:color="41B7EE"/>
            </w:tcBorders>
          </w:tcPr>
          <w:p>
            <w:pPr>
              <w:pStyle w:val="TableParagraph"/>
              <w:spacing w:line="240" w:lineRule="auto" w:before="6"/>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5665" w:type="dxa"/>
            <w:gridSpan w:val="5"/>
            <w:tcBorders>
              <w:top w:val="single" w:sz="8" w:space="0" w:color="41B7EE"/>
              <w:left w:val="single" w:sz="4" w:space="0" w:color="41B7EE"/>
              <w:bottom w:val="single" w:sz="4" w:space="0" w:color="41B7EE"/>
              <w:right w:val="nil" w:sz="6" w:space="0" w:color="auto"/>
            </w:tcBorders>
          </w:tcPr>
          <w:p>
            <w:pPr>
              <w:pStyle w:val="TableParagraph"/>
              <w:spacing w:line="240" w:lineRule="auto" w:before="6"/>
              <w:ind w:left="9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58" w:hRule="exact"/>
        </w:trPr>
        <w:tc>
          <w:tcPr>
            <w:tcW w:w="3135" w:type="dxa"/>
            <w:vMerge/>
            <w:tcBorders>
              <w:left w:val="nil" w:sz="6" w:space="0" w:color="auto"/>
              <w:right w:val="single" w:sz="4" w:space="0" w:color="41B7EE"/>
            </w:tcBorders>
          </w:tcPr>
          <w:p>
            <w:pPr/>
          </w:p>
        </w:tc>
        <w:tc>
          <w:tcPr>
            <w:tcW w:w="2281" w:type="dxa"/>
            <w:gridSpan w:val="2"/>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715"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278" w:type="dxa"/>
            <w:gridSpan w:val="2"/>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712"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578" w:type="dxa"/>
            <w:vMerge w:val="restart"/>
            <w:tcBorders>
              <w:top w:val="single" w:sz="4" w:space="0" w:color="41B7EE"/>
              <w:left w:val="single" w:sz="4" w:space="0" w:color="41B7EE"/>
              <w:right w:val="single" w:sz="10" w:space="0" w:color="FFFFFF"/>
            </w:tcBorders>
          </w:tcPr>
          <w:p>
            <w:pPr>
              <w:pStyle w:val="TableParagraph"/>
              <w:spacing w:line="240" w:lineRule="auto" w:before="143"/>
              <w:ind w:left="74" w:right="-39"/>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2261" w:type="dxa"/>
            <w:gridSpan w:val="2"/>
            <w:tcBorders>
              <w:top w:val="single" w:sz="4" w:space="0" w:color="41B7EE"/>
              <w:left w:val="single" w:sz="10" w:space="0" w:color="FFFFFF"/>
              <w:bottom w:val="single" w:sz="54" w:space="0" w:color="FFFFFF"/>
              <w:right w:val="single" w:sz="4" w:space="0" w:color="41B7EE"/>
            </w:tcBorders>
          </w:tcPr>
          <w:p>
            <w:pPr>
              <w:pStyle w:val="TableParagraph"/>
              <w:spacing w:line="240" w:lineRule="auto" w:before="2"/>
              <w:ind w:left="695"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288" w:type="dxa"/>
            <w:gridSpan w:val="2"/>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left="718"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116" w:type="dxa"/>
            <w:vMerge w:val="restart"/>
            <w:tcBorders>
              <w:top w:val="single" w:sz="4" w:space="0" w:color="41B7EE"/>
              <w:left w:val="single" w:sz="4" w:space="0" w:color="41B7EE"/>
              <w:right w:val="nil" w:sz="6" w:space="0" w:color="auto"/>
            </w:tcBorders>
          </w:tcPr>
          <w:p>
            <w:pPr>
              <w:pStyle w:val="TableParagraph"/>
              <w:spacing w:line="240" w:lineRule="auto" w:before="143"/>
              <w:ind w:left="340" w:right="242"/>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555" w:hRule="exact"/>
        </w:trPr>
        <w:tc>
          <w:tcPr>
            <w:tcW w:w="3135" w:type="dxa"/>
            <w:vMerge/>
            <w:tcBorders>
              <w:left w:val="nil" w:sz="6" w:space="0" w:color="auto"/>
              <w:bottom w:val="single" w:sz="4" w:space="0" w:color="41B7EE"/>
              <w:right w:val="single" w:sz="4" w:space="0" w:color="41B7EE"/>
            </w:tcBorders>
          </w:tcPr>
          <w:p>
            <w:pPr/>
          </w:p>
        </w:tc>
        <w:tc>
          <w:tcPr>
            <w:tcW w:w="156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0"/>
              <w:ind w:left="568"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15" w:type="dxa"/>
            <w:tcBorders>
              <w:top w:val="single" w:sz="4" w:space="0" w:color="41B7EE"/>
              <w:left w:val="single" w:sz="4" w:space="0" w:color="41B7EE"/>
              <w:bottom w:val="single" w:sz="4" w:space="0" w:color="41B7EE"/>
              <w:right w:val="single" w:sz="4" w:space="0" w:color="41B7EE"/>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14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56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0"/>
              <w:ind w:left="566"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39" w:lineRule="exact"/>
              <w:ind w:left="35" w:right="0"/>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35"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578" w:type="dxa"/>
            <w:vMerge/>
            <w:tcBorders>
              <w:left w:val="single" w:sz="4" w:space="0" w:color="41B7EE"/>
              <w:bottom w:val="single" w:sz="4" w:space="0" w:color="41B7EE"/>
              <w:right w:val="single" w:sz="10" w:space="0" w:color="FFFFFF"/>
            </w:tcBorders>
          </w:tcPr>
          <w:p>
            <w:pPr/>
          </w:p>
        </w:tc>
        <w:tc>
          <w:tcPr>
            <w:tcW w:w="1536" w:type="dxa"/>
            <w:tcBorders>
              <w:top w:val="single" w:sz="73" w:space="0" w:color="FFFFFF"/>
              <w:left w:val="single" w:sz="10" w:space="0" w:color="FFFFFF"/>
              <w:bottom w:val="single" w:sz="4" w:space="0" w:color="41B7EE"/>
              <w:right w:val="single" w:sz="4" w:space="0" w:color="41B7EE"/>
            </w:tcBorders>
          </w:tcPr>
          <w:p>
            <w:pPr>
              <w:pStyle w:val="TableParagraph"/>
              <w:spacing w:line="240" w:lineRule="auto" w:before="14"/>
              <w:ind w:left="544"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25" w:type="dxa"/>
            <w:tcBorders>
              <w:top w:val="single" w:sz="15" w:space="0" w:color="FFFFFF"/>
              <w:left w:val="single" w:sz="4" w:space="0" w:color="41B7EE"/>
              <w:bottom w:val="single" w:sz="4" w:space="0" w:color="41B7EE"/>
              <w:right w:val="single" w:sz="4" w:space="0" w:color="41B7EE"/>
            </w:tcBorders>
          </w:tcPr>
          <w:p>
            <w:pPr>
              <w:pStyle w:val="TableParagraph"/>
              <w:spacing w:line="225" w:lineRule="exact"/>
              <w:ind w:left="14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14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53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0"/>
              <w:ind w:left="555"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49" w:type="dxa"/>
            <w:tcBorders>
              <w:top w:val="single" w:sz="4" w:space="0" w:color="41B7EE"/>
              <w:left w:val="single" w:sz="4" w:space="0" w:color="41B7EE"/>
              <w:bottom w:val="single" w:sz="4" w:space="0" w:color="41B7EE"/>
              <w:right w:val="single" w:sz="4" w:space="0" w:color="41B7EE"/>
            </w:tcBorders>
          </w:tcPr>
          <w:p>
            <w:pPr>
              <w:pStyle w:val="TableParagraph"/>
              <w:spacing w:line="239" w:lineRule="exact"/>
              <w:ind w:left="52" w:right="0"/>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52"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116" w:type="dxa"/>
            <w:vMerge/>
            <w:tcBorders>
              <w:left w:val="single" w:sz="4" w:space="0" w:color="41B7EE"/>
              <w:bottom w:val="single" w:sz="4" w:space="0" w:color="41B7EE"/>
              <w:right w:val="nil" w:sz="6" w:space="0" w:color="auto"/>
            </w:tcBorders>
          </w:tcPr>
          <w:p>
            <w:pPr/>
          </w:p>
        </w:tc>
      </w:tr>
      <w:tr>
        <w:trPr>
          <w:trHeight w:val="355" w:hRule="exact"/>
        </w:trPr>
        <w:tc>
          <w:tcPr>
            <w:tcW w:w="313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按单项计提坏账准备</w:t>
            </w:r>
            <w:r>
              <w:rPr>
                <w:rFonts w:ascii="宋体" w:hAnsi="宋体" w:cs="宋体" w:eastAsia="宋体" w:hint="default"/>
                <w:sz w:val="21"/>
                <w:szCs w:val="21"/>
              </w:rPr>
              <w:t> </w:t>
            </w:r>
          </w:p>
        </w:tc>
        <w:tc>
          <w:tcPr>
            <w:tcW w:w="156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118,054,042.23</w:t>
            </w:r>
          </w:p>
        </w:tc>
        <w:tc>
          <w:tcPr>
            <w:tcW w:w="71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4"/>
              <w:jc w:val="right"/>
              <w:rPr>
                <w:rFonts w:ascii="Arial" w:hAnsi="Arial" w:cs="Arial" w:eastAsia="Arial" w:hint="default"/>
                <w:sz w:val="21"/>
                <w:szCs w:val="21"/>
              </w:rPr>
            </w:pPr>
            <w:r>
              <w:rPr>
                <w:rFonts w:ascii="Arial"/>
                <w:sz w:val="21"/>
              </w:rPr>
              <w:t>100.00</w:t>
            </w:r>
          </w:p>
        </w:tc>
        <w:tc>
          <w:tcPr>
            <w:tcW w:w="156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118,054,042.23</w:t>
            </w: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left="9" w:right="0"/>
              <w:jc w:val="center"/>
              <w:rPr>
                <w:rFonts w:ascii="Arial" w:hAnsi="Arial" w:cs="Arial" w:eastAsia="Arial" w:hint="default"/>
                <w:sz w:val="21"/>
                <w:szCs w:val="21"/>
              </w:rPr>
            </w:pPr>
            <w:r>
              <w:rPr>
                <w:rFonts w:ascii="Arial"/>
                <w:sz w:val="21"/>
              </w:rPr>
              <w:t>100.00</w:t>
            </w:r>
          </w:p>
        </w:tc>
        <w:tc>
          <w:tcPr>
            <w:tcW w:w="578" w:type="dxa"/>
            <w:tcBorders>
              <w:top w:val="single" w:sz="4" w:space="0" w:color="41B7EE"/>
              <w:left w:val="single" w:sz="4" w:space="0" w:color="41B7EE"/>
              <w:bottom w:val="single" w:sz="4" w:space="0" w:color="41B7EE"/>
              <w:right w:val="single" w:sz="4" w:space="0" w:color="41B7EE"/>
            </w:tcBorders>
          </w:tcPr>
          <w:p>
            <w:pPr/>
          </w:p>
        </w:tc>
        <w:tc>
          <w:tcPr>
            <w:tcW w:w="153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118,130,992.39</w:t>
            </w:r>
          </w:p>
        </w:tc>
        <w:tc>
          <w:tcPr>
            <w:tcW w:w="72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99.67</w:t>
            </w:r>
          </w:p>
        </w:tc>
        <w:tc>
          <w:tcPr>
            <w:tcW w:w="153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118,130,992.39</w:t>
            </w:r>
          </w:p>
        </w:tc>
        <w:tc>
          <w:tcPr>
            <w:tcW w:w="74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4"/>
              <w:jc w:val="right"/>
              <w:rPr>
                <w:rFonts w:ascii="Arial" w:hAnsi="Arial" w:cs="Arial" w:eastAsia="Arial" w:hint="default"/>
                <w:sz w:val="21"/>
                <w:szCs w:val="21"/>
              </w:rPr>
            </w:pPr>
            <w:r>
              <w:rPr>
                <w:rFonts w:ascii="Arial"/>
                <w:sz w:val="21"/>
              </w:rPr>
              <w:t>100.00</w:t>
            </w:r>
          </w:p>
        </w:tc>
        <w:tc>
          <w:tcPr>
            <w:tcW w:w="1116"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13936" w:type="dxa"/>
            <w:gridSpan w:val="11"/>
            <w:tcBorders>
              <w:top w:val="single" w:sz="4" w:space="0" w:color="41B7EE"/>
              <w:left w:val="nil" w:sz="6" w:space="0" w:color="auto"/>
              <w:bottom w:val="single" w:sz="4" w:space="0" w:color="41B7EE"/>
              <w:right w:val="nil" w:sz="6" w:space="0" w:color="auto"/>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4" w:hRule="exact"/>
        </w:trPr>
        <w:tc>
          <w:tcPr>
            <w:tcW w:w="3135" w:type="dxa"/>
            <w:tcBorders>
              <w:top w:val="single" w:sz="4" w:space="0" w:color="41B7EE"/>
              <w:left w:val="nil" w:sz="6" w:space="0" w:color="auto"/>
              <w:bottom w:val="single" w:sz="4" w:space="0" w:color="41B7EE"/>
              <w:right w:val="single" w:sz="4" w:space="0" w:color="41B7EE"/>
            </w:tcBorders>
          </w:tcPr>
          <w:p>
            <w:pPr>
              <w:pStyle w:val="TableParagraph"/>
              <w:spacing w:line="240" w:lineRule="exact"/>
              <w:ind w:left="451" w:right="0"/>
              <w:jc w:val="left"/>
              <w:rPr>
                <w:rFonts w:ascii="宋体" w:hAnsi="宋体" w:cs="宋体" w:eastAsia="宋体" w:hint="default"/>
                <w:sz w:val="21"/>
                <w:szCs w:val="21"/>
              </w:rPr>
            </w:pPr>
            <w:r>
              <w:rPr>
                <w:rFonts w:ascii="宋体" w:hAnsi="宋体" w:cs="宋体" w:eastAsia="宋体" w:hint="default"/>
                <w:sz w:val="21"/>
                <w:szCs w:val="21"/>
              </w:rPr>
              <w:t>单项金额重大并单独计提坏</w:t>
            </w:r>
          </w:p>
          <w:p>
            <w:pPr>
              <w:pStyle w:val="TableParagraph"/>
              <w:spacing w:line="274" w:lineRule="exact"/>
              <w:ind w:left="31" w:right="0"/>
              <w:jc w:val="left"/>
              <w:rPr>
                <w:rFonts w:ascii="宋体" w:hAnsi="宋体" w:cs="宋体" w:eastAsia="宋体" w:hint="default"/>
                <w:sz w:val="21"/>
                <w:szCs w:val="21"/>
              </w:rPr>
            </w:pPr>
            <w:r>
              <w:rPr>
                <w:rFonts w:ascii="宋体" w:hAnsi="宋体" w:cs="宋体" w:eastAsia="宋体" w:hint="default"/>
                <w:sz w:val="21"/>
                <w:szCs w:val="21"/>
              </w:rPr>
              <w:t>账准备的应收账款</w:t>
            </w:r>
            <w:r>
              <w:rPr>
                <w:rFonts w:ascii="宋体" w:hAnsi="宋体" w:cs="宋体" w:eastAsia="宋体" w:hint="default"/>
                <w:color w:val="808080"/>
                <w:sz w:val="21"/>
                <w:szCs w:val="21"/>
              </w:rPr>
              <w:t> </w:t>
            </w:r>
            <w:r>
              <w:rPr>
                <w:rFonts w:ascii="宋体" w:hAnsi="宋体" w:cs="宋体" w:eastAsia="宋体" w:hint="default"/>
                <w:sz w:val="21"/>
                <w:szCs w:val="21"/>
              </w:rPr>
            </w:r>
          </w:p>
        </w:tc>
        <w:tc>
          <w:tcPr>
            <w:tcW w:w="156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20"/>
              <w:jc w:val="right"/>
              <w:rPr>
                <w:rFonts w:ascii="Arial" w:hAnsi="Arial" w:cs="Arial" w:eastAsia="Arial" w:hint="default"/>
                <w:sz w:val="21"/>
                <w:szCs w:val="21"/>
              </w:rPr>
            </w:pPr>
            <w:r>
              <w:rPr>
                <w:rFonts w:ascii="Arial"/>
                <w:spacing w:val="-1"/>
                <w:sz w:val="21"/>
              </w:rPr>
              <w:t>72,201,823.16</w:t>
            </w:r>
          </w:p>
        </w:tc>
        <w:tc>
          <w:tcPr>
            <w:tcW w:w="71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24"/>
              <w:jc w:val="right"/>
              <w:rPr>
                <w:rFonts w:ascii="Arial" w:hAnsi="Arial" w:cs="Arial" w:eastAsia="Arial" w:hint="default"/>
                <w:sz w:val="21"/>
                <w:szCs w:val="21"/>
              </w:rPr>
            </w:pPr>
            <w:r>
              <w:rPr>
                <w:rFonts w:ascii="Arial"/>
                <w:spacing w:val="-1"/>
                <w:sz w:val="21"/>
              </w:rPr>
              <w:t>61.16</w:t>
            </w:r>
          </w:p>
        </w:tc>
        <w:tc>
          <w:tcPr>
            <w:tcW w:w="156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22"/>
              <w:jc w:val="right"/>
              <w:rPr>
                <w:rFonts w:ascii="Arial" w:hAnsi="Arial" w:cs="Arial" w:eastAsia="Arial" w:hint="default"/>
                <w:sz w:val="21"/>
                <w:szCs w:val="21"/>
              </w:rPr>
            </w:pPr>
            <w:r>
              <w:rPr>
                <w:rFonts w:ascii="Arial"/>
                <w:spacing w:val="-1"/>
                <w:sz w:val="21"/>
              </w:rPr>
              <w:t>72,201,823.16</w:t>
            </w: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left="9" w:right="0"/>
              <w:jc w:val="center"/>
              <w:rPr>
                <w:rFonts w:ascii="Arial" w:hAnsi="Arial" w:cs="Arial" w:eastAsia="Arial" w:hint="default"/>
                <w:sz w:val="21"/>
                <w:szCs w:val="21"/>
              </w:rPr>
            </w:pPr>
            <w:r>
              <w:rPr>
                <w:rFonts w:ascii="Arial"/>
                <w:sz w:val="21"/>
              </w:rPr>
              <w:t>100.00</w:t>
            </w:r>
          </w:p>
        </w:tc>
        <w:tc>
          <w:tcPr>
            <w:tcW w:w="578" w:type="dxa"/>
            <w:tcBorders>
              <w:top w:val="single" w:sz="4" w:space="0" w:color="41B7EE"/>
              <w:left w:val="single" w:sz="4" w:space="0" w:color="41B7EE"/>
              <w:bottom w:val="single" w:sz="4" w:space="0" w:color="41B7EE"/>
              <w:right w:val="single" w:sz="4" w:space="0" w:color="41B7EE"/>
            </w:tcBorders>
          </w:tcPr>
          <w:p>
            <w:pPr/>
          </w:p>
        </w:tc>
        <w:tc>
          <w:tcPr>
            <w:tcW w:w="153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22"/>
              <w:jc w:val="right"/>
              <w:rPr>
                <w:rFonts w:ascii="Arial" w:hAnsi="Arial" w:cs="Arial" w:eastAsia="Arial" w:hint="default"/>
                <w:sz w:val="21"/>
                <w:szCs w:val="21"/>
              </w:rPr>
            </w:pPr>
            <w:r>
              <w:rPr>
                <w:rFonts w:ascii="Arial"/>
                <w:spacing w:val="-1"/>
                <w:sz w:val="21"/>
              </w:rPr>
              <w:t>72,201,823.16</w:t>
            </w:r>
          </w:p>
        </w:tc>
        <w:tc>
          <w:tcPr>
            <w:tcW w:w="72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22"/>
              <w:jc w:val="right"/>
              <w:rPr>
                <w:rFonts w:ascii="Arial" w:hAnsi="Arial" w:cs="Arial" w:eastAsia="Arial" w:hint="default"/>
                <w:sz w:val="21"/>
                <w:szCs w:val="21"/>
              </w:rPr>
            </w:pPr>
            <w:r>
              <w:rPr>
                <w:rFonts w:ascii="Arial"/>
                <w:spacing w:val="-1"/>
                <w:sz w:val="21"/>
              </w:rPr>
              <w:t>60.92</w:t>
            </w:r>
          </w:p>
        </w:tc>
        <w:tc>
          <w:tcPr>
            <w:tcW w:w="153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23"/>
              <w:jc w:val="right"/>
              <w:rPr>
                <w:rFonts w:ascii="Arial" w:hAnsi="Arial" w:cs="Arial" w:eastAsia="Arial" w:hint="default"/>
                <w:sz w:val="21"/>
                <w:szCs w:val="21"/>
              </w:rPr>
            </w:pPr>
            <w:r>
              <w:rPr>
                <w:rFonts w:ascii="Arial"/>
                <w:spacing w:val="-1"/>
                <w:sz w:val="21"/>
              </w:rPr>
              <w:t>72,201,823.16</w:t>
            </w:r>
          </w:p>
        </w:tc>
        <w:tc>
          <w:tcPr>
            <w:tcW w:w="74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24"/>
              <w:jc w:val="right"/>
              <w:rPr>
                <w:rFonts w:ascii="Arial" w:hAnsi="Arial" w:cs="Arial" w:eastAsia="Arial" w:hint="default"/>
                <w:sz w:val="21"/>
                <w:szCs w:val="21"/>
              </w:rPr>
            </w:pPr>
            <w:r>
              <w:rPr>
                <w:rFonts w:ascii="Arial"/>
                <w:sz w:val="21"/>
              </w:rPr>
              <w:t>100.00</w:t>
            </w:r>
          </w:p>
        </w:tc>
        <w:tc>
          <w:tcPr>
            <w:tcW w:w="1116" w:type="dxa"/>
            <w:tcBorders>
              <w:top w:val="single" w:sz="4" w:space="0" w:color="41B7EE"/>
              <w:left w:val="single" w:sz="4" w:space="0" w:color="41B7EE"/>
              <w:bottom w:val="single" w:sz="4" w:space="0" w:color="41B7EE"/>
              <w:right w:val="nil" w:sz="6" w:space="0" w:color="auto"/>
            </w:tcBorders>
          </w:tcPr>
          <w:p>
            <w:pPr/>
          </w:p>
        </w:tc>
      </w:tr>
      <w:tr>
        <w:trPr>
          <w:trHeight w:val="554" w:hRule="exact"/>
        </w:trPr>
        <w:tc>
          <w:tcPr>
            <w:tcW w:w="3135" w:type="dxa"/>
            <w:tcBorders>
              <w:top w:val="single" w:sz="4" w:space="0" w:color="41B7EE"/>
              <w:left w:val="nil" w:sz="6" w:space="0" w:color="auto"/>
              <w:bottom w:val="single" w:sz="4" w:space="0" w:color="41B7EE"/>
              <w:right w:val="single" w:sz="4" w:space="0" w:color="41B7EE"/>
            </w:tcBorders>
          </w:tcPr>
          <w:p>
            <w:pPr>
              <w:pStyle w:val="TableParagraph"/>
              <w:spacing w:line="240" w:lineRule="exact"/>
              <w:ind w:left="451" w:right="0"/>
              <w:jc w:val="left"/>
              <w:rPr>
                <w:rFonts w:ascii="宋体" w:hAnsi="宋体" w:cs="宋体" w:eastAsia="宋体" w:hint="default"/>
                <w:sz w:val="21"/>
                <w:szCs w:val="21"/>
              </w:rPr>
            </w:pPr>
            <w:r>
              <w:rPr>
                <w:rFonts w:ascii="宋体" w:hAnsi="宋体" w:cs="宋体" w:eastAsia="宋体" w:hint="default"/>
                <w:sz w:val="21"/>
                <w:szCs w:val="21"/>
              </w:rPr>
              <w:t>单项金额不重大但单独计提</w:t>
            </w:r>
          </w:p>
          <w:p>
            <w:pPr>
              <w:pStyle w:val="TableParagraph"/>
              <w:spacing w:line="274" w:lineRule="exact"/>
              <w:ind w:left="31" w:right="0"/>
              <w:jc w:val="left"/>
              <w:rPr>
                <w:rFonts w:ascii="宋体" w:hAnsi="宋体" w:cs="宋体" w:eastAsia="宋体" w:hint="default"/>
                <w:sz w:val="21"/>
                <w:szCs w:val="21"/>
              </w:rPr>
            </w:pPr>
            <w:r>
              <w:rPr>
                <w:rFonts w:ascii="宋体" w:hAnsi="宋体" w:cs="宋体" w:eastAsia="宋体" w:hint="default"/>
                <w:sz w:val="21"/>
                <w:szCs w:val="21"/>
              </w:rPr>
              <w:t>坏账准备的应收账款</w:t>
            </w:r>
            <w:r>
              <w:rPr>
                <w:rFonts w:ascii="宋体" w:hAnsi="宋体" w:cs="宋体" w:eastAsia="宋体" w:hint="default"/>
                <w:color w:val="808080"/>
                <w:sz w:val="21"/>
                <w:szCs w:val="21"/>
              </w:rPr>
              <w:t> </w:t>
            </w:r>
            <w:r>
              <w:rPr>
                <w:rFonts w:ascii="宋体" w:hAnsi="宋体" w:cs="宋体" w:eastAsia="宋体" w:hint="default"/>
                <w:sz w:val="21"/>
                <w:szCs w:val="21"/>
              </w:rPr>
            </w:r>
          </w:p>
        </w:tc>
        <w:tc>
          <w:tcPr>
            <w:tcW w:w="156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20"/>
              <w:jc w:val="right"/>
              <w:rPr>
                <w:rFonts w:ascii="Arial" w:hAnsi="Arial" w:cs="Arial" w:eastAsia="Arial" w:hint="default"/>
                <w:sz w:val="21"/>
                <w:szCs w:val="21"/>
              </w:rPr>
            </w:pPr>
            <w:r>
              <w:rPr>
                <w:rFonts w:ascii="Arial"/>
                <w:spacing w:val="-1"/>
                <w:sz w:val="21"/>
              </w:rPr>
              <w:t>45,852,219.07</w:t>
            </w:r>
          </w:p>
        </w:tc>
        <w:tc>
          <w:tcPr>
            <w:tcW w:w="71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24"/>
              <w:jc w:val="right"/>
              <w:rPr>
                <w:rFonts w:ascii="Arial" w:hAnsi="Arial" w:cs="Arial" w:eastAsia="Arial" w:hint="default"/>
                <w:sz w:val="21"/>
                <w:szCs w:val="21"/>
              </w:rPr>
            </w:pPr>
            <w:r>
              <w:rPr>
                <w:rFonts w:ascii="Arial"/>
                <w:spacing w:val="-1"/>
                <w:sz w:val="21"/>
              </w:rPr>
              <w:t>38.84</w:t>
            </w:r>
          </w:p>
        </w:tc>
        <w:tc>
          <w:tcPr>
            <w:tcW w:w="156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22"/>
              <w:jc w:val="right"/>
              <w:rPr>
                <w:rFonts w:ascii="Arial" w:hAnsi="Arial" w:cs="Arial" w:eastAsia="Arial" w:hint="default"/>
                <w:sz w:val="21"/>
                <w:szCs w:val="21"/>
              </w:rPr>
            </w:pPr>
            <w:r>
              <w:rPr>
                <w:rFonts w:ascii="Arial"/>
                <w:spacing w:val="-1"/>
                <w:sz w:val="21"/>
              </w:rPr>
              <w:t>45,852,219.07</w:t>
            </w: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left="9" w:right="0"/>
              <w:jc w:val="center"/>
              <w:rPr>
                <w:rFonts w:ascii="Arial" w:hAnsi="Arial" w:cs="Arial" w:eastAsia="Arial" w:hint="default"/>
                <w:sz w:val="21"/>
                <w:szCs w:val="21"/>
              </w:rPr>
            </w:pPr>
            <w:r>
              <w:rPr>
                <w:rFonts w:ascii="Arial"/>
                <w:sz w:val="21"/>
              </w:rPr>
              <w:t>100.00</w:t>
            </w:r>
          </w:p>
        </w:tc>
        <w:tc>
          <w:tcPr>
            <w:tcW w:w="578" w:type="dxa"/>
            <w:tcBorders>
              <w:top w:val="single" w:sz="4" w:space="0" w:color="41B7EE"/>
              <w:left w:val="single" w:sz="4" w:space="0" w:color="41B7EE"/>
              <w:bottom w:val="single" w:sz="4" w:space="0" w:color="41B7EE"/>
              <w:right w:val="single" w:sz="4" w:space="0" w:color="41B7EE"/>
            </w:tcBorders>
          </w:tcPr>
          <w:p>
            <w:pPr/>
          </w:p>
        </w:tc>
        <w:tc>
          <w:tcPr>
            <w:tcW w:w="153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22"/>
              <w:jc w:val="right"/>
              <w:rPr>
                <w:rFonts w:ascii="Arial" w:hAnsi="Arial" w:cs="Arial" w:eastAsia="Arial" w:hint="default"/>
                <w:sz w:val="21"/>
                <w:szCs w:val="21"/>
              </w:rPr>
            </w:pPr>
            <w:r>
              <w:rPr>
                <w:rFonts w:ascii="Arial"/>
                <w:spacing w:val="-1"/>
                <w:sz w:val="21"/>
              </w:rPr>
              <w:t>45,929,169.23</w:t>
            </w:r>
          </w:p>
        </w:tc>
        <w:tc>
          <w:tcPr>
            <w:tcW w:w="72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22"/>
              <w:jc w:val="right"/>
              <w:rPr>
                <w:rFonts w:ascii="Arial" w:hAnsi="Arial" w:cs="Arial" w:eastAsia="Arial" w:hint="default"/>
                <w:sz w:val="21"/>
                <w:szCs w:val="21"/>
              </w:rPr>
            </w:pPr>
            <w:r>
              <w:rPr>
                <w:rFonts w:ascii="Arial"/>
                <w:spacing w:val="-1"/>
                <w:sz w:val="21"/>
              </w:rPr>
              <w:t>38.75</w:t>
            </w:r>
          </w:p>
        </w:tc>
        <w:tc>
          <w:tcPr>
            <w:tcW w:w="153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23"/>
              <w:jc w:val="right"/>
              <w:rPr>
                <w:rFonts w:ascii="Arial" w:hAnsi="Arial" w:cs="Arial" w:eastAsia="Arial" w:hint="default"/>
                <w:sz w:val="21"/>
                <w:szCs w:val="21"/>
              </w:rPr>
            </w:pPr>
            <w:r>
              <w:rPr>
                <w:rFonts w:ascii="Arial"/>
                <w:spacing w:val="-1"/>
                <w:sz w:val="21"/>
              </w:rPr>
              <w:t>45,929,169.23</w:t>
            </w:r>
          </w:p>
        </w:tc>
        <w:tc>
          <w:tcPr>
            <w:tcW w:w="74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8"/>
              <w:ind w:right="24"/>
              <w:jc w:val="right"/>
              <w:rPr>
                <w:rFonts w:ascii="Arial" w:hAnsi="Arial" w:cs="Arial" w:eastAsia="Arial" w:hint="default"/>
                <w:sz w:val="21"/>
                <w:szCs w:val="21"/>
              </w:rPr>
            </w:pPr>
            <w:r>
              <w:rPr>
                <w:rFonts w:ascii="Arial"/>
                <w:sz w:val="21"/>
              </w:rPr>
              <w:t>100.00</w:t>
            </w:r>
          </w:p>
        </w:tc>
        <w:tc>
          <w:tcPr>
            <w:tcW w:w="1116"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13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r>
              <w:rPr>
                <w:rFonts w:ascii="宋体" w:hAnsi="宋体" w:cs="宋体" w:eastAsia="宋体" w:hint="default"/>
                <w:sz w:val="21"/>
                <w:szCs w:val="21"/>
              </w:rPr>
              <w:t> </w:t>
            </w:r>
          </w:p>
        </w:tc>
        <w:tc>
          <w:tcPr>
            <w:tcW w:w="1565" w:type="dxa"/>
            <w:tcBorders>
              <w:top w:val="single" w:sz="4" w:space="0" w:color="41B7EE"/>
              <w:left w:val="single" w:sz="4" w:space="0" w:color="41B7EE"/>
              <w:bottom w:val="single" w:sz="4" w:space="0" w:color="41B7EE"/>
              <w:right w:val="single" w:sz="4" w:space="0" w:color="41B7EE"/>
            </w:tcBorders>
          </w:tcPr>
          <w:p>
            <w:pPr/>
          </w:p>
        </w:tc>
        <w:tc>
          <w:tcPr>
            <w:tcW w:w="715" w:type="dxa"/>
            <w:tcBorders>
              <w:top w:val="single" w:sz="4" w:space="0" w:color="41B7EE"/>
              <w:left w:val="single" w:sz="4" w:space="0" w:color="41B7EE"/>
              <w:bottom w:val="single" w:sz="4" w:space="0" w:color="41B7EE"/>
              <w:right w:val="single" w:sz="4" w:space="0" w:color="41B7EE"/>
            </w:tcBorders>
          </w:tcPr>
          <w:p>
            <w:pPr/>
          </w:p>
        </w:tc>
        <w:tc>
          <w:tcPr>
            <w:tcW w:w="1565" w:type="dxa"/>
            <w:tcBorders>
              <w:top w:val="single" w:sz="4" w:space="0" w:color="41B7EE"/>
              <w:left w:val="single" w:sz="4" w:space="0" w:color="41B7EE"/>
              <w:bottom w:val="single" w:sz="4" w:space="0" w:color="41B7EE"/>
              <w:right w:val="single" w:sz="4" w:space="0" w:color="41B7EE"/>
            </w:tcBorders>
          </w:tcPr>
          <w:p>
            <w:pPr/>
          </w:p>
        </w:tc>
        <w:tc>
          <w:tcPr>
            <w:tcW w:w="713" w:type="dxa"/>
            <w:tcBorders>
              <w:top w:val="single" w:sz="4" w:space="0" w:color="41B7EE"/>
              <w:left w:val="single" w:sz="4" w:space="0" w:color="41B7EE"/>
              <w:bottom w:val="single" w:sz="4" w:space="0" w:color="41B7EE"/>
              <w:right w:val="single" w:sz="4" w:space="0" w:color="41B7EE"/>
            </w:tcBorders>
          </w:tcPr>
          <w:p>
            <w:pPr/>
          </w:p>
        </w:tc>
        <w:tc>
          <w:tcPr>
            <w:tcW w:w="578" w:type="dxa"/>
            <w:tcBorders>
              <w:top w:val="single" w:sz="4" w:space="0" w:color="41B7EE"/>
              <w:left w:val="single" w:sz="4" w:space="0" w:color="41B7EE"/>
              <w:bottom w:val="single" w:sz="4" w:space="0" w:color="41B7EE"/>
              <w:right w:val="single" w:sz="4" w:space="0" w:color="41B7EE"/>
            </w:tcBorders>
          </w:tcPr>
          <w:p>
            <w:pPr/>
          </w:p>
        </w:tc>
        <w:tc>
          <w:tcPr>
            <w:tcW w:w="153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22"/>
              <w:jc w:val="right"/>
              <w:rPr>
                <w:rFonts w:ascii="Arial" w:hAnsi="Arial" w:cs="Arial" w:eastAsia="Arial" w:hint="default"/>
                <w:sz w:val="21"/>
                <w:szCs w:val="21"/>
              </w:rPr>
            </w:pPr>
            <w:r>
              <w:rPr>
                <w:rFonts w:ascii="Arial"/>
                <w:spacing w:val="-1"/>
                <w:sz w:val="21"/>
              </w:rPr>
              <w:t>388,216.00</w:t>
            </w:r>
          </w:p>
        </w:tc>
        <w:tc>
          <w:tcPr>
            <w:tcW w:w="72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22"/>
              <w:jc w:val="right"/>
              <w:rPr>
                <w:rFonts w:ascii="Arial" w:hAnsi="Arial" w:cs="Arial" w:eastAsia="Arial" w:hint="default"/>
                <w:sz w:val="21"/>
                <w:szCs w:val="21"/>
              </w:rPr>
            </w:pPr>
            <w:r>
              <w:rPr>
                <w:rFonts w:ascii="Arial"/>
                <w:spacing w:val="-1"/>
                <w:sz w:val="21"/>
              </w:rPr>
              <w:t>0.33</w:t>
            </w:r>
          </w:p>
        </w:tc>
        <w:tc>
          <w:tcPr>
            <w:tcW w:w="153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22"/>
              <w:jc w:val="right"/>
              <w:rPr>
                <w:rFonts w:ascii="Arial" w:hAnsi="Arial" w:cs="Arial" w:eastAsia="Arial" w:hint="default"/>
                <w:sz w:val="21"/>
                <w:szCs w:val="21"/>
              </w:rPr>
            </w:pPr>
            <w:r>
              <w:rPr>
                <w:rFonts w:ascii="Arial"/>
                <w:spacing w:val="-1"/>
                <w:sz w:val="21"/>
              </w:rPr>
              <w:t>194,108.00</w:t>
            </w:r>
          </w:p>
        </w:tc>
        <w:tc>
          <w:tcPr>
            <w:tcW w:w="74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24"/>
              <w:jc w:val="right"/>
              <w:rPr>
                <w:rFonts w:ascii="Arial" w:hAnsi="Arial" w:cs="Arial" w:eastAsia="Arial" w:hint="default"/>
                <w:sz w:val="21"/>
                <w:szCs w:val="21"/>
              </w:rPr>
            </w:pPr>
            <w:r>
              <w:rPr>
                <w:rFonts w:ascii="Arial"/>
                <w:spacing w:val="-1"/>
                <w:sz w:val="21"/>
              </w:rPr>
              <w:t>50.00</w:t>
            </w:r>
          </w:p>
        </w:tc>
        <w:tc>
          <w:tcPr>
            <w:tcW w:w="111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left="28" w:right="0"/>
              <w:jc w:val="left"/>
              <w:rPr>
                <w:rFonts w:ascii="Arial" w:hAnsi="Arial" w:cs="Arial" w:eastAsia="Arial" w:hint="default"/>
                <w:sz w:val="21"/>
                <w:szCs w:val="21"/>
              </w:rPr>
            </w:pPr>
            <w:r>
              <w:rPr>
                <w:rFonts w:ascii="Arial"/>
                <w:sz w:val="21"/>
              </w:rPr>
              <w:t>194,108.00</w:t>
            </w:r>
          </w:p>
        </w:tc>
      </w:tr>
      <w:tr>
        <w:trPr>
          <w:trHeight w:val="358" w:hRule="exact"/>
        </w:trPr>
        <w:tc>
          <w:tcPr>
            <w:tcW w:w="13936" w:type="dxa"/>
            <w:gridSpan w:val="11"/>
            <w:tcBorders>
              <w:top w:val="single" w:sz="4" w:space="0" w:color="41B7EE"/>
              <w:left w:val="nil" w:sz="6" w:space="0" w:color="auto"/>
              <w:bottom w:val="single" w:sz="4" w:space="0" w:color="41B7EE"/>
              <w:right w:val="nil" w:sz="6" w:space="0" w:color="auto"/>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358" w:hRule="exact"/>
        </w:trPr>
        <w:tc>
          <w:tcPr>
            <w:tcW w:w="313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451" w:right="0"/>
              <w:jc w:val="left"/>
              <w:rPr>
                <w:rFonts w:ascii="宋体" w:hAnsi="宋体" w:cs="宋体" w:eastAsia="宋体" w:hint="default"/>
                <w:sz w:val="21"/>
                <w:szCs w:val="21"/>
              </w:rPr>
            </w:pPr>
            <w:r>
              <w:rPr>
                <w:rFonts w:ascii="宋体" w:hAnsi="宋体" w:cs="宋体" w:eastAsia="宋体" w:hint="default"/>
                <w:sz w:val="21"/>
                <w:szCs w:val="21"/>
              </w:rPr>
              <w:t>账龄组合</w:t>
            </w:r>
            <w:r>
              <w:rPr>
                <w:rFonts w:ascii="宋体" w:hAnsi="宋体" w:cs="宋体" w:eastAsia="宋体" w:hint="default"/>
                <w:color w:val="808080"/>
                <w:sz w:val="21"/>
                <w:szCs w:val="21"/>
              </w:rPr>
              <w:t> </w:t>
            </w:r>
            <w:r>
              <w:rPr>
                <w:rFonts w:ascii="宋体" w:hAnsi="宋体" w:cs="宋体" w:eastAsia="宋体" w:hint="default"/>
                <w:sz w:val="21"/>
                <w:szCs w:val="21"/>
              </w:rPr>
            </w:r>
          </w:p>
        </w:tc>
        <w:tc>
          <w:tcPr>
            <w:tcW w:w="1565" w:type="dxa"/>
            <w:tcBorders>
              <w:top w:val="single" w:sz="4" w:space="0" w:color="41B7EE"/>
              <w:left w:val="single" w:sz="4" w:space="0" w:color="41B7EE"/>
              <w:bottom w:val="single" w:sz="4" w:space="0" w:color="41B7EE"/>
              <w:right w:val="single" w:sz="4" w:space="0" w:color="41B7EE"/>
            </w:tcBorders>
          </w:tcPr>
          <w:p>
            <w:pPr/>
          </w:p>
        </w:tc>
        <w:tc>
          <w:tcPr>
            <w:tcW w:w="715" w:type="dxa"/>
            <w:tcBorders>
              <w:top w:val="single" w:sz="4" w:space="0" w:color="41B7EE"/>
              <w:left w:val="single" w:sz="4" w:space="0" w:color="41B7EE"/>
              <w:bottom w:val="single" w:sz="4" w:space="0" w:color="41B7EE"/>
              <w:right w:val="single" w:sz="4" w:space="0" w:color="41B7EE"/>
            </w:tcBorders>
          </w:tcPr>
          <w:p>
            <w:pPr/>
          </w:p>
        </w:tc>
        <w:tc>
          <w:tcPr>
            <w:tcW w:w="1565" w:type="dxa"/>
            <w:tcBorders>
              <w:top w:val="single" w:sz="4" w:space="0" w:color="41B7EE"/>
              <w:left w:val="single" w:sz="4" w:space="0" w:color="41B7EE"/>
              <w:bottom w:val="single" w:sz="4" w:space="0" w:color="41B7EE"/>
              <w:right w:val="single" w:sz="4" w:space="0" w:color="41B7EE"/>
            </w:tcBorders>
          </w:tcPr>
          <w:p>
            <w:pPr/>
          </w:p>
        </w:tc>
        <w:tc>
          <w:tcPr>
            <w:tcW w:w="713" w:type="dxa"/>
            <w:tcBorders>
              <w:top w:val="single" w:sz="4" w:space="0" w:color="41B7EE"/>
              <w:left w:val="single" w:sz="4" w:space="0" w:color="41B7EE"/>
              <w:bottom w:val="single" w:sz="4" w:space="0" w:color="41B7EE"/>
              <w:right w:val="single" w:sz="4" w:space="0" w:color="41B7EE"/>
            </w:tcBorders>
          </w:tcPr>
          <w:p>
            <w:pPr/>
          </w:p>
        </w:tc>
        <w:tc>
          <w:tcPr>
            <w:tcW w:w="578" w:type="dxa"/>
            <w:tcBorders>
              <w:top w:val="single" w:sz="4" w:space="0" w:color="41B7EE"/>
              <w:left w:val="single" w:sz="4" w:space="0" w:color="41B7EE"/>
              <w:bottom w:val="single" w:sz="4" w:space="0" w:color="41B7EE"/>
              <w:right w:val="single" w:sz="4" w:space="0" w:color="41B7EE"/>
            </w:tcBorders>
          </w:tcPr>
          <w:p>
            <w:pPr/>
          </w:p>
        </w:tc>
        <w:tc>
          <w:tcPr>
            <w:tcW w:w="153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388,216.00</w:t>
            </w:r>
          </w:p>
        </w:tc>
        <w:tc>
          <w:tcPr>
            <w:tcW w:w="72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0.33</w:t>
            </w:r>
          </w:p>
        </w:tc>
        <w:tc>
          <w:tcPr>
            <w:tcW w:w="153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194,108.00</w:t>
            </w:r>
          </w:p>
        </w:tc>
        <w:tc>
          <w:tcPr>
            <w:tcW w:w="74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50.00</w:t>
            </w:r>
          </w:p>
        </w:tc>
        <w:tc>
          <w:tcPr>
            <w:tcW w:w="111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left="28" w:right="0"/>
              <w:jc w:val="left"/>
              <w:rPr>
                <w:rFonts w:ascii="Arial" w:hAnsi="Arial" w:cs="Arial" w:eastAsia="Arial" w:hint="default"/>
                <w:sz w:val="21"/>
                <w:szCs w:val="21"/>
              </w:rPr>
            </w:pPr>
            <w:r>
              <w:rPr>
                <w:rFonts w:ascii="Arial"/>
                <w:sz w:val="21"/>
              </w:rPr>
              <w:t>194,108.00</w:t>
            </w:r>
          </w:p>
        </w:tc>
      </w:tr>
      <w:tr>
        <w:trPr>
          <w:trHeight w:val="439" w:hRule="exact"/>
        </w:trPr>
        <w:tc>
          <w:tcPr>
            <w:tcW w:w="3135"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28"/>
              <w:ind w:left="10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65"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122"/>
              <w:ind w:right="20"/>
              <w:jc w:val="right"/>
              <w:rPr>
                <w:rFonts w:ascii="Arial" w:hAnsi="Arial" w:cs="Arial" w:eastAsia="Arial" w:hint="default"/>
                <w:sz w:val="21"/>
                <w:szCs w:val="21"/>
              </w:rPr>
            </w:pPr>
            <w:r>
              <w:rPr>
                <w:rFonts w:ascii="Arial"/>
                <w:spacing w:val="-1"/>
                <w:sz w:val="21"/>
              </w:rPr>
              <w:t>118,054,042.23</w:t>
            </w:r>
          </w:p>
        </w:tc>
        <w:tc>
          <w:tcPr>
            <w:tcW w:w="715"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74"/>
              <w:ind w:right="1"/>
              <w:jc w:val="center"/>
              <w:rPr>
                <w:rFonts w:ascii="Arial" w:hAnsi="Arial" w:cs="Arial" w:eastAsia="Arial" w:hint="default"/>
                <w:sz w:val="21"/>
                <w:szCs w:val="21"/>
              </w:rPr>
            </w:pPr>
            <w:r>
              <w:rPr>
                <w:rFonts w:ascii="Arial"/>
                <w:w w:val="100"/>
                <w:sz w:val="21"/>
              </w:rPr>
              <w:t>/</w:t>
            </w:r>
          </w:p>
        </w:tc>
        <w:tc>
          <w:tcPr>
            <w:tcW w:w="1565"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122"/>
              <w:ind w:right="22"/>
              <w:jc w:val="right"/>
              <w:rPr>
                <w:rFonts w:ascii="Arial" w:hAnsi="Arial" w:cs="Arial" w:eastAsia="Arial" w:hint="default"/>
                <w:sz w:val="21"/>
                <w:szCs w:val="21"/>
              </w:rPr>
            </w:pPr>
            <w:r>
              <w:rPr>
                <w:rFonts w:ascii="Arial"/>
                <w:spacing w:val="-1"/>
                <w:sz w:val="21"/>
              </w:rPr>
              <w:t>118,054,042.23</w:t>
            </w:r>
          </w:p>
        </w:tc>
        <w:tc>
          <w:tcPr>
            <w:tcW w:w="713"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74"/>
              <w:ind w:right="1"/>
              <w:jc w:val="center"/>
              <w:rPr>
                <w:rFonts w:ascii="Arial" w:hAnsi="Arial" w:cs="Arial" w:eastAsia="Arial" w:hint="default"/>
                <w:sz w:val="21"/>
                <w:szCs w:val="21"/>
              </w:rPr>
            </w:pPr>
            <w:r>
              <w:rPr>
                <w:rFonts w:ascii="Arial"/>
                <w:w w:val="100"/>
                <w:sz w:val="21"/>
              </w:rPr>
              <w:t>/</w:t>
            </w:r>
          </w:p>
        </w:tc>
        <w:tc>
          <w:tcPr>
            <w:tcW w:w="578" w:type="dxa"/>
            <w:tcBorders>
              <w:top w:val="single" w:sz="4" w:space="0" w:color="41B7EE"/>
              <w:left w:val="single" w:sz="4" w:space="0" w:color="41B7EE"/>
              <w:bottom w:val="single" w:sz="8" w:space="0" w:color="41B7EE"/>
              <w:right w:val="single" w:sz="4" w:space="0" w:color="41B7EE"/>
            </w:tcBorders>
          </w:tcPr>
          <w:p>
            <w:pPr/>
          </w:p>
        </w:tc>
        <w:tc>
          <w:tcPr>
            <w:tcW w:w="1536"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74"/>
              <w:ind w:right="22"/>
              <w:jc w:val="right"/>
              <w:rPr>
                <w:rFonts w:ascii="Arial" w:hAnsi="Arial" w:cs="Arial" w:eastAsia="Arial" w:hint="default"/>
                <w:sz w:val="21"/>
                <w:szCs w:val="21"/>
              </w:rPr>
            </w:pPr>
            <w:r>
              <w:rPr>
                <w:rFonts w:ascii="Arial"/>
                <w:spacing w:val="-1"/>
                <w:sz w:val="21"/>
              </w:rPr>
              <w:t>118,519,208.39</w:t>
            </w:r>
          </w:p>
        </w:tc>
        <w:tc>
          <w:tcPr>
            <w:tcW w:w="725"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74"/>
              <w:ind w:left="1" w:right="0"/>
              <w:jc w:val="center"/>
              <w:rPr>
                <w:rFonts w:ascii="Arial" w:hAnsi="Arial" w:cs="Arial" w:eastAsia="Arial" w:hint="default"/>
                <w:sz w:val="21"/>
                <w:szCs w:val="21"/>
              </w:rPr>
            </w:pPr>
            <w:r>
              <w:rPr>
                <w:rFonts w:ascii="Arial"/>
                <w:w w:val="100"/>
                <w:sz w:val="21"/>
              </w:rPr>
              <w:t>/</w:t>
            </w:r>
          </w:p>
        </w:tc>
        <w:tc>
          <w:tcPr>
            <w:tcW w:w="1539"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74"/>
              <w:ind w:right="22"/>
              <w:jc w:val="right"/>
              <w:rPr>
                <w:rFonts w:ascii="Arial" w:hAnsi="Arial" w:cs="Arial" w:eastAsia="Arial" w:hint="default"/>
                <w:sz w:val="21"/>
                <w:szCs w:val="21"/>
              </w:rPr>
            </w:pPr>
            <w:r>
              <w:rPr>
                <w:rFonts w:ascii="Arial"/>
                <w:spacing w:val="-1"/>
                <w:sz w:val="21"/>
              </w:rPr>
              <w:t>118,325,100.39</w:t>
            </w:r>
          </w:p>
        </w:tc>
        <w:tc>
          <w:tcPr>
            <w:tcW w:w="749"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74"/>
              <w:ind w:right="1"/>
              <w:jc w:val="center"/>
              <w:rPr>
                <w:rFonts w:ascii="Arial" w:hAnsi="Arial" w:cs="Arial" w:eastAsia="Arial" w:hint="default"/>
                <w:sz w:val="21"/>
                <w:szCs w:val="21"/>
              </w:rPr>
            </w:pPr>
            <w:r>
              <w:rPr>
                <w:rFonts w:ascii="Arial"/>
                <w:w w:val="100"/>
                <w:sz w:val="21"/>
              </w:rPr>
              <w:t>/</w:t>
            </w:r>
          </w:p>
        </w:tc>
        <w:tc>
          <w:tcPr>
            <w:tcW w:w="1116"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74"/>
              <w:ind w:left="28" w:right="0"/>
              <w:jc w:val="left"/>
              <w:rPr>
                <w:rFonts w:ascii="Arial" w:hAnsi="Arial" w:cs="Arial" w:eastAsia="Arial" w:hint="default"/>
                <w:sz w:val="21"/>
                <w:szCs w:val="21"/>
              </w:rPr>
            </w:pPr>
            <w:r>
              <w:rPr>
                <w:rFonts w:ascii="Arial"/>
                <w:sz w:val="21"/>
              </w:rPr>
              <w:t>194,108.00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0"/>
        <w:ind w:left="6729" w:right="6716" w:firstLine="0"/>
        <w:jc w:val="center"/>
        <w:rPr>
          <w:rFonts w:ascii="Calibri" w:hAnsi="Calibri" w:cs="Calibri" w:eastAsia="Calibri" w:hint="default"/>
          <w:sz w:val="18"/>
          <w:szCs w:val="18"/>
        </w:rPr>
      </w:pPr>
      <w:r>
        <w:rPr>
          <w:rFonts w:ascii="Calibri"/>
          <w:b/>
          <w:sz w:val="18"/>
        </w:rPr>
        <w:t>165 </w:t>
      </w:r>
      <w:r>
        <w:rPr>
          <w:rFonts w:ascii="Calibri"/>
          <w:sz w:val="18"/>
        </w:rPr>
        <w:t>/</w:t>
      </w:r>
      <w:r>
        <w:rPr>
          <w:rFonts w:ascii="Calibri"/>
          <w:spacing w:val="-5"/>
          <w:sz w:val="18"/>
        </w:rPr>
        <w:t> </w:t>
      </w:r>
      <w:r>
        <w:rPr>
          <w:rFonts w:ascii="Calibri"/>
          <w:b/>
          <w:sz w:val="18"/>
        </w:rPr>
        <w:t>173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360" w:bottom="1380" w:left="1280" w:right="1380"/>
        </w:sectPr>
      </w:pPr>
    </w:p>
    <w:p>
      <w:pPr>
        <w:pStyle w:val="BodyText"/>
        <w:spacing w:line="274" w:lineRule="exact" w:before="119"/>
        <w:ind w:left="238" w:right="0"/>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274"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41"/>
        <w:ind w:left="238" w:right="0"/>
        <w:jc w:val="left"/>
        <w:rPr>
          <w:rFonts w:ascii="宋体" w:hAnsi="宋体" w:cs="宋体" w:eastAsia="宋体" w:hint="default"/>
        </w:rPr>
      </w:pPr>
      <w:r>
        <w:rPr/>
        <w:pict>
          <v:group style="position:absolute;margin-left:452.619995pt;margin-top:63.713696pt;width:85.35pt;height:6.85pt;mso-position-horizontal-relative:page;mso-position-vertical-relative:paragraph;z-index:-938128" coordorigin="9052,1274" coordsize="1707,137">
            <v:shape style="position:absolute;left:9052;top:1274;width:1707;height:137" coordorigin="9052,1274" coordsize="1707,137" path="m9052,1411l10759,1411,10759,1274,9052,1274,9052,1411xe" filled="true" fillcolor="#ffffff" stroked="false">
              <v:path arrowok="t"/>
              <v:fill type="solid"/>
            </v:shape>
            <w10:wrap type="none"/>
          </v:group>
        </w:pict>
      </w: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96"/>
          <w:pgSz w:w="11910" w:h="16840"/>
          <w:pgMar w:footer="1195" w:header="0" w:top="1360" w:bottom="1380" w:left="1560" w:right="980"/>
          <w:pgNumType w:start="166"/>
          <w:cols w:num="2" w:equalWidth="0">
            <w:col w:w="2445" w:space="3974"/>
            <w:col w:w="2951"/>
          </w:cols>
        </w:sectPr>
      </w:pPr>
    </w:p>
    <w:p>
      <w:pPr>
        <w:spacing w:line="240" w:lineRule="auto" w:before="7"/>
        <w:rPr>
          <w:rFonts w:ascii="宋体" w:hAnsi="宋体" w:cs="宋体" w:eastAsia="宋体" w:hint="default"/>
          <w:sz w:val="2"/>
          <w:szCs w:val="2"/>
        </w:rPr>
      </w:pPr>
    </w:p>
    <w:p>
      <w:pPr>
        <w:spacing w:line="20" w:lineRule="exact"/>
        <w:ind w:left="199" w:right="0" w:firstLine="0"/>
        <w:rPr>
          <w:rFonts w:ascii="宋体" w:hAnsi="宋体" w:cs="宋体" w:eastAsia="宋体" w:hint="default"/>
          <w:sz w:val="2"/>
          <w:szCs w:val="2"/>
        </w:rPr>
      </w:pPr>
      <w:r>
        <w:rPr>
          <w:rFonts w:ascii="宋体" w:hAnsi="宋体" w:cs="宋体" w:eastAsia="宋体" w:hint="default"/>
          <w:sz w:val="2"/>
          <w:szCs w:val="2"/>
        </w:rPr>
        <w:pict>
          <v:group style="width:450.45pt;height:1pt;mso-position-horizontal-relative:char;mso-position-vertical-relative:line" coordorigin="0,0" coordsize="9009,20">
            <v:group style="position:absolute;left:10;top:10;width:3010;height:2" coordorigin="10,10" coordsize="3010,2">
              <v:shape style="position:absolute;left:10;top:10;width:3010;height:2" coordorigin="10,10" coordsize="3010,0" path="m10,10l3020,10e" filled="false" stroked="true" strokeweight=".96pt" strokecolor="#41b7ee">
                <v:path arrowok="t"/>
              </v:shape>
            </v:group>
            <v:group style="position:absolute;left:3020;top:10;width:58;height:2" coordorigin="3020,10" coordsize="58,2">
              <v:shape style="position:absolute;left:3020;top:10;width:58;height:2" coordorigin="3020,10" coordsize="58,0" path="m3020,10l3077,10e" filled="false" stroked="true" strokeweight=".96pt" strokecolor="#41b7ee">
                <v:path arrowok="t"/>
              </v:shape>
            </v:group>
            <v:group style="position:absolute;left:3077;top:10;width:5922;height:2" coordorigin="3077,10" coordsize="5922,2">
              <v:shape style="position:absolute;left:3077;top:10;width:5922;height:2" coordorigin="3077,10" coordsize="5922,0" path="m3077,10l8999,10e" filled="false" stroked="true" strokeweight=".96pt" strokecolor="#41b7ee">
                <v:path arrowok="t"/>
              </v:shape>
            </v:group>
          </v:group>
        </w:pict>
      </w:r>
      <w:r>
        <w:rPr>
          <w:rFonts w:ascii="宋体" w:hAnsi="宋体" w:cs="宋体" w:eastAsia="宋体" w:hint="default"/>
          <w:sz w:val="2"/>
          <w:szCs w:val="2"/>
        </w:rPr>
      </w:r>
    </w:p>
    <w:tbl>
      <w:tblPr>
        <w:tblW w:w="0" w:type="auto"/>
        <w:jc w:val="left"/>
        <w:tblInd w:w="180" w:type="dxa"/>
        <w:tblLayout w:type="fixed"/>
        <w:tblCellMar>
          <w:top w:w="0" w:type="dxa"/>
          <w:left w:w="0" w:type="dxa"/>
          <w:bottom w:w="0" w:type="dxa"/>
          <w:right w:w="0" w:type="dxa"/>
        </w:tblCellMar>
        <w:tblLook w:val="01E0"/>
      </w:tblPr>
      <w:tblGrid>
        <w:gridCol w:w="3015"/>
        <w:gridCol w:w="1690"/>
        <w:gridCol w:w="1687"/>
        <w:gridCol w:w="886"/>
        <w:gridCol w:w="1712"/>
      </w:tblGrid>
      <w:tr>
        <w:trPr>
          <w:trHeight w:val="362" w:hRule="exact"/>
        </w:trPr>
        <w:tc>
          <w:tcPr>
            <w:tcW w:w="3015" w:type="dxa"/>
            <w:vMerge w:val="restart"/>
            <w:tcBorders>
              <w:top w:val="single" w:sz="8" w:space="0" w:color="41B7EE"/>
              <w:left w:val="nil" w:sz="6" w:space="0" w:color="auto"/>
              <w:right w:val="single" w:sz="4" w:space="0" w:color="41B7EE"/>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7"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5975" w:type="dxa"/>
            <w:gridSpan w:val="4"/>
            <w:tcBorders>
              <w:top w:val="single" w:sz="8" w:space="0" w:color="41B7EE"/>
              <w:left w:val="single" w:sz="4" w:space="0" w:color="41B7EE"/>
              <w:bottom w:val="single" w:sz="4" w:space="0" w:color="41B7EE"/>
              <w:right w:val="nil" w:sz="6" w:space="0" w:color="auto"/>
            </w:tcBorders>
          </w:tcPr>
          <w:p>
            <w:pPr>
              <w:pStyle w:val="TableParagraph"/>
              <w:spacing w:line="240" w:lineRule="auto" w:before="4"/>
              <w:ind w:left="9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7" w:hRule="exact"/>
        </w:trPr>
        <w:tc>
          <w:tcPr>
            <w:tcW w:w="3015" w:type="dxa"/>
            <w:vMerge/>
            <w:tcBorders>
              <w:left w:val="nil" w:sz="6" w:space="0" w:color="auto"/>
              <w:bottom w:val="single" w:sz="4" w:space="0" w:color="41B7EE"/>
              <w:right w:val="single" w:sz="4" w:space="0" w:color="41B7EE"/>
            </w:tcBorders>
          </w:tcPr>
          <w:p>
            <w:pPr/>
          </w:p>
        </w:tc>
        <w:tc>
          <w:tcPr>
            <w:tcW w:w="169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420"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68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left="417"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886" w:type="dxa"/>
            <w:tcBorders>
              <w:top w:val="single" w:sz="4" w:space="0" w:color="41B7EE"/>
              <w:left w:val="single" w:sz="4" w:space="0" w:color="41B7EE"/>
              <w:bottom w:val="single" w:sz="4" w:space="0" w:color="41B7EE"/>
              <w:right w:val="single" w:sz="13" w:space="0" w:color="FFFFFF"/>
            </w:tcBorders>
          </w:tcPr>
          <w:p>
            <w:pPr>
              <w:pStyle w:val="TableParagraph"/>
              <w:spacing w:line="241" w:lineRule="exact"/>
              <w:ind w:left="69" w:right="-45" w:firstLine="50"/>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69" w:right="-45"/>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712" w:type="dxa"/>
            <w:tcBorders>
              <w:top w:val="single" w:sz="4" w:space="0" w:color="41B7EE"/>
              <w:left w:val="single" w:sz="13" w:space="0" w:color="FFFFFF"/>
              <w:bottom w:val="single" w:sz="4" w:space="0" w:color="41B7EE"/>
              <w:right w:val="nil" w:sz="6" w:space="0" w:color="auto"/>
            </w:tcBorders>
          </w:tcPr>
          <w:p>
            <w:pPr>
              <w:pStyle w:val="TableParagraph"/>
              <w:spacing w:line="240" w:lineRule="auto" w:before="102"/>
              <w:ind w:left="418" w:right="0"/>
              <w:jc w:val="left"/>
              <w:rPr>
                <w:rFonts w:ascii="宋体" w:hAnsi="宋体" w:cs="宋体" w:eastAsia="宋体" w:hint="default"/>
                <w:sz w:val="21"/>
                <w:szCs w:val="21"/>
              </w:rPr>
            </w:pPr>
            <w:r>
              <w:rPr>
                <w:rFonts w:ascii="宋体" w:hAnsi="宋体" w:cs="宋体" w:eastAsia="宋体" w:hint="default"/>
                <w:sz w:val="21"/>
                <w:szCs w:val="21"/>
              </w:rPr>
              <w:t>计提理由</w:t>
            </w:r>
            <w:r>
              <w:rPr>
                <w:rFonts w:ascii="宋体" w:hAnsi="宋体" w:cs="宋体" w:eastAsia="宋体" w:hint="default"/>
                <w:sz w:val="21"/>
                <w:szCs w:val="21"/>
              </w:rPr>
              <w:t> </w:t>
            </w:r>
          </w:p>
        </w:tc>
      </w:tr>
      <w:tr>
        <w:trPr>
          <w:trHeight w:val="355" w:hRule="exact"/>
        </w:trPr>
        <w:tc>
          <w:tcPr>
            <w:tcW w:w="301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黑龙江龙谊麦业有限公司</w:t>
            </w:r>
            <w:r>
              <w:rPr>
                <w:rFonts w:ascii="宋体" w:hAnsi="宋体" w:cs="宋体" w:eastAsia="宋体" w:hint="default"/>
                <w:sz w:val="21"/>
                <w:szCs w:val="21"/>
              </w:rPr>
              <w:t> </w:t>
            </w:r>
          </w:p>
        </w:tc>
        <w:tc>
          <w:tcPr>
            <w:tcW w:w="169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11,980,177.90</w:t>
            </w:r>
          </w:p>
        </w:tc>
        <w:tc>
          <w:tcPr>
            <w:tcW w:w="168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11,980,177.90</w:t>
            </w:r>
          </w:p>
        </w:tc>
        <w:tc>
          <w:tcPr>
            <w:tcW w:w="88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z w:val="21"/>
              </w:rPr>
              <w:t>100.00</w:t>
            </w:r>
          </w:p>
        </w:tc>
        <w:tc>
          <w:tcPr>
            <w:tcW w:w="171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1"/>
              <w:ind w:left="21" w:right="0"/>
              <w:jc w:val="left"/>
              <w:rPr>
                <w:rFonts w:ascii="宋体" w:hAnsi="宋体" w:cs="宋体" w:eastAsia="宋体" w:hint="default"/>
                <w:sz w:val="20"/>
                <w:szCs w:val="20"/>
              </w:rPr>
            </w:pPr>
            <w:r>
              <w:rPr>
                <w:rFonts w:ascii="宋体" w:hAnsi="宋体" w:cs="宋体" w:eastAsia="宋体" w:hint="default"/>
                <w:spacing w:val="-21"/>
                <w:sz w:val="20"/>
                <w:szCs w:val="20"/>
              </w:rPr>
              <w:t>预计全部无法收回</w:t>
            </w:r>
            <w:r>
              <w:rPr>
                <w:rFonts w:ascii="宋体" w:hAnsi="宋体" w:cs="宋体" w:eastAsia="宋体" w:hint="default"/>
                <w:sz w:val="20"/>
                <w:szCs w:val="20"/>
              </w:rPr>
              <w:t> </w:t>
            </w:r>
          </w:p>
        </w:tc>
      </w:tr>
      <w:tr>
        <w:trPr>
          <w:trHeight w:val="358" w:hRule="exact"/>
        </w:trPr>
        <w:tc>
          <w:tcPr>
            <w:tcW w:w="301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黑龙江农垦宏信有限公司一部</w:t>
            </w:r>
            <w:r>
              <w:rPr>
                <w:rFonts w:ascii="宋体" w:hAnsi="宋体" w:cs="宋体" w:eastAsia="宋体" w:hint="default"/>
                <w:sz w:val="21"/>
                <w:szCs w:val="21"/>
              </w:rPr>
              <w:t> </w:t>
            </w:r>
          </w:p>
        </w:tc>
        <w:tc>
          <w:tcPr>
            <w:tcW w:w="169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11,850,141.97</w:t>
            </w:r>
          </w:p>
        </w:tc>
        <w:tc>
          <w:tcPr>
            <w:tcW w:w="168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11,850,141.97</w:t>
            </w:r>
          </w:p>
        </w:tc>
        <w:tc>
          <w:tcPr>
            <w:tcW w:w="88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z w:val="21"/>
              </w:rPr>
              <w:t>100.00</w:t>
            </w:r>
          </w:p>
        </w:tc>
        <w:tc>
          <w:tcPr>
            <w:tcW w:w="171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3"/>
              <w:ind w:left="21" w:right="0"/>
              <w:jc w:val="left"/>
              <w:rPr>
                <w:rFonts w:ascii="宋体" w:hAnsi="宋体" w:cs="宋体" w:eastAsia="宋体" w:hint="default"/>
                <w:sz w:val="20"/>
                <w:szCs w:val="20"/>
              </w:rPr>
            </w:pPr>
            <w:r>
              <w:rPr>
                <w:rFonts w:ascii="宋体" w:hAnsi="宋体" w:cs="宋体" w:eastAsia="宋体" w:hint="default"/>
                <w:spacing w:val="-21"/>
                <w:sz w:val="20"/>
                <w:szCs w:val="20"/>
              </w:rPr>
              <w:t>预计全部无法收回</w:t>
            </w:r>
            <w:r>
              <w:rPr>
                <w:rFonts w:ascii="宋体" w:hAnsi="宋体" w:cs="宋体" w:eastAsia="宋体" w:hint="default"/>
                <w:sz w:val="20"/>
                <w:szCs w:val="20"/>
              </w:rPr>
              <w:t> </w:t>
            </w:r>
          </w:p>
        </w:tc>
      </w:tr>
      <w:tr>
        <w:trPr>
          <w:trHeight w:val="358" w:hRule="exact"/>
        </w:trPr>
        <w:tc>
          <w:tcPr>
            <w:tcW w:w="301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大庆高新区新金雨经贸有限公司</w:t>
            </w:r>
          </w:p>
        </w:tc>
        <w:tc>
          <w:tcPr>
            <w:tcW w:w="169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10,181,491.35</w:t>
            </w:r>
          </w:p>
        </w:tc>
        <w:tc>
          <w:tcPr>
            <w:tcW w:w="168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10,181,491.35</w:t>
            </w:r>
          </w:p>
        </w:tc>
        <w:tc>
          <w:tcPr>
            <w:tcW w:w="88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z w:val="21"/>
              </w:rPr>
              <w:t>100.00</w:t>
            </w:r>
          </w:p>
        </w:tc>
        <w:tc>
          <w:tcPr>
            <w:tcW w:w="171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1"/>
              <w:ind w:left="21" w:right="0"/>
              <w:jc w:val="left"/>
              <w:rPr>
                <w:rFonts w:ascii="宋体" w:hAnsi="宋体" w:cs="宋体" w:eastAsia="宋体" w:hint="default"/>
                <w:sz w:val="20"/>
                <w:szCs w:val="20"/>
              </w:rPr>
            </w:pPr>
            <w:r>
              <w:rPr>
                <w:rFonts w:ascii="宋体" w:hAnsi="宋体" w:cs="宋体" w:eastAsia="宋体" w:hint="default"/>
                <w:spacing w:val="-21"/>
                <w:sz w:val="20"/>
                <w:szCs w:val="20"/>
              </w:rPr>
              <w:t>预计全部无法收回</w:t>
            </w:r>
            <w:r>
              <w:rPr>
                <w:rFonts w:ascii="宋体" w:hAnsi="宋体" w:cs="宋体" w:eastAsia="宋体" w:hint="default"/>
                <w:sz w:val="20"/>
                <w:szCs w:val="20"/>
              </w:rPr>
              <w:t> </w:t>
            </w:r>
          </w:p>
        </w:tc>
      </w:tr>
      <w:tr>
        <w:trPr>
          <w:trHeight w:val="358" w:hRule="exact"/>
        </w:trPr>
        <w:tc>
          <w:tcPr>
            <w:tcW w:w="301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佳木斯华原农资有限公司一部</w:t>
            </w:r>
            <w:r>
              <w:rPr>
                <w:rFonts w:ascii="宋体" w:hAnsi="宋体" w:cs="宋体" w:eastAsia="宋体" w:hint="default"/>
                <w:sz w:val="21"/>
                <w:szCs w:val="21"/>
              </w:rPr>
              <w:t> </w:t>
            </w:r>
          </w:p>
        </w:tc>
        <w:tc>
          <w:tcPr>
            <w:tcW w:w="169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5,175,000.00</w:t>
            </w:r>
          </w:p>
        </w:tc>
        <w:tc>
          <w:tcPr>
            <w:tcW w:w="168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5,175,000.00</w:t>
            </w:r>
          </w:p>
        </w:tc>
        <w:tc>
          <w:tcPr>
            <w:tcW w:w="88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z w:val="21"/>
              </w:rPr>
              <w:t>100.00</w:t>
            </w:r>
          </w:p>
        </w:tc>
        <w:tc>
          <w:tcPr>
            <w:tcW w:w="171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1"/>
              <w:ind w:left="21" w:right="0"/>
              <w:jc w:val="left"/>
              <w:rPr>
                <w:rFonts w:ascii="宋体" w:hAnsi="宋体" w:cs="宋体" w:eastAsia="宋体" w:hint="default"/>
                <w:sz w:val="20"/>
                <w:szCs w:val="20"/>
              </w:rPr>
            </w:pPr>
            <w:r>
              <w:rPr>
                <w:rFonts w:ascii="宋体" w:hAnsi="宋体" w:cs="宋体" w:eastAsia="宋体" w:hint="default"/>
                <w:spacing w:val="-21"/>
                <w:sz w:val="20"/>
                <w:szCs w:val="20"/>
              </w:rPr>
              <w:t>预计全部无法收回</w:t>
            </w:r>
            <w:r>
              <w:rPr>
                <w:rFonts w:ascii="宋体" w:hAnsi="宋体" w:cs="宋体" w:eastAsia="宋体" w:hint="default"/>
                <w:sz w:val="20"/>
                <w:szCs w:val="20"/>
              </w:rPr>
              <w:t> </w:t>
            </w:r>
          </w:p>
        </w:tc>
      </w:tr>
      <w:tr>
        <w:trPr>
          <w:trHeight w:val="355" w:hRule="exact"/>
        </w:trPr>
        <w:tc>
          <w:tcPr>
            <w:tcW w:w="301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沈阳锋烨兴经贸物资公司</w:t>
            </w:r>
            <w:r>
              <w:rPr>
                <w:rFonts w:ascii="宋体" w:hAnsi="宋体" w:cs="宋体" w:eastAsia="宋体" w:hint="default"/>
                <w:sz w:val="21"/>
                <w:szCs w:val="21"/>
              </w:rPr>
              <w:t> </w:t>
            </w:r>
          </w:p>
        </w:tc>
        <w:tc>
          <w:tcPr>
            <w:tcW w:w="169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16,439,366.60</w:t>
            </w:r>
          </w:p>
        </w:tc>
        <w:tc>
          <w:tcPr>
            <w:tcW w:w="168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16,439,366.60</w:t>
            </w:r>
          </w:p>
        </w:tc>
        <w:tc>
          <w:tcPr>
            <w:tcW w:w="88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z w:val="21"/>
              </w:rPr>
              <w:t>100.00</w:t>
            </w:r>
          </w:p>
        </w:tc>
        <w:tc>
          <w:tcPr>
            <w:tcW w:w="171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1"/>
              <w:ind w:left="21" w:right="0"/>
              <w:jc w:val="left"/>
              <w:rPr>
                <w:rFonts w:ascii="宋体" w:hAnsi="宋体" w:cs="宋体" w:eastAsia="宋体" w:hint="default"/>
                <w:sz w:val="20"/>
                <w:szCs w:val="20"/>
              </w:rPr>
            </w:pPr>
            <w:r>
              <w:rPr>
                <w:rFonts w:ascii="宋体" w:hAnsi="宋体" w:cs="宋体" w:eastAsia="宋体" w:hint="default"/>
                <w:spacing w:val="-21"/>
                <w:sz w:val="20"/>
                <w:szCs w:val="20"/>
              </w:rPr>
              <w:t>预计全部无法收回</w:t>
            </w:r>
            <w:r>
              <w:rPr>
                <w:rFonts w:ascii="宋体" w:hAnsi="宋体" w:cs="宋体" w:eastAsia="宋体" w:hint="default"/>
                <w:sz w:val="20"/>
                <w:szCs w:val="20"/>
              </w:rPr>
              <w:t> </w:t>
            </w:r>
          </w:p>
        </w:tc>
      </w:tr>
      <w:tr>
        <w:trPr>
          <w:trHeight w:val="555" w:hRule="exact"/>
        </w:trPr>
        <w:tc>
          <w:tcPr>
            <w:tcW w:w="3015" w:type="dxa"/>
            <w:tcBorders>
              <w:top w:val="single" w:sz="4" w:space="0" w:color="41B7EE"/>
              <w:left w:val="nil" w:sz="6" w:space="0" w:color="auto"/>
              <w:bottom w:val="single" w:sz="4" w:space="0" w:color="41B7EE"/>
              <w:right w:val="single" w:sz="4" w:space="0" w:color="41B7EE"/>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黑龙江北大荒农垦集团农业生产</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资料有限公司</w:t>
            </w:r>
            <w:r>
              <w:rPr>
                <w:rFonts w:ascii="宋体" w:hAnsi="宋体" w:cs="宋体" w:eastAsia="宋体" w:hint="default"/>
                <w:sz w:val="21"/>
                <w:szCs w:val="21"/>
              </w:rPr>
              <w:t> </w:t>
            </w:r>
          </w:p>
        </w:tc>
        <w:tc>
          <w:tcPr>
            <w:tcW w:w="169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9"/>
              <w:ind w:right="20"/>
              <w:jc w:val="right"/>
              <w:rPr>
                <w:rFonts w:ascii="Arial" w:hAnsi="Arial" w:cs="Arial" w:eastAsia="Arial" w:hint="default"/>
                <w:sz w:val="21"/>
                <w:szCs w:val="21"/>
              </w:rPr>
            </w:pPr>
            <w:r>
              <w:rPr>
                <w:rFonts w:ascii="Arial"/>
                <w:spacing w:val="-1"/>
                <w:sz w:val="21"/>
              </w:rPr>
              <w:t>7,722,748.00</w:t>
            </w:r>
          </w:p>
        </w:tc>
        <w:tc>
          <w:tcPr>
            <w:tcW w:w="168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9"/>
              <w:ind w:right="19"/>
              <w:jc w:val="right"/>
              <w:rPr>
                <w:rFonts w:ascii="Arial" w:hAnsi="Arial" w:cs="Arial" w:eastAsia="Arial" w:hint="default"/>
                <w:sz w:val="21"/>
                <w:szCs w:val="21"/>
              </w:rPr>
            </w:pPr>
            <w:r>
              <w:rPr>
                <w:rFonts w:ascii="Arial"/>
                <w:spacing w:val="-1"/>
                <w:sz w:val="21"/>
              </w:rPr>
              <w:t>7,722,748.00</w:t>
            </w:r>
          </w:p>
        </w:tc>
        <w:tc>
          <w:tcPr>
            <w:tcW w:w="88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9"/>
              <w:ind w:right="19"/>
              <w:jc w:val="right"/>
              <w:rPr>
                <w:rFonts w:ascii="Arial" w:hAnsi="Arial" w:cs="Arial" w:eastAsia="Arial" w:hint="default"/>
                <w:sz w:val="21"/>
                <w:szCs w:val="21"/>
              </w:rPr>
            </w:pPr>
            <w:r>
              <w:rPr>
                <w:rFonts w:ascii="Arial"/>
                <w:sz w:val="21"/>
              </w:rPr>
              <w:t>100.00</w:t>
            </w:r>
          </w:p>
        </w:tc>
        <w:tc>
          <w:tcPr>
            <w:tcW w:w="171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12"/>
              <w:ind w:left="21" w:right="0"/>
              <w:jc w:val="left"/>
              <w:rPr>
                <w:rFonts w:ascii="宋体" w:hAnsi="宋体" w:cs="宋体" w:eastAsia="宋体" w:hint="default"/>
                <w:sz w:val="20"/>
                <w:szCs w:val="20"/>
              </w:rPr>
            </w:pPr>
            <w:r>
              <w:rPr>
                <w:rFonts w:ascii="宋体" w:hAnsi="宋体" w:cs="宋体" w:eastAsia="宋体" w:hint="default"/>
                <w:spacing w:val="-21"/>
                <w:sz w:val="20"/>
                <w:szCs w:val="20"/>
              </w:rPr>
              <w:t>预计全部无法收回</w:t>
            </w:r>
            <w:r>
              <w:rPr>
                <w:rFonts w:ascii="宋体" w:hAnsi="宋体" w:cs="宋体" w:eastAsia="宋体" w:hint="default"/>
                <w:sz w:val="20"/>
                <w:szCs w:val="20"/>
              </w:rPr>
              <w:t> </w:t>
            </w:r>
          </w:p>
        </w:tc>
      </w:tr>
      <w:tr>
        <w:trPr>
          <w:trHeight w:val="358" w:hRule="exact"/>
        </w:trPr>
        <w:tc>
          <w:tcPr>
            <w:tcW w:w="301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辽宁华信石油化工有限公司</w:t>
            </w:r>
            <w:r>
              <w:rPr>
                <w:rFonts w:ascii="宋体" w:hAnsi="宋体" w:cs="宋体" w:eastAsia="宋体" w:hint="default"/>
                <w:sz w:val="21"/>
                <w:szCs w:val="21"/>
              </w:rPr>
              <w:t> </w:t>
            </w:r>
          </w:p>
        </w:tc>
        <w:tc>
          <w:tcPr>
            <w:tcW w:w="169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20"/>
              <w:jc w:val="right"/>
              <w:rPr>
                <w:rFonts w:ascii="Arial" w:hAnsi="Arial" w:cs="Arial" w:eastAsia="Arial" w:hint="default"/>
                <w:sz w:val="21"/>
                <w:szCs w:val="21"/>
              </w:rPr>
            </w:pPr>
            <w:r>
              <w:rPr>
                <w:rFonts w:ascii="Arial"/>
                <w:spacing w:val="-1"/>
                <w:sz w:val="21"/>
              </w:rPr>
              <w:t>8,852,897.34</w:t>
            </w:r>
          </w:p>
        </w:tc>
        <w:tc>
          <w:tcPr>
            <w:tcW w:w="168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19"/>
              <w:jc w:val="right"/>
              <w:rPr>
                <w:rFonts w:ascii="Arial" w:hAnsi="Arial" w:cs="Arial" w:eastAsia="Arial" w:hint="default"/>
                <w:sz w:val="21"/>
                <w:szCs w:val="21"/>
              </w:rPr>
            </w:pPr>
            <w:r>
              <w:rPr>
                <w:rFonts w:ascii="Arial"/>
                <w:spacing w:val="-1"/>
                <w:sz w:val="21"/>
              </w:rPr>
              <w:t>8,852,897.34</w:t>
            </w:r>
          </w:p>
        </w:tc>
        <w:tc>
          <w:tcPr>
            <w:tcW w:w="88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19"/>
              <w:jc w:val="right"/>
              <w:rPr>
                <w:rFonts w:ascii="Arial" w:hAnsi="Arial" w:cs="Arial" w:eastAsia="Arial" w:hint="default"/>
                <w:sz w:val="21"/>
                <w:szCs w:val="21"/>
              </w:rPr>
            </w:pPr>
            <w:r>
              <w:rPr>
                <w:rFonts w:ascii="Arial"/>
                <w:sz w:val="21"/>
              </w:rPr>
              <w:t>100.00</w:t>
            </w:r>
          </w:p>
        </w:tc>
        <w:tc>
          <w:tcPr>
            <w:tcW w:w="171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3"/>
              <w:ind w:left="21" w:right="0"/>
              <w:jc w:val="left"/>
              <w:rPr>
                <w:rFonts w:ascii="宋体" w:hAnsi="宋体" w:cs="宋体" w:eastAsia="宋体" w:hint="default"/>
                <w:sz w:val="20"/>
                <w:szCs w:val="20"/>
              </w:rPr>
            </w:pPr>
            <w:r>
              <w:rPr>
                <w:rFonts w:ascii="宋体" w:hAnsi="宋体" w:cs="宋体" w:eastAsia="宋体" w:hint="default"/>
                <w:spacing w:val="-21"/>
                <w:sz w:val="20"/>
                <w:szCs w:val="20"/>
              </w:rPr>
              <w:t>预计全部无法收回</w:t>
            </w:r>
            <w:r>
              <w:rPr>
                <w:rFonts w:ascii="宋体" w:hAnsi="宋体" w:cs="宋体" w:eastAsia="宋体" w:hint="default"/>
                <w:sz w:val="20"/>
                <w:szCs w:val="20"/>
              </w:rPr>
              <w:t> </w:t>
            </w:r>
          </w:p>
        </w:tc>
      </w:tr>
      <w:tr>
        <w:trPr>
          <w:trHeight w:val="358" w:hRule="exact"/>
        </w:trPr>
        <w:tc>
          <w:tcPr>
            <w:tcW w:w="301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单项金额不重大应收款项</w:t>
            </w:r>
            <w:r>
              <w:rPr>
                <w:rFonts w:ascii="宋体" w:hAnsi="宋体" w:cs="宋体" w:eastAsia="宋体" w:hint="default"/>
                <w:sz w:val="21"/>
                <w:szCs w:val="21"/>
              </w:rPr>
              <w:t> </w:t>
            </w:r>
          </w:p>
        </w:tc>
        <w:tc>
          <w:tcPr>
            <w:tcW w:w="169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45,852,219.07</w:t>
            </w:r>
          </w:p>
        </w:tc>
        <w:tc>
          <w:tcPr>
            <w:tcW w:w="168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45,852,219.07</w:t>
            </w:r>
          </w:p>
        </w:tc>
        <w:tc>
          <w:tcPr>
            <w:tcW w:w="88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z w:val="21"/>
              </w:rPr>
              <w:t>100.00</w:t>
            </w:r>
          </w:p>
        </w:tc>
        <w:tc>
          <w:tcPr>
            <w:tcW w:w="171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3"/>
              <w:ind w:left="21" w:right="0"/>
              <w:jc w:val="left"/>
              <w:rPr>
                <w:rFonts w:ascii="宋体" w:hAnsi="宋体" w:cs="宋体" w:eastAsia="宋体" w:hint="default"/>
                <w:sz w:val="20"/>
                <w:szCs w:val="20"/>
              </w:rPr>
            </w:pPr>
            <w:r>
              <w:rPr>
                <w:rFonts w:ascii="宋体" w:hAnsi="宋体" w:cs="宋体" w:eastAsia="宋体" w:hint="default"/>
                <w:spacing w:val="-21"/>
                <w:sz w:val="20"/>
                <w:szCs w:val="20"/>
              </w:rPr>
              <w:t>预计全部无法收回</w:t>
            </w:r>
            <w:r>
              <w:rPr>
                <w:rFonts w:ascii="宋体" w:hAnsi="宋体" w:cs="宋体" w:eastAsia="宋体" w:hint="default"/>
                <w:sz w:val="20"/>
                <w:szCs w:val="20"/>
              </w:rPr>
              <w:t> </w:t>
            </w:r>
          </w:p>
        </w:tc>
      </w:tr>
      <w:tr>
        <w:trPr>
          <w:trHeight w:val="384" w:hRule="exact"/>
        </w:trPr>
        <w:tc>
          <w:tcPr>
            <w:tcW w:w="3015"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90"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118,054,042.23</w:t>
            </w:r>
          </w:p>
        </w:tc>
        <w:tc>
          <w:tcPr>
            <w:tcW w:w="1687"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118,054,042.23</w:t>
            </w:r>
          </w:p>
        </w:tc>
        <w:tc>
          <w:tcPr>
            <w:tcW w:w="886"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z w:val="21"/>
              </w:rPr>
              <w:t>100.00</w:t>
            </w:r>
          </w:p>
        </w:tc>
        <w:tc>
          <w:tcPr>
            <w:tcW w:w="1712"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left="98" w:right="0"/>
              <w:jc w:val="center"/>
              <w:rPr>
                <w:rFonts w:ascii="宋体" w:hAnsi="宋体" w:cs="宋体" w:eastAsia="宋体" w:hint="default"/>
                <w:sz w:val="21"/>
                <w:szCs w:val="21"/>
              </w:rPr>
            </w:pPr>
            <w:r>
              <w:rPr>
                <w:rFonts w:ascii="Arial"/>
                <w:sz w:val="21"/>
              </w:rPr>
              <w:t>/</w:t>
            </w:r>
            <w:r>
              <w:rPr>
                <w:rFonts w:ascii="宋体"/>
                <w:w w:val="100"/>
                <w:sz w:val="21"/>
              </w:rPr>
              <w:t> </w:t>
            </w:r>
          </w:p>
        </w:tc>
      </w:tr>
    </w:tbl>
    <w:p>
      <w:pPr>
        <w:spacing w:after="0" w:line="240" w:lineRule="auto"/>
        <w:jc w:val="center"/>
        <w:rPr>
          <w:rFonts w:ascii="宋体" w:hAnsi="宋体" w:cs="宋体" w:eastAsia="宋体" w:hint="default"/>
          <w:sz w:val="21"/>
          <w:szCs w:val="21"/>
        </w:rPr>
        <w:sectPr>
          <w:type w:val="continuous"/>
          <w:pgSz w:w="11910" w:h="16840"/>
          <w:pgMar w:top="1360" w:bottom="1380" w:left="1560" w:right="980"/>
        </w:sectPr>
      </w:pPr>
    </w:p>
    <w:p>
      <w:pPr>
        <w:pStyle w:val="BodyText"/>
        <w:spacing w:line="257" w:lineRule="exact"/>
        <w:ind w:left="238" w:right="2754"/>
        <w:jc w:val="left"/>
        <w:rPr>
          <w:rFonts w:ascii="宋体" w:hAnsi="宋体" w:cs="宋体" w:eastAsia="宋体" w:hint="default"/>
        </w:rPr>
      </w:pPr>
      <w:r>
        <w:rPr/>
        <w:t>按单项计提坏账准备的说明：</w:t>
      </w:r>
      <w:r>
        <w:rPr>
          <w:rFonts w:ascii="宋体" w:hAnsi="宋体" w:cs="宋体" w:eastAsia="宋体" w:hint="default"/>
        </w:rPr>
        <w:t> </w:t>
      </w:r>
    </w:p>
    <w:p>
      <w:pPr>
        <w:pStyle w:val="BodyText"/>
        <w:spacing w:line="240" w:lineRule="auto"/>
        <w:ind w:left="238" w:right="2754"/>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按组合计提坏账准备：</w:t>
      </w:r>
      <w:r>
        <w:rPr>
          <w:rFonts w:ascii="宋体" w:hAnsi="宋体" w:cs="宋体" w:eastAsia="宋体" w:hint="default"/>
        </w:rPr>
        <w:t> </w:t>
      </w:r>
    </w:p>
    <w:p>
      <w:pPr>
        <w:pStyle w:val="BodyText"/>
        <w:spacing w:line="274" w:lineRule="exact" w:before="22"/>
        <w:ind w:left="23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如按预期信用损失一般模型计提坏账准备，请参照其他应收款披露：</w:t>
      </w:r>
      <w:r>
        <w:rPr>
          <w:rFonts w:ascii="宋体" w:hAnsi="宋体" w:cs="宋体" w:eastAsia="宋体" w:hint="default"/>
        </w:rPr>
        <w:t> </w:t>
      </w:r>
    </w:p>
    <w:p>
      <w:pPr>
        <w:pStyle w:val="BodyText"/>
        <w:spacing w:line="246" w:lineRule="exact"/>
        <w:ind w:left="238" w:right="275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left="238" w:right="2754"/>
        <w:jc w:val="left"/>
        <w:rPr>
          <w:rFonts w:ascii="宋体" w:hAnsi="宋体" w:cs="宋体" w:eastAsia="宋体" w:hint="default"/>
          <w:b w:val="0"/>
          <w:bCs w:val="0"/>
        </w:rPr>
      </w:pPr>
      <w:r>
        <w:rPr>
          <w:rFonts w:ascii="宋体" w:hAnsi="宋体" w:cs="宋体" w:eastAsia="宋体" w:hint="default"/>
        </w:rPr>
        <w:t>(3).</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8" w:right="275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tabs>
          <w:tab w:pos="1124" w:val="left" w:leader="none"/>
        </w:tabs>
        <w:spacing w:line="240" w:lineRule="auto"/>
        <w:ind w:left="72" w:right="0"/>
        <w:jc w:val="left"/>
      </w:pPr>
      <w:r>
        <w:rPr>
          <w:spacing w:val="-1"/>
        </w:rPr>
        <w:t>单位：元</w:t>
        <w:tab/>
      </w:r>
      <w:r>
        <w:rPr>
          <w:spacing w:val="-2"/>
        </w:rPr>
        <w:t>币种：人民币</w:t>
      </w:r>
    </w:p>
    <w:p>
      <w:pPr>
        <w:spacing w:after="0" w:line="240" w:lineRule="auto"/>
        <w:jc w:val="left"/>
        <w:sectPr>
          <w:type w:val="continuous"/>
          <w:pgSz w:w="11910" w:h="16840"/>
          <w:pgMar w:top="1360" w:bottom="1380" w:left="1560" w:right="980"/>
          <w:cols w:num="2" w:equalWidth="0">
            <w:col w:w="6648" w:space="40"/>
            <w:col w:w="2682"/>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98"/>
        <w:gridCol w:w="1426"/>
        <w:gridCol w:w="999"/>
        <w:gridCol w:w="998"/>
        <w:gridCol w:w="713"/>
        <w:gridCol w:w="495"/>
        <w:gridCol w:w="1262"/>
      </w:tblGrid>
      <w:tr>
        <w:trPr>
          <w:trHeight w:val="384" w:hRule="exact"/>
        </w:trPr>
        <w:tc>
          <w:tcPr>
            <w:tcW w:w="2998" w:type="dxa"/>
            <w:vMerge w:val="restart"/>
            <w:tcBorders>
              <w:top w:val="single" w:sz="23" w:space="0" w:color="41B7EE"/>
              <w:left w:val="nil" w:sz="6" w:space="0" w:color="auto"/>
              <w:right w:val="single" w:sz="4" w:space="0" w:color="41B7EE"/>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9"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426" w:type="dxa"/>
            <w:vMerge w:val="restart"/>
            <w:tcBorders>
              <w:top w:val="single" w:sz="23" w:space="0" w:color="41B7EE"/>
              <w:left w:val="single" w:sz="4" w:space="0" w:color="41B7EE"/>
              <w:right w:val="single" w:sz="4" w:space="0" w:color="41B7EE"/>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3205" w:type="dxa"/>
            <w:gridSpan w:val="4"/>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left="965" w:right="0"/>
              <w:jc w:val="left"/>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262" w:type="dxa"/>
            <w:vMerge w:val="restart"/>
            <w:tcBorders>
              <w:top w:val="single" w:sz="23" w:space="0" w:color="41B7EE"/>
              <w:left w:val="single" w:sz="4" w:space="0" w:color="41B7EE"/>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2998" w:type="dxa"/>
            <w:vMerge/>
            <w:tcBorders>
              <w:left w:val="nil" w:sz="6" w:space="0" w:color="auto"/>
              <w:bottom w:val="single" w:sz="4" w:space="0" w:color="41B7EE"/>
              <w:right w:val="single" w:sz="4" w:space="0" w:color="41B7EE"/>
            </w:tcBorders>
          </w:tcPr>
          <w:p>
            <w:pPr/>
          </w:p>
        </w:tc>
        <w:tc>
          <w:tcPr>
            <w:tcW w:w="1426" w:type="dxa"/>
            <w:vMerge/>
            <w:tcBorders>
              <w:left w:val="single" w:sz="4" w:space="0" w:color="41B7EE"/>
              <w:bottom w:val="single" w:sz="4" w:space="0" w:color="41B7EE"/>
              <w:right w:val="single" w:sz="4" w:space="0" w:color="41B7EE"/>
            </w:tcBorders>
          </w:tcPr>
          <w:p>
            <w:pPr/>
          </w:p>
        </w:tc>
        <w:tc>
          <w:tcPr>
            <w:tcW w:w="99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0"/>
              <w:ind w:left="103"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998" w:type="dxa"/>
            <w:tcBorders>
              <w:top w:val="single" w:sz="4" w:space="0" w:color="41B7EE"/>
              <w:left w:val="single" w:sz="4" w:space="0" w:color="41B7EE"/>
              <w:bottom w:val="single" w:sz="4" w:space="0" w:color="41B7EE"/>
              <w:right w:val="single" w:sz="4" w:space="0" w:color="41B7EE"/>
            </w:tcBorders>
          </w:tcPr>
          <w:p>
            <w:pPr>
              <w:pStyle w:val="TableParagraph"/>
              <w:spacing w:line="239" w:lineRule="exact"/>
              <w:ind w:left="103" w:right="0"/>
              <w:jc w:val="center"/>
              <w:rPr>
                <w:rFonts w:ascii="宋体" w:hAnsi="宋体" w:cs="宋体" w:eastAsia="宋体" w:hint="default"/>
                <w:sz w:val="21"/>
                <w:szCs w:val="21"/>
              </w:rPr>
            </w:pPr>
            <w:r>
              <w:rPr>
                <w:rFonts w:ascii="宋体" w:hAnsi="宋体" w:cs="宋体" w:eastAsia="宋体" w:hint="default"/>
                <w:sz w:val="21"/>
                <w:szCs w:val="21"/>
              </w:rPr>
              <w:t>收回或</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转回</w:t>
            </w:r>
            <w:r>
              <w:rPr>
                <w:rFonts w:ascii="宋体" w:hAnsi="宋体" w:cs="宋体" w:eastAsia="宋体" w:hint="default"/>
                <w:sz w:val="21"/>
                <w:szCs w:val="21"/>
              </w:rPr>
              <w:t> </w:t>
            </w:r>
          </w:p>
        </w:tc>
        <w:tc>
          <w:tcPr>
            <w:tcW w:w="713" w:type="dxa"/>
            <w:tcBorders>
              <w:top w:val="single" w:sz="4" w:space="0" w:color="41B7EE"/>
              <w:left w:val="single" w:sz="4" w:space="0" w:color="41B7EE"/>
              <w:bottom w:val="single" w:sz="4" w:space="0" w:color="41B7EE"/>
              <w:right w:val="single" w:sz="4" w:space="0" w:color="41B7EE"/>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转销或</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核销</w:t>
            </w:r>
            <w:r>
              <w:rPr>
                <w:rFonts w:ascii="宋体" w:hAnsi="宋体" w:cs="宋体" w:eastAsia="宋体" w:hint="default"/>
                <w:sz w:val="21"/>
                <w:szCs w:val="21"/>
              </w:rPr>
              <w:t> </w:t>
            </w:r>
          </w:p>
        </w:tc>
        <w:tc>
          <w:tcPr>
            <w:tcW w:w="495" w:type="dxa"/>
            <w:tcBorders>
              <w:top w:val="single" w:sz="4" w:space="0" w:color="41B7EE"/>
              <w:left w:val="single" w:sz="4" w:space="0" w:color="41B7EE"/>
              <w:bottom w:val="single" w:sz="4" w:space="0" w:color="41B7EE"/>
              <w:right w:val="single" w:sz="4" w:space="0" w:color="41B7EE"/>
            </w:tcBorders>
          </w:tcPr>
          <w:p>
            <w:pPr>
              <w:pStyle w:val="TableParagraph"/>
              <w:spacing w:line="239" w:lineRule="exact"/>
              <w:ind w:left="40"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3" w:lineRule="exact"/>
              <w:ind w:left="40" w:right="0"/>
              <w:jc w:val="left"/>
              <w:rPr>
                <w:rFonts w:ascii="宋体" w:hAnsi="宋体" w:cs="宋体" w:eastAsia="宋体" w:hint="default"/>
                <w:sz w:val="21"/>
                <w:szCs w:val="21"/>
              </w:rPr>
            </w:pPr>
            <w:r>
              <w:rPr>
                <w:rFonts w:ascii="宋体" w:hAnsi="宋体" w:cs="宋体" w:eastAsia="宋体" w:hint="default"/>
                <w:sz w:val="21"/>
                <w:szCs w:val="21"/>
              </w:rPr>
              <w:t>变动</w:t>
            </w:r>
          </w:p>
        </w:tc>
        <w:tc>
          <w:tcPr>
            <w:tcW w:w="1262" w:type="dxa"/>
            <w:vMerge/>
            <w:tcBorders>
              <w:left w:val="single" w:sz="4" w:space="0" w:color="41B7EE"/>
              <w:bottom w:val="single" w:sz="4" w:space="0" w:color="41B7EE"/>
              <w:right w:val="nil" w:sz="6" w:space="0" w:color="auto"/>
            </w:tcBorders>
          </w:tcPr>
          <w:p>
            <w:pPr/>
          </w:p>
        </w:tc>
      </w:tr>
      <w:tr>
        <w:trPr>
          <w:trHeight w:val="554" w:hRule="exact"/>
        </w:trPr>
        <w:tc>
          <w:tcPr>
            <w:tcW w:w="2998" w:type="dxa"/>
            <w:tcBorders>
              <w:top w:val="single" w:sz="4" w:space="0" w:color="41B7EE"/>
              <w:left w:val="nil" w:sz="6" w:space="0" w:color="auto"/>
              <w:bottom w:val="single" w:sz="4" w:space="0" w:color="41B7EE"/>
              <w:right w:val="single" w:sz="4" w:space="0" w:color="41B7EE"/>
            </w:tcBorders>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sz w:val="21"/>
                <w:szCs w:val="21"/>
              </w:rPr>
              <w:t>单项金额重大并单独计提坏账准</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备的应收账款</w:t>
            </w:r>
            <w:r>
              <w:rPr>
                <w:rFonts w:ascii="宋体" w:hAnsi="宋体" w:cs="宋体" w:eastAsia="宋体" w:hint="default"/>
                <w:sz w:val="21"/>
                <w:szCs w:val="21"/>
              </w:rPr>
              <w:t> </w:t>
            </w:r>
          </w:p>
        </w:tc>
        <w:tc>
          <w:tcPr>
            <w:tcW w:w="142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20"/>
              <w:jc w:val="right"/>
              <w:rPr>
                <w:rFonts w:ascii="Arial" w:hAnsi="Arial" w:cs="Arial" w:eastAsia="Arial" w:hint="default"/>
                <w:sz w:val="21"/>
                <w:szCs w:val="21"/>
              </w:rPr>
            </w:pPr>
            <w:r>
              <w:rPr>
                <w:rFonts w:ascii="Arial"/>
                <w:spacing w:val="-2"/>
                <w:w w:val="80"/>
                <w:sz w:val="21"/>
              </w:rPr>
              <w:t>72,201,823.16</w:t>
            </w:r>
            <w:r>
              <w:rPr>
                <w:rFonts w:ascii="Arial"/>
                <w:sz w:val="21"/>
              </w:rPr>
            </w:r>
          </w:p>
        </w:tc>
        <w:tc>
          <w:tcPr>
            <w:tcW w:w="999" w:type="dxa"/>
            <w:tcBorders>
              <w:top w:val="single" w:sz="4" w:space="0" w:color="41B7EE"/>
              <w:left w:val="single" w:sz="4" w:space="0" w:color="41B7EE"/>
              <w:bottom w:val="single" w:sz="4" w:space="0" w:color="41B7EE"/>
              <w:right w:val="single" w:sz="4" w:space="0" w:color="41B7EE"/>
            </w:tcBorders>
          </w:tcPr>
          <w:p>
            <w:pPr/>
          </w:p>
        </w:tc>
        <w:tc>
          <w:tcPr>
            <w:tcW w:w="998" w:type="dxa"/>
            <w:tcBorders>
              <w:top w:val="single" w:sz="4" w:space="0" w:color="41B7EE"/>
              <w:left w:val="single" w:sz="4" w:space="0" w:color="41B7EE"/>
              <w:bottom w:val="single" w:sz="4" w:space="0" w:color="41B7EE"/>
              <w:right w:val="single" w:sz="4" w:space="0" w:color="41B7EE"/>
            </w:tcBorders>
          </w:tcPr>
          <w:p>
            <w:pPr/>
          </w:p>
        </w:tc>
        <w:tc>
          <w:tcPr>
            <w:tcW w:w="713" w:type="dxa"/>
            <w:tcBorders>
              <w:top w:val="single" w:sz="4" w:space="0" w:color="41B7EE"/>
              <w:left w:val="single" w:sz="4" w:space="0" w:color="41B7EE"/>
              <w:bottom w:val="single" w:sz="4" w:space="0" w:color="41B7EE"/>
              <w:right w:val="single" w:sz="4" w:space="0" w:color="41B7EE"/>
            </w:tcBorders>
          </w:tcPr>
          <w:p>
            <w:pPr/>
          </w:p>
        </w:tc>
        <w:tc>
          <w:tcPr>
            <w:tcW w:w="495" w:type="dxa"/>
            <w:tcBorders>
              <w:top w:val="single" w:sz="4" w:space="0" w:color="41B7EE"/>
              <w:left w:val="single" w:sz="4" w:space="0" w:color="41B7EE"/>
              <w:bottom w:val="single" w:sz="4" w:space="0" w:color="41B7EE"/>
              <w:right w:val="single" w:sz="4" w:space="0" w:color="41B7EE"/>
            </w:tcBorders>
          </w:tcPr>
          <w:p>
            <w:pPr/>
          </w:p>
        </w:tc>
        <w:tc>
          <w:tcPr>
            <w:tcW w:w="126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6"/>
              <w:ind w:right="22"/>
              <w:jc w:val="right"/>
              <w:rPr>
                <w:rFonts w:ascii="Arial" w:hAnsi="Arial" w:cs="Arial" w:eastAsia="Arial" w:hint="default"/>
                <w:sz w:val="21"/>
                <w:szCs w:val="21"/>
              </w:rPr>
            </w:pPr>
            <w:r>
              <w:rPr>
                <w:rFonts w:ascii="Arial"/>
                <w:spacing w:val="-2"/>
                <w:w w:val="80"/>
                <w:sz w:val="21"/>
              </w:rPr>
              <w:t>72,201,823.16</w:t>
            </w:r>
            <w:r>
              <w:rPr>
                <w:rFonts w:ascii="Arial"/>
                <w:sz w:val="21"/>
              </w:rPr>
            </w:r>
          </w:p>
        </w:tc>
      </w:tr>
      <w:tr>
        <w:trPr>
          <w:trHeight w:val="554" w:hRule="exact"/>
        </w:trPr>
        <w:tc>
          <w:tcPr>
            <w:tcW w:w="2998" w:type="dxa"/>
            <w:tcBorders>
              <w:top w:val="single" w:sz="4" w:space="0" w:color="41B7EE"/>
              <w:left w:val="nil" w:sz="6" w:space="0" w:color="auto"/>
              <w:bottom w:val="single" w:sz="4" w:space="0" w:color="41B7EE"/>
              <w:right w:val="single" w:sz="4" w:space="0" w:color="41B7EE"/>
            </w:tcBorders>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sz w:val="21"/>
                <w:szCs w:val="21"/>
              </w:rPr>
              <w:t>单项金额不重大但单独计提坏账</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准备的应收账款</w:t>
            </w:r>
            <w:r>
              <w:rPr>
                <w:rFonts w:ascii="宋体" w:hAnsi="宋体" w:cs="宋体" w:eastAsia="宋体" w:hint="default"/>
                <w:sz w:val="21"/>
                <w:szCs w:val="21"/>
              </w:rPr>
              <w:t> </w:t>
            </w:r>
          </w:p>
        </w:tc>
        <w:tc>
          <w:tcPr>
            <w:tcW w:w="142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20"/>
              <w:jc w:val="right"/>
              <w:rPr>
                <w:rFonts w:ascii="Arial" w:hAnsi="Arial" w:cs="Arial" w:eastAsia="Arial" w:hint="default"/>
                <w:sz w:val="21"/>
                <w:szCs w:val="21"/>
              </w:rPr>
            </w:pPr>
            <w:r>
              <w:rPr>
                <w:rFonts w:ascii="Arial"/>
                <w:spacing w:val="-2"/>
                <w:w w:val="80"/>
                <w:sz w:val="21"/>
              </w:rPr>
              <w:t>45,929,169.23</w:t>
            </w:r>
            <w:r>
              <w:rPr>
                <w:rFonts w:ascii="Arial"/>
                <w:sz w:val="21"/>
              </w:rPr>
            </w:r>
          </w:p>
        </w:tc>
        <w:tc>
          <w:tcPr>
            <w:tcW w:w="99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left="80" w:right="0"/>
              <w:jc w:val="center"/>
              <w:rPr>
                <w:rFonts w:ascii="Arial" w:hAnsi="Arial" w:cs="Arial" w:eastAsia="Arial" w:hint="default"/>
                <w:sz w:val="21"/>
                <w:szCs w:val="21"/>
              </w:rPr>
            </w:pPr>
            <w:r>
              <w:rPr>
                <w:rFonts w:ascii="Arial"/>
                <w:w w:val="80"/>
                <w:sz w:val="21"/>
              </w:rPr>
              <w:t>388,216.00</w:t>
            </w:r>
            <w:r>
              <w:rPr>
                <w:rFonts w:ascii="Arial"/>
                <w:sz w:val="21"/>
              </w:rPr>
            </w:r>
          </w:p>
        </w:tc>
        <w:tc>
          <w:tcPr>
            <w:tcW w:w="99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19"/>
              <w:jc w:val="right"/>
              <w:rPr>
                <w:rFonts w:ascii="Arial" w:hAnsi="Arial" w:cs="Arial" w:eastAsia="Arial" w:hint="default"/>
                <w:sz w:val="21"/>
                <w:szCs w:val="21"/>
              </w:rPr>
            </w:pPr>
            <w:r>
              <w:rPr>
                <w:rFonts w:ascii="Arial"/>
                <w:spacing w:val="-2"/>
                <w:w w:val="80"/>
                <w:sz w:val="21"/>
              </w:rPr>
              <w:t>465,166.16</w:t>
            </w:r>
            <w:r>
              <w:rPr>
                <w:rFonts w:ascii="Arial"/>
                <w:sz w:val="21"/>
              </w:rPr>
            </w:r>
          </w:p>
        </w:tc>
        <w:tc>
          <w:tcPr>
            <w:tcW w:w="713" w:type="dxa"/>
            <w:tcBorders>
              <w:top w:val="single" w:sz="4" w:space="0" w:color="41B7EE"/>
              <w:left w:val="single" w:sz="4" w:space="0" w:color="41B7EE"/>
              <w:bottom w:val="single" w:sz="4" w:space="0" w:color="41B7EE"/>
              <w:right w:val="single" w:sz="4" w:space="0" w:color="41B7EE"/>
            </w:tcBorders>
          </w:tcPr>
          <w:p>
            <w:pPr/>
          </w:p>
        </w:tc>
        <w:tc>
          <w:tcPr>
            <w:tcW w:w="495" w:type="dxa"/>
            <w:tcBorders>
              <w:top w:val="single" w:sz="4" w:space="0" w:color="41B7EE"/>
              <w:left w:val="single" w:sz="4" w:space="0" w:color="41B7EE"/>
              <w:bottom w:val="single" w:sz="4" w:space="0" w:color="41B7EE"/>
              <w:right w:val="single" w:sz="4" w:space="0" w:color="41B7EE"/>
            </w:tcBorders>
          </w:tcPr>
          <w:p>
            <w:pPr/>
          </w:p>
        </w:tc>
        <w:tc>
          <w:tcPr>
            <w:tcW w:w="126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46"/>
              <w:ind w:right="22"/>
              <w:jc w:val="right"/>
              <w:rPr>
                <w:rFonts w:ascii="Arial" w:hAnsi="Arial" w:cs="Arial" w:eastAsia="Arial" w:hint="default"/>
                <w:sz w:val="21"/>
                <w:szCs w:val="21"/>
              </w:rPr>
            </w:pPr>
            <w:r>
              <w:rPr>
                <w:rFonts w:ascii="Arial"/>
                <w:spacing w:val="-2"/>
                <w:w w:val="80"/>
                <w:sz w:val="21"/>
              </w:rPr>
              <w:t>45,852,219.07</w:t>
            </w:r>
            <w:r>
              <w:rPr>
                <w:rFonts w:ascii="Arial"/>
                <w:sz w:val="21"/>
              </w:rPr>
            </w:r>
          </w:p>
        </w:tc>
      </w:tr>
      <w:tr>
        <w:trPr>
          <w:trHeight w:val="358" w:hRule="exact"/>
        </w:trPr>
        <w:tc>
          <w:tcPr>
            <w:tcW w:w="299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账龄组合</w:t>
            </w:r>
            <w:r>
              <w:rPr>
                <w:rFonts w:ascii="宋体" w:hAnsi="宋体" w:cs="宋体" w:eastAsia="宋体" w:hint="default"/>
                <w:sz w:val="21"/>
                <w:szCs w:val="21"/>
              </w:rPr>
              <w:t> </w:t>
            </w:r>
          </w:p>
        </w:tc>
        <w:tc>
          <w:tcPr>
            <w:tcW w:w="142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2"/>
                <w:w w:val="80"/>
                <w:sz w:val="21"/>
              </w:rPr>
              <w:t>194,108.00</w:t>
            </w:r>
            <w:r>
              <w:rPr>
                <w:rFonts w:ascii="Arial"/>
                <w:sz w:val="21"/>
              </w:rPr>
            </w:r>
          </w:p>
        </w:tc>
        <w:tc>
          <w:tcPr>
            <w:tcW w:w="99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left="23" w:right="0"/>
              <w:jc w:val="center"/>
              <w:rPr>
                <w:rFonts w:ascii="Arial" w:hAnsi="Arial" w:cs="Arial" w:eastAsia="Arial" w:hint="default"/>
                <w:sz w:val="21"/>
                <w:szCs w:val="21"/>
              </w:rPr>
            </w:pPr>
            <w:r>
              <w:rPr>
                <w:rFonts w:ascii="Arial"/>
                <w:w w:val="80"/>
                <w:sz w:val="21"/>
              </w:rPr>
              <w:t>-195,608.00</w:t>
            </w:r>
            <w:r>
              <w:rPr>
                <w:rFonts w:ascii="Arial"/>
                <w:sz w:val="21"/>
              </w:rPr>
            </w:r>
          </w:p>
        </w:tc>
        <w:tc>
          <w:tcPr>
            <w:tcW w:w="99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2"/>
                <w:w w:val="80"/>
                <w:sz w:val="21"/>
              </w:rPr>
              <w:t>-1,500.00</w:t>
            </w:r>
            <w:r>
              <w:rPr>
                <w:rFonts w:ascii="Arial"/>
                <w:sz w:val="21"/>
              </w:rPr>
            </w:r>
          </w:p>
        </w:tc>
        <w:tc>
          <w:tcPr>
            <w:tcW w:w="713" w:type="dxa"/>
            <w:tcBorders>
              <w:top w:val="single" w:sz="4" w:space="0" w:color="41B7EE"/>
              <w:left w:val="single" w:sz="4" w:space="0" w:color="41B7EE"/>
              <w:bottom w:val="single" w:sz="4" w:space="0" w:color="41B7EE"/>
              <w:right w:val="single" w:sz="4" w:space="0" w:color="41B7EE"/>
            </w:tcBorders>
          </w:tcPr>
          <w:p>
            <w:pPr/>
          </w:p>
        </w:tc>
        <w:tc>
          <w:tcPr>
            <w:tcW w:w="495" w:type="dxa"/>
            <w:tcBorders>
              <w:top w:val="single" w:sz="4" w:space="0" w:color="41B7EE"/>
              <w:left w:val="single" w:sz="4" w:space="0" w:color="41B7EE"/>
              <w:bottom w:val="single" w:sz="4" w:space="0" w:color="41B7EE"/>
              <w:right w:val="single" w:sz="4" w:space="0" w:color="41B7EE"/>
            </w:tcBorders>
          </w:tcPr>
          <w:p>
            <w:pPr/>
          </w:p>
        </w:tc>
        <w:tc>
          <w:tcPr>
            <w:tcW w:w="1262" w:type="dxa"/>
            <w:tcBorders>
              <w:top w:val="single" w:sz="4" w:space="0" w:color="41B7EE"/>
              <w:left w:val="single" w:sz="4" w:space="0" w:color="41B7EE"/>
              <w:bottom w:val="single" w:sz="4" w:space="0" w:color="41B7EE"/>
              <w:right w:val="nil" w:sz="6" w:space="0" w:color="auto"/>
            </w:tcBorders>
          </w:tcPr>
          <w:p>
            <w:pPr/>
          </w:p>
        </w:tc>
      </w:tr>
      <w:tr>
        <w:trPr>
          <w:trHeight w:val="382" w:hRule="exact"/>
        </w:trPr>
        <w:tc>
          <w:tcPr>
            <w:tcW w:w="2998"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2"/>
              <w:ind w:left="109"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26"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20"/>
              <w:jc w:val="right"/>
              <w:rPr>
                <w:rFonts w:ascii="Arial" w:hAnsi="Arial" w:cs="Arial" w:eastAsia="Arial" w:hint="default"/>
                <w:sz w:val="21"/>
                <w:szCs w:val="21"/>
              </w:rPr>
            </w:pPr>
            <w:r>
              <w:rPr>
                <w:rFonts w:ascii="Arial"/>
                <w:spacing w:val="-2"/>
                <w:w w:val="80"/>
                <w:sz w:val="21"/>
              </w:rPr>
              <w:t>118,325,100.39</w:t>
            </w:r>
            <w:r>
              <w:rPr>
                <w:rFonts w:ascii="Arial"/>
                <w:sz w:val="21"/>
              </w:rPr>
            </w:r>
          </w:p>
        </w:tc>
        <w:tc>
          <w:tcPr>
            <w:tcW w:w="999"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left="80" w:right="0"/>
              <w:jc w:val="center"/>
              <w:rPr>
                <w:rFonts w:ascii="Arial" w:hAnsi="Arial" w:cs="Arial" w:eastAsia="Arial" w:hint="default"/>
                <w:sz w:val="21"/>
                <w:szCs w:val="21"/>
              </w:rPr>
            </w:pPr>
            <w:r>
              <w:rPr>
                <w:rFonts w:ascii="Arial"/>
                <w:w w:val="80"/>
                <w:sz w:val="21"/>
              </w:rPr>
              <w:t>192,608.00</w:t>
            </w:r>
            <w:r>
              <w:rPr>
                <w:rFonts w:ascii="Arial"/>
                <w:sz w:val="21"/>
              </w:rPr>
            </w:r>
          </w:p>
        </w:tc>
        <w:tc>
          <w:tcPr>
            <w:tcW w:w="998"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19"/>
              <w:jc w:val="right"/>
              <w:rPr>
                <w:rFonts w:ascii="Arial" w:hAnsi="Arial" w:cs="Arial" w:eastAsia="Arial" w:hint="default"/>
                <w:sz w:val="21"/>
                <w:szCs w:val="21"/>
              </w:rPr>
            </w:pPr>
            <w:r>
              <w:rPr>
                <w:rFonts w:ascii="Arial"/>
                <w:spacing w:val="-2"/>
                <w:w w:val="80"/>
                <w:sz w:val="21"/>
              </w:rPr>
              <w:t>463,666.16</w:t>
            </w:r>
            <w:r>
              <w:rPr>
                <w:rFonts w:ascii="Arial"/>
                <w:sz w:val="21"/>
              </w:rPr>
            </w:r>
          </w:p>
        </w:tc>
        <w:tc>
          <w:tcPr>
            <w:tcW w:w="713" w:type="dxa"/>
            <w:tcBorders>
              <w:top w:val="single" w:sz="4" w:space="0" w:color="41B7EE"/>
              <w:left w:val="single" w:sz="4" w:space="0" w:color="41B7EE"/>
              <w:bottom w:val="single" w:sz="23" w:space="0" w:color="41B7EE"/>
              <w:right w:val="single" w:sz="4" w:space="0" w:color="41B7EE"/>
            </w:tcBorders>
          </w:tcPr>
          <w:p>
            <w:pPr/>
          </w:p>
        </w:tc>
        <w:tc>
          <w:tcPr>
            <w:tcW w:w="495" w:type="dxa"/>
            <w:tcBorders>
              <w:top w:val="single" w:sz="4" w:space="0" w:color="41B7EE"/>
              <w:left w:val="single" w:sz="4" w:space="0" w:color="41B7EE"/>
              <w:bottom w:val="single" w:sz="23" w:space="0" w:color="41B7EE"/>
              <w:right w:val="single" w:sz="4" w:space="0" w:color="41B7EE"/>
            </w:tcBorders>
          </w:tcPr>
          <w:p>
            <w:pPr/>
          </w:p>
        </w:tc>
        <w:tc>
          <w:tcPr>
            <w:tcW w:w="1262"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22"/>
              <w:jc w:val="right"/>
              <w:rPr>
                <w:rFonts w:ascii="Arial" w:hAnsi="Arial" w:cs="Arial" w:eastAsia="Arial" w:hint="default"/>
                <w:sz w:val="21"/>
                <w:szCs w:val="21"/>
              </w:rPr>
            </w:pPr>
            <w:r>
              <w:rPr>
                <w:rFonts w:ascii="Arial"/>
                <w:spacing w:val="-2"/>
                <w:w w:val="80"/>
                <w:sz w:val="21"/>
              </w:rPr>
              <w:t>118,054,042.23</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360" w:bottom="1380" w:left="1560" w:right="980"/>
        </w:sectPr>
      </w:pPr>
    </w:p>
    <w:p>
      <w:pPr>
        <w:pStyle w:val="BodyText"/>
        <w:spacing w:line="241" w:lineRule="exact"/>
        <w:ind w:left="238"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74"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19"/>
          <w:szCs w:val="19"/>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560" w:right="980"/>
          <w:cols w:num="2" w:equalWidth="0">
            <w:col w:w="4336" w:space="2186"/>
            <w:col w:w="2848"/>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632"/>
        <w:gridCol w:w="1988"/>
        <w:gridCol w:w="3430"/>
      </w:tblGrid>
      <w:tr>
        <w:trPr>
          <w:trHeight w:val="382" w:hRule="exact"/>
        </w:trPr>
        <w:tc>
          <w:tcPr>
            <w:tcW w:w="3632"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4"/>
              <w:ind w:left="107" w:right="0"/>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988"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4"/>
              <w:ind w:left="251" w:right="0"/>
              <w:jc w:val="left"/>
              <w:rPr>
                <w:rFonts w:ascii="宋体" w:hAnsi="宋体" w:cs="宋体" w:eastAsia="宋体" w:hint="default"/>
                <w:sz w:val="21"/>
                <w:szCs w:val="21"/>
              </w:rPr>
            </w:pPr>
            <w:r>
              <w:rPr>
                <w:rFonts w:ascii="宋体" w:hAnsi="宋体" w:cs="宋体" w:eastAsia="宋体" w:hint="default"/>
                <w:sz w:val="21"/>
                <w:szCs w:val="21"/>
              </w:rPr>
              <w:t>收回或转回金额</w:t>
            </w:r>
            <w:r>
              <w:rPr>
                <w:rFonts w:ascii="宋体" w:hAnsi="宋体" w:cs="宋体" w:eastAsia="宋体" w:hint="default"/>
                <w:sz w:val="21"/>
                <w:szCs w:val="21"/>
              </w:rPr>
              <w:t> </w:t>
            </w:r>
          </w:p>
        </w:tc>
        <w:tc>
          <w:tcPr>
            <w:tcW w:w="3430"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4"/>
              <w:ind w:left="98" w:right="0"/>
              <w:jc w:val="center"/>
              <w:rPr>
                <w:rFonts w:ascii="宋体" w:hAnsi="宋体" w:cs="宋体" w:eastAsia="宋体" w:hint="default"/>
                <w:sz w:val="21"/>
                <w:szCs w:val="21"/>
              </w:rPr>
            </w:pPr>
            <w:r>
              <w:rPr>
                <w:rFonts w:ascii="宋体" w:hAnsi="宋体" w:cs="宋体" w:eastAsia="宋体" w:hint="default"/>
                <w:sz w:val="21"/>
                <w:szCs w:val="21"/>
              </w:rPr>
              <w:t>收回方式</w:t>
            </w:r>
            <w:r>
              <w:rPr>
                <w:rFonts w:ascii="宋体" w:hAnsi="宋体" w:cs="宋体" w:eastAsia="宋体" w:hint="default"/>
                <w:sz w:val="21"/>
                <w:szCs w:val="21"/>
              </w:rPr>
              <w:t> </w:t>
            </w:r>
          </w:p>
        </w:tc>
      </w:tr>
      <w:tr>
        <w:trPr>
          <w:trHeight w:val="358" w:hRule="exact"/>
        </w:trPr>
        <w:tc>
          <w:tcPr>
            <w:tcW w:w="363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黑龙江省二九〇农场正纪面粉厂</w:t>
            </w:r>
            <w:r>
              <w:rPr>
                <w:rFonts w:ascii="宋体" w:hAnsi="宋体" w:cs="宋体" w:eastAsia="宋体" w:hint="default"/>
                <w:sz w:val="21"/>
                <w:szCs w:val="21"/>
              </w:rPr>
              <w:t> </w:t>
            </w:r>
          </w:p>
        </w:tc>
        <w:tc>
          <w:tcPr>
            <w:tcW w:w="198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337,707.55</w:t>
            </w:r>
          </w:p>
        </w:tc>
        <w:tc>
          <w:tcPr>
            <w:tcW w:w="343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货币</w:t>
            </w:r>
            <w:r>
              <w:rPr>
                <w:rFonts w:ascii="宋体" w:hAnsi="宋体" w:cs="宋体" w:eastAsia="宋体" w:hint="default"/>
                <w:sz w:val="21"/>
                <w:szCs w:val="21"/>
              </w:rPr>
              <w:t> </w:t>
            </w:r>
          </w:p>
        </w:tc>
      </w:tr>
      <w:tr>
        <w:trPr>
          <w:trHeight w:val="358" w:hRule="exact"/>
        </w:trPr>
        <w:tc>
          <w:tcPr>
            <w:tcW w:w="363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农户转回（家庭农场承包费）</w:t>
            </w:r>
            <w:r>
              <w:rPr>
                <w:rFonts w:ascii="宋体" w:hAnsi="宋体" w:cs="宋体" w:eastAsia="宋体" w:hint="default"/>
                <w:sz w:val="21"/>
                <w:szCs w:val="21"/>
              </w:rPr>
              <w:t> </w:t>
            </w:r>
          </w:p>
        </w:tc>
        <w:tc>
          <w:tcPr>
            <w:tcW w:w="198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127,458.61</w:t>
            </w:r>
          </w:p>
        </w:tc>
        <w:tc>
          <w:tcPr>
            <w:tcW w:w="343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货币</w:t>
            </w:r>
            <w:r>
              <w:rPr>
                <w:rFonts w:ascii="宋体" w:hAnsi="宋体" w:cs="宋体" w:eastAsia="宋体" w:hint="default"/>
                <w:sz w:val="21"/>
                <w:szCs w:val="21"/>
              </w:rPr>
              <w:t>/</w:t>
            </w:r>
            <w:r>
              <w:rPr>
                <w:rFonts w:ascii="宋体" w:hAnsi="宋体" w:cs="宋体" w:eastAsia="宋体" w:hint="default"/>
                <w:sz w:val="21"/>
                <w:szCs w:val="21"/>
              </w:rPr>
              <w:t>转账</w:t>
            </w:r>
            <w:r>
              <w:rPr>
                <w:rFonts w:ascii="宋体" w:hAnsi="宋体" w:cs="宋体" w:eastAsia="宋体" w:hint="default"/>
                <w:sz w:val="21"/>
                <w:szCs w:val="21"/>
              </w:rPr>
              <w:t> </w:t>
            </w:r>
          </w:p>
        </w:tc>
      </w:tr>
      <w:tr>
        <w:trPr>
          <w:trHeight w:val="358" w:hRule="exact"/>
        </w:trPr>
        <w:tc>
          <w:tcPr>
            <w:tcW w:w="363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农户收回（家庭农场承包费）</w:t>
            </w:r>
            <w:r>
              <w:rPr>
                <w:rFonts w:ascii="宋体" w:hAnsi="宋体" w:cs="宋体" w:eastAsia="宋体" w:hint="default"/>
                <w:sz w:val="21"/>
                <w:szCs w:val="21"/>
              </w:rPr>
              <w:t> </w:t>
            </w:r>
          </w:p>
        </w:tc>
        <w:tc>
          <w:tcPr>
            <w:tcW w:w="198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-1,500.00</w:t>
            </w:r>
          </w:p>
        </w:tc>
        <w:tc>
          <w:tcPr>
            <w:tcW w:w="343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货币</w:t>
            </w:r>
            <w:r>
              <w:rPr>
                <w:rFonts w:ascii="宋体" w:hAnsi="宋体" w:cs="宋体" w:eastAsia="宋体" w:hint="default"/>
                <w:sz w:val="21"/>
                <w:szCs w:val="21"/>
              </w:rPr>
              <w:t> </w:t>
            </w:r>
          </w:p>
        </w:tc>
      </w:tr>
      <w:tr>
        <w:trPr>
          <w:trHeight w:val="362" w:hRule="exact"/>
        </w:trPr>
        <w:tc>
          <w:tcPr>
            <w:tcW w:w="3632"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2"/>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88"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463,666.16</w:t>
            </w:r>
          </w:p>
        </w:tc>
        <w:tc>
          <w:tcPr>
            <w:tcW w:w="3430"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2"/>
              <w:ind w:left="98" w:right="0"/>
              <w:jc w:val="center"/>
              <w:rPr>
                <w:rFonts w:ascii="宋体" w:hAnsi="宋体" w:cs="宋体" w:eastAsia="宋体" w:hint="default"/>
                <w:sz w:val="21"/>
                <w:szCs w:val="21"/>
              </w:rPr>
            </w:pPr>
            <w:r>
              <w:rPr>
                <w:rFonts w:ascii="宋体"/>
                <w:sz w:val="21"/>
              </w:rPr>
              <w:t>/ </w:t>
            </w:r>
          </w:p>
        </w:tc>
      </w:tr>
    </w:tbl>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627;height:2" coordorigin="10,10" coordsize="3627,2">
              <v:shape style="position:absolute;left:10;top:10;width:3627;height:2" coordorigin="10,10" coordsize="3627,0" path="m10,10l3636,10e" filled="false" stroked="true" strokeweight=".96002pt" strokecolor="#41b7ee">
                <v:path arrowok="t"/>
              </v:shape>
            </v:group>
            <v:group style="position:absolute;left:3637;top:10;width:58;height:2" coordorigin="3637,10" coordsize="58,2">
              <v:shape style="position:absolute;left:3637;top:10;width:58;height:2" coordorigin="3637,10" coordsize="58,0" path="m3637,10l3694,10e" filled="false" stroked="true" strokeweight=".96002pt" strokecolor="#41b7ee">
                <v:path arrowok="t"/>
              </v:shape>
            </v:group>
            <v:group style="position:absolute;left:3694;top:10;width:1931;height:2" coordorigin="3694,10" coordsize="1931,2">
              <v:shape style="position:absolute;left:3694;top:10;width:1931;height:2" coordorigin="3694,10" coordsize="1931,0" path="m3694,10l5624,10e" filled="false" stroked="true" strokeweight=".96002pt" strokecolor="#41b7ee">
                <v:path arrowok="t"/>
              </v:shape>
            </v:group>
            <v:group style="position:absolute;left:5624;top:10;width:58;height:2" coordorigin="5624,10" coordsize="58,2">
              <v:shape style="position:absolute;left:5624;top:10;width:58;height:2" coordorigin="5624,10" coordsize="58,0" path="m5624,10l5682,10e" filled="false" stroked="true" strokeweight=".96002pt" strokecolor="#41b7ee">
                <v:path arrowok="t"/>
              </v:shape>
            </v:group>
            <v:group style="position:absolute;left:5682;top:10;width:3378;height:2" coordorigin="5682,10" coordsize="3378,2">
              <v:shape style="position:absolute;left:5682;top:10;width:3378;height:2" coordorigin="5682,10" coordsize="3378,0" path="m5682,10l9059,10e" filled="false" stroked="true" strokeweight=".96002pt" strokecolor="#41b7ee">
                <v:path arrowok="t"/>
              </v:shape>
            </v:group>
          </v:group>
        </w:pict>
      </w:r>
      <w:r>
        <w:rPr>
          <w:rFonts w:ascii="宋体" w:hAnsi="宋体" w:cs="宋体" w:eastAsia="宋体" w:hint="default"/>
          <w:sz w:val="2"/>
          <w:szCs w:val="2"/>
        </w:rPr>
      </w:r>
    </w:p>
    <w:p>
      <w:pPr>
        <w:pStyle w:val="BodyText"/>
        <w:spacing w:line="259" w:lineRule="exact"/>
        <w:ind w:left="238" w:right="5964"/>
        <w:jc w:val="left"/>
        <w:rPr>
          <w:rFonts w:ascii="宋体" w:hAnsi="宋体" w:cs="宋体" w:eastAsia="宋体" w:hint="default"/>
        </w:rPr>
      </w:pPr>
      <w:r>
        <w:rPr/>
        <w:t>其他说明：</w:t>
      </w:r>
      <w:r>
        <w:rPr>
          <w:rFonts w:ascii="宋体" w:hAnsi="宋体" w:cs="宋体" w:eastAsia="宋体" w:hint="default"/>
        </w:rPr>
        <w:t> </w:t>
      </w:r>
    </w:p>
    <w:p>
      <w:pPr>
        <w:spacing w:after="0" w:line="259" w:lineRule="exact"/>
        <w:jc w:val="left"/>
        <w:rPr>
          <w:rFonts w:ascii="宋体" w:hAnsi="宋体" w:cs="宋体" w:eastAsia="宋体" w:hint="default"/>
        </w:rPr>
        <w:sectPr>
          <w:type w:val="continuous"/>
          <w:pgSz w:w="11910" w:h="16840"/>
          <w:pgMar w:top="1360" w:bottom="1380" w:left="1560" w:right="980"/>
        </w:sectPr>
      </w:pPr>
    </w:p>
    <w:p>
      <w:pPr>
        <w:spacing w:line="292" w:lineRule="auto" w:before="119"/>
        <w:ind w:left="178" w:right="102" w:firstLine="419"/>
        <w:jc w:val="left"/>
        <w:rPr>
          <w:rFonts w:ascii="宋体" w:hAnsi="宋体" w:cs="宋体" w:eastAsia="宋体" w:hint="default"/>
          <w:sz w:val="21"/>
          <w:szCs w:val="21"/>
        </w:rPr>
      </w:pPr>
      <w:r>
        <w:rPr>
          <w:rFonts w:ascii="宋体" w:hAnsi="宋体" w:cs="宋体" w:eastAsia="宋体" w:hint="default"/>
          <w:sz w:val="21"/>
          <w:szCs w:val="21"/>
        </w:rPr>
        <w:t>原按个别认定法认定计提坏账的上述款项以货币和转账方式转回或收回。</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本期实际核销的应收账款情况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0"/>
        <w:ind w:left="178" w:right="476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其中重要的应收账款核销情况</w:t>
      </w:r>
      <w:r>
        <w:rPr>
          <w:rFonts w:ascii="宋体" w:hAnsi="宋体" w:cs="宋体" w:eastAsia="宋体" w:hint="default"/>
        </w:rPr>
        <w:t> </w:t>
      </w:r>
    </w:p>
    <w:p>
      <w:pPr>
        <w:spacing w:line="290" w:lineRule="auto" w:before="0"/>
        <w:ind w:left="178" w:right="2642"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left="178" w:right="10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78" w:right="102" w:firstLine="419"/>
        <w:jc w:val="left"/>
        <w:rPr>
          <w:rFonts w:ascii="宋体" w:hAnsi="宋体" w:cs="宋体" w:eastAsia="宋体" w:hint="default"/>
        </w:rPr>
      </w:pPr>
      <w:r>
        <w:rPr/>
        <w:t>本公司按欠款方归集的年末余额前五名应收账款汇总金额为</w:t>
      </w:r>
      <w:r>
        <w:rPr>
          <w:spacing w:val="-54"/>
        </w:rPr>
        <w:t> </w:t>
      </w:r>
      <w:r>
        <w:rPr>
          <w:rFonts w:ascii="Arial" w:hAnsi="Arial" w:cs="Arial" w:eastAsia="Arial" w:hint="default"/>
        </w:rPr>
        <w:t>59,304,075.16</w:t>
      </w:r>
      <w:r>
        <w:rPr>
          <w:rFonts w:ascii="Arial" w:hAnsi="Arial" w:cs="Arial" w:eastAsia="Arial" w:hint="default"/>
          <w:spacing w:val="-9"/>
        </w:rPr>
        <w:t> </w:t>
      </w:r>
      <w:r>
        <w:rPr/>
        <w:t>元，占应收账款</w:t>
      </w:r>
      <w:r>
        <w:rPr>
          <w:w w:val="100"/>
        </w:rPr>
        <w:t> </w:t>
      </w:r>
      <w:r>
        <w:rPr>
          <w:spacing w:val="-2"/>
          <w:w w:val="100"/>
        </w:rPr>
        <w:t>年末余额合计数的比例为</w:t>
      </w:r>
      <w:r>
        <w:rPr>
          <w:spacing w:val="-46"/>
          <w:w w:val="100"/>
        </w:rPr>
        <w:t> </w:t>
      </w:r>
      <w:r>
        <w:rPr>
          <w:rFonts w:ascii="Arial" w:hAnsi="Arial" w:cs="Arial" w:eastAsia="Arial" w:hint="default"/>
          <w:spacing w:val="-2"/>
          <w:w w:val="100"/>
        </w:rPr>
        <w:t>50.23%</w:t>
      </w:r>
      <w:r>
        <w:rPr>
          <w:spacing w:val="-2"/>
          <w:w w:val="100"/>
        </w:rPr>
        <w:t>，相应计提的坏账准备年末余额汇总金额为</w:t>
      </w:r>
      <w:r>
        <w:rPr>
          <w:spacing w:val="-46"/>
          <w:w w:val="100"/>
        </w:rPr>
        <w:t> </w:t>
      </w:r>
      <w:r>
        <w:rPr>
          <w:rFonts w:ascii="Arial" w:hAnsi="Arial" w:cs="Arial" w:eastAsia="Arial" w:hint="default"/>
          <w:spacing w:val="-1"/>
          <w:w w:val="100"/>
        </w:rPr>
        <w:t>59,304,075.16</w:t>
      </w:r>
      <w:r>
        <w:rPr>
          <w:rFonts w:ascii="Arial" w:hAnsi="Arial" w:cs="Arial" w:eastAsia="Arial" w:hint="default"/>
          <w:spacing w:val="5"/>
          <w:w w:val="100"/>
        </w:rPr>
        <w:t> </w:t>
      </w:r>
      <w:r>
        <w:rPr>
          <w:spacing w:val="-52"/>
          <w:w w:val="100"/>
        </w:rPr>
        <w:t>元。</w:t>
      </w:r>
      <w:r>
        <w:rPr>
          <w:rFonts w:ascii="宋体" w:hAnsi="宋体" w:cs="宋体" w:eastAsia="宋体" w:hint="default"/>
          <w:w w:val="100"/>
        </w:rPr>
        <w:t> </w:t>
      </w:r>
    </w:p>
    <w:p>
      <w:pPr>
        <w:pStyle w:val="Heading2"/>
        <w:spacing w:line="240" w:lineRule="auto" w:before="34"/>
        <w:ind w:left="178" w:right="102"/>
        <w:jc w:val="left"/>
        <w:rPr>
          <w:rFonts w:ascii="宋体" w:hAnsi="宋体" w:cs="宋体" w:eastAsia="宋体" w:hint="default"/>
          <w:b w:val="0"/>
          <w:bCs w:val="0"/>
        </w:rPr>
      </w:pPr>
      <w:r>
        <w:rPr>
          <w:rFonts w:ascii="宋体" w:hAnsi="宋体" w:cs="宋体" w:eastAsia="宋体" w:hint="default"/>
        </w:rPr>
        <w:t>(6).</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178" w:right="264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转移应收账款且继续涉入形成的资产、负债金额</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3"/>
        <w:ind w:left="178" w:right="714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其他应收款</w:t>
      </w:r>
      <w:r>
        <w:rPr>
          <w:rFonts w:ascii="宋体" w:hAnsi="宋体" w:cs="宋体" w:eastAsia="宋体" w:hint="default"/>
          <w:b/>
          <w:bCs/>
          <w:w w:val="99"/>
          <w:sz w:val="21"/>
          <w:szCs w:val="21"/>
        </w:rPr>
        <w:t> </w:t>
      </w:r>
      <w:r>
        <w:rPr>
          <w:rFonts w:ascii="宋体" w:hAnsi="宋体" w:cs="宋体" w:eastAsia="宋体" w:hint="default"/>
          <w:b/>
          <w:bCs/>
          <w:sz w:val="21"/>
          <w:szCs w:val="21"/>
        </w:rPr>
        <w:t>项目列示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178" w:right="10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0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45.75pt;height:1pt;mso-position-horizontal-relative:char;mso-position-vertical-relative:line" coordorigin="0,0" coordsize="8915,20">
            <v:group style="position:absolute;left:10;top:10;width:3135;height:2" coordorigin="10,10" coordsize="3135,2">
              <v:shape style="position:absolute;left:10;top:10;width:3135;height:2" coordorigin="10,10" coordsize="3135,0" path="m10,10l3144,10e" filled="false" stroked="true" strokeweight=".96002pt" strokecolor="#41b7ee">
                <v:path arrowok="t"/>
              </v:shape>
            </v:group>
            <v:group style="position:absolute;left:3145;top:10;width:58;height:2" coordorigin="3145,10" coordsize="58,2">
              <v:shape style="position:absolute;left:3145;top:10;width:58;height:2" coordorigin="3145,10" coordsize="58,0" path="m3145,10l3202,10e" filled="false" stroked="true" strokeweight=".96002pt" strokecolor="#41b7ee">
                <v:path arrowok="t"/>
              </v:shape>
            </v:group>
            <v:group style="position:absolute;left:3202;top:10;width:2828;height:2" coordorigin="3202,10" coordsize="2828,2">
              <v:shape style="position:absolute;left:3202;top:10;width:2828;height:2" coordorigin="3202,10" coordsize="2828,0" path="m3202,10l6030,10e" filled="false" stroked="true" strokeweight=".96002pt" strokecolor="#41b7ee">
                <v:path arrowok="t"/>
              </v:shape>
            </v:group>
            <v:group style="position:absolute;left:6030;top:10;width:58;height:2" coordorigin="6030,10" coordsize="58,2">
              <v:shape style="position:absolute;left:6030;top:10;width:58;height:2" coordorigin="6030,10" coordsize="58,0" path="m6030,10l6087,10e" filled="false" stroked="true" strokeweight=".96002pt" strokecolor="#41b7ee">
                <v:path arrowok="t"/>
              </v:shape>
            </v:group>
            <v:group style="position:absolute;left:6087;top:10;width:2818;height:2" coordorigin="6087,10" coordsize="2818,2">
              <v:shape style="position:absolute;left:6087;top:10;width:2818;height:2" coordorigin="6087,10" coordsize="2818,0" path="m6087,10l8905,10e" filled="false" stroked="true" strokeweight=".96002pt" strokecolor="#41b7ee">
                <v:path arrowok="t"/>
              </v:shape>
            </v:group>
          </v:group>
        </w:pict>
      </w:r>
      <w:r>
        <w:rPr>
          <w:rFonts w:ascii="宋体" w:hAnsi="宋体" w:cs="宋体" w:eastAsia="宋体" w:hint="default"/>
          <w:sz w:val="2"/>
          <w:szCs w:val="2"/>
        </w:rPr>
      </w:r>
    </w:p>
    <w:tbl>
      <w:tblPr>
        <w:tblW w:w="0" w:type="auto"/>
        <w:jc w:val="left"/>
        <w:tblInd w:w="118" w:type="dxa"/>
        <w:tblLayout w:type="fixed"/>
        <w:tblCellMar>
          <w:top w:w="0" w:type="dxa"/>
          <w:left w:w="0" w:type="dxa"/>
          <w:bottom w:w="0" w:type="dxa"/>
          <w:right w:w="0" w:type="dxa"/>
        </w:tblCellMar>
        <w:tblLook w:val="01E0"/>
      </w:tblPr>
      <w:tblGrid>
        <w:gridCol w:w="3140"/>
        <w:gridCol w:w="2885"/>
        <w:gridCol w:w="2871"/>
      </w:tblGrid>
      <w:tr>
        <w:trPr>
          <w:trHeight w:val="362" w:hRule="exact"/>
        </w:trPr>
        <w:tc>
          <w:tcPr>
            <w:tcW w:w="3140"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4"/>
              <w:ind w:right="125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85"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4"/>
              <w:ind w:left="10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1"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4"/>
              <w:ind w:left="101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58" w:hRule="exact"/>
        </w:trPr>
        <w:tc>
          <w:tcPr>
            <w:tcW w:w="314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885" w:type="dxa"/>
            <w:tcBorders>
              <w:top w:val="single" w:sz="4" w:space="0" w:color="41B7EE"/>
              <w:left w:val="single" w:sz="4" w:space="0" w:color="41B7EE"/>
              <w:bottom w:val="single" w:sz="4" w:space="0" w:color="41B7EE"/>
              <w:right w:val="single" w:sz="4" w:space="0" w:color="41B7EE"/>
            </w:tcBorders>
          </w:tcPr>
          <w:p>
            <w:pPr/>
          </w:p>
        </w:tc>
        <w:tc>
          <w:tcPr>
            <w:tcW w:w="2871"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14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885" w:type="dxa"/>
            <w:tcBorders>
              <w:top w:val="single" w:sz="4" w:space="0" w:color="41B7EE"/>
              <w:left w:val="single" w:sz="4" w:space="0" w:color="41B7EE"/>
              <w:bottom w:val="single" w:sz="4" w:space="0" w:color="41B7EE"/>
              <w:right w:val="single" w:sz="4" w:space="0" w:color="41B7EE"/>
            </w:tcBorders>
          </w:tcPr>
          <w:p>
            <w:pPr/>
          </w:p>
        </w:tc>
        <w:tc>
          <w:tcPr>
            <w:tcW w:w="2871" w:type="dxa"/>
            <w:tcBorders>
              <w:top w:val="single" w:sz="4" w:space="0" w:color="41B7EE"/>
              <w:left w:val="single" w:sz="4" w:space="0" w:color="41B7EE"/>
              <w:bottom w:val="single" w:sz="4" w:space="0" w:color="41B7EE"/>
              <w:right w:val="nil" w:sz="6" w:space="0" w:color="auto"/>
            </w:tcBorders>
          </w:tcPr>
          <w:p>
            <w:pPr/>
          </w:p>
        </w:tc>
      </w:tr>
      <w:tr>
        <w:trPr>
          <w:trHeight w:val="355" w:hRule="exact"/>
        </w:trPr>
        <w:tc>
          <w:tcPr>
            <w:tcW w:w="314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88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1,180,496,756.20</w:t>
            </w:r>
          </w:p>
        </w:tc>
        <w:tc>
          <w:tcPr>
            <w:tcW w:w="287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33"/>
              <w:jc w:val="right"/>
              <w:rPr>
                <w:rFonts w:ascii="Arial" w:hAnsi="Arial" w:cs="Arial" w:eastAsia="Arial" w:hint="default"/>
                <w:sz w:val="21"/>
                <w:szCs w:val="21"/>
              </w:rPr>
            </w:pPr>
            <w:r>
              <w:rPr>
                <w:rFonts w:ascii="Arial"/>
                <w:spacing w:val="-1"/>
                <w:sz w:val="21"/>
              </w:rPr>
              <w:t>1,223,320,432.22</w:t>
            </w:r>
          </w:p>
        </w:tc>
      </w:tr>
      <w:tr>
        <w:trPr>
          <w:trHeight w:val="384" w:hRule="exact"/>
        </w:trPr>
        <w:tc>
          <w:tcPr>
            <w:tcW w:w="3140"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right="125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85"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50"/>
              <w:ind w:right="22"/>
              <w:jc w:val="right"/>
              <w:rPr>
                <w:rFonts w:ascii="Arial" w:hAnsi="Arial" w:cs="Arial" w:eastAsia="Arial" w:hint="default"/>
                <w:sz w:val="21"/>
                <w:szCs w:val="21"/>
              </w:rPr>
            </w:pPr>
            <w:r>
              <w:rPr>
                <w:rFonts w:ascii="Arial"/>
                <w:spacing w:val="-1"/>
                <w:sz w:val="21"/>
              </w:rPr>
              <w:t>1,180,496,756.20</w:t>
            </w:r>
          </w:p>
        </w:tc>
        <w:tc>
          <w:tcPr>
            <w:tcW w:w="2871"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50"/>
              <w:ind w:right="27"/>
              <w:jc w:val="right"/>
              <w:rPr>
                <w:rFonts w:ascii="Arial" w:hAnsi="Arial" w:cs="Arial" w:eastAsia="Arial" w:hint="default"/>
                <w:sz w:val="21"/>
                <w:szCs w:val="21"/>
              </w:rPr>
            </w:pPr>
            <w:r>
              <w:rPr>
                <w:rFonts w:ascii="Arial"/>
                <w:spacing w:val="-1"/>
                <w:sz w:val="21"/>
              </w:rPr>
              <w:t>1,223,320,432.22</w:t>
            </w:r>
          </w:p>
        </w:tc>
      </w:tr>
    </w:tbl>
    <w:p>
      <w:pPr>
        <w:spacing w:after="0" w:line="240" w:lineRule="auto"/>
        <w:jc w:val="right"/>
        <w:rPr>
          <w:rFonts w:ascii="Arial" w:hAnsi="Arial" w:cs="Arial" w:eastAsia="Arial" w:hint="default"/>
          <w:sz w:val="21"/>
          <w:szCs w:val="21"/>
        </w:rPr>
        <w:sectPr>
          <w:pgSz w:w="11910" w:h="16840"/>
          <w:pgMar w:header="0" w:footer="1195" w:top="1360" w:bottom="1380" w:left="1620" w:right="1060"/>
        </w:sectPr>
      </w:pPr>
    </w:p>
    <w:p>
      <w:pPr>
        <w:pStyle w:val="Heading2"/>
        <w:spacing w:line="290" w:lineRule="auto" w:before="44"/>
        <w:ind w:left="178" w:right="976"/>
        <w:jc w:val="left"/>
        <w:rPr>
          <w:rFonts w:ascii="宋体" w:hAnsi="宋体" w:cs="宋体" w:eastAsia="宋体" w:hint="default"/>
          <w:b w:val="0"/>
          <w:bCs w:val="0"/>
        </w:rPr>
      </w:pPr>
      <w:r>
        <w:rPr/>
        <w:t>应收利息</w:t>
      </w:r>
      <w:r>
        <w:rPr>
          <w:rFonts w:ascii="宋体" w:hAnsi="宋体" w:cs="宋体" w:eastAsia="宋体" w:hint="default"/>
          <w:w w:val="99"/>
        </w:rPr>
        <w:t> </w:t>
      </w: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178" w:right="97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178" w:right="97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178" w:right="139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应收股利</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2" w:lineRule="auto" w:before="12"/>
        <w:ind w:left="17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3"/>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0"/>
        <w:ind w:left="178" w:right="97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178" w:right="97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其他应收款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2"/>
        <w:ind w:left="178" w:right="976"/>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78" w:right="97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9"/>
        <w:ind w:left="17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620" w:right="1060"/>
          <w:cols w:num="2" w:equalWidth="0">
            <w:col w:w="3666" w:space="2855"/>
            <w:col w:w="2709"/>
          </w:cols>
        </w:sectPr>
      </w:pPr>
    </w:p>
    <w:p>
      <w:pPr>
        <w:spacing w:line="240" w:lineRule="auto" w:before="7"/>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4491"/>
        <w:gridCol w:w="4405"/>
      </w:tblGrid>
      <w:tr>
        <w:trPr>
          <w:trHeight w:val="389" w:hRule="exact"/>
        </w:trPr>
        <w:tc>
          <w:tcPr>
            <w:tcW w:w="4491" w:type="dxa"/>
            <w:tcBorders>
              <w:top w:val="single" w:sz="23" w:space="0" w:color="41B7EE"/>
              <w:left w:val="nil" w:sz="6" w:space="0" w:color="auto"/>
              <w:bottom w:val="single" w:sz="8" w:space="0" w:color="41B7EE"/>
              <w:right w:val="single" w:sz="4" w:space="0" w:color="41B7EE"/>
            </w:tcBorders>
          </w:tcPr>
          <w:p>
            <w:pPr>
              <w:pStyle w:val="TableParagraph"/>
              <w:spacing w:line="240" w:lineRule="auto" w:before="4"/>
              <w:ind w:left="110"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4405" w:type="dxa"/>
            <w:tcBorders>
              <w:top w:val="single" w:sz="23" w:space="0" w:color="41B7EE"/>
              <w:left w:val="single" w:sz="4" w:space="0" w:color="41B7EE"/>
              <w:bottom w:val="single" w:sz="8" w:space="0" w:color="41B7EE"/>
              <w:right w:val="nil" w:sz="6" w:space="0" w:color="auto"/>
            </w:tcBorders>
          </w:tcPr>
          <w:p>
            <w:pPr>
              <w:pStyle w:val="TableParagraph"/>
              <w:spacing w:line="240" w:lineRule="auto" w:before="4"/>
              <w:ind w:left="1567"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bl>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4486;height:2" coordorigin="10,10" coordsize="4486,2">
              <v:shape style="position:absolute;left:10;top:10;width:4486;height:2" coordorigin="10,10" coordsize="4486,0" path="m10,10l4496,10e" filled="false" stroked="true" strokeweight=".95996pt" strokecolor="#41b7ee">
                <v:path arrowok="t"/>
              </v:shape>
            </v:group>
            <v:group style="position:absolute;left:4496;top:10;width:58;height:2" coordorigin="4496,10" coordsize="58,2">
              <v:shape style="position:absolute;left:4496;top:10;width:58;height:2" coordorigin="4496,10" coordsize="58,0" path="m4496,10l4553,10e" filled="false" stroked="true" strokeweight=".95996pt" strokecolor="#41b7ee">
                <v:path arrowok="t"/>
              </v:shape>
            </v:group>
            <v:group style="position:absolute;left:4553;top:10;width:4353;height:2" coordorigin="4553,10" coordsize="4353,2">
              <v:shape style="position:absolute;left:4553;top:10;width:4353;height:2" coordorigin="4553,10" coordsize="4353,0" path="m4553,10l8906,10e" filled="false" stroked="true" strokeweight=".95996pt" strokecolor="#41b7ee">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360" w:bottom="1380" w:left="1620" w:right="1060"/>
        </w:sectPr>
      </w:pPr>
    </w:p>
    <w:p>
      <w:pPr>
        <w:spacing w:line="240" w:lineRule="auto" w:before="10"/>
        <w:rPr>
          <w:rFonts w:ascii="宋体" w:hAnsi="宋体" w:cs="宋体" w:eastAsia="宋体" w:hint="default"/>
          <w:sz w:val="11"/>
          <w:szCs w:val="11"/>
        </w:rPr>
      </w:pPr>
    </w:p>
    <w:p>
      <w:pPr>
        <w:spacing w:line="20" w:lineRule="exact"/>
        <w:ind w:left="197"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4486;height:2" coordorigin="10,10" coordsize="4486,2">
              <v:shape style="position:absolute;left:10;top:10;width:4486;height:2" coordorigin="10,10" coordsize="4486,0" path="m10,10l4496,10e" filled="false" stroked="true" strokeweight=".96001pt" strokecolor="#41b7ee">
                <v:path arrowok="t"/>
              </v:shape>
            </v:group>
            <v:group style="position:absolute;left:4496;top:10;width:58;height:2" coordorigin="4496,10" coordsize="58,2">
              <v:shape style="position:absolute;left:4496;top:10;width:58;height:2" coordorigin="4496,10" coordsize="58,0" path="m4496,10l4553,10e" filled="false" stroked="true" strokeweight=".96001pt" strokecolor="#41b7ee">
                <v:path arrowok="t"/>
              </v:shape>
            </v:group>
            <v:group style="position:absolute;left:4553;top:10;width:4353;height:2" coordorigin="4553,10" coordsize="4353,2">
              <v:shape style="position:absolute;left:4553;top:10;width:4353;height:2" coordorigin="4553,10" coordsize="4353,0" path="m4553,10l8906,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78" w:type="dxa"/>
        <w:tblLayout w:type="fixed"/>
        <w:tblCellMar>
          <w:top w:w="0" w:type="dxa"/>
          <w:left w:w="0" w:type="dxa"/>
          <w:bottom w:w="0" w:type="dxa"/>
          <w:right w:w="0" w:type="dxa"/>
        </w:tblCellMar>
        <w:tblLook w:val="01E0"/>
      </w:tblPr>
      <w:tblGrid>
        <w:gridCol w:w="4491"/>
        <w:gridCol w:w="4405"/>
      </w:tblGrid>
      <w:tr>
        <w:trPr>
          <w:trHeight w:val="365" w:hRule="exact"/>
        </w:trPr>
        <w:tc>
          <w:tcPr>
            <w:tcW w:w="4491" w:type="dxa"/>
            <w:tcBorders>
              <w:top w:val="single" w:sz="8" w:space="0" w:color="41B7EE"/>
              <w:left w:val="nil" w:sz="6" w:space="0" w:color="auto"/>
              <w:bottom w:val="single" w:sz="4" w:space="0" w:color="41B7EE"/>
              <w:right w:val="single" w:sz="4" w:space="0" w:color="41B7EE"/>
            </w:tcBorders>
          </w:tcPr>
          <w:p>
            <w:pPr>
              <w:pStyle w:val="TableParagraph"/>
              <w:spacing w:line="240" w:lineRule="auto" w:before="7"/>
              <w:ind w:left="31"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年以内小计</w:t>
            </w:r>
          </w:p>
        </w:tc>
        <w:tc>
          <w:tcPr>
            <w:tcW w:w="4405" w:type="dxa"/>
            <w:tcBorders>
              <w:top w:val="single" w:sz="8" w:space="0" w:color="41B7EE"/>
              <w:left w:val="single" w:sz="4" w:space="0" w:color="41B7EE"/>
              <w:bottom w:val="single" w:sz="4" w:space="0" w:color="41B7EE"/>
              <w:right w:val="nil" w:sz="6" w:space="0" w:color="auto"/>
            </w:tcBorders>
          </w:tcPr>
          <w:p>
            <w:pPr>
              <w:pStyle w:val="TableParagraph"/>
              <w:spacing w:line="240" w:lineRule="auto" w:before="50"/>
              <w:ind w:right="24"/>
              <w:jc w:val="right"/>
              <w:rPr>
                <w:rFonts w:ascii="Arial" w:hAnsi="Arial" w:cs="Arial" w:eastAsia="Arial" w:hint="default"/>
                <w:sz w:val="21"/>
                <w:szCs w:val="21"/>
              </w:rPr>
            </w:pPr>
            <w:r>
              <w:rPr>
                <w:rFonts w:ascii="Arial"/>
                <w:spacing w:val="-1"/>
                <w:sz w:val="21"/>
              </w:rPr>
              <w:t>7,967,791.52</w:t>
            </w:r>
          </w:p>
        </w:tc>
      </w:tr>
      <w:tr>
        <w:trPr>
          <w:trHeight w:val="358" w:hRule="exact"/>
        </w:trPr>
        <w:tc>
          <w:tcPr>
            <w:tcW w:w="449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440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163,400.00</w:t>
            </w:r>
          </w:p>
        </w:tc>
      </w:tr>
      <w:tr>
        <w:trPr>
          <w:trHeight w:val="358" w:hRule="exact"/>
        </w:trPr>
        <w:tc>
          <w:tcPr>
            <w:tcW w:w="449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440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241,500.00</w:t>
            </w:r>
          </w:p>
        </w:tc>
      </w:tr>
      <w:tr>
        <w:trPr>
          <w:trHeight w:val="355" w:hRule="exact"/>
        </w:trPr>
        <w:tc>
          <w:tcPr>
            <w:tcW w:w="449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440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33,015,745.72</w:t>
            </w:r>
          </w:p>
        </w:tc>
      </w:tr>
      <w:tr>
        <w:trPr>
          <w:trHeight w:val="358" w:hRule="exact"/>
        </w:trPr>
        <w:tc>
          <w:tcPr>
            <w:tcW w:w="449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440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83,952,188.94</w:t>
            </w:r>
          </w:p>
        </w:tc>
      </w:tr>
      <w:tr>
        <w:trPr>
          <w:trHeight w:val="358" w:hRule="exact"/>
        </w:trPr>
        <w:tc>
          <w:tcPr>
            <w:tcW w:w="4491"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31" w:right="0"/>
              <w:jc w:val="left"/>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440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2,326,069,640.62</w:t>
            </w:r>
          </w:p>
        </w:tc>
      </w:tr>
      <w:tr>
        <w:trPr>
          <w:trHeight w:val="384" w:hRule="exact"/>
        </w:trPr>
        <w:tc>
          <w:tcPr>
            <w:tcW w:w="4491"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2"/>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405"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2,451,410,266.80</w:t>
            </w:r>
          </w:p>
        </w:tc>
      </w:tr>
    </w:tbl>
    <w:p>
      <w:pPr>
        <w:spacing w:after="0" w:line="240" w:lineRule="auto"/>
        <w:jc w:val="right"/>
        <w:rPr>
          <w:rFonts w:ascii="Arial" w:hAnsi="Arial" w:cs="Arial" w:eastAsia="Arial" w:hint="default"/>
          <w:sz w:val="21"/>
          <w:szCs w:val="21"/>
        </w:rPr>
        <w:sectPr>
          <w:footerReference w:type="default" r:id="rId97"/>
          <w:pgSz w:w="11910" w:h="16840"/>
          <w:pgMar w:footer="1537" w:header="0" w:top="1360" w:bottom="1720" w:left="1560" w:right="1000"/>
        </w:sectPr>
      </w:pPr>
    </w:p>
    <w:p>
      <w:pPr>
        <w:pStyle w:val="Heading2"/>
        <w:spacing w:line="240" w:lineRule="auto" w:before="44"/>
        <w:ind w:left="23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9"/>
          <w:szCs w:val="29"/>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560" w:right="1000"/>
          <w:cols w:num="2" w:equalWidth="0">
            <w:col w:w="2771" w:space="3751"/>
            <w:col w:w="2828"/>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077"/>
        <w:gridCol w:w="2981"/>
        <w:gridCol w:w="2991"/>
      </w:tblGrid>
      <w:tr>
        <w:trPr>
          <w:trHeight w:val="385" w:hRule="exact"/>
        </w:trPr>
        <w:tc>
          <w:tcPr>
            <w:tcW w:w="3077"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5"/>
              <w:ind w:left="1118"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5"/>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5"/>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355" w:hRule="exact"/>
        </w:trPr>
        <w:tc>
          <w:tcPr>
            <w:tcW w:w="307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29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2"/>
              <w:jc w:val="right"/>
              <w:rPr>
                <w:rFonts w:ascii="Arial" w:hAnsi="Arial" w:cs="Arial" w:eastAsia="Arial" w:hint="default"/>
                <w:sz w:val="21"/>
                <w:szCs w:val="21"/>
              </w:rPr>
            </w:pPr>
            <w:r>
              <w:rPr>
                <w:rFonts w:ascii="Arial"/>
                <w:spacing w:val="-1"/>
                <w:sz w:val="21"/>
              </w:rPr>
              <w:t>22,206,202.05</w:t>
            </w:r>
          </w:p>
        </w:tc>
        <w:tc>
          <w:tcPr>
            <w:tcW w:w="299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17,477,377.86</w:t>
            </w:r>
          </w:p>
        </w:tc>
      </w:tr>
      <w:tr>
        <w:trPr>
          <w:trHeight w:val="358" w:hRule="exact"/>
        </w:trPr>
        <w:tc>
          <w:tcPr>
            <w:tcW w:w="307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应收家庭农场款</w:t>
            </w:r>
            <w:r>
              <w:rPr>
                <w:rFonts w:ascii="宋体" w:hAnsi="宋体" w:cs="宋体" w:eastAsia="宋体" w:hint="default"/>
                <w:sz w:val="21"/>
                <w:szCs w:val="21"/>
              </w:rPr>
              <w:t> </w:t>
            </w:r>
          </w:p>
        </w:tc>
        <w:tc>
          <w:tcPr>
            <w:tcW w:w="29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160,976,453.33</w:t>
            </w:r>
          </w:p>
        </w:tc>
        <w:tc>
          <w:tcPr>
            <w:tcW w:w="299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161,262,917.19</w:t>
            </w:r>
          </w:p>
        </w:tc>
      </w:tr>
      <w:tr>
        <w:trPr>
          <w:trHeight w:val="358" w:hRule="exact"/>
        </w:trPr>
        <w:tc>
          <w:tcPr>
            <w:tcW w:w="307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承包结算款</w:t>
            </w:r>
            <w:r>
              <w:rPr>
                <w:rFonts w:ascii="宋体" w:hAnsi="宋体" w:cs="宋体" w:eastAsia="宋体" w:hint="default"/>
                <w:sz w:val="21"/>
                <w:szCs w:val="21"/>
              </w:rPr>
              <w:t> </w:t>
            </w:r>
          </w:p>
        </w:tc>
        <w:tc>
          <w:tcPr>
            <w:tcW w:w="29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9,066,171.46</w:t>
            </w:r>
          </w:p>
        </w:tc>
        <w:tc>
          <w:tcPr>
            <w:tcW w:w="299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9,066,171.46</w:t>
            </w:r>
          </w:p>
        </w:tc>
      </w:tr>
      <w:tr>
        <w:trPr>
          <w:trHeight w:val="358" w:hRule="exact"/>
        </w:trPr>
        <w:tc>
          <w:tcPr>
            <w:tcW w:w="307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存出保证金</w:t>
            </w:r>
            <w:r>
              <w:rPr>
                <w:rFonts w:ascii="宋体" w:hAnsi="宋体" w:cs="宋体" w:eastAsia="宋体" w:hint="default"/>
                <w:sz w:val="21"/>
                <w:szCs w:val="21"/>
              </w:rPr>
              <w:t> </w:t>
            </w:r>
          </w:p>
        </w:tc>
        <w:tc>
          <w:tcPr>
            <w:tcW w:w="29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0"/>
              <w:jc w:val="right"/>
              <w:rPr>
                <w:rFonts w:ascii="Arial" w:hAnsi="Arial" w:cs="Arial" w:eastAsia="Arial" w:hint="default"/>
                <w:sz w:val="21"/>
                <w:szCs w:val="21"/>
              </w:rPr>
            </w:pPr>
            <w:r>
              <w:rPr>
                <w:rFonts w:ascii="Arial"/>
                <w:spacing w:val="-1"/>
                <w:sz w:val="21"/>
              </w:rPr>
              <w:t>6,500.00</w:t>
            </w:r>
          </w:p>
        </w:tc>
        <w:tc>
          <w:tcPr>
            <w:tcW w:w="299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3,000.00</w:t>
            </w:r>
          </w:p>
        </w:tc>
      </w:tr>
      <w:tr>
        <w:trPr>
          <w:trHeight w:val="355" w:hRule="exact"/>
        </w:trPr>
        <w:tc>
          <w:tcPr>
            <w:tcW w:w="307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资产转售款</w:t>
            </w:r>
            <w:r>
              <w:rPr>
                <w:rFonts w:ascii="宋体" w:hAnsi="宋体" w:cs="宋体" w:eastAsia="宋体" w:hint="default"/>
                <w:sz w:val="21"/>
                <w:szCs w:val="21"/>
              </w:rPr>
              <w:t> </w:t>
            </w:r>
          </w:p>
        </w:tc>
        <w:tc>
          <w:tcPr>
            <w:tcW w:w="29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3,448,353.31</w:t>
            </w:r>
          </w:p>
        </w:tc>
        <w:tc>
          <w:tcPr>
            <w:tcW w:w="299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3,455,853.31</w:t>
            </w:r>
          </w:p>
        </w:tc>
      </w:tr>
      <w:tr>
        <w:trPr>
          <w:trHeight w:val="358" w:hRule="exact"/>
        </w:trPr>
        <w:tc>
          <w:tcPr>
            <w:tcW w:w="307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应收职员款</w:t>
            </w:r>
            <w:r>
              <w:rPr>
                <w:rFonts w:ascii="宋体" w:hAnsi="宋体" w:cs="宋体" w:eastAsia="宋体" w:hint="default"/>
                <w:sz w:val="21"/>
                <w:szCs w:val="21"/>
              </w:rPr>
              <w:t> </w:t>
            </w:r>
          </w:p>
        </w:tc>
        <w:tc>
          <w:tcPr>
            <w:tcW w:w="29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2,387,436.31</w:t>
            </w:r>
          </w:p>
        </w:tc>
        <w:tc>
          <w:tcPr>
            <w:tcW w:w="299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2,651,012.39</w:t>
            </w:r>
          </w:p>
        </w:tc>
      </w:tr>
      <w:tr>
        <w:trPr>
          <w:trHeight w:val="358" w:hRule="exact"/>
        </w:trPr>
        <w:tc>
          <w:tcPr>
            <w:tcW w:w="307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公司内部往来</w:t>
            </w:r>
            <w:r>
              <w:rPr>
                <w:rFonts w:ascii="宋体" w:hAnsi="宋体" w:cs="宋体" w:eastAsia="宋体" w:hint="default"/>
                <w:sz w:val="21"/>
                <w:szCs w:val="21"/>
              </w:rPr>
              <w:t> </w:t>
            </w:r>
          </w:p>
        </w:tc>
        <w:tc>
          <w:tcPr>
            <w:tcW w:w="29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2,240,842,130.21</w:t>
            </w:r>
          </w:p>
        </w:tc>
        <w:tc>
          <w:tcPr>
            <w:tcW w:w="299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5"/>
              <w:jc w:val="right"/>
              <w:rPr>
                <w:rFonts w:ascii="Arial" w:hAnsi="Arial" w:cs="Arial" w:eastAsia="Arial" w:hint="default"/>
                <w:sz w:val="21"/>
                <w:szCs w:val="21"/>
              </w:rPr>
            </w:pPr>
            <w:r>
              <w:rPr>
                <w:rFonts w:ascii="Arial"/>
                <w:spacing w:val="-1"/>
                <w:sz w:val="21"/>
              </w:rPr>
              <w:t>2,242,207,110.22</w:t>
            </w:r>
          </w:p>
        </w:tc>
      </w:tr>
      <w:tr>
        <w:trPr>
          <w:trHeight w:val="358" w:hRule="exact"/>
        </w:trPr>
        <w:tc>
          <w:tcPr>
            <w:tcW w:w="307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8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2"/>
              <w:jc w:val="right"/>
              <w:rPr>
                <w:rFonts w:ascii="Arial" w:hAnsi="Arial" w:cs="Arial" w:eastAsia="Arial" w:hint="default"/>
                <w:sz w:val="21"/>
                <w:szCs w:val="21"/>
              </w:rPr>
            </w:pPr>
            <w:r>
              <w:rPr>
                <w:rFonts w:ascii="Arial"/>
                <w:spacing w:val="-1"/>
                <w:sz w:val="21"/>
              </w:rPr>
              <w:t>12,477,020.13</w:t>
            </w:r>
          </w:p>
        </w:tc>
        <w:tc>
          <w:tcPr>
            <w:tcW w:w="299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13,940,315.04</w:t>
            </w:r>
          </w:p>
        </w:tc>
      </w:tr>
      <w:tr>
        <w:trPr>
          <w:trHeight w:val="382" w:hRule="exact"/>
        </w:trPr>
        <w:tc>
          <w:tcPr>
            <w:tcW w:w="3077"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2"/>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2,451,410,266.80</w:t>
            </w:r>
          </w:p>
        </w:tc>
        <w:tc>
          <w:tcPr>
            <w:tcW w:w="2991"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105"/>
              <w:jc w:val="right"/>
              <w:rPr>
                <w:rFonts w:ascii="Arial" w:hAnsi="Arial" w:cs="Arial" w:eastAsia="Arial" w:hint="default"/>
                <w:sz w:val="21"/>
                <w:szCs w:val="21"/>
              </w:rPr>
            </w:pPr>
            <w:r>
              <w:rPr>
                <w:rFonts w:ascii="Arial"/>
                <w:spacing w:val="-1"/>
                <w:sz w:val="21"/>
              </w:rPr>
              <w:t>2,450,063,757.47</w:t>
            </w:r>
          </w:p>
        </w:tc>
      </w:tr>
    </w:tbl>
    <w:p>
      <w:pPr>
        <w:spacing w:after="0" w:line="240" w:lineRule="auto"/>
        <w:jc w:val="right"/>
        <w:rPr>
          <w:rFonts w:ascii="Arial" w:hAnsi="Arial" w:cs="Arial" w:eastAsia="Arial" w:hint="default"/>
          <w:sz w:val="21"/>
          <w:szCs w:val="21"/>
        </w:rPr>
        <w:sectPr>
          <w:type w:val="continuous"/>
          <w:pgSz w:w="11910" w:h="16840"/>
          <w:pgMar w:top="1360" w:bottom="1380" w:left="1560" w:right="1000"/>
        </w:sectPr>
      </w:pPr>
    </w:p>
    <w:p>
      <w:pPr>
        <w:pStyle w:val="Heading2"/>
        <w:spacing w:line="240" w:lineRule="auto" w:before="26"/>
        <w:ind w:left="238"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560" w:right="1000"/>
          <w:cols w:num="2" w:equalWidth="0">
            <w:col w:w="2560" w:space="3859"/>
            <w:col w:w="2931"/>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290"/>
        <w:gridCol w:w="1488"/>
        <w:gridCol w:w="1637"/>
        <w:gridCol w:w="1817"/>
        <w:gridCol w:w="1817"/>
      </w:tblGrid>
      <w:tr>
        <w:trPr>
          <w:trHeight w:val="468" w:hRule="exact"/>
        </w:trPr>
        <w:tc>
          <w:tcPr>
            <w:tcW w:w="2290" w:type="dxa"/>
            <w:vMerge w:val="restart"/>
            <w:tcBorders>
              <w:top w:val="single" w:sz="23" w:space="0" w:color="41B7EE"/>
              <w:left w:val="nil" w:sz="6" w:space="0" w:color="auto"/>
              <w:right w:val="single" w:sz="4" w:space="0" w:color="41B7EE"/>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72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88" w:type="dxa"/>
            <w:tcBorders>
              <w:top w:val="single" w:sz="23" w:space="0" w:color="41B7EE"/>
              <w:left w:val="single" w:sz="4" w:space="0" w:color="41B7EE"/>
              <w:bottom w:val="single" w:sz="4" w:space="0" w:color="41B7EE"/>
              <w:right w:val="single" w:sz="4" w:space="0" w:color="41B7EE"/>
            </w:tcBorders>
          </w:tcPr>
          <w:p>
            <w:pPr>
              <w:pStyle w:val="TableParagraph"/>
              <w:spacing w:line="243" w:lineRule="exact"/>
              <w:ind w:left="319"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637" w:type="dxa"/>
            <w:tcBorders>
              <w:top w:val="single" w:sz="23" w:space="0" w:color="41B7EE"/>
              <w:left w:val="single" w:sz="4" w:space="0" w:color="41B7EE"/>
              <w:bottom w:val="single" w:sz="4" w:space="0" w:color="41B7EE"/>
              <w:right w:val="single" w:sz="4" w:space="0" w:color="41B7EE"/>
            </w:tcBorders>
          </w:tcPr>
          <w:p>
            <w:pPr>
              <w:pStyle w:val="TableParagraph"/>
              <w:spacing w:line="243" w:lineRule="exact"/>
              <w:ind w:left="391"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817" w:type="dxa"/>
            <w:tcBorders>
              <w:top w:val="single" w:sz="23" w:space="0" w:color="41B7EE"/>
              <w:left w:val="single" w:sz="4" w:space="0" w:color="41B7EE"/>
              <w:bottom w:val="single" w:sz="4" w:space="0" w:color="41B7EE"/>
              <w:right w:val="single" w:sz="4" w:space="0" w:color="41B7EE"/>
            </w:tcBorders>
          </w:tcPr>
          <w:p>
            <w:pPr>
              <w:pStyle w:val="TableParagraph"/>
              <w:spacing w:line="243" w:lineRule="exact"/>
              <w:ind w:left="482"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817" w:type="dxa"/>
            <w:vMerge w:val="restart"/>
            <w:tcBorders>
              <w:top w:val="single" w:sz="23" w:space="0" w:color="41B7EE"/>
              <w:left w:val="single" w:sz="4" w:space="0" w:color="41B7EE"/>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69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948" w:hRule="exact"/>
        </w:trPr>
        <w:tc>
          <w:tcPr>
            <w:tcW w:w="2290" w:type="dxa"/>
            <w:vMerge/>
            <w:tcBorders>
              <w:left w:val="nil" w:sz="6" w:space="0" w:color="auto"/>
              <w:bottom w:val="single" w:sz="4" w:space="0" w:color="41B7EE"/>
              <w:right w:val="single" w:sz="4" w:space="0" w:color="41B7EE"/>
            </w:tcBorders>
          </w:tcPr>
          <w:p>
            <w:pPr/>
          </w:p>
        </w:tc>
        <w:tc>
          <w:tcPr>
            <w:tcW w:w="1488" w:type="dxa"/>
            <w:tcBorders>
              <w:top w:val="single" w:sz="4" w:space="0" w:color="41B7EE"/>
              <w:left w:val="single" w:sz="4" w:space="0" w:color="41B7EE"/>
              <w:bottom w:val="single" w:sz="4" w:space="0" w:color="41B7EE"/>
              <w:right w:val="single" w:sz="4" w:space="0" w:color="41B7EE"/>
            </w:tcBorders>
          </w:tcPr>
          <w:p>
            <w:pPr>
              <w:pStyle w:val="TableParagraph"/>
              <w:spacing w:line="272" w:lineRule="exact" w:before="111"/>
              <w:ind w:left="108" w:right="105" w:firstLine="93"/>
              <w:jc w:val="left"/>
              <w:rPr>
                <w:rFonts w:ascii="宋体" w:hAnsi="宋体" w:cs="宋体" w:eastAsia="宋体" w:hint="default"/>
                <w:sz w:val="21"/>
                <w:szCs w:val="21"/>
              </w:rPr>
            </w:pPr>
            <w:r>
              <w:rPr>
                <w:rFonts w:ascii="宋体" w:hAnsi="宋体" w:cs="宋体" w:eastAsia="宋体" w:hint="default"/>
                <w:sz w:val="21"/>
                <w:szCs w:val="21"/>
              </w:rPr>
              <w:t>未来</w:t>
            </w:r>
            <w:r>
              <w:rPr>
                <w:rFonts w:ascii="Arial" w:hAnsi="Arial" w:cs="Arial" w:eastAsia="Arial" w:hint="default"/>
                <w:sz w:val="21"/>
                <w:szCs w:val="21"/>
              </w:rPr>
              <w:t>12</w:t>
            </w:r>
            <w:r>
              <w:rPr>
                <w:rFonts w:ascii="宋体" w:hAnsi="宋体" w:cs="宋体" w:eastAsia="宋体" w:hint="default"/>
                <w:sz w:val="21"/>
                <w:szCs w:val="21"/>
              </w:rPr>
              <w:t>个月</w:t>
            </w:r>
            <w:r>
              <w:rPr>
                <w:rFonts w:ascii="宋体" w:hAnsi="宋体" w:cs="宋体" w:eastAsia="宋体" w:hint="default"/>
                <w:spacing w:val="-3"/>
                <w:w w:val="100"/>
                <w:sz w:val="21"/>
                <w:szCs w:val="21"/>
              </w:rPr>
              <w:t> </w:t>
            </w:r>
            <w:r>
              <w:rPr>
                <w:rFonts w:ascii="宋体" w:hAnsi="宋体" w:cs="宋体" w:eastAsia="宋体" w:hint="default"/>
                <w:sz w:val="21"/>
                <w:szCs w:val="21"/>
              </w:rPr>
              <w:t>预期信用损失</w:t>
            </w:r>
          </w:p>
        </w:tc>
        <w:tc>
          <w:tcPr>
            <w:tcW w:w="1637" w:type="dxa"/>
            <w:tcBorders>
              <w:top w:val="single" w:sz="4" w:space="0" w:color="41B7EE"/>
              <w:left w:val="single" w:sz="4" w:space="0" w:color="41B7EE"/>
              <w:bottom w:val="single" w:sz="4" w:space="0" w:color="41B7EE"/>
              <w:right w:val="single" w:sz="4" w:space="0" w:color="41B7EE"/>
            </w:tcBorders>
          </w:tcPr>
          <w:p>
            <w:pPr>
              <w:pStyle w:val="TableParagraph"/>
              <w:spacing w:line="228" w:lineRule="exact"/>
              <w:ind w:left="112" w:right="0"/>
              <w:jc w:val="left"/>
              <w:rPr>
                <w:rFonts w:ascii="宋体" w:hAnsi="宋体" w:cs="宋体" w:eastAsia="宋体" w:hint="default"/>
                <w:sz w:val="20"/>
                <w:szCs w:val="20"/>
              </w:rPr>
            </w:pPr>
            <w:r>
              <w:rPr>
                <w:rFonts w:ascii="宋体" w:hAnsi="宋体" w:cs="宋体" w:eastAsia="宋体" w:hint="default"/>
                <w:sz w:val="20"/>
                <w:szCs w:val="20"/>
              </w:rPr>
              <w:t>整个存续期预期</w:t>
            </w:r>
          </w:p>
          <w:p>
            <w:pPr>
              <w:pStyle w:val="TableParagraph"/>
              <w:spacing w:line="256" w:lineRule="exact" w:before="27"/>
              <w:ind w:left="278" w:right="115" w:hanging="166"/>
              <w:jc w:val="left"/>
              <w:rPr>
                <w:rFonts w:ascii="Arial" w:hAnsi="Arial" w:cs="Arial" w:eastAsia="Arial" w:hint="default"/>
                <w:sz w:val="20"/>
                <w:szCs w:val="20"/>
              </w:rPr>
            </w:pPr>
            <w:r>
              <w:rPr>
                <w:rFonts w:ascii="宋体" w:hAnsi="宋体" w:cs="宋体" w:eastAsia="宋体" w:hint="default"/>
                <w:sz w:val="20"/>
                <w:szCs w:val="20"/>
              </w:rPr>
              <w:t>信用损失（未发</w:t>
            </w:r>
            <w:r>
              <w:rPr>
                <w:rFonts w:ascii="宋体" w:hAnsi="宋体" w:cs="宋体" w:eastAsia="宋体" w:hint="default"/>
                <w:w w:val="99"/>
                <w:sz w:val="20"/>
                <w:szCs w:val="20"/>
              </w:rPr>
              <w:t> </w:t>
            </w:r>
            <w:r>
              <w:rPr>
                <w:rFonts w:ascii="宋体" w:hAnsi="宋体" w:cs="宋体" w:eastAsia="宋体" w:hint="default"/>
                <w:sz w:val="20"/>
                <w:szCs w:val="20"/>
              </w:rPr>
              <w:t>生信用减值</w:t>
            </w:r>
            <w:r>
              <w:rPr>
                <w:rFonts w:ascii="Arial" w:hAnsi="Arial" w:cs="Arial" w:eastAsia="Arial" w:hint="default"/>
                <w:sz w:val="20"/>
                <w:szCs w:val="20"/>
              </w:rPr>
              <w:t>)</w:t>
            </w:r>
          </w:p>
        </w:tc>
        <w:tc>
          <w:tcPr>
            <w:tcW w:w="1817" w:type="dxa"/>
            <w:tcBorders>
              <w:top w:val="single" w:sz="4" w:space="0" w:color="41B7EE"/>
              <w:left w:val="single" w:sz="4" w:space="0" w:color="41B7EE"/>
              <w:bottom w:val="single" w:sz="4" w:space="0" w:color="41B7EE"/>
              <w:right w:val="single" w:sz="4" w:space="0" w:color="41B7EE"/>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整个存续期预期信</w:t>
            </w:r>
          </w:p>
          <w:p>
            <w:pPr>
              <w:pStyle w:val="TableParagraph"/>
              <w:spacing w:line="256" w:lineRule="exact" w:before="27"/>
              <w:ind w:left="568" w:right="103" w:hanging="466"/>
              <w:jc w:val="left"/>
              <w:rPr>
                <w:rFonts w:ascii="Arial" w:hAnsi="Arial" w:cs="Arial" w:eastAsia="Arial" w:hint="default"/>
                <w:sz w:val="20"/>
                <w:szCs w:val="20"/>
              </w:rPr>
            </w:pPr>
            <w:r>
              <w:rPr>
                <w:rFonts w:ascii="宋体" w:hAnsi="宋体" w:cs="宋体" w:eastAsia="宋体" w:hint="default"/>
                <w:sz w:val="20"/>
                <w:szCs w:val="20"/>
              </w:rPr>
              <w:t>用损失（已发生信</w:t>
            </w:r>
            <w:r>
              <w:rPr>
                <w:rFonts w:ascii="宋体" w:hAnsi="宋体" w:cs="宋体" w:eastAsia="宋体" w:hint="default"/>
                <w:w w:val="99"/>
                <w:sz w:val="20"/>
                <w:szCs w:val="20"/>
              </w:rPr>
              <w:t> </w:t>
            </w:r>
            <w:r>
              <w:rPr>
                <w:rFonts w:ascii="宋体" w:hAnsi="宋体" w:cs="宋体" w:eastAsia="宋体" w:hint="default"/>
                <w:sz w:val="20"/>
                <w:szCs w:val="20"/>
              </w:rPr>
              <w:t>用减值</w:t>
            </w:r>
            <w:r>
              <w:rPr>
                <w:rFonts w:ascii="Arial" w:hAnsi="Arial" w:cs="Arial" w:eastAsia="Arial" w:hint="default"/>
                <w:sz w:val="20"/>
                <w:szCs w:val="20"/>
              </w:rPr>
              <w:t>)</w:t>
            </w:r>
          </w:p>
        </w:tc>
        <w:tc>
          <w:tcPr>
            <w:tcW w:w="1817" w:type="dxa"/>
            <w:vMerge/>
            <w:tcBorders>
              <w:left w:val="single" w:sz="4" w:space="0" w:color="41B7EE"/>
              <w:bottom w:val="single" w:sz="4" w:space="0" w:color="41B7EE"/>
              <w:right w:val="nil" w:sz="6" w:space="0" w:color="auto"/>
            </w:tcBorders>
          </w:tcPr>
          <w:p>
            <w:pPr/>
          </w:p>
        </w:tc>
      </w:tr>
      <w:tr>
        <w:trPr>
          <w:trHeight w:val="358" w:hRule="exact"/>
        </w:trPr>
        <w:tc>
          <w:tcPr>
            <w:tcW w:w="229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Arial" w:hAnsi="Arial" w:cs="Arial" w:eastAsia="Arial" w:hint="default"/>
                <w:sz w:val="21"/>
                <w:szCs w:val="21"/>
              </w:rPr>
              <w:t>2019</w:t>
            </w:r>
            <w:r>
              <w:rPr>
                <w:rFonts w:ascii="宋体" w:hAnsi="宋体" w:cs="宋体" w:eastAsia="宋体" w:hint="default"/>
                <w:sz w:val="21"/>
                <w:szCs w:val="21"/>
              </w:rPr>
              <w:t>年</w:t>
            </w:r>
            <w:r>
              <w:rPr>
                <w:rFonts w:ascii="Arial" w:hAnsi="Arial" w:cs="Arial" w:eastAsia="Arial" w:hint="default"/>
                <w:sz w:val="21"/>
                <w:szCs w:val="21"/>
              </w:rPr>
              <w:t>1</w:t>
            </w:r>
            <w:r>
              <w:rPr>
                <w:rFonts w:ascii="宋体" w:hAnsi="宋体" w:cs="宋体" w:eastAsia="宋体" w:hint="default"/>
                <w:sz w:val="21"/>
                <w:szCs w:val="21"/>
              </w:rPr>
              <w:t>月</w:t>
            </w:r>
            <w:r>
              <w:rPr>
                <w:rFonts w:ascii="Arial" w:hAnsi="Arial" w:cs="Arial" w:eastAsia="Arial" w:hint="default"/>
                <w:sz w:val="21"/>
                <w:szCs w:val="21"/>
              </w:rPr>
              <w:t>1</w:t>
            </w:r>
            <w:r>
              <w:rPr>
                <w:rFonts w:ascii="宋体" w:hAnsi="宋体" w:cs="宋体" w:eastAsia="宋体" w:hint="default"/>
                <w:sz w:val="21"/>
                <w:szCs w:val="21"/>
              </w:rPr>
              <w:t>日余额</w:t>
            </w:r>
          </w:p>
        </w:tc>
        <w:tc>
          <w:tcPr>
            <w:tcW w:w="148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103"/>
              <w:jc w:val="right"/>
              <w:rPr>
                <w:rFonts w:ascii="Arial" w:hAnsi="Arial" w:cs="Arial" w:eastAsia="Arial" w:hint="default"/>
                <w:sz w:val="20"/>
                <w:szCs w:val="20"/>
              </w:rPr>
            </w:pPr>
            <w:r>
              <w:rPr>
                <w:rFonts w:ascii="Arial"/>
                <w:spacing w:val="-1"/>
                <w:sz w:val="20"/>
              </w:rPr>
              <w:t>4,337.42</w:t>
            </w:r>
          </w:p>
        </w:tc>
        <w:tc>
          <w:tcPr>
            <w:tcW w:w="163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104"/>
              <w:jc w:val="right"/>
              <w:rPr>
                <w:rFonts w:ascii="Arial" w:hAnsi="Arial" w:cs="Arial" w:eastAsia="Arial" w:hint="default"/>
                <w:sz w:val="20"/>
                <w:szCs w:val="20"/>
              </w:rPr>
            </w:pPr>
            <w:r>
              <w:rPr>
                <w:rFonts w:ascii="Arial"/>
                <w:w w:val="95"/>
                <w:sz w:val="20"/>
              </w:rPr>
              <w:t>927,416.67</w:t>
            </w:r>
            <w:r>
              <w:rPr>
                <w:rFonts w:ascii="Arial"/>
                <w:sz w:val="20"/>
              </w:rPr>
            </w:r>
          </w:p>
        </w:tc>
        <w:tc>
          <w:tcPr>
            <w:tcW w:w="181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104"/>
              <w:jc w:val="right"/>
              <w:rPr>
                <w:rFonts w:ascii="Arial" w:hAnsi="Arial" w:cs="Arial" w:eastAsia="Arial" w:hint="default"/>
                <w:sz w:val="20"/>
                <w:szCs w:val="20"/>
              </w:rPr>
            </w:pPr>
            <w:r>
              <w:rPr>
                <w:rFonts w:ascii="Arial"/>
                <w:w w:val="95"/>
                <w:sz w:val="20"/>
              </w:rPr>
              <w:t>1,225,811,571.16</w:t>
            </w:r>
            <w:r>
              <w:rPr>
                <w:rFonts w:ascii="Arial"/>
                <w:sz w:val="20"/>
              </w:rPr>
            </w:r>
          </w:p>
        </w:tc>
        <w:tc>
          <w:tcPr>
            <w:tcW w:w="181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5"/>
              <w:ind w:right="108"/>
              <w:jc w:val="right"/>
              <w:rPr>
                <w:rFonts w:ascii="Arial" w:hAnsi="Arial" w:cs="Arial" w:eastAsia="Arial" w:hint="default"/>
                <w:sz w:val="20"/>
                <w:szCs w:val="20"/>
              </w:rPr>
            </w:pPr>
            <w:r>
              <w:rPr>
                <w:rFonts w:ascii="Arial"/>
                <w:w w:val="95"/>
                <w:sz w:val="20"/>
              </w:rPr>
              <w:t>1,226,743,325.25</w:t>
            </w:r>
            <w:r>
              <w:rPr>
                <w:rFonts w:ascii="Arial"/>
                <w:sz w:val="20"/>
              </w:rPr>
            </w:r>
          </w:p>
        </w:tc>
      </w:tr>
      <w:tr>
        <w:trPr>
          <w:trHeight w:val="355" w:hRule="exact"/>
        </w:trPr>
        <w:tc>
          <w:tcPr>
            <w:tcW w:w="229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48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103"/>
              <w:jc w:val="right"/>
              <w:rPr>
                <w:rFonts w:ascii="Arial" w:hAnsi="Arial" w:cs="Arial" w:eastAsia="Arial" w:hint="default"/>
                <w:sz w:val="20"/>
                <w:szCs w:val="20"/>
              </w:rPr>
            </w:pPr>
            <w:r>
              <w:rPr>
                <w:rFonts w:ascii="Arial"/>
                <w:w w:val="95"/>
                <w:sz w:val="20"/>
              </w:rPr>
              <w:t>-82,391.90</w:t>
            </w:r>
            <w:r>
              <w:rPr>
                <w:rFonts w:ascii="Arial"/>
                <w:sz w:val="20"/>
              </w:rPr>
            </w:r>
          </w:p>
        </w:tc>
        <w:tc>
          <w:tcPr>
            <w:tcW w:w="163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103"/>
              <w:jc w:val="right"/>
              <w:rPr>
                <w:rFonts w:ascii="Arial" w:hAnsi="Arial" w:cs="Arial" w:eastAsia="Arial" w:hint="default"/>
                <w:sz w:val="20"/>
                <w:szCs w:val="20"/>
              </w:rPr>
            </w:pPr>
            <w:r>
              <w:rPr>
                <w:rFonts w:ascii="Arial"/>
                <w:spacing w:val="-1"/>
                <w:sz w:val="20"/>
              </w:rPr>
              <w:t>2,002.16</w:t>
            </w:r>
          </w:p>
        </w:tc>
        <w:tc>
          <w:tcPr>
            <w:tcW w:w="181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103"/>
              <w:jc w:val="right"/>
              <w:rPr>
                <w:rFonts w:ascii="Arial" w:hAnsi="Arial" w:cs="Arial" w:eastAsia="Arial" w:hint="default"/>
                <w:sz w:val="20"/>
                <w:szCs w:val="20"/>
              </w:rPr>
            </w:pPr>
            <w:r>
              <w:rPr>
                <w:rFonts w:ascii="Arial"/>
                <w:w w:val="95"/>
                <w:sz w:val="20"/>
              </w:rPr>
              <w:t>44,463,100.00</w:t>
            </w:r>
            <w:r>
              <w:rPr>
                <w:rFonts w:ascii="Arial"/>
                <w:sz w:val="20"/>
              </w:rPr>
            </w:r>
          </w:p>
        </w:tc>
        <w:tc>
          <w:tcPr>
            <w:tcW w:w="181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5"/>
              <w:ind w:right="108"/>
              <w:jc w:val="right"/>
              <w:rPr>
                <w:rFonts w:ascii="Arial" w:hAnsi="Arial" w:cs="Arial" w:eastAsia="Arial" w:hint="default"/>
                <w:sz w:val="20"/>
                <w:szCs w:val="20"/>
              </w:rPr>
            </w:pPr>
            <w:r>
              <w:rPr>
                <w:rFonts w:ascii="Arial"/>
                <w:w w:val="95"/>
                <w:sz w:val="20"/>
              </w:rPr>
              <w:t>44,382,710.26</w:t>
            </w:r>
            <w:r>
              <w:rPr>
                <w:rFonts w:ascii="Arial"/>
                <w:sz w:val="20"/>
              </w:rPr>
            </w:r>
          </w:p>
        </w:tc>
      </w:tr>
      <w:tr>
        <w:trPr>
          <w:trHeight w:val="358" w:hRule="exact"/>
        </w:trPr>
        <w:tc>
          <w:tcPr>
            <w:tcW w:w="229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本期转回</w:t>
            </w:r>
          </w:p>
        </w:tc>
        <w:tc>
          <w:tcPr>
            <w:tcW w:w="148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103"/>
              <w:jc w:val="right"/>
              <w:rPr>
                <w:rFonts w:ascii="Arial" w:hAnsi="Arial" w:cs="Arial" w:eastAsia="Arial" w:hint="default"/>
                <w:sz w:val="20"/>
                <w:szCs w:val="20"/>
              </w:rPr>
            </w:pPr>
            <w:r>
              <w:rPr>
                <w:rFonts w:ascii="Arial"/>
                <w:w w:val="95"/>
                <w:sz w:val="20"/>
              </w:rPr>
              <w:t>-81,438.95</w:t>
            </w:r>
            <w:r>
              <w:rPr>
                <w:rFonts w:ascii="Arial"/>
                <w:sz w:val="20"/>
              </w:rPr>
            </w:r>
          </w:p>
        </w:tc>
        <w:tc>
          <w:tcPr>
            <w:tcW w:w="1637" w:type="dxa"/>
            <w:tcBorders>
              <w:top w:val="single" w:sz="4" w:space="0" w:color="41B7EE"/>
              <w:left w:val="single" w:sz="4" w:space="0" w:color="41B7EE"/>
              <w:bottom w:val="single" w:sz="4" w:space="0" w:color="41B7EE"/>
              <w:right w:val="single" w:sz="4" w:space="0" w:color="41B7EE"/>
            </w:tcBorders>
          </w:tcPr>
          <w:p>
            <w:pPr/>
          </w:p>
        </w:tc>
        <w:tc>
          <w:tcPr>
            <w:tcW w:w="1817"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103"/>
              <w:jc w:val="right"/>
              <w:rPr>
                <w:rFonts w:ascii="Arial" w:hAnsi="Arial" w:cs="Arial" w:eastAsia="Arial" w:hint="default"/>
                <w:sz w:val="20"/>
                <w:szCs w:val="20"/>
              </w:rPr>
            </w:pPr>
            <w:r>
              <w:rPr>
                <w:rFonts w:ascii="Arial"/>
                <w:w w:val="95"/>
                <w:sz w:val="20"/>
              </w:rPr>
              <w:t>293,963.86</w:t>
            </w:r>
            <w:r>
              <w:rPr>
                <w:rFonts w:ascii="Arial"/>
                <w:sz w:val="20"/>
              </w:rPr>
            </w:r>
          </w:p>
        </w:tc>
        <w:tc>
          <w:tcPr>
            <w:tcW w:w="1817"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7"/>
              <w:ind w:right="108"/>
              <w:jc w:val="right"/>
              <w:rPr>
                <w:rFonts w:ascii="Arial" w:hAnsi="Arial" w:cs="Arial" w:eastAsia="Arial" w:hint="default"/>
                <w:sz w:val="20"/>
                <w:szCs w:val="20"/>
              </w:rPr>
            </w:pPr>
            <w:r>
              <w:rPr>
                <w:rFonts w:ascii="Arial"/>
                <w:w w:val="95"/>
                <w:sz w:val="20"/>
              </w:rPr>
              <w:t>212,524.91</w:t>
            </w:r>
            <w:r>
              <w:rPr>
                <w:rFonts w:ascii="Arial"/>
                <w:sz w:val="20"/>
              </w:rPr>
            </w:r>
          </w:p>
        </w:tc>
      </w:tr>
      <w:tr>
        <w:trPr>
          <w:trHeight w:val="385" w:hRule="exact"/>
        </w:trPr>
        <w:tc>
          <w:tcPr>
            <w:tcW w:w="2290"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5"/>
              <w:ind w:left="107" w:right="0"/>
              <w:jc w:val="left"/>
              <w:rPr>
                <w:rFonts w:ascii="宋体" w:hAnsi="宋体" w:cs="宋体" w:eastAsia="宋体" w:hint="default"/>
                <w:sz w:val="21"/>
                <w:szCs w:val="21"/>
              </w:rPr>
            </w:pPr>
            <w:r>
              <w:rPr>
                <w:rFonts w:ascii="Arial" w:hAnsi="Arial" w:cs="Arial" w:eastAsia="Arial" w:hint="default"/>
                <w:sz w:val="21"/>
                <w:szCs w:val="21"/>
              </w:rPr>
              <w:t>2019</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31</w:t>
            </w:r>
            <w:r>
              <w:rPr>
                <w:rFonts w:ascii="宋体" w:hAnsi="宋体" w:cs="宋体" w:eastAsia="宋体" w:hint="default"/>
                <w:sz w:val="21"/>
                <w:szCs w:val="21"/>
              </w:rPr>
              <w:t>日余额</w:t>
            </w:r>
          </w:p>
        </w:tc>
        <w:tc>
          <w:tcPr>
            <w:tcW w:w="1488"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58"/>
              <w:ind w:right="103"/>
              <w:jc w:val="right"/>
              <w:rPr>
                <w:rFonts w:ascii="Arial" w:hAnsi="Arial" w:cs="Arial" w:eastAsia="Arial" w:hint="default"/>
                <w:sz w:val="20"/>
                <w:szCs w:val="20"/>
              </w:rPr>
            </w:pPr>
            <w:r>
              <w:rPr>
                <w:rFonts w:ascii="Arial"/>
                <w:spacing w:val="-1"/>
                <w:sz w:val="20"/>
              </w:rPr>
              <w:t>3,384.47</w:t>
            </w:r>
          </w:p>
        </w:tc>
        <w:tc>
          <w:tcPr>
            <w:tcW w:w="1637"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58"/>
              <w:ind w:right="104"/>
              <w:jc w:val="right"/>
              <w:rPr>
                <w:rFonts w:ascii="Arial" w:hAnsi="Arial" w:cs="Arial" w:eastAsia="Arial" w:hint="default"/>
                <w:sz w:val="20"/>
                <w:szCs w:val="20"/>
              </w:rPr>
            </w:pPr>
            <w:r>
              <w:rPr>
                <w:rFonts w:ascii="Arial"/>
                <w:w w:val="95"/>
                <w:sz w:val="20"/>
              </w:rPr>
              <w:t>929,418.83</w:t>
            </w:r>
            <w:r>
              <w:rPr>
                <w:rFonts w:ascii="Arial"/>
                <w:sz w:val="20"/>
              </w:rPr>
            </w:r>
          </w:p>
        </w:tc>
        <w:tc>
          <w:tcPr>
            <w:tcW w:w="1817"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58"/>
              <w:ind w:right="104"/>
              <w:jc w:val="right"/>
              <w:rPr>
                <w:rFonts w:ascii="Arial" w:hAnsi="Arial" w:cs="Arial" w:eastAsia="Arial" w:hint="default"/>
                <w:sz w:val="20"/>
                <w:szCs w:val="20"/>
              </w:rPr>
            </w:pPr>
            <w:r>
              <w:rPr>
                <w:rFonts w:ascii="Arial"/>
                <w:w w:val="95"/>
                <w:sz w:val="20"/>
              </w:rPr>
              <w:t>1,269,980,707.30</w:t>
            </w:r>
            <w:r>
              <w:rPr>
                <w:rFonts w:ascii="Arial"/>
                <w:sz w:val="20"/>
              </w:rPr>
            </w:r>
          </w:p>
        </w:tc>
        <w:tc>
          <w:tcPr>
            <w:tcW w:w="1817"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58"/>
              <w:ind w:right="108"/>
              <w:jc w:val="right"/>
              <w:rPr>
                <w:rFonts w:ascii="Arial" w:hAnsi="Arial" w:cs="Arial" w:eastAsia="Arial" w:hint="default"/>
                <w:sz w:val="20"/>
                <w:szCs w:val="20"/>
              </w:rPr>
            </w:pPr>
            <w:r>
              <w:rPr>
                <w:rFonts w:ascii="Arial"/>
                <w:w w:val="95"/>
                <w:sz w:val="20"/>
              </w:rPr>
              <w:t>1,270,913,510.60</w:t>
            </w:r>
            <w:r>
              <w:rPr>
                <w:rFonts w:ascii="Arial"/>
                <w:sz w:val="20"/>
              </w:rPr>
            </w:r>
          </w:p>
        </w:tc>
      </w:tr>
    </w:tbl>
    <w:p>
      <w:pPr>
        <w:pStyle w:val="BodyText"/>
        <w:spacing w:line="239" w:lineRule="exact"/>
        <w:ind w:left="238" w:right="0"/>
        <w:jc w:val="left"/>
      </w:pPr>
      <w:r>
        <w:rPr/>
        <w:t>对本期发生损失准备变动的其他应收款账面余额显著变动的情况说明：</w:t>
      </w:r>
    </w:p>
    <w:p>
      <w:pPr>
        <w:pStyle w:val="BodyText"/>
        <w:spacing w:line="240" w:lineRule="auto"/>
        <w:ind w:left="238" w:right="135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本期坏账准备计提金额以及评估金融工具的信用风险是否显著增加的采用依据：</w:t>
      </w:r>
      <w:r>
        <w:rPr>
          <w:rFonts w:ascii="宋体" w:hAnsi="宋体" w:cs="宋体" w:eastAsia="宋体" w:hint="default"/>
        </w:rPr>
        <w:t> </w:t>
      </w:r>
    </w:p>
    <w:p>
      <w:pPr>
        <w:spacing w:line="290" w:lineRule="auto" w:before="0"/>
        <w:ind w:left="238" w:right="699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pacing w:val="-3"/>
          <w:sz w:val="21"/>
          <w:szCs w:val="21"/>
        </w:rPr>
        <w:t> </w:t>
      </w:r>
      <w:r>
        <w:rPr>
          <w:rFonts w:ascii="宋体" w:hAnsi="宋体" w:cs="宋体" w:eastAsia="宋体" w:hint="default"/>
          <w:b/>
          <w:bCs/>
          <w:sz w:val="21"/>
          <w:szCs w:val="21"/>
        </w:rPr>
        <w:t>坏账准备的情况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51" w:val="left" w:leader="none"/>
        </w:tabs>
        <w:spacing w:line="274" w:lineRule="exact"/>
        <w:ind w:left="0" w:right="27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209" w:type="dxa"/>
        <w:tblLayout w:type="fixed"/>
        <w:tblCellMar>
          <w:top w:w="0" w:type="dxa"/>
          <w:left w:w="0" w:type="dxa"/>
          <w:bottom w:w="0" w:type="dxa"/>
          <w:right w:w="0" w:type="dxa"/>
        </w:tblCellMar>
        <w:tblLook w:val="01E0"/>
      </w:tblPr>
      <w:tblGrid>
        <w:gridCol w:w="2129"/>
        <w:gridCol w:w="1560"/>
        <w:gridCol w:w="3666"/>
        <w:gridCol w:w="1536"/>
      </w:tblGrid>
      <w:tr>
        <w:trPr>
          <w:trHeight w:val="391" w:hRule="exact"/>
        </w:trPr>
        <w:tc>
          <w:tcPr>
            <w:tcW w:w="2129" w:type="dxa"/>
            <w:tcBorders>
              <w:top w:val="single" w:sz="23" w:space="0" w:color="41B7EE"/>
              <w:left w:val="nil" w:sz="6" w:space="0" w:color="auto"/>
              <w:bottom w:val="single" w:sz="8" w:space="0" w:color="41B7EE"/>
              <w:right w:val="single" w:sz="4" w:space="0" w:color="41B7EE"/>
            </w:tcBorders>
          </w:tcPr>
          <w:p>
            <w:pPr>
              <w:pStyle w:val="TableParagraph"/>
              <w:spacing w:line="240" w:lineRule="auto" w:before="6"/>
              <w:ind w:left="109"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560" w:type="dxa"/>
            <w:tcBorders>
              <w:top w:val="single" w:sz="23" w:space="0" w:color="41B7EE"/>
              <w:left w:val="single" w:sz="4" w:space="0" w:color="41B7EE"/>
              <w:bottom w:val="single" w:sz="8" w:space="0" w:color="41B7EE"/>
              <w:right w:val="single" w:sz="4" w:space="0" w:color="41B7EE"/>
            </w:tcBorders>
          </w:tcPr>
          <w:p>
            <w:pPr>
              <w:pStyle w:val="TableParagraph"/>
              <w:spacing w:line="240" w:lineRule="auto" w:before="6"/>
              <w:ind w:left="35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3666" w:type="dxa"/>
            <w:tcBorders>
              <w:top w:val="single" w:sz="23" w:space="0" w:color="41B7EE"/>
              <w:left w:val="single" w:sz="4" w:space="0" w:color="41B7EE"/>
              <w:bottom w:val="single" w:sz="8" w:space="0" w:color="41B7EE"/>
              <w:right w:val="single" w:sz="4" w:space="0" w:color="41B7EE"/>
            </w:tcBorders>
          </w:tcPr>
          <w:p>
            <w:pPr>
              <w:pStyle w:val="TableParagraph"/>
              <w:spacing w:line="240" w:lineRule="auto" w:before="6"/>
              <w:ind w:left="1195" w:right="0"/>
              <w:jc w:val="left"/>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536" w:type="dxa"/>
            <w:tcBorders>
              <w:top w:val="single" w:sz="23" w:space="0" w:color="41B7EE"/>
              <w:left w:val="single" w:sz="4" w:space="0" w:color="41B7EE"/>
              <w:bottom w:val="single" w:sz="8" w:space="0" w:color="41B7EE"/>
              <w:right w:val="nil" w:sz="6" w:space="0" w:color="auto"/>
            </w:tcBorders>
          </w:tcPr>
          <w:p>
            <w:pPr>
              <w:pStyle w:val="TableParagraph"/>
              <w:spacing w:line="240" w:lineRule="auto" w:before="6"/>
              <w:ind w:left="34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type w:val="continuous"/>
          <w:pgSz w:w="11910" w:h="16840"/>
          <w:pgMar w:top="1360" w:bottom="1380" w:left="1560" w:right="1000"/>
        </w:sectPr>
      </w:pPr>
    </w:p>
    <w:p>
      <w:pPr>
        <w:spacing w:line="240" w:lineRule="auto" w:before="10"/>
        <w:rPr>
          <w:rFonts w:ascii="宋体" w:hAnsi="宋体" w:cs="宋体" w:eastAsia="宋体" w:hint="default"/>
          <w:sz w:val="11"/>
          <w:szCs w:val="11"/>
        </w:rPr>
      </w:pPr>
    </w:p>
    <w:p>
      <w:pPr>
        <w:spacing w:line="20" w:lineRule="exact"/>
        <w:ind w:left="19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2125;height:2" coordorigin="10,10" coordsize="2125,2">
              <v:shape style="position:absolute;left:10;top:10;width:2125;height:2" coordorigin="10,10" coordsize="2125,0" path="m10,10l2134,10e" filled="false" stroked="true" strokeweight=".96001pt" strokecolor="#41b7ee">
                <v:path arrowok="t"/>
              </v:shape>
            </v:group>
            <v:group style="position:absolute;left:2134;top:10;width:58;height:2" coordorigin="2134,10" coordsize="58,2">
              <v:shape style="position:absolute;left:2134;top:10;width:58;height:2" coordorigin="2134,10" coordsize="58,0" path="m2134,10l2192,10e" filled="false" stroked="true" strokeweight=".96001pt" strokecolor="#41b7ee">
                <v:path arrowok="t"/>
              </v:shape>
            </v:group>
            <v:group style="position:absolute;left:2192;top:10;width:1503;height:2" coordorigin="2192,10" coordsize="1503,2">
              <v:shape style="position:absolute;left:2192;top:10;width:1503;height:2" coordorigin="2192,10" coordsize="1503,0" path="m2192,10l3694,10e" filled="false" stroked="true" strokeweight=".96001pt" strokecolor="#41b7ee">
                <v:path arrowok="t"/>
              </v:shape>
            </v:group>
            <v:group style="position:absolute;left:3694;top:10;width:58;height:2" coordorigin="3694,10" coordsize="58,2">
              <v:shape style="position:absolute;left:3694;top:10;width:58;height:2" coordorigin="3694,10" coordsize="58,0" path="m3694,10l3752,10e" filled="false" stroked="true" strokeweight=".96001pt" strokecolor="#41b7ee">
                <v:path arrowok="t"/>
              </v:shape>
            </v:group>
            <v:group style="position:absolute;left:3752;top:10;width:1215;height:2" coordorigin="3752,10" coordsize="1215,2">
              <v:shape style="position:absolute;left:3752;top:10;width:1215;height:2" coordorigin="3752,10" coordsize="1215,0" path="m3752,10l4967,10e" filled="false" stroked="true" strokeweight=".96001pt" strokecolor="#41b7ee">
                <v:path arrowok="t"/>
              </v:shape>
            </v:group>
            <v:group style="position:absolute;left:4967;top:10;width:58;height:2" coordorigin="4967,10" coordsize="58,2">
              <v:shape style="position:absolute;left:4967;top:10;width:58;height:2" coordorigin="4967,10" coordsize="58,0" path="m4967,10l5024,10e" filled="false" stroked="true" strokeweight=".96001pt" strokecolor="#41b7ee">
                <v:path arrowok="t"/>
              </v:shape>
            </v:group>
            <v:group style="position:absolute;left:5024;top:10;width:1073;height:2" coordorigin="5024,10" coordsize="1073,2">
              <v:shape style="position:absolute;left:5024;top:10;width:1073;height:2" coordorigin="5024,10" coordsize="1073,0" path="m5024,10l6097,10e" filled="false" stroked="true" strokeweight=".96001pt" strokecolor="#41b7ee">
                <v:path arrowok="t"/>
              </v:shape>
            </v:group>
            <v:group style="position:absolute;left:6097;top:10;width:58;height:2" coordorigin="6097,10" coordsize="58,2">
              <v:shape style="position:absolute;left:6097;top:10;width:58;height:2" coordorigin="6097,10" coordsize="58,0" path="m6097,10l6155,10e" filled="false" stroked="true" strokeweight=".96001pt" strokecolor="#41b7ee">
                <v:path arrowok="t"/>
              </v:shape>
            </v:group>
            <v:group style="position:absolute;left:6155;top:10;width:644;height:2" coordorigin="6155,10" coordsize="644,2">
              <v:shape style="position:absolute;left:6155;top:10;width:644;height:2" coordorigin="6155,10" coordsize="644,0" path="m6155,10l6798,10e" filled="false" stroked="true" strokeweight=".96001pt" strokecolor="#41b7ee">
                <v:path arrowok="t"/>
              </v:shape>
            </v:group>
            <v:group style="position:absolute;left:6798;top:10;width:58;height:2" coordorigin="6798,10" coordsize="58,2">
              <v:shape style="position:absolute;left:6798;top:10;width:58;height:2" coordorigin="6798,10" coordsize="58,0" path="m6798,10l6855,10e" filled="false" stroked="true" strokeweight=".96001pt" strokecolor="#41b7ee">
                <v:path arrowok="t"/>
              </v:shape>
            </v:group>
            <v:group style="position:absolute;left:6855;top:10;width:505;height:2" coordorigin="6855,10" coordsize="505,2">
              <v:shape style="position:absolute;left:6855;top:10;width:505;height:2" coordorigin="6855,10" coordsize="505,0" path="m6855,10l7360,10e" filled="false" stroked="true" strokeweight=".96001pt" strokecolor="#41b7ee">
                <v:path arrowok="t"/>
              </v:shape>
            </v:group>
            <v:group style="position:absolute;left:7360;top:10;width:58;height:2" coordorigin="7360,10" coordsize="58,2">
              <v:shape style="position:absolute;left:7360;top:10;width:58;height:2" coordorigin="7360,10" coordsize="58,0" path="m7360,10l7418,10e" filled="false" stroked="true" strokeweight=".96001pt" strokecolor="#41b7ee">
                <v:path arrowok="t"/>
              </v:shape>
            </v:group>
            <v:group style="position:absolute;left:7418;top:10;width:1484;height:2" coordorigin="7418,10" coordsize="1484,2">
              <v:shape style="position:absolute;left:7418;top:10;width:1484;height:2" coordorigin="7418,10" coordsize="1484,0" path="m7418,10l8901,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80" w:type="dxa"/>
        <w:tblLayout w:type="fixed"/>
        <w:tblCellMar>
          <w:top w:w="0" w:type="dxa"/>
          <w:left w:w="0" w:type="dxa"/>
          <w:bottom w:w="0" w:type="dxa"/>
          <w:right w:w="0" w:type="dxa"/>
        </w:tblCellMar>
        <w:tblLook w:val="01E0"/>
      </w:tblPr>
      <w:tblGrid>
        <w:gridCol w:w="2129"/>
        <w:gridCol w:w="1560"/>
        <w:gridCol w:w="1272"/>
        <w:gridCol w:w="1130"/>
        <w:gridCol w:w="701"/>
        <w:gridCol w:w="562"/>
        <w:gridCol w:w="1536"/>
      </w:tblGrid>
      <w:tr>
        <w:trPr>
          <w:trHeight w:val="562" w:hRule="exact"/>
        </w:trPr>
        <w:tc>
          <w:tcPr>
            <w:tcW w:w="2129" w:type="dxa"/>
            <w:tcBorders>
              <w:top w:val="single" w:sz="8" w:space="0" w:color="41B7EE"/>
              <w:left w:val="nil" w:sz="6" w:space="0" w:color="auto"/>
              <w:bottom w:val="single" w:sz="4" w:space="0" w:color="41B7EE"/>
              <w:right w:val="single" w:sz="4" w:space="0" w:color="41B7EE"/>
            </w:tcBorders>
          </w:tcPr>
          <w:p>
            <w:pPr/>
          </w:p>
        </w:tc>
        <w:tc>
          <w:tcPr>
            <w:tcW w:w="1560" w:type="dxa"/>
            <w:tcBorders>
              <w:top w:val="single" w:sz="8" w:space="0" w:color="41B7EE"/>
              <w:left w:val="single" w:sz="4" w:space="0" w:color="41B7EE"/>
              <w:bottom w:val="single" w:sz="4" w:space="0" w:color="41B7EE"/>
              <w:right w:val="single" w:sz="4" w:space="0" w:color="41B7EE"/>
            </w:tcBorders>
          </w:tcPr>
          <w:p>
            <w:pPr/>
          </w:p>
        </w:tc>
        <w:tc>
          <w:tcPr>
            <w:tcW w:w="1272"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105"/>
              <w:ind w:left="419"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130" w:type="dxa"/>
            <w:tcBorders>
              <w:top w:val="single" w:sz="8" w:space="0" w:color="41B7EE"/>
              <w:left w:val="single" w:sz="4" w:space="0" w:color="41B7EE"/>
              <w:bottom w:val="single" w:sz="4" w:space="0" w:color="41B7EE"/>
              <w:right w:val="single" w:sz="4" w:space="0" w:color="41B7EE"/>
            </w:tcBorders>
          </w:tcPr>
          <w:p>
            <w:pPr>
              <w:pStyle w:val="TableParagraph"/>
              <w:spacing w:line="240" w:lineRule="auto" w:before="105"/>
              <w:ind w:right="31"/>
              <w:jc w:val="right"/>
              <w:rPr>
                <w:rFonts w:ascii="宋体" w:hAnsi="宋体" w:cs="宋体" w:eastAsia="宋体" w:hint="default"/>
                <w:sz w:val="21"/>
                <w:szCs w:val="21"/>
              </w:rPr>
            </w:pPr>
            <w:r>
              <w:rPr>
                <w:rFonts w:ascii="宋体" w:hAnsi="宋体" w:cs="宋体" w:eastAsia="宋体" w:hint="default"/>
                <w:spacing w:val="-1"/>
                <w:sz w:val="21"/>
                <w:szCs w:val="21"/>
              </w:rPr>
              <w:t>收回或转回</w:t>
            </w:r>
          </w:p>
        </w:tc>
        <w:tc>
          <w:tcPr>
            <w:tcW w:w="701" w:type="dxa"/>
            <w:tcBorders>
              <w:top w:val="single" w:sz="8" w:space="0" w:color="41B7EE"/>
              <w:left w:val="single" w:sz="4" w:space="0" w:color="41B7EE"/>
              <w:bottom w:val="single" w:sz="4" w:space="0" w:color="41B7EE"/>
              <w:right w:val="single" w:sz="4" w:space="0" w:color="41B7EE"/>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转销或</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核销</w:t>
            </w:r>
            <w:r>
              <w:rPr>
                <w:rFonts w:ascii="宋体" w:hAnsi="宋体" w:cs="宋体" w:eastAsia="宋体" w:hint="default"/>
                <w:sz w:val="21"/>
                <w:szCs w:val="21"/>
              </w:rPr>
              <w:t> </w:t>
            </w:r>
          </w:p>
        </w:tc>
        <w:tc>
          <w:tcPr>
            <w:tcW w:w="562" w:type="dxa"/>
            <w:tcBorders>
              <w:top w:val="single" w:sz="8" w:space="0" w:color="41B7EE"/>
              <w:left w:val="single" w:sz="4" w:space="0" w:color="41B7EE"/>
              <w:bottom w:val="single" w:sz="4" w:space="0" w:color="41B7EE"/>
              <w:right w:val="single" w:sz="4" w:space="0" w:color="41B7EE"/>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变动</w:t>
            </w:r>
          </w:p>
        </w:tc>
        <w:tc>
          <w:tcPr>
            <w:tcW w:w="1536" w:type="dxa"/>
            <w:tcBorders>
              <w:top w:val="single" w:sz="8" w:space="0" w:color="41B7EE"/>
              <w:left w:val="single" w:sz="4" w:space="0" w:color="41B7EE"/>
              <w:bottom w:val="single" w:sz="4" w:space="0" w:color="41B7EE"/>
              <w:right w:val="nil" w:sz="6" w:space="0" w:color="auto"/>
            </w:tcBorders>
          </w:tcPr>
          <w:p>
            <w:pPr/>
          </w:p>
        </w:tc>
      </w:tr>
      <w:tr>
        <w:trPr>
          <w:trHeight w:val="554" w:hRule="exact"/>
        </w:trPr>
        <w:tc>
          <w:tcPr>
            <w:tcW w:w="2129" w:type="dxa"/>
            <w:tcBorders>
              <w:top w:val="single" w:sz="4" w:space="0" w:color="41B7EE"/>
              <w:left w:val="nil" w:sz="6" w:space="0" w:color="auto"/>
              <w:bottom w:val="single" w:sz="4" w:space="0" w:color="41B7EE"/>
              <w:right w:val="single" w:sz="4" w:space="0" w:color="41B7EE"/>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单项金额不重大但单</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独计提坏账准备</w:t>
            </w:r>
            <w:r>
              <w:rPr>
                <w:rFonts w:ascii="宋体" w:hAnsi="宋体" w:cs="宋体" w:eastAsia="宋体" w:hint="default"/>
                <w:sz w:val="21"/>
                <w:szCs w:val="21"/>
              </w:rPr>
              <w:t> </w:t>
            </w:r>
          </w:p>
        </w:tc>
        <w:tc>
          <w:tcPr>
            <w:tcW w:w="156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9"/>
                <w:szCs w:val="19"/>
              </w:rPr>
            </w:pPr>
            <w:r>
              <w:rPr>
                <w:rFonts w:ascii="Arial"/>
                <w:w w:val="95"/>
                <w:sz w:val="19"/>
              </w:rPr>
              <w:t>204,556,664.30</w:t>
            </w:r>
            <w:r>
              <w:rPr>
                <w:rFonts w:ascii="Arial"/>
                <w:sz w:val="19"/>
              </w:rPr>
            </w:r>
          </w:p>
        </w:tc>
        <w:tc>
          <w:tcPr>
            <w:tcW w:w="1272" w:type="dxa"/>
            <w:tcBorders>
              <w:top w:val="single" w:sz="4" w:space="0" w:color="41B7EE"/>
              <w:left w:val="single" w:sz="4" w:space="0" w:color="41B7EE"/>
              <w:bottom w:val="single" w:sz="4" w:space="0" w:color="41B7EE"/>
              <w:right w:val="single" w:sz="4" w:space="0" w:color="41B7EE"/>
            </w:tcBorders>
          </w:tcPr>
          <w:p>
            <w:pPr/>
          </w:p>
        </w:tc>
        <w:tc>
          <w:tcPr>
            <w:tcW w:w="113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9"/>
                <w:szCs w:val="19"/>
              </w:rPr>
            </w:pPr>
            <w:r>
              <w:rPr>
                <w:rFonts w:ascii="Arial"/>
                <w:w w:val="95"/>
                <w:sz w:val="19"/>
              </w:rPr>
              <w:t>293,963.86</w:t>
            </w:r>
            <w:r>
              <w:rPr>
                <w:rFonts w:ascii="Arial"/>
                <w:sz w:val="19"/>
              </w:rPr>
            </w:r>
          </w:p>
        </w:tc>
        <w:tc>
          <w:tcPr>
            <w:tcW w:w="701" w:type="dxa"/>
            <w:tcBorders>
              <w:top w:val="single" w:sz="4" w:space="0" w:color="41B7EE"/>
              <w:left w:val="single" w:sz="4" w:space="0" w:color="41B7EE"/>
              <w:bottom w:val="single" w:sz="4" w:space="0" w:color="41B7EE"/>
              <w:right w:val="single" w:sz="4" w:space="0" w:color="41B7EE"/>
            </w:tcBorders>
          </w:tcPr>
          <w:p>
            <w:pPr/>
          </w:p>
        </w:tc>
        <w:tc>
          <w:tcPr>
            <w:tcW w:w="562" w:type="dxa"/>
            <w:tcBorders>
              <w:top w:val="single" w:sz="4" w:space="0" w:color="41B7EE"/>
              <w:left w:val="single" w:sz="4" w:space="0" w:color="41B7EE"/>
              <w:bottom w:val="single" w:sz="4" w:space="0" w:color="41B7EE"/>
              <w:right w:val="single" w:sz="4" w:space="0" w:color="41B7EE"/>
            </w:tcBorders>
          </w:tcPr>
          <w:p>
            <w:pPr/>
          </w:p>
        </w:tc>
        <w:tc>
          <w:tcPr>
            <w:tcW w:w="153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Arial" w:hAnsi="Arial" w:cs="Arial" w:eastAsia="Arial" w:hint="default"/>
                <w:sz w:val="19"/>
                <w:szCs w:val="19"/>
              </w:rPr>
            </w:pPr>
            <w:r>
              <w:rPr>
                <w:rFonts w:ascii="Arial"/>
                <w:w w:val="95"/>
                <w:sz w:val="19"/>
              </w:rPr>
              <w:t>204,262,700.44</w:t>
            </w:r>
            <w:r>
              <w:rPr>
                <w:rFonts w:ascii="Arial"/>
                <w:sz w:val="19"/>
              </w:rPr>
            </w:r>
          </w:p>
        </w:tc>
      </w:tr>
      <w:tr>
        <w:trPr>
          <w:trHeight w:val="358" w:hRule="exact"/>
        </w:trPr>
        <w:tc>
          <w:tcPr>
            <w:tcW w:w="212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账龄组合</w:t>
            </w:r>
            <w:r>
              <w:rPr>
                <w:rFonts w:ascii="宋体" w:hAnsi="宋体" w:cs="宋体" w:eastAsia="宋体" w:hint="default"/>
                <w:sz w:val="21"/>
                <w:szCs w:val="21"/>
              </w:rPr>
              <w:t> </w:t>
            </w:r>
          </w:p>
        </w:tc>
        <w:tc>
          <w:tcPr>
            <w:tcW w:w="156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4"/>
              <w:ind w:right="21"/>
              <w:jc w:val="right"/>
              <w:rPr>
                <w:rFonts w:ascii="Arial" w:hAnsi="Arial" w:cs="Arial" w:eastAsia="Arial" w:hint="default"/>
                <w:sz w:val="19"/>
                <w:szCs w:val="19"/>
              </w:rPr>
            </w:pPr>
            <w:r>
              <w:rPr>
                <w:rFonts w:ascii="Arial"/>
                <w:w w:val="95"/>
                <w:sz w:val="19"/>
              </w:rPr>
              <w:t>931,754.09</w:t>
            </w:r>
            <w:r>
              <w:rPr>
                <w:rFonts w:ascii="Arial"/>
                <w:sz w:val="19"/>
              </w:rPr>
            </w:r>
          </w:p>
        </w:tc>
        <w:tc>
          <w:tcPr>
            <w:tcW w:w="127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4"/>
              <w:ind w:right="24"/>
              <w:jc w:val="right"/>
              <w:rPr>
                <w:rFonts w:ascii="Arial" w:hAnsi="Arial" w:cs="Arial" w:eastAsia="Arial" w:hint="default"/>
                <w:sz w:val="19"/>
                <w:szCs w:val="19"/>
              </w:rPr>
            </w:pPr>
            <w:r>
              <w:rPr>
                <w:rFonts w:ascii="Arial"/>
                <w:spacing w:val="-1"/>
                <w:sz w:val="19"/>
              </w:rPr>
              <w:t>-80,389.74</w:t>
            </w:r>
          </w:p>
        </w:tc>
        <w:tc>
          <w:tcPr>
            <w:tcW w:w="113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4"/>
              <w:ind w:right="24"/>
              <w:jc w:val="right"/>
              <w:rPr>
                <w:rFonts w:ascii="Arial" w:hAnsi="Arial" w:cs="Arial" w:eastAsia="Arial" w:hint="default"/>
                <w:sz w:val="19"/>
                <w:szCs w:val="19"/>
              </w:rPr>
            </w:pPr>
            <w:r>
              <w:rPr>
                <w:rFonts w:ascii="Arial"/>
                <w:spacing w:val="-1"/>
                <w:sz w:val="19"/>
              </w:rPr>
              <w:t>-81,438.95</w:t>
            </w:r>
          </w:p>
        </w:tc>
        <w:tc>
          <w:tcPr>
            <w:tcW w:w="701" w:type="dxa"/>
            <w:tcBorders>
              <w:top w:val="single" w:sz="4" w:space="0" w:color="41B7EE"/>
              <w:left w:val="single" w:sz="4" w:space="0" w:color="41B7EE"/>
              <w:bottom w:val="single" w:sz="4" w:space="0" w:color="41B7EE"/>
              <w:right w:val="single" w:sz="4" w:space="0" w:color="41B7EE"/>
            </w:tcBorders>
          </w:tcPr>
          <w:p>
            <w:pPr/>
          </w:p>
        </w:tc>
        <w:tc>
          <w:tcPr>
            <w:tcW w:w="562" w:type="dxa"/>
            <w:tcBorders>
              <w:top w:val="single" w:sz="4" w:space="0" w:color="41B7EE"/>
              <w:left w:val="single" w:sz="4" w:space="0" w:color="41B7EE"/>
              <w:bottom w:val="single" w:sz="4" w:space="0" w:color="41B7EE"/>
              <w:right w:val="single" w:sz="4" w:space="0" w:color="41B7EE"/>
            </w:tcBorders>
          </w:tcPr>
          <w:p>
            <w:pPr/>
          </w:p>
        </w:tc>
        <w:tc>
          <w:tcPr>
            <w:tcW w:w="153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64"/>
              <w:ind w:right="24"/>
              <w:jc w:val="right"/>
              <w:rPr>
                <w:rFonts w:ascii="Arial" w:hAnsi="Arial" w:cs="Arial" w:eastAsia="Arial" w:hint="default"/>
                <w:sz w:val="19"/>
                <w:szCs w:val="19"/>
              </w:rPr>
            </w:pPr>
            <w:r>
              <w:rPr>
                <w:rFonts w:ascii="Arial"/>
                <w:w w:val="95"/>
                <w:sz w:val="19"/>
              </w:rPr>
              <w:t>932,803.30</w:t>
            </w:r>
            <w:r>
              <w:rPr>
                <w:rFonts w:ascii="Arial"/>
                <w:sz w:val="19"/>
              </w:rPr>
            </w:r>
          </w:p>
        </w:tc>
      </w:tr>
      <w:tr>
        <w:trPr>
          <w:trHeight w:val="358" w:hRule="exact"/>
        </w:trPr>
        <w:tc>
          <w:tcPr>
            <w:tcW w:w="212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与交易对象关系组合</w:t>
            </w:r>
            <w:r>
              <w:rPr>
                <w:rFonts w:ascii="宋体" w:hAnsi="宋体" w:cs="宋体" w:eastAsia="宋体" w:hint="default"/>
                <w:sz w:val="21"/>
                <w:szCs w:val="21"/>
              </w:rPr>
              <w:t> </w:t>
            </w:r>
          </w:p>
        </w:tc>
        <w:tc>
          <w:tcPr>
            <w:tcW w:w="156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4"/>
              <w:ind w:right="21"/>
              <w:jc w:val="right"/>
              <w:rPr>
                <w:rFonts w:ascii="Arial" w:hAnsi="Arial" w:cs="Arial" w:eastAsia="Arial" w:hint="default"/>
                <w:sz w:val="19"/>
                <w:szCs w:val="19"/>
              </w:rPr>
            </w:pPr>
            <w:r>
              <w:rPr>
                <w:rFonts w:ascii="Arial"/>
                <w:w w:val="95"/>
                <w:sz w:val="19"/>
              </w:rPr>
              <w:t>1,021,254,906.86</w:t>
            </w:r>
            <w:r>
              <w:rPr>
                <w:rFonts w:ascii="Arial"/>
                <w:sz w:val="19"/>
              </w:rPr>
            </w:r>
          </w:p>
        </w:tc>
        <w:tc>
          <w:tcPr>
            <w:tcW w:w="127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64"/>
              <w:ind w:right="22"/>
              <w:jc w:val="right"/>
              <w:rPr>
                <w:rFonts w:ascii="Arial" w:hAnsi="Arial" w:cs="Arial" w:eastAsia="Arial" w:hint="default"/>
                <w:sz w:val="19"/>
                <w:szCs w:val="19"/>
              </w:rPr>
            </w:pPr>
            <w:r>
              <w:rPr>
                <w:rFonts w:ascii="Arial"/>
                <w:w w:val="95"/>
                <w:sz w:val="19"/>
              </w:rPr>
              <w:t>44,463,100.00</w:t>
            </w:r>
            <w:r>
              <w:rPr>
                <w:rFonts w:ascii="Arial"/>
                <w:sz w:val="19"/>
              </w:rPr>
            </w:r>
          </w:p>
        </w:tc>
        <w:tc>
          <w:tcPr>
            <w:tcW w:w="1130" w:type="dxa"/>
            <w:tcBorders>
              <w:top w:val="single" w:sz="4" w:space="0" w:color="41B7EE"/>
              <w:left w:val="single" w:sz="4" w:space="0" w:color="41B7EE"/>
              <w:bottom w:val="single" w:sz="4" w:space="0" w:color="41B7EE"/>
              <w:right w:val="single" w:sz="4" w:space="0" w:color="41B7EE"/>
            </w:tcBorders>
          </w:tcPr>
          <w:p>
            <w:pPr/>
          </w:p>
        </w:tc>
        <w:tc>
          <w:tcPr>
            <w:tcW w:w="701" w:type="dxa"/>
            <w:tcBorders>
              <w:top w:val="single" w:sz="4" w:space="0" w:color="41B7EE"/>
              <w:left w:val="single" w:sz="4" w:space="0" w:color="41B7EE"/>
              <w:bottom w:val="single" w:sz="4" w:space="0" w:color="41B7EE"/>
              <w:right w:val="single" w:sz="4" w:space="0" w:color="41B7EE"/>
            </w:tcBorders>
          </w:tcPr>
          <w:p>
            <w:pPr/>
          </w:p>
        </w:tc>
        <w:tc>
          <w:tcPr>
            <w:tcW w:w="562" w:type="dxa"/>
            <w:tcBorders>
              <w:top w:val="single" w:sz="4" w:space="0" w:color="41B7EE"/>
              <w:left w:val="single" w:sz="4" w:space="0" w:color="41B7EE"/>
              <w:bottom w:val="single" w:sz="4" w:space="0" w:color="41B7EE"/>
              <w:right w:val="single" w:sz="4" w:space="0" w:color="41B7EE"/>
            </w:tcBorders>
          </w:tcPr>
          <w:p>
            <w:pPr/>
          </w:p>
        </w:tc>
        <w:tc>
          <w:tcPr>
            <w:tcW w:w="153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64"/>
              <w:ind w:right="24"/>
              <w:jc w:val="right"/>
              <w:rPr>
                <w:rFonts w:ascii="Arial" w:hAnsi="Arial" w:cs="Arial" w:eastAsia="Arial" w:hint="default"/>
                <w:sz w:val="19"/>
                <w:szCs w:val="19"/>
              </w:rPr>
            </w:pPr>
            <w:r>
              <w:rPr>
                <w:rFonts w:ascii="Arial"/>
                <w:w w:val="95"/>
                <w:sz w:val="19"/>
              </w:rPr>
              <w:t>1,065,718,006.86</w:t>
            </w:r>
            <w:r>
              <w:rPr>
                <w:rFonts w:ascii="Arial"/>
                <w:sz w:val="19"/>
              </w:rPr>
            </w:r>
          </w:p>
        </w:tc>
      </w:tr>
      <w:tr>
        <w:trPr>
          <w:trHeight w:val="384" w:hRule="exact"/>
        </w:trPr>
        <w:tc>
          <w:tcPr>
            <w:tcW w:w="2129"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109"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60"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64"/>
              <w:ind w:right="21"/>
              <w:jc w:val="right"/>
              <w:rPr>
                <w:rFonts w:ascii="Arial" w:hAnsi="Arial" w:cs="Arial" w:eastAsia="Arial" w:hint="default"/>
                <w:sz w:val="19"/>
                <w:szCs w:val="19"/>
              </w:rPr>
            </w:pPr>
            <w:r>
              <w:rPr>
                <w:rFonts w:ascii="Arial"/>
                <w:w w:val="95"/>
                <w:sz w:val="19"/>
              </w:rPr>
              <w:t>1,226,743,325.25</w:t>
            </w:r>
            <w:r>
              <w:rPr>
                <w:rFonts w:ascii="Arial"/>
                <w:sz w:val="19"/>
              </w:rPr>
            </w:r>
          </w:p>
        </w:tc>
        <w:tc>
          <w:tcPr>
            <w:tcW w:w="1272"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64"/>
              <w:ind w:right="22"/>
              <w:jc w:val="right"/>
              <w:rPr>
                <w:rFonts w:ascii="Arial" w:hAnsi="Arial" w:cs="Arial" w:eastAsia="Arial" w:hint="default"/>
                <w:sz w:val="19"/>
                <w:szCs w:val="19"/>
              </w:rPr>
            </w:pPr>
            <w:r>
              <w:rPr>
                <w:rFonts w:ascii="Arial"/>
                <w:w w:val="95"/>
                <w:sz w:val="19"/>
              </w:rPr>
              <w:t>44,382,710.26</w:t>
            </w:r>
            <w:r>
              <w:rPr>
                <w:rFonts w:ascii="Arial"/>
                <w:sz w:val="19"/>
              </w:rPr>
            </w:r>
          </w:p>
        </w:tc>
        <w:tc>
          <w:tcPr>
            <w:tcW w:w="1130"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64"/>
              <w:ind w:right="21"/>
              <w:jc w:val="right"/>
              <w:rPr>
                <w:rFonts w:ascii="Arial" w:hAnsi="Arial" w:cs="Arial" w:eastAsia="Arial" w:hint="default"/>
                <w:sz w:val="19"/>
                <w:szCs w:val="19"/>
              </w:rPr>
            </w:pPr>
            <w:r>
              <w:rPr>
                <w:rFonts w:ascii="Arial"/>
                <w:w w:val="95"/>
                <w:sz w:val="19"/>
              </w:rPr>
              <w:t>212,524.91</w:t>
            </w:r>
            <w:r>
              <w:rPr>
                <w:rFonts w:ascii="Arial"/>
                <w:sz w:val="19"/>
              </w:rPr>
            </w:r>
          </w:p>
        </w:tc>
        <w:tc>
          <w:tcPr>
            <w:tcW w:w="701" w:type="dxa"/>
            <w:tcBorders>
              <w:top w:val="single" w:sz="4" w:space="0" w:color="41B7EE"/>
              <w:left w:val="single" w:sz="4" w:space="0" w:color="41B7EE"/>
              <w:bottom w:val="single" w:sz="23" w:space="0" w:color="41B7EE"/>
              <w:right w:val="single" w:sz="4" w:space="0" w:color="41B7EE"/>
            </w:tcBorders>
          </w:tcPr>
          <w:p>
            <w:pPr/>
          </w:p>
        </w:tc>
        <w:tc>
          <w:tcPr>
            <w:tcW w:w="562" w:type="dxa"/>
            <w:tcBorders>
              <w:top w:val="single" w:sz="4" w:space="0" w:color="41B7EE"/>
              <w:left w:val="single" w:sz="4" w:space="0" w:color="41B7EE"/>
              <w:bottom w:val="single" w:sz="23" w:space="0" w:color="41B7EE"/>
              <w:right w:val="single" w:sz="4" w:space="0" w:color="41B7EE"/>
            </w:tcBorders>
          </w:tcPr>
          <w:p>
            <w:pPr/>
          </w:p>
        </w:tc>
        <w:tc>
          <w:tcPr>
            <w:tcW w:w="1536"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64"/>
              <w:ind w:right="24"/>
              <w:jc w:val="right"/>
              <w:rPr>
                <w:rFonts w:ascii="Arial" w:hAnsi="Arial" w:cs="Arial" w:eastAsia="Arial" w:hint="default"/>
                <w:sz w:val="19"/>
                <w:szCs w:val="19"/>
              </w:rPr>
            </w:pPr>
            <w:r>
              <w:rPr>
                <w:rFonts w:ascii="Arial"/>
                <w:w w:val="95"/>
                <w:sz w:val="19"/>
              </w:rPr>
              <w:t>1,270,913,510.60</w:t>
            </w:r>
            <w:r>
              <w:rPr>
                <w:rFonts w:ascii="Arial"/>
                <w:sz w:val="19"/>
              </w:rPr>
            </w:r>
          </w:p>
        </w:tc>
      </w:tr>
    </w:tbl>
    <w:p>
      <w:pPr>
        <w:spacing w:after="0" w:line="240" w:lineRule="auto"/>
        <w:jc w:val="right"/>
        <w:rPr>
          <w:rFonts w:ascii="Arial" w:hAnsi="Arial" w:cs="Arial" w:eastAsia="Arial" w:hint="default"/>
          <w:sz w:val="19"/>
          <w:szCs w:val="19"/>
        </w:rPr>
        <w:sectPr>
          <w:footerReference w:type="default" r:id="rId98"/>
          <w:pgSz w:w="11910" w:h="16840"/>
          <w:pgMar w:footer="1195" w:header="0" w:top="1360" w:bottom="1380" w:left="1560" w:right="1000"/>
        </w:sectPr>
      </w:pPr>
    </w:p>
    <w:p>
      <w:pPr>
        <w:pStyle w:val="BodyText"/>
        <w:spacing w:line="257" w:lineRule="exact"/>
        <w:ind w:left="238" w:right="0"/>
        <w:jc w:val="left"/>
        <w:rPr>
          <w:rFonts w:ascii="宋体" w:hAnsi="宋体" w:cs="宋体" w:eastAsia="宋体" w:hint="default"/>
        </w:rPr>
      </w:pPr>
      <w:r>
        <w:rPr/>
        <w:t>其中本期坏账准备转回或收回金额重要的：</w:t>
      </w:r>
      <w:r>
        <w:rPr>
          <w:rFonts w:ascii="宋体" w:hAnsi="宋体" w:cs="宋体" w:eastAsia="宋体" w:hint="default"/>
        </w:rPr>
        <w:t> </w:t>
      </w:r>
    </w:p>
    <w:p>
      <w:pPr>
        <w:pStyle w:val="BodyText"/>
        <w:spacing w:line="273"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0"/>
          <w:szCs w:val="20"/>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560" w:right="1000"/>
          <w:cols w:num="2" w:equalWidth="0">
            <w:col w:w="4336" w:space="2186"/>
            <w:col w:w="2828"/>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488"/>
        <w:gridCol w:w="2508"/>
        <w:gridCol w:w="3053"/>
      </w:tblGrid>
      <w:tr>
        <w:trPr>
          <w:trHeight w:val="384" w:hRule="exact"/>
        </w:trPr>
        <w:tc>
          <w:tcPr>
            <w:tcW w:w="3488"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left="107" w:right="0"/>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2508"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left="511" w:right="0"/>
              <w:jc w:val="left"/>
              <w:rPr>
                <w:rFonts w:ascii="宋体" w:hAnsi="宋体" w:cs="宋体" w:eastAsia="宋体" w:hint="default"/>
                <w:sz w:val="21"/>
                <w:szCs w:val="21"/>
              </w:rPr>
            </w:pPr>
            <w:r>
              <w:rPr>
                <w:rFonts w:ascii="宋体" w:hAnsi="宋体" w:cs="宋体" w:eastAsia="宋体" w:hint="default"/>
                <w:sz w:val="21"/>
                <w:szCs w:val="21"/>
              </w:rPr>
              <w:t>转回或收回金额</w:t>
            </w:r>
            <w:r>
              <w:rPr>
                <w:rFonts w:ascii="宋体" w:hAnsi="宋体" w:cs="宋体" w:eastAsia="宋体" w:hint="default"/>
                <w:sz w:val="21"/>
                <w:szCs w:val="21"/>
              </w:rPr>
              <w:t> </w:t>
            </w:r>
          </w:p>
        </w:tc>
        <w:tc>
          <w:tcPr>
            <w:tcW w:w="3053"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1101" w:right="0"/>
              <w:jc w:val="left"/>
              <w:rPr>
                <w:rFonts w:ascii="宋体" w:hAnsi="宋体" w:cs="宋体" w:eastAsia="宋体" w:hint="default"/>
                <w:sz w:val="21"/>
                <w:szCs w:val="21"/>
              </w:rPr>
            </w:pPr>
            <w:r>
              <w:rPr>
                <w:rFonts w:ascii="宋体" w:hAnsi="宋体" w:cs="宋体" w:eastAsia="宋体" w:hint="default"/>
                <w:sz w:val="21"/>
                <w:szCs w:val="21"/>
              </w:rPr>
              <w:t>收回方式</w:t>
            </w:r>
            <w:r>
              <w:rPr>
                <w:rFonts w:ascii="宋体" w:hAnsi="宋体" w:cs="宋体" w:eastAsia="宋体" w:hint="default"/>
                <w:sz w:val="21"/>
                <w:szCs w:val="21"/>
              </w:rPr>
              <w:t> </w:t>
            </w:r>
          </w:p>
        </w:tc>
      </w:tr>
      <w:tr>
        <w:trPr>
          <w:trHeight w:val="358"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农户转回（家庭农场承包费）</w:t>
            </w:r>
            <w:r>
              <w:rPr>
                <w:rFonts w:ascii="宋体" w:hAnsi="宋体" w:cs="宋体" w:eastAsia="宋体" w:hint="default"/>
                <w:sz w:val="21"/>
                <w:szCs w:val="21"/>
              </w:rPr>
              <w:t> </w:t>
            </w:r>
          </w:p>
        </w:tc>
        <w:tc>
          <w:tcPr>
            <w:tcW w:w="250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293,963.86</w:t>
            </w:r>
          </w:p>
        </w:tc>
        <w:tc>
          <w:tcPr>
            <w:tcW w:w="305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货币</w:t>
            </w:r>
            <w:r>
              <w:rPr>
                <w:rFonts w:ascii="宋体" w:hAnsi="宋体" w:cs="宋体" w:eastAsia="宋体" w:hint="default"/>
                <w:sz w:val="21"/>
                <w:szCs w:val="21"/>
              </w:rPr>
              <w:t>/</w:t>
            </w:r>
            <w:r>
              <w:rPr>
                <w:rFonts w:ascii="宋体" w:hAnsi="宋体" w:cs="宋体" w:eastAsia="宋体" w:hint="default"/>
                <w:sz w:val="21"/>
                <w:szCs w:val="21"/>
              </w:rPr>
              <w:t>转账</w:t>
            </w:r>
            <w:r>
              <w:rPr>
                <w:rFonts w:ascii="宋体" w:hAnsi="宋体" w:cs="宋体" w:eastAsia="宋体" w:hint="default"/>
                <w:sz w:val="21"/>
                <w:szCs w:val="21"/>
              </w:rPr>
              <w:t> </w:t>
            </w:r>
          </w:p>
        </w:tc>
      </w:tr>
      <w:tr>
        <w:trPr>
          <w:trHeight w:val="355" w:hRule="exact"/>
        </w:trPr>
        <w:tc>
          <w:tcPr>
            <w:tcW w:w="3488"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农户收回（家庭农场承包费）</w:t>
            </w:r>
            <w:r>
              <w:rPr>
                <w:rFonts w:ascii="宋体" w:hAnsi="宋体" w:cs="宋体" w:eastAsia="宋体" w:hint="default"/>
                <w:sz w:val="21"/>
                <w:szCs w:val="21"/>
              </w:rPr>
              <w:t> </w:t>
            </w:r>
          </w:p>
        </w:tc>
        <w:tc>
          <w:tcPr>
            <w:tcW w:w="250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-81,438.95</w:t>
            </w:r>
          </w:p>
        </w:tc>
        <w:tc>
          <w:tcPr>
            <w:tcW w:w="3053"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货币</w:t>
            </w:r>
            <w:r>
              <w:rPr>
                <w:rFonts w:ascii="宋体" w:hAnsi="宋体" w:cs="宋体" w:eastAsia="宋体" w:hint="default"/>
                <w:sz w:val="21"/>
                <w:szCs w:val="21"/>
              </w:rPr>
              <w:t> </w:t>
            </w:r>
          </w:p>
        </w:tc>
      </w:tr>
      <w:tr>
        <w:trPr>
          <w:trHeight w:val="384" w:hRule="exact"/>
        </w:trPr>
        <w:tc>
          <w:tcPr>
            <w:tcW w:w="3488"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109"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508"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3"/>
              <w:jc w:val="right"/>
              <w:rPr>
                <w:rFonts w:ascii="宋体" w:hAnsi="宋体" w:cs="宋体" w:eastAsia="宋体" w:hint="default"/>
                <w:sz w:val="21"/>
                <w:szCs w:val="21"/>
              </w:rPr>
            </w:pPr>
            <w:r>
              <w:rPr>
                <w:rFonts w:ascii="Arial"/>
                <w:spacing w:val="-1"/>
                <w:sz w:val="21"/>
              </w:rPr>
              <w:t>212,524.91</w:t>
            </w:r>
            <w:r>
              <w:rPr>
                <w:rFonts w:ascii="宋体"/>
                <w:w w:val="100"/>
                <w:sz w:val="21"/>
              </w:rPr>
              <w:t> </w:t>
            </w:r>
          </w:p>
        </w:tc>
        <w:tc>
          <w:tcPr>
            <w:tcW w:w="3053"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
              <w:ind w:left="101" w:right="0"/>
              <w:jc w:val="center"/>
              <w:rPr>
                <w:rFonts w:ascii="宋体" w:hAnsi="宋体" w:cs="宋体" w:eastAsia="宋体" w:hint="default"/>
                <w:sz w:val="21"/>
                <w:szCs w:val="21"/>
              </w:rPr>
            </w:pPr>
            <w:r>
              <w:rPr>
                <w:rFonts w:ascii="宋体"/>
                <w:sz w:val="21"/>
              </w:rPr>
              <w:t>/ </w:t>
            </w:r>
          </w:p>
        </w:tc>
      </w:tr>
    </w:tbl>
    <w:p>
      <w:pPr>
        <w:spacing w:after="0" w:line="240" w:lineRule="auto"/>
        <w:jc w:val="center"/>
        <w:rPr>
          <w:rFonts w:ascii="宋体" w:hAnsi="宋体" w:cs="宋体" w:eastAsia="宋体" w:hint="default"/>
          <w:sz w:val="21"/>
          <w:szCs w:val="21"/>
        </w:rPr>
        <w:sectPr>
          <w:type w:val="continuous"/>
          <w:pgSz w:w="11910" w:h="16840"/>
          <w:pgMar w:top="1360" w:bottom="1380" w:left="1560" w:right="1000"/>
        </w:sectPr>
      </w:pPr>
    </w:p>
    <w:p>
      <w:pPr>
        <w:pStyle w:val="Heading2"/>
        <w:spacing w:line="240" w:lineRule="auto" w:before="26"/>
        <w:ind w:left="238"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3"/>
        </w:rPr>
        <w:t> </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left="238"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5"/>
        </w:rPr>
        <w:t> </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560" w:right="1000"/>
          <w:cols w:num="2" w:equalWidth="0">
            <w:col w:w="5510" w:space="1012"/>
            <w:col w:w="2828"/>
          </w:cols>
        </w:sectPr>
      </w:pPr>
    </w:p>
    <w:p>
      <w:pPr>
        <w:spacing w:line="240" w:lineRule="auto" w:before="4"/>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2715"/>
        <w:gridCol w:w="854"/>
        <w:gridCol w:w="1714"/>
        <w:gridCol w:w="1001"/>
        <w:gridCol w:w="982"/>
        <w:gridCol w:w="1630"/>
      </w:tblGrid>
      <w:tr>
        <w:trPr>
          <w:trHeight w:val="970" w:hRule="exact"/>
        </w:trPr>
        <w:tc>
          <w:tcPr>
            <w:tcW w:w="2715"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883"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854"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162"/>
              <w:ind w:left="172" w:right="143" w:hanging="106"/>
              <w:jc w:val="left"/>
              <w:rPr>
                <w:rFonts w:ascii="宋体" w:hAnsi="宋体" w:cs="宋体" w:eastAsia="宋体" w:hint="default"/>
                <w:sz w:val="21"/>
                <w:szCs w:val="21"/>
              </w:rPr>
            </w:pPr>
            <w:r>
              <w:rPr>
                <w:rFonts w:ascii="宋体" w:hAnsi="宋体" w:cs="宋体" w:eastAsia="宋体" w:hint="default"/>
                <w:sz w:val="21"/>
                <w:szCs w:val="21"/>
              </w:rPr>
              <w:t>款项的</w:t>
            </w:r>
            <w:r>
              <w:rPr>
                <w:rFonts w:ascii="宋体" w:hAnsi="宋体" w:cs="宋体" w:eastAsia="宋体" w:hint="default"/>
                <w:spacing w:val="-102"/>
                <w:sz w:val="21"/>
                <w:szCs w:val="21"/>
              </w:rPr>
              <w:t> </w:t>
            </w:r>
            <w:r>
              <w:rPr>
                <w:rFonts w:ascii="宋体" w:hAnsi="宋体" w:cs="宋体" w:eastAsia="宋体" w:hint="default"/>
                <w:sz w:val="21"/>
                <w:szCs w:val="21"/>
              </w:rPr>
              <w:t>性质</w:t>
            </w:r>
            <w:r>
              <w:rPr>
                <w:rFonts w:ascii="宋体" w:hAnsi="宋体" w:cs="宋体" w:eastAsia="宋体" w:hint="default"/>
                <w:sz w:val="21"/>
                <w:szCs w:val="21"/>
              </w:rPr>
              <w:t> </w:t>
            </w:r>
          </w:p>
        </w:tc>
        <w:tc>
          <w:tcPr>
            <w:tcW w:w="1714"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9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001"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982" w:type="dxa"/>
            <w:tcBorders>
              <w:top w:val="single" w:sz="23" w:space="0" w:color="41B7EE"/>
              <w:left w:val="single" w:sz="4" w:space="0" w:color="41B7EE"/>
              <w:bottom w:val="single" w:sz="4" w:space="0" w:color="41B7EE"/>
              <w:right w:val="single" w:sz="4" w:space="0" w:color="41B7EE"/>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占其他应收</w:t>
            </w:r>
          </w:p>
          <w:p>
            <w:pPr>
              <w:pStyle w:val="TableParagraph"/>
              <w:spacing w:line="232" w:lineRule="exact" w:before="24"/>
              <w:ind w:left="33" w:right="36"/>
              <w:jc w:val="center"/>
              <w:rPr>
                <w:rFonts w:ascii="宋体" w:hAnsi="宋体" w:cs="宋体" w:eastAsia="宋体" w:hint="default"/>
                <w:sz w:val="18"/>
                <w:szCs w:val="18"/>
              </w:rPr>
            </w:pPr>
            <w:r>
              <w:rPr>
                <w:rFonts w:ascii="宋体" w:hAnsi="宋体" w:cs="宋体" w:eastAsia="宋体" w:hint="default"/>
                <w:sz w:val="18"/>
                <w:szCs w:val="18"/>
              </w:rPr>
              <w:t>款期末余额 合计数的比 例（</w:t>
            </w:r>
            <w:r>
              <w:rPr>
                <w:rFonts w:ascii="宋体" w:hAnsi="宋体" w:cs="宋体" w:eastAsia="宋体" w:hint="default"/>
                <w:sz w:val="18"/>
                <w:szCs w:val="18"/>
              </w:rPr>
              <w:t>%) </w:t>
            </w:r>
          </w:p>
        </w:tc>
        <w:tc>
          <w:tcPr>
            <w:tcW w:w="1630"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162"/>
              <w:ind w:left="389" w:right="288"/>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7" w:hRule="exact"/>
        </w:trPr>
        <w:tc>
          <w:tcPr>
            <w:tcW w:w="2715" w:type="dxa"/>
            <w:tcBorders>
              <w:top w:val="single" w:sz="4" w:space="0" w:color="41B7EE"/>
              <w:left w:val="nil" w:sz="6" w:space="0" w:color="auto"/>
              <w:bottom w:val="single" w:sz="4" w:space="0" w:color="41B7EE"/>
              <w:right w:val="single" w:sz="4" w:space="0" w:color="41B7EE"/>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黑龙江北大荒纸业有限责任</w:t>
            </w:r>
          </w:p>
          <w:p>
            <w:pPr>
              <w:pStyle w:val="TableParagraph"/>
              <w:spacing w:line="273" w:lineRule="exact"/>
              <w:ind w:left="3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5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right="161"/>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71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55"/>
              <w:ind w:left="215" w:right="0"/>
              <w:jc w:val="left"/>
              <w:rPr>
                <w:rFonts w:ascii="Arial" w:hAnsi="Arial" w:cs="Arial" w:eastAsia="Arial" w:hint="default"/>
                <w:sz w:val="20"/>
                <w:szCs w:val="20"/>
              </w:rPr>
            </w:pPr>
            <w:r>
              <w:rPr>
                <w:rFonts w:ascii="Arial"/>
                <w:sz w:val="20"/>
              </w:rPr>
              <w:t>126,510,894.56</w:t>
            </w:r>
          </w:p>
        </w:tc>
        <w:tc>
          <w:tcPr>
            <w:tcW w:w="10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12"/>
              <w:ind w:left="76" w:right="0"/>
              <w:jc w:val="left"/>
              <w:rPr>
                <w:rFonts w:ascii="宋体" w:hAnsi="宋体" w:cs="宋体" w:eastAsia="宋体" w:hint="default"/>
                <w:sz w:val="20"/>
                <w:szCs w:val="20"/>
              </w:rPr>
            </w:pPr>
            <w:r>
              <w:rPr>
                <w:rFonts w:ascii="Arial" w:hAnsi="Arial" w:cs="Arial" w:eastAsia="Arial" w:hint="default"/>
                <w:sz w:val="20"/>
                <w:szCs w:val="20"/>
              </w:rPr>
              <w:t>5</w:t>
            </w:r>
            <w:r>
              <w:rPr>
                <w:rFonts w:ascii="Arial" w:hAnsi="Arial" w:cs="Arial" w:eastAsia="Arial" w:hint="default"/>
                <w:spacing w:val="-9"/>
                <w:sz w:val="20"/>
                <w:szCs w:val="20"/>
              </w:rPr>
              <w:t> </w:t>
            </w:r>
            <w:r>
              <w:rPr>
                <w:rFonts w:ascii="宋体" w:hAnsi="宋体" w:cs="宋体" w:eastAsia="宋体" w:hint="default"/>
                <w:sz w:val="20"/>
                <w:szCs w:val="20"/>
              </w:rPr>
              <w:t>年以上</w:t>
            </w:r>
          </w:p>
        </w:tc>
        <w:tc>
          <w:tcPr>
            <w:tcW w:w="9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55"/>
              <w:ind w:right="29"/>
              <w:jc w:val="right"/>
              <w:rPr>
                <w:rFonts w:ascii="Arial" w:hAnsi="Arial" w:cs="Arial" w:eastAsia="Arial" w:hint="default"/>
                <w:sz w:val="20"/>
                <w:szCs w:val="20"/>
              </w:rPr>
            </w:pPr>
            <w:r>
              <w:rPr>
                <w:rFonts w:ascii="Arial"/>
                <w:spacing w:val="-1"/>
                <w:w w:val="95"/>
                <w:sz w:val="20"/>
              </w:rPr>
              <w:t>5.16</w:t>
            </w:r>
            <w:r>
              <w:rPr>
                <w:rFonts w:ascii="Arial"/>
                <w:sz w:val="20"/>
              </w:rPr>
            </w:r>
          </w:p>
        </w:tc>
        <w:tc>
          <w:tcPr>
            <w:tcW w:w="163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55"/>
              <w:ind w:right="31"/>
              <w:jc w:val="right"/>
              <w:rPr>
                <w:rFonts w:ascii="Arial" w:hAnsi="Arial" w:cs="Arial" w:eastAsia="Arial" w:hint="default"/>
                <w:sz w:val="20"/>
                <w:szCs w:val="20"/>
              </w:rPr>
            </w:pPr>
            <w:r>
              <w:rPr>
                <w:rFonts w:ascii="Arial"/>
                <w:w w:val="95"/>
                <w:sz w:val="20"/>
              </w:rPr>
              <w:t>114,067,782.38</w:t>
            </w:r>
            <w:r>
              <w:rPr>
                <w:rFonts w:ascii="Arial"/>
                <w:sz w:val="20"/>
              </w:rPr>
            </w:r>
          </w:p>
        </w:tc>
      </w:tr>
      <w:tr>
        <w:trPr>
          <w:trHeight w:val="355" w:hRule="exact"/>
        </w:trPr>
        <w:tc>
          <w:tcPr>
            <w:tcW w:w="271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北大荒龙垦麦芽有限公司</w:t>
            </w:r>
          </w:p>
        </w:tc>
        <w:tc>
          <w:tcPr>
            <w:tcW w:w="85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2"/>
              <w:ind w:right="161"/>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71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left="215" w:right="0"/>
              <w:jc w:val="left"/>
              <w:rPr>
                <w:rFonts w:ascii="Arial" w:hAnsi="Arial" w:cs="Arial" w:eastAsia="Arial" w:hint="default"/>
                <w:sz w:val="20"/>
                <w:szCs w:val="20"/>
              </w:rPr>
            </w:pPr>
            <w:r>
              <w:rPr>
                <w:rFonts w:ascii="Arial"/>
                <w:sz w:val="20"/>
              </w:rPr>
              <w:t>877,442,355.40</w:t>
            </w:r>
          </w:p>
        </w:tc>
        <w:tc>
          <w:tcPr>
            <w:tcW w:w="10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1"/>
              <w:ind w:left="76" w:right="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9"/>
                <w:sz w:val="20"/>
                <w:szCs w:val="20"/>
              </w:rPr>
              <w:t> </w:t>
            </w:r>
            <w:r>
              <w:rPr>
                <w:rFonts w:ascii="宋体" w:hAnsi="宋体" w:cs="宋体" w:eastAsia="宋体" w:hint="default"/>
                <w:sz w:val="20"/>
                <w:szCs w:val="20"/>
              </w:rPr>
              <w:t>年以上</w:t>
            </w:r>
          </w:p>
        </w:tc>
        <w:tc>
          <w:tcPr>
            <w:tcW w:w="9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9"/>
              <w:jc w:val="right"/>
              <w:rPr>
                <w:rFonts w:ascii="Arial" w:hAnsi="Arial" w:cs="Arial" w:eastAsia="Arial" w:hint="default"/>
                <w:sz w:val="20"/>
                <w:szCs w:val="20"/>
              </w:rPr>
            </w:pPr>
            <w:r>
              <w:rPr>
                <w:rFonts w:ascii="Arial"/>
                <w:w w:val="95"/>
                <w:sz w:val="20"/>
              </w:rPr>
              <w:t>35.79</w:t>
            </w:r>
            <w:r>
              <w:rPr>
                <w:rFonts w:ascii="Arial"/>
                <w:sz w:val="20"/>
              </w:rPr>
            </w:r>
          </w:p>
        </w:tc>
        <w:tc>
          <w:tcPr>
            <w:tcW w:w="163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5"/>
              <w:ind w:right="31"/>
              <w:jc w:val="right"/>
              <w:rPr>
                <w:rFonts w:ascii="Arial" w:hAnsi="Arial" w:cs="Arial" w:eastAsia="Arial" w:hint="default"/>
                <w:sz w:val="20"/>
                <w:szCs w:val="20"/>
              </w:rPr>
            </w:pPr>
            <w:r>
              <w:rPr>
                <w:rFonts w:ascii="Arial"/>
                <w:w w:val="95"/>
                <w:sz w:val="20"/>
              </w:rPr>
              <w:t>192,161,855.40</w:t>
            </w:r>
            <w:r>
              <w:rPr>
                <w:rFonts w:ascii="Arial"/>
                <w:sz w:val="20"/>
              </w:rPr>
            </w:r>
          </w:p>
        </w:tc>
      </w:tr>
      <w:tr>
        <w:trPr>
          <w:trHeight w:val="554" w:hRule="exact"/>
        </w:trPr>
        <w:tc>
          <w:tcPr>
            <w:tcW w:w="2715" w:type="dxa"/>
            <w:tcBorders>
              <w:top w:val="single" w:sz="4" w:space="0" w:color="41B7EE"/>
              <w:left w:val="nil" w:sz="6" w:space="0" w:color="auto"/>
              <w:bottom w:val="single" w:sz="4" w:space="0" w:color="41B7EE"/>
              <w:right w:val="single" w:sz="4" w:space="0" w:color="41B7EE"/>
            </w:tcBorders>
          </w:tcPr>
          <w:p>
            <w:pPr>
              <w:pStyle w:val="TableParagraph"/>
              <w:spacing w:line="240" w:lineRule="exact"/>
              <w:ind w:left="31" w:right="0"/>
              <w:jc w:val="left"/>
              <w:rPr>
                <w:rFonts w:ascii="宋体" w:hAnsi="宋体" w:cs="宋体" w:eastAsia="宋体" w:hint="default"/>
                <w:sz w:val="21"/>
                <w:szCs w:val="21"/>
              </w:rPr>
            </w:pPr>
            <w:r>
              <w:rPr>
                <w:rFonts w:ascii="宋体" w:hAnsi="宋体" w:cs="宋体" w:eastAsia="宋体" w:hint="default"/>
                <w:sz w:val="21"/>
                <w:szCs w:val="21"/>
              </w:rPr>
              <w:t>北大荒鑫亚经贸有限责任公</w:t>
            </w:r>
          </w:p>
          <w:p>
            <w:pPr>
              <w:pStyle w:val="TableParagraph"/>
              <w:spacing w:line="274" w:lineRule="exact"/>
              <w:ind w:left="31"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85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right="161"/>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71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55"/>
              <w:ind w:left="47" w:right="0"/>
              <w:jc w:val="left"/>
              <w:rPr>
                <w:rFonts w:ascii="Arial" w:hAnsi="Arial" w:cs="Arial" w:eastAsia="Arial" w:hint="default"/>
                <w:sz w:val="20"/>
                <w:szCs w:val="20"/>
              </w:rPr>
            </w:pPr>
            <w:r>
              <w:rPr>
                <w:rFonts w:ascii="Arial"/>
                <w:sz w:val="20"/>
              </w:rPr>
              <w:t>1,120,776,197.48</w:t>
            </w:r>
          </w:p>
        </w:tc>
        <w:tc>
          <w:tcPr>
            <w:tcW w:w="10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12"/>
              <w:ind w:left="76" w:right="0"/>
              <w:jc w:val="left"/>
              <w:rPr>
                <w:rFonts w:ascii="宋体" w:hAnsi="宋体" w:cs="宋体" w:eastAsia="宋体" w:hint="default"/>
                <w:sz w:val="20"/>
                <w:szCs w:val="20"/>
              </w:rPr>
            </w:pPr>
            <w:r>
              <w:rPr>
                <w:rFonts w:ascii="Arial" w:hAnsi="Arial" w:cs="Arial" w:eastAsia="Arial" w:hint="default"/>
                <w:sz w:val="20"/>
                <w:szCs w:val="20"/>
              </w:rPr>
              <w:t>5</w:t>
            </w:r>
            <w:r>
              <w:rPr>
                <w:rFonts w:ascii="Arial" w:hAnsi="Arial" w:cs="Arial" w:eastAsia="Arial" w:hint="default"/>
                <w:spacing w:val="-9"/>
                <w:sz w:val="20"/>
                <w:szCs w:val="20"/>
              </w:rPr>
              <w:t> </w:t>
            </w:r>
            <w:r>
              <w:rPr>
                <w:rFonts w:ascii="宋体" w:hAnsi="宋体" w:cs="宋体" w:eastAsia="宋体" w:hint="default"/>
                <w:sz w:val="20"/>
                <w:szCs w:val="20"/>
              </w:rPr>
              <w:t>年以上</w:t>
            </w:r>
          </w:p>
        </w:tc>
        <w:tc>
          <w:tcPr>
            <w:tcW w:w="9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55"/>
              <w:ind w:right="29"/>
              <w:jc w:val="right"/>
              <w:rPr>
                <w:rFonts w:ascii="Arial" w:hAnsi="Arial" w:cs="Arial" w:eastAsia="Arial" w:hint="default"/>
                <w:sz w:val="20"/>
                <w:szCs w:val="20"/>
              </w:rPr>
            </w:pPr>
            <w:r>
              <w:rPr>
                <w:rFonts w:ascii="Arial"/>
                <w:w w:val="95"/>
                <w:sz w:val="20"/>
              </w:rPr>
              <w:t>45.72</w:t>
            </w:r>
            <w:r>
              <w:rPr>
                <w:rFonts w:ascii="Arial"/>
                <w:sz w:val="20"/>
              </w:rPr>
            </w:r>
          </w:p>
        </w:tc>
        <w:tc>
          <w:tcPr>
            <w:tcW w:w="163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55"/>
              <w:ind w:right="31"/>
              <w:jc w:val="right"/>
              <w:rPr>
                <w:rFonts w:ascii="Arial" w:hAnsi="Arial" w:cs="Arial" w:eastAsia="Arial" w:hint="default"/>
                <w:sz w:val="20"/>
                <w:szCs w:val="20"/>
              </w:rPr>
            </w:pPr>
            <w:r>
              <w:rPr>
                <w:rFonts w:ascii="Arial"/>
                <w:w w:val="95"/>
                <w:sz w:val="20"/>
              </w:rPr>
              <w:t>715,025,269.08</w:t>
            </w:r>
            <w:r>
              <w:rPr>
                <w:rFonts w:ascii="Arial"/>
                <w:sz w:val="20"/>
              </w:rPr>
            </w:r>
          </w:p>
        </w:tc>
      </w:tr>
      <w:tr>
        <w:trPr>
          <w:trHeight w:val="557" w:hRule="exact"/>
        </w:trPr>
        <w:tc>
          <w:tcPr>
            <w:tcW w:w="2715" w:type="dxa"/>
            <w:tcBorders>
              <w:top w:val="single" w:sz="4" w:space="0" w:color="41B7EE"/>
              <w:left w:val="nil" w:sz="6" w:space="0" w:color="auto"/>
              <w:bottom w:val="single" w:sz="4" w:space="0" w:color="41B7EE"/>
              <w:right w:val="single" w:sz="4" w:space="0" w:color="41B7EE"/>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北大荒鑫都房地产开发有限</w:t>
            </w:r>
          </w:p>
          <w:p>
            <w:pPr>
              <w:pStyle w:val="TableParagraph"/>
              <w:spacing w:line="273" w:lineRule="exact"/>
              <w:ind w:left="3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5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2"/>
              <w:ind w:right="161"/>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71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55"/>
              <w:ind w:left="215" w:right="0"/>
              <w:jc w:val="left"/>
              <w:rPr>
                <w:rFonts w:ascii="Arial" w:hAnsi="Arial" w:cs="Arial" w:eastAsia="Arial" w:hint="default"/>
                <w:sz w:val="20"/>
                <w:szCs w:val="20"/>
              </w:rPr>
            </w:pPr>
            <w:r>
              <w:rPr>
                <w:rFonts w:ascii="Arial"/>
                <w:sz w:val="20"/>
              </w:rPr>
              <w:t>105,976,082.77</w:t>
            </w:r>
          </w:p>
        </w:tc>
        <w:tc>
          <w:tcPr>
            <w:tcW w:w="10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12"/>
              <w:ind w:left="76" w:right="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9"/>
                <w:sz w:val="20"/>
                <w:szCs w:val="20"/>
              </w:rPr>
              <w:t> </w:t>
            </w:r>
            <w:r>
              <w:rPr>
                <w:rFonts w:ascii="宋体" w:hAnsi="宋体" w:cs="宋体" w:eastAsia="宋体" w:hint="default"/>
                <w:sz w:val="20"/>
                <w:szCs w:val="20"/>
              </w:rPr>
              <w:t>年以上</w:t>
            </w:r>
          </w:p>
        </w:tc>
        <w:tc>
          <w:tcPr>
            <w:tcW w:w="9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55"/>
              <w:ind w:right="29"/>
              <w:jc w:val="right"/>
              <w:rPr>
                <w:rFonts w:ascii="Arial" w:hAnsi="Arial" w:cs="Arial" w:eastAsia="Arial" w:hint="default"/>
                <w:sz w:val="20"/>
                <w:szCs w:val="20"/>
              </w:rPr>
            </w:pPr>
            <w:r>
              <w:rPr>
                <w:rFonts w:ascii="Arial"/>
                <w:spacing w:val="-1"/>
                <w:w w:val="95"/>
                <w:sz w:val="20"/>
              </w:rPr>
              <w:t>4.32</w:t>
            </w:r>
            <w:r>
              <w:rPr>
                <w:rFonts w:ascii="Arial"/>
                <w:sz w:val="20"/>
              </w:rPr>
            </w:r>
          </w:p>
        </w:tc>
        <w:tc>
          <w:tcPr>
            <w:tcW w:w="1630"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55"/>
              <w:ind w:right="31"/>
              <w:jc w:val="right"/>
              <w:rPr>
                <w:rFonts w:ascii="Arial" w:hAnsi="Arial" w:cs="Arial" w:eastAsia="Arial" w:hint="default"/>
                <w:sz w:val="20"/>
                <w:szCs w:val="20"/>
              </w:rPr>
            </w:pPr>
            <w:r>
              <w:rPr>
                <w:rFonts w:ascii="Arial"/>
                <w:w w:val="95"/>
                <w:sz w:val="20"/>
              </w:rPr>
              <w:t>44,463,100.00</w:t>
            </w:r>
            <w:r>
              <w:rPr>
                <w:rFonts w:ascii="Arial"/>
                <w:sz w:val="20"/>
              </w:rPr>
            </w:r>
          </w:p>
        </w:tc>
      </w:tr>
      <w:tr>
        <w:trPr>
          <w:trHeight w:val="554" w:hRule="exact"/>
        </w:trPr>
        <w:tc>
          <w:tcPr>
            <w:tcW w:w="2715" w:type="dxa"/>
            <w:tcBorders>
              <w:top w:val="single" w:sz="4" w:space="0" w:color="41B7EE"/>
              <w:left w:val="nil" w:sz="6" w:space="0" w:color="auto"/>
              <w:bottom w:val="single" w:sz="4" w:space="0" w:color="41B7EE"/>
              <w:right w:val="single" w:sz="4" w:space="0" w:color="41B7EE"/>
            </w:tcBorders>
          </w:tcPr>
          <w:p>
            <w:pPr>
              <w:pStyle w:val="TableParagraph"/>
              <w:spacing w:line="239" w:lineRule="exact"/>
              <w:ind w:left="31" w:right="0"/>
              <w:jc w:val="left"/>
              <w:rPr>
                <w:rFonts w:ascii="宋体" w:hAnsi="宋体" w:cs="宋体" w:eastAsia="宋体" w:hint="default"/>
                <w:sz w:val="21"/>
                <w:szCs w:val="21"/>
              </w:rPr>
            </w:pPr>
            <w:r>
              <w:rPr>
                <w:rFonts w:ascii="宋体" w:hAnsi="宋体" w:cs="宋体" w:eastAsia="宋体" w:hint="default"/>
                <w:sz w:val="21"/>
                <w:szCs w:val="21"/>
              </w:rPr>
              <w:t>北京泰鑫天迈投资管理有限</w:t>
            </w:r>
          </w:p>
          <w:p>
            <w:pPr>
              <w:pStyle w:val="TableParagraph"/>
              <w:spacing w:line="273" w:lineRule="exact"/>
              <w:ind w:left="3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5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0"/>
              <w:ind w:right="161"/>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714"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53"/>
              <w:ind w:left="326" w:right="0"/>
              <w:jc w:val="left"/>
              <w:rPr>
                <w:rFonts w:ascii="Arial" w:hAnsi="Arial" w:cs="Arial" w:eastAsia="Arial" w:hint="default"/>
                <w:sz w:val="20"/>
                <w:szCs w:val="20"/>
              </w:rPr>
            </w:pPr>
            <w:r>
              <w:rPr>
                <w:rFonts w:ascii="Arial"/>
                <w:sz w:val="20"/>
              </w:rPr>
              <w:t>10,000,000.00</w:t>
            </w:r>
          </w:p>
        </w:tc>
        <w:tc>
          <w:tcPr>
            <w:tcW w:w="10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09"/>
              <w:ind w:left="76" w:right="0"/>
              <w:jc w:val="left"/>
              <w:rPr>
                <w:rFonts w:ascii="宋体" w:hAnsi="宋体" w:cs="宋体" w:eastAsia="宋体" w:hint="default"/>
                <w:sz w:val="20"/>
                <w:szCs w:val="20"/>
              </w:rPr>
            </w:pPr>
            <w:r>
              <w:rPr>
                <w:rFonts w:ascii="Arial" w:hAnsi="Arial" w:cs="Arial" w:eastAsia="Arial" w:hint="default"/>
                <w:sz w:val="20"/>
                <w:szCs w:val="20"/>
              </w:rPr>
              <w:t>3</w:t>
            </w:r>
            <w:r>
              <w:rPr>
                <w:rFonts w:ascii="Arial" w:hAnsi="Arial" w:cs="Arial" w:eastAsia="Arial" w:hint="default"/>
                <w:spacing w:val="-9"/>
                <w:sz w:val="20"/>
                <w:szCs w:val="20"/>
              </w:rPr>
              <w:t> </w:t>
            </w:r>
            <w:r>
              <w:rPr>
                <w:rFonts w:ascii="宋体" w:hAnsi="宋体" w:cs="宋体" w:eastAsia="宋体" w:hint="default"/>
                <w:sz w:val="20"/>
                <w:szCs w:val="20"/>
              </w:rPr>
              <w:t>年以上</w:t>
            </w:r>
          </w:p>
        </w:tc>
        <w:tc>
          <w:tcPr>
            <w:tcW w:w="9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53"/>
              <w:ind w:right="29"/>
              <w:jc w:val="right"/>
              <w:rPr>
                <w:rFonts w:ascii="Arial" w:hAnsi="Arial" w:cs="Arial" w:eastAsia="Arial" w:hint="default"/>
                <w:sz w:val="20"/>
                <w:szCs w:val="20"/>
              </w:rPr>
            </w:pPr>
            <w:r>
              <w:rPr>
                <w:rFonts w:ascii="Arial"/>
                <w:spacing w:val="-1"/>
                <w:w w:val="95"/>
                <w:sz w:val="20"/>
              </w:rPr>
              <w:t>0.41</w:t>
            </w:r>
            <w:r>
              <w:rPr>
                <w:rFonts w:ascii="Arial"/>
                <w:sz w:val="20"/>
              </w:rPr>
            </w:r>
          </w:p>
        </w:tc>
        <w:tc>
          <w:tcPr>
            <w:tcW w:w="1630" w:type="dxa"/>
            <w:tcBorders>
              <w:top w:val="single" w:sz="4" w:space="0" w:color="41B7EE"/>
              <w:left w:val="single" w:sz="4" w:space="0" w:color="41B7EE"/>
              <w:bottom w:val="single" w:sz="4" w:space="0" w:color="41B7EE"/>
              <w:right w:val="nil" w:sz="6" w:space="0" w:color="auto"/>
            </w:tcBorders>
          </w:tcPr>
          <w:p>
            <w:pPr/>
          </w:p>
        </w:tc>
      </w:tr>
      <w:tr>
        <w:trPr>
          <w:trHeight w:val="418" w:hRule="exact"/>
        </w:trPr>
        <w:tc>
          <w:tcPr>
            <w:tcW w:w="2715"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28"/>
              <w:ind w:right="97"/>
              <w:jc w:val="center"/>
              <w:rPr>
                <w:rFonts w:ascii="宋体" w:hAnsi="宋体" w:cs="宋体" w:eastAsia="宋体" w:hint="default"/>
                <w:sz w:val="21"/>
                <w:szCs w:val="21"/>
              </w:rPr>
            </w:pPr>
            <w:r>
              <w:rPr>
                <w:rFonts w:ascii="宋体" w:hAnsi="宋体" w:cs="宋体" w:eastAsia="宋体" w:hint="default"/>
                <w:sz w:val="21"/>
                <w:szCs w:val="21"/>
              </w:rPr>
              <w:t>合计</w:t>
            </w:r>
          </w:p>
        </w:tc>
        <w:tc>
          <w:tcPr>
            <w:tcW w:w="854"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74"/>
              <w:ind w:right="73"/>
              <w:jc w:val="center"/>
              <w:rPr>
                <w:rFonts w:ascii="Arial" w:hAnsi="Arial" w:cs="Arial" w:eastAsia="Arial" w:hint="default"/>
                <w:sz w:val="21"/>
                <w:szCs w:val="21"/>
              </w:rPr>
            </w:pPr>
            <w:r>
              <w:rPr>
                <w:rFonts w:ascii="Arial"/>
                <w:w w:val="100"/>
                <w:sz w:val="21"/>
              </w:rPr>
              <w:t>/</w:t>
            </w:r>
          </w:p>
        </w:tc>
        <w:tc>
          <w:tcPr>
            <w:tcW w:w="1714"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131"/>
              <w:ind w:left="119" w:right="0"/>
              <w:jc w:val="left"/>
              <w:rPr>
                <w:rFonts w:ascii="Arial" w:hAnsi="Arial" w:cs="Arial" w:eastAsia="Arial" w:hint="default"/>
                <w:sz w:val="20"/>
                <w:szCs w:val="20"/>
              </w:rPr>
            </w:pPr>
            <w:r>
              <w:rPr>
                <w:rFonts w:ascii="Arial"/>
                <w:sz w:val="20"/>
              </w:rPr>
              <w:t>2,240,705,530.21</w:t>
            </w:r>
          </w:p>
        </w:tc>
        <w:tc>
          <w:tcPr>
            <w:tcW w:w="1001"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81"/>
              <w:ind w:right="74"/>
              <w:jc w:val="center"/>
              <w:rPr>
                <w:rFonts w:ascii="Arial" w:hAnsi="Arial" w:cs="Arial" w:eastAsia="Arial" w:hint="default"/>
                <w:sz w:val="20"/>
                <w:szCs w:val="20"/>
              </w:rPr>
            </w:pPr>
            <w:r>
              <w:rPr>
                <w:rFonts w:ascii="Arial"/>
                <w:w w:val="99"/>
                <w:sz w:val="20"/>
              </w:rPr>
              <w:t>/</w:t>
            </w:r>
            <w:r>
              <w:rPr>
                <w:rFonts w:ascii="Arial"/>
                <w:sz w:val="20"/>
              </w:rPr>
            </w:r>
          </w:p>
        </w:tc>
        <w:tc>
          <w:tcPr>
            <w:tcW w:w="982"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81"/>
              <w:ind w:right="29"/>
              <w:jc w:val="right"/>
              <w:rPr>
                <w:rFonts w:ascii="Arial" w:hAnsi="Arial" w:cs="Arial" w:eastAsia="Arial" w:hint="default"/>
                <w:sz w:val="20"/>
                <w:szCs w:val="20"/>
              </w:rPr>
            </w:pPr>
            <w:r>
              <w:rPr>
                <w:rFonts w:ascii="Arial"/>
                <w:w w:val="95"/>
                <w:sz w:val="20"/>
              </w:rPr>
              <w:t>91.40</w:t>
            </w:r>
            <w:r>
              <w:rPr>
                <w:rFonts w:ascii="Arial"/>
                <w:sz w:val="20"/>
              </w:rPr>
            </w:r>
          </w:p>
        </w:tc>
        <w:tc>
          <w:tcPr>
            <w:tcW w:w="1630"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81"/>
              <w:ind w:right="44"/>
              <w:jc w:val="right"/>
              <w:rPr>
                <w:rFonts w:ascii="Arial" w:hAnsi="Arial" w:cs="Arial" w:eastAsia="Arial" w:hint="default"/>
                <w:sz w:val="20"/>
                <w:szCs w:val="20"/>
              </w:rPr>
            </w:pPr>
            <w:r>
              <w:rPr>
                <w:rFonts w:ascii="Arial"/>
                <w:w w:val="95"/>
                <w:sz w:val="20"/>
              </w:rPr>
              <w:t>1,065,718,006.86</w:t>
            </w:r>
            <w:r>
              <w:rPr>
                <w:rFonts w:ascii="Arial"/>
                <w:sz w:val="20"/>
              </w:rPr>
            </w:r>
          </w:p>
        </w:tc>
      </w:tr>
    </w:tbl>
    <w:p>
      <w:pPr>
        <w:spacing w:line="20" w:lineRule="exact"/>
        <w:ind w:left="197"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2710;height:2" coordorigin="10,10" coordsize="2710,2">
              <v:shape style="position:absolute;left:10;top:10;width:2710;height:2" coordorigin="10,10" coordsize="2710,0" path="m10,10l2720,10e" filled="false" stroked="true" strokeweight=".95996pt" strokecolor="#41b7ee">
                <v:path arrowok="t"/>
              </v:shape>
            </v:group>
            <v:group style="position:absolute;left:2720;top:10;width:58;height:2" coordorigin="2720,10" coordsize="58,2">
              <v:shape style="position:absolute;left:2720;top:10;width:58;height:2" coordorigin="2720,10" coordsize="58,0" path="m2720,10l2777,10e" filled="false" stroked="true" strokeweight=".95996pt" strokecolor="#41b7ee">
                <v:path arrowok="t"/>
              </v:shape>
            </v:group>
            <v:group style="position:absolute;left:2777;top:10;width:797;height:2" coordorigin="2777,10" coordsize="797,2">
              <v:shape style="position:absolute;left:2777;top:10;width:797;height:2" coordorigin="2777,10" coordsize="797,0" path="m2777,10l3574,10e" filled="false" stroked="true" strokeweight=".95996pt" strokecolor="#41b7ee">
                <v:path arrowok="t"/>
              </v:shape>
            </v:group>
            <v:group style="position:absolute;left:3574;top:10;width:58;height:2" coordorigin="3574,10" coordsize="58,2">
              <v:shape style="position:absolute;left:3574;top:10;width:58;height:2" coordorigin="3574,10" coordsize="58,0" path="m3574,10l3632,10e" filled="false" stroked="true" strokeweight=".95996pt" strokecolor="#41b7ee">
                <v:path arrowok="t"/>
              </v:shape>
            </v:group>
            <v:group style="position:absolute;left:3632;top:10;width:1657;height:2" coordorigin="3632,10" coordsize="1657,2">
              <v:shape style="position:absolute;left:3632;top:10;width:1657;height:2" coordorigin="3632,10" coordsize="1657,0" path="m3632,10l5288,10e" filled="false" stroked="true" strokeweight=".95996pt" strokecolor="#41b7ee">
                <v:path arrowok="t"/>
              </v:shape>
            </v:group>
            <v:group style="position:absolute;left:5288;top:10;width:58;height:2" coordorigin="5288,10" coordsize="58,2">
              <v:shape style="position:absolute;left:5288;top:10;width:58;height:2" coordorigin="5288,10" coordsize="58,0" path="m5288,10l5346,10e" filled="false" stroked="true" strokeweight=".95996pt" strokecolor="#41b7ee">
                <v:path arrowok="t"/>
              </v:shape>
            </v:group>
            <v:group style="position:absolute;left:5346;top:10;width:944;height:2" coordorigin="5346,10" coordsize="944,2">
              <v:shape style="position:absolute;left:5346;top:10;width:944;height:2" coordorigin="5346,10" coordsize="944,0" path="m5346,10l6289,10e" filled="false" stroked="true" strokeweight=".95996pt" strokecolor="#41b7ee">
                <v:path arrowok="t"/>
              </v:shape>
            </v:group>
            <v:group style="position:absolute;left:6289;top:10;width:58;height:2" coordorigin="6289,10" coordsize="58,2">
              <v:shape style="position:absolute;left:6289;top:10;width:58;height:2" coordorigin="6289,10" coordsize="58,0" path="m6289,10l6347,10e" filled="false" stroked="true" strokeweight=".95996pt" strokecolor="#41b7ee">
                <v:path arrowok="t"/>
              </v:shape>
            </v:group>
            <v:group style="position:absolute;left:6347;top:10;width:924;height:2" coordorigin="6347,10" coordsize="924,2">
              <v:shape style="position:absolute;left:6347;top:10;width:924;height:2" coordorigin="6347,10" coordsize="924,0" path="m6347,10l7271,10e" filled="false" stroked="true" strokeweight=".95996pt" strokecolor="#41b7ee">
                <v:path arrowok="t"/>
              </v:shape>
            </v:group>
            <v:group style="position:absolute;left:7271;top:10;width:59;height:2" coordorigin="7271,10" coordsize="59,2">
              <v:shape style="position:absolute;left:7271;top:10;width:59;height:2" coordorigin="7271,10" coordsize="59,0" path="m7271,10l7329,10e" filled="false" stroked="true" strokeweight=".95996pt" strokecolor="#41b7ee">
                <v:path arrowok="t"/>
              </v:shape>
            </v:group>
            <v:group style="position:absolute;left:7329;top:10;width:1577;height:2" coordorigin="7329,10" coordsize="1577,2">
              <v:shape style="position:absolute;left:7329;top:10;width:1577;height:2" coordorigin="7329,10" coordsize="1577,0" path="m7329,10l8906,10e" filled="false" stroked="true" strokeweight=".95996pt" strokecolor="#41b7ee">
                <v:path arrowok="t"/>
              </v:shape>
            </v:group>
          </v:group>
        </w:pict>
      </w:r>
      <w:r>
        <w:rPr>
          <w:rFonts w:ascii="宋体" w:hAnsi="宋体" w:cs="宋体" w:eastAsia="宋体" w:hint="default"/>
          <w:sz w:val="2"/>
          <w:szCs w:val="2"/>
        </w:rPr>
      </w:r>
    </w:p>
    <w:p>
      <w:pPr>
        <w:pStyle w:val="Heading2"/>
        <w:spacing w:line="240" w:lineRule="auto" w:before="44"/>
        <w:ind w:left="238"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left="238" w:right="0"/>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
        </w:rPr>
        <w:t> </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left="238" w:right="0"/>
        <w:jc w:val="left"/>
        <w:rPr>
          <w:rFonts w:ascii="宋体" w:hAnsi="宋体" w:cs="宋体" w:eastAsia="宋体" w:hint="default"/>
          <w:b w:val="0"/>
          <w:bCs w:val="0"/>
        </w:rPr>
      </w:pPr>
      <w:r>
        <w:rPr>
          <w:rFonts w:ascii="宋体" w:hAnsi="宋体" w:cs="宋体" w:eastAsia="宋体" w:hint="default"/>
        </w:rPr>
        <w:t>(9).</w:t>
      </w:r>
      <w:r>
        <w:rPr>
          <w:rFonts w:ascii="宋体" w:hAnsi="宋体" w:cs="宋体" w:eastAsia="宋体" w:hint="default"/>
          <w:spacing w:val="-5"/>
        </w:rPr>
        <w:t> </w:t>
      </w:r>
      <w:r>
        <w:rPr/>
        <w:t>转移其他应收款且继续涉入形成的资产、负债金额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238" w:right="6557"/>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360" w:bottom="1380" w:left="1560" w:right="1000"/>
        </w:sectPr>
      </w:pP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headerReference w:type="default" r:id="rId99"/>
          <w:footerReference w:type="default" r:id="rId100"/>
          <w:pgSz w:w="16840" w:h="11910" w:orient="landscape"/>
          <w:pgMar w:header="826" w:footer="1195" w:top="1360" w:bottom="1380" w:left="1200" w:right="1240"/>
          <w:pgNumType w:start="170"/>
        </w:sectPr>
      </w:pPr>
    </w:p>
    <w:p>
      <w:pPr>
        <w:pStyle w:val="BodyText"/>
        <w:spacing w:line="240" w:lineRule="auto" w:before="36"/>
        <w:ind w:left="240" w:right="0"/>
        <w:jc w:val="left"/>
        <w:rPr>
          <w:rFonts w:ascii="宋体" w:hAnsi="宋体" w:cs="宋体" w:eastAsia="宋体" w:hint="default"/>
        </w:rPr>
      </w:pPr>
      <w:r>
        <w:rPr>
          <w:rFonts w:ascii="宋体"/>
          <w:w w:val="100"/>
        </w:rPr>
        <w:t> </w:t>
      </w:r>
    </w:p>
    <w:p>
      <w:pPr>
        <w:pStyle w:val="Heading2"/>
        <w:spacing w:line="240" w:lineRule="auto"/>
        <w:ind w:left="240" w:right="0"/>
        <w:jc w:val="left"/>
        <w:rPr>
          <w:rFonts w:ascii="宋体" w:hAnsi="宋体" w:cs="宋体" w:eastAsia="宋体" w:hint="default"/>
          <w:b w:val="0"/>
          <w:bCs w:val="0"/>
        </w:rPr>
      </w:pPr>
      <w:r>
        <w:rPr>
          <w:rFonts w:ascii="宋体" w:hAnsi="宋体" w:cs="宋体" w:eastAsia="宋体" w:hint="default"/>
        </w:rPr>
        <w:t>3</w:t>
      </w:r>
      <w:r>
        <w:rPr/>
        <w:t>、</w:t>
      </w:r>
      <w:r>
        <w:rPr>
          <w:spacing w:val="1"/>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4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360" w:bottom="1380" w:left="1200" w:right="1240"/>
          <w:cols w:num="2" w:equalWidth="0">
            <w:col w:w="2036" w:space="9527"/>
            <w:col w:w="2837"/>
          </w:cols>
        </w:sectPr>
      </w:pPr>
    </w:p>
    <w:p>
      <w:pPr>
        <w:spacing w:line="240" w:lineRule="auto" w:before="7"/>
        <w:rPr>
          <w:rFonts w:ascii="宋体" w:hAnsi="宋体" w:cs="宋体" w:eastAsia="宋体" w:hint="default"/>
          <w:sz w:val="2"/>
          <w:szCs w:val="2"/>
        </w:rPr>
      </w:pPr>
    </w:p>
    <w:p>
      <w:pPr>
        <w:spacing w:line="20" w:lineRule="exact"/>
        <w:ind w:left="199" w:right="0" w:firstLine="0"/>
        <w:rPr>
          <w:rFonts w:ascii="宋体" w:hAnsi="宋体" w:cs="宋体" w:eastAsia="宋体" w:hint="default"/>
          <w:sz w:val="2"/>
          <w:szCs w:val="2"/>
        </w:rPr>
      </w:pPr>
      <w:r>
        <w:rPr>
          <w:rFonts w:ascii="宋体" w:hAnsi="宋体" w:cs="宋体" w:eastAsia="宋体" w:hint="default"/>
          <w:sz w:val="2"/>
          <w:szCs w:val="2"/>
        </w:rPr>
        <w:pict>
          <v:group style="width:697.8pt;height:1pt;mso-position-horizontal-relative:char;mso-position-vertical-relative:line" coordorigin="0,0" coordsize="13956,20">
            <v:group style="position:absolute;left:10;top:10;width:3562;height:2" coordorigin="10,10" coordsize="3562,2">
              <v:shape style="position:absolute;left:10;top:10;width:3562;height:2" coordorigin="10,10" coordsize="3562,0" path="m10,10l3572,10e" filled="false" stroked="true" strokeweight=".95999pt" strokecolor="#41b7ee">
                <v:path arrowok="t"/>
              </v:shape>
            </v:group>
            <v:group style="position:absolute;left:3572;top:10;width:58;height:2" coordorigin="3572,10" coordsize="58,2">
              <v:shape style="position:absolute;left:3572;top:10;width:58;height:2" coordorigin="3572,10" coordsize="58,0" path="m3572,10l3629,10e" filled="false" stroked="true" strokeweight=".95999pt" strokecolor="#41b7ee">
                <v:path arrowok="t"/>
              </v:shape>
            </v:group>
            <v:group style="position:absolute;left:3629;top:10;width:5116;height:2" coordorigin="3629,10" coordsize="5116,2">
              <v:shape style="position:absolute;left:3629;top:10;width:5116;height:2" coordorigin="3629,10" coordsize="5116,0" path="m3629,10l8745,10e" filled="false" stroked="true" strokeweight=".95999pt" strokecolor="#41b7ee">
                <v:path arrowok="t"/>
              </v:shape>
            </v:group>
            <v:group style="position:absolute;left:8745;top:10;width:58;height:2" coordorigin="8745,10" coordsize="58,2">
              <v:shape style="position:absolute;left:8745;top:10;width:58;height:2" coordorigin="8745,10" coordsize="58,0" path="m8745,10l8802,10e" filled="false" stroked="true" strokeweight=".95999pt" strokecolor="#41b7ee">
                <v:path arrowok="t"/>
              </v:shape>
            </v:group>
            <v:group style="position:absolute;left:8802;top:10;width:5144;height:2" coordorigin="8802,10" coordsize="5144,2">
              <v:shape style="position:absolute;left:8802;top:10;width:5144;height:2" coordorigin="8802,10" coordsize="5144,0" path="m8802,10l13946,10e" filled="false" stroked="true" strokeweight=".95999pt" strokecolor="#41b7ee">
                <v:path arrowok="t"/>
              </v:shape>
            </v:group>
          </v:group>
        </w:pict>
      </w:r>
      <w:r>
        <w:rPr>
          <w:rFonts w:ascii="宋体" w:hAnsi="宋体" w:cs="宋体" w:eastAsia="宋体" w:hint="default"/>
          <w:sz w:val="2"/>
          <w:szCs w:val="2"/>
        </w:rPr>
      </w:r>
    </w:p>
    <w:tbl>
      <w:tblPr>
        <w:tblW w:w="0" w:type="auto"/>
        <w:jc w:val="left"/>
        <w:tblInd w:w="180" w:type="dxa"/>
        <w:tblLayout w:type="fixed"/>
        <w:tblCellMar>
          <w:top w:w="0" w:type="dxa"/>
          <w:left w:w="0" w:type="dxa"/>
          <w:bottom w:w="0" w:type="dxa"/>
          <w:right w:w="0" w:type="dxa"/>
        </w:tblCellMar>
        <w:tblLook w:val="01E0"/>
      </w:tblPr>
      <w:tblGrid>
        <w:gridCol w:w="3567"/>
        <w:gridCol w:w="1750"/>
        <w:gridCol w:w="1711"/>
        <w:gridCol w:w="1712"/>
        <w:gridCol w:w="1752"/>
        <w:gridCol w:w="1731"/>
        <w:gridCol w:w="1714"/>
      </w:tblGrid>
      <w:tr>
        <w:trPr>
          <w:trHeight w:val="362" w:hRule="exact"/>
        </w:trPr>
        <w:tc>
          <w:tcPr>
            <w:tcW w:w="3567" w:type="dxa"/>
            <w:vMerge w:val="restart"/>
            <w:tcBorders>
              <w:top w:val="single" w:sz="8" w:space="0" w:color="41B7EE"/>
              <w:left w:val="nil" w:sz="6" w:space="0" w:color="auto"/>
              <w:right w:val="single" w:sz="4" w:space="0" w:color="41B7EE"/>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8"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5173" w:type="dxa"/>
            <w:gridSpan w:val="3"/>
            <w:tcBorders>
              <w:top w:val="single" w:sz="8" w:space="0" w:color="41B7EE"/>
              <w:left w:val="single" w:sz="4" w:space="0" w:color="41B7EE"/>
              <w:bottom w:val="single" w:sz="4" w:space="0" w:color="41B7EE"/>
              <w:right w:val="single" w:sz="4" w:space="0" w:color="41B7EE"/>
            </w:tcBorders>
          </w:tcPr>
          <w:p>
            <w:pPr>
              <w:pStyle w:val="TableParagraph"/>
              <w:spacing w:line="240" w:lineRule="auto" w:before="4"/>
              <w:ind w:left="9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5197" w:type="dxa"/>
            <w:gridSpan w:val="3"/>
            <w:tcBorders>
              <w:top w:val="single" w:sz="8" w:space="0" w:color="41B7EE"/>
              <w:left w:val="single" w:sz="4" w:space="0" w:color="41B7EE"/>
              <w:bottom w:val="single" w:sz="4" w:space="0" w:color="41B7EE"/>
              <w:right w:val="nil" w:sz="6" w:space="0" w:color="auto"/>
            </w:tcBorders>
          </w:tcPr>
          <w:p>
            <w:pPr>
              <w:pStyle w:val="TableParagraph"/>
              <w:spacing w:line="240" w:lineRule="auto" w:before="4"/>
              <w:ind w:left="99"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58" w:hRule="exact"/>
        </w:trPr>
        <w:tc>
          <w:tcPr>
            <w:tcW w:w="3567" w:type="dxa"/>
            <w:vMerge/>
            <w:tcBorders>
              <w:left w:val="nil" w:sz="6" w:space="0" w:color="auto"/>
              <w:bottom w:val="single" w:sz="4" w:space="0" w:color="41B7EE"/>
              <w:right w:val="single" w:sz="4" w:space="0" w:color="41B7EE"/>
            </w:tcBorders>
          </w:tcPr>
          <w:p>
            <w:pPr/>
          </w:p>
        </w:tc>
        <w:tc>
          <w:tcPr>
            <w:tcW w:w="175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447"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1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103" w:right="0"/>
              <w:jc w:val="center"/>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171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103"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75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448"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3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103" w:right="0"/>
              <w:jc w:val="center"/>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171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0"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358"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5"/>
              <w:ind w:left="31" w:right="0"/>
              <w:jc w:val="left"/>
              <w:rPr>
                <w:rFonts w:ascii="宋体" w:hAnsi="宋体" w:cs="宋体" w:eastAsia="宋体" w:hint="default"/>
                <w:sz w:val="21"/>
                <w:szCs w:val="21"/>
              </w:rPr>
            </w:pPr>
            <w:r>
              <w:rPr>
                <w:rFonts w:ascii="宋体" w:hAnsi="宋体" w:cs="宋体" w:eastAsia="宋体" w:hint="default"/>
                <w:sz w:val="21"/>
                <w:szCs w:val="21"/>
              </w:rPr>
              <w:t>对子公司投资</w:t>
            </w:r>
            <w:r>
              <w:rPr>
                <w:rFonts w:ascii="宋体" w:hAnsi="宋体" w:cs="宋体" w:eastAsia="宋体" w:hint="default"/>
                <w:sz w:val="21"/>
                <w:szCs w:val="21"/>
              </w:rPr>
              <w:t> </w:t>
            </w:r>
          </w:p>
        </w:tc>
        <w:tc>
          <w:tcPr>
            <w:tcW w:w="175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5"/>
              <w:jc w:val="right"/>
              <w:rPr>
                <w:rFonts w:ascii="Arial" w:hAnsi="Arial" w:cs="Arial" w:eastAsia="Arial" w:hint="default"/>
                <w:sz w:val="21"/>
                <w:szCs w:val="21"/>
              </w:rPr>
            </w:pPr>
            <w:r>
              <w:rPr>
                <w:rFonts w:ascii="Arial"/>
                <w:spacing w:val="-1"/>
                <w:sz w:val="21"/>
              </w:rPr>
              <w:t>857,427,165.41</w:t>
            </w:r>
          </w:p>
        </w:tc>
        <w:tc>
          <w:tcPr>
            <w:tcW w:w="171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left="191" w:right="0"/>
              <w:jc w:val="center"/>
              <w:rPr>
                <w:rFonts w:ascii="Arial" w:hAnsi="Arial" w:cs="Arial" w:eastAsia="Arial" w:hint="default"/>
                <w:sz w:val="21"/>
                <w:szCs w:val="21"/>
              </w:rPr>
            </w:pPr>
            <w:r>
              <w:rPr>
                <w:rFonts w:ascii="Arial"/>
                <w:sz w:val="21"/>
              </w:rPr>
              <w:t>466,427,165.41</w:t>
            </w:r>
          </w:p>
        </w:tc>
        <w:tc>
          <w:tcPr>
            <w:tcW w:w="171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left="191" w:right="0"/>
              <w:jc w:val="center"/>
              <w:rPr>
                <w:rFonts w:ascii="Arial" w:hAnsi="Arial" w:cs="Arial" w:eastAsia="Arial" w:hint="default"/>
                <w:sz w:val="21"/>
                <w:szCs w:val="21"/>
              </w:rPr>
            </w:pPr>
            <w:r>
              <w:rPr>
                <w:rFonts w:ascii="Arial"/>
                <w:sz w:val="21"/>
              </w:rPr>
              <w:t>391,000,000.00</w:t>
            </w:r>
          </w:p>
        </w:tc>
        <w:tc>
          <w:tcPr>
            <w:tcW w:w="175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857,427,165.41</w:t>
            </w:r>
          </w:p>
        </w:tc>
        <w:tc>
          <w:tcPr>
            <w:tcW w:w="173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left="210" w:right="0"/>
              <w:jc w:val="center"/>
              <w:rPr>
                <w:rFonts w:ascii="Arial" w:hAnsi="Arial" w:cs="Arial" w:eastAsia="Arial" w:hint="default"/>
                <w:sz w:val="21"/>
                <w:szCs w:val="21"/>
              </w:rPr>
            </w:pPr>
            <w:r>
              <w:rPr>
                <w:rFonts w:ascii="Arial"/>
                <w:sz w:val="21"/>
              </w:rPr>
              <w:t>436,427,165.41</w:t>
            </w:r>
          </w:p>
        </w:tc>
        <w:tc>
          <w:tcPr>
            <w:tcW w:w="171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left="189" w:right="0"/>
              <w:jc w:val="center"/>
              <w:rPr>
                <w:rFonts w:ascii="Arial" w:hAnsi="Arial" w:cs="Arial" w:eastAsia="Arial" w:hint="default"/>
                <w:sz w:val="21"/>
                <w:szCs w:val="21"/>
              </w:rPr>
            </w:pPr>
            <w:r>
              <w:rPr>
                <w:rFonts w:ascii="Arial"/>
                <w:sz w:val="21"/>
              </w:rPr>
              <w:t>421,000,000.00</w:t>
            </w:r>
          </w:p>
        </w:tc>
      </w:tr>
      <w:tr>
        <w:trPr>
          <w:trHeight w:val="355" w:hRule="exact"/>
        </w:trPr>
        <w:tc>
          <w:tcPr>
            <w:tcW w:w="3567"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对联营、合营企业投资</w:t>
            </w:r>
            <w:r>
              <w:rPr>
                <w:rFonts w:ascii="宋体" w:hAnsi="宋体" w:cs="宋体" w:eastAsia="宋体" w:hint="default"/>
                <w:sz w:val="21"/>
                <w:szCs w:val="21"/>
              </w:rPr>
              <w:t> </w:t>
            </w:r>
          </w:p>
        </w:tc>
        <w:tc>
          <w:tcPr>
            <w:tcW w:w="175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5"/>
              <w:jc w:val="right"/>
              <w:rPr>
                <w:rFonts w:ascii="Arial" w:hAnsi="Arial" w:cs="Arial" w:eastAsia="Arial" w:hint="default"/>
                <w:sz w:val="21"/>
                <w:szCs w:val="21"/>
              </w:rPr>
            </w:pPr>
            <w:r>
              <w:rPr>
                <w:rFonts w:ascii="Arial"/>
                <w:spacing w:val="-1"/>
                <w:sz w:val="21"/>
              </w:rPr>
              <w:t>418,972,711.70</w:t>
            </w:r>
          </w:p>
        </w:tc>
        <w:tc>
          <w:tcPr>
            <w:tcW w:w="1711" w:type="dxa"/>
            <w:tcBorders>
              <w:top w:val="single" w:sz="4" w:space="0" w:color="41B7EE"/>
              <w:left w:val="single" w:sz="4" w:space="0" w:color="41B7EE"/>
              <w:bottom w:val="single" w:sz="4" w:space="0" w:color="41B7EE"/>
              <w:right w:val="single" w:sz="4" w:space="0" w:color="41B7EE"/>
            </w:tcBorders>
          </w:tcPr>
          <w:p>
            <w:pPr/>
          </w:p>
        </w:tc>
        <w:tc>
          <w:tcPr>
            <w:tcW w:w="171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left="191" w:right="0"/>
              <w:jc w:val="center"/>
              <w:rPr>
                <w:rFonts w:ascii="Arial" w:hAnsi="Arial" w:cs="Arial" w:eastAsia="Arial" w:hint="default"/>
                <w:sz w:val="21"/>
                <w:szCs w:val="21"/>
              </w:rPr>
            </w:pPr>
            <w:r>
              <w:rPr>
                <w:rFonts w:ascii="Arial"/>
                <w:sz w:val="21"/>
              </w:rPr>
              <w:t>418,972,711.70</w:t>
            </w:r>
          </w:p>
        </w:tc>
        <w:tc>
          <w:tcPr>
            <w:tcW w:w="175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437,854,707.75</w:t>
            </w:r>
          </w:p>
        </w:tc>
        <w:tc>
          <w:tcPr>
            <w:tcW w:w="1731" w:type="dxa"/>
            <w:tcBorders>
              <w:top w:val="single" w:sz="4" w:space="0" w:color="41B7EE"/>
              <w:left w:val="single" w:sz="4" w:space="0" w:color="41B7EE"/>
              <w:bottom w:val="single" w:sz="4" w:space="0" w:color="41B7EE"/>
              <w:right w:val="single" w:sz="4" w:space="0" w:color="41B7EE"/>
            </w:tcBorders>
          </w:tcPr>
          <w:p>
            <w:pPr/>
          </w:p>
        </w:tc>
        <w:tc>
          <w:tcPr>
            <w:tcW w:w="1714"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left="189" w:right="0"/>
              <w:jc w:val="center"/>
              <w:rPr>
                <w:rFonts w:ascii="Arial" w:hAnsi="Arial" w:cs="Arial" w:eastAsia="Arial" w:hint="default"/>
                <w:sz w:val="21"/>
                <w:szCs w:val="21"/>
              </w:rPr>
            </w:pPr>
            <w:r>
              <w:rPr>
                <w:rFonts w:ascii="Arial"/>
                <w:sz w:val="21"/>
              </w:rPr>
              <w:t>437,854,707.75</w:t>
            </w:r>
          </w:p>
        </w:tc>
      </w:tr>
      <w:tr>
        <w:trPr>
          <w:trHeight w:val="384" w:hRule="exact"/>
        </w:trPr>
        <w:tc>
          <w:tcPr>
            <w:tcW w:w="3567"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10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50"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50"/>
              <w:ind w:right="26"/>
              <w:jc w:val="right"/>
              <w:rPr>
                <w:rFonts w:ascii="Arial" w:hAnsi="Arial" w:cs="Arial" w:eastAsia="Arial" w:hint="default"/>
                <w:sz w:val="21"/>
                <w:szCs w:val="21"/>
              </w:rPr>
            </w:pPr>
            <w:r>
              <w:rPr>
                <w:rFonts w:ascii="Arial"/>
                <w:spacing w:val="-1"/>
                <w:sz w:val="21"/>
              </w:rPr>
              <w:t>1,276,399,877.11</w:t>
            </w:r>
          </w:p>
        </w:tc>
        <w:tc>
          <w:tcPr>
            <w:tcW w:w="1711"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50"/>
              <w:ind w:left="191" w:right="0"/>
              <w:jc w:val="center"/>
              <w:rPr>
                <w:rFonts w:ascii="Arial" w:hAnsi="Arial" w:cs="Arial" w:eastAsia="Arial" w:hint="default"/>
                <w:sz w:val="21"/>
                <w:szCs w:val="21"/>
              </w:rPr>
            </w:pPr>
            <w:r>
              <w:rPr>
                <w:rFonts w:ascii="Arial"/>
                <w:sz w:val="21"/>
              </w:rPr>
              <w:t>466,427,165.41</w:t>
            </w:r>
          </w:p>
        </w:tc>
        <w:tc>
          <w:tcPr>
            <w:tcW w:w="1712"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50"/>
              <w:ind w:left="191" w:right="0"/>
              <w:jc w:val="center"/>
              <w:rPr>
                <w:rFonts w:ascii="Arial" w:hAnsi="Arial" w:cs="Arial" w:eastAsia="Arial" w:hint="default"/>
                <w:sz w:val="21"/>
                <w:szCs w:val="21"/>
              </w:rPr>
            </w:pPr>
            <w:r>
              <w:rPr>
                <w:rFonts w:ascii="Arial"/>
                <w:sz w:val="21"/>
              </w:rPr>
              <w:t>809,972,711.70</w:t>
            </w:r>
          </w:p>
        </w:tc>
        <w:tc>
          <w:tcPr>
            <w:tcW w:w="1752"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50"/>
              <w:ind w:right="23"/>
              <w:jc w:val="right"/>
              <w:rPr>
                <w:rFonts w:ascii="Arial" w:hAnsi="Arial" w:cs="Arial" w:eastAsia="Arial" w:hint="default"/>
                <w:sz w:val="21"/>
                <w:szCs w:val="21"/>
              </w:rPr>
            </w:pPr>
            <w:r>
              <w:rPr>
                <w:rFonts w:ascii="Arial"/>
                <w:spacing w:val="-1"/>
                <w:sz w:val="21"/>
              </w:rPr>
              <w:t>1,295,281,873.16</w:t>
            </w:r>
          </w:p>
        </w:tc>
        <w:tc>
          <w:tcPr>
            <w:tcW w:w="1731"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50"/>
              <w:ind w:left="210" w:right="0"/>
              <w:jc w:val="center"/>
              <w:rPr>
                <w:rFonts w:ascii="Arial" w:hAnsi="Arial" w:cs="Arial" w:eastAsia="Arial" w:hint="default"/>
                <w:sz w:val="21"/>
                <w:szCs w:val="21"/>
              </w:rPr>
            </w:pPr>
            <w:r>
              <w:rPr>
                <w:rFonts w:ascii="Arial"/>
                <w:sz w:val="21"/>
              </w:rPr>
              <w:t>436,427,165.41</w:t>
            </w:r>
          </w:p>
        </w:tc>
        <w:tc>
          <w:tcPr>
            <w:tcW w:w="1714"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50"/>
              <w:ind w:left="189" w:right="0"/>
              <w:jc w:val="center"/>
              <w:rPr>
                <w:rFonts w:ascii="Arial" w:hAnsi="Arial" w:cs="Arial" w:eastAsia="Arial" w:hint="default"/>
                <w:sz w:val="21"/>
                <w:szCs w:val="21"/>
              </w:rPr>
            </w:pPr>
            <w:r>
              <w:rPr>
                <w:rFonts w:ascii="Arial"/>
                <w:sz w:val="21"/>
              </w:rPr>
              <w:t>858,854,707.75</w:t>
            </w:r>
          </w:p>
        </w:tc>
      </w:tr>
    </w:tbl>
    <w:p>
      <w:pPr>
        <w:spacing w:after="0" w:line="240" w:lineRule="auto"/>
        <w:jc w:val="center"/>
        <w:rPr>
          <w:rFonts w:ascii="Arial" w:hAnsi="Arial" w:cs="Arial" w:eastAsia="Arial" w:hint="default"/>
          <w:sz w:val="21"/>
          <w:szCs w:val="21"/>
        </w:rPr>
        <w:sectPr>
          <w:type w:val="continuous"/>
          <w:pgSz w:w="16840" w:h="11910" w:orient="landscape"/>
          <w:pgMar w:top="1360" w:bottom="1380" w:left="1200" w:right="1240"/>
        </w:sectPr>
      </w:pPr>
    </w:p>
    <w:p>
      <w:pPr>
        <w:pStyle w:val="BodyText"/>
        <w:spacing w:line="259" w:lineRule="exact"/>
        <w:ind w:left="240" w:right="0"/>
        <w:jc w:val="left"/>
        <w:rPr>
          <w:rFonts w:ascii="宋体" w:hAnsi="宋体" w:cs="宋体" w:eastAsia="宋体" w:hint="default"/>
        </w:rPr>
      </w:pPr>
      <w:r>
        <w:rPr>
          <w:rFonts w:ascii="宋体"/>
          <w:w w:val="100"/>
        </w:rPr>
        <w:t> </w:t>
      </w:r>
    </w:p>
    <w:p>
      <w:pPr>
        <w:pStyle w:val="Heading2"/>
        <w:spacing w:line="240" w:lineRule="auto" w:before="58"/>
        <w:ind w:left="240"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对子公司投资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24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360" w:bottom="1380" w:left="1200" w:right="1240"/>
          <w:cols w:num="2" w:equalWidth="0">
            <w:col w:w="2139" w:space="9423"/>
            <w:col w:w="283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443"/>
        <w:gridCol w:w="1891"/>
        <w:gridCol w:w="1150"/>
        <w:gridCol w:w="1212"/>
        <w:gridCol w:w="1855"/>
        <w:gridCol w:w="1683"/>
        <w:gridCol w:w="1855"/>
      </w:tblGrid>
      <w:tr>
        <w:trPr>
          <w:trHeight w:val="581" w:hRule="exact"/>
        </w:trPr>
        <w:tc>
          <w:tcPr>
            <w:tcW w:w="4443"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105"/>
              <w:ind w:left="107" w:right="0"/>
              <w:jc w:val="center"/>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891"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105"/>
              <w:ind w:left="52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150"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105"/>
              <w:ind w:left="148"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212"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105"/>
              <w:ind w:left="180"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55"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105"/>
              <w:ind w:left="50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683" w:type="dxa"/>
            <w:tcBorders>
              <w:top w:val="single" w:sz="23" w:space="0" w:color="41B7EE"/>
              <w:left w:val="single" w:sz="4" w:space="0" w:color="41B7EE"/>
              <w:bottom w:val="single" w:sz="4" w:space="0" w:color="41B7EE"/>
              <w:right w:val="single" w:sz="4" w:space="0" w:color="41B7EE"/>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本期计提减值</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855" w:type="dxa"/>
            <w:tcBorders>
              <w:top w:val="single" w:sz="23" w:space="0" w:color="41B7EE"/>
              <w:left w:val="single" w:sz="4" w:space="0" w:color="41B7EE"/>
              <w:bottom w:val="single" w:sz="4" w:space="0" w:color="41B7EE"/>
              <w:right w:val="nil" w:sz="6" w:space="0" w:color="auto"/>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减值准备期末余</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r>
      <w:tr>
        <w:trPr>
          <w:trHeight w:val="358" w:hRule="exact"/>
        </w:trPr>
        <w:tc>
          <w:tcPr>
            <w:tcW w:w="444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北大荒鑫都建筑工程有限公司</w:t>
            </w:r>
            <w:r>
              <w:rPr>
                <w:rFonts w:ascii="宋体" w:hAnsi="宋体" w:cs="宋体" w:eastAsia="宋体" w:hint="default"/>
                <w:sz w:val="21"/>
                <w:szCs w:val="21"/>
              </w:rPr>
              <w:t> </w:t>
            </w: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30,000,000.00</w:t>
            </w:r>
          </w:p>
        </w:tc>
        <w:tc>
          <w:tcPr>
            <w:tcW w:w="1150" w:type="dxa"/>
            <w:tcBorders>
              <w:top w:val="single" w:sz="4" w:space="0" w:color="41B7EE"/>
              <w:left w:val="single" w:sz="4" w:space="0" w:color="41B7EE"/>
              <w:bottom w:val="single" w:sz="4" w:space="0" w:color="41B7EE"/>
              <w:right w:val="single" w:sz="4" w:space="0" w:color="41B7EE"/>
            </w:tcBorders>
          </w:tcPr>
          <w:p>
            <w:pPr/>
          </w:p>
        </w:tc>
        <w:tc>
          <w:tcPr>
            <w:tcW w:w="1212" w:type="dxa"/>
            <w:tcBorders>
              <w:top w:val="single" w:sz="4" w:space="0" w:color="41B7EE"/>
              <w:left w:val="single" w:sz="4" w:space="0" w:color="41B7EE"/>
              <w:bottom w:val="single" w:sz="4" w:space="0" w:color="41B7EE"/>
              <w:right w:val="single" w:sz="4" w:space="0" w:color="41B7EE"/>
            </w:tcBorders>
          </w:tcPr>
          <w:p>
            <w:pPr/>
          </w:p>
        </w:tc>
        <w:tc>
          <w:tcPr>
            <w:tcW w:w="18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30,000,000.00</w:t>
            </w:r>
          </w:p>
        </w:tc>
        <w:tc>
          <w:tcPr>
            <w:tcW w:w="1683" w:type="dxa"/>
            <w:tcBorders>
              <w:top w:val="single" w:sz="4" w:space="0" w:color="41B7EE"/>
              <w:left w:val="single" w:sz="4" w:space="0" w:color="41B7EE"/>
              <w:bottom w:val="single" w:sz="4" w:space="0" w:color="41B7EE"/>
              <w:right w:val="single" w:sz="4" w:space="0" w:color="41B7EE"/>
            </w:tcBorders>
          </w:tcPr>
          <w:p>
            <w:pPr/>
          </w:p>
        </w:tc>
        <w:tc>
          <w:tcPr>
            <w:tcW w:w="1855"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444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北大荒鑫都房地产开发有限公司</w:t>
            </w:r>
            <w:r>
              <w:rPr>
                <w:rFonts w:ascii="宋体" w:hAnsi="宋体" w:cs="宋体" w:eastAsia="宋体" w:hint="default"/>
                <w:sz w:val="21"/>
                <w:szCs w:val="21"/>
              </w:rPr>
              <w:t> </w:t>
            </w: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30,000,000.00</w:t>
            </w:r>
          </w:p>
        </w:tc>
        <w:tc>
          <w:tcPr>
            <w:tcW w:w="1150" w:type="dxa"/>
            <w:tcBorders>
              <w:top w:val="single" w:sz="4" w:space="0" w:color="41B7EE"/>
              <w:left w:val="single" w:sz="4" w:space="0" w:color="41B7EE"/>
              <w:bottom w:val="single" w:sz="4" w:space="0" w:color="41B7EE"/>
              <w:right w:val="single" w:sz="4" w:space="0" w:color="41B7EE"/>
            </w:tcBorders>
          </w:tcPr>
          <w:p>
            <w:pPr/>
          </w:p>
        </w:tc>
        <w:tc>
          <w:tcPr>
            <w:tcW w:w="1212" w:type="dxa"/>
            <w:tcBorders>
              <w:top w:val="single" w:sz="4" w:space="0" w:color="41B7EE"/>
              <w:left w:val="single" w:sz="4" w:space="0" w:color="41B7EE"/>
              <w:bottom w:val="single" w:sz="4" w:space="0" w:color="41B7EE"/>
              <w:right w:val="single" w:sz="4" w:space="0" w:color="41B7EE"/>
            </w:tcBorders>
          </w:tcPr>
          <w:p>
            <w:pPr/>
          </w:p>
        </w:tc>
        <w:tc>
          <w:tcPr>
            <w:tcW w:w="18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30,000,000.00</w:t>
            </w:r>
          </w:p>
        </w:tc>
        <w:tc>
          <w:tcPr>
            <w:tcW w:w="168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left="123" w:right="0"/>
              <w:jc w:val="center"/>
              <w:rPr>
                <w:rFonts w:ascii="Arial" w:hAnsi="Arial" w:cs="Arial" w:eastAsia="Arial" w:hint="default"/>
                <w:sz w:val="21"/>
                <w:szCs w:val="21"/>
              </w:rPr>
            </w:pPr>
            <w:r>
              <w:rPr>
                <w:rFonts w:ascii="Arial"/>
                <w:sz w:val="21"/>
              </w:rPr>
              <w:t>30,000,000.00</w:t>
            </w:r>
          </w:p>
        </w:tc>
        <w:tc>
          <w:tcPr>
            <w:tcW w:w="185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30,000,000.00</w:t>
            </w:r>
          </w:p>
        </w:tc>
      </w:tr>
      <w:tr>
        <w:trPr>
          <w:trHeight w:val="355" w:hRule="exact"/>
        </w:trPr>
        <w:tc>
          <w:tcPr>
            <w:tcW w:w="444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黑龙江北大荒投资管理有限公司</w:t>
            </w:r>
            <w:r>
              <w:rPr>
                <w:rFonts w:ascii="宋体" w:hAnsi="宋体" w:cs="宋体" w:eastAsia="宋体" w:hint="default"/>
                <w:sz w:val="21"/>
                <w:szCs w:val="21"/>
              </w:rPr>
              <w:t> </w:t>
            </w: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61,000,000.00</w:t>
            </w:r>
          </w:p>
        </w:tc>
        <w:tc>
          <w:tcPr>
            <w:tcW w:w="1150" w:type="dxa"/>
            <w:tcBorders>
              <w:top w:val="single" w:sz="4" w:space="0" w:color="41B7EE"/>
              <w:left w:val="single" w:sz="4" w:space="0" w:color="41B7EE"/>
              <w:bottom w:val="single" w:sz="4" w:space="0" w:color="41B7EE"/>
              <w:right w:val="single" w:sz="4" w:space="0" w:color="41B7EE"/>
            </w:tcBorders>
          </w:tcPr>
          <w:p>
            <w:pPr/>
          </w:p>
        </w:tc>
        <w:tc>
          <w:tcPr>
            <w:tcW w:w="1212" w:type="dxa"/>
            <w:tcBorders>
              <w:top w:val="single" w:sz="4" w:space="0" w:color="41B7EE"/>
              <w:left w:val="single" w:sz="4" w:space="0" w:color="41B7EE"/>
              <w:bottom w:val="single" w:sz="4" w:space="0" w:color="41B7EE"/>
              <w:right w:val="single" w:sz="4" w:space="0" w:color="41B7EE"/>
            </w:tcBorders>
          </w:tcPr>
          <w:p>
            <w:pPr/>
          </w:p>
        </w:tc>
        <w:tc>
          <w:tcPr>
            <w:tcW w:w="18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61,000,000.00</w:t>
            </w:r>
          </w:p>
        </w:tc>
        <w:tc>
          <w:tcPr>
            <w:tcW w:w="1683" w:type="dxa"/>
            <w:tcBorders>
              <w:top w:val="single" w:sz="4" w:space="0" w:color="41B7EE"/>
              <w:left w:val="single" w:sz="4" w:space="0" w:color="41B7EE"/>
              <w:bottom w:val="single" w:sz="4" w:space="0" w:color="41B7EE"/>
              <w:right w:val="single" w:sz="4" w:space="0" w:color="41B7EE"/>
            </w:tcBorders>
          </w:tcPr>
          <w:p>
            <w:pPr/>
          </w:p>
        </w:tc>
        <w:tc>
          <w:tcPr>
            <w:tcW w:w="1855"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444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北大荒鑫亚经贸有限责任公司</w:t>
            </w:r>
            <w:r>
              <w:rPr>
                <w:rFonts w:ascii="宋体" w:hAnsi="宋体" w:cs="宋体" w:eastAsia="宋体" w:hint="default"/>
                <w:sz w:val="21"/>
                <w:szCs w:val="21"/>
              </w:rPr>
              <w:t> </w:t>
            </w: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24,500,000.00</w:t>
            </w:r>
          </w:p>
        </w:tc>
        <w:tc>
          <w:tcPr>
            <w:tcW w:w="1150" w:type="dxa"/>
            <w:tcBorders>
              <w:top w:val="single" w:sz="4" w:space="0" w:color="41B7EE"/>
              <w:left w:val="single" w:sz="4" w:space="0" w:color="41B7EE"/>
              <w:bottom w:val="single" w:sz="4" w:space="0" w:color="41B7EE"/>
              <w:right w:val="single" w:sz="4" w:space="0" w:color="41B7EE"/>
            </w:tcBorders>
          </w:tcPr>
          <w:p>
            <w:pPr/>
          </w:p>
        </w:tc>
        <w:tc>
          <w:tcPr>
            <w:tcW w:w="1212" w:type="dxa"/>
            <w:tcBorders>
              <w:top w:val="single" w:sz="4" w:space="0" w:color="41B7EE"/>
              <w:left w:val="single" w:sz="4" w:space="0" w:color="41B7EE"/>
              <w:bottom w:val="single" w:sz="4" w:space="0" w:color="41B7EE"/>
              <w:right w:val="single" w:sz="4" w:space="0" w:color="41B7EE"/>
            </w:tcBorders>
          </w:tcPr>
          <w:p>
            <w:pPr/>
          </w:p>
        </w:tc>
        <w:tc>
          <w:tcPr>
            <w:tcW w:w="18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24,500,000.00</w:t>
            </w:r>
          </w:p>
        </w:tc>
        <w:tc>
          <w:tcPr>
            <w:tcW w:w="1683" w:type="dxa"/>
            <w:tcBorders>
              <w:top w:val="single" w:sz="4" w:space="0" w:color="41B7EE"/>
              <w:left w:val="single" w:sz="4" w:space="0" w:color="41B7EE"/>
              <w:bottom w:val="single" w:sz="4" w:space="0" w:color="41B7EE"/>
              <w:right w:val="single" w:sz="4" w:space="0" w:color="41B7EE"/>
            </w:tcBorders>
          </w:tcPr>
          <w:p>
            <w:pPr/>
          </w:p>
        </w:tc>
        <w:tc>
          <w:tcPr>
            <w:tcW w:w="185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24,500,000.00</w:t>
            </w:r>
          </w:p>
        </w:tc>
      </w:tr>
      <w:tr>
        <w:trPr>
          <w:trHeight w:val="358" w:hRule="exact"/>
        </w:trPr>
        <w:tc>
          <w:tcPr>
            <w:tcW w:w="444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黑龙江北大荒纸业有限责任公司</w:t>
            </w:r>
            <w:r>
              <w:rPr>
                <w:rFonts w:ascii="宋体" w:hAnsi="宋体" w:cs="宋体" w:eastAsia="宋体" w:hint="default"/>
                <w:sz w:val="21"/>
                <w:szCs w:val="21"/>
              </w:rPr>
              <w:t> </w:t>
            </w: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189,201,103.91</w:t>
            </w:r>
          </w:p>
        </w:tc>
        <w:tc>
          <w:tcPr>
            <w:tcW w:w="1150" w:type="dxa"/>
            <w:tcBorders>
              <w:top w:val="single" w:sz="4" w:space="0" w:color="41B7EE"/>
              <w:left w:val="single" w:sz="4" w:space="0" w:color="41B7EE"/>
              <w:bottom w:val="single" w:sz="4" w:space="0" w:color="41B7EE"/>
              <w:right w:val="single" w:sz="4" w:space="0" w:color="41B7EE"/>
            </w:tcBorders>
          </w:tcPr>
          <w:p>
            <w:pPr/>
          </w:p>
        </w:tc>
        <w:tc>
          <w:tcPr>
            <w:tcW w:w="1212" w:type="dxa"/>
            <w:tcBorders>
              <w:top w:val="single" w:sz="4" w:space="0" w:color="41B7EE"/>
              <w:left w:val="single" w:sz="4" w:space="0" w:color="41B7EE"/>
              <w:bottom w:val="single" w:sz="4" w:space="0" w:color="41B7EE"/>
              <w:right w:val="single" w:sz="4" w:space="0" w:color="41B7EE"/>
            </w:tcBorders>
          </w:tcPr>
          <w:p>
            <w:pPr/>
          </w:p>
        </w:tc>
        <w:tc>
          <w:tcPr>
            <w:tcW w:w="18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189,201,103.91</w:t>
            </w:r>
          </w:p>
        </w:tc>
        <w:tc>
          <w:tcPr>
            <w:tcW w:w="1683" w:type="dxa"/>
            <w:tcBorders>
              <w:top w:val="single" w:sz="4" w:space="0" w:color="41B7EE"/>
              <w:left w:val="single" w:sz="4" w:space="0" w:color="41B7EE"/>
              <w:bottom w:val="single" w:sz="4" w:space="0" w:color="41B7EE"/>
              <w:right w:val="single" w:sz="4" w:space="0" w:color="41B7EE"/>
            </w:tcBorders>
          </w:tcPr>
          <w:p>
            <w:pPr/>
          </w:p>
        </w:tc>
        <w:tc>
          <w:tcPr>
            <w:tcW w:w="185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189,201,103.91</w:t>
            </w:r>
          </w:p>
        </w:tc>
      </w:tr>
      <w:tr>
        <w:trPr>
          <w:trHeight w:val="358" w:hRule="exact"/>
        </w:trPr>
        <w:tc>
          <w:tcPr>
            <w:tcW w:w="444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北大荒龙垦麦芽有限公司</w:t>
            </w:r>
            <w:r>
              <w:rPr>
                <w:rFonts w:ascii="宋体" w:hAnsi="宋体" w:cs="宋体" w:eastAsia="宋体" w:hint="default"/>
                <w:sz w:val="21"/>
                <w:szCs w:val="21"/>
              </w:rPr>
              <w:t> </w:t>
            </w: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222,726,061.50</w:t>
            </w:r>
          </w:p>
        </w:tc>
        <w:tc>
          <w:tcPr>
            <w:tcW w:w="1150" w:type="dxa"/>
            <w:tcBorders>
              <w:top w:val="single" w:sz="4" w:space="0" w:color="41B7EE"/>
              <w:left w:val="single" w:sz="4" w:space="0" w:color="41B7EE"/>
              <w:bottom w:val="single" w:sz="4" w:space="0" w:color="41B7EE"/>
              <w:right w:val="single" w:sz="4" w:space="0" w:color="41B7EE"/>
            </w:tcBorders>
          </w:tcPr>
          <w:p>
            <w:pPr/>
          </w:p>
        </w:tc>
        <w:tc>
          <w:tcPr>
            <w:tcW w:w="1212" w:type="dxa"/>
            <w:tcBorders>
              <w:top w:val="single" w:sz="4" w:space="0" w:color="41B7EE"/>
              <w:left w:val="single" w:sz="4" w:space="0" w:color="41B7EE"/>
              <w:bottom w:val="single" w:sz="4" w:space="0" w:color="41B7EE"/>
              <w:right w:val="single" w:sz="4" w:space="0" w:color="41B7EE"/>
            </w:tcBorders>
          </w:tcPr>
          <w:p>
            <w:pPr/>
          </w:p>
        </w:tc>
        <w:tc>
          <w:tcPr>
            <w:tcW w:w="18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222,726,061.50</w:t>
            </w:r>
          </w:p>
        </w:tc>
        <w:tc>
          <w:tcPr>
            <w:tcW w:w="1683" w:type="dxa"/>
            <w:tcBorders>
              <w:top w:val="single" w:sz="4" w:space="0" w:color="41B7EE"/>
              <w:left w:val="single" w:sz="4" w:space="0" w:color="41B7EE"/>
              <w:bottom w:val="single" w:sz="4" w:space="0" w:color="41B7EE"/>
              <w:right w:val="single" w:sz="4" w:space="0" w:color="41B7EE"/>
            </w:tcBorders>
          </w:tcPr>
          <w:p>
            <w:pPr/>
          </w:p>
        </w:tc>
        <w:tc>
          <w:tcPr>
            <w:tcW w:w="185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222,726,061.50</w:t>
            </w:r>
          </w:p>
        </w:tc>
      </w:tr>
      <w:tr>
        <w:trPr>
          <w:trHeight w:val="356" w:hRule="exact"/>
        </w:trPr>
        <w:tc>
          <w:tcPr>
            <w:tcW w:w="4443"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黑龙江宝泉岭农垦四方山石墨产业有限公司</w:t>
            </w:r>
            <w:r>
              <w:rPr>
                <w:rFonts w:ascii="宋体" w:hAnsi="宋体" w:cs="宋体" w:eastAsia="宋体" w:hint="default"/>
                <w:sz w:val="21"/>
                <w:szCs w:val="21"/>
              </w:rPr>
              <w:t> </w:t>
            </w:r>
          </w:p>
        </w:tc>
        <w:tc>
          <w:tcPr>
            <w:tcW w:w="189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300,000,000.00</w:t>
            </w:r>
          </w:p>
        </w:tc>
        <w:tc>
          <w:tcPr>
            <w:tcW w:w="1150" w:type="dxa"/>
            <w:tcBorders>
              <w:top w:val="single" w:sz="4" w:space="0" w:color="41B7EE"/>
              <w:left w:val="single" w:sz="4" w:space="0" w:color="41B7EE"/>
              <w:bottom w:val="single" w:sz="4" w:space="0" w:color="41B7EE"/>
              <w:right w:val="single" w:sz="4" w:space="0" w:color="41B7EE"/>
            </w:tcBorders>
          </w:tcPr>
          <w:p>
            <w:pPr/>
          </w:p>
        </w:tc>
        <w:tc>
          <w:tcPr>
            <w:tcW w:w="1212" w:type="dxa"/>
            <w:tcBorders>
              <w:top w:val="single" w:sz="4" w:space="0" w:color="41B7EE"/>
              <w:left w:val="single" w:sz="4" w:space="0" w:color="41B7EE"/>
              <w:bottom w:val="single" w:sz="4" w:space="0" w:color="41B7EE"/>
              <w:right w:val="single" w:sz="4" w:space="0" w:color="41B7EE"/>
            </w:tcBorders>
          </w:tcPr>
          <w:p>
            <w:pPr/>
          </w:p>
        </w:tc>
        <w:tc>
          <w:tcPr>
            <w:tcW w:w="1855"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300,000,000.00</w:t>
            </w:r>
          </w:p>
        </w:tc>
        <w:tc>
          <w:tcPr>
            <w:tcW w:w="1683" w:type="dxa"/>
            <w:tcBorders>
              <w:top w:val="single" w:sz="4" w:space="0" w:color="41B7EE"/>
              <w:left w:val="single" w:sz="4" w:space="0" w:color="41B7EE"/>
              <w:bottom w:val="single" w:sz="4" w:space="0" w:color="41B7EE"/>
              <w:right w:val="single" w:sz="4" w:space="0" w:color="41B7EE"/>
            </w:tcBorders>
          </w:tcPr>
          <w:p>
            <w:pPr/>
          </w:p>
        </w:tc>
        <w:tc>
          <w:tcPr>
            <w:tcW w:w="1855" w:type="dxa"/>
            <w:tcBorders>
              <w:top w:val="single" w:sz="4" w:space="0" w:color="41B7EE"/>
              <w:left w:val="single" w:sz="4" w:space="0" w:color="41B7EE"/>
              <w:bottom w:val="single" w:sz="4" w:space="0" w:color="41B7EE"/>
              <w:right w:val="nil" w:sz="6" w:space="0" w:color="auto"/>
            </w:tcBorders>
          </w:tcPr>
          <w:p>
            <w:pPr/>
          </w:p>
        </w:tc>
      </w:tr>
      <w:tr>
        <w:trPr>
          <w:trHeight w:val="365" w:hRule="exact"/>
        </w:trPr>
        <w:tc>
          <w:tcPr>
            <w:tcW w:w="4443"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4"/>
              <w:ind w:left="11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1"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857,427,165.41</w:t>
            </w:r>
          </w:p>
        </w:tc>
        <w:tc>
          <w:tcPr>
            <w:tcW w:w="1150" w:type="dxa"/>
            <w:tcBorders>
              <w:top w:val="single" w:sz="4" w:space="0" w:color="41B7EE"/>
              <w:left w:val="single" w:sz="4" w:space="0" w:color="41B7EE"/>
              <w:bottom w:val="single" w:sz="8" w:space="0" w:color="41B7EE"/>
              <w:right w:val="single" w:sz="4" w:space="0" w:color="41B7EE"/>
            </w:tcBorders>
          </w:tcPr>
          <w:p>
            <w:pPr/>
          </w:p>
        </w:tc>
        <w:tc>
          <w:tcPr>
            <w:tcW w:w="1212" w:type="dxa"/>
            <w:tcBorders>
              <w:top w:val="single" w:sz="4" w:space="0" w:color="41B7EE"/>
              <w:left w:val="single" w:sz="4" w:space="0" w:color="41B7EE"/>
              <w:bottom w:val="single" w:sz="8" w:space="0" w:color="41B7EE"/>
              <w:right w:val="single" w:sz="4" w:space="0" w:color="41B7EE"/>
            </w:tcBorders>
          </w:tcPr>
          <w:p>
            <w:pPr/>
          </w:p>
        </w:tc>
        <w:tc>
          <w:tcPr>
            <w:tcW w:w="1855"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857,427,165.41</w:t>
            </w:r>
          </w:p>
        </w:tc>
        <w:tc>
          <w:tcPr>
            <w:tcW w:w="1683"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0"/>
              <w:ind w:left="123" w:right="0"/>
              <w:jc w:val="center"/>
              <w:rPr>
                <w:rFonts w:ascii="Arial" w:hAnsi="Arial" w:cs="Arial" w:eastAsia="Arial" w:hint="default"/>
                <w:sz w:val="21"/>
                <w:szCs w:val="21"/>
              </w:rPr>
            </w:pPr>
            <w:r>
              <w:rPr>
                <w:rFonts w:ascii="Arial"/>
                <w:sz w:val="21"/>
              </w:rPr>
              <w:t>30,000,000.00</w:t>
            </w:r>
          </w:p>
        </w:tc>
        <w:tc>
          <w:tcPr>
            <w:tcW w:w="1855"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466,427,165.41</w:t>
            </w:r>
          </w:p>
        </w:tc>
      </w:tr>
    </w:tbl>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705.5pt;height:1pt;mso-position-horizontal-relative:char;mso-position-vertical-relative:line" coordorigin="0,0" coordsize="14110,20">
            <v:group style="position:absolute;left:10;top:10;width:4439;height:2" coordorigin="10,10" coordsize="4439,2">
              <v:shape style="position:absolute;left:10;top:10;width:4439;height:2" coordorigin="10,10" coordsize="4439,0" path="m10,10l4448,10e" filled="false" stroked="true" strokeweight=".95999pt" strokecolor="#41b7ee">
                <v:path arrowok="t"/>
              </v:shape>
            </v:group>
            <v:group style="position:absolute;left:4448;top:10;width:58;height:2" coordorigin="4448,10" coordsize="58,2">
              <v:shape style="position:absolute;left:4448;top:10;width:58;height:2" coordorigin="4448,10" coordsize="58,0" path="m4448,10l4506,10e" filled="false" stroked="true" strokeweight=".95999pt" strokecolor="#41b7ee">
                <v:path arrowok="t"/>
              </v:shape>
            </v:group>
            <v:group style="position:absolute;left:4506;top:10;width:1834;height:2" coordorigin="4506,10" coordsize="1834,2">
              <v:shape style="position:absolute;left:4506;top:10;width:1834;height:2" coordorigin="4506,10" coordsize="1834,0" path="m4506,10l6339,10e" filled="false" stroked="true" strokeweight=".95999pt" strokecolor="#41b7ee">
                <v:path arrowok="t"/>
              </v:shape>
            </v:group>
            <v:group style="position:absolute;left:6339;top:10;width:58;height:2" coordorigin="6339,10" coordsize="58,2">
              <v:shape style="position:absolute;left:6339;top:10;width:58;height:2" coordorigin="6339,10" coordsize="58,0" path="m6339,10l6397,10e" filled="false" stroked="true" strokeweight=".95999pt" strokecolor="#41b7ee">
                <v:path arrowok="t"/>
              </v:shape>
            </v:group>
            <v:group style="position:absolute;left:6397;top:10;width:1093;height:2" coordorigin="6397,10" coordsize="1093,2">
              <v:shape style="position:absolute;left:6397;top:10;width:1093;height:2" coordorigin="6397,10" coordsize="1093,0" path="m6397,10l7489,10e" filled="false" stroked="true" strokeweight=".95999pt" strokecolor="#41b7ee">
                <v:path arrowok="t"/>
              </v:shape>
            </v:group>
            <v:group style="position:absolute;left:7489;top:10;width:58;height:2" coordorigin="7489,10" coordsize="58,2">
              <v:shape style="position:absolute;left:7489;top:10;width:58;height:2" coordorigin="7489,10" coordsize="58,0" path="m7489,10l7547,10e" filled="false" stroked="true" strokeweight=".95999pt" strokecolor="#41b7ee">
                <v:path arrowok="t"/>
              </v:shape>
            </v:group>
            <v:group style="position:absolute;left:7547;top:10;width:1155;height:2" coordorigin="7547,10" coordsize="1155,2">
              <v:shape style="position:absolute;left:7547;top:10;width:1155;height:2" coordorigin="7547,10" coordsize="1155,0" path="m7547,10l8701,10e" filled="false" stroked="true" strokeweight=".95999pt" strokecolor="#41b7ee">
                <v:path arrowok="t"/>
              </v:shape>
            </v:group>
            <v:group style="position:absolute;left:8701;top:10;width:58;height:2" coordorigin="8701,10" coordsize="58,2">
              <v:shape style="position:absolute;left:8701;top:10;width:58;height:2" coordorigin="8701,10" coordsize="58,0" path="m8701,10l8759,10e" filled="false" stroked="true" strokeweight=".95999pt" strokecolor="#41b7ee">
                <v:path arrowok="t"/>
              </v:shape>
            </v:group>
            <v:group style="position:absolute;left:8759;top:10;width:1798;height:2" coordorigin="8759,10" coordsize="1798,2">
              <v:shape style="position:absolute;left:8759;top:10;width:1798;height:2" coordorigin="8759,10" coordsize="1798,0" path="m8759,10l10557,10e" filled="false" stroked="true" strokeweight=".95999pt" strokecolor="#41b7ee">
                <v:path arrowok="t"/>
              </v:shape>
            </v:group>
            <v:group style="position:absolute;left:10557;top:10;width:58;height:2" coordorigin="10557,10" coordsize="58,2">
              <v:shape style="position:absolute;left:10557;top:10;width:58;height:2" coordorigin="10557,10" coordsize="58,0" path="m10557,10l10614,10e" filled="false" stroked="true" strokeweight=".95999pt" strokecolor="#41b7ee">
                <v:path arrowok="t"/>
              </v:shape>
            </v:group>
            <v:group style="position:absolute;left:10614;top:10;width:1626;height:2" coordorigin="10614,10" coordsize="1626,2">
              <v:shape style="position:absolute;left:10614;top:10;width:1626;height:2" coordorigin="10614,10" coordsize="1626,0" path="m10614,10l12239,10e" filled="false" stroked="true" strokeweight=".95999pt" strokecolor="#41b7ee">
                <v:path arrowok="t"/>
              </v:shape>
            </v:group>
            <v:group style="position:absolute;left:12240;top:10;width:58;height:2" coordorigin="12240,10" coordsize="58,2">
              <v:shape style="position:absolute;left:12240;top:10;width:58;height:2" coordorigin="12240,10" coordsize="58,0" path="m12240,10l12297,10e" filled="false" stroked="true" strokeweight=".95999pt" strokecolor="#41b7ee">
                <v:path arrowok="t"/>
              </v:shape>
            </v:group>
            <v:group style="position:absolute;left:12297;top:10;width:1803;height:2" coordorigin="12297,10" coordsize="1803,2">
              <v:shape style="position:absolute;left:12297;top:10;width:1803;height:2" coordorigin="12297,10" coordsize="1803,0" path="m12297,10l14100,10e" filled="false" stroked="true" strokeweight=".95999pt" strokecolor="#41b7ee">
                <v:path arrowok="t"/>
              </v:shape>
            </v:group>
          </v:group>
        </w:pict>
      </w:r>
      <w:r>
        <w:rPr>
          <w:rFonts w:ascii="宋体" w:hAnsi="宋体" w:cs="宋体" w:eastAsia="宋体" w:hint="default"/>
          <w:sz w:val="2"/>
          <w:szCs w:val="2"/>
        </w:rPr>
      </w:r>
    </w:p>
    <w:p>
      <w:pPr>
        <w:pStyle w:val="BodyText"/>
        <w:spacing w:line="258" w:lineRule="exact"/>
        <w:ind w:left="240" w:right="0"/>
        <w:jc w:val="left"/>
        <w:rPr>
          <w:rFonts w:ascii="宋体" w:hAnsi="宋体" w:cs="宋体" w:eastAsia="宋体" w:hint="default"/>
        </w:rPr>
      </w:pPr>
      <w:r>
        <w:rPr>
          <w:rFonts w:ascii="宋体"/>
          <w:w w:val="100"/>
        </w:rPr>
        <w:t> </w:t>
      </w:r>
    </w:p>
    <w:p>
      <w:pPr>
        <w:pStyle w:val="BodyText"/>
        <w:spacing w:line="274" w:lineRule="exact"/>
        <w:ind w:left="240"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6840" w:h="11910" w:orient="landscape"/>
          <w:pgMar w:top="1360" w:bottom="1380" w:left="1200" w:right="1240"/>
        </w:sectPr>
      </w:pP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6840" w:h="11910" w:orient="landscape"/>
          <w:pgMar w:header="826" w:footer="1195" w:top="1360" w:bottom="1380" w:left="1300" w:right="1300"/>
        </w:sectPr>
      </w:pPr>
    </w:p>
    <w:p>
      <w:pPr>
        <w:pStyle w:val="Heading2"/>
        <w:spacing w:line="240" w:lineRule="auto" w:before="36"/>
        <w:ind w:left="140"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对联营、合营企业投资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4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360" w:bottom="1380" w:left="1300" w:right="1300"/>
          <w:cols w:num="2" w:equalWidth="0">
            <w:col w:w="2882" w:space="8681"/>
            <w:col w:w="2677"/>
          </w:cols>
        </w:sectPr>
      </w:pPr>
    </w:p>
    <w:p>
      <w:pPr>
        <w:spacing w:line="240" w:lineRule="auto" w:before="4"/>
        <w:rPr>
          <w:rFonts w:ascii="宋体" w:hAnsi="宋体" w:cs="宋体" w:eastAsia="宋体" w:hint="default"/>
          <w:sz w:val="2"/>
          <w:szCs w:val="2"/>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697.55pt;height:1pt;mso-position-horizontal-relative:char;mso-position-vertical-relative:line" coordorigin="0,0" coordsize="13951,20">
            <v:group style="position:absolute;left:10;top:10;width:3865;height:2" coordorigin="10,10" coordsize="3865,2">
              <v:shape style="position:absolute;left:10;top:10;width:3865;height:2" coordorigin="10,10" coordsize="3865,0" path="m10,10l3875,10e" filled="false" stroked="true" strokeweight=".96001pt" strokecolor="#41b7ee">
                <v:path arrowok="t"/>
              </v:shape>
            </v:group>
            <v:group style="position:absolute;left:3875;top:10;width:58;height:2" coordorigin="3875,10" coordsize="58,2">
              <v:shape style="position:absolute;left:3875;top:10;width:58;height:2" coordorigin="3875,10" coordsize="58,0" path="m3875,10l3932,10e" filled="false" stroked="true" strokeweight=".96001pt" strokecolor="#41b7ee">
                <v:path arrowok="t"/>
              </v:shape>
            </v:group>
            <v:group style="position:absolute;left:3932;top:10;width:1812;height:2" coordorigin="3932,10" coordsize="1812,2">
              <v:shape style="position:absolute;left:3932;top:10;width:1812;height:2" coordorigin="3932,10" coordsize="1812,0" path="m3932,10l5744,10e" filled="false" stroked="true" strokeweight=".96001pt" strokecolor="#41b7ee">
                <v:path arrowok="t"/>
              </v:shape>
            </v:group>
            <v:group style="position:absolute;left:5744;top:10;width:58;height:2" coordorigin="5744,10" coordsize="58,2">
              <v:shape style="position:absolute;left:5744;top:10;width:58;height:2" coordorigin="5744,10" coordsize="58,0" path="m5744,10l5802,10e" filled="false" stroked="true" strokeweight=".96001pt" strokecolor="#41b7ee">
                <v:path arrowok="t"/>
              </v:shape>
            </v:group>
            <v:group style="position:absolute;left:5802;top:10;width:5277;height:2" coordorigin="5802,10" coordsize="5277,2">
              <v:shape style="position:absolute;left:5802;top:10;width:5277;height:2" coordorigin="5802,10" coordsize="5277,0" path="m5802,10l11078,10e" filled="false" stroked="true" strokeweight=".96001pt" strokecolor="#41b7ee">
                <v:path arrowok="t"/>
              </v:shape>
            </v:group>
            <v:group style="position:absolute;left:11078;top:10;width:58;height:2" coordorigin="11078,10" coordsize="58,2">
              <v:shape style="position:absolute;left:11078;top:10;width:58;height:2" coordorigin="11078,10" coordsize="58,0" path="m11078,10l11136,10e" filled="false" stroked="true" strokeweight=".96001pt" strokecolor="#41b7ee">
                <v:path arrowok="t"/>
              </v:shape>
            </v:group>
            <v:group style="position:absolute;left:11136;top:10;width:1702;height:2" coordorigin="11136,10" coordsize="1702,2">
              <v:shape style="position:absolute;left:11136;top:10;width:1702;height:2" coordorigin="11136,10" coordsize="1702,0" path="m11136,10l12837,10e" filled="false" stroked="true" strokeweight=".96001pt" strokecolor="#41b7ee">
                <v:path arrowok="t"/>
              </v:shape>
            </v:group>
            <v:group style="position:absolute;left:12837;top:10;width:58;height:2" coordorigin="12837,10" coordsize="58,2">
              <v:shape style="position:absolute;left:12837;top:10;width:58;height:2" coordorigin="12837,10" coordsize="58,0" path="m12837,10l12895,10e" filled="false" stroked="true" strokeweight=".96001pt" strokecolor="#41b7ee">
                <v:path arrowok="t"/>
              </v:shape>
            </v:group>
            <v:group style="position:absolute;left:12895;top:10;width:1047;height:2" coordorigin="12895,10" coordsize="1047,2">
              <v:shape style="position:absolute;left:12895;top:10;width:1047;height:2" coordorigin="12895,10" coordsize="1047,0" path="m12895,10l13941,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11" w:type="dxa"/>
        <w:tblLayout w:type="fixed"/>
        <w:tblCellMar>
          <w:top w:w="0" w:type="dxa"/>
          <w:left w:w="0" w:type="dxa"/>
          <w:bottom w:w="0" w:type="dxa"/>
          <w:right w:w="0" w:type="dxa"/>
        </w:tblCellMar>
        <w:tblLook w:val="01E0"/>
      </w:tblPr>
      <w:tblGrid>
        <w:gridCol w:w="3870"/>
        <w:gridCol w:w="1870"/>
        <w:gridCol w:w="1010"/>
        <w:gridCol w:w="1016"/>
        <w:gridCol w:w="1726"/>
        <w:gridCol w:w="1582"/>
        <w:gridCol w:w="1759"/>
        <w:gridCol w:w="1099"/>
      </w:tblGrid>
      <w:tr>
        <w:trPr>
          <w:trHeight w:val="370" w:hRule="exact"/>
        </w:trPr>
        <w:tc>
          <w:tcPr>
            <w:tcW w:w="3870" w:type="dxa"/>
            <w:vMerge w:val="restart"/>
            <w:tcBorders>
              <w:top w:val="single" w:sz="8" w:space="0" w:color="41B7EE"/>
              <w:left w:val="nil" w:sz="6" w:space="0" w:color="auto"/>
              <w:right w:val="single" w:sz="4" w:space="0" w:color="41B7EE"/>
            </w:tcBorders>
          </w:tcPr>
          <w:p>
            <w:pPr>
              <w:pStyle w:val="TableParagraph"/>
              <w:spacing w:line="260" w:lineRule="exact" w:before="176"/>
              <w:ind w:left="1733" w:right="1731"/>
              <w:jc w:val="center"/>
              <w:rPr>
                <w:rFonts w:ascii="宋体" w:hAnsi="宋体" w:cs="宋体" w:eastAsia="宋体" w:hint="default"/>
                <w:sz w:val="20"/>
                <w:szCs w:val="20"/>
              </w:rPr>
            </w:pPr>
            <w:r>
              <w:rPr>
                <w:rFonts w:ascii="宋体" w:hAnsi="宋体" w:cs="宋体" w:eastAsia="宋体" w:hint="default"/>
                <w:sz w:val="20"/>
                <w:szCs w:val="20"/>
              </w:rPr>
              <w:t>投资</w:t>
            </w:r>
            <w:r>
              <w:rPr>
                <w:rFonts w:ascii="宋体" w:hAnsi="宋体" w:cs="宋体" w:eastAsia="宋体" w:hint="default"/>
                <w:w w:val="99"/>
                <w:sz w:val="20"/>
                <w:szCs w:val="20"/>
              </w:rPr>
              <w:t> </w:t>
            </w:r>
            <w:r>
              <w:rPr>
                <w:rFonts w:ascii="宋体" w:hAnsi="宋体" w:cs="宋体" w:eastAsia="宋体" w:hint="default"/>
                <w:sz w:val="20"/>
                <w:szCs w:val="20"/>
              </w:rPr>
              <w:t>单位</w:t>
            </w:r>
          </w:p>
        </w:tc>
        <w:tc>
          <w:tcPr>
            <w:tcW w:w="1870" w:type="dxa"/>
            <w:vMerge w:val="restart"/>
            <w:tcBorders>
              <w:top w:val="single" w:sz="8" w:space="0" w:color="41B7EE"/>
              <w:left w:val="single" w:sz="4" w:space="0" w:color="41B7EE"/>
              <w:right w:val="single" w:sz="4" w:space="0" w:color="41B7EE"/>
            </w:tcBorders>
          </w:tcPr>
          <w:p>
            <w:pPr>
              <w:pStyle w:val="TableParagraph"/>
              <w:spacing w:line="260" w:lineRule="exact" w:before="176"/>
              <w:ind w:left="729" w:right="731"/>
              <w:jc w:val="center"/>
              <w:rPr>
                <w:rFonts w:ascii="宋体" w:hAnsi="宋体" w:cs="宋体" w:eastAsia="宋体" w:hint="default"/>
                <w:sz w:val="20"/>
                <w:szCs w:val="20"/>
              </w:rPr>
            </w:pPr>
            <w:r>
              <w:rPr>
                <w:rFonts w:ascii="宋体" w:hAnsi="宋体" w:cs="宋体" w:eastAsia="宋体" w:hint="default"/>
                <w:sz w:val="20"/>
                <w:szCs w:val="20"/>
              </w:rPr>
              <w:t>期初</w:t>
            </w:r>
            <w:r>
              <w:rPr>
                <w:rFonts w:ascii="宋体" w:hAnsi="宋体" w:cs="宋体" w:eastAsia="宋体" w:hint="default"/>
                <w:w w:val="99"/>
                <w:sz w:val="20"/>
                <w:szCs w:val="20"/>
              </w:rPr>
              <w:t> </w:t>
            </w:r>
            <w:r>
              <w:rPr>
                <w:rFonts w:ascii="宋体" w:hAnsi="宋体" w:cs="宋体" w:eastAsia="宋体" w:hint="default"/>
                <w:sz w:val="20"/>
                <w:szCs w:val="20"/>
              </w:rPr>
              <w:t>余额</w:t>
            </w:r>
          </w:p>
        </w:tc>
        <w:tc>
          <w:tcPr>
            <w:tcW w:w="5334" w:type="dxa"/>
            <w:gridSpan w:val="4"/>
            <w:tcBorders>
              <w:top w:val="single" w:sz="8" w:space="0" w:color="41B7EE"/>
              <w:left w:val="single" w:sz="4" w:space="0" w:color="41B7EE"/>
              <w:bottom w:val="single" w:sz="4" w:space="0" w:color="41B7EE"/>
              <w:right w:val="single" w:sz="4" w:space="0" w:color="41B7EE"/>
            </w:tcBorders>
          </w:tcPr>
          <w:p>
            <w:pPr>
              <w:pStyle w:val="TableParagraph"/>
              <w:spacing w:line="240" w:lineRule="auto" w:before="13"/>
              <w:ind w:right="5"/>
              <w:jc w:val="center"/>
              <w:rPr>
                <w:rFonts w:ascii="宋体" w:hAnsi="宋体" w:cs="宋体" w:eastAsia="宋体" w:hint="default"/>
                <w:sz w:val="20"/>
                <w:szCs w:val="20"/>
              </w:rPr>
            </w:pPr>
            <w:r>
              <w:rPr>
                <w:rFonts w:ascii="宋体" w:hAnsi="宋体" w:cs="宋体" w:eastAsia="宋体" w:hint="default"/>
                <w:sz w:val="20"/>
                <w:szCs w:val="20"/>
              </w:rPr>
              <w:t>本期增减变动</w:t>
            </w:r>
          </w:p>
        </w:tc>
        <w:tc>
          <w:tcPr>
            <w:tcW w:w="1759" w:type="dxa"/>
            <w:vMerge w:val="restart"/>
            <w:tcBorders>
              <w:top w:val="single" w:sz="8" w:space="0" w:color="41B7EE"/>
              <w:left w:val="single" w:sz="4" w:space="0" w:color="41B7EE"/>
              <w:right w:val="single" w:sz="4" w:space="0" w:color="41B7EE"/>
            </w:tcBorders>
          </w:tcPr>
          <w:p>
            <w:pPr>
              <w:pStyle w:val="TableParagraph"/>
              <w:spacing w:line="260" w:lineRule="exact" w:before="176"/>
              <w:ind w:left="674" w:right="674"/>
              <w:jc w:val="center"/>
              <w:rPr>
                <w:rFonts w:ascii="宋体" w:hAnsi="宋体" w:cs="宋体" w:eastAsia="宋体" w:hint="default"/>
                <w:sz w:val="20"/>
                <w:szCs w:val="20"/>
              </w:rPr>
            </w:pPr>
            <w:r>
              <w:rPr>
                <w:rFonts w:ascii="宋体" w:hAnsi="宋体" w:cs="宋体" w:eastAsia="宋体" w:hint="default"/>
                <w:sz w:val="20"/>
                <w:szCs w:val="20"/>
              </w:rPr>
              <w:t>期末</w:t>
            </w:r>
            <w:r>
              <w:rPr>
                <w:rFonts w:ascii="宋体" w:hAnsi="宋体" w:cs="宋体" w:eastAsia="宋体" w:hint="default"/>
                <w:w w:val="99"/>
                <w:sz w:val="20"/>
                <w:szCs w:val="20"/>
              </w:rPr>
              <w:t> </w:t>
            </w:r>
            <w:r>
              <w:rPr>
                <w:rFonts w:ascii="宋体" w:hAnsi="宋体" w:cs="宋体" w:eastAsia="宋体" w:hint="default"/>
                <w:sz w:val="20"/>
                <w:szCs w:val="20"/>
              </w:rPr>
              <w:t>余额</w:t>
            </w:r>
          </w:p>
        </w:tc>
        <w:tc>
          <w:tcPr>
            <w:tcW w:w="1099" w:type="dxa"/>
            <w:vMerge w:val="restart"/>
            <w:tcBorders>
              <w:top w:val="single" w:sz="8" w:space="0" w:color="41B7EE"/>
              <w:left w:val="single" w:sz="4" w:space="0" w:color="41B7EE"/>
              <w:right w:val="nil" w:sz="6" w:space="0" w:color="auto"/>
            </w:tcBorders>
          </w:tcPr>
          <w:p>
            <w:pPr>
              <w:pStyle w:val="TableParagraph"/>
              <w:spacing w:line="260" w:lineRule="exact" w:before="176"/>
              <w:ind w:left="242" w:right="51" w:hanging="200"/>
              <w:jc w:val="left"/>
              <w:rPr>
                <w:rFonts w:ascii="宋体" w:hAnsi="宋体" w:cs="宋体" w:eastAsia="宋体" w:hint="default"/>
                <w:sz w:val="20"/>
                <w:szCs w:val="20"/>
              </w:rPr>
            </w:pPr>
            <w:r>
              <w:rPr>
                <w:rFonts w:ascii="宋体" w:hAnsi="宋体" w:cs="宋体" w:eastAsia="宋体" w:hint="default"/>
                <w:sz w:val="20"/>
                <w:szCs w:val="20"/>
              </w:rPr>
              <w:t>减值准备期</w:t>
            </w:r>
            <w:r>
              <w:rPr>
                <w:rFonts w:ascii="宋体" w:hAnsi="宋体" w:cs="宋体" w:eastAsia="宋体" w:hint="default"/>
                <w:w w:val="99"/>
                <w:sz w:val="20"/>
                <w:szCs w:val="20"/>
              </w:rPr>
              <w:t> </w:t>
            </w:r>
            <w:r>
              <w:rPr>
                <w:rFonts w:ascii="宋体" w:hAnsi="宋体" w:cs="宋体" w:eastAsia="宋体" w:hint="default"/>
                <w:sz w:val="20"/>
                <w:szCs w:val="20"/>
              </w:rPr>
              <w:t>末余额</w:t>
            </w:r>
          </w:p>
        </w:tc>
      </w:tr>
      <w:tr>
        <w:trPr>
          <w:trHeight w:val="528" w:hRule="exact"/>
        </w:trPr>
        <w:tc>
          <w:tcPr>
            <w:tcW w:w="3870" w:type="dxa"/>
            <w:vMerge/>
            <w:tcBorders>
              <w:left w:val="nil" w:sz="6" w:space="0" w:color="auto"/>
              <w:bottom w:val="single" w:sz="4" w:space="0" w:color="41B7EE"/>
              <w:right w:val="single" w:sz="4" w:space="0" w:color="41B7EE"/>
            </w:tcBorders>
          </w:tcPr>
          <w:p>
            <w:pPr/>
          </w:p>
        </w:tc>
        <w:tc>
          <w:tcPr>
            <w:tcW w:w="1870" w:type="dxa"/>
            <w:vMerge/>
            <w:tcBorders>
              <w:left w:val="single" w:sz="4" w:space="0" w:color="41B7EE"/>
              <w:bottom w:val="single" w:sz="4" w:space="0" w:color="41B7EE"/>
              <w:right w:val="single" w:sz="4" w:space="0" w:color="41B7EE"/>
            </w:tcBorders>
          </w:tcPr>
          <w:p>
            <w:pPr/>
          </w:p>
        </w:tc>
        <w:tc>
          <w:tcPr>
            <w:tcW w:w="101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97"/>
              <w:ind w:left="98" w:right="0"/>
              <w:jc w:val="left"/>
              <w:rPr>
                <w:rFonts w:ascii="宋体" w:hAnsi="宋体" w:cs="宋体" w:eastAsia="宋体" w:hint="default"/>
                <w:sz w:val="20"/>
                <w:szCs w:val="20"/>
              </w:rPr>
            </w:pPr>
            <w:r>
              <w:rPr>
                <w:rFonts w:ascii="宋体" w:hAnsi="宋体" w:cs="宋体" w:eastAsia="宋体" w:hint="default"/>
                <w:sz w:val="20"/>
                <w:szCs w:val="20"/>
              </w:rPr>
              <w:t>追加投资</w:t>
            </w:r>
          </w:p>
        </w:tc>
        <w:tc>
          <w:tcPr>
            <w:tcW w:w="101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减少投资</w:t>
            </w:r>
          </w:p>
        </w:tc>
        <w:tc>
          <w:tcPr>
            <w:tcW w:w="1726" w:type="dxa"/>
            <w:tcBorders>
              <w:top w:val="single" w:sz="4" w:space="0" w:color="41B7EE"/>
              <w:left w:val="single" w:sz="4" w:space="0" w:color="41B7EE"/>
              <w:bottom w:val="single" w:sz="4" w:space="0" w:color="41B7EE"/>
              <w:right w:val="single" w:sz="4" w:space="0" w:color="41B7EE"/>
            </w:tcBorders>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sz w:val="20"/>
                <w:szCs w:val="20"/>
              </w:rPr>
              <w:t>权益法下确认的投</w:t>
            </w:r>
          </w:p>
          <w:p>
            <w:pPr>
              <w:pStyle w:val="TableParagraph"/>
              <w:spacing w:line="260" w:lineRule="exact"/>
              <w:ind w:right="2"/>
              <w:jc w:val="center"/>
              <w:rPr>
                <w:rFonts w:ascii="宋体" w:hAnsi="宋体" w:cs="宋体" w:eastAsia="宋体" w:hint="default"/>
                <w:sz w:val="20"/>
                <w:szCs w:val="20"/>
              </w:rPr>
            </w:pPr>
            <w:r>
              <w:rPr>
                <w:rFonts w:ascii="宋体" w:hAnsi="宋体" w:cs="宋体" w:eastAsia="宋体" w:hint="default"/>
                <w:sz w:val="20"/>
                <w:szCs w:val="20"/>
              </w:rPr>
              <w:t>资损益</w:t>
            </w:r>
          </w:p>
        </w:tc>
        <w:tc>
          <w:tcPr>
            <w:tcW w:w="15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其他</w:t>
            </w:r>
          </w:p>
        </w:tc>
        <w:tc>
          <w:tcPr>
            <w:tcW w:w="1759" w:type="dxa"/>
            <w:vMerge/>
            <w:tcBorders>
              <w:left w:val="single" w:sz="4" w:space="0" w:color="41B7EE"/>
              <w:bottom w:val="single" w:sz="4" w:space="0" w:color="41B7EE"/>
              <w:right w:val="single" w:sz="4" w:space="0" w:color="41B7EE"/>
            </w:tcBorders>
          </w:tcPr>
          <w:p>
            <w:pPr/>
          </w:p>
        </w:tc>
        <w:tc>
          <w:tcPr>
            <w:tcW w:w="1099" w:type="dxa"/>
            <w:vMerge/>
            <w:tcBorders>
              <w:left w:val="single" w:sz="4" w:space="0" w:color="41B7EE"/>
              <w:bottom w:val="single" w:sz="4" w:space="0" w:color="41B7EE"/>
              <w:right w:val="nil" w:sz="6" w:space="0" w:color="auto"/>
            </w:tcBorders>
          </w:tcPr>
          <w:p>
            <w:pPr/>
          </w:p>
        </w:tc>
      </w:tr>
      <w:tr>
        <w:trPr>
          <w:trHeight w:val="358" w:hRule="exact"/>
        </w:trPr>
        <w:tc>
          <w:tcPr>
            <w:tcW w:w="13932" w:type="dxa"/>
            <w:gridSpan w:val="8"/>
            <w:tcBorders>
              <w:top w:val="single" w:sz="4" w:space="0" w:color="41B7EE"/>
              <w:left w:val="nil" w:sz="6" w:space="0" w:color="auto"/>
              <w:bottom w:val="single" w:sz="4" w:space="0" w:color="41B7EE"/>
              <w:right w:val="nil" w:sz="6" w:space="0" w:color="auto"/>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一、合营企业</w:t>
            </w:r>
          </w:p>
        </w:tc>
      </w:tr>
      <w:tr>
        <w:trPr>
          <w:trHeight w:val="358" w:hRule="exact"/>
        </w:trPr>
        <w:tc>
          <w:tcPr>
            <w:tcW w:w="387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870" w:type="dxa"/>
            <w:tcBorders>
              <w:top w:val="single" w:sz="4" w:space="0" w:color="41B7EE"/>
              <w:left w:val="single" w:sz="4" w:space="0" w:color="41B7EE"/>
              <w:bottom w:val="single" w:sz="4" w:space="0" w:color="41B7EE"/>
              <w:right w:val="single" w:sz="4" w:space="0" w:color="41B7EE"/>
            </w:tcBorders>
          </w:tcPr>
          <w:p>
            <w:pPr/>
          </w:p>
        </w:tc>
        <w:tc>
          <w:tcPr>
            <w:tcW w:w="1010" w:type="dxa"/>
            <w:tcBorders>
              <w:top w:val="single" w:sz="4" w:space="0" w:color="41B7EE"/>
              <w:left w:val="single" w:sz="4" w:space="0" w:color="41B7EE"/>
              <w:bottom w:val="single" w:sz="4" w:space="0" w:color="41B7EE"/>
              <w:right w:val="single" w:sz="4" w:space="0" w:color="41B7EE"/>
            </w:tcBorders>
          </w:tcPr>
          <w:p>
            <w:pPr/>
          </w:p>
        </w:tc>
        <w:tc>
          <w:tcPr>
            <w:tcW w:w="1016" w:type="dxa"/>
            <w:tcBorders>
              <w:top w:val="single" w:sz="4" w:space="0" w:color="41B7EE"/>
              <w:left w:val="single" w:sz="4" w:space="0" w:color="41B7EE"/>
              <w:bottom w:val="single" w:sz="4" w:space="0" w:color="41B7EE"/>
              <w:right w:val="single" w:sz="4" w:space="0" w:color="41B7EE"/>
            </w:tcBorders>
          </w:tcPr>
          <w:p>
            <w:pPr/>
          </w:p>
        </w:tc>
        <w:tc>
          <w:tcPr>
            <w:tcW w:w="1726" w:type="dxa"/>
            <w:tcBorders>
              <w:top w:val="single" w:sz="4" w:space="0" w:color="41B7EE"/>
              <w:left w:val="single" w:sz="4" w:space="0" w:color="41B7EE"/>
              <w:bottom w:val="single" w:sz="4" w:space="0" w:color="41B7EE"/>
              <w:right w:val="single" w:sz="4" w:space="0" w:color="41B7EE"/>
            </w:tcBorders>
          </w:tcPr>
          <w:p>
            <w:pPr/>
          </w:p>
        </w:tc>
        <w:tc>
          <w:tcPr>
            <w:tcW w:w="1582" w:type="dxa"/>
            <w:tcBorders>
              <w:top w:val="single" w:sz="4" w:space="0" w:color="41B7EE"/>
              <w:left w:val="single" w:sz="4" w:space="0" w:color="41B7EE"/>
              <w:bottom w:val="single" w:sz="4" w:space="0" w:color="41B7EE"/>
              <w:right w:val="single" w:sz="4" w:space="0" w:color="41B7EE"/>
            </w:tcBorders>
          </w:tcPr>
          <w:p>
            <w:pPr/>
          </w:p>
        </w:tc>
        <w:tc>
          <w:tcPr>
            <w:tcW w:w="1759" w:type="dxa"/>
            <w:tcBorders>
              <w:top w:val="single" w:sz="4" w:space="0" w:color="41B7EE"/>
              <w:left w:val="single" w:sz="4" w:space="0" w:color="41B7EE"/>
              <w:bottom w:val="single" w:sz="4" w:space="0" w:color="41B7EE"/>
              <w:right w:val="single" w:sz="4" w:space="0" w:color="41B7EE"/>
            </w:tcBorders>
          </w:tcPr>
          <w:p>
            <w:pPr/>
          </w:p>
        </w:tc>
        <w:tc>
          <w:tcPr>
            <w:tcW w:w="1099" w:type="dxa"/>
            <w:tcBorders>
              <w:top w:val="single" w:sz="4" w:space="0" w:color="41B7EE"/>
              <w:left w:val="single" w:sz="4" w:space="0" w:color="41B7EE"/>
              <w:bottom w:val="single" w:sz="4" w:space="0" w:color="41B7EE"/>
              <w:right w:val="nil" w:sz="6" w:space="0" w:color="auto"/>
            </w:tcBorders>
          </w:tcPr>
          <w:p>
            <w:pPr/>
          </w:p>
        </w:tc>
      </w:tr>
      <w:tr>
        <w:trPr>
          <w:trHeight w:val="355" w:hRule="exact"/>
        </w:trPr>
        <w:tc>
          <w:tcPr>
            <w:tcW w:w="13932" w:type="dxa"/>
            <w:gridSpan w:val="8"/>
            <w:tcBorders>
              <w:top w:val="single" w:sz="4" w:space="0" w:color="41B7EE"/>
              <w:left w:val="nil" w:sz="6" w:space="0" w:color="auto"/>
              <w:bottom w:val="single" w:sz="4" w:space="0" w:color="41B7EE"/>
              <w:right w:val="nil" w:sz="6" w:space="0" w:color="auto"/>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二、联营企业</w:t>
            </w:r>
          </w:p>
        </w:tc>
      </w:tr>
      <w:tr>
        <w:trPr>
          <w:trHeight w:val="358" w:hRule="exact"/>
        </w:trPr>
        <w:tc>
          <w:tcPr>
            <w:tcW w:w="387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黑龙江北大荒全利选煤有限公司</w:t>
            </w: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4,987,562.60</w:t>
            </w:r>
            <w:r>
              <w:rPr>
                <w:rFonts w:ascii="Arial"/>
                <w:sz w:val="20"/>
              </w:rPr>
            </w:r>
          </w:p>
        </w:tc>
        <w:tc>
          <w:tcPr>
            <w:tcW w:w="1010" w:type="dxa"/>
            <w:tcBorders>
              <w:top w:val="single" w:sz="4" w:space="0" w:color="41B7EE"/>
              <w:left w:val="single" w:sz="4" w:space="0" w:color="41B7EE"/>
              <w:bottom w:val="single" w:sz="4" w:space="0" w:color="41B7EE"/>
              <w:right w:val="single" w:sz="4" w:space="0" w:color="41B7EE"/>
            </w:tcBorders>
          </w:tcPr>
          <w:p>
            <w:pPr/>
          </w:p>
        </w:tc>
        <w:tc>
          <w:tcPr>
            <w:tcW w:w="1016" w:type="dxa"/>
            <w:tcBorders>
              <w:top w:val="single" w:sz="4" w:space="0" w:color="41B7EE"/>
              <w:left w:val="single" w:sz="4" w:space="0" w:color="41B7EE"/>
              <w:bottom w:val="single" w:sz="4" w:space="0" w:color="41B7EE"/>
              <w:right w:val="single" w:sz="4" w:space="0" w:color="41B7EE"/>
            </w:tcBorders>
          </w:tcPr>
          <w:p>
            <w:pPr/>
          </w:p>
        </w:tc>
        <w:tc>
          <w:tcPr>
            <w:tcW w:w="172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-154,536.83</w:t>
            </w:r>
            <w:r>
              <w:rPr>
                <w:rFonts w:ascii="Arial"/>
                <w:sz w:val="20"/>
              </w:rPr>
            </w:r>
          </w:p>
        </w:tc>
        <w:tc>
          <w:tcPr>
            <w:tcW w:w="1582" w:type="dxa"/>
            <w:tcBorders>
              <w:top w:val="single" w:sz="4" w:space="0" w:color="41B7EE"/>
              <w:left w:val="single" w:sz="4" w:space="0" w:color="41B7EE"/>
              <w:bottom w:val="single" w:sz="4" w:space="0" w:color="41B7EE"/>
              <w:right w:val="single" w:sz="4" w:space="0" w:color="41B7EE"/>
            </w:tcBorders>
          </w:tcPr>
          <w:p>
            <w:pPr/>
          </w:p>
        </w:tc>
        <w:tc>
          <w:tcPr>
            <w:tcW w:w="175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4,833,025.77</w:t>
            </w:r>
            <w:r>
              <w:rPr>
                <w:rFonts w:ascii="Arial"/>
                <w:sz w:val="20"/>
              </w:rPr>
            </w:r>
          </w:p>
        </w:tc>
        <w:tc>
          <w:tcPr>
            <w:tcW w:w="1099"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87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黑龙江北大荒汉枫农业发展有限公司</w:t>
            </w:r>
          </w:p>
        </w:tc>
        <w:tc>
          <w:tcPr>
            <w:tcW w:w="1870" w:type="dxa"/>
            <w:tcBorders>
              <w:top w:val="single" w:sz="4" w:space="0" w:color="41B7EE"/>
              <w:left w:val="single" w:sz="4" w:space="0" w:color="41B7EE"/>
              <w:bottom w:val="single" w:sz="4" w:space="0" w:color="41B7EE"/>
              <w:right w:val="single" w:sz="4" w:space="0" w:color="41B7EE"/>
            </w:tcBorders>
          </w:tcPr>
          <w:p>
            <w:pPr/>
          </w:p>
        </w:tc>
        <w:tc>
          <w:tcPr>
            <w:tcW w:w="1010" w:type="dxa"/>
            <w:tcBorders>
              <w:top w:val="single" w:sz="4" w:space="0" w:color="41B7EE"/>
              <w:left w:val="single" w:sz="4" w:space="0" w:color="41B7EE"/>
              <w:bottom w:val="single" w:sz="4" w:space="0" w:color="41B7EE"/>
              <w:right w:val="single" w:sz="4" w:space="0" w:color="41B7EE"/>
            </w:tcBorders>
          </w:tcPr>
          <w:p>
            <w:pPr/>
          </w:p>
        </w:tc>
        <w:tc>
          <w:tcPr>
            <w:tcW w:w="1016" w:type="dxa"/>
            <w:tcBorders>
              <w:top w:val="single" w:sz="4" w:space="0" w:color="41B7EE"/>
              <w:left w:val="single" w:sz="4" w:space="0" w:color="41B7EE"/>
              <w:bottom w:val="single" w:sz="4" w:space="0" w:color="41B7EE"/>
              <w:right w:val="single" w:sz="4" w:space="0" w:color="41B7EE"/>
            </w:tcBorders>
          </w:tcPr>
          <w:p>
            <w:pPr/>
          </w:p>
        </w:tc>
        <w:tc>
          <w:tcPr>
            <w:tcW w:w="1726" w:type="dxa"/>
            <w:tcBorders>
              <w:top w:val="single" w:sz="4" w:space="0" w:color="41B7EE"/>
              <w:left w:val="single" w:sz="4" w:space="0" w:color="41B7EE"/>
              <w:bottom w:val="single" w:sz="4" w:space="0" w:color="41B7EE"/>
              <w:right w:val="single" w:sz="4" w:space="0" w:color="41B7EE"/>
            </w:tcBorders>
          </w:tcPr>
          <w:p>
            <w:pPr/>
          </w:p>
        </w:tc>
        <w:tc>
          <w:tcPr>
            <w:tcW w:w="1582" w:type="dxa"/>
            <w:tcBorders>
              <w:top w:val="single" w:sz="4" w:space="0" w:color="41B7EE"/>
              <w:left w:val="single" w:sz="4" w:space="0" w:color="41B7EE"/>
              <w:bottom w:val="single" w:sz="4" w:space="0" w:color="41B7EE"/>
              <w:right w:val="single" w:sz="4" w:space="0" w:color="41B7EE"/>
            </w:tcBorders>
          </w:tcPr>
          <w:p>
            <w:pPr/>
          </w:p>
        </w:tc>
        <w:tc>
          <w:tcPr>
            <w:tcW w:w="1759" w:type="dxa"/>
            <w:tcBorders>
              <w:top w:val="single" w:sz="4" w:space="0" w:color="41B7EE"/>
              <w:left w:val="single" w:sz="4" w:space="0" w:color="41B7EE"/>
              <w:bottom w:val="single" w:sz="4" w:space="0" w:color="41B7EE"/>
              <w:right w:val="single" w:sz="4" w:space="0" w:color="41B7EE"/>
            </w:tcBorders>
          </w:tcPr>
          <w:p>
            <w:pPr/>
          </w:p>
        </w:tc>
        <w:tc>
          <w:tcPr>
            <w:tcW w:w="1099"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87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黑龙江北大荒投资担保股份有限公司</w:t>
            </w: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63,752,648.76</w:t>
            </w:r>
            <w:r>
              <w:rPr>
                <w:rFonts w:ascii="Arial"/>
                <w:sz w:val="20"/>
              </w:rPr>
            </w:r>
          </w:p>
        </w:tc>
        <w:tc>
          <w:tcPr>
            <w:tcW w:w="1010" w:type="dxa"/>
            <w:tcBorders>
              <w:top w:val="single" w:sz="4" w:space="0" w:color="41B7EE"/>
              <w:left w:val="single" w:sz="4" w:space="0" w:color="41B7EE"/>
              <w:bottom w:val="single" w:sz="4" w:space="0" w:color="41B7EE"/>
              <w:right w:val="single" w:sz="4" w:space="0" w:color="41B7EE"/>
            </w:tcBorders>
          </w:tcPr>
          <w:p>
            <w:pPr/>
          </w:p>
        </w:tc>
        <w:tc>
          <w:tcPr>
            <w:tcW w:w="1016" w:type="dxa"/>
            <w:tcBorders>
              <w:top w:val="single" w:sz="4" w:space="0" w:color="41B7EE"/>
              <w:left w:val="single" w:sz="4" w:space="0" w:color="41B7EE"/>
              <w:bottom w:val="single" w:sz="4" w:space="0" w:color="41B7EE"/>
              <w:right w:val="single" w:sz="4" w:space="0" w:color="41B7EE"/>
            </w:tcBorders>
          </w:tcPr>
          <w:p>
            <w:pPr/>
          </w:p>
        </w:tc>
        <w:tc>
          <w:tcPr>
            <w:tcW w:w="172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2,674,906.76</w:t>
            </w:r>
            <w:r>
              <w:rPr>
                <w:rFonts w:ascii="Arial"/>
                <w:sz w:val="20"/>
              </w:rPr>
            </w:r>
          </w:p>
        </w:tc>
        <w:tc>
          <w:tcPr>
            <w:tcW w:w="1582" w:type="dxa"/>
            <w:tcBorders>
              <w:top w:val="single" w:sz="4" w:space="0" w:color="41B7EE"/>
              <w:left w:val="single" w:sz="4" w:space="0" w:color="41B7EE"/>
              <w:bottom w:val="single" w:sz="4" w:space="0" w:color="41B7EE"/>
              <w:right w:val="single" w:sz="4" w:space="0" w:color="41B7EE"/>
            </w:tcBorders>
          </w:tcPr>
          <w:p>
            <w:pPr/>
          </w:p>
        </w:tc>
        <w:tc>
          <w:tcPr>
            <w:tcW w:w="175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66,427,555.52</w:t>
            </w:r>
            <w:r>
              <w:rPr>
                <w:rFonts w:ascii="Arial"/>
                <w:sz w:val="20"/>
              </w:rPr>
            </w:r>
          </w:p>
        </w:tc>
        <w:tc>
          <w:tcPr>
            <w:tcW w:w="1099" w:type="dxa"/>
            <w:tcBorders>
              <w:top w:val="single" w:sz="4" w:space="0" w:color="41B7EE"/>
              <w:left w:val="single" w:sz="4" w:space="0" w:color="41B7EE"/>
              <w:bottom w:val="single" w:sz="4" w:space="0" w:color="41B7EE"/>
              <w:right w:val="nil" w:sz="6" w:space="0" w:color="auto"/>
            </w:tcBorders>
          </w:tcPr>
          <w:p>
            <w:pPr/>
          </w:p>
        </w:tc>
      </w:tr>
      <w:tr>
        <w:trPr>
          <w:trHeight w:val="355" w:hRule="exact"/>
        </w:trPr>
        <w:tc>
          <w:tcPr>
            <w:tcW w:w="387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黑龙江北大荒浩良河化肥有限公司</w:t>
            </w: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369,114,496.39</w:t>
            </w:r>
            <w:r>
              <w:rPr>
                <w:rFonts w:ascii="Arial"/>
                <w:sz w:val="20"/>
              </w:rPr>
            </w:r>
          </w:p>
        </w:tc>
        <w:tc>
          <w:tcPr>
            <w:tcW w:w="1010" w:type="dxa"/>
            <w:tcBorders>
              <w:top w:val="single" w:sz="4" w:space="0" w:color="41B7EE"/>
              <w:left w:val="single" w:sz="4" w:space="0" w:color="41B7EE"/>
              <w:bottom w:val="single" w:sz="4" w:space="0" w:color="41B7EE"/>
              <w:right w:val="single" w:sz="4" w:space="0" w:color="41B7EE"/>
            </w:tcBorders>
          </w:tcPr>
          <w:p>
            <w:pPr/>
          </w:p>
        </w:tc>
        <w:tc>
          <w:tcPr>
            <w:tcW w:w="1016" w:type="dxa"/>
            <w:tcBorders>
              <w:top w:val="single" w:sz="4" w:space="0" w:color="41B7EE"/>
              <w:left w:val="single" w:sz="4" w:space="0" w:color="41B7EE"/>
              <w:bottom w:val="single" w:sz="4" w:space="0" w:color="41B7EE"/>
              <w:right w:val="single" w:sz="4" w:space="0" w:color="41B7EE"/>
            </w:tcBorders>
          </w:tcPr>
          <w:p>
            <w:pPr/>
          </w:p>
        </w:tc>
        <w:tc>
          <w:tcPr>
            <w:tcW w:w="172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-29,898,884.16</w:t>
            </w:r>
            <w:r>
              <w:rPr>
                <w:rFonts w:ascii="Arial"/>
                <w:sz w:val="20"/>
              </w:rPr>
            </w:r>
          </w:p>
        </w:tc>
        <w:tc>
          <w:tcPr>
            <w:tcW w:w="1582" w:type="dxa"/>
            <w:tcBorders>
              <w:top w:val="single" w:sz="4" w:space="0" w:color="41B7EE"/>
              <w:left w:val="single" w:sz="4" w:space="0" w:color="41B7EE"/>
              <w:bottom w:val="single" w:sz="4" w:space="0" w:color="41B7EE"/>
              <w:right w:val="single" w:sz="4" w:space="0" w:color="41B7EE"/>
            </w:tcBorders>
          </w:tcPr>
          <w:p>
            <w:pPr/>
          </w:p>
        </w:tc>
        <w:tc>
          <w:tcPr>
            <w:tcW w:w="175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339,215,612.23</w:t>
            </w:r>
            <w:r>
              <w:rPr>
                <w:rFonts w:ascii="Arial"/>
                <w:sz w:val="20"/>
              </w:rPr>
            </w:r>
          </w:p>
        </w:tc>
        <w:tc>
          <w:tcPr>
            <w:tcW w:w="1099"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87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黑龙江省克东腐乳有限公司</w:t>
            </w:r>
          </w:p>
        </w:tc>
        <w:tc>
          <w:tcPr>
            <w:tcW w:w="1870" w:type="dxa"/>
            <w:tcBorders>
              <w:top w:val="single" w:sz="4" w:space="0" w:color="41B7EE"/>
              <w:left w:val="single" w:sz="4" w:space="0" w:color="41B7EE"/>
              <w:bottom w:val="single" w:sz="4" w:space="0" w:color="41B7EE"/>
              <w:right w:val="single" w:sz="4" w:space="0" w:color="41B7EE"/>
            </w:tcBorders>
          </w:tcPr>
          <w:p>
            <w:pPr/>
          </w:p>
        </w:tc>
        <w:tc>
          <w:tcPr>
            <w:tcW w:w="1010" w:type="dxa"/>
            <w:tcBorders>
              <w:top w:val="single" w:sz="4" w:space="0" w:color="41B7EE"/>
              <w:left w:val="single" w:sz="4" w:space="0" w:color="41B7EE"/>
              <w:bottom w:val="single" w:sz="4" w:space="0" w:color="41B7EE"/>
              <w:right w:val="single" w:sz="4" w:space="0" w:color="41B7EE"/>
            </w:tcBorders>
          </w:tcPr>
          <w:p>
            <w:pPr/>
          </w:p>
        </w:tc>
        <w:tc>
          <w:tcPr>
            <w:tcW w:w="1016" w:type="dxa"/>
            <w:tcBorders>
              <w:top w:val="single" w:sz="4" w:space="0" w:color="41B7EE"/>
              <w:left w:val="single" w:sz="4" w:space="0" w:color="41B7EE"/>
              <w:bottom w:val="single" w:sz="4" w:space="0" w:color="41B7EE"/>
              <w:right w:val="single" w:sz="4" w:space="0" w:color="41B7EE"/>
            </w:tcBorders>
          </w:tcPr>
          <w:p>
            <w:pPr/>
          </w:p>
        </w:tc>
        <w:tc>
          <w:tcPr>
            <w:tcW w:w="172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-761,973.88</w:t>
            </w:r>
            <w:r>
              <w:rPr>
                <w:rFonts w:ascii="Arial"/>
                <w:sz w:val="20"/>
              </w:rPr>
            </w:r>
          </w:p>
        </w:tc>
        <w:tc>
          <w:tcPr>
            <w:tcW w:w="15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2"/>
              <w:jc w:val="right"/>
              <w:rPr>
                <w:rFonts w:ascii="Arial" w:hAnsi="Arial" w:cs="Arial" w:eastAsia="Arial" w:hint="default"/>
                <w:sz w:val="20"/>
                <w:szCs w:val="20"/>
              </w:rPr>
            </w:pPr>
            <w:r>
              <w:rPr>
                <w:rFonts w:ascii="Arial"/>
                <w:w w:val="95"/>
                <w:sz w:val="20"/>
              </w:rPr>
              <w:t>9,258,492.06</w:t>
            </w:r>
            <w:r>
              <w:rPr>
                <w:rFonts w:ascii="Arial"/>
                <w:sz w:val="20"/>
              </w:rPr>
            </w:r>
          </w:p>
        </w:tc>
        <w:tc>
          <w:tcPr>
            <w:tcW w:w="175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8,496,518.18</w:t>
            </w:r>
            <w:r>
              <w:rPr>
                <w:rFonts w:ascii="Arial"/>
                <w:sz w:val="20"/>
              </w:rPr>
            </w:r>
          </w:p>
        </w:tc>
        <w:tc>
          <w:tcPr>
            <w:tcW w:w="1099"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3870"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87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437,854,707.75</w:t>
            </w:r>
            <w:r>
              <w:rPr>
                <w:rFonts w:ascii="Arial"/>
                <w:sz w:val="20"/>
              </w:rPr>
            </w:r>
          </w:p>
        </w:tc>
        <w:tc>
          <w:tcPr>
            <w:tcW w:w="1010" w:type="dxa"/>
            <w:tcBorders>
              <w:top w:val="single" w:sz="4" w:space="0" w:color="41B7EE"/>
              <w:left w:val="single" w:sz="4" w:space="0" w:color="41B7EE"/>
              <w:bottom w:val="single" w:sz="4" w:space="0" w:color="41B7EE"/>
              <w:right w:val="single" w:sz="4" w:space="0" w:color="41B7EE"/>
            </w:tcBorders>
          </w:tcPr>
          <w:p>
            <w:pPr/>
          </w:p>
        </w:tc>
        <w:tc>
          <w:tcPr>
            <w:tcW w:w="1016" w:type="dxa"/>
            <w:tcBorders>
              <w:top w:val="single" w:sz="4" w:space="0" w:color="41B7EE"/>
              <w:left w:val="single" w:sz="4" w:space="0" w:color="41B7EE"/>
              <w:bottom w:val="single" w:sz="4" w:space="0" w:color="41B7EE"/>
              <w:right w:val="single" w:sz="4" w:space="0" w:color="41B7EE"/>
            </w:tcBorders>
          </w:tcPr>
          <w:p>
            <w:pPr/>
          </w:p>
        </w:tc>
        <w:tc>
          <w:tcPr>
            <w:tcW w:w="172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-28,140,488.11</w:t>
            </w:r>
            <w:r>
              <w:rPr>
                <w:rFonts w:ascii="Arial"/>
                <w:sz w:val="20"/>
              </w:rPr>
            </w:r>
          </w:p>
        </w:tc>
        <w:tc>
          <w:tcPr>
            <w:tcW w:w="1582"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2"/>
              <w:jc w:val="right"/>
              <w:rPr>
                <w:rFonts w:ascii="Arial" w:hAnsi="Arial" w:cs="Arial" w:eastAsia="Arial" w:hint="default"/>
                <w:sz w:val="20"/>
                <w:szCs w:val="20"/>
              </w:rPr>
            </w:pPr>
            <w:r>
              <w:rPr>
                <w:rFonts w:ascii="Arial"/>
                <w:w w:val="95"/>
                <w:sz w:val="20"/>
              </w:rPr>
              <w:t>9,258,492.06</w:t>
            </w:r>
            <w:r>
              <w:rPr>
                <w:rFonts w:ascii="Arial"/>
                <w:sz w:val="20"/>
              </w:rPr>
            </w:r>
          </w:p>
        </w:tc>
        <w:tc>
          <w:tcPr>
            <w:tcW w:w="1759"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418,972,711.70</w:t>
            </w:r>
            <w:r>
              <w:rPr>
                <w:rFonts w:ascii="Arial"/>
                <w:sz w:val="20"/>
              </w:rPr>
            </w:r>
          </w:p>
        </w:tc>
        <w:tc>
          <w:tcPr>
            <w:tcW w:w="1099" w:type="dxa"/>
            <w:tcBorders>
              <w:top w:val="single" w:sz="4" w:space="0" w:color="41B7EE"/>
              <w:left w:val="single" w:sz="4" w:space="0" w:color="41B7EE"/>
              <w:bottom w:val="single" w:sz="4" w:space="0" w:color="41B7EE"/>
              <w:right w:val="nil" w:sz="6" w:space="0" w:color="auto"/>
            </w:tcBorders>
          </w:tcPr>
          <w:p>
            <w:pPr/>
          </w:p>
        </w:tc>
      </w:tr>
      <w:tr>
        <w:trPr>
          <w:trHeight w:val="389" w:hRule="exact"/>
        </w:trPr>
        <w:tc>
          <w:tcPr>
            <w:tcW w:w="3870"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11"/>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870"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437,854,707.75</w:t>
            </w:r>
            <w:r>
              <w:rPr>
                <w:rFonts w:ascii="Arial"/>
                <w:sz w:val="20"/>
              </w:rPr>
            </w:r>
          </w:p>
        </w:tc>
        <w:tc>
          <w:tcPr>
            <w:tcW w:w="1010" w:type="dxa"/>
            <w:tcBorders>
              <w:top w:val="single" w:sz="4" w:space="0" w:color="41B7EE"/>
              <w:left w:val="single" w:sz="4" w:space="0" w:color="41B7EE"/>
              <w:bottom w:val="single" w:sz="8" w:space="0" w:color="41B7EE"/>
              <w:right w:val="single" w:sz="4" w:space="0" w:color="41B7EE"/>
            </w:tcBorders>
          </w:tcPr>
          <w:p>
            <w:pPr/>
          </w:p>
        </w:tc>
        <w:tc>
          <w:tcPr>
            <w:tcW w:w="1016" w:type="dxa"/>
            <w:tcBorders>
              <w:top w:val="single" w:sz="4" w:space="0" w:color="41B7EE"/>
              <w:left w:val="single" w:sz="4" w:space="0" w:color="41B7EE"/>
              <w:bottom w:val="single" w:sz="8" w:space="0" w:color="41B7EE"/>
              <w:right w:val="single" w:sz="4" w:space="0" w:color="41B7EE"/>
            </w:tcBorders>
          </w:tcPr>
          <w:p>
            <w:pPr/>
          </w:p>
        </w:tc>
        <w:tc>
          <w:tcPr>
            <w:tcW w:w="1726"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-28,140,488.11</w:t>
            </w:r>
            <w:r>
              <w:rPr>
                <w:rFonts w:ascii="Arial"/>
                <w:sz w:val="20"/>
              </w:rPr>
            </w:r>
          </w:p>
        </w:tc>
        <w:tc>
          <w:tcPr>
            <w:tcW w:w="1582"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5"/>
              <w:ind w:right="22"/>
              <w:jc w:val="right"/>
              <w:rPr>
                <w:rFonts w:ascii="Arial" w:hAnsi="Arial" w:cs="Arial" w:eastAsia="Arial" w:hint="default"/>
                <w:sz w:val="20"/>
                <w:szCs w:val="20"/>
              </w:rPr>
            </w:pPr>
            <w:r>
              <w:rPr>
                <w:rFonts w:ascii="Arial"/>
                <w:w w:val="95"/>
                <w:sz w:val="20"/>
              </w:rPr>
              <w:t>9,258,492.06</w:t>
            </w:r>
            <w:r>
              <w:rPr>
                <w:rFonts w:ascii="Arial"/>
                <w:sz w:val="20"/>
              </w:rPr>
            </w:r>
          </w:p>
        </w:tc>
        <w:tc>
          <w:tcPr>
            <w:tcW w:w="1759"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418,972,711.70</w:t>
            </w:r>
            <w:r>
              <w:rPr>
                <w:rFonts w:ascii="Arial"/>
                <w:sz w:val="20"/>
              </w:rPr>
            </w:r>
          </w:p>
        </w:tc>
        <w:tc>
          <w:tcPr>
            <w:tcW w:w="1099"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
              <w:ind w:left="21" w:right="0"/>
              <w:jc w:val="left"/>
              <w:rPr>
                <w:rFonts w:ascii="宋体" w:hAnsi="宋体" w:cs="宋体" w:eastAsia="宋体" w:hint="default"/>
                <w:sz w:val="21"/>
                <w:szCs w:val="21"/>
              </w:rPr>
            </w:pPr>
            <w:r>
              <w:rPr>
                <w:rFonts w:ascii="宋体"/>
                <w:w w:val="100"/>
                <w:sz w:val="21"/>
              </w:rPr>
              <w:t> </w:t>
            </w:r>
          </w:p>
        </w:tc>
      </w:tr>
    </w:tbl>
    <w:p>
      <w:pPr>
        <w:pStyle w:val="BodyText"/>
        <w:spacing w:line="267" w:lineRule="exact"/>
        <w:ind w:left="140" w:right="0"/>
        <w:jc w:val="left"/>
        <w:rPr>
          <w:rFonts w:ascii="宋体" w:hAnsi="宋体" w:cs="宋体" w:eastAsia="宋体" w:hint="default"/>
        </w:rPr>
      </w:pPr>
      <w:r>
        <w:rPr/>
        <w:pict>
          <v:group style="position:absolute;margin-left:70.080002pt;margin-top:.440028pt;width:697.55pt;height:1pt;mso-position-horizontal-relative:page;mso-position-vertical-relative:paragraph;z-index:-937912" coordorigin="1402,9" coordsize="13951,20">
            <v:group style="position:absolute;left:1411;top:18;width:3865;height:2" coordorigin="1411,18" coordsize="3865,2">
              <v:shape style="position:absolute;left:1411;top:18;width:3865;height:2" coordorigin="1411,18" coordsize="3865,0" path="m1411,18l5276,18e" filled="false" stroked="true" strokeweight=".95999pt" strokecolor="#41b7ee">
                <v:path arrowok="t"/>
              </v:shape>
            </v:group>
            <v:group style="position:absolute;left:5276;top:18;width:58;height:2" coordorigin="5276,18" coordsize="58,2">
              <v:shape style="position:absolute;left:5276;top:18;width:58;height:2" coordorigin="5276,18" coordsize="58,0" path="m5276,18l5334,18e" filled="false" stroked="true" strokeweight=".95999pt" strokecolor="#41b7ee">
                <v:path arrowok="t"/>
              </v:shape>
            </v:group>
            <v:group style="position:absolute;left:5334;top:18;width:1812;height:2" coordorigin="5334,18" coordsize="1812,2">
              <v:shape style="position:absolute;left:5334;top:18;width:1812;height:2" coordorigin="5334,18" coordsize="1812,0" path="m5334,18l7146,18e" filled="false" stroked="true" strokeweight=".95999pt" strokecolor="#41b7ee">
                <v:path arrowok="t"/>
              </v:shape>
            </v:group>
            <v:group style="position:absolute;left:7146;top:18;width:58;height:2" coordorigin="7146,18" coordsize="58,2">
              <v:shape style="position:absolute;left:7146;top:18;width:58;height:2" coordorigin="7146,18" coordsize="58,0" path="m7146,18l7203,18e" filled="false" stroked="true" strokeweight=".95999pt" strokecolor="#41b7ee">
                <v:path arrowok="t"/>
              </v:shape>
            </v:group>
            <v:group style="position:absolute;left:7203;top:18;width:953;height:2" coordorigin="7203,18" coordsize="953,2">
              <v:shape style="position:absolute;left:7203;top:18;width:953;height:2" coordorigin="7203,18" coordsize="953,0" path="m7203,18l8156,18e" filled="false" stroked="true" strokeweight=".95999pt" strokecolor="#41b7ee">
                <v:path arrowok="t"/>
              </v:shape>
            </v:group>
            <v:group style="position:absolute;left:8156;top:18;width:58;height:2" coordorigin="8156,18" coordsize="58,2">
              <v:shape style="position:absolute;left:8156;top:18;width:58;height:2" coordorigin="8156,18" coordsize="58,0" path="m8156,18l8214,18e" filled="false" stroked="true" strokeweight=".95999pt" strokecolor="#41b7ee">
                <v:path arrowok="t"/>
              </v:shape>
            </v:group>
            <v:group style="position:absolute;left:8214;top:18;width:959;height:2" coordorigin="8214,18" coordsize="959,2">
              <v:shape style="position:absolute;left:8214;top:18;width:959;height:2" coordorigin="8214,18" coordsize="959,0" path="m8214,18l9172,18e" filled="false" stroked="true" strokeweight=".95999pt" strokecolor="#41b7ee">
                <v:path arrowok="t"/>
              </v:shape>
            </v:group>
            <v:group style="position:absolute;left:9172;top:18;width:58;height:2" coordorigin="9172,18" coordsize="58,2">
              <v:shape style="position:absolute;left:9172;top:18;width:58;height:2" coordorigin="9172,18" coordsize="58,0" path="m9172,18l9229,18e" filled="false" stroked="true" strokeweight=".95999pt" strokecolor="#41b7ee">
                <v:path arrowok="t"/>
              </v:shape>
            </v:group>
            <v:group style="position:absolute;left:9229;top:18;width:1668;height:2" coordorigin="9229,18" coordsize="1668,2">
              <v:shape style="position:absolute;left:9229;top:18;width:1668;height:2" coordorigin="9229,18" coordsize="1668,0" path="m9229,18l10897,18e" filled="false" stroked="true" strokeweight=".95999pt" strokecolor="#41b7ee">
                <v:path arrowok="t"/>
              </v:shape>
            </v:group>
            <v:group style="position:absolute;left:10897;top:18;width:58;height:2" coordorigin="10897,18" coordsize="58,2">
              <v:shape style="position:absolute;left:10897;top:18;width:58;height:2" coordorigin="10897,18" coordsize="58,0" path="m10897,18l10955,18e" filled="false" stroked="true" strokeweight=".95999pt" strokecolor="#41b7ee">
                <v:path arrowok="t"/>
              </v:shape>
            </v:group>
            <v:group style="position:absolute;left:10955;top:18;width:1525;height:2" coordorigin="10955,18" coordsize="1525,2">
              <v:shape style="position:absolute;left:10955;top:18;width:1525;height:2" coordorigin="10955,18" coordsize="1525,0" path="m10955,18l12479,18e" filled="false" stroked="true" strokeweight=".95999pt" strokecolor="#41b7ee">
                <v:path arrowok="t"/>
              </v:shape>
            </v:group>
            <v:group style="position:absolute;left:12480;top:18;width:58;height:2" coordorigin="12480,18" coordsize="58,2">
              <v:shape style="position:absolute;left:12480;top:18;width:58;height:2" coordorigin="12480,18" coordsize="58,0" path="m12480,18l12537,18e" filled="false" stroked="true" strokeweight=".95999pt" strokecolor="#41b7ee">
                <v:path arrowok="t"/>
              </v:shape>
            </v:group>
            <v:group style="position:absolute;left:12537;top:18;width:1702;height:2" coordorigin="12537,18" coordsize="1702,2">
              <v:shape style="position:absolute;left:12537;top:18;width:1702;height:2" coordorigin="12537,18" coordsize="1702,0" path="m12537,18l14239,18e" filled="false" stroked="true" strokeweight=".95999pt" strokecolor="#41b7ee">
                <v:path arrowok="t"/>
              </v:shape>
            </v:group>
            <v:group style="position:absolute;left:14239;top:18;width:58;height:2" coordorigin="14239,18" coordsize="58,2">
              <v:shape style="position:absolute;left:14239;top:18;width:58;height:2" coordorigin="14239,18" coordsize="58,0" path="m14239,18l14296,18e" filled="false" stroked="true" strokeweight=".95999pt" strokecolor="#41b7ee">
                <v:path arrowok="t"/>
              </v:shape>
            </v:group>
            <v:group style="position:absolute;left:14296;top:18;width:1047;height:2" coordorigin="14296,18" coordsize="1047,2">
              <v:shape style="position:absolute;left:14296;top:18;width:1047;height:2" coordorigin="14296,18" coordsize="1047,0" path="m14296,18l15343,18e" filled="false" stroked="true" strokeweight=".95999pt" strokecolor="#41b7ee">
                <v:path arrowok="t"/>
              </v:shape>
            </v:group>
            <w10:wrap type="none"/>
          </v:group>
        </w:pict>
      </w:r>
      <w:r>
        <w:rPr>
          <w:rFonts w:ascii="宋体"/>
          <w:w w:val="100"/>
        </w:rPr>
        <w:t> </w:t>
      </w:r>
    </w:p>
    <w:p>
      <w:pPr>
        <w:pStyle w:val="BodyText"/>
        <w:spacing w:line="272" w:lineRule="exact"/>
        <w:ind w:left="140" w:right="0"/>
        <w:jc w:val="left"/>
        <w:rPr>
          <w:rFonts w:ascii="宋体" w:hAnsi="宋体" w:cs="宋体" w:eastAsia="宋体" w:hint="default"/>
        </w:rPr>
      </w:pPr>
      <w:r>
        <w:rPr>
          <w:rFonts w:ascii="宋体"/>
          <w:w w:val="100"/>
        </w:rPr>
        <w:t> </w:t>
      </w:r>
    </w:p>
    <w:p>
      <w:pPr>
        <w:pStyle w:val="BodyText"/>
        <w:spacing w:line="274" w:lineRule="exact"/>
        <w:ind w:left="140"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6840" w:h="11910" w:orient="landscape"/>
          <w:pgMar w:top="1360" w:bottom="1380" w:left="1300" w:right="1300"/>
        </w:sectPr>
      </w:pPr>
    </w:p>
    <w:p>
      <w:pPr>
        <w:spacing w:line="240" w:lineRule="auto" w:before="13"/>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headerReference w:type="default" r:id="rId101"/>
          <w:footerReference w:type="default" r:id="rId102"/>
          <w:pgSz w:w="11910" w:h="16840"/>
          <w:pgMar w:header="826" w:footer="1195" w:top="1360" w:bottom="1380" w:left="1560" w:right="1000"/>
          <w:pgNumType w:start="172"/>
        </w:sectPr>
      </w:pPr>
    </w:p>
    <w:p>
      <w:pPr>
        <w:pStyle w:val="Heading2"/>
        <w:spacing w:line="240" w:lineRule="auto" w:before="36"/>
        <w:ind w:left="238" w:right="0"/>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2"/>
        <w:spacing w:line="240" w:lineRule="auto" w:before="58"/>
        <w:ind w:left="23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560" w:right="1000"/>
          <w:cols w:num="2" w:equalWidth="0">
            <w:col w:w="3191" w:space="3331"/>
            <w:col w:w="2828"/>
          </w:cols>
        </w:sectPr>
      </w:pPr>
    </w:p>
    <w:p>
      <w:pPr>
        <w:spacing w:line="240" w:lineRule="auto" w:before="4"/>
        <w:rPr>
          <w:rFonts w:ascii="宋体" w:hAnsi="宋体" w:cs="宋体" w:eastAsia="宋体" w:hint="default"/>
          <w:sz w:val="2"/>
          <w:szCs w:val="2"/>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1990;height:2" coordorigin="10,10" coordsize="1990,2">
              <v:shape style="position:absolute;left:10;top:10;width:1990;height:2" coordorigin="10,10" coordsize="1990,0" path="m10,10l1999,10e" filled="false" stroked="true" strokeweight=".96001pt" strokecolor="#41b7ee">
                <v:path arrowok="t"/>
              </v:shape>
            </v:group>
            <v:group style="position:absolute;left:1999;top:10;width:58;height:2" coordorigin="1999,10" coordsize="58,2">
              <v:shape style="position:absolute;left:1999;top:10;width:58;height:2" coordorigin="1999,10" coordsize="58,0" path="m1999,10l2057,10e" filled="false" stroked="true" strokeweight=".96001pt" strokecolor="#41b7ee">
                <v:path arrowok="t"/>
              </v:shape>
            </v:group>
            <v:group style="position:absolute;left:2057;top:10;width:3472;height:2" coordorigin="2057,10" coordsize="3472,2">
              <v:shape style="position:absolute;left:2057;top:10;width:3472;height:2" coordorigin="2057,10" coordsize="3472,0" path="m2057,10l5528,10e" filled="false" stroked="true" strokeweight=".96001pt" strokecolor="#41b7ee">
                <v:path arrowok="t"/>
              </v:shape>
            </v:group>
            <v:group style="position:absolute;left:5528;top:10;width:58;height:2" coordorigin="5528,10" coordsize="58,2">
              <v:shape style="position:absolute;left:5528;top:10;width:58;height:2" coordorigin="5528,10" coordsize="58,0" path="m5528,10l5586,10e" filled="false" stroked="true" strokeweight=".96001pt" strokecolor="#41b7ee">
                <v:path arrowok="t"/>
              </v:shape>
            </v:group>
            <v:group style="position:absolute;left:5586;top:10;width:3474;height:2" coordorigin="5586,10" coordsize="3474,2">
              <v:shape style="position:absolute;left:5586;top:10;width:3474;height:2" coordorigin="5586,10" coordsize="3474,0" path="m5586,10l9059,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1994"/>
        <w:gridCol w:w="1853"/>
        <w:gridCol w:w="1676"/>
        <w:gridCol w:w="1851"/>
        <w:gridCol w:w="1675"/>
      </w:tblGrid>
      <w:tr>
        <w:trPr>
          <w:trHeight w:val="365" w:hRule="exact"/>
        </w:trPr>
        <w:tc>
          <w:tcPr>
            <w:tcW w:w="1994" w:type="dxa"/>
            <w:vMerge w:val="restart"/>
            <w:tcBorders>
              <w:top w:val="single" w:sz="8" w:space="0" w:color="41B7EE"/>
              <w:left w:val="nil" w:sz="6" w:space="0" w:color="auto"/>
              <w:right w:val="single" w:sz="4" w:space="0" w:color="41B7EE"/>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529" w:type="dxa"/>
            <w:gridSpan w:val="2"/>
            <w:tcBorders>
              <w:top w:val="single" w:sz="8" w:space="0" w:color="41B7EE"/>
              <w:left w:val="single" w:sz="4" w:space="0" w:color="41B7EE"/>
              <w:bottom w:val="single" w:sz="4" w:space="0" w:color="41B7EE"/>
              <w:right w:val="single" w:sz="4" w:space="0" w:color="41B7EE"/>
            </w:tcBorders>
          </w:tcPr>
          <w:p>
            <w:pPr>
              <w:pStyle w:val="TableParagraph"/>
              <w:spacing w:line="240" w:lineRule="auto" w:before="6"/>
              <w:ind w:left="123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526" w:type="dxa"/>
            <w:gridSpan w:val="2"/>
            <w:tcBorders>
              <w:top w:val="single" w:sz="8" w:space="0" w:color="41B7EE"/>
              <w:left w:val="single" w:sz="4" w:space="0" w:color="41B7EE"/>
              <w:bottom w:val="single" w:sz="4" w:space="0" w:color="41B7EE"/>
              <w:right w:val="nil" w:sz="6" w:space="0" w:color="auto"/>
            </w:tcBorders>
          </w:tcPr>
          <w:p>
            <w:pPr>
              <w:pStyle w:val="TableParagraph"/>
              <w:spacing w:line="240" w:lineRule="auto" w:before="6"/>
              <w:ind w:left="123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58" w:hRule="exact"/>
        </w:trPr>
        <w:tc>
          <w:tcPr>
            <w:tcW w:w="1994" w:type="dxa"/>
            <w:vMerge/>
            <w:tcBorders>
              <w:left w:val="nil" w:sz="6" w:space="0" w:color="auto"/>
              <w:bottom w:val="single" w:sz="4" w:space="0" w:color="41B7EE"/>
              <w:right w:val="single" w:sz="4" w:space="0" w:color="41B7EE"/>
            </w:tcBorders>
          </w:tcPr>
          <w:p>
            <w:pPr/>
          </w:p>
        </w:tc>
        <w:tc>
          <w:tcPr>
            <w:tcW w:w="185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103"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67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98" w:right="0"/>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85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710"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67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621"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355" w:hRule="exact"/>
        </w:trPr>
        <w:tc>
          <w:tcPr>
            <w:tcW w:w="199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185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0"/>
              <w:jc w:val="center"/>
              <w:rPr>
                <w:rFonts w:ascii="Arial" w:hAnsi="Arial" w:cs="Arial" w:eastAsia="Arial" w:hint="default"/>
                <w:sz w:val="21"/>
                <w:szCs w:val="21"/>
              </w:rPr>
            </w:pPr>
            <w:r>
              <w:rPr>
                <w:rFonts w:ascii="Arial"/>
                <w:sz w:val="21"/>
              </w:rPr>
              <w:t>2,675,129,872.46</w:t>
            </w:r>
          </w:p>
        </w:tc>
        <w:tc>
          <w:tcPr>
            <w:tcW w:w="1676" w:type="dxa"/>
            <w:tcBorders>
              <w:top w:val="single" w:sz="4" w:space="0" w:color="41B7EE"/>
              <w:left w:val="single" w:sz="4" w:space="0" w:color="41B7EE"/>
              <w:bottom w:val="single" w:sz="4" w:space="0" w:color="41B7EE"/>
              <w:right w:val="single" w:sz="4" w:space="0" w:color="41B7EE"/>
            </w:tcBorders>
          </w:tcPr>
          <w:p>
            <w:pPr/>
          </w:p>
        </w:tc>
        <w:tc>
          <w:tcPr>
            <w:tcW w:w="185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2,697,131,614.70</w:t>
            </w:r>
          </w:p>
        </w:tc>
        <w:tc>
          <w:tcPr>
            <w:tcW w:w="167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19,304,133.88</w:t>
            </w:r>
          </w:p>
        </w:tc>
      </w:tr>
      <w:tr>
        <w:trPr>
          <w:trHeight w:val="358" w:hRule="exact"/>
        </w:trPr>
        <w:tc>
          <w:tcPr>
            <w:tcW w:w="1994"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其他业务</w:t>
            </w:r>
            <w:r>
              <w:rPr>
                <w:rFonts w:ascii="宋体" w:hAnsi="宋体" w:cs="宋体" w:eastAsia="宋体" w:hint="default"/>
                <w:sz w:val="21"/>
                <w:szCs w:val="21"/>
              </w:rPr>
              <w:t> </w:t>
            </w:r>
          </w:p>
        </w:tc>
        <w:tc>
          <w:tcPr>
            <w:tcW w:w="1853"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left="175" w:right="0"/>
              <w:jc w:val="center"/>
              <w:rPr>
                <w:rFonts w:ascii="Arial" w:hAnsi="Arial" w:cs="Arial" w:eastAsia="Arial" w:hint="default"/>
                <w:sz w:val="21"/>
                <w:szCs w:val="21"/>
              </w:rPr>
            </w:pPr>
            <w:r>
              <w:rPr>
                <w:rFonts w:ascii="Arial"/>
                <w:sz w:val="21"/>
              </w:rPr>
              <w:t>415,200,438.07</w:t>
            </w:r>
          </w:p>
        </w:tc>
        <w:tc>
          <w:tcPr>
            <w:tcW w:w="1676"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0"/>
              <w:jc w:val="center"/>
              <w:rPr>
                <w:rFonts w:ascii="Arial" w:hAnsi="Arial" w:cs="Arial" w:eastAsia="Arial" w:hint="default"/>
                <w:sz w:val="21"/>
                <w:szCs w:val="21"/>
              </w:rPr>
            </w:pPr>
            <w:r>
              <w:rPr>
                <w:rFonts w:ascii="Arial"/>
                <w:sz w:val="21"/>
              </w:rPr>
              <w:t>414,807,856.19</w:t>
            </w:r>
          </w:p>
        </w:tc>
        <w:tc>
          <w:tcPr>
            <w:tcW w:w="185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299,388,997.67</w:t>
            </w:r>
          </w:p>
        </w:tc>
        <w:tc>
          <w:tcPr>
            <w:tcW w:w="1675"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50"/>
              <w:ind w:right="103"/>
              <w:jc w:val="right"/>
              <w:rPr>
                <w:rFonts w:ascii="Arial" w:hAnsi="Arial" w:cs="Arial" w:eastAsia="Arial" w:hint="default"/>
                <w:sz w:val="21"/>
                <w:szCs w:val="21"/>
              </w:rPr>
            </w:pPr>
            <w:r>
              <w:rPr>
                <w:rFonts w:ascii="Arial"/>
                <w:spacing w:val="-1"/>
                <w:sz w:val="21"/>
              </w:rPr>
              <w:t>292,796,118.39</w:t>
            </w:r>
          </w:p>
        </w:tc>
      </w:tr>
      <w:tr>
        <w:trPr>
          <w:trHeight w:val="384" w:hRule="exact"/>
        </w:trPr>
        <w:tc>
          <w:tcPr>
            <w:tcW w:w="1994"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11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53"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0"/>
              <w:jc w:val="center"/>
              <w:rPr>
                <w:rFonts w:ascii="Arial" w:hAnsi="Arial" w:cs="Arial" w:eastAsia="Arial" w:hint="default"/>
                <w:sz w:val="21"/>
                <w:szCs w:val="21"/>
              </w:rPr>
            </w:pPr>
            <w:r>
              <w:rPr>
                <w:rFonts w:ascii="Arial"/>
                <w:sz w:val="21"/>
              </w:rPr>
              <w:t>3,090,330,310.53</w:t>
            </w:r>
          </w:p>
        </w:tc>
        <w:tc>
          <w:tcPr>
            <w:tcW w:w="1676"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0"/>
              <w:jc w:val="center"/>
              <w:rPr>
                <w:rFonts w:ascii="Arial" w:hAnsi="Arial" w:cs="Arial" w:eastAsia="Arial" w:hint="default"/>
                <w:sz w:val="21"/>
                <w:szCs w:val="21"/>
              </w:rPr>
            </w:pPr>
            <w:r>
              <w:rPr>
                <w:rFonts w:ascii="Arial"/>
                <w:sz w:val="21"/>
              </w:rPr>
              <w:t>414,807,856.19</w:t>
            </w:r>
          </w:p>
        </w:tc>
        <w:tc>
          <w:tcPr>
            <w:tcW w:w="1851"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2,996,520,612.37</w:t>
            </w:r>
          </w:p>
        </w:tc>
        <w:tc>
          <w:tcPr>
            <w:tcW w:w="1675"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312,100,252.27</w:t>
            </w:r>
          </w:p>
        </w:tc>
      </w:tr>
    </w:tbl>
    <w:p>
      <w:pPr>
        <w:spacing w:after="0" w:line="240" w:lineRule="auto"/>
        <w:jc w:val="right"/>
        <w:rPr>
          <w:rFonts w:ascii="Arial" w:hAnsi="Arial" w:cs="Arial" w:eastAsia="Arial" w:hint="default"/>
          <w:sz w:val="21"/>
          <w:szCs w:val="21"/>
        </w:rPr>
        <w:sectPr>
          <w:type w:val="continuous"/>
          <w:pgSz w:w="11910" w:h="16840"/>
          <w:pgMar w:top="1360" w:bottom="1380" w:left="1560" w:right="1000"/>
        </w:sectPr>
      </w:pPr>
    </w:p>
    <w:p>
      <w:pPr>
        <w:pStyle w:val="Heading2"/>
        <w:spacing w:line="240" w:lineRule="auto" w:before="44"/>
        <w:ind w:left="238" w:right="0"/>
        <w:jc w:val="left"/>
        <w:rPr>
          <w:rFonts w:ascii="宋体" w:hAnsi="宋体" w:cs="宋体" w:eastAsia="宋体" w:hint="default"/>
          <w:b w:val="0"/>
          <w:bCs w:val="0"/>
        </w:rPr>
      </w:pPr>
      <w:bookmarkStart w:name="OLE_LINK6" w:id="19"/>
      <w:bookmarkEnd w:id="19"/>
      <w:r>
        <w:rPr>
          <w:b w:val="0"/>
          <w:bCs w:val="0"/>
        </w:rPr>
      </w:r>
      <w:r>
        <w:rPr>
          <w:rFonts w:ascii="宋体" w:hAnsi="宋体" w:cs="宋体" w:eastAsia="宋体" w:hint="default"/>
        </w:rPr>
        <w:t>5</w:t>
      </w:r>
      <w:r>
        <w:rPr/>
        <w:t>、 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9"/>
        <w:rPr>
          <w:rFonts w:ascii="宋体" w:hAnsi="宋体" w:cs="宋体" w:eastAsia="宋体" w:hint="default"/>
          <w:sz w:val="29"/>
          <w:szCs w:val="29"/>
        </w:rPr>
      </w:pPr>
    </w:p>
    <w:p>
      <w:pPr>
        <w:pStyle w:val="BodyText"/>
        <w:spacing w:line="240" w:lineRule="auto"/>
        <w:ind w:left="23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color w:val="FF0000"/>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360" w:bottom="1380" w:left="1560" w:right="1000"/>
          <w:cols w:num="2" w:equalWidth="0">
            <w:col w:w="2024" w:space="4498"/>
            <w:col w:w="2828"/>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772"/>
        <w:gridCol w:w="2201"/>
        <w:gridCol w:w="2076"/>
      </w:tblGrid>
      <w:tr>
        <w:trPr>
          <w:trHeight w:val="384" w:hRule="exact"/>
        </w:trPr>
        <w:tc>
          <w:tcPr>
            <w:tcW w:w="4772"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01"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left="56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076"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50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58" w:hRule="exact"/>
        </w:trPr>
        <w:tc>
          <w:tcPr>
            <w:tcW w:w="477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2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-28,140,488.11</w:t>
            </w:r>
          </w:p>
        </w:tc>
        <w:tc>
          <w:tcPr>
            <w:tcW w:w="207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-46,154,504.89</w:t>
            </w:r>
          </w:p>
        </w:tc>
      </w:tr>
      <w:tr>
        <w:trPr>
          <w:trHeight w:val="355" w:hRule="exact"/>
        </w:trPr>
        <w:tc>
          <w:tcPr>
            <w:tcW w:w="477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可供出售金融资产在持有期间取得的投资收益</w:t>
            </w:r>
            <w:r>
              <w:rPr>
                <w:rFonts w:ascii="宋体" w:hAnsi="宋体" w:cs="宋体" w:eastAsia="宋体" w:hint="default"/>
                <w:sz w:val="21"/>
                <w:szCs w:val="21"/>
              </w:rPr>
              <w:t> </w:t>
            </w:r>
          </w:p>
        </w:tc>
        <w:tc>
          <w:tcPr>
            <w:tcW w:w="2201" w:type="dxa"/>
            <w:tcBorders>
              <w:top w:val="single" w:sz="4" w:space="0" w:color="41B7EE"/>
              <w:left w:val="single" w:sz="4" w:space="0" w:color="41B7EE"/>
              <w:bottom w:val="single" w:sz="4" w:space="0" w:color="41B7EE"/>
              <w:right w:val="single" w:sz="4" w:space="0" w:color="41B7EE"/>
            </w:tcBorders>
          </w:tcPr>
          <w:p>
            <w:pPr/>
          </w:p>
        </w:tc>
        <w:tc>
          <w:tcPr>
            <w:tcW w:w="207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1,210,000.00</w:t>
            </w:r>
          </w:p>
        </w:tc>
      </w:tr>
      <w:tr>
        <w:trPr>
          <w:trHeight w:val="358" w:hRule="exact"/>
        </w:trPr>
        <w:tc>
          <w:tcPr>
            <w:tcW w:w="477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交易性金融资产在持有期间的投资收益</w:t>
            </w:r>
            <w:r>
              <w:rPr>
                <w:rFonts w:ascii="宋体" w:hAnsi="宋体" w:cs="宋体" w:eastAsia="宋体" w:hint="default"/>
                <w:sz w:val="21"/>
                <w:szCs w:val="21"/>
              </w:rPr>
              <w:t> </w:t>
            </w:r>
          </w:p>
        </w:tc>
        <w:tc>
          <w:tcPr>
            <w:tcW w:w="22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89,143,107.45</w:t>
            </w:r>
          </w:p>
        </w:tc>
        <w:tc>
          <w:tcPr>
            <w:tcW w:w="2076" w:type="dxa"/>
            <w:tcBorders>
              <w:top w:val="single" w:sz="4" w:space="0" w:color="41B7EE"/>
              <w:left w:val="single" w:sz="4" w:space="0" w:color="41B7EE"/>
              <w:bottom w:val="single" w:sz="4" w:space="0" w:color="41B7EE"/>
              <w:right w:val="nil" w:sz="6" w:space="0" w:color="auto"/>
            </w:tcBorders>
          </w:tcPr>
          <w:p>
            <w:pPr/>
          </w:p>
        </w:tc>
      </w:tr>
      <w:tr>
        <w:trPr>
          <w:trHeight w:val="410" w:hRule="exact"/>
        </w:trPr>
        <w:tc>
          <w:tcPr>
            <w:tcW w:w="477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30"/>
              <w:ind w:left="107"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其他权益工具投资在持有期间取得的股利收入</w:t>
            </w:r>
            <w:r>
              <w:rPr>
                <w:rFonts w:ascii="宋体" w:hAnsi="宋体" w:cs="宋体" w:eastAsia="宋体" w:hint="default"/>
                <w:sz w:val="21"/>
                <w:szCs w:val="21"/>
              </w:rPr>
              <w:t> </w:t>
            </w:r>
          </w:p>
        </w:tc>
        <w:tc>
          <w:tcPr>
            <w:tcW w:w="2201"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22"/>
              <w:ind w:right="101"/>
              <w:jc w:val="right"/>
              <w:rPr>
                <w:rFonts w:ascii="Arial" w:hAnsi="Arial" w:cs="Arial" w:eastAsia="Arial" w:hint="default"/>
                <w:sz w:val="21"/>
                <w:szCs w:val="21"/>
              </w:rPr>
            </w:pPr>
            <w:r>
              <w:rPr>
                <w:rFonts w:ascii="Arial"/>
                <w:spacing w:val="-1"/>
                <w:sz w:val="21"/>
              </w:rPr>
              <w:t>1,210,000.00</w:t>
            </w:r>
          </w:p>
        </w:tc>
        <w:tc>
          <w:tcPr>
            <w:tcW w:w="2076" w:type="dxa"/>
            <w:tcBorders>
              <w:top w:val="single" w:sz="4" w:space="0" w:color="41B7EE"/>
              <w:left w:val="single" w:sz="4" w:space="0" w:color="41B7EE"/>
              <w:bottom w:val="single" w:sz="4" w:space="0" w:color="41B7EE"/>
              <w:right w:val="nil" w:sz="6" w:space="0" w:color="auto"/>
            </w:tcBorders>
          </w:tcPr>
          <w:p>
            <w:pPr/>
          </w:p>
        </w:tc>
      </w:tr>
      <w:tr>
        <w:trPr>
          <w:trHeight w:val="358" w:hRule="exact"/>
        </w:trPr>
        <w:tc>
          <w:tcPr>
            <w:tcW w:w="4772"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201" w:type="dxa"/>
            <w:tcBorders>
              <w:top w:val="single" w:sz="4" w:space="0" w:color="41B7EE"/>
              <w:left w:val="single" w:sz="4" w:space="0" w:color="41B7EE"/>
              <w:bottom w:val="single" w:sz="4" w:space="0" w:color="41B7EE"/>
              <w:right w:val="single" w:sz="4" w:space="0" w:color="41B7EE"/>
            </w:tcBorders>
          </w:tcPr>
          <w:p>
            <w:pPr/>
          </w:p>
        </w:tc>
        <w:tc>
          <w:tcPr>
            <w:tcW w:w="2076"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98,913,956.03</w:t>
            </w:r>
          </w:p>
        </w:tc>
      </w:tr>
      <w:tr>
        <w:trPr>
          <w:trHeight w:val="384" w:hRule="exact"/>
        </w:trPr>
        <w:tc>
          <w:tcPr>
            <w:tcW w:w="4772"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2"/>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01"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62,212,619.34</w:t>
            </w:r>
          </w:p>
        </w:tc>
        <w:tc>
          <w:tcPr>
            <w:tcW w:w="2076"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53,969,451.14</w:t>
            </w:r>
          </w:p>
        </w:tc>
      </w:tr>
    </w:tbl>
    <w:p>
      <w:pPr>
        <w:spacing w:after="0" w:line="240" w:lineRule="auto"/>
        <w:jc w:val="right"/>
        <w:rPr>
          <w:rFonts w:ascii="Arial" w:hAnsi="Arial" w:cs="Arial" w:eastAsia="Arial" w:hint="default"/>
          <w:sz w:val="21"/>
          <w:szCs w:val="21"/>
        </w:rPr>
        <w:sectPr>
          <w:type w:val="continuous"/>
          <w:pgSz w:w="11910" w:h="16840"/>
          <w:pgMar w:top="1360" w:bottom="1380" w:left="1560" w:right="1000"/>
        </w:sectPr>
      </w:pPr>
    </w:p>
    <w:p>
      <w:pPr>
        <w:pStyle w:val="Heading2"/>
        <w:spacing w:line="240" w:lineRule="auto" w:before="26"/>
        <w:ind w:left="238" w:right="555"/>
        <w:jc w:val="left"/>
        <w:rPr>
          <w:b w:val="0"/>
          <w:bCs w:val="0"/>
        </w:rPr>
      </w:pPr>
      <w:r>
        <w:rPr>
          <w:rFonts w:ascii="宋体" w:hAnsi="宋体" w:cs="宋体" w:eastAsia="宋体" w:hint="default"/>
        </w:rPr>
        <w:t>6</w:t>
      </w:r>
      <w:r>
        <w:rPr/>
        <w:t>、</w:t>
      </w:r>
      <w:r>
        <w:rPr>
          <w:spacing w:val="2"/>
        </w:rPr>
        <w:t> </w:t>
      </w:r>
      <w:r>
        <w:rPr/>
        <w:t>其他</w:t>
      </w:r>
      <w:r>
        <w:rPr>
          <w:b w:val="0"/>
          <w:bCs w:val="0"/>
        </w:rPr>
      </w:r>
    </w:p>
    <w:p>
      <w:pPr>
        <w:spacing w:line="290" w:lineRule="auto" w:before="56"/>
        <w:ind w:left="238" w:right="55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十八、</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b/>
          <w:bCs/>
          <w:sz w:val="21"/>
          <w:szCs w:val="21"/>
        </w:rPr>
        <w:t>补充资料</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4"/>
        <w:ind w:left="238" w:right="0"/>
        <w:jc w:val="left"/>
        <w:rPr>
          <w:rFonts w:ascii="宋体" w:hAnsi="宋体" w:cs="宋体" w:eastAsia="宋体" w:hint="default"/>
          <w:b w:val="0"/>
          <w:bCs w:val="0"/>
        </w:rPr>
      </w:pPr>
      <w:r>
        <w:rPr>
          <w:rFonts w:ascii="宋体" w:hAnsi="宋体" w:cs="宋体" w:eastAsia="宋体" w:hint="default"/>
        </w:rPr>
        <w:t>1</w:t>
      </w:r>
      <w:r>
        <w:rPr/>
        <w:t>、</w:t>
      </w:r>
      <w:r>
        <w:rPr>
          <w:spacing w:val="-2"/>
        </w:rPr>
        <w:t> </w:t>
      </w:r>
      <w:r>
        <w:rPr>
          <w:rFonts w:ascii="宋体" w:hAnsi="宋体" w:cs="宋体" w:eastAsia="宋体" w:hint="default"/>
          <w:spacing w:val="-2"/>
        </w:rPr>
      </w:r>
      <w:r>
        <w:rPr/>
        <w:t>当期非经常性损益明细表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8" w:right="555"/>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360" w:bottom="1380" w:left="1560" w:right="1000"/>
          <w:cols w:num="2" w:equalWidth="0">
            <w:col w:w="3086" w:space="3436"/>
            <w:col w:w="2828"/>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5809"/>
        <w:gridCol w:w="2458"/>
        <w:gridCol w:w="782"/>
      </w:tblGrid>
      <w:tr>
        <w:trPr>
          <w:trHeight w:val="384" w:hRule="exact"/>
        </w:trPr>
        <w:tc>
          <w:tcPr>
            <w:tcW w:w="5809"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6"/>
              <w:ind w:left="108"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458" w:type="dxa"/>
            <w:tcBorders>
              <w:top w:val="single" w:sz="23" w:space="0" w:color="41B7EE"/>
              <w:left w:val="single" w:sz="4" w:space="0" w:color="41B7EE"/>
              <w:bottom w:val="single" w:sz="4" w:space="0" w:color="41B7EE"/>
              <w:right w:val="single" w:sz="4" w:space="0" w:color="41B7EE"/>
            </w:tcBorders>
          </w:tcPr>
          <w:p>
            <w:pPr>
              <w:pStyle w:val="TableParagraph"/>
              <w:spacing w:line="240" w:lineRule="auto" w:before="6"/>
              <w:ind w:left="102"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82" w:type="dxa"/>
            <w:tcBorders>
              <w:top w:val="single" w:sz="23" w:space="0" w:color="41B7EE"/>
              <w:left w:val="single" w:sz="4" w:space="0" w:color="41B7EE"/>
              <w:bottom w:val="single" w:sz="4" w:space="0" w:color="41B7EE"/>
              <w:right w:val="nil" w:sz="6" w:space="0" w:color="auto"/>
            </w:tcBorders>
          </w:tcPr>
          <w:p>
            <w:pPr>
              <w:pStyle w:val="TableParagraph"/>
              <w:spacing w:line="240" w:lineRule="auto" w:before="6"/>
              <w:ind w:left="177" w:right="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358"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r>
              <w:rPr>
                <w:rFonts w:ascii="宋体" w:hAnsi="宋体" w:cs="宋体" w:eastAsia="宋体" w:hint="default"/>
                <w:sz w:val="21"/>
                <w:szCs w:val="21"/>
              </w:rPr>
              <w:t> </w:t>
            </w:r>
          </w:p>
        </w:tc>
        <w:tc>
          <w:tcPr>
            <w:tcW w:w="245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2"/>
              <w:jc w:val="right"/>
              <w:rPr>
                <w:rFonts w:ascii="Arial" w:hAnsi="Arial" w:cs="Arial" w:eastAsia="Arial" w:hint="default"/>
                <w:sz w:val="21"/>
                <w:szCs w:val="21"/>
              </w:rPr>
            </w:pPr>
            <w:r>
              <w:rPr>
                <w:rFonts w:ascii="Arial"/>
                <w:spacing w:val="-1"/>
                <w:sz w:val="21"/>
              </w:rPr>
              <w:t>2,336,134.68</w:t>
            </w:r>
          </w:p>
        </w:tc>
        <w:tc>
          <w:tcPr>
            <w:tcW w:w="78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b/>
                <w:w w:val="99"/>
                <w:sz w:val="21"/>
              </w:rPr>
              <w:t> </w:t>
            </w:r>
            <w:r>
              <w:rPr>
                <w:rFonts w:ascii="宋体"/>
                <w:sz w:val="21"/>
              </w:rPr>
            </w:r>
          </w:p>
        </w:tc>
      </w:tr>
      <w:tr>
        <w:trPr>
          <w:trHeight w:val="554"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pacing w:val="-5"/>
                <w:sz w:val="21"/>
                <w:szCs w:val="21"/>
              </w:rPr>
              <w:t>计入当期损益的政府补助（与企业业务密切相关，按照国家统</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一标准定额或定量享受的政府补助除外）</w:t>
            </w:r>
            <w:r>
              <w:rPr>
                <w:rFonts w:ascii="宋体" w:hAnsi="宋体" w:cs="宋体" w:eastAsia="宋体" w:hint="default"/>
                <w:sz w:val="21"/>
                <w:szCs w:val="21"/>
              </w:rPr>
              <w:t> </w:t>
            </w:r>
          </w:p>
        </w:tc>
        <w:tc>
          <w:tcPr>
            <w:tcW w:w="245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146"/>
              <w:ind w:right="102"/>
              <w:jc w:val="right"/>
              <w:rPr>
                <w:rFonts w:ascii="Arial" w:hAnsi="Arial" w:cs="Arial" w:eastAsia="Arial" w:hint="default"/>
                <w:sz w:val="21"/>
                <w:szCs w:val="21"/>
              </w:rPr>
            </w:pPr>
            <w:r>
              <w:rPr>
                <w:rFonts w:ascii="Arial"/>
                <w:spacing w:val="-1"/>
                <w:sz w:val="21"/>
              </w:rPr>
              <w:t>1,133,301.63</w:t>
            </w:r>
          </w:p>
        </w:tc>
        <w:tc>
          <w:tcPr>
            <w:tcW w:w="78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358"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r>
              <w:rPr>
                <w:rFonts w:ascii="宋体" w:hAnsi="宋体" w:cs="宋体" w:eastAsia="宋体" w:hint="default"/>
                <w:sz w:val="21"/>
                <w:szCs w:val="21"/>
              </w:rPr>
              <w:t> </w:t>
            </w:r>
          </w:p>
        </w:tc>
        <w:tc>
          <w:tcPr>
            <w:tcW w:w="245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19,508.78</w:t>
            </w:r>
          </w:p>
        </w:tc>
        <w:tc>
          <w:tcPr>
            <w:tcW w:w="78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356"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r>
              <w:rPr>
                <w:rFonts w:ascii="宋体" w:hAnsi="宋体" w:cs="宋体" w:eastAsia="宋体" w:hint="default"/>
                <w:sz w:val="21"/>
                <w:szCs w:val="21"/>
              </w:rPr>
              <w:t> </w:t>
            </w:r>
          </w:p>
        </w:tc>
        <w:tc>
          <w:tcPr>
            <w:tcW w:w="245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2"/>
              <w:jc w:val="right"/>
              <w:rPr>
                <w:rFonts w:ascii="Arial" w:hAnsi="Arial" w:cs="Arial" w:eastAsia="Arial" w:hint="default"/>
                <w:sz w:val="21"/>
                <w:szCs w:val="21"/>
              </w:rPr>
            </w:pPr>
            <w:r>
              <w:rPr>
                <w:rFonts w:ascii="Arial"/>
                <w:spacing w:val="-1"/>
                <w:sz w:val="21"/>
              </w:rPr>
              <w:t>1,195,269.46</w:t>
            </w:r>
          </w:p>
        </w:tc>
        <w:tc>
          <w:tcPr>
            <w:tcW w:w="78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358"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r>
              <w:rPr>
                <w:rFonts w:ascii="宋体" w:hAnsi="宋体" w:cs="宋体" w:eastAsia="宋体" w:hint="default"/>
                <w:sz w:val="21"/>
                <w:szCs w:val="21"/>
              </w:rPr>
              <w:t> </w:t>
            </w:r>
          </w:p>
        </w:tc>
        <w:tc>
          <w:tcPr>
            <w:tcW w:w="245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-176,852,570.85</w:t>
            </w:r>
          </w:p>
        </w:tc>
        <w:tc>
          <w:tcPr>
            <w:tcW w:w="78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358" w:hRule="exact"/>
        </w:trPr>
        <w:tc>
          <w:tcPr>
            <w:tcW w:w="5809"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r>
              <w:rPr>
                <w:rFonts w:ascii="宋体" w:hAnsi="宋体" w:cs="宋体" w:eastAsia="宋体" w:hint="default"/>
                <w:sz w:val="21"/>
                <w:szCs w:val="21"/>
              </w:rPr>
              <w:t> </w:t>
            </w:r>
          </w:p>
        </w:tc>
        <w:tc>
          <w:tcPr>
            <w:tcW w:w="2458"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8"/>
              <w:ind w:right="102"/>
              <w:jc w:val="right"/>
              <w:rPr>
                <w:rFonts w:ascii="Arial" w:hAnsi="Arial" w:cs="Arial" w:eastAsia="Arial" w:hint="default"/>
                <w:sz w:val="21"/>
                <w:szCs w:val="21"/>
              </w:rPr>
            </w:pPr>
            <w:r>
              <w:rPr>
                <w:rFonts w:ascii="Arial"/>
                <w:spacing w:val="-1"/>
                <w:sz w:val="21"/>
              </w:rPr>
              <w:t>-413,403.80</w:t>
            </w:r>
          </w:p>
        </w:tc>
        <w:tc>
          <w:tcPr>
            <w:tcW w:w="782"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384" w:hRule="exact"/>
        </w:trPr>
        <w:tc>
          <w:tcPr>
            <w:tcW w:w="5809" w:type="dxa"/>
            <w:tcBorders>
              <w:top w:val="single" w:sz="4" w:space="0" w:color="41B7EE"/>
              <w:left w:val="nil" w:sz="6" w:space="0" w:color="auto"/>
              <w:bottom w:val="single" w:sz="23" w:space="0" w:color="41B7EE"/>
              <w:right w:val="single" w:sz="4" w:space="0" w:color="41B7EE"/>
            </w:tcBorders>
          </w:tcPr>
          <w:p>
            <w:pPr>
              <w:pStyle w:val="TableParagraph"/>
              <w:spacing w:line="240" w:lineRule="auto" w:before="4"/>
              <w:ind w:left="10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58"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-172,581,760.10</w:t>
            </w:r>
          </w:p>
        </w:tc>
        <w:tc>
          <w:tcPr>
            <w:tcW w:w="782"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pStyle w:val="Heading2"/>
        <w:spacing w:line="240" w:lineRule="auto" w:before="26"/>
        <w:ind w:left="238" w:right="0"/>
        <w:jc w:val="left"/>
        <w:rPr>
          <w:b w:val="0"/>
          <w:bCs w:val="0"/>
        </w:rPr>
      </w:pPr>
      <w:r>
        <w:rPr>
          <w:rFonts w:ascii="宋体" w:hAnsi="宋体" w:cs="宋体" w:eastAsia="宋体" w:hint="default"/>
        </w:rPr>
        <w:t>2</w:t>
      </w:r>
      <w:r>
        <w:rPr/>
        <w:t>、 </w:t>
      </w:r>
      <w:r>
        <w:rPr>
          <w:rFonts w:ascii="宋体" w:hAnsi="宋体" w:cs="宋体" w:eastAsia="宋体" w:hint="default"/>
        </w:rPr>
      </w:r>
      <w:r>
        <w:rPr/>
        <w:t>净资产收益率及每股收益</w:t>
      </w:r>
      <w:r>
        <w:rPr>
          <w:b w:val="0"/>
          <w:bCs w:val="0"/>
        </w:rPr>
      </w:r>
    </w:p>
    <w:p>
      <w:pPr>
        <w:pStyle w:val="BodyText"/>
        <w:spacing w:line="240" w:lineRule="auto" w:before="56"/>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914"/>
        <w:gridCol w:w="2026"/>
        <w:gridCol w:w="2030"/>
        <w:gridCol w:w="2079"/>
      </w:tblGrid>
      <w:tr>
        <w:trPr>
          <w:trHeight w:val="382" w:hRule="exact"/>
        </w:trPr>
        <w:tc>
          <w:tcPr>
            <w:tcW w:w="2914" w:type="dxa"/>
            <w:vMerge w:val="restart"/>
            <w:tcBorders>
              <w:top w:val="single" w:sz="23" w:space="0" w:color="41B7EE"/>
              <w:left w:val="nil" w:sz="6" w:space="0" w:color="auto"/>
              <w:right w:val="single" w:sz="4" w:space="0" w:color="41B7EE"/>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31" w:right="0"/>
              <w:jc w:val="left"/>
              <w:rPr>
                <w:rFonts w:ascii="宋体" w:hAnsi="宋体" w:cs="宋体" w:eastAsia="宋体" w:hint="default"/>
                <w:sz w:val="21"/>
                <w:szCs w:val="21"/>
              </w:rPr>
            </w:pPr>
            <w:r>
              <w:rPr>
                <w:rFonts w:ascii="宋体" w:hAnsi="宋体" w:cs="宋体" w:eastAsia="宋体" w:hint="default"/>
                <w:sz w:val="21"/>
                <w:szCs w:val="21"/>
              </w:rPr>
              <w:t>报告期利润</w:t>
            </w:r>
            <w:r>
              <w:rPr>
                <w:rFonts w:ascii="宋体" w:hAnsi="宋体" w:cs="宋体" w:eastAsia="宋体" w:hint="default"/>
                <w:sz w:val="21"/>
                <w:szCs w:val="21"/>
              </w:rPr>
              <w:t> </w:t>
            </w:r>
          </w:p>
        </w:tc>
        <w:tc>
          <w:tcPr>
            <w:tcW w:w="2026" w:type="dxa"/>
            <w:vMerge w:val="restart"/>
            <w:tcBorders>
              <w:top w:val="single" w:sz="23" w:space="0" w:color="41B7EE"/>
              <w:left w:val="single" w:sz="4" w:space="0" w:color="41B7EE"/>
              <w:right w:val="single" w:sz="4" w:space="0" w:color="41B7EE"/>
            </w:tcBorders>
          </w:tcPr>
          <w:p>
            <w:pPr>
              <w:pStyle w:val="TableParagraph"/>
              <w:spacing w:line="272" w:lineRule="exact" w:before="75"/>
              <w:ind w:left="535" w:right="163" w:hanging="368"/>
              <w:jc w:val="left"/>
              <w:rPr>
                <w:rFonts w:ascii="宋体" w:hAnsi="宋体" w:cs="宋体" w:eastAsia="宋体" w:hint="default"/>
                <w:sz w:val="21"/>
                <w:szCs w:val="21"/>
              </w:rPr>
            </w:pPr>
            <w:r>
              <w:rPr>
                <w:rFonts w:ascii="宋体" w:hAnsi="宋体" w:cs="宋体" w:eastAsia="宋体" w:hint="default"/>
                <w:sz w:val="21"/>
                <w:szCs w:val="21"/>
              </w:rPr>
              <w:t>加权平均净资产收</w:t>
            </w:r>
            <w:r>
              <w:rPr>
                <w:rFonts w:ascii="宋体" w:hAnsi="宋体" w:cs="宋体" w:eastAsia="宋体" w:hint="default"/>
                <w:w w:val="100"/>
                <w:sz w:val="21"/>
                <w:szCs w:val="21"/>
              </w:rPr>
              <w:t> </w:t>
            </w:r>
            <w:r>
              <w:rPr>
                <w:rFonts w:ascii="宋体" w:hAnsi="宋体" w:cs="宋体" w:eastAsia="宋体" w:hint="default"/>
                <w:sz w:val="21"/>
                <w:szCs w:val="21"/>
              </w:rPr>
              <w:t>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4109" w:type="dxa"/>
            <w:gridSpan w:val="2"/>
            <w:tcBorders>
              <w:top w:val="single" w:sz="23" w:space="0" w:color="41B7EE"/>
              <w:left w:val="single" w:sz="4" w:space="0" w:color="41B7EE"/>
              <w:bottom w:val="single" w:sz="4" w:space="0" w:color="41B7EE"/>
              <w:right w:val="nil" w:sz="6" w:space="0" w:color="auto"/>
            </w:tcBorders>
          </w:tcPr>
          <w:p>
            <w:pPr>
              <w:pStyle w:val="TableParagraph"/>
              <w:spacing w:line="240" w:lineRule="auto" w:before="4"/>
              <w:ind w:left="100" w:right="0"/>
              <w:jc w:val="center"/>
              <w:rPr>
                <w:rFonts w:ascii="宋体" w:hAnsi="宋体" w:cs="宋体" w:eastAsia="宋体" w:hint="default"/>
                <w:sz w:val="21"/>
                <w:szCs w:val="21"/>
              </w:rPr>
            </w:pPr>
            <w:r>
              <w:rPr>
                <w:rFonts w:ascii="宋体" w:hAnsi="宋体" w:cs="宋体" w:eastAsia="宋体" w:hint="default"/>
                <w:sz w:val="21"/>
                <w:szCs w:val="21"/>
              </w:rPr>
              <w:t>每股收益</w:t>
            </w:r>
            <w:r>
              <w:rPr>
                <w:rFonts w:ascii="宋体" w:hAnsi="宋体" w:cs="宋体" w:eastAsia="宋体" w:hint="default"/>
                <w:sz w:val="21"/>
                <w:szCs w:val="21"/>
              </w:rPr>
              <w:t> </w:t>
            </w:r>
          </w:p>
        </w:tc>
      </w:tr>
      <w:tr>
        <w:trPr>
          <w:trHeight w:val="358" w:hRule="exact"/>
        </w:trPr>
        <w:tc>
          <w:tcPr>
            <w:tcW w:w="2914" w:type="dxa"/>
            <w:vMerge/>
            <w:tcBorders>
              <w:left w:val="nil" w:sz="6" w:space="0" w:color="auto"/>
              <w:bottom w:val="single" w:sz="4" w:space="0" w:color="41B7EE"/>
              <w:right w:val="single" w:sz="4" w:space="0" w:color="41B7EE"/>
            </w:tcBorders>
          </w:tcPr>
          <w:p>
            <w:pPr/>
          </w:p>
        </w:tc>
        <w:tc>
          <w:tcPr>
            <w:tcW w:w="2026" w:type="dxa"/>
            <w:vMerge/>
            <w:tcBorders>
              <w:left w:val="single" w:sz="4" w:space="0" w:color="41B7EE"/>
              <w:bottom w:val="single" w:sz="4" w:space="0" w:color="41B7EE"/>
              <w:right w:val="single" w:sz="4" w:space="0" w:color="41B7EE"/>
            </w:tcBorders>
          </w:tcPr>
          <w:p>
            <w:pPr/>
          </w:p>
        </w:tc>
        <w:tc>
          <w:tcPr>
            <w:tcW w:w="2030" w:type="dxa"/>
            <w:tcBorders>
              <w:top w:val="single" w:sz="4" w:space="0" w:color="41B7EE"/>
              <w:left w:val="single" w:sz="4" w:space="0" w:color="41B7EE"/>
              <w:bottom w:val="single" w:sz="4" w:space="0" w:color="41B7EE"/>
              <w:right w:val="single" w:sz="4" w:space="0" w:color="41B7EE"/>
            </w:tcBorders>
          </w:tcPr>
          <w:p>
            <w:pPr>
              <w:pStyle w:val="TableParagraph"/>
              <w:spacing w:line="240" w:lineRule="auto" w:before="4"/>
              <w:ind w:left="379" w:right="0"/>
              <w:jc w:val="left"/>
              <w:rPr>
                <w:rFonts w:ascii="宋体" w:hAnsi="宋体" w:cs="宋体" w:eastAsia="宋体" w:hint="default"/>
                <w:sz w:val="21"/>
                <w:szCs w:val="21"/>
              </w:rPr>
            </w:pPr>
            <w:r>
              <w:rPr>
                <w:rFonts w:ascii="宋体" w:hAnsi="宋体" w:cs="宋体" w:eastAsia="宋体" w:hint="default"/>
                <w:sz w:val="21"/>
                <w:szCs w:val="21"/>
              </w:rPr>
              <w:t>基本每股收益</w:t>
            </w:r>
            <w:r>
              <w:rPr>
                <w:rFonts w:ascii="宋体" w:hAnsi="宋体" w:cs="宋体" w:eastAsia="宋体" w:hint="default"/>
                <w:sz w:val="21"/>
                <w:szCs w:val="21"/>
              </w:rPr>
              <w:t> </w:t>
            </w:r>
          </w:p>
        </w:tc>
        <w:tc>
          <w:tcPr>
            <w:tcW w:w="2079"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403" w:right="0"/>
              <w:jc w:val="left"/>
              <w:rPr>
                <w:rFonts w:ascii="宋体" w:hAnsi="宋体" w:cs="宋体" w:eastAsia="宋体" w:hint="default"/>
                <w:sz w:val="21"/>
                <w:szCs w:val="21"/>
              </w:rPr>
            </w:pPr>
            <w:r>
              <w:rPr>
                <w:rFonts w:ascii="宋体" w:hAnsi="宋体" w:cs="宋体" w:eastAsia="宋体" w:hint="default"/>
                <w:sz w:val="21"/>
                <w:szCs w:val="21"/>
              </w:rPr>
              <w:t>稀释每股收益</w:t>
            </w:r>
            <w:r>
              <w:rPr>
                <w:rFonts w:ascii="宋体" w:hAnsi="宋体" w:cs="宋体" w:eastAsia="宋体" w:hint="default"/>
                <w:sz w:val="21"/>
                <w:szCs w:val="21"/>
              </w:rPr>
              <w:t> </w:t>
            </w:r>
          </w:p>
        </w:tc>
      </w:tr>
      <w:tr>
        <w:trPr>
          <w:trHeight w:val="365" w:hRule="exact"/>
        </w:trPr>
        <w:tc>
          <w:tcPr>
            <w:tcW w:w="2914"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tc>
        <w:tc>
          <w:tcPr>
            <w:tcW w:w="2026"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7"/>
              <w:ind w:right="99"/>
              <w:jc w:val="right"/>
              <w:rPr>
                <w:rFonts w:ascii="Arial" w:hAnsi="Arial" w:cs="Arial" w:eastAsia="Arial" w:hint="default"/>
                <w:sz w:val="21"/>
                <w:szCs w:val="21"/>
              </w:rPr>
            </w:pPr>
            <w:r>
              <w:rPr>
                <w:rFonts w:ascii="Arial"/>
                <w:spacing w:val="-1"/>
                <w:sz w:val="21"/>
              </w:rPr>
              <w:t>13.02</w:t>
            </w:r>
          </w:p>
        </w:tc>
        <w:tc>
          <w:tcPr>
            <w:tcW w:w="2030" w:type="dxa"/>
            <w:tcBorders>
              <w:top w:val="single" w:sz="4" w:space="0" w:color="41B7EE"/>
              <w:left w:val="single" w:sz="4" w:space="0" w:color="41B7EE"/>
              <w:bottom w:val="single" w:sz="8" w:space="0" w:color="41B7EE"/>
              <w:right w:val="single" w:sz="4" w:space="0" w:color="41B7EE"/>
            </w:tcBorders>
          </w:tcPr>
          <w:p>
            <w:pPr>
              <w:pStyle w:val="TableParagraph"/>
              <w:spacing w:line="240" w:lineRule="auto" w:before="47"/>
              <w:ind w:right="99"/>
              <w:jc w:val="right"/>
              <w:rPr>
                <w:rFonts w:ascii="Arial" w:hAnsi="Arial" w:cs="Arial" w:eastAsia="Arial" w:hint="default"/>
                <w:sz w:val="21"/>
                <w:szCs w:val="21"/>
              </w:rPr>
            </w:pPr>
            <w:r>
              <w:rPr>
                <w:rFonts w:ascii="Arial"/>
                <w:spacing w:val="-1"/>
                <w:sz w:val="21"/>
              </w:rPr>
              <w:t>0.477</w:t>
            </w:r>
          </w:p>
        </w:tc>
        <w:tc>
          <w:tcPr>
            <w:tcW w:w="2079" w:type="dxa"/>
            <w:tcBorders>
              <w:top w:val="single" w:sz="4" w:space="0" w:color="41B7EE"/>
              <w:left w:val="single" w:sz="4" w:space="0" w:color="41B7EE"/>
              <w:bottom w:val="single" w:sz="8" w:space="0" w:color="41B7EE"/>
              <w:right w:val="nil" w:sz="6" w:space="0" w:color="auto"/>
            </w:tcBorders>
          </w:tcPr>
          <w:p>
            <w:pPr>
              <w:pStyle w:val="TableParagraph"/>
              <w:spacing w:line="240" w:lineRule="auto" w:before="47"/>
              <w:ind w:right="103"/>
              <w:jc w:val="right"/>
              <w:rPr>
                <w:rFonts w:ascii="Arial" w:hAnsi="Arial" w:cs="Arial" w:eastAsia="Arial" w:hint="default"/>
                <w:sz w:val="21"/>
                <w:szCs w:val="21"/>
              </w:rPr>
            </w:pPr>
            <w:r>
              <w:rPr>
                <w:rFonts w:ascii="Arial"/>
                <w:spacing w:val="-1"/>
                <w:sz w:val="21"/>
              </w:rPr>
              <w:t>0.477</w:t>
            </w:r>
          </w:p>
        </w:tc>
      </w:tr>
    </w:tbl>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2910;height:2" coordorigin="10,10" coordsize="2910,2">
              <v:shape style="position:absolute;left:10;top:10;width:2910;height:2" coordorigin="10,10" coordsize="2910,0" path="m10,10l2919,10e" filled="false" stroked="true" strokeweight=".96002pt" strokecolor="#41b7ee">
                <v:path arrowok="t"/>
              </v:shape>
            </v:group>
            <v:group style="position:absolute;left:2919;top:10;width:58;height:2" coordorigin="2919,10" coordsize="58,2">
              <v:shape style="position:absolute;left:2919;top:10;width:58;height:2" coordorigin="2919,10" coordsize="58,0" path="m2919,10l2977,10e" filled="false" stroked="true" strokeweight=".96002pt" strokecolor="#41b7ee">
                <v:path arrowok="t"/>
              </v:shape>
            </v:group>
            <v:group style="position:absolute;left:2977;top:10;width:1969;height:2" coordorigin="2977,10" coordsize="1969,2">
              <v:shape style="position:absolute;left:2977;top:10;width:1969;height:2" coordorigin="2977,10" coordsize="1969,0" path="m2977,10l4945,10e" filled="false" stroked="true" strokeweight=".96002pt" strokecolor="#41b7ee">
                <v:path arrowok="t"/>
              </v:shape>
            </v:group>
            <v:group style="position:absolute;left:4945;top:10;width:58;height:2" coordorigin="4945,10" coordsize="58,2">
              <v:shape style="position:absolute;left:4945;top:10;width:58;height:2" coordorigin="4945,10" coordsize="58,0" path="m4945,10l5003,10e" filled="false" stroked="true" strokeweight=".96002pt" strokecolor="#41b7ee">
                <v:path arrowok="t"/>
              </v:shape>
            </v:group>
            <v:group style="position:absolute;left:5003;top:10;width:1973;height:2" coordorigin="5003,10" coordsize="1973,2">
              <v:shape style="position:absolute;left:5003;top:10;width:1973;height:2" coordorigin="5003,10" coordsize="1973,0" path="m5003,10l6975,10e" filled="false" stroked="true" strokeweight=".96002pt" strokecolor="#41b7ee">
                <v:path arrowok="t"/>
              </v:shape>
            </v:group>
            <v:group style="position:absolute;left:6975;top:10;width:58;height:2" coordorigin="6975,10" coordsize="58,2">
              <v:shape style="position:absolute;left:6975;top:10;width:58;height:2" coordorigin="6975,10" coordsize="58,0" path="m6975,10l7033,10e" filled="false" stroked="true" strokeweight=".96002pt" strokecolor="#41b7ee">
                <v:path arrowok="t"/>
              </v:shape>
            </v:group>
            <v:group style="position:absolute;left:7033;top:10;width:2026;height:2" coordorigin="7033,10" coordsize="2026,2">
              <v:shape style="position:absolute;left:7033;top:10;width:2026;height:2" coordorigin="7033,10" coordsize="2026,0" path="m7033,10l9059,10e" filled="false" stroked="true" strokeweight=".96002pt" strokecolor="#41b7ee">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360" w:bottom="1380" w:left="1560" w:right="1000"/>
        </w:sectPr>
      </w:pPr>
    </w:p>
    <w:p>
      <w:pPr>
        <w:spacing w:line="240" w:lineRule="auto" w:before="10"/>
        <w:rPr>
          <w:rFonts w:ascii="宋体" w:hAnsi="宋体" w:cs="宋体" w:eastAsia="宋体" w:hint="default"/>
          <w:sz w:val="11"/>
          <w:szCs w:val="11"/>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2910;height:2" coordorigin="10,10" coordsize="2910,2">
              <v:shape style="position:absolute;left:10;top:10;width:2910;height:2" coordorigin="10,10" coordsize="2910,0" path="m10,10l2919,10e" filled="false" stroked="true" strokeweight=".96001pt" strokecolor="#41b7ee">
                <v:path arrowok="t"/>
              </v:shape>
            </v:group>
            <v:group style="position:absolute;left:2919;top:10;width:58;height:2" coordorigin="2919,10" coordsize="58,2">
              <v:shape style="position:absolute;left:2919;top:10;width:58;height:2" coordorigin="2919,10" coordsize="58,0" path="m2919,10l2977,10e" filled="false" stroked="true" strokeweight=".96001pt" strokecolor="#41b7ee">
                <v:path arrowok="t"/>
              </v:shape>
            </v:group>
            <v:group style="position:absolute;left:2977;top:10;width:1969;height:2" coordorigin="2977,10" coordsize="1969,2">
              <v:shape style="position:absolute;left:2977;top:10;width:1969;height:2" coordorigin="2977,10" coordsize="1969,0" path="m2977,10l4945,10e" filled="false" stroked="true" strokeweight=".96001pt" strokecolor="#41b7ee">
                <v:path arrowok="t"/>
              </v:shape>
            </v:group>
            <v:group style="position:absolute;left:4945;top:10;width:58;height:2" coordorigin="4945,10" coordsize="58,2">
              <v:shape style="position:absolute;left:4945;top:10;width:58;height:2" coordorigin="4945,10" coordsize="58,0" path="m4945,10l5003,10e" filled="false" stroked="true" strokeweight=".96001pt" strokecolor="#41b7ee">
                <v:path arrowok="t"/>
              </v:shape>
            </v:group>
            <v:group style="position:absolute;left:5003;top:10;width:1973;height:2" coordorigin="5003,10" coordsize="1973,2">
              <v:shape style="position:absolute;left:5003;top:10;width:1973;height:2" coordorigin="5003,10" coordsize="1973,0" path="m5003,10l6975,10e" filled="false" stroked="true" strokeweight=".96001pt" strokecolor="#41b7ee">
                <v:path arrowok="t"/>
              </v:shape>
            </v:group>
            <v:group style="position:absolute;left:6975;top:10;width:58;height:2" coordorigin="6975,10" coordsize="58,2">
              <v:shape style="position:absolute;left:6975;top:10;width:58;height:2" coordorigin="6975,10" coordsize="58,0" path="m6975,10l7033,10e" filled="false" stroked="true" strokeweight=".96001pt" strokecolor="#41b7ee">
                <v:path arrowok="t"/>
              </v:shape>
            </v:group>
            <v:group style="position:absolute;left:7033;top:10;width:2026;height:2" coordorigin="7033,10" coordsize="2026,2">
              <v:shape style="position:absolute;left:7033;top:10;width:2026;height:2" coordorigin="7033,10" coordsize="2026,0" path="m7033,10l9059,10e" filled="false" stroked="true" strokeweight=".96001pt" strokecolor="#41b7ee">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2914"/>
        <w:gridCol w:w="2026"/>
        <w:gridCol w:w="2030"/>
        <w:gridCol w:w="2079"/>
      </w:tblGrid>
      <w:tr>
        <w:trPr>
          <w:trHeight w:val="365" w:hRule="exact"/>
        </w:trPr>
        <w:tc>
          <w:tcPr>
            <w:tcW w:w="2914" w:type="dxa"/>
            <w:tcBorders>
              <w:top w:val="single" w:sz="8" w:space="0" w:color="41B7EE"/>
              <w:left w:val="nil" w:sz="6" w:space="0" w:color="auto"/>
              <w:bottom w:val="single" w:sz="4" w:space="0" w:color="41B7EE"/>
              <w:right w:val="single" w:sz="4" w:space="0" w:color="41B7EE"/>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利润</w:t>
            </w:r>
            <w:r>
              <w:rPr>
                <w:rFonts w:ascii="宋体" w:hAnsi="宋体" w:cs="宋体" w:eastAsia="宋体" w:hint="default"/>
                <w:sz w:val="21"/>
                <w:szCs w:val="21"/>
              </w:rPr>
              <w:t> </w:t>
            </w:r>
          </w:p>
        </w:tc>
        <w:tc>
          <w:tcPr>
            <w:tcW w:w="2026" w:type="dxa"/>
            <w:tcBorders>
              <w:top w:val="single" w:sz="8" w:space="0" w:color="41B7EE"/>
              <w:left w:val="single" w:sz="4" w:space="0" w:color="41B7EE"/>
              <w:bottom w:val="single" w:sz="4" w:space="0" w:color="41B7EE"/>
              <w:right w:val="single" w:sz="4" w:space="0" w:color="41B7EE"/>
            </w:tcBorders>
          </w:tcPr>
          <w:p>
            <w:pPr/>
          </w:p>
        </w:tc>
        <w:tc>
          <w:tcPr>
            <w:tcW w:w="2030" w:type="dxa"/>
            <w:tcBorders>
              <w:top w:val="single" w:sz="8" w:space="0" w:color="41B7EE"/>
              <w:left w:val="single" w:sz="4" w:space="0" w:color="41B7EE"/>
              <w:bottom w:val="single" w:sz="4" w:space="0" w:color="41B7EE"/>
              <w:right w:val="single" w:sz="4" w:space="0" w:color="41B7EE"/>
            </w:tcBorders>
          </w:tcPr>
          <w:p>
            <w:pPr/>
          </w:p>
        </w:tc>
        <w:tc>
          <w:tcPr>
            <w:tcW w:w="2079" w:type="dxa"/>
            <w:tcBorders>
              <w:top w:val="single" w:sz="8" w:space="0" w:color="41B7EE"/>
              <w:left w:val="single" w:sz="4" w:space="0" w:color="41B7EE"/>
              <w:bottom w:val="single" w:sz="4" w:space="0" w:color="41B7EE"/>
              <w:right w:val="nil" w:sz="6" w:space="0" w:color="auto"/>
            </w:tcBorders>
          </w:tcPr>
          <w:p>
            <w:pPr/>
          </w:p>
        </w:tc>
      </w:tr>
      <w:tr>
        <w:trPr>
          <w:trHeight w:val="581" w:hRule="exact"/>
        </w:trPr>
        <w:tc>
          <w:tcPr>
            <w:tcW w:w="2914" w:type="dxa"/>
            <w:tcBorders>
              <w:top w:val="single" w:sz="4" w:space="0" w:color="41B7EE"/>
              <w:left w:val="nil" w:sz="6" w:space="0" w:color="auto"/>
              <w:bottom w:val="single" w:sz="23" w:space="0" w:color="41B7EE"/>
              <w:right w:val="single" w:sz="4" w:space="0" w:color="41B7EE"/>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r>
              <w:rPr>
                <w:rFonts w:ascii="宋体" w:hAnsi="宋体" w:cs="宋体" w:eastAsia="宋体" w:hint="default"/>
                <w:sz w:val="21"/>
                <w:szCs w:val="21"/>
              </w:rPr>
              <w:t> </w:t>
            </w:r>
          </w:p>
        </w:tc>
        <w:tc>
          <w:tcPr>
            <w:tcW w:w="2026"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146"/>
              <w:ind w:right="99"/>
              <w:jc w:val="right"/>
              <w:rPr>
                <w:rFonts w:ascii="Arial" w:hAnsi="Arial" w:cs="Arial" w:eastAsia="Arial" w:hint="default"/>
                <w:sz w:val="21"/>
                <w:szCs w:val="21"/>
              </w:rPr>
            </w:pPr>
            <w:r>
              <w:rPr>
                <w:rFonts w:ascii="Arial"/>
                <w:spacing w:val="-1"/>
                <w:sz w:val="21"/>
              </w:rPr>
              <w:t>15.66</w:t>
            </w:r>
          </w:p>
        </w:tc>
        <w:tc>
          <w:tcPr>
            <w:tcW w:w="2030" w:type="dxa"/>
            <w:tcBorders>
              <w:top w:val="single" w:sz="4" w:space="0" w:color="41B7EE"/>
              <w:left w:val="single" w:sz="4" w:space="0" w:color="41B7EE"/>
              <w:bottom w:val="single" w:sz="23" w:space="0" w:color="41B7EE"/>
              <w:right w:val="single" w:sz="4" w:space="0" w:color="41B7EE"/>
            </w:tcBorders>
          </w:tcPr>
          <w:p>
            <w:pPr>
              <w:pStyle w:val="TableParagraph"/>
              <w:spacing w:line="240" w:lineRule="auto" w:before="146"/>
              <w:ind w:right="99"/>
              <w:jc w:val="right"/>
              <w:rPr>
                <w:rFonts w:ascii="Arial" w:hAnsi="Arial" w:cs="Arial" w:eastAsia="Arial" w:hint="default"/>
                <w:sz w:val="21"/>
                <w:szCs w:val="21"/>
              </w:rPr>
            </w:pPr>
            <w:r>
              <w:rPr>
                <w:rFonts w:ascii="Arial"/>
                <w:spacing w:val="-1"/>
                <w:sz w:val="21"/>
              </w:rPr>
              <w:t>0.574</w:t>
            </w:r>
          </w:p>
        </w:tc>
        <w:tc>
          <w:tcPr>
            <w:tcW w:w="2079" w:type="dxa"/>
            <w:tcBorders>
              <w:top w:val="single" w:sz="4" w:space="0" w:color="41B7EE"/>
              <w:left w:val="single" w:sz="4" w:space="0" w:color="41B7EE"/>
              <w:bottom w:val="single" w:sz="23" w:space="0" w:color="41B7EE"/>
              <w:right w:val="nil" w:sz="6" w:space="0" w:color="auto"/>
            </w:tcBorders>
          </w:tcPr>
          <w:p>
            <w:pPr>
              <w:pStyle w:val="TableParagraph"/>
              <w:spacing w:line="240" w:lineRule="auto" w:before="146"/>
              <w:ind w:right="103"/>
              <w:jc w:val="right"/>
              <w:rPr>
                <w:rFonts w:ascii="Arial" w:hAnsi="Arial" w:cs="Arial" w:eastAsia="Arial" w:hint="default"/>
                <w:sz w:val="21"/>
                <w:szCs w:val="21"/>
              </w:rPr>
            </w:pPr>
            <w:r>
              <w:rPr>
                <w:rFonts w:ascii="Arial"/>
                <w:spacing w:val="-1"/>
                <w:sz w:val="21"/>
              </w:rPr>
              <w:t>0.574</w:t>
            </w:r>
          </w:p>
        </w:tc>
      </w:tr>
    </w:tbl>
    <w:p>
      <w:pPr>
        <w:pStyle w:val="Heading2"/>
        <w:spacing w:line="240" w:lineRule="auto" w:before="44"/>
        <w:ind w:left="238" w:right="0"/>
        <w:jc w:val="left"/>
        <w:rPr>
          <w:rFonts w:ascii="宋体" w:hAnsi="宋体" w:cs="宋体" w:eastAsia="宋体" w:hint="default"/>
          <w:b w:val="0"/>
          <w:bCs w:val="0"/>
        </w:rPr>
      </w:pPr>
      <w:r>
        <w:rPr>
          <w:rFonts w:ascii="宋体" w:hAnsi="宋体" w:cs="宋体" w:eastAsia="宋体" w:hint="default"/>
        </w:rPr>
        <w:t>3</w:t>
      </w:r>
      <w:r>
        <w:rPr/>
        <w:t>、</w:t>
      </w:r>
      <w:r>
        <w:rPr>
          <w:spacing w:val="-2"/>
        </w:rPr>
        <w:t> </w:t>
      </w:r>
      <w:r>
        <w:rPr>
          <w:rFonts w:ascii="宋体" w:hAnsi="宋体" w:cs="宋体" w:eastAsia="宋体" w:hint="default"/>
          <w:spacing w:val="-2"/>
        </w:rPr>
      </w:r>
      <w:r>
        <w:rPr/>
        <w:t>境内外会计准则下会计数据差异</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38" w:right="723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pacing w:val="-1"/>
          <w:sz w:val="21"/>
          <w:szCs w:val="21"/>
        </w:rPr>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73" w:lineRule="exact" w:before="14"/>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8" w:right="0"/>
        <w:jc w:val="left"/>
        <w:rPr>
          <w:rFonts w:ascii="宋体" w:hAnsi="宋体" w:cs="宋体" w:eastAsia="宋体" w:hint="default"/>
        </w:rPr>
      </w:pPr>
      <w:r>
        <w:rPr>
          <w:rFonts w:ascii="宋体"/>
          <w:w w:val="100"/>
        </w:rPr>
        <w:t> </w:t>
      </w:r>
    </w:p>
    <w:p>
      <w:pPr>
        <w:pStyle w:val="BodyText"/>
        <w:spacing w:line="274" w:lineRule="exact"/>
        <w:ind w:left="238" w:right="0"/>
        <w:jc w:val="left"/>
        <w:rPr>
          <w:rFonts w:ascii="宋体" w:hAnsi="宋体" w:cs="宋体" w:eastAsia="宋体" w:hint="default"/>
        </w:rPr>
      </w:pPr>
      <w:r>
        <w:rPr>
          <w:rFonts w:ascii="宋体"/>
          <w:w w:val="100"/>
        </w:rPr>
        <w:t> </w:t>
      </w:r>
    </w:p>
    <w:p>
      <w:pPr>
        <w:pStyle w:val="Heading1"/>
        <w:spacing w:line="240" w:lineRule="auto" w:before="42"/>
        <w:ind w:left="3181" w:right="0"/>
        <w:jc w:val="left"/>
        <w:rPr>
          <w:rFonts w:ascii="宋体" w:hAnsi="宋体" w:cs="宋体" w:eastAsia="宋体" w:hint="default"/>
          <w:b w:val="0"/>
          <w:bCs w:val="0"/>
        </w:rPr>
      </w:pPr>
      <w:bookmarkStart w:name="_bookmark11" w:id="20"/>
      <w:bookmarkEnd w:id="20"/>
      <w:r>
        <w:rPr>
          <w:b w:val="0"/>
          <w:bCs w:val="0"/>
        </w:rPr>
      </w:r>
      <w:r>
        <w:rPr>
          <w:rFonts w:ascii="宋体" w:hAnsi="宋体" w:cs="宋体" w:eastAsia="宋体" w:hint="default"/>
        </w:rPr>
        <w:t>第十二节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备查文件目录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78" w:type="dxa"/>
        <w:tblLayout w:type="fixed"/>
        <w:tblCellMar>
          <w:top w:w="0" w:type="dxa"/>
          <w:left w:w="0" w:type="dxa"/>
          <w:bottom w:w="0" w:type="dxa"/>
          <w:right w:w="0" w:type="dxa"/>
        </w:tblCellMar>
        <w:tblLook w:val="01E0"/>
      </w:tblPr>
      <w:tblGrid>
        <w:gridCol w:w="2295"/>
        <w:gridCol w:w="6601"/>
      </w:tblGrid>
      <w:tr>
        <w:trPr>
          <w:trHeight w:val="581" w:hRule="exact"/>
        </w:trPr>
        <w:tc>
          <w:tcPr>
            <w:tcW w:w="2295" w:type="dxa"/>
            <w:tcBorders>
              <w:top w:val="single" w:sz="23" w:space="0" w:color="41B7EE"/>
              <w:left w:val="nil" w:sz="6" w:space="0" w:color="auto"/>
              <w:bottom w:val="single" w:sz="4" w:space="0" w:color="41B7EE"/>
              <w:right w:val="single" w:sz="4" w:space="0" w:color="41B7EE"/>
            </w:tcBorders>
          </w:tcPr>
          <w:p>
            <w:pPr>
              <w:pStyle w:val="TableParagraph"/>
              <w:spacing w:line="240" w:lineRule="auto" w:before="105"/>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23" w:space="0" w:color="41B7EE"/>
              <w:left w:val="single" w:sz="4" w:space="0" w:color="41B7EE"/>
              <w:bottom w:val="single" w:sz="4" w:space="0" w:color="41B7EE"/>
              <w:right w:val="nil" w:sz="6" w:space="0" w:color="auto"/>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财务报表。</w:t>
            </w:r>
            <w:r>
              <w:rPr>
                <w:rFonts w:ascii="宋体" w:hAnsi="宋体" w:cs="宋体" w:eastAsia="宋体" w:hint="default"/>
                <w:sz w:val="21"/>
                <w:szCs w:val="21"/>
              </w:rPr>
              <w:t> </w:t>
            </w:r>
          </w:p>
        </w:tc>
      </w:tr>
      <w:tr>
        <w:trPr>
          <w:trHeight w:val="358" w:hRule="exact"/>
        </w:trPr>
        <w:tc>
          <w:tcPr>
            <w:tcW w:w="2295" w:type="dxa"/>
            <w:tcBorders>
              <w:top w:val="single" w:sz="4" w:space="0" w:color="41B7EE"/>
              <w:left w:val="nil" w:sz="6" w:space="0" w:color="auto"/>
              <w:bottom w:val="single" w:sz="4" w:space="0" w:color="41B7EE"/>
              <w:right w:val="single" w:sz="4" w:space="0" w:color="41B7EE"/>
            </w:tcBorders>
          </w:tcPr>
          <w:p>
            <w:pPr>
              <w:pStyle w:val="TableParagraph"/>
              <w:spacing w:line="240" w:lineRule="auto" w:before="4"/>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41B7EE"/>
              <w:left w:val="single" w:sz="4" w:space="0" w:color="41B7EE"/>
              <w:bottom w:val="single" w:sz="4" w:space="0" w:color="41B7EE"/>
              <w:right w:val="nil" w:sz="6" w:space="0" w:color="auto"/>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r>
              <w:rPr>
                <w:rFonts w:ascii="宋体" w:hAnsi="宋体" w:cs="宋体" w:eastAsia="宋体" w:hint="default"/>
                <w:sz w:val="21"/>
                <w:szCs w:val="21"/>
              </w:rPr>
              <w:t> </w:t>
            </w:r>
          </w:p>
        </w:tc>
      </w:tr>
      <w:tr>
        <w:trPr>
          <w:trHeight w:val="562" w:hRule="exact"/>
        </w:trPr>
        <w:tc>
          <w:tcPr>
            <w:tcW w:w="2295" w:type="dxa"/>
            <w:tcBorders>
              <w:top w:val="single" w:sz="4" w:space="0" w:color="41B7EE"/>
              <w:left w:val="nil" w:sz="6" w:space="0" w:color="auto"/>
              <w:bottom w:val="single" w:sz="8" w:space="0" w:color="41B7EE"/>
              <w:right w:val="single" w:sz="4" w:space="0" w:color="41B7EE"/>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41B7EE"/>
              <w:left w:val="single" w:sz="4" w:space="0" w:color="41B7EE"/>
              <w:bottom w:val="single" w:sz="8" w:space="0" w:color="41B7EE"/>
              <w:right w:val="nil" w:sz="6" w:space="0" w:color="auto"/>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公告的原稿。</w:t>
            </w:r>
            <w:r>
              <w:rPr>
                <w:rFonts w:ascii="宋体" w:hAnsi="宋体" w:cs="宋体" w:eastAsia="宋体" w:hint="default"/>
                <w:sz w:val="21"/>
                <w:szCs w:val="21"/>
              </w:rPr>
              <w:t> </w:t>
            </w:r>
          </w:p>
        </w:tc>
      </w:tr>
    </w:tbl>
    <w:p>
      <w:pPr>
        <w:spacing w:line="20" w:lineRule="exact"/>
        <w:ind w:left="197"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2290;height:2" coordorigin="10,10" coordsize="2290,2">
              <v:shape style="position:absolute;left:10;top:10;width:2290;height:2" coordorigin="10,10" coordsize="2290,0" path="m10,10l2300,10e" filled="false" stroked="true" strokeweight=".95999pt" strokecolor="#41b7ee">
                <v:path arrowok="t"/>
              </v:shape>
            </v:group>
            <v:group style="position:absolute;left:2300;top:10;width:58;height:2" coordorigin="2300,10" coordsize="58,2">
              <v:shape style="position:absolute;left:2300;top:10;width:58;height:2" coordorigin="2300,10" coordsize="58,0" path="m2300,10l2357,10e" filled="false" stroked="true" strokeweight=".95999pt" strokecolor="#41b7ee">
                <v:path arrowok="t"/>
              </v:shape>
            </v:group>
            <v:group style="position:absolute;left:2357;top:10;width:6549;height:2" coordorigin="2357,10" coordsize="6549,2">
              <v:shape style="position:absolute;left:2357;top:10;width:6549;height:2" coordorigin="2357,10" coordsize="6549,0" path="m2357,10l8906,10e" filled="false" stroked="true" strokeweight=".95999pt" strokecolor="#41b7ee">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26" w:footer="1195" w:top="1360" w:bottom="1380" w:left="1560" w:right="10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238" w:right="0"/>
        <w:jc w:val="left"/>
        <w:rPr>
          <w:rFonts w:ascii="宋体" w:hAnsi="宋体" w:cs="宋体" w:eastAsia="宋体" w:hint="default"/>
        </w:rPr>
      </w:pPr>
      <w:r>
        <w:rPr>
          <w:rFonts w:ascii="宋体"/>
          <w:w w:val="100"/>
        </w:rPr>
        <w:t> </w:t>
      </w:r>
    </w:p>
    <w:p>
      <w:pPr>
        <w:pStyle w:val="BodyText"/>
        <w:spacing w:line="240" w:lineRule="auto" w:before="85"/>
        <w:ind w:left="238" w:right="0"/>
        <w:jc w:val="left"/>
        <w:rPr>
          <w:rFonts w:ascii="宋体" w:hAnsi="宋体" w:cs="宋体" w:eastAsia="宋体" w:hint="default"/>
        </w:rPr>
      </w:pPr>
      <w:r>
        <w:rPr>
          <w:rFonts w:ascii="宋体"/>
          <w:w w:val="100"/>
        </w:rPr>
        <w:t> </w:t>
      </w:r>
    </w:p>
    <w:p>
      <w:pPr>
        <w:spacing w:before="50"/>
        <w:ind w:left="238" w:right="0"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36"/>
        <w:ind w:left="238" w:right="2618" w:firstLine="420"/>
        <w:jc w:val="left"/>
        <w:rPr>
          <w:rFonts w:ascii="宋体" w:hAnsi="宋体" w:cs="宋体" w:eastAsia="宋体" w:hint="default"/>
        </w:rPr>
      </w:pPr>
      <w:r>
        <w:rPr/>
        <w:br w:type="column"/>
      </w:r>
      <w:r>
        <w:rPr>
          <w:rFonts w:ascii="宋体" w:hAnsi="宋体" w:cs="宋体" w:eastAsia="宋体" w:hint="default"/>
          <w:w w:val="100"/>
        </w:rPr>
        <w:t> </w:t>
      </w:r>
      <w:r>
        <w:rPr>
          <w:w w:val="100"/>
        </w:rPr>
        <w:t>董事</w:t>
      </w:r>
      <w:r>
        <w:rPr>
          <w:spacing w:val="-3"/>
          <w:w w:val="100"/>
        </w:rPr>
        <w:t>长</w:t>
      </w:r>
      <w:r>
        <w:rPr>
          <w:w w:val="100"/>
        </w:rPr>
        <w:t>：</w:t>
      </w:r>
      <w:r>
        <w:rPr>
          <w:spacing w:val="-3"/>
          <w:w w:val="100"/>
        </w:rPr>
        <w:t>刘</w:t>
      </w:r>
      <w:r>
        <w:rPr>
          <w:w w:val="100"/>
        </w:rPr>
        <w:t>长</w:t>
      </w:r>
      <w:r>
        <w:rPr>
          <w:spacing w:val="-3"/>
          <w:w w:val="100"/>
        </w:rPr>
        <w:t>友</w:t>
      </w:r>
      <w:r>
        <w:rPr>
          <w:rFonts w:ascii="宋体" w:hAnsi="宋体" w:cs="宋体" w:eastAsia="宋体" w:hint="default"/>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1"/>
        <w:ind w:left="344" w:right="0"/>
        <w:jc w:val="left"/>
        <w:rPr>
          <w:rFonts w:ascii="宋体" w:hAnsi="宋体" w:cs="宋体" w:eastAsia="宋体" w:hint="default"/>
        </w:rPr>
      </w:pPr>
      <w:r>
        <w:rPr/>
        <w:t>董事会批准报送日期：</w:t>
      </w:r>
      <w:r>
        <w:rPr>
          <w:rFonts w:ascii="Arial" w:hAnsi="Arial" w:cs="Arial" w:eastAsia="Arial" w:hint="default"/>
        </w:rPr>
        <w:t>2020</w:t>
      </w:r>
      <w:r>
        <w:rPr>
          <w:rFonts w:ascii="Arial" w:hAnsi="Arial" w:cs="Arial" w:eastAsia="Arial" w:hint="default"/>
          <w:spacing w:val="-6"/>
        </w:rPr>
        <w:t> </w:t>
      </w:r>
      <w:r>
        <w:rPr/>
        <w:t>年</w:t>
      </w:r>
      <w:r>
        <w:rPr>
          <w:spacing w:val="-56"/>
        </w:rPr>
        <w:t> </w:t>
      </w:r>
      <w:r>
        <w:rPr>
          <w:rFonts w:ascii="Arial" w:hAnsi="Arial" w:cs="Arial" w:eastAsia="Arial" w:hint="default"/>
        </w:rPr>
        <w:t>3</w:t>
      </w:r>
      <w:r>
        <w:rPr>
          <w:rFonts w:ascii="Arial" w:hAnsi="Arial" w:cs="Arial" w:eastAsia="Arial" w:hint="default"/>
          <w:spacing w:val="-7"/>
        </w:rPr>
        <w:t> </w:t>
      </w:r>
      <w:r>
        <w:rPr/>
        <w:t>月</w:t>
      </w:r>
      <w:r>
        <w:rPr>
          <w:spacing w:val="-54"/>
        </w:rPr>
        <w:t> </w:t>
      </w:r>
      <w:r>
        <w:rPr>
          <w:rFonts w:ascii="Arial" w:hAnsi="Arial" w:cs="Arial" w:eastAsia="Arial" w:hint="default"/>
        </w:rPr>
        <w:t>27</w:t>
      </w:r>
      <w:r>
        <w:rPr>
          <w:rFonts w:ascii="Arial" w:hAnsi="Arial" w:cs="Arial" w:eastAsia="Arial" w:hint="default"/>
          <w:spacing w:val="-7"/>
        </w:rPr>
        <w:t> </w:t>
      </w:r>
      <w:r>
        <w:rPr>
          <w:spacing w:val="-3"/>
        </w:rPr>
        <w:t>日</w:t>
      </w:r>
      <w:r>
        <w:rPr>
          <w:rFonts w:ascii="宋体" w:hAnsi="宋体" w:cs="宋体" w:eastAsia="宋体" w:hint="default"/>
          <w:color w:val="008000"/>
        </w:rPr>
        <w:t> </w:t>
      </w:r>
      <w:r>
        <w:rPr>
          <w:rFonts w:ascii="宋体" w:hAnsi="宋体" w:cs="宋体" w:eastAsia="宋体" w:hint="default"/>
        </w:rPr>
      </w:r>
    </w:p>
    <w:sectPr>
      <w:type w:val="continuous"/>
      <w:pgSz w:w="11910" w:h="16840"/>
      <w:pgMar w:top="1360" w:bottom="1380" w:left="1560" w:right="1000"/>
      <w:cols w:num="2" w:equalWidth="0">
        <w:col w:w="2024" w:space="2596"/>
        <w:col w:w="473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45996pt;width:28.8pt;height:11pt;mso-position-horizontal-relative:page;mso-position-vertical-relative:page;z-index:-9453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945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079987pt;margin-top:514.776001pt;width:697.55pt;height:1pt;mso-position-horizontal-relative:page;mso-position-vertical-relative:page;z-index:-945040" coordorigin="1402,10296" coordsize="13951,20">
          <v:group style="position:absolute;left:1411;top:10305;width:608;height:2" coordorigin="1411,10305" coordsize="608,2">
            <v:shape style="position:absolute;left:1411;top:10305;width:608;height:2" coordorigin="1411,10305" coordsize="608,0" path="m1411,10305l2019,10305e" filled="false" stroked="true" strokeweight=".96002pt" strokecolor="#41b7ee">
              <v:path arrowok="t"/>
            </v:shape>
          </v:group>
          <v:group style="position:absolute;left:2019;top:10305;width:58;height:2" coordorigin="2019,10305" coordsize="58,2">
            <v:shape style="position:absolute;left:2019;top:10305;width:58;height:2" coordorigin="2019,10305" coordsize="58,0" path="m2019,10305l2076,10305e" filled="false" stroked="true" strokeweight=".96002pt" strokecolor="#41b7ee">
              <v:path arrowok="t"/>
            </v:shape>
          </v:group>
          <v:group style="position:absolute;left:2076;top:10305;width:588;height:2" coordorigin="2076,10305" coordsize="588,2">
            <v:shape style="position:absolute;left:2076;top:10305;width:588;height:2" coordorigin="2076,10305" coordsize="588,0" path="m2076,10305l2664,10305e" filled="false" stroked="true" strokeweight=".96002pt" strokecolor="#41b7ee">
              <v:path arrowok="t"/>
            </v:shape>
          </v:group>
          <v:group style="position:absolute;left:2664;top:10305;width:58;height:2" coordorigin="2664,10305" coordsize="58,2">
            <v:shape style="position:absolute;left:2664;top:10305;width:58;height:2" coordorigin="2664,10305" coordsize="58,0" path="m2664,10305l2722,10305e" filled="false" stroked="true" strokeweight=".96002pt" strokecolor="#41b7ee">
              <v:path arrowok="t"/>
            </v:shape>
          </v:group>
          <v:group style="position:absolute;left:2722;top:10305;width:737;height:2" coordorigin="2722,10305" coordsize="737,2">
            <v:shape style="position:absolute;left:2722;top:10305;width:737;height:2" coordorigin="2722,10305" coordsize="737,0" path="m2722,10305l3459,10305e" filled="false" stroked="true" strokeweight=".96002pt" strokecolor="#41b7ee">
              <v:path arrowok="t"/>
            </v:shape>
          </v:group>
          <v:group style="position:absolute;left:3459;top:10305;width:58;height:2" coordorigin="3459,10305" coordsize="58,2">
            <v:shape style="position:absolute;left:3459;top:10305;width:58;height:2" coordorigin="3459,10305" coordsize="58,0" path="m3459,10305l3516,10305e" filled="false" stroked="true" strokeweight=".96002pt" strokecolor="#41b7ee">
              <v:path arrowok="t"/>
            </v:shape>
          </v:group>
          <v:group style="position:absolute;left:3516;top:10305;width:543;height:2" coordorigin="3516,10305" coordsize="543,2">
            <v:shape style="position:absolute;left:3516;top:10305;width:543;height:2" coordorigin="3516,10305" coordsize="543,0" path="m3516,10305l4059,10305e" filled="false" stroked="true" strokeweight=".96002pt" strokecolor="#41b7ee">
              <v:path arrowok="t"/>
            </v:shape>
          </v:group>
          <v:group style="position:absolute;left:4059;top:10305;width:58;height:2" coordorigin="4059,10305" coordsize="58,2">
            <v:shape style="position:absolute;left:4059;top:10305;width:58;height:2" coordorigin="4059,10305" coordsize="58,0" path="m4059,10305l4116,10305e" filled="false" stroked="true" strokeweight=".96002pt" strokecolor="#41b7ee">
              <v:path arrowok="t"/>
            </v:shape>
          </v:group>
          <v:group style="position:absolute;left:4116;top:10305;width:2216;height:2" coordorigin="4116,10305" coordsize="2216,2">
            <v:shape style="position:absolute;left:4116;top:10305;width:2216;height:2" coordorigin="4116,10305" coordsize="2216,0" path="m4116,10305l6332,10305e" filled="false" stroked="true" strokeweight=".96002pt" strokecolor="#41b7ee">
              <v:path arrowok="t"/>
            </v:shape>
          </v:group>
          <v:group style="position:absolute;left:6332;top:10305;width:58;height:2" coordorigin="6332,10305" coordsize="58,2">
            <v:shape style="position:absolute;left:6332;top:10305;width:58;height:2" coordorigin="6332,10305" coordsize="58,0" path="m6332,10305l6390,10305e" filled="false" stroked="true" strokeweight=".96002pt" strokecolor="#41b7ee">
              <v:path arrowok="t"/>
            </v:shape>
          </v:group>
          <v:group style="position:absolute;left:6390;top:10305;width:1301;height:2" coordorigin="6390,10305" coordsize="1301,2">
            <v:shape style="position:absolute;left:6390;top:10305;width:1301;height:2" coordorigin="6390,10305" coordsize="1301,0" path="m6390,10305l7691,10305e" filled="false" stroked="true" strokeweight=".96002pt" strokecolor="#41b7ee">
              <v:path arrowok="t"/>
            </v:shape>
          </v:group>
          <v:group style="position:absolute;left:7691;top:10305;width:58;height:2" coordorigin="7691,10305" coordsize="58,2">
            <v:shape style="position:absolute;left:7691;top:10305;width:58;height:2" coordorigin="7691,10305" coordsize="58,0" path="m7691,10305l7748,10305e" filled="false" stroked="true" strokeweight=".96002pt" strokecolor="#41b7ee">
              <v:path arrowok="t"/>
            </v:shape>
          </v:group>
          <v:group style="position:absolute;left:7748;top:10305;width:780;height:2" coordorigin="7748,10305" coordsize="780,2">
            <v:shape style="position:absolute;left:7748;top:10305;width:780;height:2" coordorigin="7748,10305" coordsize="780,0" path="m7748,10305l8528,10305e" filled="false" stroked="true" strokeweight=".96002pt" strokecolor="#41b7ee">
              <v:path arrowok="t"/>
            </v:shape>
          </v:group>
          <v:group style="position:absolute;left:8528;top:10305;width:58;height:2" coordorigin="8528,10305" coordsize="58,2">
            <v:shape style="position:absolute;left:8528;top:10305;width:58;height:2" coordorigin="8528,10305" coordsize="58,0" path="m8528,10305l8586,10305e" filled="false" stroked="true" strokeweight=".96002pt" strokecolor="#41b7ee">
              <v:path arrowok="t"/>
            </v:shape>
          </v:group>
          <v:group style="position:absolute;left:8586;top:10305;width:2365;height:2" coordorigin="8586,10305" coordsize="2365,2">
            <v:shape style="position:absolute;left:8586;top:10305;width:2365;height:2" coordorigin="8586,10305" coordsize="2365,0" path="m8586,10305l10950,10305e" filled="false" stroked="true" strokeweight=".96002pt" strokecolor="#41b7ee">
              <v:path arrowok="t"/>
            </v:shape>
          </v:group>
          <v:group style="position:absolute;left:10950;top:10305;width:58;height:2" coordorigin="10950,10305" coordsize="58,2">
            <v:shape style="position:absolute;left:10950;top:10305;width:58;height:2" coordorigin="10950,10305" coordsize="58,0" path="m10950,10305l11008,10305e" filled="false" stroked="true" strokeweight=".96002pt" strokecolor="#41b7ee">
              <v:path arrowok="t"/>
            </v:shape>
          </v:group>
          <v:group style="position:absolute;left:11008;top:10305;width:2802;height:2" coordorigin="11008,10305" coordsize="2802,2">
            <v:shape style="position:absolute;left:11008;top:10305;width:2802;height:2" coordorigin="11008,10305" coordsize="2802,0" path="m11008,10305l13809,10305e" filled="false" stroked="true" strokeweight=".96002pt" strokecolor="#41b7ee">
              <v:path arrowok="t"/>
            </v:shape>
          </v:group>
          <v:group style="position:absolute;left:13809;top:10305;width:58;height:2" coordorigin="13809,10305" coordsize="58,2">
            <v:shape style="position:absolute;left:13809;top:10305;width:58;height:2" coordorigin="13809,10305" coordsize="58,0" path="m13809,10305l13867,10305e" filled="false" stroked="true" strokeweight=".96002pt" strokecolor="#41b7ee">
              <v:path arrowok="t"/>
            </v:shape>
          </v:group>
          <v:group style="position:absolute;left:13867;top:10305;width:1476;height:2" coordorigin="13867,10305" coordsize="1476,2">
            <v:shape style="position:absolute;left:13867;top:10305;width:1476;height:2" coordorigin="13867,10305" coordsize="1476,0" path="m13867,10305l15343,10305e" filled="false" stroked="true" strokeweight=".96002pt" strokecolor="#41b7ee">
              <v:path arrowok="t"/>
            </v:shape>
          </v:group>
          <w10:wrap type="none"/>
        </v:group>
      </w:pict>
    </w:r>
    <w:r>
      <w:rPr/>
      <w:pict>
        <v:shape style="position:absolute;margin-left:401.609985pt;margin-top:524.546021pt;width:33.4pt;height:11pt;mso-position-horizontal-relative:page;mso-position-vertical-relative:page;z-index:-945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37</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24.546021pt;width:32.4pt;height:11pt;mso-position-horizontal-relative:page;mso-position-vertical-relative:page;z-index:-9449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39 </w:t>
                </w:r>
                <w:r>
                  <w:rPr>
                    <w:rFonts w:ascii="Calibri"/>
                    <w:sz w:val="18"/>
                  </w:rPr>
                  <w:t>/</w:t>
                </w:r>
                <w:r>
                  <w:rPr>
                    <w:rFonts w:ascii="Calibri"/>
                    <w:spacing w:val="-4"/>
                    <w:sz w:val="18"/>
                  </w:rPr>
                  <w:t> </w:t>
                </w:r>
                <w:r>
                  <w:rPr>
                    <w:rFonts w:ascii="Calibri"/>
                    <w:b/>
                    <w:sz w:val="18"/>
                  </w:rPr>
                  <w:t>173</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24.546021pt;width:32.4pt;height:11pt;mso-position-horizontal-relative:page;mso-position-vertical-relative:page;z-index:-9449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173</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9448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41 </w:t>
                </w:r>
                <w:r>
                  <w:rPr>
                    <w:rFonts w:ascii="Calibri"/>
                    <w:sz w:val="18"/>
                  </w:rPr>
                  <w:t>/</w:t>
                </w:r>
                <w:r>
                  <w:rPr>
                    <w:rFonts w:ascii="Calibri"/>
                    <w:spacing w:val="-4"/>
                    <w:sz w:val="18"/>
                  </w:rPr>
                  <w:t> </w:t>
                </w:r>
                <w:r>
                  <w:rPr>
                    <w:rFonts w:ascii="Calibri"/>
                    <w:b/>
                    <w:sz w:val="18"/>
                  </w:rPr>
                  <w:t>173</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023987pt;margin-top:725.379944pt;width:453.45pt;height:1pt;mso-position-horizontal-relative:page;mso-position-vertical-relative:page;z-index:-944848" coordorigin="1680,14508" coordsize="9069,20">
          <v:group style="position:absolute;left:1690;top:14517;width:1738;height:2" coordorigin="1690,14517" coordsize="1738,2">
            <v:shape style="position:absolute;left:1690;top:14517;width:1738;height:2" coordorigin="1690,14517" coordsize="1738,0" path="m1690,14517l3428,14517e" filled="false" stroked="true" strokeweight=".96002pt" strokecolor="#41b7ee">
              <v:path arrowok="t"/>
            </v:shape>
          </v:group>
          <v:group style="position:absolute;left:3428;top:14517;width:58;height:2" coordorigin="3428,14517" coordsize="58,2">
            <v:shape style="position:absolute;left:3428;top:14517;width:58;height:2" coordorigin="3428,14517" coordsize="58,0" path="m3428,14517l3485,14517e" filled="false" stroked="true" strokeweight=".96002pt" strokecolor="#41b7ee">
              <v:path arrowok="t"/>
            </v:shape>
          </v:group>
          <v:group style="position:absolute;left:3485;top:14517;width:1542;height:2" coordorigin="3485,14517" coordsize="1542,2">
            <v:shape style="position:absolute;left:3485;top:14517;width:1542;height:2" coordorigin="3485,14517" coordsize="1542,0" path="m3485,14517l5026,14517e" filled="false" stroked="true" strokeweight=".96002pt" strokecolor="#41b7ee">
              <v:path arrowok="t"/>
            </v:shape>
          </v:group>
          <v:group style="position:absolute;left:5027;top:14517;width:58;height:2" coordorigin="5027,14517" coordsize="58,2">
            <v:shape style="position:absolute;left:5027;top:14517;width:58;height:2" coordorigin="5027,14517" coordsize="58,0" path="m5027,14517l5084,14517e" filled="false" stroked="true" strokeweight=".96002pt" strokecolor="#41b7ee">
              <v:path arrowok="t"/>
            </v:shape>
          </v:group>
          <v:group style="position:absolute;left:5084;top:14517;width:2007;height:2" coordorigin="5084,14517" coordsize="2007,2">
            <v:shape style="position:absolute;left:5084;top:14517;width:2007;height:2" coordorigin="5084,14517" coordsize="2007,0" path="m5084,14517l7091,14517e" filled="false" stroked="true" strokeweight=".96002pt" strokecolor="#41b7ee">
              <v:path arrowok="t"/>
            </v:shape>
          </v:group>
          <v:group style="position:absolute;left:7091;top:14517;width:58;height:2" coordorigin="7091,14517" coordsize="58,2">
            <v:shape style="position:absolute;left:7091;top:14517;width:58;height:2" coordorigin="7091,14517" coordsize="58,0" path="m7091,14517l7149,14517e" filled="false" stroked="true" strokeweight=".96002pt" strokecolor="#41b7ee">
              <v:path arrowok="t"/>
            </v:shape>
          </v:group>
          <v:group style="position:absolute;left:7149;top:14517;width:1839;height:2" coordorigin="7149,14517" coordsize="1839,2">
            <v:shape style="position:absolute;left:7149;top:14517;width:1839;height:2" coordorigin="7149,14517" coordsize="1839,0" path="m7149,14517l8987,14517e" filled="false" stroked="true" strokeweight=".96002pt" strokecolor="#41b7ee">
              <v:path arrowok="t"/>
            </v:shape>
          </v:group>
          <v:group style="position:absolute;left:8987;top:14517;width:58;height:2" coordorigin="8987,14517" coordsize="58,2">
            <v:shape style="position:absolute;left:8987;top:14517;width:58;height:2" coordorigin="8987,14517" coordsize="58,0" path="m8987,14517l9045,14517e" filled="false" stroked="true" strokeweight=".96002pt" strokecolor="#41b7ee">
              <v:path arrowok="t"/>
            </v:shape>
          </v:group>
          <v:group style="position:absolute;left:9045;top:14517;width:1695;height:2" coordorigin="9045,14517" coordsize="1695,2">
            <v:shape style="position:absolute;left:9045;top:14517;width:1695;height:2" coordorigin="9045,14517" coordsize="1695,0" path="m9045,14517l10739,14517e" filled="false" stroked="true" strokeweight=".96002pt" strokecolor="#41b7ee">
              <v:path arrowok="t"/>
            </v:shape>
          </v:group>
          <w10:wrap type="none"/>
        </v:group>
      </w:pict>
    </w:r>
    <w:r>
      <w:rPr/>
      <w:pict>
        <v:shape style="position:absolute;margin-left:88.903999pt;margin-top:754.060974pt;width:91.4pt;height:12.6pt;mso-position-horizontal-relative:page;mso-position-vertical-relative:page;z-index:-944824" type="#_x0000_t202" filled="false" stroked="false">
          <v:textbox inset="0,0,0,0">
            <w:txbxContent>
              <w:p>
                <w:pPr>
                  <w:pStyle w:val="BodyText"/>
                  <w:spacing w:line="231" w:lineRule="exact"/>
                  <w:ind w:left="20"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txbxContent>
          </v:textbox>
          <w10:wrap type="none"/>
        </v:shape>
      </w:pict>
    </w:r>
    <w:r>
      <w:rPr/>
      <w:pict>
        <v:shape style="position:absolute;margin-left:294.489990pt;margin-top:771.145996pt;width:32.4pt;height:11pt;mso-position-horizontal-relative:page;mso-position-vertical-relative:page;z-index:-9448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42 </w:t>
                </w:r>
                <w:r>
                  <w:rPr>
                    <w:rFonts w:ascii="Calibri"/>
                    <w:sz w:val="18"/>
                  </w:rPr>
                  <w:t>/</w:t>
                </w:r>
                <w:r>
                  <w:rPr>
                    <w:rFonts w:ascii="Calibri"/>
                    <w:spacing w:val="-4"/>
                    <w:sz w:val="18"/>
                  </w:rPr>
                  <w:t> </w:t>
                </w:r>
                <w:r>
                  <w:rPr>
                    <w:rFonts w:ascii="Calibri"/>
                    <w:b/>
                    <w:sz w:val="18"/>
                  </w:rPr>
                  <w:t>173</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079987pt;margin-top:516.216003pt;width:697.55pt;height:1pt;mso-position-horizontal-relative:page;mso-position-vertical-relative:page;z-index:-944704" coordorigin="1402,10324" coordsize="13951,20">
          <v:group style="position:absolute;left:1411;top:10334;width:2269;height:2" coordorigin="1411,10334" coordsize="2269,2">
            <v:shape style="position:absolute;left:1411;top:10334;width:2269;height:2" coordorigin="1411,10334" coordsize="2269,0" path="m1411,10334l3680,10334e" filled="false" stroked="true" strokeweight=".96002pt" strokecolor="#009eea">
              <v:path arrowok="t"/>
            </v:shape>
          </v:group>
          <v:group style="position:absolute;left:3680;top:10334;width:58;height:2" coordorigin="3680,10334" coordsize="58,2">
            <v:shape style="position:absolute;left:3680;top:10334;width:58;height:2" coordorigin="3680,10334" coordsize="58,0" path="m3680,10334l3737,10334e" filled="false" stroked="true" strokeweight=".96002pt" strokecolor="#009eea">
              <v:path arrowok="t"/>
            </v:shape>
          </v:group>
          <v:group style="position:absolute;left:3737;top:10334;width:1366;height:2" coordorigin="3737,10334" coordsize="1366,2">
            <v:shape style="position:absolute;left:3737;top:10334;width:1366;height:2" coordorigin="3737,10334" coordsize="1366,0" path="m3737,10334l5103,10334e" filled="false" stroked="true" strokeweight=".96002pt" strokecolor="#009eea">
              <v:path arrowok="t"/>
            </v:shape>
          </v:group>
          <v:group style="position:absolute;left:5103;top:10334;width:58;height:2" coordorigin="5103,10334" coordsize="58,2">
            <v:shape style="position:absolute;left:5103;top:10334;width:58;height:2" coordorigin="5103,10334" coordsize="58,0" path="m5103,10334l5160,10334e" filled="false" stroked="true" strokeweight=".96002pt" strokecolor="#009eea">
              <v:path arrowok="t"/>
            </v:shape>
          </v:group>
          <v:group style="position:absolute;left:5160;top:10334;width:937;height:2" coordorigin="5160,10334" coordsize="937,2">
            <v:shape style="position:absolute;left:5160;top:10334;width:937;height:2" coordorigin="5160,10334" coordsize="937,0" path="m5160,10334l6097,10334e" filled="false" stroked="true" strokeweight=".96002pt" strokecolor="#009eea">
              <v:path arrowok="t"/>
            </v:shape>
          </v:group>
          <v:group style="position:absolute;left:6097;top:10334;width:58;height:2" coordorigin="6097,10334" coordsize="58,2">
            <v:shape style="position:absolute;left:6097;top:10334;width:58;height:2" coordorigin="6097,10334" coordsize="58,0" path="m6097,10334l6155,10334e" filled="false" stroked="true" strokeweight=".96002pt" strokecolor="#009eea">
              <v:path arrowok="t"/>
            </v:shape>
          </v:group>
          <v:group style="position:absolute;left:6155;top:10334;width:1224;height:2" coordorigin="6155,10334" coordsize="1224,2">
            <v:shape style="position:absolute;left:6155;top:10334;width:1224;height:2" coordorigin="6155,10334" coordsize="1224,0" path="m6155,10334l7379,10334e" filled="false" stroked="true" strokeweight=".96002pt" strokecolor="#009eea">
              <v:path arrowok="t"/>
            </v:shape>
          </v:group>
          <v:group style="position:absolute;left:7379;top:10334;width:58;height:2" coordorigin="7379,10334" coordsize="58,2">
            <v:shape style="position:absolute;left:7379;top:10334;width:58;height:2" coordorigin="7379,10334" coordsize="58,0" path="m7379,10334l7436,10334e" filled="false" stroked="true" strokeweight=".96002pt" strokecolor="#009eea">
              <v:path arrowok="t"/>
            </v:shape>
          </v:group>
          <v:group style="position:absolute;left:7436;top:10334;width:1222;height:2" coordorigin="7436,10334" coordsize="1222,2">
            <v:shape style="position:absolute;left:7436;top:10334;width:1222;height:2" coordorigin="7436,10334" coordsize="1222,0" path="m7436,10334l8658,10334e" filled="false" stroked="true" strokeweight=".96002pt" strokecolor="#009eea">
              <v:path arrowok="t"/>
            </v:shape>
          </v:group>
          <v:group style="position:absolute;left:8658;top:10334;width:58;height:2" coordorigin="8658,10334" coordsize="58,2">
            <v:shape style="position:absolute;left:8658;top:10334;width:58;height:2" coordorigin="8658,10334" coordsize="58,0" path="m8658,10334l8715,10334e" filled="false" stroked="true" strokeweight=".96002pt" strokecolor="#009eea">
              <v:path arrowok="t"/>
            </v:shape>
          </v:group>
          <v:group style="position:absolute;left:8715;top:10334;width:795;height:2" coordorigin="8715,10334" coordsize="795,2">
            <v:shape style="position:absolute;left:8715;top:10334;width:795;height:2" coordorigin="8715,10334" coordsize="795,0" path="m8715,10334l9510,10334e" filled="false" stroked="true" strokeweight=".96002pt" strokecolor="#009eea">
              <v:path arrowok="t"/>
            </v:shape>
          </v:group>
          <v:group style="position:absolute;left:9510;top:10334;width:58;height:2" coordorigin="9510,10334" coordsize="58,2">
            <v:shape style="position:absolute;left:9510;top:10334;width:58;height:2" coordorigin="9510,10334" coordsize="58,0" path="m9510,10334l9568,10334e" filled="false" stroked="true" strokeweight=".96002pt" strokecolor="#009eea">
              <v:path arrowok="t"/>
            </v:shape>
          </v:group>
          <v:group style="position:absolute;left:9568;top:10334;width:509;height:2" coordorigin="9568,10334" coordsize="509,2">
            <v:shape style="position:absolute;left:9568;top:10334;width:509;height:2" coordorigin="9568,10334" coordsize="509,0" path="m9568,10334l10077,10334e" filled="false" stroked="true" strokeweight=".96002pt" strokecolor="#009eea">
              <v:path arrowok="t"/>
            </v:shape>
          </v:group>
          <v:group style="position:absolute;left:10077;top:10334;width:58;height:2" coordorigin="10077,10334" coordsize="58,2">
            <v:shape style="position:absolute;left:10077;top:10334;width:58;height:2" coordorigin="10077,10334" coordsize="58,0" path="m10077,10334l10134,10334e" filled="false" stroked="true" strokeweight=".96002pt" strokecolor="#009eea">
              <v:path arrowok="t"/>
            </v:shape>
          </v:group>
          <v:group style="position:absolute;left:10134;top:10334;width:512;height:2" coordorigin="10134,10334" coordsize="512,2">
            <v:shape style="position:absolute;left:10134;top:10334;width:512;height:2" coordorigin="10134,10334" coordsize="512,0" path="m10134,10334l10645,10334e" filled="false" stroked="true" strokeweight=".96002pt" strokecolor="#009eea">
              <v:path arrowok="t"/>
            </v:shape>
          </v:group>
          <v:group style="position:absolute;left:10645;top:10334;width:58;height:2" coordorigin="10645,10334" coordsize="58,2">
            <v:shape style="position:absolute;left:10645;top:10334;width:58;height:2" coordorigin="10645,10334" coordsize="58,0" path="m10645,10334l10703,10334e" filled="false" stroked="true" strokeweight=".96002pt" strokecolor="#009eea">
              <v:path arrowok="t"/>
            </v:shape>
          </v:group>
          <v:group style="position:absolute;left:10703;top:10334;width:656;height:2" coordorigin="10703,10334" coordsize="656,2">
            <v:shape style="position:absolute;left:10703;top:10334;width:656;height:2" coordorigin="10703,10334" coordsize="656,0" path="m10703,10334l11358,10334e" filled="false" stroked="true" strokeweight=".96002pt" strokecolor="#009eea">
              <v:path arrowok="t"/>
            </v:shape>
          </v:group>
          <v:group style="position:absolute;left:11358;top:10334;width:58;height:2" coordorigin="11358,10334" coordsize="58,2">
            <v:shape style="position:absolute;left:11358;top:10334;width:58;height:2" coordorigin="11358,10334" coordsize="58,0" path="m11358,10334l11416,10334e" filled="false" stroked="true" strokeweight=".96002pt" strokecolor="#009eea">
              <v:path arrowok="t"/>
            </v:shape>
          </v:group>
          <v:group style="position:absolute;left:11416;top:10334;width:651;height:2" coordorigin="11416,10334" coordsize="651,2">
            <v:shape style="position:absolute;left:11416;top:10334;width:651;height:2" coordorigin="11416,10334" coordsize="651,0" path="m11416,10334l12066,10334e" filled="false" stroked="true" strokeweight=".96002pt" strokecolor="#009eea">
              <v:path arrowok="t"/>
            </v:shape>
          </v:group>
          <v:group style="position:absolute;left:12066;top:10334;width:58;height:2" coordorigin="12066,10334" coordsize="58,2">
            <v:shape style="position:absolute;left:12066;top:10334;width:58;height:2" coordorigin="12066,10334" coordsize="58,0" path="m12066,10334l12124,10334e" filled="false" stroked="true" strokeweight=".96002pt" strokecolor="#009eea">
              <v:path arrowok="t"/>
            </v:shape>
          </v:group>
          <v:group style="position:absolute;left:12124;top:10334;width:803;height:2" coordorigin="12124,10334" coordsize="803,2">
            <v:shape style="position:absolute;left:12124;top:10334;width:803;height:2" coordorigin="12124,10334" coordsize="803,0" path="m12124,10334l12926,10334e" filled="false" stroked="true" strokeweight=".96002pt" strokecolor="#009eea">
              <v:path arrowok="t"/>
            </v:shape>
          </v:group>
          <v:group style="position:absolute;left:12926;top:10334;width:58;height:2" coordorigin="12926,10334" coordsize="58,2">
            <v:shape style="position:absolute;left:12926;top:10334;width:58;height:2" coordorigin="12926,10334" coordsize="58,0" path="m12926,10334l12984,10334e" filled="false" stroked="true" strokeweight=".96002pt" strokecolor="#009eea">
              <v:path arrowok="t"/>
            </v:shape>
          </v:group>
          <v:group style="position:absolute;left:12984;top:10334;width:1078;height:2" coordorigin="12984,10334" coordsize="1078,2">
            <v:shape style="position:absolute;left:12984;top:10334;width:1078;height:2" coordorigin="12984,10334" coordsize="1078,0" path="m12984,10334l14061,10334e" filled="false" stroked="true" strokeweight=".96002pt" strokecolor="#009eea">
              <v:path arrowok="t"/>
            </v:shape>
          </v:group>
          <v:group style="position:absolute;left:14061;top:10334;width:58;height:2" coordorigin="14061,10334" coordsize="58,2">
            <v:shape style="position:absolute;left:14061;top:10334;width:58;height:2" coordorigin="14061,10334" coordsize="58,0" path="m14061,10334l14119,10334e" filled="false" stroked="true" strokeweight=".96002pt" strokecolor="#009eea">
              <v:path arrowok="t"/>
            </v:shape>
          </v:group>
          <v:group style="position:absolute;left:14119;top:10334;width:512;height:2" coordorigin="14119,10334" coordsize="512,2">
            <v:shape style="position:absolute;left:14119;top:10334;width:512;height:2" coordorigin="14119,10334" coordsize="512,0" path="m14119,10334l14630,10334e" filled="false" stroked="true" strokeweight=".96002pt" strokecolor="#009eea">
              <v:path arrowok="t"/>
            </v:shape>
          </v:group>
          <v:group style="position:absolute;left:14630;top:10334;width:58;height:2" coordorigin="14630,10334" coordsize="58,2">
            <v:shape style="position:absolute;left:14630;top:10334;width:58;height:2" coordorigin="14630,10334" coordsize="58,0" path="m14630,10334l14688,10334e" filled="false" stroked="true" strokeweight=".96002pt" strokecolor="#009eea">
              <v:path arrowok="t"/>
            </v:shape>
          </v:group>
          <v:group style="position:absolute;left:14688;top:10334;width:656;height:2" coordorigin="14688,10334" coordsize="656,2">
            <v:shape style="position:absolute;left:14688;top:10334;width:656;height:2" coordorigin="14688,10334" coordsize="656,0" path="m14688,10334l15343,10334e" filled="false" stroked="true" strokeweight=".96002pt" strokecolor="#009eea">
              <v:path arrowok="t"/>
            </v:shape>
          </v:group>
          <w10:wrap type="none"/>
        </v:group>
      </w:pict>
    </w:r>
    <w:r>
      <w:rPr/>
      <w:pict>
        <v:shape style="position:absolute;margin-left:401.609985pt;margin-top:524.546021pt;width:33.4pt;height:11pt;mso-position-horizontal-relative:page;mso-position-vertical-relative:page;z-index:-9446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43</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24.546021pt;width:32.4pt;height:11pt;mso-position-horizontal-relative:page;mso-position-vertical-relative:page;z-index:-9446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45 </w:t>
                </w:r>
                <w:r>
                  <w:rPr>
                    <w:rFonts w:ascii="Calibri"/>
                    <w:sz w:val="18"/>
                  </w:rPr>
                  <w:t>/</w:t>
                </w:r>
                <w:r>
                  <w:rPr>
                    <w:rFonts w:ascii="Calibri"/>
                    <w:spacing w:val="-4"/>
                    <w:sz w:val="18"/>
                  </w:rPr>
                  <w:t> </w:t>
                </w:r>
                <w:r>
                  <w:rPr>
                    <w:rFonts w:ascii="Calibri"/>
                    <w:b/>
                    <w:sz w:val="18"/>
                  </w:rPr>
                  <w:t>173</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44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46</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9445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173</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9453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173</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44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9444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54</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443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w:t>
                </w:r>
                <w:r>
                  <w:rPr/>
                  <w:fldChar w:fldCharType="end"/>
                </w:r>
                <w:r>
                  <w:rPr>
                    <w:rFonts w:ascii="Calibri"/>
                    <w:b/>
                    <w:sz w:val="18"/>
                  </w:rPr>
                  <w:t>9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443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442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64</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9442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173</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6.543991pt;margin-top:763.53595pt;width:448.4pt;height:1pt;mso-position-horizontal-relative:page;mso-position-vertical-relative:page;z-index:-944248" coordorigin="1731,15271" coordsize="8968,20">
          <v:group style="position:absolute;left:1740;top:15280;width:4448;height:2" coordorigin="1740,15280" coordsize="4448,2">
            <v:shape style="position:absolute;left:1740;top:15280;width:4448;height:2" coordorigin="1740,15280" coordsize="4448,0" path="m1740,15280l6188,15280e" filled="false" stroked="true" strokeweight=".96002pt" strokecolor="#41b7ee">
              <v:path arrowok="t"/>
            </v:shape>
          </v:group>
          <v:group style="position:absolute;left:6188;top:15280;width:58;height:2" coordorigin="6188,15280" coordsize="58,2">
            <v:shape style="position:absolute;left:6188;top:15280;width:58;height:2" coordorigin="6188,15280" coordsize="58,0" path="m6188,15280l6246,15280e" filled="false" stroked="true" strokeweight=".96002pt" strokecolor="#41b7ee">
              <v:path arrowok="t"/>
            </v:shape>
          </v:group>
          <v:group style="position:absolute;left:6246;top:15280;width:661;height:2" coordorigin="6246,15280" coordsize="661,2">
            <v:shape style="position:absolute;left:6246;top:15280;width:661;height:2" coordorigin="6246,15280" coordsize="661,0" path="m6246,15280l6906,15280e" filled="false" stroked="true" strokeweight=".96002pt" strokecolor="#41b7ee">
              <v:path arrowok="t"/>
            </v:shape>
          </v:group>
          <v:group style="position:absolute;left:6906;top:15280;width:58;height:2" coordorigin="6906,15280" coordsize="58,2">
            <v:shape style="position:absolute;left:6906;top:15280;width:58;height:2" coordorigin="6906,15280" coordsize="58,0" path="m6906,15280l6964,15280e" filled="false" stroked="true" strokeweight=".96002pt" strokecolor="#41b7ee">
              <v:path arrowok="t"/>
            </v:shape>
          </v:group>
          <v:group style="position:absolute;left:6964;top:15280;width:1810;height:2" coordorigin="6964,15280" coordsize="1810,2">
            <v:shape style="position:absolute;left:6964;top:15280;width:1810;height:2" coordorigin="6964,15280" coordsize="1810,0" path="m6964,15280l8773,15280e" filled="false" stroked="true" strokeweight=".96002pt" strokecolor="#41b7ee">
              <v:path arrowok="t"/>
            </v:shape>
          </v:group>
          <v:group style="position:absolute;left:8773;top:15280;width:58;height:2" coordorigin="8773,15280" coordsize="58,2">
            <v:shape style="position:absolute;left:8773;top:15280;width:58;height:2" coordorigin="8773,15280" coordsize="58,0" path="m8773,15280l8831,15280e" filled="false" stroked="true" strokeweight=".96002pt" strokecolor="#41b7ee">
              <v:path arrowok="t"/>
            </v:shape>
          </v:group>
          <v:group style="position:absolute;left:8831;top:15280;width:1859;height:2" coordorigin="8831,15280" coordsize="1859,2">
            <v:shape style="position:absolute;left:8831;top:15280;width:1859;height:2" coordorigin="8831,15280" coordsize="1859,0" path="m8831,15280l10689,15280e" filled="false" stroked="true" strokeweight=".96002pt" strokecolor="#41b7ee">
              <v:path arrowok="t"/>
            </v:shape>
          </v:group>
          <w10:wrap type="none"/>
        </v:group>
      </w:pict>
    </w:r>
    <w:r>
      <w:rPr/>
      <w:pict>
        <v:shape style="position:absolute;margin-left:293.489990pt;margin-top:771.145996pt;width:33.4pt;height:11pt;mso-position-horizontal-relative:page;mso-position-vertical-relative:page;z-index:-9442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72</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442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73</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9441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76</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9440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80</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45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944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45996pt;width:32.4pt;height:11pt;mso-position-horizontal-relative:page;mso-position-vertical-relative:page;z-index:-9440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173</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943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9439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173</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9439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9438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173</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9437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111 </w:t>
                </w:r>
                <w:r>
                  <w:rPr>
                    <w:rFonts w:ascii="Calibri"/>
                    <w:sz w:val="18"/>
                  </w:rPr>
                  <w:t>/</w:t>
                </w:r>
                <w:r>
                  <w:rPr>
                    <w:rFonts w:ascii="Calibri"/>
                    <w:spacing w:val="-5"/>
                    <w:sz w:val="18"/>
                  </w:rPr>
                  <w:t> </w:t>
                </w:r>
                <w:r>
                  <w:rPr>
                    <w:rFonts w:ascii="Calibri"/>
                    <w:b/>
                    <w:sz w:val="18"/>
                  </w:rPr>
                  <w:t>173</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943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113</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9453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173</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9436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9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9436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122</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943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127</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9435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173</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943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784019pt;margin-top:758.496033pt;width:454.05pt;height:1pt;mso-position-horizontal-relative:page;mso-position-vertical-relative:page;z-index:-943360" coordorigin="1676,15170" coordsize="9081,20">
          <v:group style="position:absolute;left:1685;top:15180;width:3486;height:2" coordorigin="1685,15180" coordsize="3486,2">
            <v:shape style="position:absolute;left:1685;top:15180;width:3486;height:2" coordorigin="1685,15180" coordsize="3486,0" path="m1685,15180l5170,15180e" filled="false" stroked="true" strokeweight=".95996pt" strokecolor="#41b7ee">
              <v:path arrowok="t"/>
            </v:shape>
          </v:group>
          <v:group style="position:absolute;left:5171;top:15180;width:58;height:2" coordorigin="5171,15180" coordsize="58,2">
            <v:shape style="position:absolute;left:5171;top:15180;width:58;height:2" coordorigin="5171,15180" coordsize="58,0" path="m5171,15180l5228,15180e" filled="false" stroked="true" strokeweight=".95996pt" strokecolor="#41b7ee">
              <v:path arrowok="t"/>
            </v:shape>
          </v:group>
          <v:group style="position:absolute;left:5228;top:15180;width:2850;height:2" coordorigin="5228,15180" coordsize="2850,2">
            <v:shape style="position:absolute;left:5228;top:15180;width:2850;height:2" coordorigin="5228,15180" coordsize="2850,0" path="m5228,15180l8077,15180e" filled="false" stroked="true" strokeweight=".95996pt" strokecolor="#41b7ee">
              <v:path arrowok="t"/>
            </v:shape>
          </v:group>
          <v:group style="position:absolute;left:8077;top:15180;width:58;height:2" coordorigin="8077,15180" coordsize="58,2">
            <v:shape style="position:absolute;left:8077;top:15180;width:58;height:2" coordorigin="8077,15180" coordsize="58,0" path="m8077,15180l8135,15180e" filled="false" stroked="true" strokeweight=".95996pt" strokecolor="#41b7ee">
              <v:path arrowok="t"/>
            </v:shape>
          </v:group>
          <v:group style="position:absolute;left:8135;top:15180;width:2612;height:2" coordorigin="8135,15180" coordsize="2612,2">
            <v:shape style="position:absolute;left:8135;top:15180;width:2612;height:2" coordorigin="8135,15180" coordsize="2612,0" path="m8135,15180l10747,15180e" filled="false" stroked="true" strokeweight=".95996pt" strokecolor="#41b7ee">
              <v:path arrowok="t"/>
            </v:shape>
          </v:group>
          <w10:wrap type="none"/>
        </v:group>
      </w:pict>
    </w:r>
    <w:r>
      <w:rPr/>
      <w:pict>
        <v:shape style="position:absolute;margin-left:291.209991pt;margin-top:771.145996pt;width:37.950pt;height:11pt;mso-position-horizontal-relative:page;mso-position-vertical-relative:page;z-index:-943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w:t>
                </w:r>
                <w:r>
                  <w:rPr/>
                  <w:fldChar w:fldCharType="end"/>
                </w:r>
                <w:r>
                  <w:rPr>
                    <w:rFonts w:ascii="Calibri"/>
                    <w:b/>
                    <w:sz w:val="18"/>
                  </w:rPr>
                  <w:t>9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023987pt;margin-top:758.015991pt;width:453.45pt;height:1pt;mso-position-horizontal-relative:page;mso-position-vertical-relative:page;z-index:-943312" coordorigin="1680,15160" coordsize="9069,20">
          <v:group style="position:absolute;left:1690;top:15170;width:3483;height:2" coordorigin="1690,15170" coordsize="3483,2">
            <v:shape style="position:absolute;left:1690;top:15170;width:3483;height:2" coordorigin="1690,15170" coordsize="3483,0" path="m1690,15170l5173,15170e" filled="false" stroked="true" strokeweight=".96002pt" strokecolor="#41b7ee">
              <v:path arrowok="t"/>
            </v:shape>
          </v:group>
          <v:group style="position:absolute;left:5173;top:15170;width:58;height:2" coordorigin="5173,15170" coordsize="58,2">
            <v:shape style="position:absolute;left:5173;top:15170;width:58;height:2" coordorigin="5173,15170" coordsize="58,0" path="m5173,15170l5231,15170e" filled="false" stroked="true" strokeweight=".96002pt" strokecolor="#41b7ee">
              <v:path arrowok="t"/>
            </v:shape>
          </v:group>
          <v:group style="position:absolute;left:5231;top:15170;width:2847;height:2" coordorigin="5231,15170" coordsize="2847,2">
            <v:shape style="position:absolute;left:5231;top:15170;width:2847;height:2" coordorigin="5231,15170" coordsize="2847,0" path="m5231,15170l8077,15170e" filled="false" stroked="true" strokeweight=".96002pt" strokecolor="#41b7ee">
              <v:path arrowok="t"/>
            </v:shape>
          </v:group>
          <v:group style="position:absolute;left:8077;top:15170;width:58;height:2" coordorigin="8077,15170" coordsize="58,2">
            <v:shape style="position:absolute;left:8077;top:15170;width:58;height:2" coordorigin="8077,15170" coordsize="58,0" path="m8077,15170l8135,15170e" filled="false" stroked="true" strokeweight=".96002pt" strokecolor="#41b7ee">
              <v:path arrowok="t"/>
            </v:shape>
          </v:group>
          <v:group style="position:absolute;left:8135;top:15170;width:2605;height:2" coordorigin="8135,15170" coordsize="2605,2">
            <v:shape style="position:absolute;left:8135;top:15170;width:2605;height:2" coordorigin="8135,15170" coordsize="2605,0" path="m8135,15170l10739,15170e" filled="false" stroked="true" strokeweight=".96002pt" strokecolor="#41b7ee">
              <v:path arrowok="t"/>
            </v:shape>
          </v:group>
          <w10:wrap type="none"/>
        </v:group>
      </w:pict>
    </w:r>
    <w:r>
      <w:rPr/>
      <w:pict>
        <v:shape style="position:absolute;margin-left:292.209991pt;margin-top:771.145996pt;width:36.950pt;height:11pt;mso-position-horizontal-relative:page;mso-position-vertical-relative:page;z-index:-9432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141 </w:t>
                </w:r>
                <w:r>
                  <w:rPr>
                    <w:rFonts w:ascii="Calibri"/>
                    <w:sz w:val="18"/>
                  </w:rPr>
                  <w:t>/</w:t>
                </w:r>
                <w:r>
                  <w:rPr>
                    <w:rFonts w:ascii="Calibri"/>
                    <w:spacing w:val="-5"/>
                    <w:sz w:val="18"/>
                  </w:rPr>
                  <w:t> </w:t>
                </w:r>
                <w:r>
                  <w:rPr>
                    <w:rFonts w:ascii="Calibri"/>
                    <w:b/>
                    <w:sz w:val="18"/>
                  </w:rPr>
                  <w:t>173</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45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432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142</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9432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173</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43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154</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431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155</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7.863991pt;margin-top:757.655945pt;width:445.8pt;height:1pt;mso-position-horizontal-relative:page;mso-position-vertical-relative:page;z-index:-943096" coordorigin="1757,15153" coordsize="8916,20">
          <v:group style="position:absolute;left:1767;top:15163;width:3994;height:2" coordorigin="1767,15163" coordsize="3994,2">
            <v:shape style="position:absolute;left:1767;top:15163;width:3994;height:2" coordorigin="1767,15163" coordsize="3994,0" path="m1767,15163l5761,15163e" filled="false" stroked="true" strokeweight=".96002pt" strokecolor="#41b7ee">
              <v:path arrowok="t"/>
            </v:shape>
          </v:group>
          <v:group style="position:absolute;left:5761;top:15163;width:58;height:2" coordorigin="5761,15163" coordsize="58,2">
            <v:shape style="position:absolute;left:5761;top:15163;width:58;height:2" coordorigin="5761,15163" coordsize="58,0" path="m5761,15163l5819,15163e" filled="false" stroked="true" strokeweight=".96002pt" strokecolor="#41b7ee">
              <v:path arrowok="t"/>
            </v:shape>
          </v:group>
          <v:group style="position:absolute;left:5819;top:15163;width:1515;height:2" coordorigin="5819,15163" coordsize="1515,2">
            <v:shape style="position:absolute;left:5819;top:15163;width:1515;height:2" coordorigin="5819,15163" coordsize="1515,0" path="m5819,15163l7333,15163e" filled="false" stroked="true" strokeweight=".96002pt" strokecolor="#41b7ee">
              <v:path arrowok="t"/>
            </v:shape>
          </v:group>
          <v:group style="position:absolute;left:7333;top:15163;width:58;height:2" coordorigin="7333,15163" coordsize="58,2">
            <v:shape style="position:absolute;left:7333;top:15163;width:58;height:2" coordorigin="7333,15163" coordsize="58,0" path="m7333,15163l7391,15163e" filled="false" stroked="true" strokeweight=".96002pt" strokecolor="#41b7ee">
              <v:path arrowok="t"/>
            </v:shape>
          </v:group>
          <v:group style="position:absolute;left:7391;top:15163;width:1657;height:2" coordorigin="7391,15163" coordsize="1657,2">
            <v:shape style="position:absolute;left:7391;top:15163;width:1657;height:2" coordorigin="7391,15163" coordsize="1657,0" path="m7391,15163l9047,15163e" filled="false" stroked="true" strokeweight=".96002pt" strokecolor="#41b7ee">
              <v:path arrowok="t"/>
            </v:shape>
          </v:group>
          <v:group style="position:absolute;left:9048;top:15163;width:58;height:2" coordorigin="9048,15163" coordsize="58,2">
            <v:shape style="position:absolute;left:9048;top:15163;width:58;height:2" coordorigin="9048,15163" coordsize="58,0" path="m9048,15163l9105,15163e" filled="false" stroked="true" strokeweight=".96002pt" strokecolor="#41b7ee">
              <v:path arrowok="t"/>
            </v:shape>
          </v:group>
          <v:group style="position:absolute;left:9105;top:15163;width:1558;height:2" coordorigin="9105,15163" coordsize="1558,2">
            <v:shape style="position:absolute;left:9105;top:15163;width:1558;height:2" coordorigin="9105,15163" coordsize="1558,0" path="m9105,15163l10663,15163e" filled="false" stroked="true" strokeweight=".96002pt" strokecolor="#41b7ee">
              <v:path arrowok="t"/>
            </v:shape>
          </v:group>
          <w10:wrap type="none"/>
        </v:group>
      </w:pict>
    </w:r>
    <w:r>
      <w:rPr/>
      <w:pict>
        <v:shape style="position:absolute;margin-left:292.209991pt;margin-top:771.145996pt;width:36.950pt;height:11pt;mso-position-horizontal-relative:page;mso-position-vertical-relative:page;z-index:-9430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158 </w:t>
                </w:r>
                <w:r>
                  <w:rPr>
                    <w:rFonts w:ascii="Calibri"/>
                    <w:sz w:val="18"/>
                  </w:rPr>
                  <w:t>/</w:t>
                </w:r>
                <w:r>
                  <w:rPr>
                    <w:rFonts w:ascii="Calibri"/>
                    <w:spacing w:val="-5"/>
                    <w:sz w:val="18"/>
                  </w:rPr>
                  <w:t> </w:t>
                </w:r>
                <w:r>
                  <w:rPr>
                    <w:rFonts w:ascii="Calibri"/>
                    <w:b/>
                    <w:sz w:val="18"/>
                  </w:rPr>
                  <w:t>173</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9430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159 </w:t>
                </w:r>
                <w:r>
                  <w:rPr>
                    <w:rFonts w:ascii="Calibri"/>
                    <w:sz w:val="18"/>
                  </w:rPr>
                  <w:t>/</w:t>
                </w:r>
                <w:r>
                  <w:rPr>
                    <w:rFonts w:ascii="Calibri"/>
                    <w:spacing w:val="-5"/>
                    <w:sz w:val="18"/>
                  </w:rPr>
                  <w:t> </w:t>
                </w:r>
                <w:r>
                  <w:rPr>
                    <w:rFonts w:ascii="Calibri"/>
                    <w:b/>
                    <w:sz w:val="18"/>
                  </w:rPr>
                  <w:t>173</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9430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173</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7.863991pt;margin-top:765.575989pt;width:445.75pt;height:1pt;mso-position-horizontal-relative:page;mso-position-vertical-relative:page;z-index:-943000" coordorigin="1757,15312" coordsize="8915,20">
          <v:group style="position:absolute;left:1767;top:15321;width:1138;height:2" coordorigin="1767,15321" coordsize="1138,2">
            <v:shape style="position:absolute;left:1767;top:15321;width:1138;height:2" coordorigin="1767,15321" coordsize="1138,0" path="m1767,15321l2904,15321e" filled="false" stroked="true" strokeweight=".96002pt" strokecolor="#41b7ee">
              <v:path arrowok="t"/>
            </v:shape>
          </v:group>
          <v:group style="position:absolute;left:2904;top:15321;width:58;height:2" coordorigin="2904,15321" coordsize="58,2">
            <v:shape style="position:absolute;left:2904;top:15321;width:58;height:2" coordorigin="2904,15321" coordsize="58,0" path="m2904,15321l2962,15321e" filled="false" stroked="true" strokeweight=".96002pt" strokecolor="#41b7ee">
              <v:path arrowok="t"/>
            </v:shape>
          </v:group>
          <v:group style="position:absolute;left:2962;top:15321;width:4084;height:2" coordorigin="2962,15321" coordsize="4084,2">
            <v:shape style="position:absolute;left:2962;top:15321;width:4084;height:2" coordorigin="2962,15321" coordsize="4084,0" path="m2962,15321l7045,15321e" filled="false" stroked="true" strokeweight=".96002pt" strokecolor="#41b7ee">
              <v:path arrowok="t"/>
            </v:shape>
          </v:group>
          <v:group style="position:absolute;left:7045;top:15321;width:58;height:2" coordorigin="7045,15321" coordsize="58,2">
            <v:shape style="position:absolute;left:7045;top:15321;width:58;height:2" coordorigin="7045,15321" coordsize="58,0" path="m7045,15321l7103,15321e" filled="false" stroked="true" strokeweight=".96002pt" strokecolor="#41b7ee">
              <v:path arrowok="t"/>
            </v:shape>
          </v:group>
          <v:group style="position:absolute;left:7103;top:15321;width:1798;height:2" coordorigin="7103,15321" coordsize="1798,2">
            <v:shape style="position:absolute;left:7103;top:15321;width:1798;height:2" coordorigin="7103,15321" coordsize="1798,0" path="m7103,15321l8901,15321e" filled="false" stroked="true" strokeweight=".96002pt" strokecolor="#41b7ee">
              <v:path arrowok="t"/>
            </v:shape>
          </v:group>
          <v:group style="position:absolute;left:8901;top:15321;width:58;height:2" coordorigin="8901,15321" coordsize="58,2">
            <v:shape style="position:absolute;left:8901;top:15321;width:58;height:2" coordorigin="8901,15321" coordsize="58,0" path="m8901,15321l8958,15321e" filled="false" stroked="true" strokeweight=".96002pt" strokecolor="#41b7ee">
              <v:path arrowok="t"/>
            </v:shape>
          </v:group>
          <v:group style="position:absolute;left:8958;top:15321;width:1705;height:2" coordorigin="8958,15321" coordsize="1705,2">
            <v:shape style="position:absolute;left:8958;top:15321;width:1705;height:2" coordorigin="8958,15321" coordsize="1705,0" path="m8958,15321l10663,15321e" filled="false" stroked="true" strokeweight=".96002pt" strokecolor="#41b7ee">
              <v:path arrowok="t"/>
            </v:shape>
          </v:group>
          <w10:wrap type="none"/>
        </v:group>
      </w:pict>
    </w:r>
    <w:r>
      <w:rPr/>
      <w:pict>
        <v:shape style="position:absolute;margin-left:292.209991pt;margin-top:771.145996pt;width:36.950pt;height:11pt;mso-position-horizontal-relative:page;mso-position-vertical-relative:page;z-index:-9429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161 </w:t>
                </w:r>
                <w:r>
                  <w:rPr>
                    <w:rFonts w:ascii="Calibri"/>
                    <w:sz w:val="18"/>
                  </w:rPr>
                  <w:t>/</w:t>
                </w:r>
                <w:r>
                  <w:rPr>
                    <w:rFonts w:ascii="Calibri"/>
                    <w:spacing w:val="-5"/>
                    <w:sz w:val="18"/>
                  </w:rPr>
                  <w:t> </w:t>
                </w:r>
                <w:r>
                  <w:rPr>
                    <w:rFonts w:ascii="Calibri"/>
                    <w:b/>
                    <w:sz w:val="18"/>
                  </w:rPr>
                  <w:t>173</w:t>
                </w:r>
                <w:r>
                  <w:rPr>
                    <w:rFonts w:ascii="Calibri"/>
                    <w:sz w:val="18"/>
                  </w:rPr>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42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162</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429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166</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7.983994pt;margin-top:754.655945pt;width:445.55pt;height:1pt;mso-position-horizontal-relative:page;mso-position-vertical-relative:page;z-index:-942904" coordorigin="1760,15093" coordsize="8911,20">
          <v:group style="position:absolute;left:1769;top:15103;width:2125;height:2" coordorigin="1769,15103" coordsize="2125,2">
            <v:shape style="position:absolute;left:1769;top:15103;width:2125;height:2" coordorigin="1769,15103" coordsize="2125,0" path="m1769,15103l3894,15103e" filled="false" stroked="true" strokeweight=".96002pt" strokecolor="#41b7ee">
              <v:path arrowok="t"/>
            </v:shape>
          </v:group>
          <v:group style="position:absolute;left:3894;top:15103;width:58;height:2" coordorigin="3894,15103" coordsize="58,2">
            <v:shape style="position:absolute;left:3894;top:15103;width:58;height:2" coordorigin="3894,15103" coordsize="58,0" path="m3894,15103l3951,15103e" filled="false" stroked="true" strokeweight=".96002pt" strokecolor="#41b7ee">
              <v:path arrowok="t"/>
            </v:shape>
          </v:group>
          <v:group style="position:absolute;left:3951;top:15103;width:1503;height:2" coordorigin="3951,15103" coordsize="1503,2">
            <v:shape style="position:absolute;left:3951;top:15103;width:1503;height:2" coordorigin="3951,15103" coordsize="1503,0" path="m3951,15103l5454,15103e" filled="false" stroked="true" strokeweight=".96002pt" strokecolor="#41b7ee">
              <v:path arrowok="t"/>
            </v:shape>
          </v:group>
          <v:group style="position:absolute;left:5454;top:15103;width:58;height:2" coordorigin="5454,15103" coordsize="58,2">
            <v:shape style="position:absolute;left:5454;top:15103;width:58;height:2" coordorigin="5454,15103" coordsize="58,0" path="m5454,15103l5511,15103e" filled="false" stroked="true" strokeweight=".96002pt" strokecolor="#41b7ee">
              <v:path arrowok="t"/>
            </v:shape>
          </v:group>
          <v:group style="position:absolute;left:5511;top:15103;width:3609;height:2" coordorigin="5511,15103" coordsize="3609,2">
            <v:shape style="position:absolute;left:5511;top:15103;width:3609;height:2" coordorigin="5511,15103" coordsize="3609,0" path="m5511,15103l9120,15103e" filled="false" stroked="true" strokeweight=".96002pt" strokecolor="#41b7ee">
              <v:path arrowok="t"/>
            </v:shape>
          </v:group>
          <v:group style="position:absolute;left:9120;top:15103;width:58;height:2" coordorigin="9120,15103" coordsize="58,2">
            <v:shape style="position:absolute;left:9120;top:15103;width:58;height:2" coordorigin="9120,15103" coordsize="58,0" path="m9120,15103l9177,15103e" filled="false" stroked="true" strokeweight=".96002pt" strokecolor="#41b7ee">
              <v:path arrowok="t"/>
            </v:shape>
          </v:group>
          <v:group style="position:absolute;left:9177;top:15103;width:1484;height:2" coordorigin="9177,15103" coordsize="1484,2">
            <v:shape style="position:absolute;left:9177;top:15103;width:1484;height:2" coordorigin="9177,15103" coordsize="1484,0" path="m9177,15103l10660,15103e" filled="false" stroked="true" strokeweight=".96002pt" strokecolor="#41b7ee">
              <v:path arrowok="t"/>
            </v:shape>
          </v:group>
          <w10:wrap type="none"/>
        </v:group>
      </w:pict>
    </w:r>
    <w:r>
      <w:rPr/>
      <w:pict>
        <v:shape style="position:absolute;margin-left:292.209991pt;margin-top:771.145996pt;width:36.950pt;height:11pt;mso-position-horizontal-relative:page;mso-position-vertical-relative:page;z-index:-9428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168 </w:t>
                </w:r>
                <w:r>
                  <w:rPr>
                    <w:rFonts w:ascii="Calibri"/>
                    <w:sz w:val="18"/>
                  </w:rPr>
                  <w:t>/</w:t>
                </w:r>
                <w:r>
                  <w:rPr>
                    <w:rFonts w:ascii="Calibri"/>
                    <w:spacing w:val="-5"/>
                    <w:sz w:val="18"/>
                  </w:rPr>
                  <w:t> </w:t>
                </w:r>
                <w:r>
                  <w:rPr>
                    <w:rFonts w:ascii="Calibri"/>
                    <w:b/>
                    <w:sz w:val="18"/>
                  </w:rPr>
                  <w:t>173</w:t>
                </w:r>
                <w:r>
                  <w:rPr>
                    <w:rFonts w:ascii="Calibri"/>
                    <w:sz w:val="18"/>
                  </w:rPr>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9428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169 </w:t>
                </w:r>
                <w:r>
                  <w:rPr>
                    <w:rFonts w:ascii="Calibri"/>
                    <w:sz w:val="18"/>
                  </w:rPr>
                  <w:t>/</w:t>
                </w:r>
                <w:r>
                  <w:rPr>
                    <w:rFonts w:ascii="Calibri"/>
                    <w:spacing w:val="-5"/>
                    <w:sz w:val="18"/>
                  </w:rPr>
                  <w:t> </w:t>
                </w:r>
                <w:r>
                  <w:rPr>
                    <w:rFonts w:ascii="Calibri"/>
                    <w:b/>
                    <w:sz w:val="18"/>
                  </w:rPr>
                  <w:t>173</w:t>
                </w:r>
                <w:r>
                  <w:rPr>
                    <w:rFonts w:ascii="Calibri"/>
                    <w:sz w:val="18"/>
                  </w:rPr>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942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170</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426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172</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45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24</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079987pt;margin-top:520.776001pt;width:697.55pt;height:1pt;mso-position-horizontal-relative:page;mso-position-vertical-relative:page;z-index:-945160" coordorigin="1402,10416" coordsize="13951,20">
          <v:group style="position:absolute;left:1411;top:10425;width:608;height:2" coordorigin="1411,10425" coordsize="608,2">
            <v:shape style="position:absolute;left:1411;top:10425;width:608;height:2" coordorigin="1411,10425" coordsize="608,0" path="m1411,10425l2019,10425e" filled="false" stroked="true" strokeweight=".96002pt" strokecolor="#41b7ee">
              <v:path arrowok="t"/>
            </v:shape>
          </v:group>
          <v:group style="position:absolute;left:2019;top:10425;width:58;height:2" coordorigin="2019,10425" coordsize="58,2">
            <v:shape style="position:absolute;left:2019;top:10425;width:58;height:2" coordorigin="2019,10425" coordsize="58,0" path="m2019,10425l2076,10425e" filled="false" stroked="true" strokeweight=".96002pt" strokecolor="#41b7ee">
              <v:path arrowok="t"/>
            </v:shape>
          </v:group>
          <v:group style="position:absolute;left:2076;top:10425;width:588;height:2" coordorigin="2076,10425" coordsize="588,2">
            <v:shape style="position:absolute;left:2076;top:10425;width:588;height:2" coordorigin="2076,10425" coordsize="588,0" path="m2076,10425l2664,10425e" filled="false" stroked="true" strokeweight=".96002pt" strokecolor="#41b7ee">
              <v:path arrowok="t"/>
            </v:shape>
          </v:group>
          <v:group style="position:absolute;left:2664;top:10425;width:58;height:2" coordorigin="2664,10425" coordsize="58,2">
            <v:shape style="position:absolute;left:2664;top:10425;width:58;height:2" coordorigin="2664,10425" coordsize="58,0" path="m2664,10425l2722,10425e" filled="false" stroked="true" strokeweight=".96002pt" strokecolor="#41b7ee">
              <v:path arrowok="t"/>
            </v:shape>
          </v:group>
          <v:group style="position:absolute;left:2722;top:10425;width:737;height:2" coordorigin="2722,10425" coordsize="737,2">
            <v:shape style="position:absolute;left:2722;top:10425;width:737;height:2" coordorigin="2722,10425" coordsize="737,0" path="m2722,10425l3459,10425e" filled="false" stroked="true" strokeweight=".96002pt" strokecolor="#41b7ee">
              <v:path arrowok="t"/>
            </v:shape>
          </v:group>
          <v:group style="position:absolute;left:3459;top:10425;width:58;height:2" coordorigin="3459,10425" coordsize="58,2">
            <v:shape style="position:absolute;left:3459;top:10425;width:58;height:2" coordorigin="3459,10425" coordsize="58,0" path="m3459,10425l3516,10425e" filled="false" stroked="true" strokeweight=".96002pt" strokecolor="#41b7ee">
              <v:path arrowok="t"/>
            </v:shape>
          </v:group>
          <v:group style="position:absolute;left:3516;top:10425;width:543;height:2" coordorigin="3516,10425" coordsize="543,2">
            <v:shape style="position:absolute;left:3516;top:10425;width:543;height:2" coordorigin="3516,10425" coordsize="543,0" path="m3516,10425l4059,10425e" filled="false" stroked="true" strokeweight=".96002pt" strokecolor="#41b7ee">
              <v:path arrowok="t"/>
            </v:shape>
          </v:group>
          <v:group style="position:absolute;left:4059;top:10425;width:58;height:2" coordorigin="4059,10425" coordsize="58,2">
            <v:shape style="position:absolute;left:4059;top:10425;width:58;height:2" coordorigin="4059,10425" coordsize="58,0" path="m4059,10425l4116,10425e" filled="false" stroked="true" strokeweight=".96002pt" strokecolor="#41b7ee">
              <v:path arrowok="t"/>
            </v:shape>
          </v:group>
          <v:group style="position:absolute;left:4116;top:10425;width:2216;height:2" coordorigin="4116,10425" coordsize="2216,2">
            <v:shape style="position:absolute;left:4116;top:10425;width:2216;height:2" coordorigin="4116,10425" coordsize="2216,0" path="m4116,10425l6332,10425e" filled="false" stroked="true" strokeweight=".96002pt" strokecolor="#41b7ee">
              <v:path arrowok="t"/>
            </v:shape>
          </v:group>
          <v:group style="position:absolute;left:6332;top:10425;width:58;height:2" coordorigin="6332,10425" coordsize="58,2">
            <v:shape style="position:absolute;left:6332;top:10425;width:58;height:2" coordorigin="6332,10425" coordsize="58,0" path="m6332,10425l6390,10425e" filled="false" stroked="true" strokeweight=".96002pt" strokecolor="#41b7ee">
              <v:path arrowok="t"/>
            </v:shape>
          </v:group>
          <v:group style="position:absolute;left:6390;top:10425;width:1301;height:2" coordorigin="6390,10425" coordsize="1301,2">
            <v:shape style="position:absolute;left:6390;top:10425;width:1301;height:2" coordorigin="6390,10425" coordsize="1301,0" path="m6390,10425l7691,10425e" filled="false" stroked="true" strokeweight=".96002pt" strokecolor="#41b7ee">
              <v:path arrowok="t"/>
            </v:shape>
          </v:group>
          <v:group style="position:absolute;left:7691;top:10425;width:58;height:2" coordorigin="7691,10425" coordsize="58,2">
            <v:shape style="position:absolute;left:7691;top:10425;width:58;height:2" coordorigin="7691,10425" coordsize="58,0" path="m7691,10425l7748,10425e" filled="false" stroked="true" strokeweight=".96002pt" strokecolor="#41b7ee">
              <v:path arrowok="t"/>
            </v:shape>
          </v:group>
          <v:group style="position:absolute;left:7748;top:10425;width:780;height:2" coordorigin="7748,10425" coordsize="780,2">
            <v:shape style="position:absolute;left:7748;top:10425;width:780;height:2" coordorigin="7748,10425" coordsize="780,0" path="m7748,10425l8528,10425e" filled="false" stroked="true" strokeweight=".96002pt" strokecolor="#41b7ee">
              <v:path arrowok="t"/>
            </v:shape>
          </v:group>
          <v:group style="position:absolute;left:8528;top:10425;width:58;height:2" coordorigin="8528,10425" coordsize="58,2">
            <v:shape style="position:absolute;left:8528;top:10425;width:58;height:2" coordorigin="8528,10425" coordsize="58,0" path="m8528,10425l8586,10425e" filled="false" stroked="true" strokeweight=".96002pt" strokecolor="#41b7ee">
              <v:path arrowok="t"/>
            </v:shape>
          </v:group>
          <v:group style="position:absolute;left:8586;top:10425;width:2365;height:2" coordorigin="8586,10425" coordsize="2365,2">
            <v:shape style="position:absolute;left:8586;top:10425;width:2365;height:2" coordorigin="8586,10425" coordsize="2365,0" path="m8586,10425l10950,10425e" filled="false" stroked="true" strokeweight=".96002pt" strokecolor="#41b7ee">
              <v:path arrowok="t"/>
            </v:shape>
          </v:group>
          <v:group style="position:absolute;left:10950;top:10425;width:58;height:2" coordorigin="10950,10425" coordsize="58,2">
            <v:shape style="position:absolute;left:10950;top:10425;width:58;height:2" coordorigin="10950,10425" coordsize="58,0" path="m10950,10425l11008,10425e" filled="false" stroked="true" strokeweight=".96002pt" strokecolor="#41b7ee">
              <v:path arrowok="t"/>
            </v:shape>
          </v:group>
          <v:group style="position:absolute;left:11008;top:10425;width:2802;height:2" coordorigin="11008,10425" coordsize="2802,2">
            <v:shape style="position:absolute;left:11008;top:10425;width:2802;height:2" coordorigin="11008,10425" coordsize="2802,0" path="m11008,10425l13809,10425e" filled="false" stroked="true" strokeweight=".96002pt" strokecolor="#41b7ee">
              <v:path arrowok="t"/>
            </v:shape>
          </v:group>
          <v:group style="position:absolute;left:13809;top:10425;width:58;height:2" coordorigin="13809,10425" coordsize="58,2">
            <v:shape style="position:absolute;left:13809;top:10425;width:58;height:2" coordorigin="13809,10425" coordsize="58,0" path="m13809,10425l13867,10425e" filled="false" stroked="true" strokeweight=".96002pt" strokecolor="#41b7ee">
              <v:path arrowok="t"/>
            </v:shape>
          </v:group>
          <v:group style="position:absolute;left:13867;top:10425;width:1476;height:2" coordorigin="13867,10425" coordsize="1476,2">
            <v:shape style="position:absolute;left:13867;top:10425;width:1476;height:2" coordorigin="13867,10425" coordsize="1476,0" path="m13867,10425l15343,10425e" filled="false" stroked="true" strokeweight=".96002pt" strokecolor="#41b7ee">
              <v:path arrowok="t"/>
            </v:shape>
          </v:group>
          <w10:wrap type="none"/>
        </v:group>
      </w:pict>
    </w:r>
    <w:r>
      <w:rPr/>
      <w:pict>
        <v:shape style="position:absolute;margin-left:401.609985pt;margin-top:524.546021pt;width:33.4pt;height:11pt;mso-position-horizontal-relative:page;mso-position-vertical-relative:page;z-index:-945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28</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079987pt;margin-top:515.255981pt;width:697.55pt;height:1pt;mso-position-horizontal-relative:page;mso-position-vertical-relative:page;z-index:-945112" coordorigin="1402,10305" coordsize="13951,20">
          <v:group style="position:absolute;left:1411;top:10315;width:608;height:2" coordorigin="1411,10315" coordsize="608,2">
            <v:shape style="position:absolute;left:1411;top:10315;width:608;height:2" coordorigin="1411,10315" coordsize="608,0" path="m1411,10315l2019,10315e" filled="false" stroked="true" strokeweight=".96002pt" strokecolor="#41b7ee">
              <v:path arrowok="t"/>
            </v:shape>
          </v:group>
          <v:group style="position:absolute;left:2019;top:10315;width:58;height:2" coordorigin="2019,10315" coordsize="58,2">
            <v:shape style="position:absolute;left:2019;top:10315;width:58;height:2" coordorigin="2019,10315" coordsize="58,0" path="m2019,10315l2076,10315e" filled="false" stroked="true" strokeweight=".96002pt" strokecolor="#41b7ee">
              <v:path arrowok="t"/>
            </v:shape>
          </v:group>
          <v:group style="position:absolute;left:2076;top:10315;width:588;height:2" coordorigin="2076,10315" coordsize="588,2">
            <v:shape style="position:absolute;left:2076;top:10315;width:588;height:2" coordorigin="2076,10315" coordsize="588,0" path="m2076,10315l2664,10315e" filled="false" stroked="true" strokeweight=".96002pt" strokecolor="#41b7ee">
              <v:path arrowok="t"/>
            </v:shape>
          </v:group>
          <v:group style="position:absolute;left:2664;top:10315;width:58;height:2" coordorigin="2664,10315" coordsize="58,2">
            <v:shape style="position:absolute;left:2664;top:10315;width:58;height:2" coordorigin="2664,10315" coordsize="58,0" path="m2664,10315l2722,10315e" filled="false" stroked="true" strokeweight=".96002pt" strokecolor="#41b7ee">
              <v:path arrowok="t"/>
            </v:shape>
          </v:group>
          <v:group style="position:absolute;left:2722;top:10315;width:737;height:2" coordorigin="2722,10315" coordsize="737,2">
            <v:shape style="position:absolute;left:2722;top:10315;width:737;height:2" coordorigin="2722,10315" coordsize="737,0" path="m2722,10315l3459,10315e" filled="false" stroked="true" strokeweight=".96002pt" strokecolor="#41b7ee">
              <v:path arrowok="t"/>
            </v:shape>
          </v:group>
          <v:group style="position:absolute;left:3459;top:10315;width:58;height:2" coordorigin="3459,10315" coordsize="58,2">
            <v:shape style="position:absolute;left:3459;top:10315;width:58;height:2" coordorigin="3459,10315" coordsize="58,0" path="m3459,10315l3516,10315e" filled="false" stroked="true" strokeweight=".96002pt" strokecolor="#41b7ee">
              <v:path arrowok="t"/>
            </v:shape>
          </v:group>
          <v:group style="position:absolute;left:3516;top:10315;width:543;height:2" coordorigin="3516,10315" coordsize="543,2">
            <v:shape style="position:absolute;left:3516;top:10315;width:543;height:2" coordorigin="3516,10315" coordsize="543,0" path="m3516,10315l4059,10315e" filled="false" stroked="true" strokeweight=".96002pt" strokecolor="#41b7ee">
              <v:path arrowok="t"/>
            </v:shape>
          </v:group>
          <v:group style="position:absolute;left:4059;top:10315;width:58;height:2" coordorigin="4059,10315" coordsize="58,2">
            <v:shape style="position:absolute;left:4059;top:10315;width:58;height:2" coordorigin="4059,10315" coordsize="58,0" path="m4059,10315l4116,10315e" filled="false" stroked="true" strokeweight=".96002pt" strokecolor="#41b7ee">
              <v:path arrowok="t"/>
            </v:shape>
          </v:group>
          <v:group style="position:absolute;left:4116;top:10315;width:2216;height:2" coordorigin="4116,10315" coordsize="2216,2">
            <v:shape style="position:absolute;left:4116;top:10315;width:2216;height:2" coordorigin="4116,10315" coordsize="2216,0" path="m4116,10315l6332,10315e" filled="false" stroked="true" strokeweight=".96002pt" strokecolor="#41b7ee">
              <v:path arrowok="t"/>
            </v:shape>
          </v:group>
          <v:group style="position:absolute;left:6332;top:10315;width:58;height:2" coordorigin="6332,10315" coordsize="58,2">
            <v:shape style="position:absolute;left:6332;top:10315;width:58;height:2" coordorigin="6332,10315" coordsize="58,0" path="m6332,10315l6390,10315e" filled="false" stroked="true" strokeweight=".96002pt" strokecolor="#41b7ee">
              <v:path arrowok="t"/>
            </v:shape>
          </v:group>
          <v:group style="position:absolute;left:6390;top:10315;width:1301;height:2" coordorigin="6390,10315" coordsize="1301,2">
            <v:shape style="position:absolute;left:6390;top:10315;width:1301;height:2" coordorigin="6390,10315" coordsize="1301,0" path="m6390,10315l7691,10315e" filled="false" stroked="true" strokeweight=".96002pt" strokecolor="#41b7ee">
              <v:path arrowok="t"/>
            </v:shape>
          </v:group>
          <v:group style="position:absolute;left:7691;top:10315;width:58;height:2" coordorigin="7691,10315" coordsize="58,2">
            <v:shape style="position:absolute;left:7691;top:10315;width:58;height:2" coordorigin="7691,10315" coordsize="58,0" path="m7691,10315l7748,10315e" filled="false" stroked="true" strokeweight=".96002pt" strokecolor="#41b7ee">
              <v:path arrowok="t"/>
            </v:shape>
          </v:group>
          <v:group style="position:absolute;left:7748;top:10315;width:780;height:2" coordorigin="7748,10315" coordsize="780,2">
            <v:shape style="position:absolute;left:7748;top:10315;width:780;height:2" coordorigin="7748,10315" coordsize="780,0" path="m7748,10315l8528,10315e" filled="false" stroked="true" strokeweight=".96002pt" strokecolor="#41b7ee">
              <v:path arrowok="t"/>
            </v:shape>
          </v:group>
          <v:group style="position:absolute;left:8528;top:10315;width:58;height:2" coordorigin="8528,10315" coordsize="58,2">
            <v:shape style="position:absolute;left:8528;top:10315;width:58;height:2" coordorigin="8528,10315" coordsize="58,0" path="m8528,10315l8586,10315e" filled="false" stroked="true" strokeweight=".96002pt" strokecolor="#41b7ee">
              <v:path arrowok="t"/>
            </v:shape>
          </v:group>
          <v:group style="position:absolute;left:8586;top:10315;width:2365;height:2" coordorigin="8586,10315" coordsize="2365,2">
            <v:shape style="position:absolute;left:8586;top:10315;width:2365;height:2" coordorigin="8586,10315" coordsize="2365,0" path="m8586,10315l10950,10315e" filled="false" stroked="true" strokeweight=".96002pt" strokecolor="#41b7ee">
              <v:path arrowok="t"/>
            </v:shape>
          </v:group>
          <v:group style="position:absolute;left:10950;top:10315;width:58;height:2" coordorigin="10950,10315" coordsize="58,2">
            <v:shape style="position:absolute;left:10950;top:10315;width:58;height:2" coordorigin="10950,10315" coordsize="58,0" path="m10950,10315l11008,10315e" filled="false" stroked="true" strokeweight=".96002pt" strokecolor="#41b7ee">
              <v:path arrowok="t"/>
            </v:shape>
          </v:group>
          <v:group style="position:absolute;left:11008;top:10315;width:2802;height:2" coordorigin="11008,10315" coordsize="2802,2">
            <v:shape style="position:absolute;left:11008;top:10315;width:2802;height:2" coordorigin="11008,10315" coordsize="2802,0" path="m11008,10315l13809,10315e" filled="false" stroked="true" strokeweight=".96002pt" strokecolor="#41b7ee">
              <v:path arrowok="t"/>
            </v:shape>
          </v:group>
          <v:group style="position:absolute;left:13809;top:10315;width:58;height:2" coordorigin="13809,10315" coordsize="58,2">
            <v:shape style="position:absolute;left:13809;top:10315;width:58;height:2" coordorigin="13809,10315" coordsize="58,0" path="m13809,10315l13867,10315e" filled="false" stroked="true" strokeweight=".96002pt" strokecolor="#41b7ee">
              <v:path arrowok="t"/>
            </v:shape>
          </v:group>
          <v:group style="position:absolute;left:13867;top:10315;width:1476;height:2" coordorigin="13867,10315" coordsize="1476,2">
            <v:shape style="position:absolute;left:13867;top:10315;width:1476;height:2" coordorigin="13867,10315" coordsize="1476,0" path="m13867,10315l15343,10315e" filled="false" stroked="true" strokeweight=".96002pt" strokecolor="#41b7ee">
              <v:path arrowok="t"/>
            </v:shape>
          </v:group>
          <w10:wrap type="none"/>
        </v:group>
      </w:pict>
    </w:r>
    <w:r>
      <w:rPr/>
      <w:pict>
        <v:shape style="position:absolute;margin-left:402.609985pt;margin-top:524.546021pt;width:32.4pt;height:11pt;mso-position-horizontal-relative:page;mso-position-vertical-relative:page;z-index:-9450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173</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949997pt;margin-top:41.249985pt;width:233.25pt;height:24pt;mso-position-horizontal-relative:page;mso-position-vertical-relative:page;z-index:-945448" type="#_x0000_t75" stroked="false">
          <v:imagedata r:id="rId1" o:title=""/>
        </v:shape>
      </w:pict>
    </w:r>
    <w:r>
      <w:rPr/>
      <w:pict>
        <v:group style="position:absolute;margin-left:88.463997pt;margin-top:68.159981pt;width:443.6pt;height:.1pt;mso-position-horizontal-relative:page;mso-position-vertical-relative:page;z-index:-945424" coordorigin="1769,1363" coordsize="8872,2">
          <v:shape style="position:absolute;left:1769;top:1363;width:8872;height:2" coordorigin="1769,1363" coordsize="8872,0" path="m1769,1363l10641,1363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421.709991pt;margin-top:47.984089pt;width:110.05pt;height:16.05pt;mso-position-horizontal-relative:page;mso-position-vertical-relative:page;z-index:-945400" type="#_x0000_t202" filled="false" stroked="false">
          <v:textbox inset="0,0,0,0">
            <w:txbxContent>
              <w:p>
                <w:pPr>
                  <w:spacing w:line="318" w:lineRule="exact" w:before="0"/>
                  <w:ind w:left="20" w:right="0" w:firstLine="0"/>
                  <w:jc w:val="left"/>
                  <w:rPr>
                    <w:rFonts w:ascii="微软雅黑" w:hAnsi="微软雅黑" w:cs="微软雅黑" w:eastAsia="微软雅黑" w:hint="default"/>
                    <w:sz w:val="28"/>
                    <w:szCs w:val="28"/>
                  </w:rPr>
                </w:pPr>
                <w:r>
                  <w:rPr>
                    <w:rFonts w:ascii="微软雅黑" w:hAnsi="微软雅黑" w:cs="微软雅黑" w:eastAsia="微软雅黑" w:hint="default"/>
                    <w:b/>
                    <w:bCs/>
                    <w:sz w:val="28"/>
                    <w:szCs w:val="28"/>
                  </w:rPr>
                  <w:t>2019</w:t>
                </w:r>
                <w:r>
                  <w:rPr>
                    <w:rFonts w:ascii="微软雅黑" w:hAnsi="微软雅黑" w:cs="微软雅黑" w:eastAsia="微软雅黑" w:hint="default"/>
                    <w:b/>
                    <w:bCs/>
                    <w:spacing w:val="-16"/>
                    <w:sz w:val="28"/>
                    <w:szCs w:val="28"/>
                  </w:rPr>
                  <w:t> </w:t>
                </w:r>
                <w:r>
                  <w:rPr>
                    <w:rFonts w:ascii="微软雅黑" w:hAnsi="微软雅黑" w:cs="微软雅黑" w:eastAsia="微软雅黑" w:hint="default"/>
                    <w:b/>
                    <w:bCs/>
                    <w:sz w:val="28"/>
                    <w:szCs w:val="28"/>
                  </w:rPr>
                  <w:t>年年度报告</w:t>
                </w:r>
                <w:r>
                  <w:rPr>
                    <w:rFonts w:ascii="微软雅黑" w:hAnsi="微软雅黑" w:cs="微软雅黑" w:eastAsia="微软雅黑" w:hint="default"/>
                    <w:sz w:val="28"/>
                    <w:szCs w:val="28"/>
                  </w:rPr>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6.900002pt;margin-top:41.299984pt;width:233.25pt;height:24pt;mso-position-horizontal-relative:page;mso-position-vertical-relative:page;z-index:-944104" type="#_x0000_t75" stroked="false">
          <v:imagedata r:id="rId1" o:title=""/>
        </v:shape>
      </w:pict>
    </w:r>
    <w:r>
      <w:rPr/>
      <w:pict>
        <v:shape style="position:absolute;margin-left:395.670013pt;margin-top:48.104088pt;width:110pt;height:16.05pt;mso-position-horizontal-relative:page;mso-position-vertical-relative:page;z-index:-944080" type="#_x0000_t202" filled="false" stroked="false">
          <v:textbox inset="0,0,0,0">
            <w:txbxContent>
              <w:p>
                <w:pPr>
                  <w:spacing w:line="318" w:lineRule="exact" w:before="0"/>
                  <w:ind w:left="20" w:right="0" w:firstLine="0"/>
                  <w:jc w:val="left"/>
                  <w:rPr>
                    <w:rFonts w:ascii="微软雅黑" w:hAnsi="微软雅黑" w:cs="微软雅黑" w:eastAsia="微软雅黑" w:hint="default"/>
                    <w:sz w:val="28"/>
                    <w:szCs w:val="28"/>
                  </w:rPr>
                </w:pPr>
                <w:r>
                  <w:rPr>
                    <w:rFonts w:ascii="微软雅黑" w:hAnsi="微软雅黑" w:cs="微软雅黑" w:eastAsia="微软雅黑" w:hint="default"/>
                    <w:b/>
                    <w:bCs/>
                    <w:sz w:val="28"/>
                    <w:szCs w:val="28"/>
                  </w:rPr>
                  <w:t>2019</w:t>
                </w:r>
                <w:r>
                  <w:rPr>
                    <w:rFonts w:ascii="微软雅黑" w:hAnsi="微软雅黑" w:cs="微软雅黑" w:eastAsia="微软雅黑" w:hint="default"/>
                    <w:b/>
                    <w:bCs/>
                    <w:spacing w:val="-17"/>
                    <w:sz w:val="28"/>
                    <w:szCs w:val="28"/>
                  </w:rPr>
                  <w:t> </w:t>
                </w:r>
                <w:r>
                  <w:rPr>
                    <w:rFonts w:ascii="微软雅黑" w:hAnsi="微软雅黑" w:cs="微软雅黑" w:eastAsia="微软雅黑" w:hint="default"/>
                    <w:b/>
                    <w:bCs/>
                    <w:sz w:val="28"/>
                    <w:szCs w:val="28"/>
                  </w:rPr>
                  <w:t>年年度报告</w:t>
                </w:r>
                <w:r>
                  <w:rPr>
                    <w:rFonts w:ascii="微软雅黑" w:hAnsi="微软雅黑" w:cs="微软雅黑" w:eastAsia="微软雅黑" w:hint="default"/>
                    <w:sz w:val="28"/>
                    <w:szCs w:val="28"/>
                  </w:rPr>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6.900002pt;margin-top:41.299984pt;width:233.25pt;height:24pt;mso-position-horizontal-relative:page;mso-position-vertical-relative:page;z-index:-943912" type="#_x0000_t75" stroked="false">
          <v:imagedata r:id="rId1" o:title=""/>
        </v:shape>
      </w:pict>
    </w:r>
    <w:r>
      <w:rPr/>
      <w:pict>
        <v:group style="position:absolute;margin-left:62.400002pt;margin-top:68.159981pt;width:443.65pt;height:.1pt;mso-position-horizontal-relative:page;mso-position-vertical-relative:page;z-index:-943888" coordorigin="1248,1363" coordsize="8873,2">
          <v:shape style="position:absolute;left:1248;top:1363;width:8873;height:2" coordorigin="1248,1363" coordsize="8873,0" path="m1248,1363l10120,1363e" filled="false" stroked="true" strokeweight=".72pt" strokecolor="#000000">
            <v:path arrowok="t"/>
          </v:shape>
          <w10:wrap type="none"/>
        </v:group>
      </w:pict>
    </w:r>
    <w:r>
      <w:rPr/>
      <w:pict>
        <v:group style="position:absolute;margin-left:61.919998pt;margin-top:71.999985pt;width:445.55pt;height:1pt;mso-position-horizontal-relative:page;mso-position-vertical-relative:page;z-index:-943864" coordorigin="1238,1440" coordsize="8911,20">
          <v:group style="position:absolute;left:1248;top:1450;width:3537;height:2" coordorigin="1248,1450" coordsize="3537,2">
            <v:shape style="position:absolute;left:1248;top:1450;width:3537;height:2" coordorigin="1248,1450" coordsize="3537,0" path="m1248,1450l4784,1450e" filled="false" stroked="true" strokeweight=".96pt" strokecolor="#41b7ee">
              <v:path arrowok="t"/>
            </v:shape>
          </v:group>
          <v:group style="position:absolute;left:4784;top:1450;width:58;height:2" coordorigin="4784,1450" coordsize="58,2">
            <v:shape style="position:absolute;left:4784;top:1450;width:58;height:2" coordorigin="4784,1450" coordsize="58,0" path="m4784,1450l4842,1450e" filled="false" stroked="true" strokeweight=".96pt" strokecolor="#41b7ee">
              <v:path arrowok="t"/>
            </v:shape>
          </v:group>
          <v:group style="position:absolute;left:4842;top:1450;width:1340;height:2" coordorigin="4842,1450" coordsize="1340,2">
            <v:shape style="position:absolute;left:4842;top:1450;width:1340;height:2" coordorigin="4842,1450" coordsize="1340,0" path="m4842,1450l6181,1450e" filled="false" stroked="true" strokeweight=".96pt" strokecolor="#41b7ee">
              <v:path arrowok="t"/>
            </v:shape>
          </v:group>
          <v:group style="position:absolute;left:6181;top:1450;width:58;height:2" coordorigin="6181,1450" coordsize="58,2">
            <v:shape style="position:absolute;left:6181;top:1450;width:58;height:2" coordorigin="6181,1450" coordsize="58,0" path="m6181,1450l6239,1450e" filled="false" stroked="true" strokeweight=".96pt" strokecolor="#41b7ee">
              <v:path arrowok="t"/>
            </v:shape>
          </v:group>
          <v:group style="position:absolute;left:6239;top:1450;width:1343;height:2" coordorigin="6239,1450" coordsize="1343,2">
            <v:shape style="position:absolute;left:6239;top:1450;width:1343;height:2" coordorigin="6239,1450" coordsize="1343,0" path="m6239,1450l7581,1450e" filled="false" stroked="true" strokeweight=".96pt" strokecolor="#41b7ee">
              <v:path arrowok="t"/>
            </v:shape>
          </v:group>
          <v:group style="position:absolute;left:7581;top:1450;width:58;height:2" coordorigin="7581,1450" coordsize="58,2">
            <v:shape style="position:absolute;left:7581;top:1450;width:58;height:2" coordorigin="7581,1450" coordsize="58,0" path="m7581,1450l7638,1450e" filled="false" stroked="true" strokeweight=".96pt" strokecolor="#41b7ee">
              <v:path arrowok="t"/>
            </v:shape>
          </v:group>
          <v:group style="position:absolute;left:7638;top:1450;width:1100;height:2" coordorigin="7638,1450" coordsize="1100,2">
            <v:shape style="position:absolute;left:7638;top:1450;width:1100;height:2" coordorigin="7638,1450" coordsize="1100,0" path="m7638,1450l8737,1450e" filled="false" stroked="true" strokeweight=".96pt" strokecolor="#41b7ee">
              <v:path arrowok="t"/>
            </v:shape>
          </v:group>
          <v:group style="position:absolute;left:8737;top:1450;width:58;height:2" coordorigin="8737,1450" coordsize="58,2">
            <v:shape style="position:absolute;left:8737;top:1450;width:58;height:2" coordorigin="8737,1450" coordsize="58,0" path="m8737,1450l8795,1450e" filled="false" stroked="true" strokeweight=".96pt" strokecolor="#41b7ee">
              <v:path arrowok="t"/>
            </v:shape>
          </v:group>
          <v:group style="position:absolute;left:8795;top:1450;width:1345;height:2" coordorigin="8795,1450" coordsize="1345,2">
            <v:shape style="position:absolute;left:8795;top:1450;width:1345;height:2" coordorigin="8795,1450" coordsize="1345,0" path="m8795,1450l10139,1450e" filled="false" stroked="true" strokeweight=".96pt" strokecolor="#41b7ee">
              <v:path arrowok="t"/>
            </v:shape>
          </v:group>
          <w10:wrap type="none"/>
        </v:group>
      </w:pict>
    </w:r>
    <w:r>
      <w:rPr/>
      <w:pict>
        <v:shape style="position:absolute;margin-left:395.670013pt;margin-top:48.104088pt;width:110pt;height:16.05pt;mso-position-horizontal-relative:page;mso-position-vertical-relative:page;z-index:-943840" type="#_x0000_t202" filled="false" stroked="false">
          <v:textbox inset="0,0,0,0">
            <w:txbxContent>
              <w:p>
                <w:pPr>
                  <w:spacing w:line="318" w:lineRule="exact" w:before="0"/>
                  <w:ind w:left="20" w:right="0" w:firstLine="0"/>
                  <w:jc w:val="left"/>
                  <w:rPr>
                    <w:rFonts w:ascii="微软雅黑" w:hAnsi="微软雅黑" w:cs="微软雅黑" w:eastAsia="微软雅黑" w:hint="default"/>
                    <w:sz w:val="28"/>
                    <w:szCs w:val="28"/>
                  </w:rPr>
                </w:pPr>
                <w:r>
                  <w:rPr>
                    <w:rFonts w:ascii="微软雅黑" w:hAnsi="微软雅黑" w:cs="微软雅黑" w:eastAsia="微软雅黑" w:hint="default"/>
                    <w:b/>
                    <w:bCs/>
                    <w:sz w:val="28"/>
                    <w:szCs w:val="28"/>
                  </w:rPr>
                  <w:t>2019</w:t>
                </w:r>
                <w:r>
                  <w:rPr>
                    <w:rFonts w:ascii="微软雅黑" w:hAnsi="微软雅黑" w:cs="微软雅黑" w:eastAsia="微软雅黑" w:hint="default"/>
                    <w:b/>
                    <w:bCs/>
                    <w:spacing w:val="-17"/>
                    <w:sz w:val="28"/>
                    <w:szCs w:val="28"/>
                  </w:rPr>
                  <w:t> </w:t>
                </w:r>
                <w:r>
                  <w:rPr>
                    <w:rFonts w:ascii="微软雅黑" w:hAnsi="微软雅黑" w:cs="微软雅黑" w:eastAsia="微软雅黑" w:hint="default"/>
                    <w:b/>
                    <w:bCs/>
                    <w:sz w:val="28"/>
                    <w:szCs w:val="28"/>
                  </w:rPr>
                  <w:t>年年度报告</w:t>
                </w:r>
                <w:r>
                  <w:rPr>
                    <w:rFonts w:ascii="微软雅黑" w:hAnsi="微软雅黑" w:cs="微软雅黑" w:eastAsia="微软雅黑" w:hint="default"/>
                    <w:sz w:val="28"/>
                    <w:szCs w:val="28"/>
                  </w:rPr>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6.900002pt;margin-top:41.299984pt;width:233.25pt;height:24pt;mso-position-horizontal-relative:page;mso-position-vertical-relative:page;z-index:-943744" type="#_x0000_t75" stroked="false">
          <v:imagedata r:id="rId1" o:title=""/>
        </v:shape>
      </w:pict>
    </w:r>
    <w:r>
      <w:rPr/>
      <w:pict>
        <v:group style="position:absolute;margin-left:62.400002pt;margin-top:68.159981pt;width:443.65pt;height:.1pt;mso-position-horizontal-relative:page;mso-position-vertical-relative:page;z-index:-943720" coordorigin="1248,1363" coordsize="8873,2">
          <v:shape style="position:absolute;left:1248;top:1363;width:8873;height:2" coordorigin="1248,1363" coordsize="8873,0" path="m1248,1363l10120,1363e" filled="false" stroked="true" strokeweight=".72pt" strokecolor="#000000">
            <v:path arrowok="t"/>
          </v:shape>
          <w10:wrap type="none"/>
        </v:group>
      </w:pict>
    </w:r>
    <w:r>
      <w:rPr/>
      <w:pict>
        <v:group style="position:absolute;margin-left:57.720001pt;margin-top:71.999985pt;width:454.05pt;height:1pt;mso-position-horizontal-relative:page;mso-position-vertical-relative:page;z-index:-943696" coordorigin="1154,1440" coordsize="9081,20">
          <v:group style="position:absolute;left:1164;top:1450;width:3193;height:2" coordorigin="1164,1450" coordsize="3193,2">
            <v:shape style="position:absolute;left:1164;top:1450;width:3193;height:2" coordorigin="1164,1450" coordsize="3193,0" path="m1164,1450l4357,1450e" filled="false" stroked="true" strokeweight=".96pt" strokecolor="#41b7ee">
              <v:path arrowok="t"/>
            </v:shape>
          </v:group>
          <v:group style="position:absolute;left:4357;top:1450;width:58;height:2" coordorigin="4357,1450" coordsize="58,2">
            <v:shape style="position:absolute;left:4357;top:1450;width:58;height:2" coordorigin="4357,1450" coordsize="58,0" path="m4357,1450l4415,1450e" filled="false" stroked="true" strokeweight=".96pt" strokecolor="#41b7ee">
              <v:path arrowok="t"/>
            </v:shape>
          </v:group>
          <v:group style="position:absolute;left:4415;top:1450;width:2881;height:2" coordorigin="4415,1450" coordsize="2881,2">
            <v:shape style="position:absolute;left:4415;top:1450;width:2881;height:2" coordorigin="4415,1450" coordsize="2881,0" path="m4415,1450l7295,1450e" filled="false" stroked="true" strokeweight=".96pt" strokecolor="#41b7ee">
              <v:path arrowok="t"/>
            </v:shape>
          </v:group>
          <v:group style="position:absolute;left:7295;top:1450;width:58;height:2" coordorigin="7295,1450" coordsize="58,2">
            <v:shape style="position:absolute;left:7295;top:1450;width:58;height:2" coordorigin="7295,1450" coordsize="58,0" path="m7295,1450l7353,1450e" filled="false" stroked="true" strokeweight=".96pt" strokecolor="#41b7ee">
              <v:path arrowok="t"/>
            </v:shape>
          </v:group>
          <v:group style="position:absolute;left:7353;top:1450;width:2874;height:2" coordorigin="7353,1450" coordsize="2874,2">
            <v:shape style="position:absolute;left:7353;top:1450;width:2874;height:2" coordorigin="7353,1450" coordsize="2874,0" path="m7353,1450l10226,1450e" filled="false" stroked="true" strokeweight=".96pt" strokecolor="#41b7ee">
              <v:path arrowok="t"/>
            </v:shape>
          </v:group>
          <w10:wrap type="none"/>
        </v:group>
      </w:pict>
    </w:r>
    <w:r>
      <w:rPr/>
      <w:pict>
        <v:shape style="position:absolute;margin-left:395.670013pt;margin-top:48.104088pt;width:110pt;height:16.05pt;mso-position-horizontal-relative:page;mso-position-vertical-relative:page;z-index:-943672" type="#_x0000_t202" filled="false" stroked="false">
          <v:textbox inset="0,0,0,0">
            <w:txbxContent>
              <w:p>
                <w:pPr>
                  <w:spacing w:line="318" w:lineRule="exact" w:before="0"/>
                  <w:ind w:left="20" w:right="0" w:firstLine="0"/>
                  <w:jc w:val="left"/>
                  <w:rPr>
                    <w:rFonts w:ascii="微软雅黑" w:hAnsi="微软雅黑" w:cs="微软雅黑" w:eastAsia="微软雅黑" w:hint="default"/>
                    <w:sz w:val="28"/>
                    <w:szCs w:val="28"/>
                  </w:rPr>
                </w:pPr>
                <w:r>
                  <w:rPr>
                    <w:rFonts w:ascii="微软雅黑" w:hAnsi="微软雅黑" w:cs="微软雅黑" w:eastAsia="微软雅黑" w:hint="default"/>
                    <w:b/>
                    <w:bCs/>
                    <w:sz w:val="28"/>
                    <w:szCs w:val="28"/>
                  </w:rPr>
                  <w:t>2019</w:t>
                </w:r>
                <w:r>
                  <w:rPr>
                    <w:rFonts w:ascii="微软雅黑" w:hAnsi="微软雅黑" w:cs="微软雅黑" w:eastAsia="微软雅黑" w:hint="default"/>
                    <w:b/>
                    <w:bCs/>
                    <w:spacing w:val="-17"/>
                    <w:sz w:val="28"/>
                    <w:szCs w:val="28"/>
                  </w:rPr>
                  <w:t> </w:t>
                </w:r>
                <w:r>
                  <w:rPr>
                    <w:rFonts w:ascii="微软雅黑" w:hAnsi="微软雅黑" w:cs="微软雅黑" w:eastAsia="微软雅黑" w:hint="default"/>
                    <w:b/>
                    <w:bCs/>
                    <w:sz w:val="28"/>
                    <w:szCs w:val="28"/>
                  </w:rPr>
                  <w:t>年年度报告</w:t>
                </w:r>
                <w:r>
                  <w:rPr>
                    <w:rFonts w:ascii="微软雅黑" w:hAnsi="微软雅黑" w:cs="微软雅黑" w:eastAsia="微软雅黑" w:hint="default"/>
                    <w:sz w:val="28"/>
                    <w:szCs w:val="28"/>
                  </w:rPr>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6.900002pt;margin-top:41.299984pt;width:233.25pt;height:24pt;mso-position-horizontal-relative:page;mso-position-vertical-relative:page;z-index:-943552" type="#_x0000_t75" stroked="false">
          <v:imagedata r:id="rId1" o:title=""/>
        </v:shape>
      </w:pict>
    </w:r>
    <w:r>
      <w:rPr/>
      <w:pict>
        <v:group style="position:absolute;margin-left:62.400002pt;margin-top:68.159981pt;width:443.65pt;height:.1pt;mso-position-horizontal-relative:page;mso-position-vertical-relative:page;z-index:-943528" coordorigin="1248,1363" coordsize="8873,2">
          <v:shape style="position:absolute;left:1248;top:1363;width:8873;height:2" coordorigin="1248,1363" coordsize="8873,0" path="m1248,1363l10120,1363e" filled="false" stroked="true" strokeweight=".72pt" strokecolor="#000000">
            <v:path arrowok="t"/>
          </v:shape>
          <w10:wrap type="none"/>
        </v:group>
      </w:pict>
    </w:r>
    <w:r>
      <w:rPr/>
      <w:pict>
        <v:group style="position:absolute;margin-left:57.959999pt;margin-top:71.999985pt;width:453.5pt;height:1pt;mso-position-horizontal-relative:page;mso-position-vertical-relative:page;z-index:-943504" coordorigin="1159,1440" coordsize="9070,20">
          <v:group style="position:absolute;left:1169;top:1450;width:4643;height:2" coordorigin="1169,1450" coordsize="4643,2">
            <v:shape style="position:absolute;left:1169;top:1450;width:4643;height:2" coordorigin="1169,1450" coordsize="4643,0" path="m1169,1450l5811,1450e" filled="false" stroked="true" strokeweight=".96pt" strokecolor="#41b7ee">
              <v:path arrowok="t"/>
            </v:shape>
          </v:group>
          <v:group style="position:absolute;left:5811;top:1450;width:58;height:2" coordorigin="5811,1450" coordsize="58,2">
            <v:shape style="position:absolute;left:5811;top:1450;width:58;height:2" coordorigin="5811,1450" coordsize="58,0" path="m5811,1450l5869,1450e" filled="false" stroked="true" strokeweight=".96pt" strokecolor="#41b7ee">
              <v:path arrowok="t"/>
            </v:shape>
          </v:group>
          <v:group style="position:absolute;left:5869;top:1450;width:2413;height:2" coordorigin="5869,1450" coordsize="2413,2">
            <v:shape style="position:absolute;left:5869;top:1450;width:2413;height:2" coordorigin="5869,1450" coordsize="2413,0" path="m5869,1450l8281,1450e" filled="false" stroked="true" strokeweight=".96pt" strokecolor="#41b7ee">
              <v:path arrowok="t"/>
            </v:shape>
          </v:group>
          <v:group style="position:absolute;left:8281;top:1450;width:58;height:2" coordorigin="8281,1450" coordsize="58,2">
            <v:shape style="position:absolute;left:8281;top:1450;width:58;height:2" coordorigin="8281,1450" coordsize="58,0" path="m8281,1450l8339,1450e" filled="false" stroked="true" strokeweight=".96pt" strokecolor="#41b7ee">
              <v:path arrowok="t"/>
            </v:shape>
          </v:group>
          <v:group style="position:absolute;left:8339;top:1450;width:1880;height:2" coordorigin="8339,1450" coordsize="1880,2">
            <v:shape style="position:absolute;left:8339;top:1450;width:1880;height:2" coordorigin="8339,1450" coordsize="1880,0" path="m8339,1450l10219,1450e" filled="false" stroked="true" strokeweight=".96pt" strokecolor="#41b7ee">
              <v:path arrowok="t"/>
            </v:shape>
          </v:group>
          <w10:wrap type="none"/>
        </v:group>
      </w:pict>
    </w:r>
    <w:r>
      <w:rPr/>
      <w:pict>
        <v:shape style="position:absolute;margin-left:395.670013pt;margin-top:48.104088pt;width:110pt;height:16.05pt;mso-position-horizontal-relative:page;mso-position-vertical-relative:page;z-index:-943480" type="#_x0000_t202" filled="false" stroked="false">
          <v:textbox inset="0,0,0,0">
            <w:txbxContent>
              <w:p>
                <w:pPr>
                  <w:spacing w:line="318" w:lineRule="exact" w:before="0"/>
                  <w:ind w:left="20" w:right="0" w:firstLine="0"/>
                  <w:jc w:val="left"/>
                  <w:rPr>
                    <w:rFonts w:ascii="微软雅黑" w:hAnsi="微软雅黑" w:cs="微软雅黑" w:eastAsia="微软雅黑" w:hint="default"/>
                    <w:sz w:val="28"/>
                    <w:szCs w:val="28"/>
                  </w:rPr>
                </w:pPr>
                <w:r>
                  <w:rPr>
                    <w:rFonts w:ascii="微软雅黑" w:hAnsi="微软雅黑" w:cs="微软雅黑" w:eastAsia="微软雅黑" w:hint="default"/>
                    <w:b/>
                    <w:bCs/>
                    <w:sz w:val="28"/>
                    <w:szCs w:val="28"/>
                  </w:rPr>
                  <w:t>2019</w:t>
                </w:r>
                <w:r>
                  <w:rPr>
                    <w:rFonts w:ascii="微软雅黑" w:hAnsi="微软雅黑" w:cs="微软雅黑" w:eastAsia="微软雅黑" w:hint="default"/>
                    <w:b/>
                    <w:bCs/>
                    <w:spacing w:val="-17"/>
                    <w:sz w:val="28"/>
                    <w:szCs w:val="28"/>
                  </w:rPr>
                  <w:t> </w:t>
                </w:r>
                <w:r>
                  <w:rPr>
                    <w:rFonts w:ascii="微软雅黑" w:hAnsi="微软雅黑" w:cs="微软雅黑" w:eastAsia="微软雅黑" w:hint="default"/>
                    <w:b/>
                    <w:bCs/>
                    <w:sz w:val="28"/>
                    <w:szCs w:val="28"/>
                  </w:rPr>
                  <w:t>年年度报告</w:t>
                </w:r>
                <w:r>
                  <w:rPr>
                    <w:rFonts w:ascii="微软雅黑" w:hAnsi="微软雅黑" w:cs="微软雅黑" w:eastAsia="微软雅黑" w:hint="default"/>
                    <w:sz w:val="28"/>
                    <w:szCs w:val="28"/>
                  </w:rPr>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949997pt;margin-top:41.299984pt;width:233.25pt;height:24pt;mso-position-horizontal-relative:page;mso-position-vertical-relative:page;z-index:-943432" type="#_x0000_t75" stroked="false">
          <v:imagedata r:id="rId1" o:title=""/>
        </v:shape>
      </w:pict>
    </w:r>
    <w:r>
      <w:rPr/>
      <w:pict>
        <v:group style="position:absolute;margin-left:88.463997pt;margin-top:68.159981pt;width:443.6pt;height:.1pt;mso-position-horizontal-relative:page;mso-position-vertical-relative:page;z-index:-943408" coordorigin="1769,1363" coordsize="8872,2">
          <v:shape style="position:absolute;left:1769;top:1363;width:8872;height:2" coordorigin="1769,1363" coordsize="8872,0" path="m1769,1363l10641,1363e" filled="false" stroked="true" strokeweight=".72pt" strokecolor="#000000">
            <v:path arrowok="t"/>
          </v:shape>
          <w10:wrap type="none"/>
        </v:group>
      </w:pict>
    </w:r>
    <w:r>
      <w:rPr/>
      <w:pict>
        <v:shape style="position:absolute;margin-left:421.709991pt;margin-top:48.104088pt;width:110.05pt;height:16.05pt;mso-position-horizontal-relative:page;mso-position-vertical-relative:page;z-index:-943384" type="#_x0000_t202" filled="false" stroked="false">
          <v:textbox inset="0,0,0,0">
            <w:txbxContent>
              <w:p>
                <w:pPr>
                  <w:spacing w:line="318" w:lineRule="exact" w:before="0"/>
                  <w:ind w:left="20" w:right="0" w:firstLine="0"/>
                  <w:jc w:val="left"/>
                  <w:rPr>
                    <w:rFonts w:ascii="微软雅黑" w:hAnsi="微软雅黑" w:cs="微软雅黑" w:eastAsia="微软雅黑" w:hint="default"/>
                    <w:sz w:val="28"/>
                    <w:szCs w:val="28"/>
                  </w:rPr>
                </w:pPr>
                <w:r>
                  <w:rPr>
                    <w:rFonts w:ascii="微软雅黑" w:hAnsi="微软雅黑" w:cs="微软雅黑" w:eastAsia="微软雅黑" w:hint="default"/>
                    <w:b/>
                    <w:bCs/>
                    <w:sz w:val="28"/>
                    <w:szCs w:val="28"/>
                  </w:rPr>
                  <w:t>2019</w:t>
                </w:r>
                <w:r>
                  <w:rPr>
                    <w:rFonts w:ascii="微软雅黑" w:hAnsi="微软雅黑" w:cs="微软雅黑" w:eastAsia="微软雅黑" w:hint="default"/>
                    <w:b/>
                    <w:bCs/>
                    <w:spacing w:val="-16"/>
                    <w:sz w:val="28"/>
                    <w:szCs w:val="28"/>
                  </w:rPr>
                  <w:t> </w:t>
                </w:r>
                <w:r>
                  <w:rPr>
                    <w:rFonts w:ascii="微软雅黑" w:hAnsi="微软雅黑" w:cs="微软雅黑" w:eastAsia="微软雅黑" w:hint="default"/>
                    <w:b/>
                    <w:bCs/>
                    <w:sz w:val="28"/>
                    <w:szCs w:val="28"/>
                  </w:rPr>
                  <w:t>年年度报告</w:t>
                </w:r>
                <w:r>
                  <w:rPr>
                    <w:rFonts w:ascii="微软雅黑" w:hAnsi="微软雅黑" w:cs="微软雅黑" w:eastAsia="微软雅黑" w:hint="default"/>
                    <w:sz w:val="28"/>
                    <w:szCs w:val="28"/>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949997pt;margin-top:41.299984pt;width:233.25pt;height:24pt;mso-position-horizontal-relative:page;mso-position-vertical-relative:page;z-index:-943216" type="#_x0000_t75" stroked="false">
          <v:imagedata r:id="rId1" o:title=""/>
        </v:shape>
      </w:pict>
    </w:r>
    <w:r>
      <w:rPr/>
      <w:pict>
        <v:group style="position:absolute;margin-left:88.463997pt;margin-top:68.159981pt;width:443.6pt;height:.1pt;mso-position-horizontal-relative:page;mso-position-vertical-relative:page;z-index:-943192" coordorigin="1769,1363" coordsize="8872,2">
          <v:shape style="position:absolute;left:1769;top:1363;width:8872;height:2" coordorigin="1769,1363" coordsize="8872,0" path="m1769,1363l10641,1363e" filled="false" stroked="true" strokeweight=".72pt" strokecolor="#000000">
            <v:path arrowok="t"/>
          </v:shape>
          <w10:wrap type="none"/>
        </v:group>
      </w:pict>
    </w:r>
    <w:r>
      <w:rPr/>
      <w:pict>
        <v:shape style="position:absolute;margin-left:421.709991pt;margin-top:48.104088pt;width:110.05pt;height:16.05pt;mso-position-horizontal-relative:page;mso-position-vertical-relative:page;z-index:-943168" type="#_x0000_t202" filled="false" stroked="false">
          <v:textbox inset="0,0,0,0">
            <w:txbxContent>
              <w:p>
                <w:pPr>
                  <w:spacing w:line="318" w:lineRule="exact" w:before="0"/>
                  <w:ind w:left="20" w:right="0" w:firstLine="0"/>
                  <w:jc w:val="left"/>
                  <w:rPr>
                    <w:rFonts w:ascii="微软雅黑" w:hAnsi="微软雅黑" w:cs="微软雅黑" w:eastAsia="微软雅黑" w:hint="default"/>
                    <w:sz w:val="28"/>
                    <w:szCs w:val="28"/>
                  </w:rPr>
                </w:pPr>
                <w:r>
                  <w:rPr>
                    <w:rFonts w:ascii="微软雅黑" w:hAnsi="微软雅黑" w:cs="微软雅黑" w:eastAsia="微软雅黑" w:hint="default"/>
                    <w:b/>
                    <w:bCs/>
                    <w:sz w:val="28"/>
                    <w:szCs w:val="28"/>
                  </w:rPr>
                  <w:t>2019</w:t>
                </w:r>
                <w:r>
                  <w:rPr>
                    <w:rFonts w:ascii="微软雅黑" w:hAnsi="微软雅黑" w:cs="微软雅黑" w:eastAsia="微软雅黑" w:hint="default"/>
                    <w:b/>
                    <w:bCs/>
                    <w:spacing w:val="-16"/>
                    <w:sz w:val="28"/>
                    <w:szCs w:val="28"/>
                  </w:rPr>
                  <w:t> </w:t>
                </w:r>
                <w:r>
                  <w:rPr>
                    <w:rFonts w:ascii="微软雅黑" w:hAnsi="微软雅黑" w:cs="微软雅黑" w:eastAsia="微软雅黑" w:hint="default"/>
                    <w:b/>
                    <w:bCs/>
                    <w:sz w:val="28"/>
                    <w:szCs w:val="28"/>
                  </w:rPr>
                  <w:t>年年度报告</w:t>
                </w:r>
                <w:r>
                  <w:rPr>
                    <w:rFonts w:ascii="微软雅黑" w:hAnsi="微软雅黑" w:cs="微软雅黑" w:eastAsia="微软雅黑" w:hint="default"/>
                    <w:sz w:val="28"/>
                    <w:szCs w:val="28"/>
                  </w:rPr>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099998pt;margin-top:41.300007pt;width:233.25pt;height:24pt;mso-position-horizontal-relative:page;mso-position-vertical-relative:page;z-index:-942832" type="#_x0000_t75" stroked="false">
          <v:imagedata r:id="rId1" o:title=""/>
        </v:shape>
      </w:pict>
    </w:r>
    <w:r>
      <w:rPr/>
      <w:pict>
        <v:group style="position:absolute;margin-left:70.559998pt;margin-top:68.180008pt;width:695.65pt;height:.1pt;mso-position-horizontal-relative:page;mso-position-vertical-relative:page;z-index:-942808" coordorigin="1411,1364" coordsize="13913,2">
          <v:shape style="position:absolute;left:1411;top:1364;width:13913;height:2" coordorigin="1411,1364" coordsize="13913,0" path="m1411,1364l15324,1364e" filled="false" stroked="true" strokeweight=".72pt" strokecolor="#000000">
            <v:path arrowok="t"/>
          </v:shape>
          <w10:wrap type="none"/>
        </v:group>
      </w:pict>
    </w:r>
    <w:r>
      <w:rPr/>
      <w:pict>
        <v:shape style="position:absolute;margin-left:655.859985pt;margin-top:48.104115pt;width:110pt;height:16.05pt;mso-position-horizontal-relative:page;mso-position-vertical-relative:page;z-index:-942784" type="#_x0000_t202" filled="false" stroked="false">
          <v:textbox inset="0,0,0,0">
            <w:txbxContent>
              <w:p>
                <w:pPr>
                  <w:spacing w:line="318" w:lineRule="exact" w:before="0"/>
                  <w:ind w:left="20" w:right="0" w:firstLine="0"/>
                  <w:jc w:val="left"/>
                  <w:rPr>
                    <w:rFonts w:ascii="微软雅黑" w:hAnsi="微软雅黑" w:cs="微软雅黑" w:eastAsia="微软雅黑" w:hint="default"/>
                    <w:sz w:val="28"/>
                    <w:szCs w:val="28"/>
                  </w:rPr>
                </w:pPr>
                <w:r>
                  <w:rPr>
                    <w:rFonts w:ascii="微软雅黑" w:hAnsi="微软雅黑" w:cs="微软雅黑" w:eastAsia="微软雅黑" w:hint="default"/>
                    <w:b/>
                    <w:bCs/>
                    <w:sz w:val="28"/>
                    <w:szCs w:val="28"/>
                  </w:rPr>
                  <w:t>2019</w:t>
                </w:r>
                <w:r>
                  <w:rPr>
                    <w:rFonts w:ascii="微软雅黑" w:hAnsi="微软雅黑" w:cs="微软雅黑" w:eastAsia="微软雅黑" w:hint="default"/>
                    <w:b/>
                    <w:bCs/>
                    <w:spacing w:val="-17"/>
                    <w:sz w:val="28"/>
                    <w:szCs w:val="28"/>
                  </w:rPr>
                  <w:t> </w:t>
                </w:r>
                <w:r>
                  <w:rPr>
                    <w:rFonts w:ascii="微软雅黑" w:hAnsi="微软雅黑" w:cs="微软雅黑" w:eastAsia="微软雅黑" w:hint="default"/>
                    <w:b/>
                    <w:bCs/>
                    <w:sz w:val="28"/>
                    <w:szCs w:val="28"/>
                  </w:rPr>
                  <w:t>年年度报告</w:t>
                </w:r>
                <w:r>
                  <w:rPr>
                    <w:rFonts w:ascii="微软雅黑" w:hAnsi="微软雅黑" w:cs="微软雅黑" w:eastAsia="微软雅黑" w:hint="default"/>
                    <w:sz w:val="28"/>
                    <w:szCs w:val="28"/>
                  </w:rPr>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949997pt;margin-top:41.299984pt;width:233.25pt;height:24pt;mso-position-horizontal-relative:page;mso-position-vertical-relative:page;z-index:-942736" type="#_x0000_t75" stroked="false">
          <v:imagedata r:id="rId1" o:title=""/>
        </v:shape>
      </w:pict>
    </w:r>
    <w:r>
      <w:rPr/>
      <w:pict>
        <v:group style="position:absolute;margin-left:88.463997pt;margin-top:68.159981pt;width:443.6pt;height:.1pt;mso-position-horizontal-relative:page;mso-position-vertical-relative:page;z-index:-942712" coordorigin="1769,1363" coordsize="8872,2">
          <v:shape style="position:absolute;left:1769;top:1363;width:8872;height:2" coordorigin="1769,1363" coordsize="8872,0" path="m1769,1363l10641,1363e" filled="false" stroked="true" strokeweight=".72pt" strokecolor="#000000">
            <v:path arrowok="t"/>
          </v:shape>
          <w10:wrap type="none"/>
        </v:group>
      </w:pict>
    </w:r>
    <w:r>
      <w:rPr/>
      <w:pict>
        <v:shape style="position:absolute;margin-left:421.709991pt;margin-top:48.104088pt;width:110.05pt;height:16.05pt;mso-position-horizontal-relative:page;mso-position-vertical-relative:page;z-index:-942688" type="#_x0000_t202" filled="false" stroked="false">
          <v:textbox inset="0,0,0,0">
            <w:txbxContent>
              <w:p>
                <w:pPr>
                  <w:spacing w:line="318" w:lineRule="exact" w:before="0"/>
                  <w:ind w:left="20" w:right="0" w:firstLine="0"/>
                  <w:jc w:val="left"/>
                  <w:rPr>
                    <w:rFonts w:ascii="微软雅黑" w:hAnsi="微软雅黑" w:cs="微软雅黑" w:eastAsia="微软雅黑" w:hint="default"/>
                    <w:sz w:val="28"/>
                    <w:szCs w:val="28"/>
                  </w:rPr>
                </w:pPr>
                <w:r>
                  <w:rPr>
                    <w:rFonts w:ascii="微软雅黑" w:hAnsi="微软雅黑" w:cs="微软雅黑" w:eastAsia="微软雅黑" w:hint="default"/>
                    <w:b/>
                    <w:bCs/>
                    <w:sz w:val="28"/>
                    <w:szCs w:val="28"/>
                  </w:rPr>
                  <w:t>2019</w:t>
                </w:r>
                <w:r>
                  <w:rPr>
                    <w:rFonts w:ascii="微软雅黑" w:hAnsi="微软雅黑" w:cs="微软雅黑" w:eastAsia="微软雅黑" w:hint="default"/>
                    <w:b/>
                    <w:bCs/>
                    <w:spacing w:val="-16"/>
                    <w:sz w:val="28"/>
                    <w:szCs w:val="28"/>
                  </w:rPr>
                  <w:t> </w:t>
                </w:r>
                <w:r>
                  <w:rPr>
                    <w:rFonts w:ascii="微软雅黑" w:hAnsi="微软雅黑" w:cs="微软雅黑" w:eastAsia="微软雅黑" w:hint="default"/>
                    <w:b/>
                    <w:bCs/>
                    <w:sz w:val="28"/>
                    <w:szCs w:val="28"/>
                  </w:rPr>
                  <w:t>年年度报告</w:t>
                </w:r>
                <w:r>
                  <w:rPr>
                    <w:rFonts w:ascii="微软雅黑" w:hAnsi="微软雅黑" w:cs="微软雅黑" w:eastAsia="微软雅黑" w:hint="default"/>
                    <w:sz w:val="28"/>
                    <w:szCs w:val="28"/>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099998pt;margin-top:41.250008pt;width:233.25pt;height:24pt;mso-position-horizontal-relative:page;mso-position-vertical-relative:page;z-index:-945232" type="#_x0000_t75" stroked="false">
          <v:imagedata r:id="rId1" o:title=""/>
        </v:shape>
      </w:pict>
    </w:r>
    <w:r>
      <w:rPr/>
      <w:pict>
        <v:group style="position:absolute;margin-left:70.559998pt;margin-top:68.180008pt;width:695.65pt;height:.1pt;mso-position-horizontal-relative:page;mso-position-vertical-relative:page;z-index:-945208" coordorigin="1411,1364" coordsize="13913,2">
          <v:shape style="position:absolute;left:1411;top:1364;width:13913;height:2" coordorigin="1411,1364" coordsize="13913,0" path="m1411,1364l15324,1364e" filled="false" stroked="true" strokeweight=".72pt" strokecolor="#000000">
            <v:path arrowok="t"/>
          </v:shape>
          <w10:wrap type="none"/>
        </v:group>
      </w:pict>
    </w:r>
    <w:r>
      <w:rPr/>
      <w:pict>
        <v:shape style="position:absolute;margin-left:655.859985pt;margin-top:47.984116pt;width:110pt;height:16.05pt;mso-position-horizontal-relative:page;mso-position-vertical-relative:page;z-index:-945184" type="#_x0000_t202" filled="false" stroked="false">
          <v:textbox inset="0,0,0,0">
            <w:txbxContent>
              <w:p>
                <w:pPr>
                  <w:spacing w:line="318" w:lineRule="exact" w:before="0"/>
                  <w:ind w:left="20" w:right="0" w:firstLine="0"/>
                  <w:jc w:val="left"/>
                  <w:rPr>
                    <w:rFonts w:ascii="微软雅黑" w:hAnsi="微软雅黑" w:cs="微软雅黑" w:eastAsia="微软雅黑" w:hint="default"/>
                    <w:sz w:val="28"/>
                    <w:szCs w:val="28"/>
                  </w:rPr>
                </w:pPr>
                <w:r>
                  <w:rPr>
                    <w:rFonts w:ascii="微软雅黑" w:hAnsi="微软雅黑" w:cs="微软雅黑" w:eastAsia="微软雅黑" w:hint="default"/>
                    <w:b/>
                    <w:bCs/>
                    <w:sz w:val="28"/>
                    <w:szCs w:val="28"/>
                  </w:rPr>
                  <w:t>2019</w:t>
                </w:r>
                <w:r>
                  <w:rPr>
                    <w:rFonts w:ascii="微软雅黑" w:hAnsi="微软雅黑" w:cs="微软雅黑" w:eastAsia="微软雅黑" w:hint="default"/>
                    <w:b/>
                    <w:bCs/>
                    <w:spacing w:val="-17"/>
                    <w:sz w:val="28"/>
                    <w:szCs w:val="28"/>
                  </w:rPr>
                  <w:t> </w:t>
                </w:r>
                <w:r>
                  <w:rPr>
                    <w:rFonts w:ascii="微软雅黑" w:hAnsi="微软雅黑" w:cs="微软雅黑" w:eastAsia="微软雅黑" w:hint="default"/>
                    <w:b/>
                    <w:bCs/>
                    <w:sz w:val="28"/>
                    <w:szCs w:val="28"/>
                  </w:rPr>
                  <w:t>年年度报告</w:t>
                </w:r>
                <w:r>
                  <w:rPr>
                    <w:rFonts w:ascii="微软雅黑" w:hAnsi="微软雅黑" w:cs="微软雅黑" w:eastAsia="微软雅黑" w:hint="default"/>
                    <w:sz w:val="28"/>
                    <w:szCs w:val="28"/>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949997pt;margin-top:41.249985pt;width:233.25pt;height:24pt;mso-position-horizontal-relative:page;mso-position-vertical-relative:page;z-index:-944944" type="#_x0000_t75" stroked="false">
          <v:imagedata r:id="rId1" o:title=""/>
        </v:shape>
      </w:pict>
    </w:r>
    <w:r>
      <w:rPr/>
      <w:pict>
        <v:group style="position:absolute;margin-left:88.463997pt;margin-top:68.159981pt;width:443.6pt;height:.1pt;mso-position-horizontal-relative:page;mso-position-vertical-relative:page;z-index:-944920" coordorigin="1769,1363" coordsize="8872,2">
          <v:shape style="position:absolute;left:1769;top:1363;width:8872;height:2" coordorigin="1769,1363" coordsize="8872,0" path="m1769,1363l10641,1363e" filled="false" stroked="true" strokeweight=".72pt" strokecolor="#000000">
            <v:path arrowok="t"/>
          </v:shape>
          <w10:wrap type="none"/>
        </v:group>
      </w:pict>
    </w:r>
    <w:r>
      <w:rPr/>
      <w:pict>
        <v:shape style="position:absolute;margin-left:421.709991pt;margin-top:47.984089pt;width:110.05pt;height:16.05pt;mso-position-horizontal-relative:page;mso-position-vertical-relative:page;z-index:-944896" type="#_x0000_t202" filled="false" stroked="false">
          <v:textbox inset="0,0,0,0">
            <w:txbxContent>
              <w:p>
                <w:pPr>
                  <w:spacing w:line="318" w:lineRule="exact" w:before="0"/>
                  <w:ind w:left="20" w:right="0" w:firstLine="0"/>
                  <w:jc w:val="left"/>
                  <w:rPr>
                    <w:rFonts w:ascii="微软雅黑" w:hAnsi="微软雅黑" w:cs="微软雅黑" w:eastAsia="微软雅黑" w:hint="default"/>
                    <w:sz w:val="28"/>
                    <w:szCs w:val="28"/>
                  </w:rPr>
                </w:pPr>
                <w:r>
                  <w:rPr>
                    <w:rFonts w:ascii="微软雅黑" w:hAnsi="微软雅黑" w:cs="微软雅黑" w:eastAsia="微软雅黑" w:hint="default"/>
                    <w:b/>
                    <w:bCs/>
                    <w:sz w:val="28"/>
                    <w:szCs w:val="28"/>
                  </w:rPr>
                  <w:t>2019</w:t>
                </w:r>
                <w:r>
                  <w:rPr>
                    <w:rFonts w:ascii="微软雅黑" w:hAnsi="微软雅黑" w:cs="微软雅黑" w:eastAsia="微软雅黑" w:hint="default"/>
                    <w:b/>
                    <w:bCs/>
                    <w:spacing w:val="-16"/>
                    <w:sz w:val="28"/>
                    <w:szCs w:val="28"/>
                  </w:rPr>
                  <w:t> </w:t>
                </w:r>
                <w:r>
                  <w:rPr>
                    <w:rFonts w:ascii="微软雅黑" w:hAnsi="微软雅黑" w:cs="微软雅黑" w:eastAsia="微软雅黑" w:hint="default"/>
                    <w:b/>
                    <w:bCs/>
                    <w:sz w:val="28"/>
                    <w:szCs w:val="28"/>
                  </w:rPr>
                  <w:t>年年度报告</w:t>
                </w:r>
                <w:r>
                  <w:rPr>
                    <w:rFonts w:ascii="微软雅黑" w:hAnsi="微软雅黑" w:cs="微软雅黑" w:eastAsia="微软雅黑" w:hint="default"/>
                    <w:sz w:val="28"/>
                    <w:szCs w:val="28"/>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099998pt;margin-top:41.300007pt;width:233.25pt;height:24pt;mso-position-horizontal-relative:page;mso-position-vertical-relative:page;z-index:-944776" type="#_x0000_t75" stroked="false">
          <v:imagedata r:id="rId1" o:title=""/>
        </v:shape>
      </w:pict>
    </w:r>
    <w:r>
      <w:rPr/>
      <w:pict>
        <v:group style="position:absolute;margin-left:70.559998pt;margin-top:68.180008pt;width:695.65pt;height:.1pt;mso-position-horizontal-relative:page;mso-position-vertical-relative:page;z-index:-944752" coordorigin="1411,1364" coordsize="13913,2">
          <v:shape style="position:absolute;left:1411;top:1364;width:13913;height:2" coordorigin="1411,1364" coordsize="13913,0" path="m1411,1364l15324,1364e" filled="false" stroked="true" strokeweight=".72pt" strokecolor="#000000">
            <v:path arrowok="t"/>
          </v:shape>
          <w10:wrap type="none"/>
        </v:group>
      </w:pict>
    </w:r>
    <w:r>
      <w:rPr/>
      <w:pict>
        <v:shape style="position:absolute;margin-left:655.859985pt;margin-top:48.104115pt;width:110pt;height:16.05pt;mso-position-horizontal-relative:page;mso-position-vertical-relative:page;z-index:-944728" type="#_x0000_t202" filled="false" stroked="false">
          <v:textbox inset="0,0,0,0">
            <w:txbxContent>
              <w:p>
                <w:pPr>
                  <w:spacing w:line="318" w:lineRule="exact" w:before="0"/>
                  <w:ind w:left="20" w:right="0" w:firstLine="0"/>
                  <w:jc w:val="left"/>
                  <w:rPr>
                    <w:rFonts w:ascii="微软雅黑" w:hAnsi="微软雅黑" w:cs="微软雅黑" w:eastAsia="微软雅黑" w:hint="default"/>
                    <w:sz w:val="28"/>
                    <w:szCs w:val="28"/>
                  </w:rPr>
                </w:pPr>
                <w:r>
                  <w:rPr>
                    <w:rFonts w:ascii="微软雅黑" w:hAnsi="微软雅黑" w:cs="微软雅黑" w:eastAsia="微软雅黑" w:hint="default"/>
                    <w:b/>
                    <w:bCs/>
                    <w:sz w:val="28"/>
                    <w:szCs w:val="28"/>
                  </w:rPr>
                  <w:t>2019</w:t>
                </w:r>
                <w:r>
                  <w:rPr>
                    <w:rFonts w:ascii="微软雅黑" w:hAnsi="微软雅黑" w:cs="微软雅黑" w:eastAsia="微软雅黑" w:hint="default"/>
                    <w:b/>
                    <w:bCs/>
                    <w:spacing w:val="-17"/>
                    <w:sz w:val="28"/>
                    <w:szCs w:val="28"/>
                  </w:rPr>
                  <w:t> </w:t>
                </w:r>
                <w:r>
                  <w:rPr>
                    <w:rFonts w:ascii="微软雅黑" w:hAnsi="微软雅黑" w:cs="微软雅黑" w:eastAsia="微软雅黑" w:hint="default"/>
                    <w:b/>
                    <w:bCs/>
                    <w:sz w:val="28"/>
                    <w:szCs w:val="28"/>
                  </w:rPr>
                  <w:t>年年度报告</w:t>
                </w:r>
                <w:r>
                  <w:rPr>
                    <w:rFonts w:ascii="微软雅黑" w:hAnsi="微软雅黑" w:cs="微软雅黑" w:eastAsia="微软雅黑" w:hint="default"/>
                    <w:sz w:val="28"/>
                    <w:szCs w:val="28"/>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949997pt;margin-top:41.249985pt;width:233.25pt;height:24pt;mso-position-horizontal-relative:page;mso-position-vertical-relative:page;z-index:-944632" type="#_x0000_t75" stroked="false">
          <v:imagedata r:id="rId1" o:title=""/>
        </v:shape>
      </w:pict>
    </w:r>
    <w:r>
      <w:rPr/>
      <w:pict>
        <v:group style="position:absolute;margin-left:88.463997pt;margin-top:68.159981pt;width:443.6pt;height:.1pt;mso-position-horizontal-relative:page;mso-position-vertical-relative:page;z-index:-944608" coordorigin="1769,1363" coordsize="8872,2">
          <v:shape style="position:absolute;left:1769;top:1363;width:8872;height:2" coordorigin="1769,1363" coordsize="8872,0" path="m1769,1363l10641,1363e" filled="false" stroked="true" strokeweight=".72pt" strokecolor="#000000">
            <v:path arrowok="t"/>
          </v:shape>
          <w10:wrap type="none"/>
        </v:group>
      </w:pict>
    </w:r>
    <w:r>
      <w:rPr/>
      <w:pict>
        <v:shape style="position:absolute;margin-left:421.709991pt;margin-top:47.984089pt;width:110.05pt;height:16.05pt;mso-position-horizontal-relative:page;mso-position-vertical-relative:page;z-index:-944584" type="#_x0000_t202" filled="false" stroked="false">
          <v:textbox inset="0,0,0,0">
            <w:txbxContent>
              <w:p>
                <w:pPr>
                  <w:spacing w:line="318" w:lineRule="exact" w:before="0"/>
                  <w:ind w:left="20" w:right="0" w:firstLine="0"/>
                  <w:jc w:val="left"/>
                  <w:rPr>
                    <w:rFonts w:ascii="微软雅黑" w:hAnsi="微软雅黑" w:cs="微软雅黑" w:eastAsia="微软雅黑" w:hint="default"/>
                    <w:sz w:val="28"/>
                    <w:szCs w:val="28"/>
                  </w:rPr>
                </w:pPr>
                <w:r>
                  <w:rPr>
                    <w:rFonts w:ascii="微软雅黑" w:hAnsi="微软雅黑" w:cs="微软雅黑" w:eastAsia="微软雅黑" w:hint="default"/>
                    <w:b/>
                    <w:bCs/>
                    <w:sz w:val="28"/>
                    <w:szCs w:val="28"/>
                  </w:rPr>
                  <w:t>2019</w:t>
                </w:r>
                <w:r>
                  <w:rPr>
                    <w:rFonts w:ascii="微软雅黑" w:hAnsi="微软雅黑" w:cs="微软雅黑" w:eastAsia="微软雅黑" w:hint="default"/>
                    <w:b/>
                    <w:bCs/>
                    <w:spacing w:val="-16"/>
                    <w:sz w:val="28"/>
                    <w:szCs w:val="28"/>
                  </w:rPr>
                  <w:t> </w:t>
                </w:r>
                <w:r>
                  <w:rPr>
                    <w:rFonts w:ascii="微软雅黑" w:hAnsi="微软雅黑" w:cs="微软雅黑" w:eastAsia="微软雅黑" w:hint="default"/>
                    <w:b/>
                    <w:bCs/>
                    <w:sz w:val="28"/>
                    <w:szCs w:val="28"/>
                  </w:rPr>
                  <w:t>年年度报告</w:t>
                </w:r>
                <w:r>
                  <w:rPr>
                    <w:rFonts w:ascii="微软雅黑" w:hAnsi="微软雅黑" w:cs="微软雅黑" w:eastAsia="微软雅黑" w:hint="default"/>
                    <w:sz w:val="28"/>
                    <w:szCs w:val="28"/>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9.349998pt;margin-top:41.250008pt;width:233.25pt;height:24pt;mso-position-horizontal-relative:page;mso-position-vertical-relative:page;z-index:-944488" type="#_x0000_t75" stroked="false">
          <v:imagedata r:id="rId1" o:title=""/>
        </v:shape>
      </w:pict>
    </w:r>
    <w:r>
      <w:rPr/>
      <w:pict>
        <v:shape style="position:absolute;margin-left:660.059998pt;margin-top:47.984116pt;width:110pt;height:16.05pt;mso-position-horizontal-relative:page;mso-position-vertical-relative:page;z-index:-944464" type="#_x0000_t202" filled="false" stroked="false">
          <v:textbox inset="0,0,0,0">
            <w:txbxContent>
              <w:p>
                <w:pPr>
                  <w:spacing w:line="318" w:lineRule="exact" w:before="0"/>
                  <w:ind w:left="20" w:right="0" w:firstLine="0"/>
                  <w:jc w:val="left"/>
                  <w:rPr>
                    <w:rFonts w:ascii="微软雅黑" w:hAnsi="微软雅黑" w:cs="微软雅黑" w:eastAsia="微软雅黑" w:hint="default"/>
                    <w:sz w:val="28"/>
                    <w:szCs w:val="28"/>
                  </w:rPr>
                </w:pPr>
                <w:r>
                  <w:rPr>
                    <w:rFonts w:ascii="微软雅黑" w:hAnsi="微软雅黑" w:cs="微软雅黑" w:eastAsia="微软雅黑" w:hint="default"/>
                    <w:b/>
                    <w:bCs/>
                    <w:sz w:val="28"/>
                    <w:szCs w:val="28"/>
                  </w:rPr>
                  <w:t>2019</w:t>
                </w:r>
                <w:r>
                  <w:rPr>
                    <w:rFonts w:ascii="微软雅黑" w:hAnsi="微软雅黑" w:cs="微软雅黑" w:eastAsia="微软雅黑" w:hint="default"/>
                    <w:b/>
                    <w:bCs/>
                    <w:spacing w:val="-17"/>
                    <w:sz w:val="28"/>
                    <w:szCs w:val="28"/>
                  </w:rPr>
                  <w:t> </w:t>
                </w:r>
                <w:r>
                  <w:rPr>
                    <w:rFonts w:ascii="微软雅黑" w:hAnsi="微软雅黑" w:cs="微软雅黑" w:eastAsia="微软雅黑" w:hint="default"/>
                    <w:b/>
                    <w:bCs/>
                    <w:sz w:val="28"/>
                    <w:szCs w:val="28"/>
                  </w:rPr>
                  <w:t>年年度报告</w:t>
                </w:r>
                <w:r>
                  <w:rPr>
                    <w:rFonts w:ascii="微软雅黑" w:hAnsi="微软雅黑" w:cs="微软雅黑" w:eastAsia="微软雅黑" w:hint="default"/>
                    <w:sz w:val="28"/>
                    <w:szCs w:val="28"/>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949997pt;margin-top:41.049984pt;width:233.25pt;height:24pt;mso-position-horizontal-relative:page;mso-position-vertical-relative:page;z-index:-944416" type="#_x0000_t75" stroked="false">
          <v:imagedata r:id="rId1" o:title=""/>
        </v:shape>
      </w:pict>
    </w:r>
    <w:r>
      <w:rPr/>
      <w:pict>
        <v:group style="position:absolute;margin-left:88.463997pt;margin-top:67.919983pt;width:443.6pt;height:.1pt;mso-position-horizontal-relative:page;mso-position-vertical-relative:page;z-index:-944392" coordorigin="1769,1358" coordsize="8872,2">
          <v:shape style="position:absolute;left:1769;top:1358;width:8872;height:2" coordorigin="1769,1358" coordsize="8872,0" path="m1769,1358l10641,1358e" filled="false" stroked="true" strokeweight=".72pt" strokecolor="#000000">
            <v:path arrowok="t"/>
          </v:shape>
          <w10:wrap type="none"/>
        </v:group>
      </w:pict>
    </w:r>
    <w:r>
      <w:rPr/>
      <w:pict>
        <v:shape style="position:absolute;margin-left:421.709991pt;margin-top:47.86409pt;width:110.05pt;height:16.05pt;mso-position-horizontal-relative:page;mso-position-vertical-relative:page;z-index:-944368" type="#_x0000_t202" filled="false" stroked="false">
          <v:textbox inset="0,0,0,0">
            <w:txbxContent>
              <w:p>
                <w:pPr>
                  <w:spacing w:line="318" w:lineRule="exact" w:before="0"/>
                  <w:ind w:left="20" w:right="0" w:firstLine="0"/>
                  <w:jc w:val="left"/>
                  <w:rPr>
                    <w:rFonts w:ascii="微软雅黑" w:hAnsi="微软雅黑" w:cs="微软雅黑" w:eastAsia="微软雅黑" w:hint="default"/>
                    <w:sz w:val="28"/>
                    <w:szCs w:val="28"/>
                  </w:rPr>
                </w:pPr>
                <w:r>
                  <w:rPr>
                    <w:rFonts w:ascii="微软雅黑" w:hAnsi="微软雅黑" w:cs="微软雅黑" w:eastAsia="微软雅黑" w:hint="default"/>
                    <w:b/>
                    <w:bCs/>
                    <w:sz w:val="28"/>
                    <w:szCs w:val="28"/>
                  </w:rPr>
                  <w:t>2019</w:t>
                </w:r>
                <w:r>
                  <w:rPr>
                    <w:rFonts w:ascii="微软雅黑" w:hAnsi="微软雅黑" w:cs="微软雅黑" w:eastAsia="微软雅黑" w:hint="default"/>
                    <w:b/>
                    <w:bCs/>
                    <w:spacing w:val="-16"/>
                    <w:sz w:val="28"/>
                    <w:szCs w:val="28"/>
                  </w:rPr>
                  <w:t> </w:t>
                </w:r>
                <w:r>
                  <w:rPr>
                    <w:rFonts w:ascii="微软雅黑" w:hAnsi="微软雅黑" w:cs="微软雅黑" w:eastAsia="微软雅黑" w:hint="default"/>
                    <w:b/>
                    <w:bCs/>
                    <w:sz w:val="28"/>
                    <w:szCs w:val="28"/>
                  </w:rPr>
                  <w:t>年年度报告</w:t>
                </w:r>
                <w:r>
                  <w:rPr>
                    <w:rFonts w:ascii="微软雅黑" w:hAnsi="微软雅黑" w:cs="微软雅黑" w:eastAsia="微软雅黑" w:hint="default"/>
                    <w:sz w:val="28"/>
                    <w:szCs w:val="28"/>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9.349998pt;margin-top:41.300007pt;width:233.25pt;height:24pt;mso-position-horizontal-relative:page;mso-position-vertical-relative:page;z-index:-944176" type="#_x0000_t75" stroked="false">
          <v:imagedata r:id="rId1" o:title=""/>
        </v:shape>
      </w:pict>
    </w:r>
    <w:r>
      <w:rPr/>
      <w:pict>
        <v:shape style="position:absolute;margin-left:660.059998pt;margin-top:48.104115pt;width:110pt;height:16.05pt;mso-position-horizontal-relative:page;mso-position-vertical-relative:page;z-index:-944152" type="#_x0000_t202" filled="false" stroked="false">
          <v:textbox inset="0,0,0,0">
            <w:txbxContent>
              <w:p>
                <w:pPr>
                  <w:spacing w:line="318" w:lineRule="exact" w:before="0"/>
                  <w:ind w:left="20" w:right="0" w:firstLine="0"/>
                  <w:jc w:val="left"/>
                  <w:rPr>
                    <w:rFonts w:ascii="微软雅黑" w:hAnsi="微软雅黑" w:cs="微软雅黑" w:eastAsia="微软雅黑" w:hint="default"/>
                    <w:sz w:val="28"/>
                    <w:szCs w:val="28"/>
                  </w:rPr>
                </w:pPr>
                <w:r>
                  <w:rPr>
                    <w:rFonts w:ascii="微软雅黑" w:hAnsi="微软雅黑" w:cs="微软雅黑" w:eastAsia="微软雅黑" w:hint="default"/>
                    <w:b/>
                    <w:bCs/>
                    <w:sz w:val="28"/>
                    <w:szCs w:val="28"/>
                  </w:rPr>
                  <w:t>2019</w:t>
                </w:r>
                <w:r>
                  <w:rPr>
                    <w:rFonts w:ascii="微软雅黑" w:hAnsi="微软雅黑" w:cs="微软雅黑" w:eastAsia="微软雅黑" w:hint="default"/>
                    <w:b/>
                    <w:bCs/>
                    <w:spacing w:val="-17"/>
                    <w:sz w:val="28"/>
                    <w:szCs w:val="28"/>
                  </w:rPr>
                  <w:t> </w:t>
                </w:r>
                <w:r>
                  <w:rPr>
                    <w:rFonts w:ascii="微软雅黑" w:hAnsi="微软雅黑" w:cs="微软雅黑" w:eastAsia="微软雅黑" w:hint="default"/>
                    <w:b/>
                    <w:bCs/>
                    <w:sz w:val="28"/>
                    <w:szCs w:val="28"/>
                  </w:rPr>
                  <w:t>年年度报告</w:t>
                </w:r>
                <w:r>
                  <w:rPr>
                    <w:rFonts w:ascii="微软雅黑" w:hAnsi="微软雅黑" w:cs="微软雅黑" w:eastAsia="微软雅黑" w:hint="default"/>
                    <w:sz w:val="28"/>
                    <w:szCs w:val="28"/>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136"/>
    </w:pPr>
    <w:rPr>
      <w:rFonts w:ascii="宋体" w:hAnsi="宋体" w:eastAsia="宋体"/>
      <w:sz w:val="21"/>
      <w:szCs w:val="21"/>
    </w:rPr>
  </w:style>
  <w:style w:styleId="Heading1" w:type="paragraph">
    <w:name w:val="Heading 1"/>
    <w:basedOn w:val="Normal"/>
    <w:uiPriority w:val="1"/>
    <w:qFormat/>
    <w:pPr>
      <w:ind w:left="20"/>
      <w:outlineLvl w:val="1"/>
    </w:pPr>
    <w:rPr>
      <w:rFonts w:ascii="黑体" w:hAnsi="黑体" w:eastAsia="黑体"/>
      <w:b/>
      <w:bCs/>
      <w:sz w:val="28"/>
      <w:szCs w:val="28"/>
    </w:rPr>
  </w:style>
  <w:style w:styleId="Heading2" w:type="paragraph">
    <w:name w:val="Heading 2"/>
    <w:basedOn w:val="Normal"/>
    <w:uiPriority w:val="1"/>
    <w:qFormat/>
    <w:pPr>
      <w:spacing w:before="56"/>
      <w:ind w:left="21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sse600598@163.com" TargetMode="External"/><Relationship Id="rId8" Type="http://schemas.openxmlformats.org/officeDocument/2006/relationships/hyperlink" Target="http://www.hacl.cn/" TargetMode="External"/><Relationship Id="rId9" Type="http://schemas.openxmlformats.org/officeDocument/2006/relationships/hyperlink" Target="http://www.sse.com.cn/"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2.xml"/><Relationship Id="rId15" Type="http://schemas.openxmlformats.org/officeDocument/2006/relationships/footer" Target="footer6.xml"/><Relationship Id="rId16" Type="http://schemas.openxmlformats.org/officeDocument/2006/relationships/image" Target="media/image1.jpeg"/><Relationship Id="rId17" Type="http://schemas.openxmlformats.org/officeDocument/2006/relationships/footer" Target="footer7.xml"/><Relationship Id="rId18" Type="http://schemas.openxmlformats.org/officeDocument/2006/relationships/header" Target="header3.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header" Target="header4.xml"/><Relationship Id="rId26" Type="http://schemas.openxmlformats.org/officeDocument/2006/relationships/footer" Target="footer14.xml"/><Relationship Id="rId27" Type="http://schemas.openxmlformats.org/officeDocument/2006/relationships/footer" Target="footer15.xml"/><Relationship Id="rId28" Type="http://schemas.openxmlformats.org/officeDocument/2006/relationships/header" Target="header5.xml"/><Relationship Id="rId29" Type="http://schemas.openxmlformats.org/officeDocument/2006/relationships/footer" Target="footer16.xml"/><Relationship Id="rId30" Type="http://schemas.openxmlformats.org/officeDocument/2006/relationships/footer" Target="footer17.xml"/><Relationship Id="rId31" Type="http://schemas.openxmlformats.org/officeDocument/2006/relationships/header" Target="header6.xml"/><Relationship Id="rId32" Type="http://schemas.openxmlformats.org/officeDocument/2006/relationships/footer" Target="footer18.xml"/><Relationship Id="rId33" Type="http://schemas.openxmlformats.org/officeDocument/2006/relationships/footer" Target="footer19.xml"/><Relationship Id="rId34" Type="http://schemas.openxmlformats.org/officeDocument/2006/relationships/footer" Target="footer20.xml"/><Relationship Id="rId35" Type="http://schemas.openxmlformats.org/officeDocument/2006/relationships/image" Target="media/image2.jpeg"/><Relationship Id="rId36" Type="http://schemas.openxmlformats.org/officeDocument/2006/relationships/image" Target="media/image3.png"/><Relationship Id="rId37" Type="http://schemas.openxmlformats.org/officeDocument/2006/relationships/header" Target="header7.xml"/><Relationship Id="rId38" Type="http://schemas.openxmlformats.org/officeDocument/2006/relationships/footer" Target="footer21.xml"/><Relationship Id="rId39" Type="http://schemas.openxmlformats.org/officeDocument/2006/relationships/header" Target="header8.xml"/><Relationship Id="rId40" Type="http://schemas.openxmlformats.org/officeDocument/2006/relationships/footer" Target="footer22.xml"/><Relationship Id="rId41" Type="http://schemas.openxmlformats.org/officeDocument/2006/relationships/footer" Target="footer23.xml"/><Relationship Id="rId42" Type="http://schemas.openxmlformats.org/officeDocument/2006/relationships/footer" Target="footer24.xml"/><Relationship Id="rId43" Type="http://schemas.openxmlformats.org/officeDocument/2006/relationships/footer" Target="footer25.xml"/><Relationship Id="rId44" Type="http://schemas.openxmlformats.org/officeDocument/2006/relationships/footer" Target="footer26.xml"/><Relationship Id="rId45" Type="http://schemas.openxmlformats.org/officeDocument/2006/relationships/footer" Target="footer27.xml"/><Relationship Id="rId46" Type="http://schemas.openxmlformats.org/officeDocument/2006/relationships/header" Target="header9.xml"/><Relationship Id="rId47" Type="http://schemas.openxmlformats.org/officeDocument/2006/relationships/footer" Target="footer28.xml"/><Relationship Id="rId48" Type="http://schemas.openxmlformats.org/officeDocument/2006/relationships/header" Target="header10.xml"/><Relationship Id="rId49" Type="http://schemas.openxmlformats.org/officeDocument/2006/relationships/footer" Target="footer29.xml"/><Relationship Id="rId50" Type="http://schemas.openxmlformats.org/officeDocument/2006/relationships/footer" Target="footer30.xml"/><Relationship Id="rId51" Type="http://schemas.openxmlformats.org/officeDocument/2006/relationships/footer" Target="footer31.xml"/><Relationship Id="rId52" Type="http://schemas.openxmlformats.org/officeDocument/2006/relationships/footer" Target="footer32.xml"/><Relationship Id="rId53" Type="http://schemas.openxmlformats.org/officeDocument/2006/relationships/footer" Target="footer33.xml"/><Relationship Id="rId54" Type="http://schemas.openxmlformats.org/officeDocument/2006/relationships/footer" Target="footer34.xml"/><Relationship Id="rId55" Type="http://schemas.openxmlformats.org/officeDocument/2006/relationships/header" Target="header11.xml"/><Relationship Id="rId56" Type="http://schemas.openxmlformats.org/officeDocument/2006/relationships/footer" Target="footer35.xml"/><Relationship Id="rId57" Type="http://schemas.openxmlformats.org/officeDocument/2006/relationships/footer" Target="footer36.xml"/><Relationship Id="rId58" Type="http://schemas.openxmlformats.org/officeDocument/2006/relationships/header" Target="header12.xml"/><Relationship Id="rId59" Type="http://schemas.openxmlformats.org/officeDocument/2006/relationships/footer" Target="footer37.xml"/><Relationship Id="rId60" Type="http://schemas.openxmlformats.org/officeDocument/2006/relationships/footer" Target="footer38.xml"/><Relationship Id="rId61" Type="http://schemas.openxmlformats.org/officeDocument/2006/relationships/header" Target="header13.xml"/><Relationship Id="rId62" Type="http://schemas.openxmlformats.org/officeDocument/2006/relationships/header" Target="header14.xml"/><Relationship Id="rId63" Type="http://schemas.openxmlformats.org/officeDocument/2006/relationships/footer" Target="footer39.xml"/><Relationship Id="rId64" Type="http://schemas.openxmlformats.org/officeDocument/2006/relationships/footer" Target="footer40.xml"/><Relationship Id="rId65" Type="http://schemas.openxmlformats.org/officeDocument/2006/relationships/header" Target="header15.xml"/><Relationship Id="rId66" Type="http://schemas.openxmlformats.org/officeDocument/2006/relationships/footer" Target="footer41.xml"/><Relationship Id="rId67" Type="http://schemas.openxmlformats.org/officeDocument/2006/relationships/footer" Target="footer42.xml"/><Relationship Id="rId68" Type="http://schemas.openxmlformats.org/officeDocument/2006/relationships/header" Target="header16.xml"/><Relationship Id="rId69" Type="http://schemas.openxmlformats.org/officeDocument/2006/relationships/footer" Target="footer43.xml"/><Relationship Id="rId70" Type="http://schemas.openxmlformats.org/officeDocument/2006/relationships/footer" Target="footer44.xml"/><Relationship Id="rId71" Type="http://schemas.openxmlformats.org/officeDocument/2006/relationships/footer" Target="footer45.xml"/><Relationship Id="rId72" Type="http://schemas.openxmlformats.org/officeDocument/2006/relationships/header" Target="header17.xml"/><Relationship Id="rId73" Type="http://schemas.openxmlformats.org/officeDocument/2006/relationships/footer" Target="footer46.xml"/><Relationship Id="rId74" Type="http://schemas.openxmlformats.org/officeDocument/2006/relationships/header" Target="header18.xml"/><Relationship Id="rId75" Type="http://schemas.openxmlformats.org/officeDocument/2006/relationships/footer" Target="footer47.xml"/><Relationship Id="rId76" Type="http://schemas.openxmlformats.org/officeDocument/2006/relationships/header" Target="header19.xml"/><Relationship Id="rId77" Type="http://schemas.openxmlformats.org/officeDocument/2006/relationships/footer" Target="footer48.xml"/><Relationship Id="rId78" Type="http://schemas.openxmlformats.org/officeDocument/2006/relationships/footer" Target="footer49.xml"/><Relationship Id="rId79" Type="http://schemas.openxmlformats.org/officeDocument/2006/relationships/footer" Target="footer50.xml"/><Relationship Id="rId80" Type="http://schemas.openxmlformats.org/officeDocument/2006/relationships/footer" Target="footer51.xml"/><Relationship Id="rId81" Type="http://schemas.openxmlformats.org/officeDocument/2006/relationships/header" Target="header20.xml"/><Relationship Id="rId82" Type="http://schemas.openxmlformats.org/officeDocument/2006/relationships/footer" Target="footer52.xml"/><Relationship Id="rId83" Type="http://schemas.openxmlformats.org/officeDocument/2006/relationships/header" Target="header21.xml"/><Relationship Id="rId84" Type="http://schemas.openxmlformats.org/officeDocument/2006/relationships/footer" Target="footer53.xml"/><Relationship Id="rId85" Type="http://schemas.openxmlformats.org/officeDocument/2006/relationships/header" Target="header22.xml"/><Relationship Id="rId86" Type="http://schemas.openxmlformats.org/officeDocument/2006/relationships/footer" Target="footer54.xml"/><Relationship Id="rId87" Type="http://schemas.openxmlformats.org/officeDocument/2006/relationships/footer" Target="footer55.xml"/><Relationship Id="rId88" Type="http://schemas.openxmlformats.org/officeDocument/2006/relationships/footer" Target="footer56.xml"/><Relationship Id="rId89" Type="http://schemas.openxmlformats.org/officeDocument/2006/relationships/footer" Target="footer57.xml"/><Relationship Id="rId90" Type="http://schemas.openxmlformats.org/officeDocument/2006/relationships/footer" Target="footer58.xml"/><Relationship Id="rId91" Type="http://schemas.openxmlformats.org/officeDocument/2006/relationships/footer" Target="footer59.xml"/><Relationship Id="rId92" Type="http://schemas.openxmlformats.org/officeDocument/2006/relationships/footer" Target="footer60.xml"/><Relationship Id="rId93" Type="http://schemas.openxmlformats.org/officeDocument/2006/relationships/footer" Target="footer61.xml"/><Relationship Id="rId94" Type="http://schemas.openxmlformats.org/officeDocument/2006/relationships/header" Target="header23.xml"/><Relationship Id="rId95" Type="http://schemas.openxmlformats.org/officeDocument/2006/relationships/footer" Target="footer62.xml"/><Relationship Id="rId96" Type="http://schemas.openxmlformats.org/officeDocument/2006/relationships/footer" Target="footer63.xml"/><Relationship Id="rId97" Type="http://schemas.openxmlformats.org/officeDocument/2006/relationships/footer" Target="footer64.xml"/><Relationship Id="rId98" Type="http://schemas.openxmlformats.org/officeDocument/2006/relationships/footer" Target="footer65.xml"/><Relationship Id="rId99" Type="http://schemas.openxmlformats.org/officeDocument/2006/relationships/header" Target="header24.xml"/><Relationship Id="rId100" Type="http://schemas.openxmlformats.org/officeDocument/2006/relationships/footer" Target="footer66.xml"/><Relationship Id="rId101" Type="http://schemas.openxmlformats.org/officeDocument/2006/relationships/header" Target="header25.xml"/><Relationship Id="rId102" Type="http://schemas.openxmlformats.org/officeDocument/2006/relationships/footer" Target="footer67.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1" Type="http://schemas.openxmlformats.org/officeDocument/2006/relationships/image" Target="media/image1.jpeg"/></Relationships>

</file>

<file path=word/_rels/header17.xml.rels><?xml version="1.0" encoding="UTF-8" standalone="yes"?>
<Relationships xmlns="http://schemas.openxmlformats.org/package/2006/relationships"><Relationship Id="rId1" Type="http://schemas.openxmlformats.org/officeDocument/2006/relationships/image" Target="media/image1.jpeg"/></Relationships>

</file>

<file path=word/_rels/header19.xml.rels><?xml version="1.0" encoding="UTF-8" standalone="yes"?>
<Relationships xmlns="http://schemas.openxmlformats.org/package/2006/relationships"><Relationship Id="rId1" Type="http://schemas.openxmlformats.org/officeDocument/2006/relationships/image" Target="media/image1.jpeg"/></Relationships>

</file>

<file path=word/_rels/header21.xml.rels><?xml version="1.0" encoding="UTF-8" standalone="yes"?>
<Relationships xmlns="http://schemas.openxmlformats.org/package/2006/relationships"><Relationship Id="rId1" Type="http://schemas.openxmlformats.org/officeDocument/2006/relationships/image" Target="media/image1.jpeg"/></Relationships>

</file>

<file path=word/_rels/header24.xml.rels><?xml version="1.0" encoding="UTF-8" standalone="yes"?>
<Relationships xmlns="http://schemas.openxmlformats.org/package/2006/relationships"><Relationship Id="rId1" Type="http://schemas.openxmlformats.org/officeDocument/2006/relationships/image" Target="media/image1.jpeg"/></Relationships>

</file>

<file path=word/_rels/header25.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2020-05-19T01:34:30Z</dcterms:created>
  <dcterms:modified xsi:type="dcterms:W3CDTF">2020-05-19T01:34:30Z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2020-03-27T00:00:00Z</vt:filetime>
  </property>
  <property fmtid="{D5CDD505-2E9C-101B-9397-08002B2CF9AE}" pid="3" name="Creator">
    <vt:lpwstr>Microsoft® Office Word 2007</vt:lpwstr>
  </property>
  <property fmtid="{D5CDD505-2E9C-101B-9397-08002B2CF9AE}" pid="4" name="LastSaved">
    <vt:filetime>2020-05-18T00:00:00Z</vt:filetime>
  </property>
</Properties>
</file>